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8A8" w:rsidRDefault="00392D0E" w:rsidP="00DB48A8">
      <w:pPr>
        <w:ind w:left="720"/>
        <w:rPr>
          <w:b/>
          <w:sz w:val="36"/>
          <w:szCs w:val="36"/>
        </w:rPr>
      </w:pPr>
      <w:r w:rsidRPr="00B74BA2">
        <w:rPr>
          <w:b/>
          <w:sz w:val="36"/>
          <w:szCs w:val="36"/>
        </w:rPr>
        <w:t>6.07</w:t>
      </w:r>
      <w:r w:rsidR="00756309" w:rsidRPr="00B74BA2">
        <w:rPr>
          <w:b/>
          <w:sz w:val="36"/>
          <w:szCs w:val="36"/>
        </w:rPr>
        <w:tab/>
      </w:r>
      <w:r w:rsidR="005D4DB8" w:rsidRPr="00B74BA2">
        <w:rPr>
          <w:b/>
          <w:sz w:val="36"/>
          <w:szCs w:val="36"/>
        </w:rPr>
        <w:t xml:space="preserve">PEMBROLIZUMAB, </w:t>
      </w:r>
      <w:r w:rsidR="000A1EDB" w:rsidRPr="00B74BA2">
        <w:rPr>
          <w:b/>
          <w:sz w:val="36"/>
          <w:szCs w:val="36"/>
        </w:rPr>
        <w:br/>
        <w:t>S</w:t>
      </w:r>
      <w:r w:rsidR="005D4DB8" w:rsidRPr="00B74BA2">
        <w:rPr>
          <w:b/>
          <w:sz w:val="36"/>
          <w:szCs w:val="36"/>
        </w:rPr>
        <w:t>olution concentrate for I.V. infusion 100</w:t>
      </w:r>
      <w:r w:rsidR="000A1EDB" w:rsidRPr="00B74BA2">
        <w:rPr>
          <w:b/>
          <w:sz w:val="36"/>
          <w:szCs w:val="36"/>
        </w:rPr>
        <w:t xml:space="preserve"> </w:t>
      </w:r>
      <w:r w:rsidR="005D4DB8" w:rsidRPr="00B74BA2">
        <w:rPr>
          <w:b/>
          <w:sz w:val="36"/>
          <w:szCs w:val="36"/>
        </w:rPr>
        <w:t>mg in 4</w:t>
      </w:r>
      <w:r w:rsidR="000A1EDB" w:rsidRPr="00B74BA2">
        <w:rPr>
          <w:b/>
          <w:sz w:val="36"/>
          <w:szCs w:val="36"/>
        </w:rPr>
        <w:t xml:space="preserve"> </w:t>
      </w:r>
      <w:r w:rsidR="005D4DB8" w:rsidRPr="00B74BA2">
        <w:rPr>
          <w:b/>
          <w:sz w:val="36"/>
          <w:szCs w:val="36"/>
        </w:rPr>
        <w:t>mL, Keytruda</w:t>
      </w:r>
      <w:r w:rsidR="005D4DB8" w:rsidRPr="00DB48A8">
        <w:rPr>
          <w:b/>
          <w:sz w:val="36"/>
          <w:szCs w:val="36"/>
        </w:rPr>
        <w:t>®</w:t>
      </w:r>
      <w:r w:rsidR="005D4DB8" w:rsidRPr="00B74BA2">
        <w:rPr>
          <w:b/>
          <w:sz w:val="36"/>
          <w:szCs w:val="36"/>
        </w:rPr>
        <w:t xml:space="preserve">, </w:t>
      </w:r>
    </w:p>
    <w:p w:rsidR="00DB48A8" w:rsidRPr="00C12C14" w:rsidRDefault="00DB48A8" w:rsidP="00DB48A8">
      <w:pPr>
        <w:ind w:left="720"/>
        <w:rPr>
          <w:b/>
          <w:sz w:val="36"/>
          <w:szCs w:val="36"/>
        </w:rPr>
      </w:pPr>
      <w:r>
        <w:rPr>
          <w:b/>
          <w:sz w:val="36"/>
          <w:szCs w:val="36"/>
        </w:rPr>
        <w:t>Merck Sharp &amp; Dohme (Australia) Pty Limited</w:t>
      </w:r>
    </w:p>
    <w:p w:rsidR="005D4DB8" w:rsidRPr="00B74BA2" w:rsidRDefault="005D4DB8" w:rsidP="00DB48A8">
      <w:pPr>
        <w:pStyle w:val="Heading1"/>
        <w:spacing w:before="240"/>
      </w:pPr>
      <w:bookmarkStart w:id="0" w:name="_Toc524436880"/>
      <w:r w:rsidRPr="00B74BA2">
        <w:t>Purpose of Application</w:t>
      </w:r>
      <w:bookmarkEnd w:id="0"/>
    </w:p>
    <w:p w:rsidR="005D4DB8" w:rsidRPr="00B74BA2" w:rsidRDefault="005D4DB8" w:rsidP="003716E0">
      <w:pPr>
        <w:pStyle w:val="ListParagraph"/>
        <w:widowControl/>
        <w:numPr>
          <w:ilvl w:val="1"/>
          <w:numId w:val="1"/>
        </w:numPr>
      </w:pPr>
      <w:r w:rsidRPr="00B74BA2">
        <w:t xml:space="preserve">The submission requested a Section 100 (Efficient Funding of Chemotherapy – Public and Private Hospital), Authority </w:t>
      </w:r>
      <w:proofErr w:type="gramStart"/>
      <w:r w:rsidRPr="00B74BA2">
        <w:t>Required</w:t>
      </w:r>
      <w:proofErr w:type="gramEnd"/>
      <w:r w:rsidRPr="00B74BA2">
        <w:t xml:space="preserve"> listing for pembrolizumab for the treatment of relapsed or refractory primary mediast</w:t>
      </w:r>
      <w:r w:rsidR="00756309" w:rsidRPr="00B74BA2">
        <w:t>inal large B-cell lymphoma (R/R </w:t>
      </w:r>
      <w:r w:rsidRPr="00B74BA2">
        <w:t>PMBCL). Pembrolizumab is currently PBS listed for use in classical Hodgkin’s lymphoma</w:t>
      </w:r>
      <w:r w:rsidR="003716E0">
        <w:t>,</w:t>
      </w:r>
      <w:r w:rsidRPr="00B74BA2">
        <w:t xml:space="preserve"> metastatic melanoma</w:t>
      </w:r>
      <w:r w:rsidR="003716E0">
        <w:t xml:space="preserve"> and </w:t>
      </w:r>
      <w:r w:rsidR="003716E0" w:rsidRPr="003716E0">
        <w:t>non-small cell lung cancer</w:t>
      </w:r>
      <w:r w:rsidRPr="00B74BA2">
        <w:t xml:space="preserve">. </w:t>
      </w:r>
    </w:p>
    <w:p w:rsidR="005D4DB8" w:rsidRPr="00B74BA2" w:rsidRDefault="009A44FF" w:rsidP="00F2263C">
      <w:pPr>
        <w:pStyle w:val="ListParagraph"/>
        <w:widowControl/>
        <w:numPr>
          <w:ilvl w:val="1"/>
          <w:numId w:val="1"/>
        </w:numPr>
        <w:spacing w:after="120"/>
      </w:pPr>
      <w:r w:rsidRPr="00B74BA2">
        <w:t>The submission requested PBS listing on the basis of a cost-utility analysis comparing</w:t>
      </w:r>
      <w:r w:rsidR="00E71E2B" w:rsidRPr="00B74BA2">
        <w:t xml:space="preserve"> pembrolizumab with standard of care (SOC).</w:t>
      </w:r>
      <w:r w:rsidR="00A240F5" w:rsidRPr="00B74BA2">
        <w:t xml:space="preserve"> </w:t>
      </w:r>
      <w:r w:rsidR="005D4DB8" w:rsidRPr="00B74BA2">
        <w:t>The key components of the submission are summarised in Table 1.</w:t>
      </w:r>
    </w:p>
    <w:p w:rsidR="005D4DB8" w:rsidRPr="00B74BA2" w:rsidRDefault="005D4DB8" w:rsidP="0091423A">
      <w:pPr>
        <w:keepNext/>
        <w:keepLines/>
        <w:widowControl/>
        <w:rPr>
          <w:rStyle w:val="CommentReference"/>
        </w:rPr>
      </w:pPr>
      <w:r w:rsidRPr="00B74BA2">
        <w:rPr>
          <w:rStyle w:val="CommentReference"/>
        </w:rPr>
        <w:t>Table 1:  Key components of the clinical issue addressed by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7943"/>
      </w:tblGrid>
      <w:tr w:rsidR="005D4DB8" w:rsidRPr="00B74BA2" w:rsidTr="00DB48A8">
        <w:trPr>
          <w:cantSplit/>
          <w:tblHeader/>
        </w:trPr>
        <w:tc>
          <w:tcPr>
            <w:tcW w:w="703" w:type="pct"/>
            <w:shd w:val="clear" w:color="auto" w:fill="auto"/>
          </w:tcPr>
          <w:p w:rsidR="005D4DB8" w:rsidRPr="00B74BA2" w:rsidRDefault="005D4DB8" w:rsidP="0091423A">
            <w:pPr>
              <w:pStyle w:val="Tabletext"/>
              <w:keepNext/>
              <w:keepLines/>
              <w:rPr>
                <w:b/>
                <w:szCs w:val="20"/>
              </w:rPr>
            </w:pPr>
            <w:r w:rsidRPr="00B74BA2">
              <w:rPr>
                <w:b/>
              </w:rPr>
              <w:t>Component</w:t>
            </w:r>
          </w:p>
        </w:tc>
        <w:tc>
          <w:tcPr>
            <w:tcW w:w="4297" w:type="pct"/>
            <w:shd w:val="clear" w:color="auto" w:fill="auto"/>
          </w:tcPr>
          <w:p w:rsidR="005D4DB8" w:rsidRPr="00B74BA2" w:rsidRDefault="005D4DB8" w:rsidP="0091423A">
            <w:pPr>
              <w:pStyle w:val="Tabletext"/>
              <w:keepNext/>
              <w:keepLines/>
              <w:jc w:val="center"/>
              <w:rPr>
                <w:b/>
              </w:rPr>
            </w:pPr>
            <w:r w:rsidRPr="00B74BA2">
              <w:rPr>
                <w:b/>
              </w:rPr>
              <w:t>Description</w:t>
            </w:r>
          </w:p>
        </w:tc>
      </w:tr>
      <w:tr w:rsidR="005D4DB8" w:rsidRPr="00B74BA2" w:rsidTr="00DB48A8">
        <w:trPr>
          <w:cantSplit/>
        </w:trPr>
        <w:tc>
          <w:tcPr>
            <w:tcW w:w="703" w:type="pct"/>
            <w:shd w:val="clear" w:color="auto" w:fill="auto"/>
            <w:vAlign w:val="center"/>
          </w:tcPr>
          <w:p w:rsidR="005D4DB8" w:rsidRPr="00B74BA2" w:rsidRDefault="005D4DB8" w:rsidP="0091423A">
            <w:pPr>
              <w:pStyle w:val="Tabletext"/>
              <w:keepNext/>
              <w:keepLines/>
            </w:pPr>
            <w:r w:rsidRPr="00B74BA2">
              <w:t>Population</w:t>
            </w:r>
          </w:p>
        </w:tc>
        <w:tc>
          <w:tcPr>
            <w:tcW w:w="4297" w:type="pct"/>
            <w:shd w:val="clear" w:color="auto" w:fill="auto"/>
          </w:tcPr>
          <w:p w:rsidR="005D4DB8" w:rsidRPr="00B74BA2" w:rsidRDefault="005D4DB8" w:rsidP="0091423A">
            <w:pPr>
              <w:pStyle w:val="Tabletext"/>
              <w:keepNext/>
              <w:keepLines/>
            </w:pPr>
            <w:r w:rsidRPr="00B74BA2">
              <w:t xml:space="preserve">Relapsed or refractory primary </w:t>
            </w:r>
            <w:r w:rsidR="00B43BF6" w:rsidRPr="00B74BA2">
              <w:t xml:space="preserve">mediastinal </w:t>
            </w:r>
            <w:r w:rsidRPr="00B74BA2">
              <w:t>large B-cell lymphoma (R/R PMBCL)</w:t>
            </w:r>
          </w:p>
        </w:tc>
      </w:tr>
      <w:tr w:rsidR="005D4DB8" w:rsidRPr="00B74BA2" w:rsidTr="00DB48A8">
        <w:trPr>
          <w:cantSplit/>
        </w:trPr>
        <w:tc>
          <w:tcPr>
            <w:tcW w:w="703" w:type="pct"/>
            <w:shd w:val="clear" w:color="auto" w:fill="auto"/>
            <w:vAlign w:val="center"/>
          </w:tcPr>
          <w:p w:rsidR="005D4DB8" w:rsidRPr="00B74BA2" w:rsidRDefault="005D4DB8" w:rsidP="0091423A">
            <w:pPr>
              <w:pStyle w:val="Tabletext"/>
              <w:keepNext/>
              <w:keepLines/>
            </w:pPr>
            <w:r w:rsidRPr="00B74BA2">
              <w:t>Intervention</w:t>
            </w:r>
          </w:p>
        </w:tc>
        <w:tc>
          <w:tcPr>
            <w:tcW w:w="4297" w:type="pct"/>
            <w:shd w:val="clear" w:color="auto" w:fill="auto"/>
          </w:tcPr>
          <w:p w:rsidR="005D4DB8" w:rsidRPr="00B74BA2" w:rsidRDefault="005D4DB8" w:rsidP="0091423A">
            <w:pPr>
              <w:pStyle w:val="Tabletext"/>
              <w:keepNext/>
              <w:keepLines/>
            </w:pPr>
            <w:r w:rsidRPr="00B74BA2">
              <w:t>Pembrolizumab 200 mg Q3W for up to 35 cycles</w:t>
            </w:r>
          </w:p>
        </w:tc>
      </w:tr>
      <w:tr w:rsidR="005D4DB8" w:rsidRPr="00B74BA2" w:rsidTr="00DB48A8">
        <w:trPr>
          <w:cantSplit/>
        </w:trPr>
        <w:tc>
          <w:tcPr>
            <w:tcW w:w="703" w:type="pct"/>
            <w:shd w:val="clear" w:color="auto" w:fill="auto"/>
            <w:vAlign w:val="center"/>
          </w:tcPr>
          <w:p w:rsidR="005D4DB8" w:rsidRPr="00B74BA2" w:rsidRDefault="005D4DB8" w:rsidP="0091423A">
            <w:pPr>
              <w:pStyle w:val="Tabletext"/>
              <w:keepNext/>
              <w:keepLines/>
            </w:pPr>
            <w:r w:rsidRPr="00B74BA2">
              <w:t>Comparator</w:t>
            </w:r>
          </w:p>
        </w:tc>
        <w:tc>
          <w:tcPr>
            <w:tcW w:w="4297" w:type="pct"/>
            <w:shd w:val="clear" w:color="auto" w:fill="auto"/>
          </w:tcPr>
          <w:p w:rsidR="005D4DB8" w:rsidRPr="00B74BA2" w:rsidRDefault="005D4DB8" w:rsidP="0091423A">
            <w:pPr>
              <w:pStyle w:val="Tabletext"/>
              <w:keepNext/>
              <w:keepLines/>
            </w:pPr>
            <w:r w:rsidRPr="00B74BA2">
              <w:t>No single therapy comparator; standard of care (SOC</w:t>
            </w:r>
            <w:r w:rsidR="00AE3766" w:rsidRPr="00B74BA2">
              <w:t>)</w:t>
            </w:r>
            <w:r w:rsidRPr="00B74BA2">
              <w:t xml:space="preserve"> chemotherapy regimens such as ICE, GDP or DHAP are used if not used in the salvage setting.</w:t>
            </w:r>
          </w:p>
        </w:tc>
      </w:tr>
      <w:tr w:rsidR="005D4DB8" w:rsidRPr="00B74BA2" w:rsidTr="00DB48A8">
        <w:trPr>
          <w:cantSplit/>
        </w:trPr>
        <w:tc>
          <w:tcPr>
            <w:tcW w:w="703" w:type="pct"/>
            <w:shd w:val="clear" w:color="auto" w:fill="auto"/>
            <w:vAlign w:val="center"/>
          </w:tcPr>
          <w:p w:rsidR="005D4DB8" w:rsidRPr="00B74BA2" w:rsidRDefault="005D4DB8" w:rsidP="0091423A">
            <w:pPr>
              <w:pStyle w:val="Tabletext"/>
              <w:keepNext/>
              <w:keepLines/>
            </w:pPr>
            <w:r w:rsidRPr="00B74BA2">
              <w:t>Outcomes</w:t>
            </w:r>
          </w:p>
        </w:tc>
        <w:tc>
          <w:tcPr>
            <w:tcW w:w="4297" w:type="pct"/>
            <w:shd w:val="clear" w:color="auto" w:fill="auto"/>
          </w:tcPr>
          <w:p w:rsidR="005D4DB8" w:rsidRPr="00B74BA2" w:rsidRDefault="005D4DB8" w:rsidP="0091423A">
            <w:pPr>
              <w:pStyle w:val="Tabletext"/>
              <w:keepNext/>
              <w:keepLines/>
            </w:pPr>
            <w:r w:rsidRPr="00B74BA2">
              <w:t>PFS, OS, ORR</w:t>
            </w:r>
          </w:p>
        </w:tc>
      </w:tr>
      <w:tr w:rsidR="005D4DB8" w:rsidRPr="00B74BA2" w:rsidTr="00DB48A8">
        <w:trPr>
          <w:cantSplit/>
        </w:trPr>
        <w:tc>
          <w:tcPr>
            <w:tcW w:w="703" w:type="pct"/>
            <w:shd w:val="clear" w:color="auto" w:fill="auto"/>
            <w:vAlign w:val="center"/>
          </w:tcPr>
          <w:p w:rsidR="005D4DB8" w:rsidRPr="00B74BA2" w:rsidRDefault="005D4DB8" w:rsidP="0091423A">
            <w:pPr>
              <w:pStyle w:val="Tabletext"/>
              <w:keepNext/>
              <w:keepLines/>
            </w:pPr>
            <w:r w:rsidRPr="00B74BA2">
              <w:t>Clinical claim</w:t>
            </w:r>
          </w:p>
        </w:tc>
        <w:tc>
          <w:tcPr>
            <w:tcW w:w="4297" w:type="pct"/>
            <w:shd w:val="clear" w:color="auto" w:fill="auto"/>
          </w:tcPr>
          <w:p w:rsidR="006A1460" w:rsidRPr="00B74BA2" w:rsidRDefault="006A1460" w:rsidP="0091423A">
            <w:pPr>
              <w:pStyle w:val="Tabletext"/>
              <w:keepNext/>
              <w:keepLines/>
            </w:pPr>
            <w:r w:rsidRPr="00B74BA2">
              <w:t>The submission claimed that:</w:t>
            </w:r>
          </w:p>
          <w:p w:rsidR="006A1460" w:rsidRPr="00B74BA2" w:rsidRDefault="005D4DB8" w:rsidP="00F2263C">
            <w:pPr>
              <w:pStyle w:val="Tabletext"/>
              <w:keepNext/>
              <w:keepLines/>
              <w:numPr>
                <w:ilvl w:val="0"/>
                <w:numId w:val="6"/>
              </w:numPr>
              <w:ind w:left="147" w:hanging="147"/>
            </w:pPr>
            <w:r w:rsidRPr="00B74BA2">
              <w:t xml:space="preserve">Pembrolizumab is superior to chemotherapy regimens in improving survival compared to chemotherapy and has lower toxicity. </w:t>
            </w:r>
          </w:p>
          <w:p w:rsidR="004B5B2E" w:rsidRDefault="005D4DB8" w:rsidP="00F2263C">
            <w:pPr>
              <w:pStyle w:val="Tabletext"/>
              <w:keepNext/>
              <w:keepLines/>
              <w:numPr>
                <w:ilvl w:val="0"/>
                <w:numId w:val="6"/>
              </w:numPr>
              <w:ind w:left="147" w:hanging="147"/>
            </w:pPr>
            <w:r w:rsidRPr="00B74BA2">
              <w:t xml:space="preserve">Patients who achieve a complete response, and maintain it, can be considered cured, and therefore pembrolizumab offers an improved chance of curing this disease. </w:t>
            </w:r>
          </w:p>
          <w:p w:rsidR="005D4DB8" w:rsidRPr="00B74BA2" w:rsidRDefault="005D4DB8" w:rsidP="00F2263C">
            <w:pPr>
              <w:pStyle w:val="Tabletext"/>
              <w:keepNext/>
              <w:keepLines/>
              <w:numPr>
                <w:ilvl w:val="0"/>
                <w:numId w:val="6"/>
              </w:numPr>
              <w:ind w:left="147" w:hanging="147"/>
            </w:pPr>
            <w:r w:rsidRPr="00B74BA2">
              <w:t xml:space="preserve">Pembrolizumab provides patients with a potential bridge to allogeneic stem cell transplant. </w:t>
            </w:r>
          </w:p>
        </w:tc>
      </w:tr>
    </w:tbl>
    <w:p w:rsidR="005D4DB8" w:rsidRPr="00B74BA2" w:rsidRDefault="005D4DB8" w:rsidP="0091423A">
      <w:pPr>
        <w:pStyle w:val="TableFooter"/>
        <w:keepLines/>
        <w:widowControl/>
      </w:pPr>
      <w:r w:rsidRPr="00B74BA2">
        <w:t xml:space="preserve">Source: Table 1.1-1, p 3, of the submission. </w:t>
      </w:r>
    </w:p>
    <w:p w:rsidR="005D4DB8" w:rsidRPr="00B74BA2" w:rsidRDefault="005D4DB8" w:rsidP="0091423A">
      <w:pPr>
        <w:pStyle w:val="TableFooter"/>
        <w:keepLines/>
        <w:widowControl/>
      </w:pPr>
      <w:r w:rsidRPr="00B74BA2">
        <w:t xml:space="preserve">Abbreviations: DHAP = dexamethasone, high-dose </w:t>
      </w:r>
      <w:proofErr w:type="spellStart"/>
      <w:r w:rsidRPr="00B74BA2">
        <w:t>cytarabine</w:t>
      </w:r>
      <w:proofErr w:type="spellEnd"/>
      <w:r w:rsidRPr="00B74BA2">
        <w:t xml:space="preserve">, cisplatin; GDP = gemcitabine, doxorubicin, </w:t>
      </w:r>
      <w:r w:rsidR="00CC1764">
        <w:t>cisplatin</w:t>
      </w:r>
      <w:r w:rsidRPr="00B74BA2">
        <w:t xml:space="preserve">; ICE= </w:t>
      </w:r>
      <w:proofErr w:type="spellStart"/>
      <w:r w:rsidRPr="00B74BA2">
        <w:t>ifosfamide</w:t>
      </w:r>
      <w:proofErr w:type="spellEnd"/>
      <w:r w:rsidRPr="00B74BA2">
        <w:t>, carboplatin, etoposide; R/R PMBCL = relapsed or refractory primary mediastinal B-cell lymphoma; PFS = progression free survival, ORR= objective response rate; OS= overall survival; Q3W = every three weeks.</w:t>
      </w:r>
    </w:p>
    <w:p w:rsidR="005D4DB8" w:rsidRPr="00B74BA2" w:rsidRDefault="005D4DB8" w:rsidP="0091423A">
      <w:pPr>
        <w:widowControl/>
      </w:pPr>
    </w:p>
    <w:p w:rsidR="005D4DB8" w:rsidRPr="00B74BA2" w:rsidRDefault="005D4DB8" w:rsidP="0091423A">
      <w:pPr>
        <w:pStyle w:val="Heading1"/>
      </w:pPr>
      <w:bookmarkStart w:id="1" w:name="_Toc524436881"/>
      <w:r w:rsidRPr="00B74BA2">
        <w:t>Requested listing</w:t>
      </w:r>
      <w:bookmarkEnd w:id="1"/>
    </w:p>
    <w:p w:rsidR="005D4DB8" w:rsidRDefault="00284086" w:rsidP="00F2263C">
      <w:pPr>
        <w:pStyle w:val="ListParagraph"/>
        <w:widowControl/>
        <w:numPr>
          <w:ilvl w:val="1"/>
          <w:numId w:val="1"/>
        </w:numPr>
      </w:pPr>
      <w:r w:rsidRPr="00284086">
        <w:t xml:space="preserve">The requested restriction is outlined below with the PBAC’s </w:t>
      </w:r>
      <w:r>
        <w:t xml:space="preserve">suggested </w:t>
      </w:r>
      <w:r w:rsidRPr="00284086">
        <w:t>additions in italics and deletions in strikethrough</w:t>
      </w:r>
      <w:r>
        <w:t>.</w:t>
      </w:r>
    </w:p>
    <w:p w:rsidR="00FE4D7B" w:rsidRPr="00AA240A" w:rsidRDefault="00AA240A" w:rsidP="00686364">
      <w:pPr>
        <w:keepNext/>
        <w:keepLines/>
        <w:widowControl/>
        <w:snapToGrid w:val="0"/>
        <w:rPr>
          <w:rFonts w:ascii="Arial Narrow" w:hAnsi="Arial Narrow"/>
          <w:b/>
          <w:sz w:val="20"/>
          <w:szCs w:val="20"/>
        </w:rPr>
      </w:pPr>
      <w:r w:rsidRPr="00AA240A">
        <w:rPr>
          <w:rFonts w:ascii="Arial Narrow" w:hAnsi="Arial Narrow"/>
          <w:b/>
          <w:sz w:val="20"/>
          <w:szCs w:val="20"/>
        </w:rPr>
        <w:lastRenderedPageBreak/>
        <w:t>Initial restriction</w:t>
      </w:r>
    </w:p>
    <w:tbl>
      <w:tblPr>
        <w:tblW w:w="5000" w:type="pct"/>
        <w:tblCellMar>
          <w:left w:w="28" w:type="dxa"/>
          <w:right w:w="28" w:type="dxa"/>
        </w:tblCellMar>
        <w:tblLook w:val="0000" w:firstRow="0" w:lastRow="0" w:firstColumn="0" w:lastColumn="0" w:noHBand="0" w:noVBand="0"/>
      </w:tblPr>
      <w:tblGrid>
        <w:gridCol w:w="1702"/>
        <w:gridCol w:w="1041"/>
        <w:gridCol w:w="641"/>
        <w:gridCol w:w="1037"/>
        <w:gridCol w:w="2236"/>
        <w:gridCol w:w="718"/>
        <w:gridCol w:w="1708"/>
      </w:tblGrid>
      <w:tr w:rsidR="00284086" w:rsidRPr="00B74BA2" w:rsidTr="00DB48A8">
        <w:trPr>
          <w:cantSplit/>
          <w:trHeight w:val="463"/>
        </w:trPr>
        <w:tc>
          <w:tcPr>
            <w:tcW w:w="1510" w:type="pct"/>
            <w:gridSpan w:val="2"/>
            <w:tcBorders>
              <w:top w:val="single" w:sz="4" w:space="0" w:color="auto"/>
              <w:bottom w:val="single" w:sz="4" w:space="0" w:color="auto"/>
            </w:tcBorders>
            <w:vAlign w:val="center"/>
          </w:tcPr>
          <w:p w:rsidR="00FE4D7B" w:rsidRPr="00B74BA2" w:rsidRDefault="00FE4D7B" w:rsidP="00686364">
            <w:pPr>
              <w:keepNext/>
              <w:keepLines/>
              <w:widowControl/>
              <w:rPr>
                <w:rFonts w:ascii="Arial Narrow" w:hAnsi="Arial Narrow"/>
                <w:b/>
                <w:sz w:val="20"/>
              </w:rPr>
            </w:pPr>
            <w:r w:rsidRPr="00B74BA2">
              <w:rPr>
                <w:rFonts w:ascii="Arial Narrow" w:hAnsi="Arial Narrow"/>
                <w:b/>
                <w:sz w:val="20"/>
              </w:rPr>
              <w:t>Name, Restriction,</w:t>
            </w:r>
          </w:p>
          <w:p w:rsidR="00FE4D7B" w:rsidRPr="00B74BA2" w:rsidRDefault="00DB48A8" w:rsidP="00686364">
            <w:pPr>
              <w:keepNext/>
              <w:keepLines/>
              <w:widowControl/>
              <w:rPr>
                <w:rFonts w:ascii="Arial Narrow" w:hAnsi="Arial Narrow"/>
                <w:b/>
                <w:sz w:val="20"/>
              </w:rPr>
            </w:pPr>
            <w:r>
              <w:rPr>
                <w:rFonts w:ascii="Arial Narrow" w:hAnsi="Arial Narrow"/>
                <w:b/>
                <w:sz w:val="20"/>
              </w:rPr>
              <w:t>Manner of administration,</w:t>
            </w:r>
            <w:r w:rsidR="00FE4D7B" w:rsidRPr="00B74BA2">
              <w:rPr>
                <w:rFonts w:ascii="Arial Narrow" w:hAnsi="Arial Narrow"/>
                <w:b/>
                <w:sz w:val="20"/>
              </w:rPr>
              <w:t xml:space="preserve"> form</w:t>
            </w:r>
          </w:p>
        </w:tc>
        <w:tc>
          <w:tcPr>
            <w:tcW w:w="353" w:type="pct"/>
            <w:tcBorders>
              <w:top w:val="single" w:sz="4" w:space="0" w:color="auto"/>
              <w:bottom w:val="single" w:sz="4" w:space="0" w:color="auto"/>
            </w:tcBorders>
            <w:vAlign w:val="center"/>
          </w:tcPr>
          <w:p w:rsidR="00FE4D7B" w:rsidRPr="00B74BA2" w:rsidRDefault="00FE4D7B" w:rsidP="00686364">
            <w:pPr>
              <w:keepNext/>
              <w:keepLines/>
              <w:widowControl/>
              <w:jc w:val="center"/>
              <w:rPr>
                <w:rFonts w:ascii="Arial Narrow" w:hAnsi="Arial Narrow"/>
                <w:b/>
                <w:sz w:val="20"/>
              </w:rPr>
            </w:pPr>
            <w:r w:rsidRPr="00B74BA2">
              <w:rPr>
                <w:rFonts w:ascii="Arial Narrow" w:hAnsi="Arial Narrow"/>
                <w:b/>
                <w:sz w:val="20"/>
              </w:rPr>
              <w:t xml:space="preserve">Max </w:t>
            </w:r>
            <w:proofErr w:type="spellStart"/>
            <w:r w:rsidRPr="00B74BA2">
              <w:rPr>
                <w:rFonts w:ascii="Arial Narrow" w:hAnsi="Arial Narrow"/>
                <w:b/>
                <w:sz w:val="20"/>
              </w:rPr>
              <w:t>Amt</w:t>
            </w:r>
            <w:proofErr w:type="spellEnd"/>
          </w:p>
        </w:tc>
        <w:tc>
          <w:tcPr>
            <w:tcW w:w="571" w:type="pct"/>
            <w:tcBorders>
              <w:top w:val="single" w:sz="4" w:space="0" w:color="auto"/>
              <w:bottom w:val="single" w:sz="4" w:space="0" w:color="auto"/>
            </w:tcBorders>
            <w:vAlign w:val="center"/>
          </w:tcPr>
          <w:p w:rsidR="00FE4D7B" w:rsidRPr="00B74BA2" w:rsidRDefault="00FE4D7B" w:rsidP="00686364">
            <w:pPr>
              <w:keepNext/>
              <w:keepLines/>
              <w:widowControl/>
              <w:jc w:val="center"/>
              <w:rPr>
                <w:rFonts w:ascii="Arial Narrow" w:hAnsi="Arial Narrow"/>
                <w:b/>
                <w:sz w:val="20"/>
              </w:rPr>
            </w:pPr>
            <w:r w:rsidRPr="00B74BA2">
              <w:rPr>
                <w:rFonts w:ascii="Arial Narrow" w:hAnsi="Arial Narrow"/>
                <w:b/>
                <w:sz w:val="20"/>
              </w:rPr>
              <w:t>№.of</w:t>
            </w:r>
          </w:p>
          <w:p w:rsidR="00FE4D7B" w:rsidRPr="00B74BA2" w:rsidRDefault="00FE4D7B" w:rsidP="00686364">
            <w:pPr>
              <w:keepNext/>
              <w:keepLines/>
              <w:widowControl/>
              <w:jc w:val="center"/>
              <w:rPr>
                <w:rFonts w:ascii="Arial Narrow" w:hAnsi="Arial Narrow"/>
                <w:b/>
                <w:sz w:val="20"/>
              </w:rPr>
            </w:pPr>
            <w:r w:rsidRPr="00B74BA2">
              <w:rPr>
                <w:rFonts w:ascii="Arial Narrow" w:hAnsi="Arial Narrow"/>
                <w:b/>
                <w:sz w:val="20"/>
              </w:rPr>
              <w:t>Rpts</w:t>
            </w:r>
          </w:p>
        </w:tc>
        <w:tc>
          <w:tcPr>
            <w:tcW w:w="1231" w:type="pct"/>
            <w:tcBorders>
              <w:top w:val="single" w:sz="4" w:space="0" w:color="auto"/>
              <w:bottom w:val="single" w:sz="4" w:space="0" w:color="auto"/>
            </w:tcBorders>
            <w:vAlign w:val="center"/>
          </w:tcPr>
          <w:p w:rsidR="00DB48A8" w:rsidRDefault="00FE4D7B" w:rsidP="00DB48A8">
            <w:pPr>
              <w:keepNext/>
              <w:keepLines/>
              <w:widowControl/>
              <w:jc w:val="left"/>
              <w:rPr>
                <w:rFonts w:ascii="Arial Narrow" w:hAnsi="Arial Narrow"/>
                <w:b/>
                <w:sz w:val="20"/>
              </w:rPr>
            </w:pPr>
            <w:r w:rsidRPr="00B74BA2">
              <w:rPr>
                <w:rFonts w:ascii="Arial Narrow" w:hAnsi="Arial Narrow"/>
                <w:b/>
                <w:sz w:val="20"/>
              </w:rPr>
              <w:t xml:space="preserve">Dispensed Price for </w:t>
            </w:r>
          </w:p>
          <w:p w:rsidR="00FE4D7B" w:rsidRPr="00B74BA2" w:rsidRDefault="00FE4D7B" w:rsidP="00DB48A8">
            <w:pPr>
              <w:keepNext/>
              <w:keepLines/>
              <w:widowControl/>
              <w:jc w:val="left"/>
              <w:rPr>
                <w:rFonts w:ascii="Arial Narrow" w:hAnsi="Arial Narrow"/>
                <w:b/>
                <w:sz w:val="20"/>
              </w:rPr>
            </w:pPr>
            <w:r w:rsidRPr="00B74BA2">
              <w:rPr>
                <w:rFonts w:ascii="Arial Narrow" w:hAnsi="Arial Narrow"/>
                <w:b/>
                <w:sz w:val="20"/>
              </w:rPr>
              <w:t xml:space="preserve">Max. </w:t>
            </w:r>
            <w:proofErr w:type="spellStart"/>
            <w:r w:rsidRPr="00B74BA2">
              <w:rPr>
                <w:rFonts w:ascii="Arial Narrow" w:hAnsi="Arial Narrow"/>
                <w:b/>
                <w:sz w:val="20"/>
              </w:rPr>
              <w:t>Amt</w:t>
            </w:r>
            <w:proofErr w:type="spellEnd"/>
          </w:p>
        </w:tc>
        <w:tc>
          <w:tcPr>
            <w:tcW w:w="1335" w:type="pct"/>
            <w:gridSpan w:val="2"/>
            <w:tcBorders>
              <w:top w:val="single" w:sz="4" w:space="0" w:color="auto"/>
              <w:bottom w:val="single" w:sz="4" w:space="0" w:color="auto"/>
            </w:tcBorders>
            <w:vAlign w:val="center"/>
          </w:tcPr>
          <w:p w:rsidR="00FE4D7B" w:rsidRPr="00B74BA2" w:rsidRDefault="00FE4D7B" w:rsidP="00DB48A8">
            <w:pPr>
              <w:keepNext/>
              <w:keepLines/>
              <w:widowControl/>
              <w:jc w:val="left"/>
              <w:rPr>
                <w:rFonts w:ascii="Arial Narrow" w:hAnsi="Arial Narrow"/>
                <w:b/>
                <w:sz w:val="20"/>
                <w:lang w:val="fr-FR"/>
              </w:rPr>
            </w:pPr>
            <w:r w:rsidRPr="00B74BA2">
              <w:rPr>
                <w:rFonts w:ascii="Arial Narrow" w:hAnsi="Arial Narrow"/>
                <w:b/>
                <w:sz w:val="20"/>
              </w:rPr>
              <w:t>Proprietary Name and Manufacturer</w:t>
            </w:r>
          </w:p>
        </w:tc>
      </w:tr>
      <w:tr w:rsidR="00284086" w:rsidRPr="00B74BA2" w:rsidTr="00DB48A8">
        <w:trPr>
          <w:cantSplit/>
          <w:trHeight w:val="567"/>
        </w:trPr>
        <w:tc>
          <w:tcPr>
            <w:tcW w:w="1510" w:type="pct"/>
            <w:gridSpan w:val="2"/>
            <w:tcBorders>
              <w:top w:val="single" w:sz="4" w:space="0" w:color="auto"/>
              <w:bottom w:val="single" w:sz="4" w:space="0" w:color="auto"/>
            </w:tcBorders>
            <w:vAlign w:val="center"/>
          </w:tcPr>
          <w:p w:rsidR="00FE4D7B" w:rsidRPr="00B74BA2" w:rsidRDefault="00FE4D7B" w:rsidP="00686364">
            <w:pPr>
              <w:keepNext/>
              <w:keepLines/>
              <w:widowControl/>
              <w:rPr>
                <w:rFonts w:ascii="Arial Narrow" w:hAnsi="Arial Narrow"/>
                <w:smallCaps/>
                <w:sz w:val="20"/>
              </w:rPr>
            </w:pPr>
            <w:r w:rsidRPr="00B74BA2">
              <w:rPr>
                <w:rFonts w:ascii="Arial Narrow" w:hAnsi="Arial Narrow"/>
                <w:smallCaps/>
                <w:sz w:val="20"/>
              </w:rPr>
              <w:t>Pembrolizumab</w:t>
            </w:r>
          </w:p>
          <w:p w:rsidR="00FE4D7B" w:rsidRPr="00B74BA2" w:rsidRDefault="00FE4D7B" w:rsidP="00686364">
            <w:pPr>
              <w:keepNext/>
              <w:keepLines/>
              <w:widowControl/>
              <w:rPr>
                <w:rFonts w:ascii="Arial Narrow" w:hAnsi="Arial Narrow"/>
                <w:sz w:val="20"/>
              </w:rPr>
            </w:pPr>
            <w:r w:rsidRPr="00B74BA2">
              <w:rPr>
                <w:rFonts w:ascii="Arial Narrow" w:hAnsi="Arial Narrow"/>
                <w:smallCaps/>
                <w:sz w:val="20"/>
              </w:rPr>
              <w:t>Injection, 100 mg, 1 vial</w:t>
            </w:r>
          </w:p>
        </w:tc>
        <w:tc>
          <w:tcPr>
            <w:tcW w:w="353" w:type="pct"/>
            <w:tcBorders>
              <w:top w:val="single" w:sz="4" w:space="0" w:color="auto"/>
              <w:bottom w:val="single" w:sz="4" w:space="0" w:color="auto"/>
            </w:tcBorders>
            <w:vAlign w:val="center"/>
          </w:tcPr>
          <w:p w:rsidR="00FE4D7B" w:rsidRPr="00B74BA2" w:rsidRDefault="00FE4D7B" w:rsidP="00686364">
            <w:pPr>
              <w:keepNext/>
              <w:keepLines/>
              <w:widowControl/>
              <w:jc w:val="center"/>
              <w:rPr>
                <w:rFonts w:ascii="Arial Narrow" w:hAnsi="Arial Narrow"/>
                <w:sz w:val="20"/>
              </w:rPr>
            </w:pPr>
          </w:p>
          <w:p w:rsidR="00FE4D7B" w:rsidRPr="00B74BA2" w:rsidRDefault="00FE4D7B" w:rsidP="00686364">
            <w:pPr>
              <w:keepNext/>
              <w:keepLines/>
              <w:widowControl/>
              <w:jc w:val="center"/>
              <w:rPr>
                <w:rFonts w:ascii="Arial Narrow" w:hAnsi="Arial Narrow"/>
                <w:sz w:val="20"/>
              </w:rPr>
            </w:pPr>
            <w:r w:rsidRPr="00B74BA2">
              <w:rPr>
                <w:rFonts w:ascii="Arial Narrow" w:hAnsi="Arial Narrow"/>
                <w:sz w:val="20"/>
              </w:rPr>
              <w:t xml:space="preserve">200 mg </w:t>
            </w:r>
          </w:p>
        </w:tc>
        <w:tc>
          <w:tcPr>
            <w:tcW w:w="571" w:type="pct"/>
            <w:tcBorders>
              <w:top w:val="single" w:sz="4" w:space="0" w:color="auto"/>
              <w:bottom w:val="single" w:sz="4" w:space="0" w:color="auto"/>
            </w:tcBorders>
            <w:vAlign w:val="center"/>
          </w:tcPr>
          <w:p w:rsidR="00FE4D7B" w:rsidRPr="00B74BA2" w:rsidRDefault="00FE4D7B" w:rsidP="00686364">
            <w:pPr>
              <w:keepNext/>
              <w:keepLines/>
              <w:widowControl/>
              <w:jc w:val="center"/>
              <w:rPr>
                <w:rFonts w:ascii="Arial Narrow" w:hAnsi="Arial Narrow"/>
                <w:sz w:val="20"/>
              </w:rPr>
            </w:pPr>
          </w:p>
          <w:p w:rsidR="00FE4D7B" w:rsidRPr="00B74BA2" w:rsidRDefault="00FE4D7B" w:rsidP="00686364">
            <w:pPr>
              <w:keepNext/>
              <w:keepLines/>
              <w:widowControl/>
              <w:jc w:val="center"/>
              <w:rPr>
                <w:rFonts w:ascii="Arial Narrow" w:hAnsi="Arial Narrow"/>
                <w:strike/>
                <w:sz w:val="20"/>
              </w:rPr>
            </w:pPr>
            <w:r w:rsidRPr="00BE7BD7">
              <w:rPr>
                <w:rFonts w:ascii="Arial Narrow" w:hAnsi="Arial Narrow"/>
                <w:sz w:val="20"/>
              </w:rPr>
              <w:t>6</w:t>
            </w:r>
          </w:p>
        </w:tc>
        <w:tc>
          <w:tcPr>
            <w:tcW w:w="1231" w:type="pct"/>
            <w:tcBorders>
              <w:top w:val="single" w:sz="4" w:space="0" w:color="auto"/>
              <w:bottom w:val="single" w:sz="4" w:space="0" w:color="auto"/>
            </w:tcBorders>
            <w:vAlign w:val="center"/>
          </w:tcPr>
          <w:p w:rsidR="00284086" w:rsidRPr="00284086" w:rsidRDefault="00284086" w:rsidP="00DB48A8">
            <w:pPr>
              <w:keepNext/>
              <w:keepLines/>
              <w:widowControl/>
              <w:jc w:val="left"/>
              <w:rPr>
                <w:rFonts w:ascii="Arial Narrow" w:hAnsi="Arial Narrow"/>
                <w:sz w:val="20"/>
              </w:rPr>
            </w:pPr>
            <w:r w:rsidRPr="00284086">
              <w:rPr>
                <w:rFonts w:ascii="Arial Narrow" w:hAnsi="Arial Narrow"/>
                <w:sz w:val="20"/>
              </w:rPr>
              <w:t>Published</w:t>
            </w:r>
          </w:p>
          <w:p w:rsidR="00DB48A8" w:rsidRDefault="00284086" w:rsidP="00DB48A8">
            <w:pPr>
              <w:keepNext/>
              <w:keepLines/>
              <w:widowControl/>
              <w:jc w:val="left"/>
              <w:rPr>
                <w:rFonts w:ascii="Arial Narrow" w:hAnsi="Arial Narrow"/>
                <w:sz w:val="20"/>
              </w:rPr>
            </w:pPr>
            <w:r w:rsidRPr="00284086">
              <w:rPr>
                <w:rFonts w:ascii="Arial Narrow" w:hAnsi="Arial Narrow"/>
                <w:sz w:val="20"/>
              </w:rPr>
              <w:t>$</w:t>
            </w:r>
            <w:r w:rsidRPr="00996345">
              <w:rPr>
                <w:rFonts w:ascii="Arial Narrow" w:hAnsi="Arial Narrow"/>
                <w:sz w:val="20"/>
              </w:rPr>
              <w:t>9,188.54</w:t>
            </w:r>
            <w:r w:rsidRPr="00284086">
              <w:rPr>
                <w:rFonts w:ascii="Arial Narrow" w:hAnsi="Arial Narrow"/>
                <w:sz w:val="20"/>
              </w:rPr>
              <w:t xml:space="preserve"> </w:t>
            </w:r>
            <w:r w:rsidR="00DB48A8">
              <w:rPr>
                <w:rFonts w:ascii="Arial Narrow" w:hAnsi="Arial Narrow"/>
                <w:sz w:val="20"/>
              </w:rPr>
              <w:t>(</w:t>
            </w:r>
            <w:r w:rsidRPr="00284086">
              <w:rPr>
                <w:rFonts w:ascii="Arial Narrow" w:hAnsi="Arial Narrow"/>
                <w:sz w:val="20"/>
              </w:rPr>
              <w:t>private</w:t>
            </w:r>
            <w:r w:rsidR="00DB48A8">
              <w:rPr>
                <w:rFonts w:ascii="Arial Narrow" w:hAnsi="Arial Narrow"/>
                <w:sz w:val="20"/>
              </w:rPr>
              <w:t>)</w:t>
            </w:r>
            <w:r>
              <w:rPr>
                <w:rFonts w:ascii="Arial Narrow" w:hAnsi="Arial Narrow"/>
                <w:sz w:val="20"/>
              </w:rPr>
              <w:t>;</w:t>
            </w:r>
          </w:p>
          <w:p w:rsidR="00284086" w:rsidRDefault="00284086" w:rsidP="00DB48A8">
            <w:pPr>
              <w:keepNext/>
              <w:keepLines/>
              <w:widowControl/>
              <w:jc w:val="left"/>
              <w:rPr>
                <w:rFonts w:ascii="Arial Narrow" w:hAnsi="Arial Narrow"/>
                <w:sz w:val="20"/>
              </w:rPr>
            </w:pPr>
            <w:r w:rsidRPr="00284086">
              <w:rPr>
                <w:rFonts w:ascii="Arial Narrow" w:hAnsi="Arial Narrow"/>
                <w:sz w:val="20"/>
              </w:rPr>
              <w:t>$</w:t>
            </w:r>
            <w:r w:rsidRPr="00996345">
              <w:rPr>
                <w:rFonts w:ascii="Arial Narrow" w:hAnsi="Arial Narrow"/>
                <w:sz w:val="20"/>
              </w:rPr>
              <w:t>9,024.44</w:t>
            </w:r>
            <w:r w:rsidRPr="00284086">
              <w:rPr>
                <w:rFonts w:ascii="Arial Narrow" w:hAnsi="Arial Narrow"/>
                <w:sz w:val="20"/>
              </w:rPr>
              <w:t xml:space="preserve"> </w:t>
            </w:r>
            <w:r w:rsidR="00DB48A8">
              <w:rPr>
                <w:rFonts w:ascii="Arial Narrow" w:hAnsi="Arial Narrow"/>
                <w:sz w:val="20"/>
              </w:rPr>
              <w:t>(</w:t>
            </w:r>
            <w:r w:rsidRPr="00284086">
              <w:rPr>
                <w:rFonts w:ascii="Arial Narrow" w:hAnsi="Arial Narrow"/>
                <w:sz w:val="20"/>
              </w:rPr>
              <w:t>public</w:t>
            </w:r>
            <w:r w:rsidR="00DB48A8">
              <w:rPr>
                <w:rFonts w:ascii="Arial Narrow" w:hAnsi="Arial Narrow"/>
                <w:sz w:val="20"/>
              </w:rPr>
              <w:t>)</w:t>
            </w:r>
          </w:p>
          <w:p w:rsidR="00DB48A8" w:rsidRPr="00284086" w:rsidRDefault="00DB48A8" w:rsidP="00DB48A8">
            <w:pPr>
              <w:keepNext/>
              <w:keepLines/>
              <w:widowControl/>
              <w:jc w:val="left"/>
              <w:rPr>
                <w:rFonts w:ascii="Arial Narrow" w:hAnsi="Arial Narrow"/>
                <w:sz w:val="20"/>
              </w:rPr>
            </w:pPr>
          </w:p>
          <w:p w:rsidR="00284086" w:rsidRPr="00284086" w:rsidRDefault="00284086" w:rsidP="00DB48A8">
            <w:pPr>
              <w:keepNext/>
              <w:keepLines/>
              <w:widowControl/>
              <w:jc w:val="left"/>
              <w:rPr>
                <w:rFonts w:ascii="Arial Narrow" w:hAnsi="Arial Narrow"/>
                <w:sz w:val="20"/>
              </w:rPr>
            </w:pPr>
            <w:r w:rsidRPr="00284086">
              <w:rPr>
                <w:rFonts w:ascii="Arial Narrow" w:hAnsi="Arial Narrow"/>
                <w:sz w:val="20"/>
              </w:rPr>
              <w:t>Effective</w:t>
            </w:r>
          </w:p>
          <w:p w:rsidR="00DB48A8" w:rsidRDefault="00284086" w:rsidP="00DB48A8">
            <w:pPr>
              <w:keepNext/>
              <w:keepLines/>
              <w:widowControl/>
              <w:jc w:val="left"/>
              <w:rPr>
                <w:rFonts w:ascii="Arial Narrow" w:hAnsi="Arial Narrow"/>
                <w:sz w:val="20"/>
              </w:rPr>
            </w:pPr>
            <w:r w:rsidRPr="00284086">
              <w:rPr>
                <w:rFonts w:ascii="Arial Narrow" w:hAnsi="Arial Narrow"/>
                <w:sz w:val="20"/>
              </w:rPr>
              <w:t>$</w:t>
            </w:r>
            <w:r w:rsidR="00132A6D">
              <w:rPr>
                <w:rFonts w:ascii="Arial Narrow" w:hAnsi="Arial Narrow"/>
                <w:noProof/>
                <w:color w:val="000000"/>
                <w:sz w:val="20"/>
                <w:highlight w:val="black"/>
              </w:rPr>
              <w:t>'''''''''''''''''''</w:t>
            </w:r>
            <w:r w:rsidRPr="00284086">
              <w:rPr>
                <w:rFonts w:ascii="Arial Narrow" w:hAnsi="Arial Narrow"/>
                <w:sz w:val="20"/>
              </w:rPr>
              <w:t xml:space="preserve"> </w:t>
            </w:r>
            <w:r w:rsidR="00DB48A8">
              <w:rPr>
                <w:rFonts w:ascii="Arial Narrow" w:hAnsi="Arial Narrow"/>
                <w:sz w:val="20"/>
              </w:rPr>
              <w:t>(</w:t>
            </w:r>
            <w:r w:rsidRPr="00284086">
              <w:rPr>
                <w:rFonts w:ascii="Arial Narrow" w:hAnsi="Arial Narrow"/>
                <w:sz w:val="20"/>
              </w:rPr>
              <w:t>private</w:t>
            </w:r>
            <w:r w:rsidR="00DB48A8">
              <w:rPr>
                <w:rFonts w:ascii="Arial Narrow" w:hAnsi="Arial Narrow"/>
                <w:sz w:val="20"/>
              </w:rPr>
              <w:t>)</w:t>
            </w:r>
            <w:r>
              <w:rPr>
                <w:rFonts w:ascii="Arial Narrow" w:hAnsi="Arial Narrow"/>
                <w:sz w:val="20"/>
              </w:rPr>
              <w:t>;</w:t>
            </w:r>
          </w:p>
          <w:p w:rsidR="00FE4D7B" w:rsidRPr="00B74BA2" w:rsidRDefault="00284086" w:rsidP="00DB48A8">
            <w:pPr>
              <w:keepNext/>
              <w:keepLines/>
              <w:widowControl/>
              <w:jc w:val="left"/>
              <w:rPr>
                <w:rFonts w:ascii="Arial Narrow" w:hAnsi="Arial Narrow"/>
                <w:sz w:val="20"/>
              </w:rPr>
            </w:pPr>
            <w:r w:rsidRPr="00284086">
              <w:rPr>
                <w:rFonts w:ascii="Arial Narrow" w:hAnsi="Arial Narrow"/>
                <w:sz w:val="20"/>
              </w:rPr>
              <w:t>$</w:t>
            </w:r>
            <w:r w:rsidR="00132A6D">
              <w:rPr>
                <w:rFonts w:ascii="Arial Narrow" w:hAnsi="Arial Narrow"/>
                <w:noProof/>
                <w:color w:val="000000"/>
                <w:sz w:val="20"/>
                <w:highlight w:val="black"/>
              </w:rPr>
              <w:t>''''''''''''''''''''''</w:t>
            </w:r>
            <w:r w:rsidRPr="00284086">
              <w:rPr>
                <w:rFonts w:ascii="Arial Narrow" w:hAnsi="Arial Narrow"/>
                <w:sz w:val="20"/>
              </w:rPr>
              <w:t xml:space="preserve"> </w:t>
            </w:r>
            <w:r w:rsidR="00DB48A8">
              <w:rPr>
                <w:rFonts w:ascii="Arial Narrow" w:hAnsi="Arial Narrow"/>
                <w:sz w:val="20"/>
              </w:rPr>
              <w:t>(</w:t>
            </w:r>
            <w:r w:rsidRPr="00284086">
              <w:rPr>
                <w:rFonts w:ascii="Arial Narrow" w:hAnsi="Arial Narrow"/>
                <w:sz w:val="20"/>
              </w:rPr>
              <w:t>public</w:t>
            </w:r>
            <w:r w:rsidR="00DB48A8">
              <w:rPr>
                <w:rFonts w:ascii="Arial Narrow" w:hAnsi="Arial Narrow"/>
                <w:sz w:val="20"/>
              </w:rPr>
              <w:t>)</w:t>
            </w:r>
          </w:p>
        </w:tc>
        <w:tc>
          <w:tcPr>
            <w:tcW w:w="395" w:type="pct"/>
            <w:tcBorders>
              <w:top w:val="single" w:sz="4" w:space="0" w:color="auto"/>
              <w:bottom w:val="single" w:sz="4" w:space="0" w:color="auto"/>
            </w:tcBorders>
            <w:vAlign w:val="center"/>
          </w:tcPr>
          <w:p w:rsidR="00FE4D7B" w:rsidRPr="00B74BA2" w:rsidRDefault="00FE4D7B" w:rsidP="00686364">
            <w:pPr>
              <w:keepNext/>
              <w:keepLines/>
              <w:widowControl/>
              <w:jc w:val="center"/>
              <w:rPr>
                <w:rFonts w:ascii="Arial Narrow" w:hAnsi="Arial Narrow"/>
                <w:sz w:val="20"/>
              </w:rPr>
            </w:pPr>
            <w:r w:rsidRPr="00B74BA2">
              <w:rPr>
                <w:rFonts w:ascii="Arial Narrow" w:hAnsi="Arial Narrow"/>
                <w:sz w:val="20"/>
              </w:rPr>
              <w:t>Keytruda</w:t>
            </w:r>
          </w:p>
        </w:tc>
        <w:tc>
          <w:tcPr>
            <w:tcW w:w="940" w:type="pct"/>
            <w:tcBorders>
              <w:top w:val="single" w:sz="4" w:space="0" w:color="auto"/>
              <w:bottom w:val="single" w:sz="4" w:space="0" w:color="auto"/>
            </w:tcBorders>
            <w:vAlign w:val="center"/>
          </w:tcPr>
          <w:p w:rsidR="00FE4D7B" w:rsidRPr="00B74BA2" w:rsidRDefault="00FE4D7B" w:rsidP="00686364">
            <w:pPr>
              <w:keepNext/>
              <w:keepLines/>
              <w:widowControl/>
              <w:jc w:val="center"/>
              <w:rPr>
                <w:rFonts w:ascii="Arial Narrow" w:hAnsi="Arial Narrow"/>
                <w:sz w:val="20"/>
              </w:rPr>
            </w:pPr>
            <w:r w:rsidRPr="00B74BA2">
              <w:rPr>
                <w:rFonts w:ascii="Arial Narrow" w:hAnsi="Arial Narrow"/>
                <w:sz w:val="20"/>
              </w:rPr>
              <w:t>MSD</w:t>
            </w:r>
          </w:p>
        </w:tc>
      </w:tr>
      <w:tr w:rsidR="00FE4D7B" w:rsidRPr="00B74BA2" w:rsidTr="00DB48A8">
        <w:tblPrEx>
          <w:tblCellMar>
            <w:left w:w="108" w:type="dxa"/>
            <w:right w:w="108" w:type="dxa"/>
          </w:tblCellMar>
          <w:tblLook w:val="04A0" w:firstRow="1" w:lastRow="0" w:firstColumn="1" w:lastColumn="0" w:noHBand="0" w:noVBand="1"/>
        </w:tblPrEx>
        <w:trPr>
          <w:cantSplit/>
        </w:trPr>
        <w:tc>
          <w:tcPr>
            <w:tcW w:w="937" w:type="pct"/>
            <w:tcBorders>
              <w:top w:val="single" w:sz="4" w:space="0" w:color="auto"/>
              <w:left w:val="single" w:sz="4" w:space="0" w:color="auto"/>
              <w:bottom w:val="single" w:sz="4" w:space="0" w:color="auto"/>
              <w:right w:val="single" w:sz="4" w:space="0" w:color="auto"/>
            </w:tcBorders>
          </w:tcPr>
          <w:p w:rsidR="00FE4D7B" w:rsidRPr="00B74BA2" w:rsidRDefault="00FE4D7B" w:rsidP="00FF1A60">
            <w:pPr>
              <w:pStyle w:val="Tabletext"/>
              <w:rPr>
                <w:b/>
              </w:rPr>
            </w:pPr>
            <w:r w:rsidRPr="00B74BA2">
              <w:rPr>
                <w:b/>
              </w:rPr>
              <w:t>Category / Program</w:t>
            </w:r>
          </w:p>
        </w:tc>
        <w:tc>
          <w:tcPr>
            <w:tcW w:w="4063" w:type="pct"/>
            <w:gridSpan w:val="6"/>
            <w:tcBorders>
              <w:top w:val="single" w:sz="4" w:space="0" w:color="auto"/>
              <w:left w:val="single" w:sz="4" w:space="0" w:color="auto"/>
              <w:bottom w:val="single" w:sz="4" w:space="0" w:color="auto"/>
              <w:right w:val="single" w:sz="4" w:space="0" w:color="auto"/>
            </w:tcBorders>
          </w:tcPr>
          <w:p w:rsidR="00FE4D7B" w:rsidRPr="00B74BA2" w:rsidRDefault="00FE4D7B" w:rsidP="00FF1A60">
            <w:pPr>
              <w:pStyle w:val="Tabletext"/>
              <w:rPr>
                <w:vertAlign w:val="superscript"/>
              </w:rPr>
            </w:pPr>
            <w:r w:rsidRPr="00B74BA2">
              <w:t>Section 100 – Efficient Funding of Chemotherapy</w:t>
            </w:r>
          </w:p>
        </w:tc>
      </w:tr>
      <w:tr w:rsidR="00FE4D7B" w:rsidRPr="00B74BA2" w:rsidTr="00DB48A8">
        <w:tblPrEx>
          <w:tblCellMar>
            <w:left w:w="108" w:type="dxa"/>
            <w:right w:w="108" w:type="dxa"/>
          </w:tblCellMar>
          <w:tblLook w:val="04A0" w:firstRow="1" w:lastRow="0" w:firstColumn="1" w:lastColumn="0" w:noHBand="0" w:noVBand="1"/>
        </w:tblPrEx>
        <w:trPr>
          <w:cantSplit/>
        </w:trPr>
        <w:tc>
          <w:tcPr>
            <w:tcW w:w="937" w:type="pct"/>
            <w:tcBorders>
              <w:top w:val="single" w:sz="4" w:space="0" w:color="auto"/>
              <w:left w:val="single" w:sz="4" w:space="0" w:color="auto"/>
              <w:bottom w:val="single" w:sz="4" w:space="0" w:color="auto"/>
              <w:right w:val="single" w:sz="4" w:space="0" w:color="auto"/>
            </w:tcBorders>
          </w:tcPr>
          <w:p w:rsidR="00FE4D7B" w:rsidRPr="00B74BA2" w:rsidRDefault="00FE4D7B" w:rsidP="00FF1A60">
            <w:pPr>
              <w:pStyle w:val="Tabletext"/>
              <w:rPr>
                <w:b/>
              </w:rPr>
            </w:pPr>
            <w:r w:rsidRPr="00B74BA2">
              <w:rPr>
                <w:rFonts w:cs="Arial"/>
                <w:b/>
                <w:szCs w:val="20"/>
              </w:rPr>
              <w:t>Prescriber type:</w:t>
            </w:r>
          </w:p>
        </w:tc>
        <w:tc>
          <w:tcPr>
            <w:tcW w:w="4063" w:type="pct"/>
            <w:gridSpan w:val="6"/>
            <w:tcBorders>
              <w:top w:val="single" w:sz="4" w:space="0" w:color="auto"/>
              <w:left w:val="single" w:sz="4" w:space="0" w:color="auto"/>
              <w:bottom w:val="single" w:sz="4" w:space="0" w:color="auto"/>
              <w:right w:val="single" w:sz="4" w:space="0" w:color="auto"/>
            </w:tcBorders>
          </w:tcPr>
          <w:p w:rsidR="00FE4D7B" w:rsidRPr="00B74BA2" w:rsidRDefault="00FE4D7B" w:rsidP="00FF1A60">
            <w:pPr>
              <w:pStyle w:val="Tabletext"/>
            </w:pPr>
            <w:r w:rsidRPr="00B74BA2">
              <w:rPr>
                <w:rFonts w:cs="Arial"/>
                <w:szCs w:val="20"/>
              </w:rPr>
              <w:fldChar w:fldCharType="begin">
                <w:ffData>
                  <w:name w:val="Check1"/>
                  <w:enabled/>
                  <w:calcOnExit w:val="0"/>
                  <w:checkBox>
                    <w:sizeAuto/>
                    <w:default w:val="0"/>
                  </w:checkBox>
                </w:ffData>
              </w:fldChar>
            </w:r>
            <w:r w:rsidRPr="00B74BA2">
              <w:rPr>
                <w:rFonts w:cs="Arial"/>
                <w:szCs w:val="20"/>
              </w:rPr>
              <w:instrText xml:space="preserve"> FORMCHECKBOX </w:instrText>
            </w:r>
            <w:r w:rsidR="007F1726">
              <w:rPr>
                <w:rFonts w:cs="Arial"/>
                <w:szCs w:val="20"/>
              </w:rPr>
            </w:r>
            <w:r w:rsidR="007F1726">
              <w:rPr>
                <w:rFonts w:cs="Arial"/>
                <w:szCs w:val="20"/>
              </w:rPr>
              <w:fldChar w:fldCharType="separate"/>
            </w:r>
            <w:r w:rsidRPr="00B74BA2">
              <w:rPr>
                <w:rFonts w:cs="Arial"/>
                <w:szCs w:val="20"/>
              </w:rPr>
              <w:fldChar w:fldCharType="end"/>
            </w:r>
            <w:r w:rsidRPr="00B74BA2">
              <w:rPr>
                <w:rFonts w:cs="Arial"/>
                <w:szCs w:val="20"/>
              </w:rPr>
              <w:t xml:space="preserve">Dental  </w:t>
            </w:r>
            <w:r w:rsidRPr="00B74BA2">
              <w:rPr>
                <w:rFonts w:cs="Arial"/>
                <w:szCs w:val="20"/>
              </w:rPr>
              <w:fldChar w:fldCharType="begin">
                <w:ffData>
                  <w:name w:val=""/>
                  <w:enabled/>
                  <w:calcOnExit w:val="0"/>
                  <w:checkBox>
                    <w:sizeAuto/>
                    <w:default w:val="1"/>
                  </w:checkBox>
                </w:ffData>
              </w:fldChar>
            </w:r>
            <w:r w:rsidRPr="00B74BA2">
              <w:rPr>
                <w:rFonts w:cs="Arial"/>
                <w:szCs w:val="20"/>
              </w:rPr>
              <w:instrText xml:space="preserve"> FORMCHECKBOX </w:instrText>
            </w:r>
            <w:r w:rsidR="007F1726">
              <w:rPr>
                <w:rFonts w:cs="Arial"/>
                <w:szCs w:val="20"/>
              </w:rPr>
            </w:r>
            <w:r w:rsidR="007F1726">
              <w:rPr>
                <w:rFonts w:cs="Arial"/>
                <w:szCs w:val="20"/>
              </w:rPr>
              <w:fldChar w:fldCharType="separate"/>
            </w:r>
            <w:r w:rsidRPr="00B74BA2">
              <w:rPr>
                <w:rFonts w:cs="Arial"/>
                <w:szCs w:val="20"/>
              </w:rPr>
              <w:fldChar w:fldCharType="end"/>
            </w:r>
            <w:r w:rsidRPr="00B74BA2">
              <w:rPr>
                <w:rFonts w:cs="Arial"/>
                <w:szCs w:val="20"/>
              </w:rPr>
              <w:t xml:space="preserve">Medical Practitioners  </w:t>
            </w:r>
            <w:r w:rsidRPr="00B74BA2">
              <w:rPr>
                <w:rFonts w:cs="Arial"/>
                <w:szCs w:val="20"/>
              </w:rPr>
              <w:fldChar w:fldCharType="begin">
                <w:ffData>
                  <w:name w:val="Check3"/>
                  <w:enabled/>
                  <w:calcOnExit w:val="0"/>
                  <w:checkBox>
                    <w:sizeAuto/>
                    <w:default w:val="0"/>
                  </w:checkBox>
                </w:ffData>
              </w:fldChar>
            </w:r>
            <w:r w:rsidRPr="00B74BA2">
              <w:rPr>
                <w:rFonts w:cs="Arial"/>
                <w:szCs w:val="20"/>
              </w:rPr>
              <w:instrText xml:space="preserve"> FORMCHECKBOX </w:instrText>
            </w:r>
            <w:r w:rsidR="007F1726">
              <w:rPr>
                <w:rFonts w:cs="Arial"/>
                <w:szCs w:val="20"/>
              </w:rPr>
            </w:r>
            <w:r w:rsidR="007F1726">
              <w:rPr>
                <w:rFonts w:cs="Arial"/>
                <w:szCs w:val="20"/>
              </w:rPr>
              <w:fldChar w:fldCharType="separate"/>
            </w:r>
            <w:r w:rsidRPr="00B74BA2">
              <w:rPr>
                <w:rFonts w:cs="Arial"/>
                <w:szCs w:val="20"/>
              </w:rPr>
              <w:fldChar w:fldCharType="end"/>
            </w:r>
            <w:r w:rsidRPr="00B74BA2">
              <w:rPr>
                <w:rFonts w:cs="Arial"/>
                <w:szCs w:val="20"/>
              </w:rPr>
              <w:t xml:space="preserve">Nurse practitioners  </w:t>
            </w:r>
            <w:r w:rsidRPr="00B74BA2">
              <w:rPr>
                <w:rFonts w:cs="Arial"/>
                <w:szCs w:val="20"/>
              </w:rPr>
              <w:fldChar w:fldCharType="begin">
                <w:ffData>
                  <w:name w:val=""/>
                  <w:enabled/>
                  <w:calcOnExit w:val="0"/>
                  <w:checkBox>
                    <w:sizeAuto/>
                    <w:default w:val="0"/>
                  </w:checkBox>
                </w:ffData>
              </w:fldChar>
            </w:r>
            <w:r w:rsidRPr="00B74BA2">
              <w:rPr>
                <w:rFonts w:cs="Arial"/>
                <w:szCs w:val="20"/>
              </w:rPr>
              <w:instrText xml:space="preserve"> FORMCHECKBOX </w:instrText>
            </w:r>
            <w:r w:rsidR="007F1726">
              <w:rPr>
                <w:rFonts w:cs="Arial"/>
                <w:szCs w:val="20"/>
              </w:rPr>
            </w:r>
            <w:r w:rsidR="007F1726">
              <w:rPr>
                <w:rFonts w:cs="Arial"/>
                <w:szCs w:val="20"/>
              </w:rPr>
              <w:fldChar w:fldCharType="separate"/>
            </w:r>
            <w:r w:rsidRPr="00B74BA2">
              <w:rPr>
                <w:rFonts w:cs="Arial"/>
                <w:szCs w:val="20"/>
              </w:rPr>
              <w:fldChar w:fldCharType="end"/>
            </w:r>
            <w:r w:rsidRPr="00B74BA2">
              <w:rPr>
                <w:rFonts w:cs="Arial"/>
                <w:szCs w:val="20"/>
              </w:rPr>
              <w:t xml:space="preserve">Optometrists </w:t>
            </w:r>
            <w:r w:rsidRPr="00B74BA2">
              <w:rPr>
                <w:rFonts w:cs="Arial"/>
                <w:szCs w:val="20"/>
              </w:rPr>
              <w:fldChar w:fldCharType="begin">
                <w:ffData>
                  <w:name w:val="Check5"/>
                  <w:enabled/>
                  <w:calcOnExit w:val="0"/>
                  <w:checkBox>
                    <w:sizeAuto/>
                    <w:default w:val="0"/>
                  </w:checkBox>
                </w:ffData>
              </w:fldChar>
            </w:r>
            <w:r w:rsidRPr="00B74BA2">
              <w:rPr>
                <w:rFonts w:cs="Arial"/>
                <w:szCs w:val="20"/>
              </w:rPr>
              <w:instrText xml:space="preserve"> FORMCHECKBOX </w:instrText>
            </w:r>
            <w:r w:rsidR="007F1726">
              <w:rPr>
                <w:rFonts w:cs="Arial"/>
                <w:szCs w:val="20"/>
              </w:rPr>
            </w:r>
            <w:r w:rsidR="007F1726">
              <w:rPr>
                <w:rFonts w:cs="Arial"/>
                <w:szCs w:val="20"/>
              </w:rPr>
              <w:fldChar w:fldCharType="separate"/>
            </w:r>
            <w:r w:rsidRPr="00B74BA2">
              <w:rPr>
                <w:rFonts w:cs="Arial"/>
                <w:szCs w:val="20"/>
              </w:rPr>
              <w:fldChar w:fldCharType="end"/>
            </w:r>
            <w:r w:rsidRPr="00B74BA2">
              <w:rPr>
                <w:rFonts w:cs="Arial"/>
                <w:szCs w:val="20"/>
              </w:rPr>
              <w:t>Midwives</w:t>
            </w:r>
          </w:p>
        </w:tc>
      </w:tr>
      <w:tr w:rsidR="00FE4D7B" w:rsidRPr="00B74BA2" w:rsidTr="00DB48A8">
        <w:tblPrEx>
          <w:tblCellMar>
            <w:left w:w="108" w:type="dxa"/>
            <w:right w:w="108" w:type="dxa"/>
          </w:tblCellMar>
          <w:tblLook w:val="04A0" w:firstRow="1" w:lastRow="0" w:firstColumn="1" w:lastColumn="0" w:noHBand="0" w:noVBand="1"/>
        </w:tblPrEx>
        <w:trPr>
          <w:cantSplit/>
        </w:trPr>
        <w:tc>
          <w:tcPr>
            <w:tcW w:w="937" w:type="pct"/>
            <w:tcBorders>
              <w:top w:val="single" w:sz="4" w:space="0" w:color="auto"/>
              <w:left w:val="single" w:sz="4" w:space="0" w:color="auto"/>
              <w:bottom w:val="single" w:sz="4" w:space="0" w:color="auto"/>
              <w:right w:val="single" w:sz="4" w:space="0" w:color="auto"/>
            </w:tcBorders>
            <w:hideMark/>
          </w:tcPr>
          <w:p w:rsidR="00FE4D7B" w:rsidRPr="00B74BA2" w:rsidRDefault="00FE4D7B" w:rsidP="00FF1A60">
            <w:pPr>
              <w:widowControl/>
              <w:rPr>
                <w:rFonts w:ascii="Arial Narrow" w:hAnsi="Arial Narrow"/>
                <w:b/>
                <w:sz w:val="20"/>
                <w:szCs w:val="20"/>
              </w:rPr>
            </w:pPr>
            <w:r w:rsidRPr="00B74BA2">
              <w:rPr>
                <w:rFonts w:ascii="Arial Narrow" w:hAnsi="Arial Narrow"/>
                <w:b/>
                <w:sz w:val="20"/>
                <w:szCs w:val="20"/>
              </w:rPr>
              <w:t>Episodicity:</w:t>
            </w:r>
          </w:p>
        </w:tc>
        <w:tc>
          <w:tcPr>
            <w:tcW w:w="4063" w:type="pct"/>
            <w:gridSpan w:val="6"/>
            <w:tcBorders>
              <w:top w:val="single" w:sz="4" w:space="0" w:color="auto"/>
              <w:left w:val="single" w:sz="4" w:space="0" w:color="auto"/>
              <w:bottom w:val="single" w:sz="4" w:space="0" w:color="auto"/>
              <w:right w:val="single" w:sz="4" w:space="0" w:color="auto"/>
            </w:tcBorders>
            <w:hideMark/>
          </w:tcPr>
          <w:p w:rsidR="00FE4D7B" w:rsidRPr="00B74BA2" w:rsidRDefault="00FE4D7B" w:rsidP="00FF1A60">
            <w:pPr>
              <w:widowControl/>
              <w:rPr>
                <w:rFonts w:ascii="Arial Narrow" w:hAnsi="Arial Narrow"/>
                <w:sz w:val="20"/>
                <w:szCs w:val="20"/>
              </w:rPr>
            </w:pPr>
            <w:r w:rsidRPr="00B74BA2">
              <w:rPr>
                <w:rFonts w:ascii="Arial Narrow" w:hAnsi="Arial Narrow"/>
                <w:sz w:val="20"/>
                <w:szCs w:val="20"/>
              </w:rPr>
              <w:t>Chronic</w:t>
            </w:r>
          </w:p>
        </w:tc>
      </w:tr>
      <w:tr w:rsidR="00FE4D7B" w:rsidRPr="00B74BA2" w:rsidTr="00DB48A8">
        <w:tblPrEx>
          <w:tblCellMar>
            <w:left w:w="108" w:type="dxa"/>
            <w:right w:w="108" w:type="dxa"/>
          </w:tblCellMar>
          <w:tblLook w:val="04A0" w:firstRow="1" w:lastRow="0" w:firstColumn="1" w:lastColumn="0" w:noHBand="0" w:noVBand="1"/>
        </w:tblPrEx>
        <w:trPr>
          <w:cantSplit/>
        </w:trPr>
        <w:tc>
          <w:tcPr>
            <w:tcW w:w="937" w:type="pct"/>
            <w:tcBorders>
              <w:top w:val="single" w:sz="4" w:space="0" w:color="auto"/>
              <w:left w:val="single" w:sz="4" w:space="0" w:color="auto"/>
              <w:bottom w:val="single" w:sz="4" w:space="0" w:color="auto"/>
              <w:right w:val="single" w:sz="4" w:space="0" w:color="auto"/>
            </w:tcBorders>
            <w:hideMark/>
          </w:tcPr>
          <w:p w:rsidR="00FE4D7B" w:rsidRPr="00B74BA2" w:rsidRDefault="00FE4D7B" w:rsidP="00FF1A60">
            <w:pPr>
              <w:widowControl/>
              <w:rPr>
                <w:rFonts w:ascii="Arial Narrow" w:hAnsi="Arial Narrow"/>
                <w:b/>
                <w:sz w:val="20"/>
                <w:szCs w:val="20"/>
              </w:rPr>
            </w:pPr>
            <w:r w:rsidRPr="00B74BA2">
              <w:rPr>
                <w:rFonts w:ascii="Arial Narrow" w:hAnsi="Arial Narrow"/>
                <w:b/>
                <w:sz w:val="20"/>
                <w:szCs w:val="20"/>
              </w:rPr>
              <w:t>PBS Indication:</w:t>
            </w:r>
          </w:p>
        </w:tc>
        <w:tc>
          <w:tcPr>
            <w:tcW w:w="4063" w:type="pct"/>
            <w:gridSpan w:val="6"/>
            <w:tcBorders>
              <w:top w:val="single" w:sz="4" w:space="0" w:color="auto"/>
              <w:left w:val="single" w:sz="4" w:space="0" w:color="auto"/>
              <w:bottom w:val="single" w:sz="4" w:space="0" w:color="auto"/>
              <w:right w:val="single" w:sz="4" w:space="0" w:color="auto"/>
            </w:tcBorders>
            <w:hideMark/>
          </w:tcPr>
          <w:p w:rsidR="00FE4D7B" w:rsidRPr="00B74BA2" w:rsidRDefault="00FE4D7B" w:rsidP="00FF1A60">
            <w:pPr>
              <w:widowControl/>
              <w:rPr>
                <w:rFonts w:ascii="Arial Narrow" w:hAnsi="Arial Narrow"/>
                <w:sz w:val="20"/>
                <w:szCs w:val="20"/>
              </w:rPr>
            </w:pPr>
            <w:r w:rsidRPr="00B74BA2">
              <w:rPr>
                <w:rFonts w:ascii="Arial Narrow" w:hAnsi="Arial Narrow"/>
                <w:sz w:val="20"/>
                <w:szCs w:val="20"/>
              </w:rPr>
              <w:t>Relapsed or refractory Primary Mediastinal Large B-cell Lymphoma</w:t>
            </w:r>
          </w:p>
        </w:tc>
      </w:tr>
      <w:tr w:rsidR="00FE4D7B" w:rsidRPr="00B74BA2" w:rsidTr="00DB48A8">
        <w:tblPrEx>
          <w:tblCellMar>
            <w:left w:w="108" w:type="dxa"/>
            <w:right w:w="108" w:type="dxa"/>
          </w:tblCellMar>
          <w:tblLook w:val="04A0" w:firstRow="1" w:lastRow="0" w:firstColumn="1" w:lastColumn="0" w:noHBand="0" w:noVBand="1"/>
        </w:tblPrEx>
        <w:trPr>
          <w:cantSplit/>
        </w:trPr>
        <w:tc>
          <w:tcPr>
            <w:tcW w:w="937" w:type="pct"/>
            <w:tcBorders>
              <w:top w:val="single" w:sz="4" w:space="0" w:color="auto"/>
              <w:left w:val="single" w:sz="4" w:space="0" w:color="auto"/>
              <w:bottom w:val="single" w:sz="4" w:space="0" w:color="auto"/>
              <w:right w:val="single" w:sz="4" w:space="0" w:color="auto"/>
            </w:tcBorders>
            <w:hideMark/>
          </w:tcPr>
          <w:p w:rsidR="00FE4D7B" w:rsidRPr="00B74BA2" w:rsidRDefault="00FE4D7B" w:rsidP="00FF1A60">
            <w:pPr>
              <w:widowControl/>
              <w:rPr>
                <w:rFonts w:ascii="Arial Narrow" w:hAnsi="Arial Narrow"/>
                <w:b/>
                <w:sz w:val="20"/>
                <w:szCs w:val="20"/>
              </w:rPr>
            </w:pPr>
            <w:r w:rsidRPr="00B74BA2">
              <w:rPr>
                <w:rFonts w:ascii="Arial Narrow" w:hAnsi="Arial Narrow"/>
                <w:b/>
                <w:sz w:val="20"/>
                <w:szCs w:val="20"/>
              </w:rPr>
              <w:t>Treatment phase:</w:t>
            </w:r>
          </w:p>
        </w:tc>
        <w:tc>
          <w:tcPr>
            <w:tcW w:w="4063" w:type="pct"/>
            <w:gridSpan w:val="6"/>
            <w:tcBorders>
              <w:top w:val="single" w:sz="4" w:space="0" w:color="auto"/>
              <w:left w:val="single" w:sz="4" w:space="0" w:color="auto"/>
              <w:bottom w:val="single" w:sz="4" w:space="0" w:color="auto"/>
              <w:right w:val="single" w:sz="4" w:space="0" w:color="auto"/>
            </w:tcBorders>
            <w:hideMark/>
          </w:tcPr>
          <w:p w:rsidR="00FE4D7B" w:rsidRPr="00B74BA2" w:rsidRDefault="00FE4D7B" w:rsidP="00FF1A60">
            <w:pPr>
              <w:widowControl/>
              <w:rPr>
                <w:rFonts w:ascii="Arial Narrow" w:hAnsi="Arial Narrow"/>
                <w:sz w:val="20"/>
                <w:szCs w:val="20"/>
              </w:rPr>
            </w:pPr>
            <w:r w:rsidRPr="00B74BA2">
              <w:rPr>
                <w:rFonts w:ascii="Arial Narrow" w:hAnsi="Arial Narrow"/>
                <w:sz w:val="20"/>
                <w:szCs w:val="20"/>
              </w:rPr>
              <w:t>Initial</w:t>
            </w:r>
          </w:p>
        </w:tc>
      </w:tr>
      <w:tr w:rsidR="00FE4D7B" w:rsidRPr="00B74BA2" w:rsidTr="00DB48A8">
        <w:tblPrEx>
          <w:tblCellMar>
            <w:left w:w="108" w:type="dxa"/>
            <w:right w:w="108" w:type="dxa"/>
          </w:tblCellMar>
          <w:tblLook w:val="04A0" w:firstRow="1" w:lastRow="0" w:firstColumn="1" w:lastColumn="0" w:noHBand="0" w:noVBand="1"/>
        </w:tblPrEx>
        <w:trPr>
          <w:cantSplit/>
        </w:trPr>
        <w:tc>
          <w:tcPr>
            <w:tcW w:w="937" w:type="pct"/>
            <w:tcBorders>
              <w:top w:val="single" w:sz="4" w:space="0" w:color="auto"/>
              <w:left w:val="single" w:sz="4" w:space="0" w:color="auto"/>
              <w:bottom w:val="single" w:sz="4" w:space="0" w:color="auto"/>
              <w:right w:val="single" w:sz="4" w:space="0" w:color="auto"/>
            </w:tcBorders>
          </w:tcPr>
          <w:p w:rsidR="00FE4D7B" w:rsidRPr="00B74BA2" w:rsidRDefault="00FE4D7B" w:rsidP="00FF1A60">
            <w:pPr>
              <w:widowControl/>
              <w:rPr>
                <w:rFonts w:ascii="Arial Narrow" w:hAnsi="Arial Narrow"/>
                <w:sz w:val="20"/>
                <w:szCs w:val="20"/>
              </w:rPr>
            </w:pPr>
            <w:r w:rsidRPr="00B74BA2">
              <w:rPr>
                <w:rFonts w:ascii="Arial Narrow" w:hAnsi="Arial Narrow"/>
                <w:b/>
                <w:sz w:val="20"/>
                <w:szCs w:val="20"/>
              </w:rPr>
              <w:t>Restriction:</w:t>
            </w:r>
          </w:p>
        </w:tc>
        <w:tc>
          <w:tcPr>
            <w:tcW w:w="4063" w:type="pct"/>
            <w:gridSpan w:val="6"/>
            <w:tcBorders>
              <w:top w:val="single" w:sz="4" w:space="0" w:color="auto"/>
              <w:left w:val="single" w:sz="4" w:space="0" w:color="auto"/>
              <w:bottom w:val="single" w:sz="4" w:space="0" w:color="auto"/>
              <w:right w:val="single" w:sz="4" w:space="0" w:color="auto"/>
            </w:tcBorders>
            <w:hideMark/>
          </w:tcPr>
          <w:p w:rsidR="00FE4D7B" w:rsidRPr="00B74BA2" w:rsidRDefault="00FE4D7B" w:rsidP="00FF1A60">
            <w:pPr>
              <w:widowControl/>
              <w:rPr>
                <w:rFonts w:ascii="Arial Narrow" w:hAnsi="Arial Narrow"/>
                <w:sz w:val="20"/>
                <w:szCs w:val="20"/>
              </w:rPr>
            </w:pPr>
            <w:r w:rsidRPr="00B74BA2">
              <w:rPr>
                <w:rFonts w:ascii="Arial Narrow" w:hAnsi="Arial Narrow"/>
                <w:sz w:val="20"/>
                <w:szCs w:val="20"/>
              </w:rPr>
              <w:fldChar w:fldCharType="begin">
                <w:ffData>
                  <w:name w:val=""/>
                  <w:enabled/>
                  <w:calcOnExit w:val="0"/>
                  <w:checkBox>
                    <w:sizeAuto/>
                    <w:default w:val="1"/>
                  </w:checkBox>
                </w:ffData>
              </w:fldChar>
            </w:r>
            <w:r w:rsidRPr="00B74BA2">
              <w:rPr>
                <w:rFonts w:ascii="Arial Narrow" w:hAnsi="Arial Narrow"/>
                <w:sz w:val="20"/>
                <w:szCs w:val="20"/>
              </w:rPr>
              <w:instrText xml:space="preserve"> FORMCHECKBOX </w:instrText>
            </w:r>
            <w:r w:rsidR="007F1726">
              <w:rPr>
                <w:rFonts w:ascii="Arial Narrow" w:hAnsi="Arial Narrow"/>
                <w:sz w:val="20"/>
                <w:szCs w:val="20"/>
              </w:rPr>
            </w:r>
            <w:r w:rsidR="007F1726">
              <w:rPr>
                <w:rFonts w:ascii="Arial Narrow" w:hAnsi="Arial Narrow"/>
                <w:sz w:val="20"/>
                <w:szCs w:val="20"/>
              </w:rPr>
              <w:fldChar w:fldCharType="separate"/>
            </w:r>
            <w:r w:rsidRPr="00B74BA2">
              <w:rPr>
                <w:rFonts w:ascii="Arial Narrow" w:hAnsi="Arial Narrow"/>
                <w:sz w:val="20"/>
                <w:szCs w:val="20"/>
              </w:rPr>
              <w:fldChar w:fldCharType="end"/>
            </w:r>
            <w:r w:rsidRPr="00B74BA2">
              <w:rPr>
                <w:rFonts w:ascii="Arial Narrow" w:hAnsi="Arial Narrow"/>
                <w:sz w:val="20"/>
                <w:szCs w:val="20"/>
              </w:rPr>
              <w:t>Authority Required - In Writing (Section 100 – Efficient Funding of Chemotherapy)</w:t>
            </w:r>
          </w:p>
        </w:tc>
      </w:tr>
      <w:tr w:rsidR="00FE4D7B" w:rsidRPr="00B74BA2" w:rsidTr="00DB48A8">
        <w:tblPrEx>
          <w:tblCellMar>
            <w:left w:w="108" w:type="dxa"/>
            <w:right w:w="108" w:type="dxa"/>
          </w:tblCellMar>
          <w:tblLook w:val="04A0" w:firstRow="1" w:lastRow="0" w:firstColumn="1" w:lastColumn="0" w:noHBand="0" w:noVBand="1"/>
        </w:tblPrEx>
        <w:trPr>
          <w:cantSplit/>
        </w:trPr>
        <w:tc>
          <w:tcPr>
            <w:tcW w:w="937" w:type="pct"/>
            <w:tcBorders>
              <w:top w:val="single" w:sz="4" w:space="0" w:color="auto"/>
              <w:left w:val="single" w:sz="4" w:space="0" w:color="auto"/>
              <w:bottom w:val="single" w:sz="4" w:space="0" w:color="auto"/>
              <w:right w:val="single" w:sz="4" w:space="0" w:color="auto"/>
            </w:tcBorders>
          </w:tcPr>
          <w:p w:rsidR="00FE4D7B" w:rsidRPr="00B74BA2" w:rsidRDefault="00FE4D7B" w:rsidP="00FF1A60">
            <w:pPr>
              <w:widowControl/>
              <w:rPr>
                <w:rFonts w:ascii="Arial Narrow" w:hAnsi="Arial Narrow"/>
                <w:b/>
                <w:sz w:val="20"/>
                <w:szCs w:val="20"/>
              </w:rPr>
            </w:pPr>
            <w:r w:rsidRPr="00B74BA2">
              <w:rPr>
                <w:rFonts w:ascii="Arial Narrow" w:hAnsi="Arial Narrow"/>
                <w:b/>
                <w:sz w:val="20"/>
                <w:szCs w:val="20"/>
              </w:rPr>
              <w:t>Clinical criteria:</w:t>
            </w:r>
          </w:p>
          <w:p w:rsidR="00FE4D7B" w:rsidRPr="00B74BA2" w:rsidRDefault="00FE4D7B" w:rsidP="00FF1A60">
            <w:pPr>
              <w:widowControl/>
              <w:rPr>
                <w:rFonts w:ascii="Arial Narrow" w:hAnsi="Arial Narrow"/>
                <w:sz w:val="20"/>
                <w:szCs w:val="20"/>
              </w:rPr>
            </w:pPr>
          </w:p>
        </w:tc>
        <w:tc>
          <w:tcPr>
            <w:tcW w:w="4063" w:type="pct"/>
            <w:gridSpan w:val="6"/>
            <w:tcBorders>
              <w:top w:val="single" w:sz="4" w:space="0" w:color="auto"/>
              <w:left w:val="single" w:sz="4" w:space="0" w:color="auto"/>
              <w:bottom w:val="single" w:sz="4" w:space="0" w:color="auto"/>
              <w:right w:val="single" w:sz="4" w:space="0" w:color="auto"/>
            </w:tcBorders>
            <w:hideMark/>
          </w:tcPr>
          <w:p w:rsidR="00FE4D7B" w:rsidRPr="00B74BA2" w:rsidRDefault="00FE4D7B" w:rsidP="00284086">
            <w:pPr>
              <w:widowControl/>
              <w:snapToGrid w:val="0"/>
              <w:rPr>
                <w:rFonts w:ascii="Arial Narrow" w:hAnsi="Arial Narrow"/>
                <w:sz w:val="20"/>
                <w:szCs w:val="20"/>
              </w:rPr>
            </w:pPr>
            <w:r w:rsidRPr="00B74BA2">
              <w:rPr>
                <w:rFonts w:ascii="Arial Narrow" w:hAnsi="Arial Narrow"/>
                <w:sz w:val="20"/>
                <w:szCs w:val="20"/>
              </w:rPr>
              <w:t xml:space="preserve">Patient must have refractory primary </w:t>
            </w:r>
            <w:r w:rsidRPr="00BE7BD7">
              <w:rPr>
                <w:rFonts w:ascii="Arial Narrow" w:hAnsi="Arial Narrow"/>
                <w:sz w:val="20"/>
                <w:szCs w:val="20"/>
              </w:rPr>
              <w:t xml:space="preserve">mediastinal </w:t>
            </w:r>
            <w:r w:rsidRPr="00B74BA2">
              <w:rPr>
                <w:rFonts w:ascii="Arial Narrow" w:hAnsi="Arial Narrow"/>
                <w:sz w:val="20"/>
                <w:szCs w:val="20"/>
              </w:rPr>
              <w:t xml:space="preserve">large B-cell lymphoma following rituximab-based chemotherapy for this condition; </w:t>
            </w:r>
            <w:r w:rsidRPr="00284086">
              <w:rPr>
                <w:rFonts w:ascii="Arial Narrow" w:hAnsi="Arial Narrow"/>
                <w:b/>
                <w:sz w:val="20"/>
                <w:szCs w:val="20"/>
              </w:rPr>
              <w:t>OR</w:t>
            </w:r>
          </w:p>
          <w:p w:rsidR="00FE4D7B" w:rsidRPr="00B74BA2" w:rsidRDefault="00FE4D7B" w:rsidP="00284086">
            <w:pPr>
              <w:widowControl/>
              <w:snapToGrid w:val="0"/>
              <w:rPr>
                <w:rFonts w:ascii="Arial Narrow" w:hAnsi="Arial Narrow"/>
                <w:sz w:val="20"/>
                <w:szCs w:val="20"/>
              </w:rPr>
            </w:pPr>
            <w:r w:rsidRPr="00B74BA2">
              <w:rPr>
                <w:rFonts w:ascii="Arial Narrow" w:hAnsi="Arial Narrow"/>
                <w:sz w:val="20"/>
                <w:szCs w:val="20"/>
              </w:rPr>
              <w:t xml:space="preserve">Patient must have relapsed primary </w:t>
            </w:r>
            <w:r w:rsidRPr="00BE7BD7">
              <w:rPr>
                <w:rFonts w:ascii="Arial Narrow" w:hAnsi="Arial Narrow"/>
                <w:sz w:val="20"/>
                <w:szCs w:val="20"/>
              </w:rPr>
              <w:t>mediastinal</w:t>
            </w:r>
            <w:r w:rsidRPr="00191A27">
              <w:rPr>
                <w:rFonts w:ascii="Arial Narrow" w:hAnsi="Arial Narrow"/>
                <w:i/>
                <w:sz w:val="20"/>
                <w:szCs w:val="20"/>
              </w:rPr>
              <w:t xml:space="preserve"> </w:t>
            </w:r>
            <w:r w:rsidRPr="00B74BA2">
              <w:rPr>
                <w:rFonts w:ascii="Arial Narrow" w:hAnsi="Arial Narrow"/>
                <w:sz w:val="20"/>
                <w:szCs w:val="20"/>
              </w:rPr>
              <w:t xml:space="preserve">large B-cell lymphoma following at least two prior treatments for this condition, </w:t>
            </w:r>
          </w:p>
          <w:p w:rsidR="00284086" w:rsidRDefault="00284086" w:rsidP="00284086">
            <w:pPr>
              <w:widowControl/>
              <w:snapToGrid w:val="0"/>
              <w:rPr>
                <w:rFonts w:ascii="Arial Narrow" w:hAnsi="Arial Narrow"/>
                <w:b/>
                <w:sz w:val="20"/>
                <w:szCs w:val="20"/>
              </w:rPr>
            </w:pPr>
          </w:p>
          <w:p w:rsidR="00FE4D7B" w:rsidRPr="00B74BA2" w:rsidRDefault="00FE4D7B" w:rsidP="00284086">
            <w:pPr>
              <w:widowControl/>
              <w:snapToGrid w:val="0"/>
              <w:rPr>
                <w:rFonts w:ascii="Arial Narrow" w:hAnsi="Arial Narrow"/>
                <w:b/>
                <w:sz w:val="20"/>
                <w:szCs w:val="20"/>
              </w:rPr>
            </w:pPr>
            <w:r w:rsidRPr="00B74BA2">
              <w:rPr>
                <w:rFonts w:ascii="Arial Narrow" w:hAnsi="Arial Narrow"/>
                <w:b/>
                <w:sz w:val="20"/>
                <w:szCs w:val="20"/>
              </w:rPr>
              <w:t>AND</w:t>
            </w:r>
          </w:p>
          <w:p w:rsidR="00284086" w:rsidRDefault="00284086" w:rsidP="00284086">
            <w:pPr>
              <w:widowControl/>
              <w:snapToGrid w:val="0"/>
              <w:rPr>
                <w:rFonts w:ascii="Arial Narrow" w:hAnsi="Arial Narrow"/>
                <w:sz w:val="20"/>
                <w:szCs w:val="20"/>
              </w:rPr>
            </w:pPr>
          </w:p>
          <w:p w:rsidR="00FE4D7B" w:rsidRPr="00B74BA2" w:rsidRDefault="00FE4D7B" w:rsidP="00284086">
            <w:pPr>
              <w:widowControl/>
              <w:snapToGrid w:val="0"/>
              <w:rPr>
                <w:rFonts w:ascii="Arial Narrow" w:hAnsi="Arial Narrow"/>
                <w:sz w:val="20"/>
                <w:szCs w:val="20"/>
              </w:rPr>
            </w:pPr>
            <w:r w:rsidRPr="00B74BA2">
              <w:rPr>
                <w:rFonts w:ascii="Arial Narrow" w:hAnsi="Arial Narrow"/>
                <w:sz w:val="20"/>
                <w:szCs w:val="20"/>
              </w:rPr>
              <w:t xml:space="preserve">Patient must have undergone an autologous stem cell transplant (ASCT) </w:t>
            </w:r>
            <w:r w:rsidRPr="00B74BA2">
              <w:rPr>
                <w:rFonts w:ascii="Arial Narrow" w:hAnsi="Arial Narrow"/>
                <w:strike/>
                <w:sz w:val="20"/>
                <w:szCs w:val="20"/>
              </w:rPr>
              <w:t>for this condition</w:t>
            </w:r>
            <w:r w:rsidRPr="00B74BA2">
              <w:rPr>
                <w:rFonts w:ascii="Arial Narrow" w:hAnsi="Arial Narrow"/>
                <w:sz w:val="20"/>
                <w:szCs w:val="20"/>
              </w:rPr>
              <w:t xml:space="preserve">; </w:t>
            </w:r>
            <w:r w:rsidRPr="00284086">
              <w:rPr>
                <w:rFonts w:ascii="Arial Narrow" w:hAnsi="Arial Narrow"/>
                <w:b/>
                <w:sz w:val="20"/>
                <w:szCs w:val="20"/>
              </w:rPr>
              <w:t>OR</w:t>
            </w:r>
          </w:p>
          <w:p w:rsidR="00FE4D7B" w:rsidRPr="00B74BA2" w:rsidRDefault="00FE4D7B" w:rsidP="00284086">
            <w:pPr>
              <w:widowControl/>
              <w:snapToGrid w:val="0"/>
              <w:rPr>
                <w:rFonts w:ascii="Arial Narrow" w:hAnsi="Arial Narrow"/>
                <w:sz w:val="20"/>
                <w:szCs w:val="20"/>
              </w:rPr>
            </w:pPr>
            <w:r w:rsidRPr="00B74BA2">
              <w:rPr>
                <w:rFonts w:ascii="Arial Narrow" w:hAnsi="Arial Narrow"/>
                <w:sz w:val="20"/>
                <w:szCs w:val="20"/>
              </w:rPr>
              <w:t xml:space="preserve">Patient must not be suitable for ASCT </w:t>
            </w:r>
            <w:r w:rsidRPr="00B74BA2">
              <w:rPr>
                <w:rFonts w:ascii="Arial Narrow" w:hAnsi="Arial Narrow"/>
                <w:strike/>
                <w:sz w:val="20"/>
                <w:szCs w:val="20"/>
              </w:rPr>
              <w:t>for this condition</w:t>
            </w:r>
            <w:r w:rsidRPr="00B74BA2">
              <w:rPr>
                <w:rFonts w:ascii="Arial Narrow" w:hAnsi="Arial Narrow"/>
                <w:sz w:val="20"/>
                <w:szCs w:val="20"/>
              </w:rPr>
              <w:t xml:space="preserve">, </w:t>
            </w:r>
          </w:p>
          <w:p w:rsidR="00284086" w:rsidRDefault="00284086" w:rsidP="00284086">
            <w:pPr>
              <w:widowControl/>
              <w:snapToGrid w:val="0"/>
              <w:rPr>
                <w:rFonts w:ascii="Arial Narrow" w:hAnsi="Arial Narrow"/>
                <w:b/>
                <w:sz w:val="20"/>
                <w:szCs w:val="20"/>
              </w:rPr>
            </w:pPr>
          </w:p>
          <w:p w:rsidR="00FE4D7B" w:rsidRDefault="00FE4D7B" w:rsidP="00284086">
            <w:pPr>
              <w:widowControl/>
              <w:snapToGrid w:val="0"/>
              <w:rPr>
                <w:rFonts w:ascii="Arial Narrow" w:hAnsi="Arial Narrow"/>
                <w:b/>
                <w:sz w:val="20"/>
                <w:szCs w:val="20"/>
              </w:rPr>
            </w:pPr>
            <w:r w:rsidRPr="00B74BA2">
              <w:rPr>
                <w:rFonts w:ascii="Arial Narrow" w:hAnsi="Arial Narrow"/>
                <w:b/>
                <w:sz w:val="20"/>
                <w:szCs w:val="20"/>
              </w:rPr>
              <w:t>AND</w:t>
            </w:r>
          </w:p>
          <w:p w:rsidR="00284086" w:rsidRDefault="00284086" w:rsidP="00284086">
            <w:pPr>
              <w:widowControl/>
              <w:snapToGrid w:val="0"/>
              <w:rPr>
                <w:rFonts w:ascii="Arial Narrow" w:hAnsi="Arial Narrow"/>
                <w:sz w:val="20"/>
                <w:szCs w:val="20"/>
              </w:rPr>
            </w:pPr>
          </w:p>
          <w:p w:rsidR="00FE4D7B" w:rsidRPr="00B74BA2" w:rsidRDefault="00FE4D7B" w:rsidP="00284086">
            <w:pPr>
              <w:widowControl/>
              <w:snapToGrid w:val="0"/>
              <w:rPr>
                <w:rFonts w:ascii="Arial Narrow" w:hAnsi="Arial Narrow"/>
                <w:sz w:val="20"/>
                <w:szCs w:val="20"/>
              </w:rPr>
            </w:pPr>
            <w:r w:rsidRPr="00B74BA2">
              <w:rPr>
                <w:rFonts w:ascii="Arial Narrow" w:hAnsi="Arial Narrow"/>
                <w:sz w:val="20"/>
                <w:szCs w:val="20"/>
              </w:rPr>
              <w:t xml:space="preserve">Patient must not have received prior treatment with a PD-1 </w:t>
            </w:r>
            <w:r w:rsidRPr="00191A27">
              <w:rPr>
                <w:rFonts w:ascii="Arial Narrow" w:hAnsi="Arial Narrow"/>
                <w:i/>
                <w:sz w:val="20"/>
                <w:szCs w:val="20"/>
              </w:rPr>
              <w:t>(programmed cell death-1)</w:t>
            </w:r>
            <w:r w:rsidRPr="00B74BA2">
              <w:rPr>
                <w:rFonts w:ascii="Arial Narrow" w:hAnsi="Arial Narrow"/>
                <w:sz w:val="20"/>
                <w:szCs w:val="20"/>
              </w:rPr>
              <w:t xml:space="preserve"> </w:t>
            </w:r>
            <w:r w:rsidRPr="00BE7BD7">
              <w:rPr>
                <w:rFonts w:ascii="Arial Narrow" w:hAnsi="Arial Narrow"/>
                <w:i/>
                <w:sz w:val="20"/>
                <w:szCs w:val="20"/>
              </w:rPr>
              <w:t>or PD-L1</w:t>
            </w:r>
            <w:r w:rsidRPr="00B74BA2">
              <w:rPr>
                <w:rFonts w:ascii="Arial Narrow" w:hAnsi="Arial Narrow"/>
                <w:sz w:val="20"/>
                <w:szCs w:val="20"/>
              </w:rPr>
              <w:t xml:space="preserve"> </w:t>
            </w:r>
            <w:r w:rsidRPr="00191A27">
              <w:rPr>
                <w:rFonts w:ascii="Arial Narrow" w:hAnsi="Arial Narrow"/>
                <w:i/>
                <w:sz w:val="20"/>
                <w:szCs w:val="20"/>
              </w:rPr>
              <w:t>(programmed cell death ligand-1)</w:t>
            </w:r>
            <w:r w:rsidRPr="00B74BA2">
              <w:rPr>
                <w:rFonts w:ascii="Arial Narrow" w:hAnsi="Arial Narrow"/>
                <w:sz w:val="20"/>
                <w:szCs w:val="20"/>
              </w:rPr>
              <w:t xml:space="preserve"> inhibitor for this condition,</w:t>
            </w:r>
          </w:p>
          <w:p w:rsidR="00284086" w:rsidRDefault="00284086" w:rsidP="00284086">
            <w:pPr>
              <w:widowControl/>
              <w:snapToGrid w:val="0"/>
              <w:rPr>
                <w:rFonts w:ascii="Arial Narrow" w:hAnsi="Arial Narrow"/>
                <w:b/>
                <w:sz w:val="20"/>
                <w:szCs w:val="20"/>
              </w:rPr>
            </w:pPr>
          </w:p>
          <w:p w:rsidR="00FE4D7B" w:rsidRPr="00B74BA2" w:rsidRDefault="00FE4D7B" w:rsidP="00284086">
            <w:pPr>
              <w:widowControl/>
              <w:snapToGrid w:val="0"/>
              <w:rPr>
                <w:rFonts w:ascii="Arial Narrow" w:hAnsi="Arial Narrow"/>
                <w:b/>
                <w:sz w:val="20"/>
                <w:szCs w:val="20"/>
              </w:rPr>
            </w:pPr>
            <w:r w:rsidRPr="00B74BA2">
              <w:rPr>
                <w:rFonts w:ascii="Arial Narrow" w:hAnsi="Arial Narrow"/>
                <w:b/>
                <w:sz w:val="20"/>
                <w:szCs w:val="20"/>
              </w:rPr>
              <w:t>AND</w:t>
            </w:r>
          </w:p>
          <w:p w:rsidR="00284086" w:rsidRDefault="00284086" w:rsidP="00284086">
            <w:pPr>
              <w:widowControl/>
              <w:rPr>
                <w:rFonts w:ascii="Arial Narrow" w:hAnsi="Arial Narrow"/>
                <w:sz w:val="20"/>
                <w:szCs w:val="20"/>
              </w:rPr>
            </w:pPr>
          </w:p>
          <w:p w:rsidR="00FE4D7B" w:rsidRPr="00B74BA2" w:rsidRDefault="00FE4D7B" w:rsidP="00284086">
            <w:pPr>
              <w:widowControl/>
              <w:rPr>
                <w:rFonts w:ascii="Arial Narrow" w:hAnsi="Arial Narrow"/>
                <w:sz w:val="20"/>
                <w:szCs w:val="20"/>
              </w:rPr>
            </w:pPr>
            <w:r w:rsidRPr="00B74BA2">
              <w:rPr>
                <w:rFonts w:ascii="Arial Narrow" w:hAnsi="Arial Narrow"/>
                <w:sz w:val="20"/>
                <w:szCs w:val="20"/>
              </w:rPr>
              <w:t>The treatment must be the sole PBS-subsidised therapy for this condition</w:t>
            </w:r>
          </w:p>
        </w:tc>
      </w:tr>
      <w:tr w:rsidR="00FE4D7B" w:rsidRPr="00B74BA2" w:rsidTr="00DB48A8">
        <w:tblPrEx>
          <w:tblCellMar>
            <w:left w:w="108" w:type="dxa"/>
            <w:right w:w="108" w:type="dxa"/>
          </w:tblCellMar>
          <w:tblLook w:val="04A0" w:firstRow="1" w:lastRow="0" w:firstColumn="1" w:lastColumn="0" w:noHBand="0" w:noVBand="1"/>
        </w:tblPrEx>
        <w:trPr>
          <w:cantSplit/>
        </w:trPr>
        <w:tc>
          <w:tcPr>
            <w:tcW w:w="937" w:type="pct"/>
            <w:tcBorders>
              <w:top w:val="single" w:sz="4" w:space="0" w:color="auto"/>
              <w:left w:val="single" w:sz="4" w:space="0" w:color="auto"/>
              <w:bottom w:val="single" w:sz="4" w:space="0" w:color="auto"/>
              <w:right w:val="single" w:sz="4" w:space="0" w:color="auto"/>
            </w:tcBorders>
            <w:hideMark/>
          </w:tcPr>
          <w:p w:rsidR="00FE4D7B" w:rsidRPr="00B74BA2" w:rsidRDefault="00FE4D7B" w:rsidP="00FF1A60">
            <w:pPr>
              <w:widowControl/>
              <w:rPr>
                <w:rFonts w:ascii="Arial Narrow" w:hAnsi="Arial Narrow"/>
                <w:b/>
                <w:sz w:val="20"/>
                <w:szCs w:val="20"/>
              </w:rPr>
            </w:pPr>
            <w:r w:rsidRPr="00B74BA2">
              <w:rPr>
                <w:rFonts w:ascii="Arial Narrow" w:hAnsi="Arial Narrow"/>
                <w:b/>
                <w:sz w:val="20"/>
                <w:szCs w:val="20"/>
              </w:rPr>
              <w:t>Prescriber Instructions:</w:t>
            </w:r>
          </w:p>
        </w:tc>
        <w:tc>
          <w:tcPr>
            <w:tcW w:w="4063" w:type="pct"/>
            <w:gridSpan w:val="6"/>
            <w:tcBorders>
              <w:top w:val="single" w:sz="4" w:space="0" w:color="auto"/>
              <w:left w:val="single" w:sz="4" w:space="0" w:color="auto"/>
              <w:bottom w:val="single" w:sz="4" w:space="0" w:color="auto"/>
              <w:right w:val="single" w:sz="4" w:space="0" w:color="auto"/>
            </w:tcBorders>
            <w:hideMark/>
          </w:tcPr>
          <w:p w:rsidR="00FE4D7B" w:rsidRPr="00B74BA2" w:rsidRDefault="00FE4D7B" w:rsidP="00FF1A60">
            <w:pPr>
              <w:widowControl/>
              <w:snapToGrid w:val="0"/>
              <w:rPr>
                <w:rFonts w:ascii="Arial Narrow" w:hAnsi="Arial Narrow"/>
                <w:sz w:val="20"/>
                <w:szCs w:val="20"/>
              </w:rPr>
            </w:pPr>
            <w:r w:rsidRPr="00B74BA2">
              <w:rPr>
                <w:rFonts w:ascii="Arial Narrow" w:hAnsi="Arial Narrow"/>
                <w:sz w:val="20"/>
                <w:szCs w:val="20"/>
              </w:rPr>
              <w:t xml:space="preserve">Applications for authorisation of initial treatment must be in writing and must include: </w:t>
            </w:r>
          </w:p>
          <w:p w:rsidR="00FE4D7B" w:rsidRPr="00B74BA2" w:rsidRDefault="00FE4D7B" w:rsidP="00FF1A60">
            <w:pPr>
              <w:widowControl/>
              <w:snapToGrid w:val="0"/>
              <w:rPr>
                <w:rFonts w:ascii="Arial Narrow" w:hAnsi="Arial Narrow"/>
                <w:sz w:val="20"/>
                <w:szCs w:val="20"/>
              </w:rPr>
            </w:pPr>
            <w:r w:rsidRPr="00B74BA2">
              <w:rPr>
                <w:rFonts w:ascii="Arial Narrow" w:hAnsi="Arial Narrow"/>
                <w:sz w:val="20"/>
                <w:szCs w:val="20"/>
              </w:rPr>
              <w:t xml:space="preserve">(a) a completed authority prescription form; </w:t>
            </w:r>
          </w:p>
          <w:p w:rsidR="00FE4D7B" w:rsidRPr="00B74BA2" w:rsidRDefault="00FE4D7B" w:rsidP="00FF1A60">
            <w:pPr>
              <w:widowControl/>
              <w:snapToGrid w:val="0"/>
              <w:rPr>
                <w:rFonts w:ascii="Arial Narrow" w:hAnsi="Arial Narrow"/>
                <w:strike/>
                <w:sz w:val="20"/>
                <w:szCs w:val="20"/>
              </w:rPr>
            </w:pPr>
            <w:r w:rsidRPr="00B74BA2">
              <w:rPr>
                <w:rFonts w:ascii="Arial Narrow" w:hAnsi="Arial Narrow"/>
                <w:sz w:val="20"/>
                <w:szCs w:val="20"/>
              </w:rPr>
              <w:t xml:space="preserve">(b) a completed Primary Mediastinal Large B-cell Lymphoma pembrolizumab PBS Authority Application; </w:t>
            </w:r>
            <w:r w:rsidRPr="00B74BA2">
              <w:rPr>
                <w:rFonts w:ascii="Arial Narrow" w:hAnsi="Arial Narrow"/>
                <w:strike/>
                <w:sz w:val="20"/>
                <w:szCs w:val="20"/>
              </w:rPr>
              <w:t>and</w:t>
            </w:r>
          </w:p>
          <w:p w:rsidR="00FE4D7B" w:rsidRPr="00B74BA2" w:rsidRDefault="00FE4D7B" w:rsidP="00FF1A60">
            <w:pPr>
              <w:widowControl/>
              <w:rPr>
                <w:rFonts w:ascii="Arial Narrow" w:hAnsi="Arial Narrow"/>
                <w:sz w:val="20"/>
                <w:szCs w:val="20"/>
              </w:rPr>
            </w:pPr>
            <w:r w:rsidRPr="00B74BA2">
              <w:rPr>
                <w:rFonts w:ascii="Arial Narrow" w:hAnsi="Arial Narrow"/>
                <w:strike/>
                <w:sz w:val="20"/>
                <w:szCs w:val="20"/>
              </w:rPr>
              <w:t xml:space="preserve">(c) </w:t>
            </w:r>
            <w:proofErr w:type="gramStart"/>
            <w:r w:rsidRPr="00B74BA2">
              <w:rPr>
                <w:rFonts w:ascii="Arial Narrow" w:hAnsi="Arial Narrow"/>
                <w:strike/>
                <w:sz w:val="20"/>
                <w:szCs w:val="20"/>
              </w:rPr>
              <w:t>a</w:t>
            </w:r>
            <w:proofErr w:type="gramEnd"/>
            <w:r w:rsidRPr="00B74BA2">
              <w:rPr>
                <w:rFonts w:ascii="Arial Narrow" w:hAnsi="Arial Narrow"/>
                <w:strike/>
                <w:sz w:val="20"/>
                <w:szCs w:val="20"/>
              </w:rPr>
              <w:t xml:space="preserve"> signed patient acknowledgement form</w:t>
            </w:r>
            <w:r w:rsidRPr="00B74BA2">
              <w:rPr>
                <w:rFonts w:ascii="Arial Narrow" w:hAnsi="Arial Narrow"/>
                <w:sz w:val="20"/>
                <w:szCs w:val="20"/>
              </w:rPr>
              <w:t>.</w:t>
            </w:r>
          </w:p>
        </w:tc>
      </w:tr>
      <w:tr w:rsidR="00FE4D7B" w:rsidRPr="00B74BA2" w:rsidTr="00DB48A8">
        <w:tblPrEx>
          <w:tblCellMar>
            <w:left w:w="108" w:type="dxa"/>
            <w:right w:w="108" w:type="dxa"/>
          </w:tblCellMar>
          <w:tblLook w:val="04A0" w:firstRow="1" w:lastRow="0" w:firstColumn="1" w:lastColumn="0" w:noHBand="0" w:noVBand="1"/>
        </w:tblPrEx>
        <w:trPr>
          <w:cantSplit/>
        </w:trPr>
        <w:tc>
          <w:tcPr>
            <w:tcW w:w="937" w:type="pct"/>
            <w:tcBorders>
              <w:top w:val="single" w:sz="4" w:space="0" w:color="auto"/>
              <w:left w:val="single" w:sz="4" w:space="0" w:color="auto"/>
              <w:bottom w:val="single" w:sz="4" w:space="0" w:color="auto"/>
              <w:right w:val="single" w:sz="4" w:space="0" w:color="auto"/>
            </w:tcBorders>
            <w:hideMark/>
          </w:tcPr>
          <w:p w:rsidR="00FE4D7B" w:rsidRPr="00B74BA2" w:rsidRDefault="00FE4D7B" w:rsidP="00FF1A60">
            <w:pPr>
              <w:widowControl/>
              <w:rPr>
                <w:rFonts w:ascii="Arial Narrow" w:hAnsi="Arial Narrow"/>
                <w:b/>
                <w:sz w:val="20"/>
                <w:szCs w:val="20"/>
              </w:rPr>
            </w:pPr>
            <w:r w:rsidRPr="00B74BA2">
              <w:rPr>
                <w:rFonts w:ascii="Arial Narrow" w:hAnsi="Arial Narrow"/>
                <w:b/>
                <w:sz w:val="20"/>
                <w:szCs w:val="20"/>
              </w:rPr>
              <w:t>Administrative Advice:</w:t>
            </w:r>
          </w:p>
        </w:tc>
        <w:tc>
          <w:tcPr>
            <w:tcW w:w="4063" w:type="pct"/>
            <w:gridSpan w:val="6"/>
            <w:tcBorders>
              <w:top w:val="single" w:sz="4" w:space="0" w:color="auto"/>
              <w:left w:val="single" w:sz="4" w:space="0" w:color="auto"/>
              <w:bottom w:val="single" w:sz="4" w:space="0" w:color="auto"/>
              <w:right w:val="single" w:sz="4" w:space="0" w:color="auto"/>
            </w:tcBorders>
            <w:hideMark/>
          </w:tcPr>
          <w:p w:rsidR="00FE4D7B" w:rsidRPr="00B74BA2" w:rsidRDefault="00FE4D7B" w:rsidP="00FF1A60">
            <w:pPr>
              <w:widowControl/>
              <w:snapToGrid w:val="0"/>
              <w:rPr>
                <w:rFonts w:ascii="Arial Narrow" w:hAnsi="Arial Narrow"/>
                <w:sz w:val="20"/>
                <w:szCs w:val="20"/>
              </w:rPr>
            </w:pPr>
            <w:r w:rsidRPr="00B74BA2">
              <w:rPr>
                <w:rFonts w:ascii="Arial Narrow" w:hAnsi="Arial Narrow"/>
                <w:sz w:val="20"/>
                <w:szCs w:val="20"/>
              </w:rPr>
              <w:t xml:space="preserve">No increase in the maximum number of repeats may be authorised. </w:t>
            </w:r>
          </w:p>
          <w:p w:rsidR="00FE4D7B" w:rsidRPr="00B74BA2" w:rsidRDefault="00FE4D7B" w:rsidP="00FF1A60">
            <w:pPr>
              <w:widowControl/>
              <w:snapToGrid w:val="0"/>
              <w:rPr>
                <w:rFonts w:ascii="Arial Narrow" w:hAnsi="Arial Narrow"/>
                <w:sz w:val="20"/>
                <w:szCs w:val="20"/>
              </w:rPr>
            </w:pPr>
            <w:r w:rsidRPr="00B74BA2">
              <w:rPr>
                <w:rFonts w:ascii="Arial Narrow" w:hAnsi="Arial Narrow"/>
                <w:sz w:val="20"/>
                <w:szCs w:val="20"/>
              </w:rPr>
              <w:t>No increase in the maximum quantity or number of units may be authorised.</w:t>
            </w:r>
          </w:p>
          <w:p w:rsidR="00FE4D7B" w:rsidRPr="00B74BA2" w:rsidRDefault="00FE4D7B" w:rsidP="00FF1A60">
            <w:pPr>
              <w:widowControl/>
              <w:snapToGrid w:val="0"/>
              <w:rPr>
                <w:rFonts w:ascii="Arial Narrow" w:hAnsi="Arial Narrow"/>
                <w:sz w:val="20"/>
                <w:szCs w:val="20"/>
              </w:rPr>
            </w:pPr>
            <w:r w:rsidRPr="00B74BA2">
              <w:rPr>
                <w:rFonts w:ascii="Arial Narrow" w:hAnsi="Arial Narrow"/>
                <w:sz w:val="20"/>
                <w:szCs w:val="20"/>
              </w:rPr>
              <w:t xml:space="preserve">Any queries concerning the arrangements to prescribe may be directed to the Department of Human Services on 1800 700 270 (hours of operation 8 a.m. to 5 p.m. EST Monday to Friday). </w:t>
            </w:r>
          </w:p>
          <w:p w:rsidR="00FE4D7B" w:rsidRPr="00B74BA2" w:rsidRDefault="00FE4D7B" w:rsidP="00FF1A60">
            <w:pPr>
              <w:widowControl/>
              <w:snapToGrid w:val="0"/>
              <w:rPr>
                <w:rFonts w:ascii="Arial Narrow" w:hAnsi="Arial Narrow"/>
                <w:sz w:val="20"/>
                <w:szCs w:val="20"/>
              </w:rPr>
            </w:pPr>
            <w:r w:rsidRPr="00B74BA2">
              <w:rPr>
                <w:rFonts w:ascii="Arial Narrow" w:hAnsi="Arial Narrow"/>
                <w:sz w:val="20"/>
                <w:szCs w:val="20"/>
              </w:rPr>
              <w:t xml:space="preserve">Prescribing information (including Authority Application forms and other relevant documentation as applicable) is available on the Department of Human Services website at www.humanservices.gov.au </w:t>
            </w:r>
          </w:p>
          <w:p w:rsidR="00FE4D7B" w:rsidRPr="00B74BA2" w:rsidRDefault="00FE4D7B" w:rsidP="00FF1A60">
            <w:pPr>
              <w:widowControl/>
              <w:snapToGrid w:val="0"/>
              <w:rPr>
                <w:rFonts w:ascii="Arial Narrow" w:hAnsi="Arial Narrow"/>
                <w:sz w:val="20"/>
                <w:szCs w:val="20"/>
              </w:rPr>
            </w:pPr>
            <w:r w:rsidRPr="00B74BA2">
              <w:rPr>
                <w:rFonts w:ascii="Arial Narrow" w:hAnsi="Arial Narrow"/>
                <w:sz w:val="20"/>
                <w:szCs w:val="20"/>
              </w:rPr>
              <w:t xml:space="preserve">Applications for authority to prescribe should be forwarded to: </w:t>
            </w:r>
          </w:p>
          <w:p w:rsidR="00FE4D7B" w:rsidRPr="00B74BA2" w:rsidRDefault="00FE4D7B" w:rsidP="00FF1A60">
            <w:pPr>
              <w:widowControl/>
              <w:snapToGrid w:val="0"/>
              <w:rPr>
                <w:rFonts w:ascii="Arial Narrow" w:hAnsi="Arial Narrow"/>
                <w:sz w:val="20"/>
                <w:szCs w:val="20"/>
              </w:rPr>
            </w:pPr>
            <w:r w:rsidRPr="00B74BA2">
              <w:rPr>
                <w:rFonts w:ascii="Arial Narrow" w:hAnsi="Arial Narrow"/>
                <w:sz w:val="20"/>
                <w:szCs w:val="20"/>
              </w:rPr>
              <w:t>Department of Human Services</w:t>
            </w:r>
          </w:p>
          <w:p w:rsidR="00FE4D7B" w:rsidRPr="00B74BA2" w:rsidRDefault="00FE4D7B" w:rsidP="00FF1A60">
            <w:pPr>
              <w:widowControl/>
              <w:snapToGrid w:val="0"/>
              <w:rPr>
                <w:rFonts w:ascii="Arial Narrow" w:hAnsi="Arial Narrow"/>
                <w:sz w:val="20"/>
                <w:szCs w:val="20"/>
              </w:rPr>
            </w:pPr>
            <w:r w:rsidRPr="00B74BA2">
              <w:rPr>
                <w:rFonts w:ascii="Arial Narrow" w:hAnsi="Arial Narrow"/>
                <w:sz w:val="20"/>
                <w:szCs w:val="20"/>
              </w:rPr>
              <w:t xml:space="preserve">Prior Written Approval of Complex Drugs </w:t>
            </w:r>
          </w:p>
          <w:p w:rsidR="00FE4D7B" w:rsidRPr="00B74BA2" w:rsidRDefault="00FE4D7B" w:rsidP="00FF1A60">
            <w:pPr>
              <w:widowControl/>
              <w:snapToGrid w:val="0"/>
              <w:rPr>
                <w:rFonts w:ascii="Arial Narrow" w:hAnsi="Arial Narrow"/>
                <w:sz w:val="20"/>
                <w:szCs w:val="20"/>
              </w:rPr>
            </w:pPr>
            <w:r w:rsidRPr="00B74BA2">
              <w:rPr>
                <w:rFonts w:ascii="Arial Narrow" w:hAnsi="Arial Narrow"/>
                <w:sz w:val="20"/>
                <w:szCs w:val="20"/>
              </w:rPr>
              <w:t xml:space="preserve">Reply Paid 9826 </w:t>
            </w:r>
          </w:p>
          <w:p w:rsidR="00FE4D7B" w:rsidRPr="00B74BA2" w:rsidRDefault="00FE4D7B" w:rsidP="00FF1A60">
            <w:pPr>
              <w:widowControl/>
              <w:snapToGrid w:val="0"/>
              <w:rPr>
                <w:rFonts w:ascii="Arial Narrow" w:hAnsi="Arial Narrow"/>
                <w:sz w:val="20"/>
                <w:szCs w:val="20"/>
              </w:rPr>
            </w:pPr>
            <w:r w:rsidRPr="00B74BA2">
              <w:rPr>
                <w:rFonts w:ascii="Arial Narrow" w:hAnsi="Arial Narrow"/>
                <w:sz w:val="20"/>
                <w:szCs w:val="20"/>
              </w:rPr>
              <w:t xml:space="preserve">GPO Box 9826 </w:t>
            </w:r>
          </w:p>
          <w:p w:rsidR="00FE4D7B" w:rsidRPr="00B74BA2" w:rsidRDefault="00FE4D7B" w:rsidP="00FF1A60">
            <w:pPr>
              <w:widowControl/>
              <w:rPr>
                <w:rFonts w:ascii="Arial Narrow" w:hAnsi="Arial Narrow"/>
                <w:sz w:val="20"/>
                <w:szCs w:val="20"/>
              </w:rPr>
            </w:pPr>
            <w:r w:rsidRPr="00B74BA2">
              <w:rPr>
                <w:rFonts w:ascii="Arial Narrow" w:hAnsi="Arial Narrow"/>
                <w:sz w:val="20"/>
                <w:szCs w:val="20"/>
              </w:rPr>
              <w:t>HOBART TAS 7001</w:t>
            </w:r>
          </w:p>
        </w:tc>
      </w:tr>
      <w:tr w:rsidR="00FE4D7B" w:rsidRPr="00B74BA2" w:rsidTr="00DB48A8">
        <w:tblPrEx>
          <w:tblCellMar>
            <w:left w:w="108" w:type="dxa"/>
            <w:right w:w="108" w:type="dxa"/>
          </w:tblCellMar>
          <w:tblLook w:val="04A0" w:firstRow="1" w:lastRow="0" w:firstColumn="1" w:lastColumn="0" w:noHBand="0" w:noVBand="1"/>
        </w:tblPrEx>
        <w:trPr>
          <w:cantSplit/>
        </w:trPr>
        <w:tc>
          <w:tcPr>
            <w:tcW w:w="937" w:type="pct"/>
            <w:tcBorders>
              <w:top w:val="single" w:sz="4" w:space="0" w:color="auto"/>
              <w:left w:val="single" w:sz="4" w:space="0" w:color="auto"/>
              <w:bottom w:val="single" w:sz="4" w:space="0" w:color="auto"/>
              <w:right w:val="single" w:sz="4" w:space="0" w:color="auto"/>
            </w:tcBorders>
            <w:hideMark/>
          </w:tcPr>
          <w:p w:rsidR="00FE4D7B" w:rsidRPr="00B74BA2" w:rsidRDefault="00FE4D7B" w:rsidP="00FF1A60">
            <w:pPr>
              <w:widowControl/>
              <w:rPr>
                <w:rFonts w:ascii="Arial Narrow" w:hAnsi="Arial Narrow"/>
                <w:b/>
                <w:sz w:val="20"/>
                <w:szCs w:val="20"/>
              </w:rPr>
            </w:pPr>
            <w:r w:rsidRPr="00B74BA2">
              <w:rPr>
                <w:rFonts w:ascii="Arial Narrow" w:hAnsi="Arial Narrow"/>
                <w:b/>
                <w:sz w:val="20"/>
                <w:szCs w:val="20"/>
              </w:rPr>
              <w:t>Notes</w:t>
            </w:r>
          </w:p>
        </w:tc>
        <w:tc>
          <w:tcPr>
            <w:tcW w:w="4063" w:type="pct"/>
            <w:gridSpan w:val="6"/>
            <w:tcBorders>
              <w:top w:val="single" w:sz="4" w:space="0" w:color="auto"/>
              <w:left w:val="single" w:sz="4" w:space="0" w:color="auto"/>
              <w:bottom w:val="single" w:sz="4" w:space="0" w:color="auto"/>
              <w:right w:val="single" w:sz="4" w:space="0" w:color="auto"/>
            </w:tcBorders>
            <w:hideMark/>
          </w:tcPr>
          <w:p w:rsidR="00FE4D7B" w:rsidRPr="00B74BA2" w:rsidRDefault="00FE4D7B" w:rsidP="00FF1A60">
            <w:pPr>
              <w:widowControl/>
              <w:snapToGrid w:val="0"/>
              <w:rPr>
                <w:rFonts w:ascii="Arial Narrow" w:hAnsi="Arial Narrow"/>
                <w:sz w:val="20"/>
                <w:szCs w:val="20"/>
              </w:rPr>
            </w:pPr>
            <w:r w:rsidRPr="00B74BA2">
              <w:rPr>
                <w:rFonts w:ascii="Arial Narrow" w:hAnsi="Arial Narrow"/>
                <w:sz w:val="20"/>
                <w:szCs w:val="20"/>
              </w:rPr>
              <w:t>Special Pricing arrangements apply.</w:t>
            </w:r>
          </w:p>
        </w:tc>
      </w:tr>
    </w:tbl>
    <w:p w:rsidR="00FE4D7B" w:rsidRPr="00B74BA2" w:rsidRDefault="00FE4D7B" w:rsidP="00FE4D7B">
      <w:pPr>
        <w:widowControl/>
        <w:snapToGrid w:val="0"/>
      </w:pPr>
    </w:p>
    <w:p w:rsidR="00FE4D7B" w:rsidRPr="00B74BA2" w:rsidRDefault="00AA240A" w:rsidP="00686364">
      <w:pPr>
        <w:keepNext/>
        <w:keepLines/>
        <w:widowControl/>
        <w:rPr>
          <w:rFonts w:ascii="Arial Narrow" w:hAnsi="Arial Narrow"/>
          <w:b/>
          <w:sz w:val="20"/>
          <w:szCs w:val="16"/>
        </w:rPr>
      </w:pPr>
      <w:r>
        <w:rPr>
          <w:rFonts w:ascii="Arial Narrow" w:hAnsi="Arial Narrow"/>
          <w:b/>
          <w:sz w:val="20"/>
          <w:szCs w:val="16"/>
        </w:rPr>
        <w:t>Continuing restriction</w:t>
      </w:r>
    </w:p>
    <w:tbl>
      <w:tblPr>
        <w:tblW w:w="5201" w:type="pct"/>
        <w:tblInd w:w="28" w:type="dxa"/>
        <w:tblCellMar>
          <w:left w:w="28" w:type="dxa"/>
          <w:right w:w="28" w:type="dxa"/>
        </w:tblCellMar>
        <w:tblLook w:val="0000" w:firstRow="0" w:lastRow="0" w:firstColumn="0" w:lastColumn="0" w:noHBand="0" w:noVBand="0"/>
      </w:tblPr>
      <w:tblGrid>
        <w:gridCol w:w="2214"/>
        <w:gridCol w:w="1026"/>
        <w:gridCol w:w="1034"/>
        <w:gridCol w:w="797"/>
        <w:gridCol w:w="1453"/>
        <w:gridCol w:w="745"/>
        <w:gridCol w:w="2179"/>
      </w:tblGrid>
      <w:tr w:rsidR="00FE4D7B" w:rsidRPr="00B74BA2" w:rsidTr="00FF1A60">
        <w:trPr>
          <w:cantSplit/>
          <w:trHeight w:val="463"/>
        </w:trPr>
        <w:tc>
          <w:tcPr>
            <w:tcW w:w="1715" w:type="pct"/>
            <w:gridSpan w:val="2"/>
            <w:tcBorders>
              <w:top w:val="single" w:sz="4" w:space="0" w:color="auto"/>
              <w:left w:val="single" w:sz="4" w:space="0" w:color="auto"/>
              <w:bottom w:val="single" w:sz="4" w:space="0" w:color="auto"/>
              <w:right w:val="single" w:sz="4" w:space="0" w:color="auto"/>
            </w:tcBorders>
            <w:vAlign w:val="center"/>
          </w:tcPr>
          <w:p w:rsidR="00FE4D7B" w:rsidRPr="00B74BA2" w:rsidRDefault="00FE4D7B" w:rsidP="00686364">
            <w:pPr>
              <w:keepNext/>
              <w:keepLines/>
              <w:widowControl/>
              <w:rPr>
                <w:rFonts w:ascii="Arial Narrow" w:hAnsi="Arial Narrow"/>
                <w:b/>
                <w:sz w:val="20"/>
              </w:rPr>
            </w:pPr>
            <w:r w:rsidRPr="00B74BA2">
              <w:rPr>
                <w:rFonts w:ascii="Arial Narrow" w:hAnsi="Arial Narrow"/>
                <w:b/>
                <w:sz w:val="20"/>
              </w:rPr>
              <w:t>Name, Restriction,</w:t>
            </w:r>
          </w:p>
          <w:p w:rsidR="00FE4D7B" w:rsidRPr="00B74BA2" w:rsidRDefault="00FE4D7B" w:rsidP="00686364">
            <w:pPr>
              <w:keepNext/>
              <w:keepLines/>
              <w:widowControl/>
              <w:rPr>
                <w:rFonts w:ascii="Arial Narrow" w:hAnsi="Arial Narrow"/>
                <w:b/>
                <w:sz w:val="20"/>
              </w:rPr>
            </w:pPr>
            <w:r w:rsidRPr="00B74BA2">
              <w:rPr>
                <w:rFonts w:ascii="Arial Narrow" w:hAnsi="Arial Narrow"/>
                <w:b/>
                <w:sz w:val="20"/>
              </w:rPr>
              <w:t>Manner of administration and form</w:t>
            </w:r>
          </w:p>
        </w:tc>
        <w:tc>
          <w:tcPr>
            <w:tcW w:w="547" w:type="pct"/>
            <w:tcBorders>
              <w:top w:val="single" w:sz="4" w:space="0" w:color="auto"/>
              <w:left w:val="single" w:sz="4" w:space="0" w:color="auto"/>
              <w:bottom w:val="single" w:sz="4" w:space="0" w:color="auto"/>
              <w:right w:val="single" w:sz="4" w:space="0" w:color="auto"/>
            </w:tcBorders>
            <w:vAlign w:val="center"/>
          </w:tcPr>
          <w:p w:rsidR="00FE4D7B" w:rsidRPr="00B74BA2" w:rsidRDefault="00FE4D7B" w:rsidP="00686364">
            <w:pPr>
              <w:keepNext/>
              <w:keepLines/>
              <w:widowControl/>
              <w:jc w:val="center"/>
              <w:rPr>
                <w:rFonts w:ascii="Arial Narrow" w:hAnsi="Arial Narrow"/>
                <w:b/>
                <w:sz w:val="20"/>
              </w:rPr>
            </w:pPr>
            <w:r w:rsidRPr="00B74BA2">
              <w:rPr>
                <w:rFonts w:ascii="Arial Narrow" w:hAnsi="Arial Narrow"/>
                <w:b/>
                <w:sz w:val="20"/>
              </w:rPr>
              <w:t xml:space="preserve">Max </w:t>
            </w:r>
            <w:proofErr w:type="spellStart"/>
            <w:r w:rsidRPr="00B74BA2">
              <w:rPr>
                <w:rFonts w:ascii="Arial Narrow" w:hAnsi="Arial Narrow"/>
                <w:b/>
                <w:sz w:val="20"/>
              </w:rPr>
              <w:t>Amt</w:t>
            </w:r>
            <w:proofErr w:type="spellEnd"/>
          </w:p>
        </w:tc>
        <w:tc>
          <w:tcPr>
            <w:tcW w:w="422" w:type="pct"/>
            <w:tcBorders>
              <w:top w:val="single" w:sz="4" w:space="0" w:color="auto"/>
              <w:left w:val="single" w:sz="4" w:space="0" w:color="auto"/>
              <w:bottom w:val="single" w:sz="4" w:space="0" w:color="auto"/>
              <w:right w:val="single" w:sz="4" w:space="0" w:color="auto"/>
            </w:tcBorders>
            <w:vAlign w:val="center"/>
          </w:tcPr>
          <w:p w:rsidR="00FE4D7B" w:rsidRPr="00B74BA2" w:rsidRDefault="00FE4D7B" w:rsidP="00686364">
            <w:pPr>
              <w:keepNext/>
              <w:keepLines/>
              <w:widowControl/>
              <w:jc w:val="center"/>
              <w:rPr>
                <w:rFonts w:ascii="Arial Narrow" w:hAnsi="Arial Narrow"/>
                <w:b/>
                <w:sz w:val="20"/>
              </w:rPr>
            </w:pPr>
            <w:r w:rsidRPr="00B74BA2">
              <w:rPr>
                <w:rFonts w:ascii="Arial Narrow" w:hAnsi="Arial Narrow"/>
                <w:b/>
                <w:sz w:val="20"/>
              </w:rPr>
              <w:t>№.of</w:t>
            </w:r>
          </w:p>
          <w:p w:rsidR="00FE4D7B" w:rsidRPr="00B74BA2" w:rsidRDefault="00FE4D7B" w:rsidP="00686364">
            <w:pPr>
              <w:keepNext/>
              <w:keepLines/>
              <w:widowControl/>
              <w:jc w:val="center"/>
              <w:rPr>
                <w:rFonts w:ascii="Arial Narrow" w:hAnsi="Arial Narrow"/>
                <w:b/>
                <w:sz w:val="20"/>
              </w:rPr>
            </w:pPr>
            <w:r w:rsidRPr="00B74BA2">
              <w:rPr>
                <w:rFonts w:ascii="Arial Narrow" w:hAnsi="Arial Narrow"/>
                <w:b/>
                <w:sz w:val="20"/>
              </w:rPr>
              <w:t>Rpts</w:t>
            </w:r>
          </w:p>
        </w:tc>
        <w:tc>
          <w:tcPr>
            <w:tcW w:w="769" w:type="pct"/>
            <w:tcBorders>
              <w:top w:val="single" w:sz="4" w:space="0" w:color="auto"/>
              <w:left w:val="single" w:sz="4" w:space="0" w:color="auto"/>
              <w:bottom w:val="single" w:sz="4" w:space="0" w:color="auto"/>
              <w:right w:val="single" w:sz="4" w:space="0" w:color="auto"/>
            </w:tcBorders>
            <w:vAlign w:val="center"/>
          </w:tcPr>
          <w:p w:rsidR="00FE4D7B" w:rsidRPr="00B74BA2" w:rsidRDefault="00FE4D7B" w:rsidP="00686364">
            <w:pPr>
              <w:keepNext/>
              <w:keepLines/>
              <w:widowControl/>
              <w:jc w:val="center"/>
              <w:rPr>
                <w:rFonts w:ascii="Arial Narrow" w:hAnsi="Arial Narrow"/>
                <w:b/>
                <w:sz w:val="20"/>
              </w:rPr>
            </w:pPr>
            <w:r w:rsidRPr="00B74BA2">
              <w:rPr>
                <w:rFonts w:ascii="Arial Narrow" w:hAnsi="Arial Narrow"/>
                <w:b/>
                <w:sz w:val="20"/>
              </w:rPr>
              <w:t xml:space="preserve">Dispensed Price for Max. </w:t>
            </w:r>
            <w:proofErr w:type="spellStart"/>
            <w:r w:rsidRPr="00B74BA2">
              <w:rPr>
                <w:rFonts w:ascii="Arial Narrow" w:hAnsi="Arial Narrow"/>
                <w:b/>
                <w:sz w:val="20"/>
              </w:rPr>
              <w:t>Amt</w:t>
            </w:r>
            <w:proofErr w:type="spellEnd"/>
          </w:p>
        </w:tc>
        <w:tc>
          <w:tcPr>
            <w:tcW w:w="1547" w:type="pct"/>
            <w:gridSpan w:val="2"/>
            <w:tcBorders>
              <w:top w:val="single" w:sz="4" w:space="0" w:color="auto"/>
              <w:left w:val="single" w:sz="4" w:space="0" w:color="auto"/>
              <w:bottom w:val="single" w:sz="4" w:space="0" w:color="auto"/>
              <w:right w:val="single" w:sz="4" w:space="0" w:color="auto"/>
            </w:tcBorders>
            <w:vAlign w:val="center"/>
          </w:tcPr>
          <w:p w:rsidR="00FE4D7B" w:rsidRPr="00B74BA2" w:rsidRDefault="00FE4D7B" w:rsidP="00686364">
            <w:pPr>
              <w:keepNext/>
              <w:keepLines/>
              <w:widowControl/>
              <w:jc w:val="center"/>
              <w:rPr>
                <w:rFonts w:ascii="Arial Narrow" w:hAnsi="Arial Narrow"/>
                <w:b/>
                <w:sz w:val="20"/>
                <w:lang w:val="fr-FR"/>
              </w:rPr>
            </w:pPr>
            <w:r w:rsidRPr="00B74BA2">
              <w:rPr>
                <w:rFonts w:ascii="Arial Narrow" w:hAnsi="Arial Narrow"/>
                <w:b/>
                <w:sz w:val="20"/>
              </w:rPr>
              <w:t>Proprietary Name and Manufacturer</w:t>
            </w:r>
          </w:p>
        </w:tc>
      </w:tr>
      <w:tr w:rsidR="00FE4D7B" w:rsidRPr="00B74BA2" w:rsidTr="00FF1A60">
        <w:trPr>
          <w:cantSplit/>
          <w:trHeight w:val="567"/>
        </w:trPr>
        <w:tc>
          <w:tcPr>
            <w:tcW w:w="1715" w:type="pct"/>
            <w:gridSpan w:val="2"/>
            <w:tcBorders>
              <w:top w:val="single" w:sz="4" w:space="0" w:color="auto"/>
              <w:left w:val="single" w:sz="4" w:space="0" w:color="auto"/>
              <w:bottom w:val="single" w:sz="4" w:space="0" w:color="auto"/>
              <w:right w:val="single" w:sz="4" w:space="0" w:color="auto"/>
            </w:tcBorders>
            <w:vAlign w:val="center"/>
          </w:tcPr>
          <w:p w:rsidR="00FE4D7B" w:rsidRPr="00B74BA2" w:rsidRDefault="00FE4D7B" w:rsidP="00686364">
            <w:pPr>
              <w:keepNext/>
              <w:keepLines/>
              <w:widowControl/>
              <w:rPr>
                <w:rFonts w:ascii="Arial Narrow" w:hAnsi="Arial Narrow"/>
                <w:smallCaps/>
                <w:sz w:val="20"/>
              </w:rPr>
            </w:pPr>
            <w:r w:rsidRPr="00B74BA2">
              <w:rPr>
                <w:rFonts w:ascii="Arial Narrow" w:hAnsi="Arial Narrow"/>
                <w:smallCaps/>
                <w:sz w:val="20"/>
              </w:rPr>
              <w:t>Pembrolizumab</w:t>
            </w:r>
          </w:p>
          <w:p w:rsidR="00FE4D7B" w:rsidRPr="00B74BA2" w:rsidRDefault="00FE4D7B" w:rsidP="00686364">
            <w:pPr>
              <w:keepNext/>
              <w:keepLines/>
              <w:widowControl/>
              <w:rPr>
                <w:rFonts w:ascii="Arial Narrow" w:hAnsi="Arial Narrow"/>
                <w:smallCaps/>
                <w:sz w:val="20"/>
              </w:rPr>
            </w:pPr>
            <w:r w:rsidRPr="00B74BA2">
              <w:rPr>
                <w:rFonts w:ascii="Arial Narrow" w:hAnsi="Arial Narrow"/>
                <w:smallCaps/>
                <w:sz w:val="20"/>
              </w:rPr>
              <w:t>Injection, 100 mg, 1 vial</w:t>
            </w:r>
          </w:p>
        </w:tc>
        <w:tc>
          <w:tcPr>
            <w:tcW w:w="547" w:type="pct"/>
            <w:tcBorders>
              <w:top w:val="single" w:sz="4" w:space="0" w:color="auto"/>
              <w:left w:val="single" w:sz="4" w:space="0" w:color="auto"/>
              <w:bottom w:val="single" w:sz="4" w:space="0" w:color="auto"/>
              <w:right w:val="single" w:sz="4" w:space="0" w:color="auto"/>
            </w:tcBorders>
            <w:vAlign w:val="center"/>
          </w:tcPr>
          <w:p w:rsidR="00FE4D7B" w:rsidRPr="00284086" w:rsidRDefault="00FE4D7B" w:rsidP="00686364">
            <w:pPr>
              <w:keepNext/>
              <w:keepLines/>
              <w:widowControl/>
              <w:jc w:val="center"/>
              <w:rPr>
                <w:rFonts w:ascii="Arial Narrow" w:hAnsi="Arial Narrow"/>
                <w:sz w:val="20"/>
              </w:rPr>
            </w:pPr>
          </w:p>
          <w:p w:rsidR="00FE4D7B" w:rsidRPr="00284086" w:rsidRDefault="00FE4D7B" w:rsidP="00686364">
            <w:pPr>
              <w:keepNext/>
              <w:keepLines/>
              <w:widowControl/>
              <w:jc w:val="center"/>
              <w:rPr>
                <w:rFonts w:ascii="Arial Narrow" w:hAnsi="Arial Narrow"/>
                <w:sz w:val="20"/>
              </w:rPr>
            </w:pPr>
            <w:r w:rsidRPr="00284086">
              <w:rPr>
                <w:rFonts w:ascii="Arial Narrow" w:hAnsi="Arial Narrow"/>
                <w:sz w:val="20"/>
              </w:rPr>
              <w:t xml:space="preserve">200 mg </w:t>
            </w:r>
          </w:p>
        </w:tc>
        <w:tc>
          <w:tcPr>
            <w:tcW w:w="422" w:type="pct"/>
            <w:tcBorders>
              <w:top w:val="single" w:sz="4" w:space="0" w:color="auto"/>
              <w:left w:val="single" w:sz="4" w:space="0" w:color="auto"/>
              <w:bottom w:val="single" w:sz="4" w:space="0" w:color="auto"/>
              <w:right w:val="single" w:sz="4" w:space="0" w:color="auto"/>
            </w:tcBorders>
            <w:vAlign w:val="center"/>
          </w:tcPr>
          <w:p w:rsidR="00FE4D7B" w:rsidRPr="00284086" w:rsidRDefault="00FE4D7B" w:rsidP="00686364">
            <w:pPr>
              <w:keepNext/>
              <w:keepLines/>
              <w:widowControl/>
              <w:jc w:val="center"/>
              <w:rPr>
                <w:rFonts w:ascii="Arial Narrow" w:hAnsi="Arial Narrow"/>
                <w:sz w:val="20"/>
              </w:rPr>
            </w:pPr>
          </w:p>
          <w:p w:rsidR="00FE4D7B" w:rsidRPr="00284086" w:rsidRDefault="00FE4D7B" w:rsidP="00686364">
            <w:pPr>
              <w:keepNext/>
              <w:keepLines/>
              <w:widowControl/>
              <w:jc w:val="center"/>
              <w:rPr>
                <w:rFonts w:ascii="Arial Narrow" w:hAnsi="Arial Narrow"/>
                <w:sz w:val="20"/>
              </w:rPr>
            </w:pPr>
            <w:r w:rsidRPr="00284086">
              <w:rPr>
                <w:rFonts w:ascii="Arial Narrow" w:hAnsi="Arial Narrow"/>
                <w:sz w:val="20"/>
              </w:rPr>
              <w:t>6</w:t>
            </w:r>
          </w:p>
        </w:tc>
        <w:tc>
          <w:tcPr>
            <w:tcW w:w="769" w:type="pct"/>
            <w:tcBorders>
              <w:top w:val="single" w:sz="4" w:space="0" w:color="auto"/>
              <w:left w:val="single" w:sz="4" w:space="0" w:color="auto"/>
              <w:bottom w:val="single" w:sz="4" w:space="0" w:color="auto"/>
              <w:right w:val="single" w:sz="4" w:space="0" w:color="auto"/>
            </w:tcBorders>
            <w:vAlign w:val="center"/>
          </w:tcPr>
          <w:p w:rsidR="00FE4D7B" w:rsidRPr="00B74BA2" w:rsidRDefault="00FE4D7B" w:rsidP="00686364">
            <w:pPr>
              <w:keepNext/>
              <w:keepLines/>
              <w:widowControl/>
              <w:rPr>
                <w:rFonts w:ascii="Arial Narrow" w:hAnsi="Arial Narrow"/>
                <w:sz w:val="20"/>
              </w:rPr>
            </w:pPr>
          </w:p>
        </w:tc>
        <w:tc>
          <w:tcPr>
            <w:tcW w:w="394" w:type="pct"/>
            <w:tcBorders>
              <w:top w:val="single" w:sz="4" w:space="0" w:color="auto"/>
              <w:left w:val="single" w:sz="4" w:space="0" w:color="auto"/>
              <w:bottom w:val="single" w:sz="4" w:space="0" w:color="auto"/>
              <w:right w:val="single" w:sz="4" w:space="0" w:color="auto"/>
            </w:tcBorders>
            <w:vAlign w:val="center"/>
          </w:tcPr>
          <w:p w:rsidR="00FE4D7B" w:rsidRPr="00B74BA2" w:rsidRDefault="00FE4D7B" w:rsidP="00686364">
            <w:pPr>
              <w:keepNext/>
              <w:keepLines/>
              <w:widowControl/>
              <w:jc w:val="center"/>
              <w:rPr>
                <w:rFonts w:ascii="Arial Narrow" w:hAnsi="Arial Narrow"/>
                <w:sz w:val="20"/>
              </w:rPr>
            </w:pPr>
            <w:r w:rsidRPr="00B74BA2">
              <w:rPr>
                <w:rFonts w:ascii="Arial Narrow" w:hAnsi="Arial Narrow"/>
                <w:sz w:val="20"/>
              </w:rPr>
              <w:t>Keytruda</w:t>
            </w:r>
          </w:p>
        </w:tc>
        <w:tc>
          <w:tcPr>
            <w:tcW w:w="1153" w:type="pct"/>
            <w:tcBorders>
              <w:top w:val="single" w:sz="4" w:space="0" w:color="auto"/>
              <w:left w:val="single" w:sz="4" w:space="0" w:color="auto"/>
              <w:bottom w:val="single" w:sz="4" w:space="0" w:color="auto"/>
              <w:right w:val="single" w:sz="4" w:space="0" w:color="auto"/>
            </w:tcBorders>
            <w:vAlign w:val="center"/>
          </w:tcPr>
          <w:p w:rsidR="00FE4D7B" w:rsidRPr="00B74BA2" w:rsidRDefault="00FE4D7B" w:rsidP="00686364">
            <w:pPr>
              <w:keepNext/>
              <w:keepLines/>
              <w:widowControl/>
              <w:jc w:val="center"/>
              <w:rPr>
                <w:rFonts w:ascii="Arial Narrow" w:hAnsi="Arial Narrow"/>
                <w:sz w:val="20"/>
              </w:rPr>
            </w:pPr>
            <w:r w:rsidRPr="00B74BA2">
              <w:rPr>
                <w:rFonts w:ascii="Arial Narrow" w:hAnsi="Arial Narrow"/>
                <w:sz w:val="20"/>
              </w:rPr>
              <w:t>MSD</w:t>
            </w:r>
          </w:p>
        </w:tc>
      </w:tr>
      <w:tr w:rsidR="00FE4D7B" w:rsidRPr="00B74BA2" w:rsidTr="00FF1A60">
        <w:tblPrEx>
          <w:tblCellMar>
            <w:left w:w="108" w:type="dxa"/>
            <w:right w:w="108" w:type="dxa"/>
          </w:tblCellMar>
          <w:tblLook w:val="04A0" w:firstRow="1" w:lastRow="0" w:firstColumn="1" w:lastColumn="0" w:noHBand="0" w:noVBand="1"/>
        </w:tblPrEx>
        <w:trPr>
          <w:cantSplit/>
        </w:trPr>
        <w:tc>
          <w:tcPr>
            <w:tcW w:w="1172" w:type="pct"/>
            <w:tcBorders>
              <w:top w:val="single" w:sz="4" w:space="0" w:color="auto"/>
              <w:left w:val="single" w:sz="4" w:space="0" w:color="auto"/>
              <w:bottom w:val="single" w:sz="4" w:space="0" w:color="auto"/>
              <w:right w:val="single" w:sz="4" w:space="0" w:color="auto"/>
            </w:tcBorders>
          </w:tcPr>
          <w:p w:rsidR="00FE4D7B" w:rsidRPr="00B74BA2" w:rsidRDefault="00FE4D7B" w:rsidP="00FF1A60">
            <w:pPr>
              <w:pStyle w:val="Tabletext"/>
              <w:rPr>
                <w:b/>
              </w:rPr>
            </w:pPr>
            <w:r w:rsidRPr="00B74BA2">
              <w:rPr>
                <w:b/>
              </w:rPr>
              <w:t>Category / Program</w:t>
            </w:r>
          </w:p>
        </w:tc>
        <w:tc>
          <w:tcPr>
            <w:tcW w:w="3828" w:type="pct"/>
            <w:gridSpan w:val="6"/>
            <w:tcBorders>
              <w:top w:val="single" w:sz="4" w:space="0" w:color="auto"/>
              <w:left w:val="single" w:sz="4" w:space="0" w:color="auto"/>
              <w:bottom w:val="single" w:sz="4" w:space="0" w:color="auto"/>
              <w:right w:val="single" w:sz="4" w:space="0" w:color="auto"/>
            </w:tcBorders>
          </w:tcPr>
          <w:p w:rsidR="00FE4D7B" w:rsidRPr="00B74BA2" w:rsidRDefault="00FE4D7B" w:rsidP="00FF1A60">
            <w:pPr>
              <w:pStyle w:val="Tabletext"/>
              <w:rPr>
                <w:vertAlign w:val="superscript"/>
              </w:rPr>
            </w:pPr>
            <w:r w:rsidRPr="00B74BA2">
              <w:t>Section 100 – Efficient Funding of Chemotherapy</w:t>
            </w:r>
          </w:p>
        </w:tc>
      </w:tr>
      <w:tr w:rsidR="00FE4D7B" w:rsidRPr="00B74BA2" w:rsidTr="00FF1A60">
        <w:tblPrEx>
          <w:tblCellMar>
            <w:left w:w="108" w:type="dxa"/>
            <w:right w:w="108" w:type="dxa"/>
          </w:tblCellMar>
          <w:tblLook w:val="04A0" w:firstRow="1" w:lastRow="0" w:firstColumn="1" w:lastColumn="0" w:noHBand="0" w:noVBand="1"/>
        </w:tblPrEx>
        <w:trPr>
          <w:cantSplit/>
        </w:trPr>
        <w:tc>
          <w:tcPr>
            <w:tcW w:w="1172" w:type="pct"/>
            <w:tcBorders>
              <w:top w:val="single" w:sz="4" w:space="0" w:color="auto"/>
              <w:left w:val="single" w:sz="4" w:space="0" w:color="auto"/>
              <w:bottom w:val="single" w:sz="4" w:space="0" w:color="auto"/>
              <w:right w:val="single" w:sz="4" w:space="0" w:color="auto"/>
            </w:tcBorders>
          </w:tcPr>
          <w:p w:rsidR="00FE4D7B" w:rsidRPr="00B74BA2" w:rsidRDefault="00FE4D7B" w:rsidP="00FF1A60">
            <w:pPr>
              <w:pStyle w:val="Tabletext"/>
              <w:rPr>
                <w:b/>
              </w:rPr>
            </w:pPr>
            <w:r w:rsidRPr="00B74BA2">
              <w:rPr>
                <w:rFonts w:cs="Arial"/>
                <w:b/>
                <w:szCs w:val="20"/>
              </w:rPr>
              <w:t>Prescriber type:</w:t>
            </w:r>
          </w:p>
        </w:tc>
        <w:tc>
          <w:tcPr>
            <w:tcW w:w="3828" w:type="pct"/>
            <w:gridSpan w:val="6"/>
            <w:tcBorders>
              <w:top w:val="single" w:sz="4" w:space="0" w:color="auto"/>
              <w:left w:val="single" w:sz="4" w:space="0" w:color="auto"/>
              <w:bottom w:val="single" w:sz="4" w:space="0" w:color="auto"/>
              <w:right w:val="single" w:sz="4" w:space="0" w:color="auto"/>
            </w:tcBorders>
          </w:tcPr>
          <w:p w:rsidR="00FE4D7B" w:rsidRPr="00B74BA2" w:rsidRDefault="00FE4D7B" w:rsidP="00FF1A60">
            <w:pPr>
              <w:pStyle w:val="Tabletext"/>
            </w:pPr>
            <w:r w:rsidRPr="00B74BA2">
              <w:rPr>
                <w:rFonts w:cs="Arial"/>
                <w:szCs w:val="20"/>
              </w:rPr>
              <w:fldChar w:fldCharType="begin">
                <w:ffData>
                  <w:name w:val="Check1"/>
                  <w:enabled/>
                  <w:calcOnExit w:val="0"/>
                  <w:checkBox>
                    <w:sizeAuto/>
                    <w:default w:val="0"/>
                  </w:checkBox>
                </w:ffData>
              </w:fldChar>
            </w:r>
            <w:r w:rsidRPr="00B74BA2">
              <w:rPr>
                <w:rFonts w:cs="Arial"/>
                <w:szCs w:val="20"/>
              </w:rPr>
              <w:instrText xml:space="preserve"> FORMCHECKBOX </w:instrText>
            </w:r>
            <w:r w:rsidR="007F1726">
              <w:rPr>
                <w:rFonts w:cs="Arial"/>
                <w:szCs w:val="20"/>
              </w:rPr>
            </w:r>
            <w:r w:rsidR="007F1726">
              <w:rPr>
                <w:rFonts w:cs="Arial"/>
                <w:szCs w:val="20"/>
              </w:rPr>
              <w:fldChar w:fldCharType="separate"/>
            </w:r>
            <w:r w:rsidRPr="00B74BA2">
              <w:rPr>
                <w:rFonts w:cs="Arial"/>
                <w:szCs w:val="20"/>
              </w:rPr>
              <w:fldChar w:fldCharType="end"/>
            </w:r>
            <w:r w:rsidRPr="00B74BA2">
              <w:rPr>
                <w:rFonts w:cs="Arial"/>
                <w:szCs w:val="20"/>
              </w:rPr>
              <w:t xml:space="preserve">Dental  </w:t>
            </w:r>
            <w:r w:rsidRPr="00B74BA2">
              <w:rPr>
                <w:rFonts w:cs="Arial"/>
                <w:szCs w:val="20"/>
              </w:rPr>
              <w:fldChar w:fldCharType="begin">
                <w:ffData>
                  <w:name w:val=""/>
                  <w:enabled/>
                  <w:calcOnExit w:val="0"/>
                  <w:checkBox>
                    <w:sizeAuto/>
                    <w:default w:val="1"/>
                  </w:checkBox>
                </w:ffData>
              </w:fldChar>
            </w:r>
            <w:r w:rsidRPr="00B74BA2">
              <w:rPr>
                <w:rFonts w:cs="Arial"/>
                <w:szCs w:val="20"/>
              </w:rPr>
              <w:instrText xml:space="preserve"> FORMCHECKBOX </w:instrText>
            </w:r>
            <w:r w:rsidR="007F1726">
              <w:rPr>
                <w:rFonts w:cs="Arial"/>
                <w:szCs w:val="20"/>
              </w:rPr>
            </w:r>
            <w:r w:rsidR="007F1726">
              <w:rPr>
                <w:rFonts w:cs="Arial"/>
                <w:szCs w:val="20"/>
              </w:rPr>
              <w:fldChar w:fldCharType="separate"/>
            </w:r>
            <w:r w:rsidRPr="00B74BA2">
              <w:rPr>
                <w:rFonts w:cs="Arial"/>
                <w:szCs w:val="20"/>
              </w:rPr>
              <w:fldChar w:fldCharType="end"/>
            </w:r>
            <w:r w:rsidRPr="00B74BA2">
              <w:rPr>
                <w:rFonts w:cs="Arial"/>
                <w:szCs w:val="20"/>
              </w:rPr>
              <w:t xml:space="preserve">Medical Practitioners  </w:t>
            </w:r>
            <w:r w:rsidRPr="00B74BA2">
              <w:rPr>
                <w:rFonts w:cs="Arial"/>
                <w:szCs w:val="20"/>
              </w:rPr>
              <w:fldChar w:fldCharType="begin">
                <w:ffData>
                  <w:name w:val="Check3"/>
                  <w:enabled/>
                  <w:calcOnExit w:val="0"/>
                  <w:checkBox>
                    <w:sizeAuto/>
                    <w:default w:val="0"/>
                  </w:checkBox>
                </w:ffData>
              </w:fldChar>
            </w:r>
            <w:r w:rsidRPr="00B74BA2">
              <w:rPr>
                <w:rFonts w:cs="Arial"/>
                <w:szCs w:val="20"/>
              </w:rPr>
              <w:instrText xml:space="preserve"> FORMCHECKBOX </w:instrText>
            </w:r>
            <w:r w:rsidR="007F1726">
              <w:rPr>
                <w:rFonts w:cs="Arial"/>
                <w:szCs w:val="20"/>
              </w:rPr>
            </w:r>
            <w:r w:rsidR="007F1726">
              <w:rPr>
                <w:rFonts w:cs="Arial"/>
                <w:szCs w:val="20"/>
              </w:rPr>
              <w:fldChar w:fldCharType="separate"/>
            </w:r>
            <w:r w:rsidRPr="00B74BA2">
              <w:rPr>
                <w:rFonts w:cs="Arial"/>
                <w:szCs w:val="20"/>
              </w:rPr>
              <w:fldChar w:fldCharType="end"/>
            </w:r>
            <w:r w:rsidRPr="00B74BA2">
              <w:rPr>
                <w:rFonts w:cs="Arial"/>
                <w:szCs w:val="20"/>
              </w:rPr>
              <w:t xml:space="preserve">Nurse practitioners  </w:t>
            </w:r>
            <w:r w:rsidRPr="00B74BA2">
              <w:rPr>
                <w:rFonts w:cs="Arial"/>
                <w:szCs w:val="20"/>
              </w:rPr>
              <w:fldChar w:fldCharType="begin">
                <w:ffData>
                  <w:name w:val=""/>
                  <w:enabled/>
                  <w:calcOnExit w:val="0"/>
                  <w:checkBox>
                    <w:sizeAuto/>
                    <w:default w:val="0"/>
                  </w:checkBox>
                </w:ffData>
              </w:fldChar>
            </w:r>
            <w:r w:rsidRPr="00B74BA2">
              <w:rPr>
                <w:rFonts w:cs="Arial"/>
                <w:szCs w:val="20"/>
              </w:rPr>
              <w:instrText xml:space="preserve"> FORMCHECKBOX </w:instrText>
            </w:r>
            <w:r w:rsidR="007F1726">
              <w:rPr>
                <w:rFonts w:cs="Arial"/>
                <w:szCs w:val="20"/>
              </w:rPr>
            </w:r>
            <w:r w:rsidR="007F1726">
              <w:rPr>
                <w:rFonts w:cs="Arial"/>
                <w:szCs w:val="20"/>
              </w:rPr>
              <w:fldChar w:fldCharType="separate"/>
            </w:r>
            <w:r w:rsidRPr="00B74BA2">
              <w:rPr>
                <w:rFonts w:cs="Arial"/>
                <w:szCs w:val="20"/>
              </w:rPr>
              <w:fldChar w:fldCharType="end"/>
            </w:r>
            <w:r w:rsidRPr="00B74BA2">
              <w:rPr>
                <w:rFonts w:cs="Arial"/>
                <w:szCs w:val="20"/>
              </w:rPr>
              <w:t xml:space="preserve">Optometrists </w:t>
            </w:r>
            <w:r w:rsidRPr="00B74BA2">
              <w:rPr>
                <w:rFonts w:cs="Arial"/>
                <w:szCs w:val="20"/>
              </w:rPr>
              <w:fldChar w:fldCharType="begin">
                <w:ffData>
                  <w:name w:val="Check5"/>
                  <w:enabled/>
                  <w:calcOnExit w:val="0"/>
                  <w:checkBox>
                    <w:sizeAuto/>
                    <w:default w:val="0"/>
                  </w:checkBox>
                </w:ffData>
              </w:fldChar>
            </w:r>
            <w:r w:rsidRPr="00B74BA2">
              <w:rPr>
                <w:rFonts w:cs="Arial"/>
                <w:szCs w:val="20"/>
              </w:rPr>
              <w:instrText xml:space="preserve"> FORMCHECKBOX </w:instrText>
            </w:r>
            <w:r w:rsidR="007F1726">
              <w:rPr>
                <w:rFonts w:cs="Arial"/>
                <w:szCs w:val="20"/>
              </w:rPr>
            </w:r>
            <w:r w:rsidR="007F1726">
              <w:rPr>
                <w:rFonts w:cs="Arial"/>
                <w:szCs w:val="20"/>
              </w:rPr>
              <w:fldChar w:fldCharType="separate"/>
            </w:r>
            <w:r w:rsidRPr="00B74BA2">
              <w:rPr>
                <w:rFonts w:cs="Arial"/>
                <w:szCs w:val="20"/>
              </w:rPr>
              <w:fldChar w:fldCharType="end"/>
            </w:r>
            <w:r w:rsidRPr="00B74BA2">
              <w:rPr>
                <w:rFonts w:cs="Arial"/>
                <w:szCs w:val="20"/>
              </w:rPr>
              <w:t>Midwives</w:t>
            </w:r>
          </w:p>
        </w:tc>
      </w:tr>
      <w:tr w:rsidR="00FE4D7B" w:rsidRPr="00B74BA2" w:rsidTr="00FF1A60">
        <w:tblPrEx>
          <w:tblCellMar>
            <w:left w:w="108" w:type="dxa"/>
            <w:right w:w="108" w:type="dxa"/>
          </w:tblCellMar>
          <w:tblLook w:val="04A0" w:firstRow="1" w:lastRow="0" w:firstColumn="1" w:lastColumn="0" w:noHBand="0" w:noVBand="1"/>
        </w:tblPrEx>
        <w:trPr>
          <w:cantSplit/>
        </w:trPr>
        <w:tc>
          <w:tcPr>
            <w:tcW w:w="1172" w:type="pct"/>
            <w:tcBorders>
              <w:top w:val="single" w:sz="4" w:space="0" w:color="auto"/>
              <w:left w:val="single" w:sz="4" w:space="0" w:color="auto"/>
              <w:bottom w:val="single" w:sz="4" w:space="0" w:color="auto"/>
              <w:right w:val="single" w:sz="4" w:space="0" w:color="auto"/>
            </w:tcBorders>
            <w:hideMark/>
          </w:tcPr>
          <w:p w:rsidR="00FE4D7B" w:rsidRPr="00B74BA2" w:rsidRDefault="00FE4D7B" w:rsidP="00FF1A60">
            <w:pPr>
              <w:widowControl/>
              <w:rPr>
                <w:rFonts w:ascii="Arial Narrow" w:hAnsi="Arial Narrow"/>
                <w:b/>
                <w:sz w:val="20"/>
                <w:szCs w:val="20"/>
              </w:rPr>
            </w:pPr>
            <w:r w:rsidRPr="00B74BA2">
              <w:rPr>
                <w:rFonts w:ascii="Arial Narrow" w:hAnsi="Arial Narrow"/>
                <w:b/>
                <w:sz w:val="20"/>
                <w:szCs w:val="20"/>
              </w:rPr>
              <w:t>Episodicity:</w:t>
            </w:r>
          </w:p>
        </w:tc>
        <w:tc>
          <w:tcPr>
            <w:tcW w:w="3828" w:type="pct"/>
            <w:gridSpan w:val="6"/>
            <w:tcBorders>
              <w:top w:val="single" w:sz="4" w:space="0" w:color="auto"/>
              <w:left w:val="single" w:sz="4" w:space="0" w:color="auto"/>
              <w:bottom w:val="single" w:sz="4" w:space="0" w:color="auto"/>
              <w:right w:val="single" w:sz="4" w:space="0" w:color="auto"/>
            </w:tcBorders>
            <w:hideMark/>
          </w:tcPr>
          <w:p w:rsidR="00FE4D7B" w:rsidRPr="00B74BA2" w:rsidRDefault="00FE4D7B" w:rsidP="00FF1A60">
            <w:pPr>
              <w:widowControl/>
              <w:rPr>
                <w:rFonts w:ascii="Arial Narrow" w:hAnsi="Arial Narrow"/>
                <w:sz w:val="20"/>
                <w:szCs w:val="20"/>
              </w:rPr>
            </w:pPr>
            <w:r w:rsidRPr="00B74BA2">
              <w:rPr>
                <w:rFonts w:ascii="Arial Narrow" w:hAnsi="Arial Narrow"/>
                <w:sz w:val="20"/>
                <w:szCs w:val="20"/>
              </w:rPr>
              <w:t>Chronic</w:t>
            </w:r>
          </w:p>
        </w:tc>
      </w:tr>
      <w:tr w:rsidR="00FE4D7B" w:rsidRPr="00B74BA2" w:rsidTr="00FF1A60">
        <w:tblPrEx>
          <w:tblCellMar>
            <w:left w:w="108" w:type="dxa"/>
            <w:right w:w="108" w:type="dxa"/>
          </w:tblCellMar>
          <w:tblLook w:val="04A0" w:firstRow="1" w:lastRow="0" w:firstColumn="1" w:lastColumn="0" w:noHBand="0" w:noVBand="1"/>
        </w:tblPrEx>
        <w:trPr>
          <w:cantSplit/>
        </w:trPr>
        <w:tc>
          <w:tcPr>
            <w:tcW w:w="1172" w:type="pct"/>
            <w:tcBorders>
              <w:top w:val="single" w:sz="4" w:space="0" w:color="auto"/>
              <w:left w:val="single" w:sz="4" w:space="0" w:color="auto"/>
              <w:bottom w:val="single" w:sz="4" w:space="0" w:color="auto"/>
              <w:right w:val="single" w:sz="4" w:space="0" w:color="auto"/>
            </w:tcBorders>
            <w:hideMark/>
          </w:tcPr>
          <w:p w:rsidR="00FE4D7B" w:rsidRPr="00B74BA2" w:rsidRDefault="00FE4D7B" w:rsidP="00FF1A60">
            <w:pPr>
              <w:widowControl/>
              <w:rPr>
                <w:rFonts w:ascii="Arial Narrow" w:hAnsi="Arial Narrow"/>
                <w:b/>
                <w:sz w:val="20"/>
                <w:szCs w:val="20"/>
              </w:rPr>
            </w:pPr>
            <w:r w:rsidRPr="00B74BA2">
              <w:rPr>
                <w:rFonts w:ascii="Arial Narrow" w:hAnsi="Arial Narrow"/>
                <w:b/>
                <w:sz w:val="20"/>
                <w:szCs w:val="20"/>
              </w:rPr>
              <w:t>PBS Indication:</w:t>
            </w:r>
          </w:p>
        </w:tc>
        <w:tc>
          <w:tcPr>
            <w:tcW w:w="3828" w:type="pct"/>
            <w:gridSpan w:val="6"/>
            <w:tcBorders>
              <w:top w:val="single" w:sz="4" w:space="0" w:color="auto"/>
              <w:left w:val="single" w:sz="4" w:space="0" w:color="auto"/>
              <w:bottom w:val="single" w:sz="4" w:space="0" w:color="auto"/>
              <w:right w:val="single" w:sz="4" w:space="0" w:color="auto"/>
            </w:tcBorders>
            <w:hideMark/>
          </w:tcPr>
          <w:p w:rsidR="00FE4D7B" w:rsidRPr="00B74BA2" w:rsidRDefault="00FE4D7B" w:rsidP="00FF1A60">
            <w:pPr>
              <w:widowControl/>
              <w:rPr>
                <w:rFonts w:ascii="Arial Narrow" w:hAnsi="Arial Narrow"/>
                <w:sz w:val="20"/>
                <w:szCs w:val="20"/>
              </w:rPr>
            </w:pPr>
            <w:r w:rsidRPr="00B74BA2">
              <w:rPr>
                <w:rFonts w:ascii="Arial Narrow" w:hAnsi="Arial Narrow"/>
                <w:sz w:val="20"/>
                <w:szCs w:val="20"/>
              </w:rPr>
              <w:t>Relapsed or refractory Primary Mediastinal Large B-cell Lymphoma</w:t>
            </w:r>
          </w:p>
        </w:tc>
      </w:tr>
      <w:tr w:rsidR="00FE4D7B" w:rsidRPr="00B74BA2" w:rsidTr="00FF1A60">
        <w:tblPrEx>
          <w:tblCellMar>
            <w:left w:w="108" w:type="dxa"/>
            <w:right w:w="108" w:type="dxa"/>
          </w:tblCellMar>
          <w:tblLook w:val="04A0" w:firstRow="1" w:lastRow="0" w:firstColumn="1" w:lastColumn="0" w:noHBand="0" w:noVBand="1"/>
        </w:tblPrEx>
        <w:trPr>
          <w:cantSplit/>
        </w:trPr>
        <w:tc>
          <w:tcPr>
            <w:tcW w:w="1172" w:type="pct"/>
            <w:tcBorders>
              <w:top w:val="single" w:sz="4" w:space="0" w:color="auto"/>
              <w:left w:val="single" w:sz="4" w:space="0" w:color="auto"/>
              <w:bottom w:val="single" w:sz="4" w:space="0" w:color="auto"/>
              <w:right w:val="single" w:sz="4" w:space="0" w:color="auto"/>
            </w:tcBorders>
            <w:hideMark/>
          </w:tcPr>
          <w:p w:rsidR="00FE4D7B" w:rsidRPr="00B74BA2" w:rsidRDefault="00FE4D7B" w:rsidP="00FF1A60">
            <w:pPr>
              <w:widowControl/>
              <w:rPr>
                <w:rFonts w:ascii="Arial Narrow" w:hAnsi="Arial Narrow"/>
                <w:b/>
                <w:sz w:val="20"/>
                <w:szCs w:val="20"/>
              </w:rPr>
            </w:pPr>
            <w:r w:rsidRPr="00B74BA2">
              <w:rPr>
                <w:rFonts w:ascii="Arial Narrow" w:hAnsi="Arial Narrow"/>
                <w:b/>
                <w:sz w:val="20"/>
                <w:szCs w:val="20"/>
              </w:rPr>
              <w:t>Treatment phase:</w:t>
            </w:r>
          </w:p>
        </w:tc>
        <w:tc>
          <w:tcPr>
            <w:tcW w:w="3828" w:type="pct"/>
            <w:gridSpan w:val="6"/>
            <w:tcBorders>
              <w:top w:val="single" w:sz="4" w:space="0" w:color="auto"/>
              <w:left w:val="single" w:sz="4" w:space="0" w:color="auto"/>
              <w:bottom w:val="single" w:sz="4" w:space="0" w:color="auto"/>
              <w:right w:val="single" w:sz="4" w:space="0" w:color="auto"/>
            </w:tcBorders>
            <w:hideMark/>
          </w:tcPr>
          <w:p w:rsidR="00FE4D7B" w:rsidRPr="00B74BA2" w:rsidRDefault="00FE4D7B" w:rsidP="00FF1A60">
            <w:pPr>
              <w:widowControl/>
              <w:rPr>
                <w:rFonts w:ascii="Arial Narrow" w:hAnsi="Arial Narrow"/>
                <w:sz w:val="20"/>
                <w:szCs w:val="20"/>
              </w:rPr>
            </w:pPr>
            <w:r w:rsidRPr="00B74BA2">
              <w:rPr>
                <w:rFonts w:ascii="Arial Narrow" w:hAnsi="Arial Narrow"/>
                <w:sz w:val="20"/>
                <w:szCs w:val="20"/>
              </w:rPr>
              <w:t>Continuing</w:t>
            </w:r>
          </w:p>
        </w:tc>
      </w:tr>
      <w:tr w:rsidR="00FE4D7B" w:rsidRPr="00B74BA2" w:rsidTr="00FF1A60">
        <w:tblPrEx>
          <w:tblCellMar>
            <w:left w:w="108" w:type="dxa"/>
            <w:right w:w="108" w:type="dxa"/>
          </w:tblCellMar>
          <w:tblLook w:val="04A0" w:firstRow="1" w:lastRow="0" w:firstColumn="1" w:lastColumn="0" w:noHBand="0" w:noVBand="1"/>
        </w:tblPrEx>
        <w:trPr>
          <w:cantSplit/>
        </w:trPr>
        <w:tc>
          <w:tcPr>
            <w:tcW w:w="1172" w:type="pct"/>
            <w:tcBorders>
              <w:top w:val="single" w:sz="4" w:space="0" w:color="auto"/>
              <w:left w:val="single" w:sz="4" w:space="0" w:color="auto"/>
              <w:bottom w:val="single" w:sz="4" w:space="0" w:color="auto"/>
              <w:right w:val="single" w:sz="4" w:space="0" w:color="auto"/>
            </w:tcBorders>
          </w:tcPr>
          <w:p w:rsidR="00FE4D7B" w:rsidRPr="00B74BA2" w:rsidRDefault="00FE4D7B" w:rsidP="00AA240A">
            <w:pPr>
              <w:widowControl/>
              <w:rPr>
                <w:rFonts w:ascii="Arial Narrow" w:hAnsi="Arial Narrow"/>
                <w:sz w:val="20"/>
                <w:szCs w:val="20"/>
              </w:rPr>
            </w:pPr>
            <w:r w:rsidRPr="00B74BA2">
              <w:rPr>
                <w:rFonts w:ascii="Arial Narrow" w:hAnsi="Arial Narrow"/>
                <w:b/>
                <w:sz w:val="20"/>
                <w:szCs w:val="20"/>
              </w:rPr>
              <w:t>Restriction:</w:t>
            </w:r>
          </w:p>
        </w:tc>
        <w:tc>
          <w:tcPr>
            <w:tcW w:w="3828" w:type="pct"/>
            <w:gridSpan w:val="6"/>
            <w:tcBorders>
              <w:top w:val="single" w:sz="4" w:space="0" w:color="auto"/>
              <w:left w:val="single" w:sz="4" w:space="0" w:color="auto"/>
              <w:bottom w:val="single" w:sz="4" w:space="0" w:color="auto"/>
              <w:right w:val="single" w:sz="4" w:space="0" w:color="auto"/>
            </w:tcBorders>
            <w:hideMark/>
          </w:tcPr>
          <w:p w:rsidR="00FE4D7B" w:rsidRPr="00B74BA2" w:rsidRDefault="00FE4D7B" w:rsidP="00AA240A">
            <w:pPr>
              <w:widowControl/>
              <w:rPr>
                <w:rFonts w:ascii="Arial Narrow" w:hAnsi="Arial Narrow"/>
                <w:sz w:val="20"/>
                <w:szCs w:val="20"/>
              </w:rPr>
            </w:pPr>
            <w:r w:rsidRPr="00B74BA2">
              <w:rPr>
                <w:rFonts w:ascii="Arial Narrow" w:hAnsi="Arial Narrow"/>
                <w:sz w:val="20"/>
                <w:szCs w:val="20"/>
              </w:rPr>
              <w:fldChar w:fldCharType="begin">
                <w:ffData>
                  <w:name w:val="Check3"/>
                  <w:enabled/>
                  <w:calcOnExit w:val="0"/>
                  <w:checkBox>
                    <w:sizeAuto/>
                    <w:default w:val="1"/>
                  </w:checkBox>
                </w:ffData>
              </w:fldChar>
            </w:r>
            <w:r w:rsidRPr="00B74BA2">
              <w:rPr>
                <w:rFonts w:ascii="Arial Narrow" w:hAnsi="Arial Narrow"/>
                <w:sz w:val="20"/>
                <w:szCs w:val="20"/>
              </w:rPr>
              <w:instrText xml:space="preserve"> FORMCHECKBOX </w:instrText>
            </w:r>
            <w:r w:rsidR="007F1726">
              <w:rPr>
                <w:rFonts w:ascii="Arial Narrow" w:hAnsi="Arial Narrow"/>
                <w:sz w:val="20"/>
                <w:szCs w:val="20"/>
              </w:rPr>
            </w:r>
            <w:r w:rsidR="007F1726">
              <w:rPr>
                <w:rFonts w:ascii="Arial Narrow" w:hAnsi="Arial Narrow"/>
                <w:sz w:val="20"/>
                <w:szCs w:val="20"/>
              </w:rPr>
              <w:fldChar w:fldCharType="separate"/>
            </w:r>
            <w:r w:rsidRPr="00B74BA2">
              <w:rPr>
                <w:rFonts w:ascii="Arial Narrow" w:hAnsi="Arial Narrow"/>
                <w:sz w:val="20"/>
              </w:rPr>
              <w:fldChar w:fldCharType="end"/>
            </w:r>
            <w:r w:rsidRPr="00B74BA2">
              <w:rPr>
                <w:rFonts w:ascii="Arial Narrow" w:hAnsi="Arial Narrow"/>
                <w:sz w:val="20"/>
                <w:szCs w:val="20"/>
              </w:rPr>
              <w:t>Authority Required – Telephone (Section 100 – Efficient Funding of Chemotherapy)</w:t>
            </w:r>
          </w:p>
        </w:tc>
      </w:tr>
      <w:tr w:rsidR="00FE4D7B" w:rsidRPr="00B74BA2" w:rsidTr="00FF1A60">
        <w:tblPrEx>
          <w:tblCellMar>
            <w:left w:w="108" w:type="dxa"/>
            <w:right w:w="108" w:type="dxa"/>
          </w:tblCellMar>
          <w:tblLook w:val="04A0" w:firstRow="1" w:lastRow="0" w:firstColumn="1" w:lastColumn="0" w:noHBand="0" w:noVBand="1"/>
        </w:tblPrEx>
        <w:trPr>
          <w:cantSplit/>
        </w:trPr>
        <w:tc>
          <w:tcPr>
            <w:tcW w:w="1172" w:type="pct"/>
            <w:tcBorders>
              <w:top w:val="single" w:sz="4" w:space="0" w:color="auto"/>
              <w:left w:val="single" w:sz="4" w:space="0" w:color="auto"/>
              <w:bottom w:val="single" w:sz="4" w:space="0" w:color="auto"/>
              <w:right w:val="single" w:sz="4" w:space="0" w:color="auto"/>
            </w:tcBorders>
          </w:tcPr>
          <w:p w:rsidR="00FE4D7B" w:rsidRPr="00B74BA2" w:rsidRDefault="00FE4D7B" w:rsidP="00FF1A60">
            <w:pPr>
              <w:widowControl/>
              <w:rPr>
                <w:rFonts w:ascii="Arial Narrow" w:hAnsi="Arial Narrow"/>
                <w:b/>
                <w:sz w:val="20"/>
                <w:szCs w:val="20"/>
              </w:rPr>
            </w:pPr>
            <w:r w:rsidRPr="00B74BA2">
              <w:rPr>
                <w:rFonts w:ascii="Arial Narrow" w:hAnsi="Arial Narrow"/>
                <w:b/>
                <w:sz w:val="20"/>
                <w:szCs w:val="20"/>
              </w:rPr>
              <w:t>Clinical criteria:</w:t>
            </w:r>
          </w:p>
          <w:p w:rsidR="00FE4D7B" w:rsidRPr="00B74BA2" w:rsidRDefault="00FE4D7B" w:rsidP="00FF1A60">
            <w:pPr>
              <w:widowControl/>
              <w:rPr>
                <w:rFonts w:ascii="Arial Narrow" w:hAnsi="Arial Narrow"/>
                <w:sz w:val="20"/>
                <w:szCs w:val="20"/>
              </w:rPr>
            </w:pPr>
          </w:p>
        </w:tc>
        <w:tc>
          <w:tcPr>
            <w:tcW w:w="3828" w:type="pct"/>
            <w:gridSpan w:val="6"/>
            <w:tcBorders>
              <w:top w:val="single" w:sz="4" w:space="0" w:color="auto"/>
              <w:left w:val="single" w:sz="4" w:space="0" w:color="auto"/>
              <w:bottom w:val="single" w:sz="4" w:space="0" w:color="auto"/>
              <w:right w:val="single" w:sz="4" w:space="0" w:color="auto"/>
            </w:tcBorders>
            <w:hideMark/>
          </w:tcPr>
          <w:p w:rsidR="00FE4D7B" w:rsidRPr="00B74BA2" w:rsidRDefault="00FE4D7B" w:rsidP="00FF1A60">
            <w:pPr>
              <w:widowControl/>
              <w:rPr>
                <w:rFonts w:ascii="Arial Narrow" w:hAnsi="Arial Narrow"/>
                <w:sz w:val="20"/>
                <w:szCs w:val="20"/>
              </w:rPr>
            </w:pPr>
            <w:r w:rsidRPr="00B74BA2">
              <w:rPr>
                <w:rFonts w:ascii="Arial Narrow" w:hAnsi="Arial Narrow"/>
                <w:sz w:val="20"/>
                <w:szCs w:val="20"/>
              </w:rPr>
              <w:t>Patient must have previously received PBS-subsidised treatment with this drug for this condition</w:t>
            </w:r>
          </w:p>
          <w:p w:rsidR="00FE4D7B" w:rsidRPr="00B74BA2" w:rsidRDefault="00FE4D7B" w:rsidP="00FF1A60">
            <w:pPr>
              <w:widowControl/>
              <w:rPr>
                <w:rFonts w:ascii="Arial Narrow" w:hAnsi="Arial Narrow"/>
                <w:b/>
                <w:sz w:val="20"/>
                <w:szCs w:val="20"/>
              </w:rPr>
            </w:pPr>
            <w:r w:rsidRPr="00B74BA2">
              <w:rPr>
                <w:rFonts w:ascii="Arial Narrow" w:hAnsi="Arial Narrow"/>
                <w:b/>
                <w:sz w:val="20"/>
                <w:szCs w:val="20"/>
              </w:rPr>
              <w:t>AND</w:t>
            </w:r>
          </w:p>
          <w:p w:rsidR="00FE4D7B" w:rsidRPr="00B74BA2" w:rsidRDefault="00FE4D7B" w:rsidP="00FF1A60">
            <w:pPr>
              <w:widowControl/>
              <w:rPr>
                <w:rFonts w:ascii="Arial Narrow" w:hAnsi="Arial Narrow"/>
                <w:sz w:val="20"/>
                <w:szCs w:val="20"/>
              </w:rPr>
            </w:pPr>
            <w:r w:rsidRPr="00B74BA2">
              <w:rPr>
                <w:rFonts w:ascii="Arial Narrow" w:hAnsi="Arial Narrow"/>
                <w:sz w:val="20"/>
                <w:szCs w:val="20"/>
              </w:rPr>
              <w:t xml:space="preserve">Patient must not </w:t>
            </w:r>
            <w:r w:rsidRPr="00B74BA2">
              <w:rPr>
                <w:rFonts w:ascii="Arial Narrow" w:hAnsi="Arial Narrow"/>
                <w:strike/>
                <w:sz w:val="20"/>
                <w:szCs w:val="20"/>
              </w:rPr>
              <w:t>have progressive disease</w:t>
            </w:r>
            <w:r w:rsidRPr="00B74BA2">
              <w:rPr>
                <w:rFonts w:ascii="Arial Narrow" w:hAnsi="Arial Narrow"/>
                <w:sz w:val="20"/>
                <w:szCs w:val="20"/>
              </w:rPr>
              <w:t xml:space="preserve"> </w:t>
            </w:r>
            <w:r w:rsidRPr="00284086">
              <w:rPr>
                <w:rFonts w:ascii="Arial Narrow" w:hAnsi="Arial Narrow"/>
                <w:i/>
                <w:sz w:val="20"/>
                <w:szCs w:val="20"/>
              </w:rPr>
              <w:t>develop disease progression</w:t>
            </w:r>
            <w:r w:rsidRPr="00B74BA2">
              <w:rPr>
                <w:rFonts w:ascii="Arial Narrow" w:hAnsi="Arial Narrow"/>
                <w:sz w:val="20"/>
                <w:szCs w:val="20"/>
              </w:rPr>
              <w:t xml:space="preserve"> while receiving PBS-subsidised treatment with this drug for this condition.</w:t>
            </w:r>
          </w:p>
        </w:tc>
      </w:tr>
      <w:tr w:rsidR="00FE4D7B" w:rsidRPr="00B74BA2" w:rsidTr="00FF1A60">
        <w:tblPrEx>
          <w:tblCellMar>
            <w:left w:w="108" w:type="dxa"/>
            <w:right w:w="108" w:type="dxa"/>
          </w:tblCellMar>
          <w:tblLook w:val="04A0" w:firstRow="1" w:lastRow="0" w:firstColumn="1" w:lastColumn="0" w:noHBand="0" w:noVBand="1"/>
        </w:tblPrEx>
        <w:trPr>
          <w:cantSplit/>
        </w:trPr>
        <w:tc>
          <w:tcPr>
            <w:tcW w:w="1172" w:type="pct"/>
            <w:tcBorders>
              <w:top w:val="single" w:sz="4" w:space="0" w:color="auto"/>
              <w:left w:val="single" w:sz="4" w:space="0" w:color="auto"/>
              <w:bottom w:val="single" w:sz="4" w:space="0" w:color="auto"/>
              <w:right w:val="single" w:sz="4" w:space="0" w:color="auto"/>
            </w:tcBorders>
            <w:hideMark/>
          </w:tcPr>
          <w:p w:rsidR="00FE4D7B" w:rsidRPr="00B74BA2" w:rsidRDefault="00FE4D7B" w:rsidP="00FF1A60">
            <w:pPr>
              <w:widowControl/>
              <w:rPr>
                <w:rFonts w:ascii="Arial Narrow" w:hAnsi="Arial Narrow"/>
                <w:b/>
                <w:sz w:val="20"/>
                <w:szCs w:val="20"/>
              </w:rPr>
            </w:pPr>
            <w:r w:rsidRPr="00B74BA2">
              <w:rPr>
                <w:rFonts w:ascii="Arial Narrow" w:hAnsi="Arial Narrow"/>
                <w:b/>
                <w:sz w:val="20"/>
                <w:szCs w:val="20"/>
              </w:rPr>
              <w:t>Prescriber instructions:</w:t>
            </w:r>
          </w:p>
        </w:tc>
        <w:tc>
          <w:tcPr>
            <w:tcW w:w="3828" w:type="pct"/>
            <w:gridSpan w:val="6"/>
            <w:tcBorders>
              <w:top w:val="single" w:sz="4" w:space="0" w:color="auto"/>
              <w:left w:val="single" w:sz="4" w:space="0" w:color="auto"/>
              <w:bottom w:val="single" w:sz="4" w:space="0" w:color="auto"/>
              <w:right w:val="single" w:sz="4" w:space="0" w:color="auto"/>
            </w:tcBorders>
          </w:tcPr>
          <w:p w:rsidR="00FE4D7B" w:rsidRPr="00B74BA2" w:rsidRDefault="00FE4D7B" w:rsidP="00FF1A60">
            <w:pPr>
              <w:widowControl/>
              <w:rPr>
                <w:rFonts w:ascii="Arial Narrow" w:hAnsi="Arial Narrow"/>
                <w:sz w:val="20"/>
                <w:szCs w:val="20"/>
              </w:rPr>
            </w:pPr>
            <w:r w:rsidRPr="00B74BA2">
              <w:rPr>
                <w:rFonts w:ascii="Arial Narrow" w:hAnsi="Arial Narrow"/>
                <w:sz w:val="20"/>
                <w:szCs w:val="20"/>
              </w:rPr>
              <w:t xml:space="preserve">Authority applications for continuing treatment may be made by telephone to the Department of Human Services on 1800 700 270 (hours of operation 8 a.m. to 5 p.m. EST Monday to Friday). </w:t>
            </w:r>
          </w:p>
          <w:p w:rsidR="00FE4D7B" w:rsidRPr="00B74BA2" w:rsidRDefault="00FE4D7B" w:rsidP="00FF1A60">
            <w:pPr>
              <w:widowControl/>
              <w:rPr>
                <w:rFonts w:ascii="Arial Narrow" w:hAnsi="Arial Narrow"/>
                <w:sz w:val="20"/>
                <w:szCs w:val="20"/>
              </w:rPr>
            </w:pPr>
          </w:p>
          <w:p w:rsidR="00FE4D7B" w:rsidRPr="00B74BA2" w:rsidRDefault="00FE4D7B" w:rsidP="00FF1A60">
            <w:pPr>
              <w:widowControl/>
              <w:rPr>
                <w:rFonts w:ascii="Arial Narrow" w:hAnsi="Arial Narrow"/>
                <w:sz w:val="20"/>
                <w:szCs w:val="20"/>
              </w:rPr>
            </w:pPr>
            <w:r w:rsidRPr="00B74BA2">
              <w:rPr>
                <w:rFonts w:ascii="Arial Narrow" w:hAnsi="Arial Narrow"/>
                <w:sz w:val="20"/>
                <w:szCs w:val="20"/>
              </w:rPr>
              <w:t>The treatment must not exceed a total of 35 cycles in a lifetime.</w:t>
            </w:r>
          </w:p>
        </w:tc>
      </w:tr>
      <w:tr w:rsidR="00FE4D7B" w:rsidRPr="00B74BA2" w:rsidTr="00FF1A60">
        <w:tblPrEx>
          <w:tblCellMar>
            <w:left w:w="108" w:type="dxa"/>
            <w:right w:w="108" w:type="dxa"/>
          </w:tblCellMar>
          <w:tblLook w:val="04A0" w:firstRow="1" w:lastRow="0" w:firstColumn="1" w:lastColumn="0" w:noHBand="0" w:noVBand="1"/>
        </w:tblPrEx>
        <w:trPr>
          <w:cantSplit/>
        </w:trPr>
        <w:tc>
          <w:tcPr>
            <w:tcW w:w="1172" w:type="pct"/>
            <w:tcBorders>
              <w:top w:val="single" w:sz="4" w:space="0" w:color="auto"/>
              <w:left w:val="single" w:sz="4" w:space="0" w:color="auto"/>
              <w:bottom w:val="single" w:sz="4" w:space="0" w:color="auto"/>
              <w:right w:val="single" w:sz="4" w:space="0" w:color="auto"/>
            </w:tcBorders>
            <w:hideMark/>
          </w:tcPr>
          <w:p w:rsidR="00FE4D7B" w:rsidRPr="00B74BA2" w:rsidRDefault="00FE4D7B" w:rsidP="00FF1A60">
            <w:pPr>
              <w:widowControl/>
              <w:rPr>
                <w:rFonts w:ascii="Arial Narrow" w:hAnsi="Arial Narrow"/>
                <w:b/>
                <w:sz w:val="20"/>
                <w:szCs w:val="20"/>
              </w:rPr>
            </w:pPr>
            <w:r w:rsidRPr="00B74BA2">
              <w:rPr>
                <w:rFonts w:ascii="Arial Narrow" w:hAnsi="Arial Narrow"/>
                <w:b/>
                <w:sz w:val="20"/>
                <w:szCs w:val="20"/>
              </w:rPr>
              <w:t>Administrative Advice:</w:t>
            </w:r>
          </w:p>
        </w:tc>
        <w:tc>
          <w:tcPr>
            <w:tcW w:w="3828" w:type="pct"/>
            <w:gridSpan w:val="6"/>
            <w:tcBorders>
              <w:top w:val="single" w:sz="4" w:space="0" w:color="auto"/>
              <w:left w:val="single" w:sz="4" w:space="0" w:color="auto"/>
              <w:bottom w:val="single" w:sz="4" w:space="0" w:color="auto"/>
              <w:right w:val="single" w:sz="4" w:space="0" w:color="auto"/>
            </w:tcBorders>
            <w:hideMark/>
          </w:tcPr>
          <w:p w:rsidR="00FE4D7B" w:rsidRPr="00B74BA2" w:rsidRDefault="00FE4D7B" w:rsidP="00FF1A60">
            <w:pPr>
              <w:widowControl/>
              <w:snapToGrid w:val="0"/>
              <w:rPr>
                <w:rFonts w:ascii="Arial Narrow" w:hAnsi="Arial Narrow"/>
                <w:sz w:val="20"/>
                <w:szCs w:val="20"/>
              </w:rPr>
            </w:pPr>
            <w:r w:rsidRPr="00B74BA2">
              <w:rPr>
                <w:rFonts w:ascii="Arial Narrow" w:hAnsi="Arial Narrow"/>
                <w:sz w:val="20"/>
                <w:szCs w:val="20"/>
              </w:rPr>
              <w:t xml:space="preserve">No increase in the maximum number of repeats may be authorised. </w:t>
            </w:r>
          </w:p>
          <w:p w:rsidR="00FE4D7B" w:rsidRPr="00B74BA2" w:rsidRDefault="00FE4D7B" w:rsidP="00FF1A60">
            <w:pPr>
              <w:widowControl/>
              <w:snapToGrid w:val="0"/>
              <w:rPr>
                <w:rFonts w:ascii="Arial Narrow" w:hAnsi="Arial Narrow"/>
                <w:sz w:val="20"/>
                <w:szCs w:val="20"/>
              </w:rPr>
            </w:pPr>
            <w:r w:rsidRPr="00B74BA2">
              <w:rPr>
                <w:rFonts w:ascii="Arial Narrow" w:hAnsi="Arial Narrow"/>
                <w:sz w:val="20"/>
                <w:szCs w:val="20"/>
              </w:rPr>
              <w:t>No increase in the maximum quantity or number of units may be authorised.</w:t>
            </w:r>
          </w:p>
        </w:tc>
      </w:tr>
      <w:tr w:rsidR="00FE4D7B" w:rsidRPr="00B74BA2" w:rsidTr="00FF1A60">
        <w:tblPrEx>
          <w:tblCellMar>
            <w:left w:w="108" w:type="dxa"/>
            <w:right w:w="108" w:type="dxa"/>
          </w:tblCellMar>
          <w:tblLook w:val="04A0" w:firstRow="1" w:lastRow="0" w:firstColumn="1" w:lastColumn="0" w:noHBand="0" w:noVBand="1"/>
        </w:tblPrEx>
        <w:trPr>
          <w:cantSplit/>
        </w:trPr>
        <w:tc>
          <w:tcPr>
            <w:tcW w:w="1172" w:type="pct"/>
            <w:tcBorders>
              <w:top w:val="single" w:sz="4" w:space="0" w:color="auto"/>
              <w:left w:val="single" w:sz="4" w:space="0" w:color="auto"/>
              <w:bottom w:val="single" w:sz="4" w:space="0" w:color="auto"/>
              <w:right w:val="single" w:sz="4" w:space="0" w:color="auto"/>
            </w:tcBorders>
            <w:hideMark/>
          </w:tcPr>
          <w:p w:rsidR="00FE4D7B" w:rsidRPr="00B74BA2" w:rsidRDefault="00FE4D7B" w:rsidP="00FF1A60">
            <w:pPr>
              <w:widowControl/>
              <w:rPr>
                <w:rFonts w:ascii="Arial Narrow" w:hAnsi="Arial Narrow"/>
                <w:b/>
                <w:sz w:val="20"/>
                <w:szCs w:val="20"/>
              </w:rPr>
            </w:pPr>
            <w:r w:rsidRPr="00B74BA2">
              <w:rPr>
                <w:rFonts w:ascii="Arial Narrow" w:hAnsi="Arial Narrow"/>
                <w:b/>
                <w:sz w:val="20"/>
                <w:szCs w:val="20"/>
              </w:rPr>
              <w:t>Notes</w:t>
            </w:r>
          </w:p>
        </w:tc>
        <w:tc>
          <w:tcPr>
            <w:tcW w:w="3828" w:type="pct"/>
            <w:gridSpan w:val="6"/>
            <w:tcBorders>
              <w:top w:val="single" w:sz="4" w:space="0" w:color="auto"/>
              <w:left w:val="single" w:sz="4" w:space="0" w:color="auto"/>
              <w:bottom w:val="single" w:sz="4" w:space="0" w:color="auto"/>
              <w:right w:val="single" w:sz="4" w:space="0" w:color="auto"/>
            </w:tcBorders>
            <w:hideMark/>
          </w:tcPr>
          <w:p w:rsidR="00FE4D7B" w:rsidRPr="00B74BA2" w:rsidRDefault="00FE4D7B" w:rsidP="00FF1A60">
            <w:pPr>
              <w:widowControl/>
              <w:snapToGrid w:val="0"/>
              <w:rPr>
                <w:rFonts w:ascii="Arial Narrow" w:hAnsi="Arial Narrow"/>
                <w:sz w:val="20"/>
                <w:szCs w:val="20"/>
              </w:rPr>
            </w:pPr>
            <w:r w:rsidRPr="00B74BA2">
              <w:rPr>
                <w:rFonts w:ascii="Arial Narrow" w:hAnsi="Arial Narrow"/>
                <w:sz w:val="20"/>
                <w:szCs w:val="20"/>
              </w:rPr>
              <w:t>Special pricing arrangements apply.</w:t>
            </w:r>
          </w:p>
        </w:tc>
      </w:tr>
    </w:tbl>
    <w:p w:rsidR="00FE4D7B" w:rsidRPr="00B74BA2" w:rsidRDefault="00FE4D7B" w:rsidP="00FE4D7B">
      <w:pPr>
        <w:widowControl/>
        <w:snapToGrid w:val="0"/>
      </w:pPr>
    </w:p>
    <w:p w:rsidR="00FE4D7B" w:rsidRPr="00B74BA2" w:rsidRDefault="00AA240A" w:rsidP="00FE4D7B">
      <w:pPr>
        <w:widowControl/>
        <w:rPr>
          <w:rFonts w:ascii="Arial Narrow" w:hAnsi="Arial Narrow"/>
          <w:b/>
          <w:sz w:val="20"/>
          <w:szCs w:val="16"/>
        </w:rPr>
      </w:pPr>
      <w:r>
        <w:rPr>
          <w:rFonts w:ascii="Arial Narrow" w:hAnsi="Arial Narrow"/>
          <w:b/>
          <w:sz w:val="20"/>
          <w:szCs w:val="16"/>
        </w:rPr>
        <w:t>Grandfathering restriction</w:t>
      </w:r>
    </w:p>
    <w:tbl>
      <w:tblPr>
        <w:tblW w:w="5201" w:type="pct"/>
        <w:tblInd w:w="28" w:type="dxa"/>
        <w:tblCellMar>
          <w:left w:w="28" w:type="dxa"/>
          <w:right w:w="28" w:type="dxa"/>
        </w:tblCellMar>
        <w:tblLook w:val="0000" w:firstRow="0" w:lastRow="0" w:firstColumn="0" w:lastColumn="0" w:noHBand="0" w:noVBand="0"/>
      </w:tblPr>
      <w:tblGrid>
        <w:gridCol w:w="2215"/>
        <w:gridCol w:w="1024"/>
        <w:gridCol w:w="1034"/>
        <w:gridCol w:w="797"/>
        <w:gridCol w:w="1453"/>
        <w:gridCol w:w="743"/>
        <w:gridCol w:w="2182"/>
      </w:tblGrid>
      <w:tr w:rsidR="00FE4D7B" w:rsidRPr="00B74BA2" w:rsidTr="00FF1A60">
        <w:trPr>
          <w:cantSplit/>
          <w:trHeight w:val="463"/>
        </w:trPr>
        <w:tc>
          <w:tcPr>
            <w:tcW w:w="1714" w:type="pct"/>
            <w:gridSpan w:val="2"/>
            <w:tcBorders>
              <w:top w:val="single" w:sz="4" w:space="0" w:color="auto"/>
              <w:left w:val="single" w:sz="4" w:space="0" w:color="auto"/>
              <w:bottom w:val="single" w:sz="4" w:space="0" w:color="auto"/>
              <w:right w:val="single" w:sz="4" w:space="0" w:color="auto"/>
            </w:tcBorders>
            <w:vAlign w:val="center"/>
          </w:tcPr>
          <w:p w:rsidR="00FE4D7B" w:rsidRPr="00B74BA2" w:rsidRDefault="00FE4D7B" w:rsidP="00FF1A60">
            <w:pPr>
              <w:keepNext/>
              <w:widowControl/>
              <w:rPr>
                <w:rFonts w:ascii="Arial Narrow" w:hAnsi="Arial Narrow"/>
                <w:b/>
                <w:sz w:val="20"/>
              </w:rPr>
            </w:pPr>
            <w:r w:rsidRPr="00B74BA2">
              <w:rPr>
                <w:rFonts w:ascii="Arial Narrow" w:hAnsi="Arial Narrow"/>
                <w:b/>
                <w:sz w:val="20"/>
              </w:rPr>
              <w:t>Name, Restriction,</w:t>
            </w:r>
          </w:p>
          <w:p w:rsidR="00FE4D7B" w:rsidRPr="00B74BA2" w:rsidRDefault="00FE4D7B" w:rsidP="00FF1A60">
            <w:pPr>
              <w:keepNext/>
              <w:widowControl/>
              <w:rPr>
                <w:rFonts w:ascii="Arial Narrow" w:hAnsi="Arial Narrow"/>
                <w:b/>
                <w:sz w:val="20"/>
              </w:rPr>
            </w:pPr>
            <w:r w:rsidRPr="00B74BA2">
              <w:rPr>
                <w:rFonts w:ascii="Arial Narrow" w:hAnsi="Arial Narrow"/>
                <w:b/>
                <w:sz w:val="20"/>
              </w:rPr>
              <w:t>Manner of administration and form</w:t>
            </w:r>
          </w:p>
        </w:tc>
        <w:tc>
          <w:tcPr>
            <w:tcW w:w="547" w:type="pct"/>
            <w:tcBorders>
              <w:top w:val="single" w:sz="4" w:space="0" w:color="auto"/>
              <w:left w:val="single" w:sz="4" w:space="0" w:color="auto"/>
              <w:bottom w:val="single" w:sz="4" w:space="0" w:color="auto"/>
              <w:right w:val="single" w:sz="4" w:space="0" w:color="auto"/>
            </w:tcBorders>
            <w:vAlign w:val="center"/>
          </w:tcPr>
          <w:p w:rsidR="00FE4D7B" w:rsidRPr="00B74BA2" w:rsidRDefault="00FE4D7B" w:rsidP="00FF1A60">
            <w:pPr>
              <w:keepNext/>
              <w:widowControl/>
              <w:jc w:val="center"/>
              <w:rPr>
                <w:rFonts w:ascii="Arial Narrow" w:hAnsi="Arial Narrow"/>
                <w:b/>
                <w:sz w:val="20"/>
              </w:rPr>
            </w:pPr>
            <w:r w:rsidRPr="00B74BA2">
              <w:rPr>
                <w:rFonts w:ascii="Arial Narrow" w:hAnsi="Arial Narrow"/>
                <w:b/>
                <w:sz w:val="20"/>
              </w:rPr>
              <w:t xml:space="preserve">Max </w:t>
            </w:r>
            <w:proofErr w:type="spellStart"/>
            <w:r w:rsidRPr="00B74BA2">
              <w:rPr>
                <w:rFonts w:ascii="Arial Narrow" w:hAnsi="Arial Narrow"/>
                <w:b/>
                <w:sz w:val="20"/>
              </w:rPr>
              <w:t>Amt</w:t>
            </w:r>
            <w:proofErr w:type="spellEnd"/>
          </w:p>
        </w:tc>
        <w:tc>
          <w:tcPr>
            <w:tcW w:w="422" w:type="pct"/>
            <w:tcBorders>
              <w:top w:val="single" w:sz="4" w:space="0" w:color="auto"/>
              <w:left w:val="single" w:sz="4" w:space="0" w:color="auto"/>
              <w:bottom w:val="single" w:sz="4" w:space="0" w:color="auto"/>
              <w:right w:val="single" w:sz="4" w:space="0" w:color="auto"/>
            </w:tcBorders>
            <w:vAlign w:val="center"/>
          </w:tcPr>
          <w:p w:rsidR="00FE4D7B" w:rsidRPr="00B74BA2" w:rsidRDefault="00FE4D7B" w:rsidP="00FF1A60">
            <w:pPr>
              <w:keepNext/>
              <w:widowControl/>
              <w:jc w:val="center"/>
              <w:rPr>
                <w:rFonts w:ascii="Arial Narrow" w:hAnsi="Arial Narrow"/>
                <w:b/>
                <w:sz w:val="20"/>
              </w:rPr>
            </w:pPr>
            <w:r w:rsidRPr="00B74BA2">
              <w:rPr>
                <w:rFonts w:ascii="Arial Narrow" w:hAnsi="Arial Narrow"/>
                <w:b/>
                <w:sz w:val="20"/>
              </w:rPr>
              <w:t>№.of</w:t>
            </w:r>
          </w:p>
          <w:p w:rsidR="00FE4D7B" w:rsidRPr="00B74BA2" w:rsidRDefault="00FE4D7B" w:rsidP="00FF1A60">
            <w:pPr>
              <w:keepNext/>
              <w:widowControl/>
              <w:jc w:val="center"/>
              <w:rPr>
                <w:rFonts w:ascii="Arial Narrow" w:hAnsi="Arial Narrow"/>
                <w:b/>
                <w:sz w:val="20"/>
              </w:rPr>
            </w:pPr>
            <w:r w:rsidRPr="00B74BA2">
              <w:rPr>
                <w:rFonts w:ascii="Arial Narrow" w:hAnsi="Arial Narrow"/>
                <w:b/>
                <w:sz w:val="20"/>
              </w:rPr>
              <w:t>Rpts</w:t>
            </w:r>
          </w:p>
        </w:tc>
        <w:tc>
          <w:tcPr>
            <w:tcW w:w="769" w:type="pct"/>
            <w:tcBorders>
              <w:top w:val="single" w:sz="4" w:space="0" w:color="auto"/>
              <w:left w:val="single" w:sz="4" w:space="0" w:color="auto"/>
              <w:bottom w:val="single" w:sz="4" w:space="0" w:color="auto"/>
              <w:right w:val="single" w:sz="4" w:space="0" w:color="auto"/>
            </w:tcBorders>
            <w:vAlign w:val="center"/>
          </w:tcPr>
          <w:p w:rsidR="00FE4D7B" w:rsidRPr="00B74BA2" w:rsidRDefault="00FE4D7B" w:rsidP="00FF1A60">
            <w:pPr>
              <w:keepNext/>
              <w:widowControl/>
              <w:jc w:val="center"/>
              <w:rPr>
                <w:rFonts w:ascii="Arial Narrow" w:hAnsi="Arial Narrow"/>
                <w:b/>
                <w:sz w:val="20"/>
              </w:rPr>
            </w:pPr>
            <w:r w:rsidRPr="00B74BA2">
              <w:rPr>
                <w:rFonts w:ascii="Arial Narrow" w:hAnsi="Arial Narrow"/>
                <w:b/>
                <w:sz w:val="20"/>
              </w:rPr>
              <w:t xml:space="preserve">Dispensed Price for Max. </w:t>
            </w:r>
            <w:proofErr w:type="spellStart"/>
            <w:r w:rsidRPr="00B74BA2">
              <w:rPr>
                <w:rFonts w:ascii="Arial Narrow" w:hAnsi="Arial Narrow"/>
                <w:b/>
                <w:sz w:val="20"/>
              </w:rPr>
              <w:t>Amt</w:t>
            </w:r>
            <w:proofErr w:type="spellEnd"/>
          </w:p>
        </w:tc>
        <w:tc>
          <w:tcPr>
            <w:tcW w:w="1548" w:type="pct"/>
            <w:gridSpan w:val="2"/>
            <w:tcBorders>
              <w:top w:val="single" w:sz="4" w:space="0" w:color="auto"/>
              <w:left w:val="single" w:sz="4" w:space="0" w:color="auto"/>
              <w:bottom w:val="single" w:sz="4" w:space="0" w:color="auto"/>
              <w:right w:val="single" w:sz="4" w:space="0" w:color="auto"/>
            </w:tcBorders>
            <w:vAlign w:val="center"/>
          </w:tcPr>
          <w:p w:rsidR="00FE4D7B" w:rsidRPr="00B74BA2" w:rsidRDefault="00FE4D7B" w:rsidP="00FF1A60">
            <w:pPr>
              <w:keepNext/>
              <w:widowControl/>
              <w:jc w:val="center"/>
              <w:rPr>
                <w:rFonts w:ascii="Arial Narrow" w:hAnsi="Arial Narrow"/>
                <w:b/>
                <w:sz w:val="20"/>
                <w:lang w:val="fr-FR"/>
              </w:rPr>
            </w:pPr>
            <w:r w:rsidRPr="00B74BA2">
              <w:rPr>
                <w:rFonts w:ascii="Arial Narrow" w:hAnsi="Arial Narrow"/>
                <w:b/>
                <w:sz w:val="20"/>
              </w:rPr>
              <w:t>Proprietary Name and Manufacturer</w:t>
            </w:r>
          </w:p>
        </w:tc>
      </w:tr>
      <w:tr w:rsidR="00FE4D7B" w:rsidRPr="00B74BA2" w:rsidTr="00FF1A60">
        <w:trPr>
          <w:cantSplit/>
          <w:trHeight w:val="567"/>
        </w:trPr>
        <w:tc>
          <w:tcPr>
            <w:tcW w:w="1714" w:type="pct"/>
            <w:gridSpan w:val="2"/>
            <w:tcBorders>
              <w:top w:val="single" w:sz="4" w:space="0" w:color="auto"/>
              <w:left w:val="single" w:sz="4" w:space="0" w:color="auto"/>
              <w:bottom w:val="single" w:sz="4" w:space="0" w:color="auto"/>
              <w:right w:val="single" w:sz="4" w:space="0" w:color="auto"/>
            </w:tcBorders>
            <w:vAlign w:val="center"/>
          </w:tcPr>
          <w:p w:rsidR="00FE4D7B" w:rsidRPr="00B74BA2" w:rsidRDefault="00FE4D7B" w:rsidP="00FF1A60">
            <w:pPr>
              <w:keepNext/>
              <w:widowControl/>
              <w:rPr>
                <w:rFonts w:ascii="Arial Narrow" w:hAnsi="Arial Narrow"/>
                <w:smallCaps/>
                <w:sz w:val="20"/>
              </w:rPr>
            </w:pPr>
            <w:r w:rsidRPr="00B74BA2">
              <w:rPr>
                <w:rFonts w:ascii="Arial Narrow" w:hAnsi="Arial Narrow"/>
                <w:smallCaps/>
                <w:sz w:val="20"/>
              </w:rPr>
              <w:t>Pembrolizumab</w:t>
            </w:r>
          </w:p>
          <w:p w:rsidR="00FE4D7B" w:rsidRPr="00B74BA2" w:rsidRDefault="00FE4D7B" w:rsidP="00FF1A60">
            <w:pPr>
              <w:keepNext/>
              <w:widowControl/>
              <w:rPr>
                <w:rFonts w:ascii="Arial Narrow" w:hAnsi="Arial Narrow"/>
                <w:smallCaps/>
                <w:sz w:val="20"/>
              </w:rPr>
            </w:pPr>
            <w:r w:rsidRPr="00B74BA2">
              <w:rPr>
                <w:rFonts w:ascii="Arial Narrow" w:hAnsi="Arial Narrow"/>
                <w:smallCaps/>
                <w:sz w:val="20"/>
              </w:rPr>
              <w:t>Injection, 100 mg, 1 vial</w:t>
            </w:r>
          </w:p>
        </w:tc>
        <w:tc>
          <w:tcPr>
            <w:tcW w:w="547" w:type="pct"/>
            <w:tcBorders>
              <w:top w:val="single" w:sz="4" w:space="0" w:color="auto"/>
              <w:left w:val="single" w:sz="4" w:space="0" w:color="auto"/>
              <w:bottom w:val="single" w:sz="4" w:space="0" w:color="auto"/>
              <w:right w:val="single" w:sz="4" w:space="0" w:color="auto"/>
            </w:tcBorders>
            <w:vAlign w:val="center"/>
          </w:tcPr>
          <w:p w:rsidR="00FE4D7B" w:rsidRPr="00B74BA2" w:rsidRDefault="00FE4D7B" w:rsidP="00FF1A60">
            <w:pPr>
              <w:keepNext/>
              <w:widowControl/>
              <w:jc w:val="center"/>
              <w:rPr>
                <w:rFonts w:ascii="Arial Narrow" w:hAnsi="Arial Narrow"/>
                <w:sz w:val="20"/>
              </w:rPr>
            </w:pPr>
          </w:p>
          <w:p w:rsidR="00FE4D7B" w:rsidRPr="00B74BA2" w:rsidRDefault="00FE4D7B" w:rsidP="00FF1A60">
            <w:pPr>
              <w:keepNext/>
              <w:widowControl/>
              <w:jc w:val="center"/>
              <w:rPr>
                <w:rFonts w:ascii="Arial Narrow" w:hAnsi="Arial Narrow"/>
                <w:sz w:val="20"/>
              </w:rPr>
            </w:pPr>
            <w:r w:rsidRPr="00B74BA2">
              <w:rPr>
                <w:rFonts w:ascii="Arial Narrow" w:hAnsi="Arial Narrow"/>
                <w:sz w:val="20"/>
              </w:rPr>
              <w:t xml:space="preserve">200 mg </w:t>
            </w:r>
          </w:p>
        </w:tc>
        <w:tc>
          <w:tcPr>
            <w:tcW w:w="422" w:type="pct"/>
            <w:tcBorders>
              <w:top w:val="single" w:sz="4" w:space="0" w:color="auto"/>
              <w:left w:val="single" w:sz="4" w:space="0" w:color="auto"/>
              <w:bottom w:val="single" w:sz="4" w:space="0" w:color="auto"/>
              <w:right w:val="single" w:sz="4" w:space="0" w:color="auto"/>
            </w:tcBorders>
            <w:vAlign w:val="center"/>
          </w:tcPr>
          <w:p w:rsidR="00FE4D7B" w:rsidRPr="00B74BA2" w:rsidRDefault="00FE4D7B" w:rsidP="00FF1A60">
            <w:pPr>
              <w:keepNext/>
              <w:widowControl/>
              <w:jc w:val="center"/>
              <w:rPr>
                <w:rFonts w:ascii="Arial Narrow" w:hAnsi="Arial Narrow"/>
                <w:sz w:val="20"/>
              </w:rPr>
            </w:pPr>
          </w:p>
          <w:p w:rsidR="00FE4D7B" w:rsidRPr="00B74BA2" w:rsidRDefault="00FE4D7B" w:rsidP="00FF1A60">
            <w:pPr>
              <w:keepNext/>
              <w:widowControl/>
              <w:jc w:val="center"/>
              <w:rPr>
                <w:rFonts w:ascii="Arial Narrow" w:hAnsi="Arial Narrow"/>
                <w:sz w:val="20"/>
              </w:rPr>
            </w:pPr>
            <w:r w:rsidRPr="00B74BA2">
              <w:rPr>
                <w:rFonts w:ascii="Arial Narrow" w:hAnsi="Arial Narrow"/>
                <w:sz w:val="20"/>
              </w:rPr>
              <w:t>6</w:t>
            </w:r>
          </w:p>
        </w:tc>
        <w:tc>
          <w:tcPr>
            <w:tcW w:w="769" w:type="pct"/>
            <w:tcBorders>
              <w:top w:val="single" w:sz="4" w:space="0" w:color="auto"/>
              <w:left w:val="single" w:sz="4" w:space="0" w:color="auto"/>
              <w:bottom w:val="single" w:sz="4" w:space="0" w:color="auto"/>
              <w:right w:val="single" w:sz="4" w:space="0" w:color="auto"/>
            </w:tcBorders>
            <w:vAlign w:val="center"/>
          </w:tcPr>
          <w:p w:rsidR="00FE4D7B" w:rsidRPr="00B74BA2" w:rsidRDefault="00FE4D7B" w:rsidP="00FF1A60">
            <w:pPr>
              <w:keepNext/>
              <w:widowControl/>
              <w:rPr>
                <w:rFonts w:ascii="Arial Narrow" w:hAnsi="Arial Narrow"/>
                <w:sz w:val="20"/>
              </w:rPr>
            </w:pPr>
          </w:p>
        </w:tc>
        <w:tc>
          <w:tcPr>
            <w:tcW w:w="393" w:type="pct"/>
            <w:tcBorders>
              <w:top w:val="single" w:sz="4" w:space="0" w:color="auto"/>
              <w:left w:val="single" w:sz="4" w:space="0" w:color="auto"/>
              <w:bottom w:val="single" w:sz="4" w:space="0" w:color="auto"/>
              <w:right w:val="single" w:sz="4" w:space="0" w:color="auto"/>
            </w:tcBorders>
            <w:vAlign w:val="center"/>
          </w:tcPr>
          <w:p w:rsidR="00FE4D7B" w:rsidRPr="00B74BA2" w:rsidRDefault="00FE4D7B" w:rsidP="00FF1A60">
            <w:pPr>
              <w:keepNext/>
              <w:widowControl/>
              <w:jc w:val="center"/>
              <w:rPr>
                <w:rFonts w:ascii="Arial Narrow" w:hAnsi="Arial Narrow"/>
                <w:sz w:val="20"/>
              </w:rPr>
            </w:pPr>
            <w:r w:rsidRPr="00B74BA2">
              <w:rPr>
                <w:rFonts w:ascii="Arial Narrow" w:hAnsi="Arial Narrow"/>
                <w:sz w:val="20"/>
              </w:rPr>
              <w:t>Keytruda</w:t>
            </w:r>
          </w:p>
        </w:tc>
        <w:tc>
          <w:tcPr>
            <w:tcW w:w="1155" w:type="pct"/>
            <w:tcBorders>
              <w:top w:val="single" w:sz="4" w:space="0" w:color="auto"/>
              <w:left w:val="single" w:sz="4" w:space="0" w:color="auto"/>
              <w:bottom w:val="single" w:sz="4" w:space="0" w:color="auto"/>
              <w:right w:val="single" w:sz="4" w:space="0" w:color="auto"/>
            </w:tcBorders>
            <w:vAlign w:val="center"/>
          </w:tcPr>
          <w:p w:rsidR="00FE4D7B" w:rsidRPr="00B74BA2" w:rsidRDefault="00FE4D7B" w:rsidP="00FF1A60">
            <w:pPr>
              <w:keepNext/>
              <w:widowControl/>
              <w:jc w:val="center"/>
              <w:rPr>
                <w:rFonts w:ascii="Arial Narrow" w:hAnsi="Arial Narrow"/>
                <w:sz w:val="20"/>
              </w:rPr>
            </w:pPr>
            <w:r w:rsidRPr="00B74BA2">
              <w:rPr>
                <w:rFonts w:ascii="Arial Narrow" w:hAnsi="Arial Narrow"/>
                <w:sz w:val="20"/>
              </w:rPr>
              <w:t>MSD</w:t>
            </w:r>
          </w:p>
        </w:tc>
      </w:tr>
      <w:tr w:rsidR="00FE4D7B" w:rsidRPr="00B74BA2" w:rsidTr="00FF1A60">
        <w:tblPrEx>
          <w:tblCellMar>
            <w:left w:w="108" w:type="dxa"/>
            <w:right w:w="108" w:type="dxa"/>
          </w:tblCellMar>
          <w:tblLook w:val="04A0" w:firstRow="1" w:lastRow="0" w:firstColumn="1" w:lastColumn="0" w:noHBand="0" w:noVBand="1"/>
        </w:tblPrEx>
        <w:trPr>
          <w:cantSplit/>
        </w:trPr>
        <w:tc>
          <w:tcPr>
            <w:tcW w:w="1172" w:type="pct"/>
            <w:tcBorders>
              <w:top w:val="single" w:sz="4" w:space="0" w:color="auto"/>
              <w:left w:val="single" w:sz="4" w:space="0" w:color="auto"/>
              <w:bottom w:val="single" w:sz="4" w:space="0" w:color="auto"/>
              <w:right w:val="single" w:sz="4" w:space="0" w:color="auto"/>
            </w:tcBorders>
          </w:tcPr>
          <w:p w:rsidR="00FE4D7B" w:rsidRPr="00B74BA2" w:rsidRDefault="00FE4D7B" w:rsidP="00FF1A60">
            <w:pPr>
              <w:pStyle w:val="Tabletext"/>
              <w:rPr>
                <w:b/>
              </w:rPr>
            </w:pPr>
            <w:r w:rsidRPr="00B74BA2">
              <w:rPr>
                <w:b/>
              </w:rPr>
              <w:t>Category / Program</w:t>
            </w:r>
          </w:p>
        </w:tc>
        <w:tc>
          <w:tcPr>
            <w:tcW w:w="3828" w:type="pct"/>
            <w:gridSpan w:val="6"/>
            <w:tcBorders>
              <w:top w:val="single" w:sz="4" w:space="0" w:color="auto"/>
              <w:left w:val="single" w:sz="4" w:space="0" w:color="auto"/>
              <w:bottom w:val="single" w:sz="4" w:space="0" w:color="auto"/>
              <w:right w:val="single" w:sz="4" w:space="0" w:color="auto"/>
            </w:tcBorders>
          </w:tcPr>
          <w:p w:rsidR="00FE4D7B" w:rsidRPr="00B74BA2" w:rsidRDefault="00FE4D7B" w:rsidP="00FF1A60">
            <w:pPr>
              <w:pStyle w:val="Tabletext"/>
              <w:rPr>
                <w:vertAlign w:val="superscript"/>
              </w:rPr>
            </w:pPr>
            <w:r w:rsidRPr="00B74BA2">
              <w:t>Section 100 – Efficient Funding of Chemotherapy</w:t>
            </w:r>
          </w:p>
        </w:tc>
      </w:tr>
      <w:tr w:rsidR="00FE4D7B" w:rsidRPr="00B74BA2" w:rsidTr="00FF1A60">
        <w:tblPrEx>
          <w:tblCellMar>
            <w:left w:w="108" w:type="dxa"/>
            <w:right w:w="108" w:type="dxa"/>
          </w:tblCellMar>
          <w:tblLook w:val="04A0" w:firstRow="1" w:lastRow="0" w:firstColumn="1" w:lastColumn="0" w:noHBand="0" w:noVBand="1"/>
        </w:tblPrEx>
        <w:trPr>
          <w:cantSplit/>
        </w:trPr>
        <w:tc>
          <w:tcPr>
            <w:tcW w:w="1172" w:type="pct"/>
            <w:tcBorders>
              <w:top w:val="single" w:sz="4" w:space="0" w:color="auto"/>
              <w:left w:val="single" w:sz="4" w:space="0" w:color="auto"/>
              <w:bottom w:val="single" w:sz="4" w:space="0" w:color="auto"/>
              <w:right w:val="single" w:sz="4" w:space="0" w:color="auto"/>
            </w:tcBorders>
          </w:tcPr>
          <w:p w:rsidR="00FE4D7B" w:rsidRPr="00B74BA2" w:rsidRDefault="00FE4D7B" w:rsidP="00FF1A60">
            <w:pPr>
              <w:pStyle w:val="Tabletext"/>
              <w:rPr>
                <w:b/>
              </w:rPr>
            </w:pPr>
            <w:r w:rsidRPr="00B74BA2">
              <w:rPr>
                <w:rFonts w:cs="Arial"/>
                <w:b/>
                <w:szCs w:val="20"/>
              </w:rPr>
              <w:t>Prescriber type:</w:t>
            </w:r>
          </w:p>
        </w:tc>
        <w:tc>
          <w:tcPr>
            <w:tcW w:w="3828" w:type="pct"/>
            <w:gridSpan w:val="6"/>
            <w:tcBorders>
              <w:top w:val="single" w:sz="4" w:space="0" w:color="auto"/>
              <w:left w:val="single" w:sz="4" w:space="0" w:color="auto"/>
              <w:bottom w:val="single" w:sz="4" w:space="0" w:color="auto"/>
              <w:right w:val="single" w:sz="4" w:space="0" w:color="auto"/>
            </w:tcBorders>
          </w:tcPr>
          <w:p w:rsidR="00FE4D7B" w:rsidRPr="00B74BA2" w:rsidRDefault="00FE4D7B" w:rsidP="00FF1A60">
            <w:pPr>
              <w:pStyle w:val="Tabletext"/>
            </w:pPr>
            <w:r w:rsidRPr="00B74BA2">
              <w:rPr>
                <w:rFonts w:cs="Arial"/>
                <w:szCs w:val="20"/>
              </w:rPr>
              <w:fldChar w:fldCharType="begin">
                <w:ffData>
                  <w:name w:val="Check1"/>
                  <w:enabled/>
                  <w:calcOnExit w:val="0"/>
                  <w:checkBox>
                    <w:sizeAuto/>
                    <w:default w:val="0"/>
                  </w:checkBox>
                </w:ffData>
              </w:fldChar>
            </w:r>
            <w:r w:rsidRPr="00B74BA2">
              <w:rPr>
                <w:rFonts w:cs="Arial"/>
                <w:szCs w:val="20"/>
              </w:rPr>
              <w:instrText xml:space="preserve"> FORMCHECKBOX </w:instrText>
            </w:r>
            <w:r w:rsidR="007F1726">
              <w:rPr>
                <w:rFonts w:cs="Arial"/>
                <w:szCs w:val="20"/>
              </w:rPr>
            </w:r>
            <w:r w:rsidR="007F1726">
              <w:rPr>
                <w:rFonts w:cs="Arial"/>
                <w:szCs w:val="20"/>
              </w:rPr>
              <w:fldChar w:fldCharType="separate"/>
            </w:r>
            <w:r w:rsidRPr="00B74BA2">
              <w:rPr>
                <w:rFonts w:cs="Arial"/>
                <w:szCs w:val="20"/>
              </w:rPr>
              <w:fldChar w:fldCharType="end"/>
            </w:r>
            <w:r w:rsidRPr="00B74BA2">
              <w:rPr>
                <w:rFonts w:cs="Arial"/>
                <w:szCs w:val="20"/>
              </w:rPr>
              <w:t xml:space="preserve">Dental  </w:t>
            </w:r>
            <w:r w:rsidRPr="00B74BA2">
              <w:rPr>
                <w:rFonts w:cs="Arial"/>
                <w:szCs w:val="20"/>
              </w:rPr>
              <w:fldChar w:fldCharType="begin">
                <w:ffData>
                  <w:name w:val=""/>
                  <w:enabled/>
                  <w:calcOnExit w:val="0"/>
                  <w:checkBox>
                    <w:sizeAuto/>
                    <w:default w:val="1"/>
                  </w:checkBox>
                </w:ffData>
              </w:fldChar>
            </w:r>
            <w:r w:rsidRPr="00B74BA2">
              <w:rPr>
                <w:rFonts w:cs="Arial"/>
                <w:szCs w:val="20"/>
              </w:rPr>
              <w:instrText xml:space="preserve"> FORMCHECKBOX </w:instrText>
            </w:r>
            <w:r w:rsidR="007F1726">
              <w:rPr>
                <w:rFonts w:cs="Arial"/>
                <w:szCs w:val="20"/>
              </w:rPr>
            </w:r>
            <w:r w:rsidR="007F1726">
              <w:rPr>
                <w:rFonts w:cs="Arial"/>
                <w:szCs w:val="20"/>
              </w:rPr>
              <w:fldChar w:fldCharType="separate"/>
            </w:r>
            <w:r w:rsidRPr="00B74BA2">
              <w:rPr>
                <w:rFonts w:cs="Arial"/>
                <w:szCs w:val="20"/>
              </w:rPr>
              <w:fldChar w:fldCharType="end"/>
            </w:r>
            <w:r w:rsidRPr="00B74BA2">
              <w:rPr>
                <w:rFonts w:cs="Arial"/>
                <w:szCs w:val="20"/>
              </w:rPr>
              <w:t xml:space="preserve">Medical Practitioners  </w:t>
            </w:r>
            <w:r w:rsidRPr="00B74BA2">
              <w:rPr>
                <w:rFonts w:cs="Arial"/>
                <w:szCs w:val="20"/>
              </w:rPr>
              <w:fldChar w:fldCharType="begin">
                <w:ffData>
                  <w:name w:val="Check3"/>
                  <w:enabled/>
                  <w:calcOnExit w:val="0"/>
                  <w:checkBox>
                    <w:sizeAuto/>
                    <w:default w:val="0"/>
                  </w:checkBox>
                </w:ffData>
              </w:fldChar>
            </w:r>
            <w:r w:rsidRPr="00B74BA2">
              <w:rPr>
                <w:rFonts w:cs="Arial"/>
                <w:szCs w:val="20"/>
              </w:rPr>
              <w:instrText xml:space="preserve"> FORMCHECKBOX </w:instrText>
            </w:r>
            <w:r w:rsidR="007F1726">
              <w:rPr>
                <w:rFonts w:cs="Arial"/>
                <w:szCs w:val="20"/>
              </w:rPr>
            </w:r>
            <w:r w:rsidR="007F1726">
              <w:rPr>
                <w:rFonts w:cs="Arial"/>
                <w:szCs w:val="20"/>
              </w:rPr>
              <w:fldChar w:fldCharType="separate"/>
            </w:r>
            <w:r w:rsidRPr="00B74BA2">
              <w:rPr>
                <w:rFonts w:cs="Arial"/>
                <w:szCs w:val="20"/>
              </w:rPr>
              <w:fldChar w:fldCharType="end"/>
            </w:r>
            <w:r w:rsidRPr="00B74BA2">
              <w:rPr>
                <w:rFonts w:cs="Arial"/>
                <w:szCs w:val="20"/>
              </w:rPr>
              <w:t xml:space="preserve">Nurse practitioners  </w:t>
            </w:r>
            <w:r w:rsidRPr="00B74BA2">
              <w:rPr>
                <w:rFonts w:cs="Arial"/>
                <w:szCs w:val="20"/>
              </w:rPr>
              <w:fldChar w:fldCharType="begin">
                <w:ffData>
                  <w:name w:val=""/>
                  <w:enabled/>
                  <w:calcOnExit w:val="0"/>
                  <w:checkBox>
                    <w:sizeAuto/>
                    <w:default w:val="0"/>
                  </w:checkBox>
                </w:ffData>
              </w:fldChar>
            </w:r>
            <w:r w:rsidRPr="00B74BA2">
              <w:rPr>
                <w:rFonts w:cs="Arial"/>
                <w:szCs w:val="20"/>
              </w:rPr>
              <w:instrText xml:space="preserve"> FORMCHECKBOX </w:instrText>
            </w:r>
            <w:r w:rsidR="007F1726">
              <w:rPr>
                <w:rFonts w:cs="Arial"/>
                <w:szCs w:val="20"/>
              </w:rPr>
            </w:r>
            <w:r w:rsidR="007F1726">
              <w:rPr>
                <w:rFonts w:cs="Arial"/>
                <w:szCs w:val="20"/>
              </w:rPr>
              <w:fldChar w:fldCharType="separate"/>
            </w:r>
            <w:r w:rsidRPr="00B74BA2">
              <w:rPr>
                <w:rFonts w:cs="Arial"/>
                <w:szCs w:val="20"/>
              </w:rPr>
              <w:fldChar w:fldCharType="end"/>
            </w:r>
            <w:r w:rsidRPr="00B74BA2">
              <w:rPr>
                <w:rFonts w:cs="Arial"/>
                <w:szCs w:val="20"/>
              </w:rPr>
              <w:t xml:space="preserve">Optometrists </w:t>
            </w:r>
            <w:r w:rsidRPr="00B74BA2">
              <w:rPr>
                <w:rFonts w:cs="Arial"/>
                <w:szCs w:val="20"/>
              </w:rPr>
              <w:fldChar w:fldCharType="begin">
                <w:ffData>
                  <w:name w:val="Check5"/>
                  <w:enabled/>
                  <w:calcOnExit w:val="0"/>
                  <w:checkBox>
                    <w:sizeAuto/>
                    <w:default w:val="0"/>
                  </w:checkBox>
                </w:ffData>
              </w:fldChar>
            </w:r>
            <w:r w:rsidRPr="00B74BA2">
              <w:rPr>
                <w:rFonts w:cs="Arial"/>
                <w:szCs w:val="20"/>
              </w:rPr>
              <w:instrText xml:space="preserve"> FORMCHECKBOX </w:instrText>
            </w:r>
            <w:r w:rsidR="007F1726">
              <w:rPr>
                <w:rFonts w:cs="Arial"/>
                <w:szCs w:val="20"/>
              </w:rPr>
            </w:r>
            <w:r w:rsidR="007F1726">
              <w:rPr>
                <w:rFonts w:cs="Arial"/>
                <w:szCs w:val="20"/>
              </w:rPr>
              <w:fldChar w:fldCharType="separate"/>
            </w:r>
            <w:r w:rsidRPr="00B74BA2">
              <w:rPr>
                <w:rFonts w:cs="Arial"/>
                <w:szCs w:val="20"/>
              </w:rPr>
              <w:fldChar w:fldCharType="end"/>
            </w:r>
            <w:r w:rsidRPr="00B74BA2">
              <w:rPr>
                <w:rFonts w:cs="Arial"/>
                <w:szCs w:val="20"/>
              </w:rPr>
              <w:t>Midwives</w:t>
            </w:r>
          </w:p>
        </w:tc>
      </w:tr>
      <w:tr w:rsidR="00FE4D7B" w:rsidRPr="00B74BA2" w:rsidTr="00FF1A60">
        <w:tblPrEx>
          <w:tblCellMar>
            <w:left w:w="108" w:type="dxa"/>
            <w:right w:w="108" w:type="dxa"/>
          </w:tblCellMar>
          <w:tblLook w:val="04A0" w:firstRow="1" w:lastRow="0" w:firstColumn="1" w:lastColumn="0" w:noHBand="0" w:noVBand="1"/>
        </w:tblPrEx>
        <w:trPr>
          <w:cantSplit/>
        </w:trPr>
        <w:tc>
          <w:tcPr>
            <w:tcW w:w="1172" w:type="pct"/>
            <w:tcBorders>
              <w:top w:val="single" w:sz="4" w:space="0" w:color="auto"/>
              <w:left w:val="single" w:sz="4" w:space="0" w:color="auto"/>
              <w:bottom w:val="single" w:sz="4" w:space="0" w:color="auto"/>
              <w:right w:val="single" w:sz="4" w:space="0" w:color="auto"/>
            </w:tcBorders>
            <w:hideMark/>
          </w:tcPr>
          <w:p w:rsidR="00FE4D7B" w:rsidRPr="00B74BA2" w:rsidRDefault="00FE4D7B" w:rsidP="00FF1A60">
            <w:pPr>
              <w:widowControl/>
              <w:rPr>
                <w:rFonts w:ascii="Arial Narrow" w:hAnsi="Arial Narrow"/>
                <w:b/>
                <w:sz w:val="20"/>
                <w:szCs w:val="20"/>
              </w:rPr>
            </w:pPr>
            <w:r w:rsidRPr="00B74BA2">
              <w:rPr>
                <w:rFonts w:ascii="Arial Narrow" w:hAnsi="Arial Narrow"/>
                <w:b/>
                <w:sz w:val="20"/>
                <w:szCs w:val="20"/>
              </w:rPr>
              <w:t>Episodicity:</w:t>
            </w:r>
          </w:p>
        </w:tc>
        <w:tc>
          <w:tcPr>
            <w:tcW w:w="3828" w:type="pct"/>
            <w:gridSpan w:val="6"/>
            <w:tcBorders>
              <w:top w:val="single" w:sz="4" w:space="0" w:color="auto"/>
              <w:left w:val="single" w:sz="4" w:space="0" w:color="auto"/>
              <w:bottom w:val="single" w:sz="4" w:space="0" w:color="auto"/>
              <w:right w:val="single" w:sz="4" w:space="0" w:color="auto"/>
            </w:tcBorders>
            <w:hideMark/>
          </w:tcPr>
          <w:p w:rsidR="00FE4D7B" w:rsidRPr="00B74BA2" w:rsidRDefault="00FE4D7B" w:rsidP="00FF1A60">
            <w:pPr>
              <w:widowControl/>
              <w:rPr>
                <w:rFonts w:ascii="Arial Narrow" w:hAnsi="Arial Narrow"/>
                <w:sz w:val="20"/>
                <w:szCs w:val="20"/>
              </w:rPr>
            </w:pPr>
            <w:r w:rsidRPr="00B74BA2">
              <w:rPr>
                <w:rFonts w:ascii="Arial Narrow" w:hAnsi="Arial Narrow"/>
                <w:sz w:val="20"/>
                <w:szCs w:val="20"/>
              </w:rPr>
              <w:t>Chronic</w:t>
            </w:r>
          </w:p>
        </w:tc>
      </w:tr>
      <w:tr w:rsidR="00FE4D7B" w:rsidRPr="00B74BA2" w:rsidTr="00FF1A60">
        <w:tblPrEx>
          <w:tblCellMar>
            <w:left w:w="108" w:type="dxa"/>
            <w:right w:w="108" w:type="dxa"/>
          </w:tblCellMar>
          <w:tblLook w:val="04A0" w:firstRow="1" w:lastRow="0" w:firstColumn="1" w:lastColumn="0" w:noHBand="0" w:noVBand="1"/>
        </w:tblPrEx>
        <w:trPr>
          <w:cantSplit/>
        </w:trPr>
        <w:tc>
          <w:tcPr>
            <w:tcW w:w="1172" w:type="pct"/>
            <w:tcBorders>
              <w:top w:val="single" w:sz="4" w:space="0" w:color="auto"/>
              <w:left w:val="single" w:sz="4" w:space="0" w:color="auto"/>
              <w:bottom w:val="single" w:sz="4" w:space="0" w:color="auto"/>
              <w:right w:val="single" w:sz="4" w:space="0" w:color="auto"/>
            </w:tcBorders>
            <w:hideMark/>
          </w:tcPr>
          <w:p w:rsidR="00FE4D7B" w:rsidRPr="00B74BA2" w:rsidRDefault="00FE4D7B" w:rsidP="00FF1A60">
            <w:pPr>
              <w:widowControl/>
              <w:rPr>
                <w:rFonts w:ascii="Arial Narrow" w:hAnsi="Arial Narrow"/>
                <w:b/>
                <w:sz w:val="20"/>
                <w:szCs w:val="20"/>
              </w:rPr>
            </w:pPr>
            <w:r w:rsidRPr="00B74BA2">
              <w:rPr>
                <w:rFonts w:ascii="Arial Narrow" w:hAnsi="Arial Narrow"/>
                <w:b/>
                <w:sz w:val="20"/>
                <w:szCs w:val="20"/>
              </w:rPr>
              <w:t>PBS Indication:</w:t>
            </w:r>
          </w:p>
        </w:tc>
        <w:tc>
          <w:tcPr>
            <w:tcW w:w="3828" w:type="pct"/>
            <w:gridSpan w:val="6"/>
            <w:tcBorders>
              <w:top w:val="single" w:sz="4" w:space="0" w:color="auto"/>
              <w:left w:val="single" w:sz="4" w:space="0" w:color="auto"/>
              <w:bottom w:val="single" w:sz="4" w:space="0" w:color="auto"/>
              <w:right w:val="single" w:sz="4" w:space="0" w:color="auto"/>
            </w:tcBorders>
            <w:hideMark/>
          </w:tcPr>
          <w:p w:rsidR="00FE4D7B" w:rsidRPr="00B74BA2" w:rsidRDefault="00FE4D7B" w:rsidP="00FF1A60">
            <w:pPr>
              <w:widowControl/>
              <w:rPr>
                <w:rFonts w:ascii="Arial Narrow" w:hAnsi="Arial Narrow"/>
                <w:sz w:val="20"/>
                <w:szCs w:val="20"/>
              </w:rPr>
            </w:pPr>
            <w:r w:rsidRPr="00B74BA2">
              <w:rPr>
                <w:rFonts w:ascii="Arial Narrow" w:hAnsi="Arial Narrow"/>
                <w:sz w:val="20"/>
                <w:szCs w:val="20"/>
              </w:rPr>
              <w:t>Relapsed or refractory Primary Mediastinal Large B-cell Lymphoma</w:t>
            </w:r>
          </w:p>
        </w:tc>
      </w:tr>
      <w:tr w:rsidR="00FE4D7B" w:rsidRPr="00B74BA2" w:rsidTr="00FF1A60">
        <w:tblPrEx>
          <w:tblCellMar>
            <w:left w:w="108" w:type="dxa"/>
            <w:right w:w="108" w:type="dxa"/>
          </w:tblCellMar>
          <w:tblLook w:val="04A0" w:firstRow="1" w:lastRow="0" w:firstColumn="1" w:lastColumn="0" w:noHBand="0" w:noVBand="1"/>
        </w:tblPrEx>
        <w:trPr>
          <w:cantSplit/>
        </w:trPr>
        <w:tc>
          <w:tcPr>
            <w:tcW w:w="1172" w:type="pct"/>
            <w:tcBorders>
              <w:top w:val="single" w:sz="4" w:space="0" w:color="auto"/>
              <w:left w:val="single" w:sz="4" w:space="0" w:color="auto"/>
              <w:bottom w:val="single" w:sz="4" w:space="0" w:color="auto"/>
              <w:right w:val="single" w:sz="4" w:space="0" w:color="auto"/>
            </w:tcBorders>
            <w:hideMark/>
          </w:tcPr>
          <w:p w:rsidR="00FE4D7B" w:rsidRPr="00B74BA2" w:rsidRDefault="00FE4D7B" w:rsidP="00FF1A60">
            <w:pPr>
              <w:widowControl/>
              <w:rPr>
                <w:rFonts w:ascii="Arial Narrow" w:hAnsi="Arial Narrow"/>
                <w:b/>
                <w:sz w:val="20"/>
                <w:szCs w:val="20"/>
              </w:rPr>
            </w:pPr>
            <w:r w:rsidRPr="00B74BA2">
              <w:rPr>
                <w:rFonts w:ascii="Arial Narrow" w:hAnsi="Arial Narrow"/>
                <w:b/>
                <w:sz w:val="20"/>
                <w:szCs w:val="20"/>
              </w:rPr>
              <w:t>Treatment phase:</w:t>
            </w:r>
          </w:p>
        </w:tc>
        <w:tc>
          <w:tcPr>
            <w:tcW w:w="3828" w:type="pct"/>
            <w:gridSpan w:val="6"/>
            <w:tcBorders>
              <w:top w:val="single" w:sz="4" w:space="0" w:color="auto"/>
              <w:left w:val="single" w:sz="4" w:space="0" w:color="auto"/>
              <w:bottom w:val="single" w:sz="4" w:space="0" w:color="auto"/>
              <w:right w:val="single" w:sz="4" w:space="0" w:color="auto"/>
            </w:tcBorders>
            <w:hideMark/>
          </w:tcPr>
          <w:p w:rsidR="00FE4D7B" w:rsidRPr="00B74BA2" w:rsidRDefault="00FE4D7B" w:rsidP="00FF1A60">
            <w:pPr>
              <w:widowControl/>
              <w:rPr>
                <w:rFonts w:ascii="Arial Narrow" w:hAnsi="Arial Narrow"/>
                <w:sz w:val="20"/>
                <w:szCs w:val="20"/>
              </w:rPr>
            </w:pPr>
            <w:r w:rsidRPr="00B74BA2">
              <w:rPr>
                <w:rFonts w:ascii="Arial Narrow" w:hAnsi="Arial Narrow"/>
                <w:sz w:val="20"/>
                <w:szCs w:val="20"/>
              </w:rPr>
              <w:t>Initial (Grandfathering)</w:t>
            </w:r>
          </w:p>
        </w:tc>
      </w:tr>
      <w:tr w:rsidR="00FE4D7B" w:rsidRPr="00B74BA2" w:rsidTr="00FF1A60">
        <w:tblPrEx>
          <w:tblCellMar>
            <w:left w:w="108" w:type="dxa"/>
            <w:right w:w="108" w:type="dxa"/>
          </w:tblCellMar>
          <w:tblLook w:val="04A0" w:firstRow="1" w:lastRow="0" w:firstColumn="1" w:lastColumn="0" w:noHBand="0" w:noVBand="1"/>
        </w:tblPrEx>
        <w:trPr>
          <w:cantSplit/>
        </w:trPr>
        <w:tc>
          <w:tcPr>
            <w:tcW w:w="1172" w:type="pct"/>
            <w:tcBorders>
              <w:top w:val="single" w:sz="4" w:space="0" w:color="auto"/>
              <w:left w:val="single" w:sz="4" w:space="0" w:color="auto"/>
              <w:bottom w:val="single" w:sz="4" w:space="0" w:color="auto"/>
              <w:right w:val="single" w:sz="4" w:space="0" w:color="auto"/>
            </w:tcBorders>
          </w:tcPr>
          <w:p w:rsidR="00FE4D7B" w:rsidRPr="00B74BA2" w:rsidRDefault="00FE4D7B" w:rsidP="00284086">
            <w:pPr>
              <w:widowControl/>
              <w:rPr>
                <w:rFonts w:ascii="Arial Narrow" w:hAnsi="Arial Narrow"/>
                <w:sz w:val="20"/>
                <w:szCs w:val="20"/>
              </w:rPr>
            </w:pPr>
            <w:r w:rsidRPr="00B74BA2">
              <w:rPr>
                <w:rFonts w:ascii="Arial Narrow" w:hAnsi="Arial Narrow"/>
                <w:b/>
                <w:sz w:val="20"/>
                <w:szCs w:val="20"/>
              </w:rPr>
              <w:t>Restriction:</w:t>
            </w:r>
          </w:p>
        </w:tc>
        <w:tc>
          <w:tcPr>
            <w:tcW w:w="3828" w:type="pct"/>
            <w:gridSpan w:val="6"/>
            <w:tcBorders>
              <w:top w:val="single" w:sz="4" w:space="0" w:color="auto"/>
              <w:left w:val="single" w:sz="4" w:space="0" w:color="auto"/>
              <w:bottom w:val="single" w:sz="4" w:space="0" w:color="auto"/>
              <w:right w:val="single" w:sz="4" w:space="0" w:color="auto"/>
            </w:tcBorders>
          </w:tcPr>
          <w:p w:rsidR="00FE4D7B" w:rsidRPr="00B74BA2" w:rsidRDefault="00FE4D7B" w:rsidP="00284086">
            <w:pPr>
              <w:widowControl/>
              <w:rPr>
                <w:rFonts w:ascii="Arial Narrow" w:hAnsi="Arial Narrow"/>
                <w:sz w:val="20"/>
                <w:szCs w:val="20"/>
              </w:rPr>
            </w:pPr>
            <w:r w:rsidRPr="00B74BA2">
              <w:rPr>
                <w:rFonts w:ascii="Arial Narrow" w:hAnsi="Arial Narrow"/>
                <w:sz w:val="20"/>
                <w:szCs w:val="20"/>
              </w:rPr>
              <w:fldChar w:fldCharType="begin">
                <w:ffData>
                  <w:name w:val=""/>
                  <w:enabled/>
                  <w:calcOnExit w:val="0"/>
                  <w:checkBox>
                    <w:sizeAuto/>
                    <w:default w:val="1"/>
                  </w:checkBox>
                </w:ffData>
              </w:fldChar>
            </w:r>
            <w:r w:rsidRPr="00B74BA2">
              <w:rPr>
                <w:rFonts w:ascii="Arial Narrow" w:hAnsi="Arial Narrow"/>
                <w:sz w:val="20"/>
                <w:szCs w:val="20"/>
              </w:rPr>
              <w:instrText xml:space="preserve"> FORMCHECKBOX </w:instrText>
            </w:r>
            <w:r w:rsidR="007F1726">
              <w:rPr>
                <w:rFonts w:ascii="Arial Narrow" w:hAnsi="Arial Narrow"/>
                <w:sz w:val="20"/>
                <w:szCs w:val="20"/>
              </w:rPr>
            </w:r>
            <w:r w:rsidR="007F1726">
              <w:rPr>
                <w:rFonts w:ascii="Arial Narrow" w:hAnsi="Arial Narrow"/>
                <w:sz w:val="20"/>
                <w:szCs w:val="20"/>
              </w:rPr>
              <w:fldChar w:fldCharType="separate"/>
            </w:r>
            <w:r w:rsidRPr="00B74BA2">
              <w:rPr>
                <w:rFonts w:ascii="Arial Narrow" w:hAnsi="Arial Narrow"/>
                <w:sz w:val="20"/>
                <w:szCs w:val="20"/>
              </w:rPr>
              <w:fldChar w:fldCharType="end"/>
            </w:r>
            <w:r w:rsidRPr="00B74BA2">
              <w:rPr>
                <w:rFonts w:ascii="Arial Narrow" w:hAnsi="Arial Narrow"/>
                <w:sz w:val="20"/>
                <w:szCs w:val="20"/>
              </w:rPr>
              <w:t>Authority Required - In Writing (Section 100 – Efficient Funding of Chemotherapy)</w:t>
            </w:r>
          </w:p>
        </w:tc>
      </w:tr>
      <w:tr w:rsidR="00FE4D7B" w:rsidRPr="00B74BA2" w:rsidTr="00FF1A60">
        <w:tblPrEx>
          <w:tblCellMar>
            <w:left w:w="108" w:type="dxa"/>
            <w:right w:w="108" w:type="dxa"/>
          </w:tblCellMar>
          <w:tblLook w:val="04A0" w:firstRow="1" w:lastRow="0" w:firstColumn="1" w:lastColumn="0" w:noHBand="0" w:noVBand="1"/>
        </w:tblPrEx>
        <w:trPr>
          <w:cantSplit/>
        </w:trPr>
        <w:tc>
          <w:tcPr>
            <w:tcW w:w="1172" w:type="pct"/>
            <w:tcBorders>
              <w:top w:val="single" w:sz="4" w:space="0" w:color="auto"/>
              <w:left w:val="single" w:sz="4" w:space="0" w:color="auto"/>
              <w:bottom w:val="single" w:sz="4" w:space="0" w:color="auto"/>
              <w:right w:val="single" w:sz="4" w:space="0" w:color="auto"/>
            </w:tcBorders>
          </w:tcPr>
          <w:p w:rsidR="00FE4D7B" w:rsidRPr="00B74BA2" w:rsidRDefault="00FE4D7B" w:rsidP="00FF1A60">
            <w:pPr>
              <w:widowControl/>
              <w:rPr>
                <w:rFonts w:ascii="Arial Narrow" w:hAnsi="Arial Narrow"/>
                <w:b/>
                <w:sz w:val="20"/>
                <w:szCs w:val="20"/>
              </w:rPr>
            </w:pPr>
            <w:r w:rsidRPr="00B74BA2">
              <w:rPr>
                <w:rFonts w:ascii="Arial Narrow" w:hAnsi="Arial Narrow"/>
                <w:b/>
                <w:sz w:val="20"/>
                <w:szCs w:val="20"/>
              </w:rPr>
              <w:lastRenderedPageBreak/>
              <w:t>Clinical criteria:</w:t>
            </w:r>
          </w:p>
          <w:p w:rsidR="00FE4D7B" w:rsidRPr="00B74BA2" w:rsidRDefault="00FE4D7B" w:rsidP="00FF1A60">
            <w:pPr>
              <w:widowControl/>
              <w:rPr>
                <w:rFonts w:ascii="Arial Narrow" w:hAnsi="Arial Narrow"/>
                <w:sz w:val="20"/>
                <w:szCs w:val="20"/>
              </w:rPr>
            </w:pPr>
          </w:p>
        </w:tc>
        <w:tc>
          <w:tcPr>
            <w:tcW w:w="3828" w:type="pct"/>
            <w:gridSpan w:val="6"/>
            <w:tcBorders>
              <w:top w:val="single" w:sz="4" w:space="0" w:color="auto"/>
              <w:left w:val="single" w:sz="4" w:space="0" w:color="auto"/>
              <w:bottom w:val="single" w:sz="4" w:space="0" w:color="auto"/>
              <w:right w:val="single" w:sz="4" w:space="0" w:color="auto"/>
            </w:tcBorders>
            <w:hideMark/>
          </w:tcPr>
          <w:p w:rsidR="00FE4D7B" w:rsidRPr="00B74BA2" w:rsidRDefault="00FE4D7B" w:rsidP="00284086">
            <w:pPr>
              <w:widowControl/>
              <w:rPr>
                <w:rFonts w:ascii="Arial Narrow" w:hAnsi="Arial Narrow"/>
                <w:sz w:val="20"/>
                <w:szCs w:val="20"/>
              </w:rPr>
            </w:pPr>
            <w:r w:rsidRPr="00B74BA2">
              <w:rPr>
                <w:rFonts w:ascii="Arial Narrow" w:hAnsi="Arial Narrow"/>
                <w:sz w:val="20"/>
                <w:szCs w:val="20"/>
              </w:rPr>
              <w:t xml:space="preserve">Patient must have received non-PBS-subsidised treatment with </w:t>
            </w:r>
            <w:r w:rsidRPr="009E438D">
              <w:rPr>
                <w:rFonts w:ascii="Arial Narrow" w:hAnsi="Arial Narrow"/>
                <w:strike/>
                <w:sz w:val="20"/>
                <w:szCs w:val="20"/>
              </w:rPr>
              <w:t>a programmed cell death 1 (PD-1) inhibitor</w:t>
            </w:r>
            <w:r w:rsidRPr="00B74BA2">
              <w:rPr>
                <w:rFonts w:ascii="Arial Narrow" w:hAnsi="Arial Narrow"/>
                <w:sz w:val="20"/>
                <w:szCs w:val="20"/>
              </w:rPr>
              <w:t xml:space="preserve"> </w:t>
            </w:r>
            <w:r w:rsidR="009E438D">
              <w:rPr>
                <w:rFonts w:ascii="Arial Narrow" w:hAnsi="Arial Narrow"/>
                <w:i/>
                <w:sz w:val="20"/>
                <w:szCs w:val="20"/>
              </w:rPr>
              <w:t xml:space="preserve">this drug </w:t>
            </w:r>
            <w:r w:rsidRPr="00B74BA2">
              <w:rPr>
                <w:rFonts w:ascii="Arial Narrow" w:hAnsi="Arial Narrow"/>
                <w:sz w:val="20"/>
                <w:szCs w:val="20"/>
              </w:rPr>
              <w:t xml:space="preserve">for this condition prior to </w:t>
            </w:r>
            <w:r w:rsidR="00284086" w:rsidRPr="00284086">
              <w:rPr>
                <w:rFonts w:ascii="Arial Narrow" w:hAnsi="Arial Narrow"/>
                <w:i/>
                <w:sz w:val="20"/>
                <w:szCs w:val="20"/>
              </w:rPr>
              <w:t>[date of listing on the PBS]</w:t>
            </w:r>
            <w:r w:rsidRPr="00284086">
              <w:rPr>
                <w:rFonts w:ascii="Arial Narrow" w:hAnsi="Arial Narrow"/>
                <w:i/>
                <w:sz w:val="20"/>
                <w:szCs w:val="20"/>
              </w:rPr>
              <w:t>,</w:t>
            </w:r>
          </w:p>
          <w:p w:rsidR="00FE4D7B" w:rsidRPr="00284086" w:rsidRDefault="00FE4D7B" w:rsidP="00284086">
            <w:pPr>
              <w:widowControl/>
              <w:rPr>
                <w:rFonts w:ascii="Arial Narrow" w:hAnsi="Arial Narrow"/>
                <w:b/>
                <w:i/>
                <w:sz w:val="20"/>
                <w:szCs w:val="20"/>
              </w:rPr>
            </w:pPr>
            <w:r w:rsidRPr="00284086">
              <w:rPr>
                <w:rFonts w:ascii="Arial Narrow" w:hAnsi="Arial Narrow"/>
                <w:b/>
                <w:i/>
                <w:sz w:val="20"/>
                <w:szCs w:val="20"/>
              </w:rPr>
              <w:t>AND</w:t>
            </w:r>
          </w:p>
          <w:p w:rsidR="00FE4D7B" w:rsidRPr="00284086" w:rsidRDefault="00FE4D7B" w:rsidP="00284086">
            <w:pPr>
              <w:widowControl/>
              <w:snapToGrid w:val="0"/>
              <w:rPr>
                <w:rFonts w:ascii="Arial Narrow" w:hAnsi="Arial Narrow"/>
                <w:b/>
                <w:i/>
                <w:sz w:val="20"/>
                <w:szCs w:val="20"/>
              </w:rPr>
            </w:pPr>
            <w:r w:rsidRPr="00284086">
              <w:rPr>
                <w:rFonts w:ascii="Arial Narrow" w:hAnsi="Arial Narrow"/>
                <w:i/>
                <w:sz w:val="20"/>
                <w:szCs w:val="20"/>
              </w:rPr>
              <w:t xml:space="preserve">Patient must have had refractory Primary Mediastinal Large B-cell Lymphoma following rituximab-based chemotherapy prior to receiving treatment with </w:t>
            </w:r>
            <w:r w:rsidRPr="009E438D">
              <w:rPr>
                <w:rFonts w:ascii="Arial Narrow" w:hAnsi="Arial Narrow"/>
                <w:i/>
                <w:strike/>
                <w:sz w:val="20"/>
                <w:szCs w:val="20"/>
              </w:rPr>
              <w:t>a PD-1 inhibitor</w:t>
            </w:r>
            <w:r w:rsidRPr="00284086">
              <w:rPr>
                <w:rFonts w:ascii="Arial Narrow" w:hAnsi="Arial Narrow"/>
                <w:i/>
                <w:sz w:val="20"/>
                <w:szCs w:val="20"/>
              </w:rPr>
              <w:t xml:space="preserve"> </w:t>
            </w:r>
            <w:r w:rsidR="00D74340">
              <w:rPr>
                <w:rFonts w:ascii="Arial Narrow" w:hAnsi="Arial Narrow"/>
                <w:i/>
                <w:sz w:val="20"/>
                <w:szCs w:val="20"/>
              </w:rPr>
              <w:t xml:space="preserve">this drug </w:t>
            </w:r>
            <w:r w:rsidRPr="00284086">
              <w:rPr>
                <w:rFonts w:ascii="Arial Narrow" w:hAnsi="Arial Narrow"/>
                <w:i/>
                <w:sz w:val="20"/>
                <w:szCs w:val="20"/>
              </w:rPr>
              <w:t xml:space="preserve">for this condition; </w:t>
            </w:r>
            <w:r w:rsidRPr="00284086">
              <w:rPr>
                <w:rFonts w:ascii="Arial Narrow" w:hAnsi="Arial Narrow"/>
                <w:b/>
                <w:i/>
                <w:sz w:val="20"/>
                <w:szCs w:val="20"/>
              </w:rPr>
              <w:t>OR</w:t>
            </w:r>
          </w:p>
          <w:p w:rsidR="00FE4D7B" w:rsidRPr="00284086" w:rsidRDefault="00FE4D7B" w:rsidP="00284086">
            <w:pPr>
              <w:widowControl/>
              <w:snapToGrid w:val="0"/>
              <w:rPr>
                <w:rFonts w:ascii="Arial Narrow" w:hAnsi="Arial Narrow"/>
                <w:i/>
                <w:sz w:val="20"/>
                <w:szCs w:val="20"/>
              </w:rPr>
            </w:pPr>
            <w:r w:rsidRPr="00284086">
              <w:rPr>
                <w:rFonts w:ascii="Arial Narrow" w:hAnsi="Arial Narrow"/>
                <w:i/>
                <w:sz w:val="20"/>
                <w:szCs w:val="20"/>
              </w:rPr>
              <w:t xml:space="preserve">Patient must have had relapsed Primary Mediastinal Large B-cell Lymphoma following at least two prior treatments prior to receiving treatment with </w:t>
            </w:r>
            <w:r w:rsidR="00D74340" w:rsidRPr="009E438D">
              <w:rPr>
                <w:rFonts w:ascii="Arial Narrow" w:hAnsi="Arial Narrow"/>
                <w:i/>
                <w:strike/>
                <w:sz w:val="20"/>
                <w:szCs w:val="20"/>
              </w:rPr>
              <w:t>a PD-1 inhibitor</w:t>
            </w:r>
            <w:r w:rsidR="00D74340" w:rsidRPr="00284086">
              <w:rPr>
                <w:rFonts w:ascii="Arial Narrow" w:hAnsi="Arial Narrow"/>
                <w:i/>
                <w:sz w:val="20"/>
                <w:szCs w:val="20"/>
              </w:rPr>
              <w:t xml:space="preserve"> </w:t>
            </w:r>
            <w:r w:rsidR="00D74340">
              <w:rPr>
                <w:rFonts w:ascii="Arial Narrow" w:hAnsi="Arial Narrow"/>
                <w:i/>
                <w:sz w:val="20"/>
                <w:szCs w:val="20"/>
              </w:rPr>
              <w:t xml:space="preserve">this drug </w:t>
            </w:r>
            <w:r w:rsidRPr="00284086">
              <w:rPr>
                <w:rFonts w:ascii="Arial Narrow" w:hAnsi="Arial Narrow"/>
                <w:i/>
                <w:sz w:val="20"/>
                <w:szCs w:val="20"/>
              </w:rPr>
              <w:t xml:space="preserve">for this condition, </w:t>
            </w:r>
          </w:p>
          <w:p w:rsidR="00FE4D7B" w:rsidRPr="00284086" w:rsidRDefault="00FE4D7B" w:rsidP="00284086">
            <w:pPr>
              <w:widowControl/>
              <w:snapToGrid w:val="0"/>
              <w:rPr>
                <w:rFonts w:ascii="Arial Narrow" w:hAnsi="Arial Narrow"/>
                <w:b/>
                <w:i/>
                <w:sz w:val="20"/>
                <w:szCs w:val="20"/>
              </w:rPr>
            </w:pPr>
            <w:r w:rsidRPr="00284086">
              <w:rPr>
                <w:rFonts w:ascii="Arial Narrow" w:hAnsi="Arial Narrow"/>
                <w:b/>
                <w:i/>
                <w:sz w:val="20"/>
                <w:szCs w:val="20"/>
              </w:rPr>
              <w:t>AND</w:t>
            </w:r>
          </w:p>
          <w:p w:rsidR="00FE4D7B" w:rsidRPr="00284086" w:rsidRDefault="00FE4D7B" w:rsidP="00284086">
            <w:pPr>
              <w:widowControl/>
              <w:snapToGrid w:val="0"/>
              <w:rPr>
                <w:rFonts w:ascii="Arial Narrow" w:hAnsi="Arial Narrow"/>
                <w:b/>
                <w:i/>
                <w:sz w:val="20"/>
                <w:szCs w:val="20"/>
              </w:rPr>
            </w:pPr>
            <w:r w:rsidRPr="00284086">
              <w:rPr>
                <w:rFonts w:ascii="Arial Narrow" w:hAnsi="Arial Narrow"/>
                <w:i/>
                <w:sz w:val="20"/>
                <w:szCs w:val="20"/>
              </w:rPr>
              <w:t xml:space="preserve">Patient must have undergone an autologous stem cell transplant (ASCT) for this condition; </w:t>
            </w:r>
            <w:r w:rsidRPr="00284086">
              <w:rPr>
                <w:rFonts w:ascii="Arial Narrow" w:hAnsi="Arial Narrow"/>
                <w:b/>
                <w:i/>
                <w:sz w:val="20"/>
                <w:szCs w:val="20"/>
              </w:rPr>
              <w:t>OR</w:t>
            </w:r>
          </w:p>
          <w:p w:rsidR="00FE4D7B" w:rsidRPr="00284086" w:rsidRDefault="00FE4D7B" w:rsidP="00284086">
            <w:pPr>
              <w:widowControl/>
              <w:rPr>
                <w:rFonts w:ascii="Arial Narrow" w:hAnsi="Arial Narrow"/>
                <w:i/>
                <w:sz w:val="20"/>
                <w:szCs w:val="20"/>
              </w:rPr>
            </w:pPr>
            <w:r w:rsidRPr="00284086">
              <w:rPr>
                <w:rFonts w:ascii="Arial Narrow" w:hAnsi="Arial Narrow"/>
                <w:i/>
                <w:sz w:val="20"/>
                <w:szCs w:val="20"/>
              </w:rPr>
              <w:t xml:space="preserve">Patient must not have been suitable for ASCT prior to receiving treatment with </w:t>
            </w:r>
            <w:r w:rsidR="00D74340">
              <w:rPr>
                <w:rFonts w:ascii="Arial Narrow" w:hAnsi="Arial Narrow"/>
                <w:i/>
                <w:sz w:val="20"/>
                <w:szCs w:val="20"/>
              </w:rPr>
              <w:t>this drug</w:t>
            </w:r>
            <w:r w:rsidRPr="00284086">
              <w:rPr>
                <w:rFonts w:ascii="Arial Narrow" w:hAnsi="Arial Narrow"/>
                <w:i/>
                <w:sz w:val="20"/>
                <w:szCs w:val="20"/>
              </w:rPr>
              <w:t xml:space="preserve"> for this condition;</w:t>
            </w:r>
          </w:p>
          <w:p w:rsidR="00284086" w:rsidRPr="00B74BA2" w:rsidRDefault="00284086" w:rsidP="00284086">
            <w:pPr>
              <w:widowControl/>
              <w:rPr>
                <w:rFonts w:ascii="Arial Narrow" w:hAnsi="Arial Narrow"/>
                <w:b/>
                <w:sz w:val="20"/>
                <w:szCs w:val="20"/>
              </w:rPr>
            </w:pPr>
            <w:r w:rsidRPr="00B74BA2">
              <w:rPr>
                <w:rFonts w:ascii="Arial Narrow" w:hAnsi="Arial Narrow"/>
                <w:b/>
                <w:sz w:val="20"/>
                <w:szCs w:val="20"/>
              </w:rPr>
              <w:t>AND</w:t>
            </w:r>
          </w:p>
          <w:p w:rsidR="00FE4D7B" w:rsidRPr="00B74BA2" w:rsidRDefault="00FE4D7B" w:rsidP="00284086">
            <w:pPr>
              <w:widowControl/>
              <w:rPr>
                <w:rFonts w:ascii="Arial Narrow" w:hAnsi="Arial Narrow"/>
                <w:sz w:val="20"/>
                <w:szCs w:val="20"/>
              </w:rPr>
            </w:pPr>
            <w:r w:rsidRPr="00B74BA2">
              <w:rPr>
                <w:rFonts w:ascii="Arial Narrow" w:hAnsi="Arial Narrow"/>
                <w:sz w:val="20"/>
                <w:szCs w:val="20"/>
              </w:rPr>
              <w:t>Patient must not have developed disease progression while receiving treatment with a PD-1 inhibitor for this condition,</w:t>
            </w:r>
          </w:p>
          <w:p w:rsidR="00FE4D7B" w:rsidRPr="00B74BA2" w:rsidRDefault="00FE4D7B" w:rsidP="00284086">
            <w:pPr>
              <w:widowControl/>
              <w:rPr>
                <w:rFonts w:ascii="Arial Narrow" w:hAnsi="Arial Narrow"/>
                <w:b/>
                <w:sz w:val="20"/>
                <w:szCs w:val="20"/>
              </w:rPr>
            </w:pPr>
            <w:r w:rsidRPr="00B74BA2">
              <w:rPr>
                <w:rFonts w:ascii="Arial Narrow" w:hAnsi="Arial Narrow"/>
                <w:b/>
                <w:sz w:val="20"/>
                <w:szCs w:val="20"/>
              </w:rPr>
              <w:t>AND</w:t>
            </w:r>
          </w:p>
          <w:p w:rsidR="00FE4D7B" w:rsidRPr="00B74BA2" w:rsidRDefault="00FE4D7B" w:rsidP="00284086">
            <w:pPr>
              <w:widowControl/>
              <w:rPr>
                <w:rFonts w:ascii="Arial Narrow" w:hAnsi="Arial Narrow"/>
                <w:sz w:val="20"/>
                <w:szCs w:val="20"/>
              </w:rPr>
            </w:pPr>
            <w:r w:rsidRPr="00B74BA2">
              <w:rPr>
                <w:rFonts w:ascii="Arial Narrow" w:hAnsi="Arial Narrow"/>
                <w:sz w:val="20"/>
                <w:szCs w:val="20"/>
              </w:rPr>
              <w:t xml:space="preserve">The treatment must be the sole PBS-subsidised therapy for this condition, </w:t>
            </w:r>
          </w:p>
          <w:p w:rsidR="00FE4D7B" w:rsidRPr="00B74BA2" w:rsidRDefault="00FE4D7B" w:rsidP="00284086">
            <w:pPr>
              <w:widowControl/>
              <w:rPr>
                <w:rFonts w:ascii="Arial Narrow" w:hAnsi="Arial Narrow"/>
                <w:b/>
                <w:sz w:val="20"/>
                <w:szCs w:val="20"/>
              </w:rPr>
            </w:pPr>
            <w:r w:rsidRPr="00B74BA2">
              <w:rPr>
                <w:rFonts w:ascii="Arial Narrow" w:hAnsi="Arial Narrow"/>
                <w:b/>
                <w:sz w:val="20"/>
                <w:szCs w:val="20"/>
              </w:rPr>
              <w:t xml:space="preserve">AND </w:t>
            </w:r>
          </w:p>
          <w:p w:rsidR="00FE4D7B" w:rsidRPr="00B74BA2" w:rsidRDefault="00FE4D7B" w:rsidP="00284086">
            <w:pPr>
              <w:widowControl/>
              <w:rPr>
                <w:rFonts w:ascii="Arial Narrow" w:hAnsi="Arial Narrow"/>
                <w:sz w:val="20"/>
                <w:szCs w:val="20"/>
              </w:rPr>
            </w:pPr>
            <w:r w:rsidRPr="00B74BA2">
              <w:rPr>
                <w:rFonts w:ascii="Arial Narrow" w:hAnsi="Arial Narrow"/>
                <w:sz w:val="20"/>
                <w:szCs w:val="20"/>
              </w:rPr>
              <w:t>The treatment must not exceed a total of 35 cycles in a lifetime.</w:t>
            </w:r>
          </w:p>
        </w:tc>
      </w:tr>
      <w:tr w:rsidR="00FE4D7B" w:rsidRPr="00B74BA2" w:rsidTr="00FF1A60">
        <w:tblPrEx>
          <w:tblCellMar>
            <w:left w:w="108" w:type="dxa"/>
            <w:right w:w="108" w:type="dxa"/>
          </w:tblCellMar>
          <w:tblLook w:val="04A0" w:firstRow="1" w:lastRow="0" w:firstColumn="1" w:lastColumn="0" w:noHBand="0" w:noVBand="1"/>
        </w:tblPrEx>
        <w:trPr>
          <w:cantSplit/>
        </w:trPr>
        <w:tc>
          <w:tcPr>
            <w:tcW w:w="1172" w:type="pct"/>
            <w:tcBorders>
              <w:top w:val="single" w:sz="4" w:space="0" w:color="auto"/>
              <w:left w:val="single" w:sz="4" w:space="0" w:color="auto"/>
              <w:bottom w:val="single" w:sz="4" w:space="0" w:color="auto"/>
              <w:right w:val="single" w:sz="4" w:space="0" w:color="auto"/>
            </w:tcBorders>
            <w:hideMark/>
          </w:tcPr>
          <w:p w:rsidR="00FE4D7B" w:rsidRPr="00B74BA2" w:rsidRDefault="00FE4D7B" w:rsidP="00FF1A60">
            <w:pPr>
              <w:widowControl/>
              <w:rPr>
                <w:rFonts w:ascii="Arial Narrow" w:hAnsi="Arial Narrow"/>
                <w:b/>
                <w:sz w:val="20"/>
                <w:szCs w:val="20"/>
              </w:rPr>
            </w:pPr>
            <w:r w:rsidRPr="00B74BA2">
              <w:rPr>
                <w:rFonts w:ascii="Arial Narrow" w:hAnsi="Arial Narrow"/>
                <w:b/>
                <w:sz w:val="20"/>
                <w:szCs w:val="20"/>
              </w:rPr>
              <w:t>Prescriber instructions:</w:t>
            </w:r>
          </w:p>
        </w:tc>
        <w:tc>
          <w:tcPr>
            <w:tcW w:w="3828" w:type="pct"/>
            <w:gridSpan w:val="6"/>
            <w:tcBorders>
              <w:top w:val="single" w:sz="4" w:space="0" w:color="auto"/>
              <w:left w:val="single" w:sz="4" w:space="0" w:color="auto"/>
              <w:bottom w:val="single" w:sz="4" w:space="0" w:color="auto"/>
              <w:right w:val="single" w:sz="4" w:space="0" w:color="auto"/>
            </w:tcBorders>
          </w:tcPr>
          <w:p w:rsidR="00FE4D7B" w:rsidRPr="00B74BA2" w:rsidRDefault="00FE4D7B" w:rsidP="00FF1A60">
            <w:pPr>
              <w:widowControl/>
              <w:rPr>
                <w:rFonts w:ascii="Arial Narrow" w:hAnsi="Arial Narrow"/>
                <w:sz w:val="20"/>
                <w:szCs w:val="20"/>
              </w:rPr>
            </w:pPr>
            <w:r w:rsidRPr="00B74BA2">
              <w:rPr>
                <w:rFonts w:ascii="Arial Narrow" w:hAnsi="Arial Narrow"/>
                <w:sz w:val="20"/>
                <w:szCs w:val="20"/>
              </w:rPr>
              <w:t>A patient may qualify for PBS-subsidised treatment under this restriction once only. For continuing PBS-subsidised treatment, a Grandfathered patient must qualify under the Continuing treatment criteria.</w:t>
            </w:r>
          </w:p>
          <w:p w:rsidR="00FE4D7B" w:rsidRPr="00B74BA2" w:rsidRDefault="00FE4D7B" w:rsidP="00FF1A60">
            <w:pPr>
              <w:widowControl/>
              <w:rPr>
                <w:rFonts w:ascii="Arial Narrow" w:hAnsi="Arial Narrow"/>
                <w:sz w:val="20"/>
                <w:szCs w:val="20"/>
              </w:rPr>
            </w:pPr>
          </w:p>
          <w:p w:rsidR="00FE4D7B" w:rsidRPr="00B74BA2" w:rsidRDefault="00FE4D7B" w:rsidP="00FF1A60">
            <w:pPr>
              <w:widowControl/>
              <w:rPr>
                <w:rFonts w:ascii="Arial Narrow" w:hAnsi="Arial Narrow"/>
                <w:sz w:val="20"/>
                <w:szCs w:val="20"/>
              </w:rPr>
            </w:pPr>
            <w:r w:rsidRPr="00B74BA2">
              <w:rPr>
                <w:rFonts w:ascii="Arial Narrow" w:hAnsi="Arial Narrow"/>
                <w:sz w:val="20"/>
                <w:szCs w:val="20"/>
              </w:rPr>
              <w:t>Applications for authorisation of initial treatment must be in writing and must include:</w:t>
            </w:r>
          </w:p>
          <w:p w:rsidR="00FE4D7B" w:rsidRPr="00B74BA2" w:rsidRDefault="00FE4D7B" w:rsidP="00FF1A60">
            <w:pPr>
              <w:widowControl/>
              <w:rPr>
                <w:rFonts w:ascii="Arial Narrow" w:hAnsi="Arial Narrow"/>
                <w:sz w:val="20"/>
                <w:szCs w:val="20"/>
              </w:rPr>
            </w:pPr>
            <w:r w:rsidRPr="00B74BA2">
              <w:rPr>
                <w:rFonts w:ascii="Arial Narrow" w:hAnsi="Arial Narrow"/>
                <w:sz w:val="20"/>
                <w:szCs w:val="20"/>
              </w:rPr>
              <w:t>(a) a completed authority prescription form;</w:t>
            </w:r>
          </w:p>
          <w:p w:rsidR="00FE4D7B" w:rsidRPr="00B74BA2" w:rsidRDefault="00FE4D7B" w:rsidP="00FF1A60">
            <w:pPr>
              <w:widowControl/>
              <w:rPr>
                <w:rFonts w:ascii="Arial Narrow" w:hAnsi="Arial Narrow"/>
                <w:sz w:val="20"/>
                <w:szCs w:val="20"/>
              </w:rPr>
            </w:pPr>
            <w:r w:rsidRPr="00B74BA2">
              <w:rPr>
                <w:rFonts w:ascii="Arial Narrow" w:hAnsi="Arial Narrow"/>
                <w:sz w:val="20"/>
                <w:szCs w:val="20"/>
              </w:rPr>
              <w:t xml:space="preserve">(b) </w:t>
            </w:r>
            <w:proofErr w:type="gramStart"/>
            <w:r w:rsidRPr="00B74BA2">
              <w:rPr>
                <w:rFonts w:ascii="Arial Narrow" w:hAnsi="Arial Narrow"/>
                <w:sz w:val="20"/>
                <w:szCs w:val="20"/>
              </w:rPr>
              <w:t>a</w:t>
            </w:r>
            <w:proofErr w:type="gramEnd"/>
            <w:r w:rsidRPr="00B74BA2">
              <w:rPr>
                <w:rFonts w:ascii="Arial Narrow" w:hAnsi="Arial Narrow"/>
                <w:sz w:val="20"/>
                <w:szCs w:val="20"/>
              </w:rPr>
              <w:t xml:space="preserve"> completed Primary Mediastinal Large B-cell Lymphoma pembrolizumab PBS Authority Application for Grandfathered patients.</w:t>
            </w:r>
          </w:p>
        </w:tc>
      </w:tr>
      <w:tr w:rsidR="00FE4D7B" w:rsidRPr="00B74BA2" w:rsidTr="00FF1A60">
        <w:tblPrEx>
          <w:tblCellMar>
            <w:left w:w="108" w:type="dxa"/>
            <w:right w:w="108" w:type="dxa"/>
          </w:tblCellMar>
          <w:tblLook w:val="04A0" w:firstRow="1" w:lastRow="0" w:firstColumn="1" w:lastColumn="0" w:noHBand="0" w:noVBand="1"/>
        </w:tblPrEx>
        <w:trPr>
          <w:cantSplit/>
          <w:trHeight w:val="576"/>
        </w:trPr>
        <w:tc>
          <w:tcPr>
            <w:tcW w:w="1172" w:type="pct"/>
            <w:tcBorders>
              <w:top w:val="single" w:sz="4" w:space="0" w:color="auto"/>
              <w:left w:val="single" w:sz="4" w:space="0" w:color="auto"/>
              <w:bottom w:val="single" w:sz="4" w:space="0" w:color="auto"/>
              <w:right w:val="single" w:sz="4" w:space="0" w:color="auto"/>
            </w:tcBorders>
            <w:hideMark/>
          </w:tcPr>
          <w:p w:rsidR="00FE4D7B" w:rsidRPr="00B74BA2" w:rsidRDefault="00FE4D7B" w:rsidP="00FF1A60">
            <w:pPr>
              <w:widowControl/>
              <w:rPr>
                <w:rFonts w:ascii="Arial Narrow" w:hAnsi="Arial Narrow"/>
                <w:b/>
                <w:sz w:val="20"/>
                <w:szCs w:val="20"/>
              </w:rPr>
            </w:pPr>
            <w:r w:rsidRPr="00B74BA2">
              <w:rPr>
                <w:rFonts w:ascii="Arial Narrow" w:hAnsi="Arial Narrow"/>
                <w:b/>
                <w:sz w:val="20"/>
                <w:szCs w:val="20"/>
              </w:rPr>
              <w:t>Administrative Advice:</w:t>
            </w:r>
          </w:p>
        </w:tc>
        <w:tc>
          <w:tcPr>
            <w:tcW w:w="3828" w:type="pct"/>
            <w:gridSpan w:val="6"/>
            <w:tcBorders>
              <w:top w:val="single" w:sz="4" w:space="0" w:color="auto"/>
              <w:left w:val="single" w:sz="4" w:space="0" w:color="auto"/>
              <w:bottom w:val="single" w:sz="4" w:space="0" w:color="auto"/>
              <w:right w:val="single" w:sz="4" w:space="0" w:color="auto"/>
            </w:tcBorders>
          </w:tcPr>
          <w:p w:rsidR="00FE4D7B" w:rsidRPr="00B74BA2" w:rsidRDefault="00FE4D7B" w:rsidP="00FF1A60">
            <w:pPr>
              <w:widowControl/>
              <w:snapToGrid w:val="0"/>
              <w:rPr>
                <w:rFonts w:ascii="Arial Narrow" w:hAnsi="Arial Narrow"/>
                <w:sz w:val="20"/>
                <w:szCs w:val="20"/>
              </w:rPr>
            </w:pPr>
            <w:r w:rsidRPr="00B74BA2">
              <w:rPr>
                <w:rFonts w:ascii="Arial Narrow" w:hAnsi="Arial Narrow"/>
                <w:sz w:val="20"/>
                <w:szCs w:val="20"/>
              </w:rPr>
              <w:t xml:space="preserve">Any queries concerning the arrangements to prescribe may be directed to the Department of Human Services on 1800 700 270 (hours of operation 8 a.m. to 5 p.m. EST Monday to Friday). </w:t>
            </w:r>
          </w:p>
          <w:p w:rsidR="00FE4D7B" w:rsidRPr="00B74BA2" w:rsidRDefault="00FE4D7B" w:rsidP="00FF1A60">
            <w:pPr>
              <w:widowControl/>
              <w:snapToGrid w:val="0"/>
              <w:rPr>
                <w:rFonts w:ascii="Arial Narrow" w:hAnsi="Arial Narrow"/>
                <w:sz w:val="20"/>
                <w:szCs w:val="20"/>
              </w:rPr>
            </w:pPr>
          </w:p>
          <w:p w:rsidR="00FE4D7B" w:rsidRPr="00B74BA2" w:rsidRDefault="00FE4D7B" w:rsidP="00FF1A60">
            <w:pPr>
              <w:widowControl/>
              <w:snapToGrid w:val="0"/>
              <w:rPr>
                <w:rFonts w:ascii="Arial Narrow" w:hAnsi="Arial Narrow"/>
                <w:sz w:val="20"/>
                <w:szCs w:val="20"/>
              </w:rPr>
            </w:pPr>
            <w:r w:rsidRPr="00B74BA2">
              <w:rPr>
                <w:rFonts w:ascii="Arial Narrow" w:hAnsi="Arial Narrow"/>
                <w:sz w:val="20"/>
                <w:szCs w:val="20"/>
              </w:rPr>
              <w:t>Prescribing information (including Authority Application forms and other relevant documentation as applicable) is available on the Department of Human Services website at www.humanservices.gov.au.</w:t>
            </w:r>
          </w:p>
          <w:p w:rsidR="00FE4D7B" w:rsidRPr="00B74BA2" w:rsidRDefault="00FE4D7B" w:rsidP="00FF1A60">
            <w:pPr>
              <w:widowControl/>
              <w:snapToGrid w:val="0"/>
              <w:rPr>
                <w:rFonts w:ascii="Arial Narrow" w:hAnsi="Arial Narrow"/>
                <w:sz w:val="20"/>
                <w:szCs w:val="20"/>
              </w:rPr>
            </w:pPr>
          </w:p>
          <w:p w:rsidR="00FE4D7B" w:rsidRPr="00B74BA2" w:rsidRDefault="00FE4D7B" w:rsidP="00FF1A60">
            <w:pPr>
              <w:widowControl/>
              <w:snapToGrid w:val="0"/>
              <w:rPr>
                <w:rFonts w:ascii="Arial Narrow" w:hAnsi="Arial Narrow"/>
                <w:sz w:val="20"/>
                <w:szCs w:val="20"/>
              </w:rPr>
            </w:pPr>
            <w:r w:rsidRPr="00B74BA2">
              <w:rPr>
                <w:rFonts w:ascii="Arial Narrow" w:hAnsi="Arial Narrow"/>
                <w:sz w:val="20"/>
                <w:szCs w:val="20"/>
              </w:rPr>
              <w:t xml:space="preserve">Applications for authority to prescribe should be forwarded to: </w:t>
            </w:r>
          </w:p>
          <w:p w:rsidR="00FE4D7B" w:rsidRPr="00B74BA2" w:rsidRDefault="00FE4D7B" w:rsidP="00FF1A60">
            <w:pPr>
              <w:widowControl/>
              <w:snapToGrid w:val="0"/>
              <w:rPr>
                <w:rFonts w:ascii="Arial Narrow" w:hAnsi="Arial Narrow"/>
                <w:sz w:val="20"/>
                <w:szCs w:val="20"/>
              </w:rPr>
            </w:pPr>
            <w:r w:rsidRPr="00B74BA2">
              <w:rPr>
                <w:rFonts w:ascii="Arial Narrow" w:hAnsi="Arial Narrow"/>
                <w:sz w:val="20"/>
                <w:szCs w:val="20"/>
              </w:rPr>
              <w:t>Department of Human Services</w:t>
            </w:r>
          </w:p>
          <w:p w:rsidR="00FE4D7B" w:rsidRPr="00B74BA2" w:rsidRDefault="00FE4D7B" w:rsidP="00FF1A60">
            <w:pPr>
              <w:widowControl/>
              <w:snapToGrid w:val="0"/>
              <w:rPr>
                <w:rFonts w:ascii="Arial Narrow" w:hAnsi="Arial Narrow"/>
                <w:sz w:val="20"/>
                <w:szCs w:val="20"/>
              </w:rPr>
            </w:pPr>
            <w:r w:rsidRPr="00B74BA2">
              <w:rPr>
                <w:rFonts w:ascii="Arial Narrow" w:hAnsi="Arial Narrow"/>
                <w:sz w:val="20"/>
                <w:szCs w:val="20"/>
              </w:rPr>
              <w:t>Complex Drugs</w:t>
            </w:r>
          </w:p>
          <w:p w:rsidR="00FE4D7B" w:rsidRPr="00B74BA2" w:rsidRDefault="00FE4D7B" w:rsidP="00FF1A60">
            <w:pPr>
              <w:widowControl/>
              <w:snapToGrid w:val="0"/>
              <w:rPr>
                <w:rFonts w:ascii="Arial Narrow" w:hAnsi="Arial Narrow"/>
                <w:sz w:val="20"/>
                <w:szCs w:val="20"/>
              </w:rPr>
            </w:pPr>
            <w:r w:rsidRPr="00B74BA2">
              <w:rPr>
                <w:rFonts w:ascii="Arial Narrow" w:hAnsi="Arial Narrow"/>
                <w:sz w:val="20"/>
                <w:szCs w:val="20"/>
              </w:rPr>
              <w:t xml:space="preserve">Reply Paid 9826 </w:t>
            </w:r>
          </w:p>
          <w:p w:rsidR="00FE4D7B" w:rsidRPr="00B74BA2" w:rsidRDefault="00FE4D7B" w:rsidP="00FF1A60">
            <w:pPr>
              <w:widowControl/>
              <w:snapToGrid w:val="0"/>
              <w:rPr>
                <w:rFonts w:ascii="Arial Narrow" w:hAnsi="Arial Narrow"/>
                <w:sz w:val="20"/>
                <w:szCs w:val="20"/>
              </w:rPr>
            </w:pPr>
            <w:r w:rsidRPr="00B74BA2">
              <w:rPr>
                <w:rFonts w:ascii="Arial Narrow" w:hAnsi="Arial Narrow"/>
                <w:sz w:val="20"/>
                <w:szCs w:val="20"/>
              </w:rPr>
              <w:t>HOBART TAS 7001</w:t>
            </w:r>
          </w:p>
          <w:p w:rsidR="00FE4D7B" w:rsidRPr="00B74BA2" w:rsidRDefault="00FE4D7B" w:rsidP="00FF1A60">
            <w:pPr>
              <w:widowControl/>
              <w:snapToGrid w:val="0"/>
              <w:rPr>
                <w:rFonts w:ascii="Arial Narrow" w:hAnsi="Arial Narrow"/>
                <w:sz w:val="20"/>
                <w:szCs w:val="20"/>
              </w:rPr>
            </w:pPr>
          </w:p>
          <w:p w:rsidR="00FE4D7B" w:rsidRPr="00B74BA2" w:rsidRDefault="00FE4D7B" w:rsidP="00FF1A60">
            <w:pPr>
              <w:widowControl/>
              <w:snapToGrid w:val="0"/>
              <w:rPr>
                <w:rFonts w:ascii="Arial Narrow" w:hAnsi="Arial Narrow"/>
                <w:sz w:val="20"/>
                <w:szCs w:val="20"/>
              </w:rPr>
            </w:pPr>
            <w:r w:rsidRPr="00B74BA2">
              <w:rPr>
                <w:rFonts w:ascii="Arial Narrow" w:hAnsi="Arial Narrow"/>
                <w:sz w:val="20"/>
                <w:szCs w:val="20"/>
              </w:rPr>
              <w:t>No increase in the maximum quantity or number of units may be authorised.</w:t>
            </w:r>
          </w:p>
          <w:p w:rsidR="00FE4D7B" w:rsidRPr="00B74BA2" w:rsidRDefault="00FE4D7B" w:rsidP="00FF1A60">
            <w:pPr>
              <w:widowControl/>
              <w:snapToGrid w:val="0"/>
              <w:rPr>
                <w:rFonts w:ascii="Arial Narrow" w:hAnsi="Arial Narrow"/>
                <w:sz w:val="20"/>
                <w:szCs w:val="20"/>
              </w:rPr>
            </w:pPr>
          </w:p>
          <w:p w:rsidR="00FE4D7B" w:rsidRPr="00B74BA2" w:rsidRDefault="00FE4D7B" w:rsidP="00FF1A60">
            <w:pPr>
              <w:widowControl/>
              <w:snapToGrid w:val="0"/>
              <w:rPr>
                <w:rFonts w:ascii="Arial Narrow" w:hAnsi="Arial Narrow"/>
                <w:sz w:val="20"/>
                <w:szCs w:val="20"/>
              </w:rPr>
            </w:pPr>
            <w:r w:rsidRPr="00B74BA2">
              <w:rPr>
                <w:rFonts w:ascii="Arial Narrow" w:hAnsi="Arial Narrow"/>
                <w:sz w:val="20"/>
                <w:szCs w:val="20"/>
              </w:rPr>
              <w:t>No increase in the maximum number of repeats may be authorised.</w:t>
            </w:r>
          </w:p>
        </w:tc>
      </w:tr>
      <w:tr w:rsidR="00FE4D7B" w:rsidRPr="00B74BA2" w:rsidTr="00FF1A60">
        <w:tblPrEx>
          <w:tblCellMar>
            <w:left w:w="108" w:type="dxa"/>
            <w:right w:w="108" w:type="dxa"/>
          </w:tblCellMar>
          <w:tblLook w:val="04A0" w:firstRow="1" w:lastRow="0" w:firstColumn="1" w:lastColumn="0" w:noHBand="0" w:noVBand="1"/>
        </w:tblPrEx>
        <w:trPr>
          <w:cantSplit/>
          <w:trHeight w:val="295"/>
        </w:trPr>
        <w:tc>
          <w:tcPr>
            <w:tcW w:w="1172" w:type="pct"/>
            <w:tcBorders>
              <w:top w:val="single" w:sz="4" w:space="0" w:color="auto"/>
              <w:left w:val="single" w:sz="4" w:space="0" w:color="auto"/>
              <w:bottom w:val="single" w:sz="4" w:space="0" w:color="auto"/>
              <w:right w:val="single" w:sz="4" w:space="0" w:color="auto"/>
            </w:tcBorders>
            <w:hideMark/>
          </w:tcPr>
          <w:p w:rsidR="00FE4D7B" w:rsidRPr="00B74BA2" w:rsidRDefault="00FE4D7B" w:rsidP="00FF1A60">
            <w:pPr>
              <w:widowControl/>
              <w:rPr>
                <w:rFonts w:ascii="Arial Narrow" w:hAnsi="Arial Narrow"/>
                <w:b/>
                <w:sz w:val="20"/>
                <w:szCs w:val="20"/>
              </w:rPr>
            </w:pPr>
            <w:r w:rsidRPr="00B74BA2">
              <w:rPr>
                <w:rFonts w:ascii="Arial Narrow" w:hAnsi="Arial Narrow"/>
                <w:b/>
                <w:sz w:val="20"/>
                <w:szCs w:val="20"/>
              </w:rPr>
              <w:t>Notes</w:t>
            </w:r>
          </w:p>
        </w:tc>
        <w:tc>
          <w:tcPr>
            <w:tcW w:w="3828" w:type="pct"/>
            <w:gridSpan w:val="6"/>
            <w:tcBorders>
              <w:top w:val="single" w:sz="4" w:space="0" w:color="auto"/>
              <w:left w:val="single" w:sz="4" w:space="0" w:color="auto"/>
              <w:bottom w:val="single" w:sz="4" w:space="0" w:color="auto"/>
              <w:right w:val="single" w:sz="4" w:space="0" w:color="auto"/>
            </w:tcBorders>
            <w:hideMark/>
          </w:tcPr>
          <w:p w:rsidR="00FE4D7B" w:rsidRPr="00B74BA2" w:rsidRDefault="00FE4D7B" w:rsidP="00FF1A60">
            <w:pPr>
              <w:widowControl/>
              <w:snapToGrid w:val="0"/>
              <w:rPr>
                <w:rFonts w:ascii="Arial Narrow" w:hAnsi="Arial Narrow"/>
                <w:sz w:val="20"/>
                <w:szCs w:val="20"/>
              </w:rPr>
            </w:pPr>
            <w:r w:rsidRPr="00B74BA2">
              <w:rPr>
                <w:rFonts w:ascii="Arial Narrow" w:hAnsi="Arial Narrow"/>
                <w:sz w:val="20"/>
                <w:szCs w:val="20"/>
              </w:rPr>
              <w:t>Special pricing Arrangements apply.</w:t>
            </w:r>
          </w:p>
        </w:tc>
      </w:tr>
    </w:tbl>
    <w:p w:rsidR="00756309" w:rsidRDefault="00756309" w:rsidP="0091423A">
      <w:pPr>
        <w:widowControl/>
        <w:rPr>
          <w:rFonts w:ascii="Arial Narrow" w:hAnsi="Arial Narrow"/>
          <w:sz w:val="18"/>
          <w:szCs w:val="20"/>
        </w:rPr>
      </w:pPr>
    </w:p>
    <w:p w:rsidR="00FE4D7B" w:rsidRDefault="00FE4D7B" w:rsidP="00F2263C">
      <w:pPr>
        <w:pStyle w:val="ListParagraph"/>
        <w:widowControl/>
        <w:numPr>
          <w:ilvl w:val="1"/>
          <w:numId w:val="1"/>
        </w:numPr>
        <w:rPr>
          <w:rFonts w:ascii="Arial Narrow" w:hAnsi="Arial Narrow"/>
          <w:sz w:val="18"/>
          <w:szCs w:val="20"/>
        </w:rPr>
      </w:pPr>
      <w:r w:rsidRPr="00B74BA2">
        <w:t xml:space="preserve">The submission proposed a special pricing arrangement (SPA) with </w:t>
      </w:r>
      <w:r w:rsidRPr="00B74BA2">
        <w:rPr>
          <w:color w:val="000000" w:themeColor="text1"/>
        </w:rPr>
        <w:t>an effective AEMP of $</w:t>
      </w:r>
      <w:r w:rsidR="00132A6D">
        <w:rPr>
          <w:noProof/>
          <w:color w:val="000000"/>
          <w:highlight w:val="black"/>
        </w:rPr>
        <w:t>''''''''''</w:t>
      </w:r>
      <w:r w:rsidRPr="00B74BA2">
        <w:rPr>
          <w:color w:val="000000" w:themeColor="text1"/>
        </w:rPr>
        <w:t xml:space="preserve"> per </w:t>
      </w:r>
      <w:r w:rsidRPr="00B74BA2">
        <w:t>100 mg vial.</w:t>
      </w:r>
    </w:p>
    <w:p w:rsidR="002A2351" w:rsidRPr="00B74BA2" w:rsidRDefault="005D4DB8" w:rsidP="00F2263C">
      <w:pPr>
        <w:pStyle w:val="ListParagraph"/>
        <w:widowControl/>
        <w:numPr>
          <w:ilvl w:val="1"/>
          <w:numId w:val="1"/>
        </w:numPr>
      </w:pPr>
      <w:r w:rsidRPr="00B74BA2">
        <w:t xml:space="preserve">The requested restriction </w:t>
      </w:r>
      <w:r w:rsidR="007B0182" w:rsidRPr="00B74BA2">
        <w:t>wa</w:t>
      </w:r>
      <w:r w:rsidRPr="00B74BA2">
        <w:t xml:space="preserve">s </w:t>
      </w:r>
      <w:r w:rsidR="00B80E65" w:rsidRPr="00B74BA2">
        <w:t xml:space="preserve">narrower than </w:t>
      </w:r>
      <w:r w:rsidRPr="00B74BA2">
        <w:t>the proposed TGA indication</w:t>
      </w:r>
      <w:r w:rsidR="00D57BCB" w:rsidRPr="00B74BA2">
        <w:t xml:space="preserve"> as the </w:t>
      </w:r>
      <w:r w:rsidR="00BD1FFB" w:rsidRPr="00B74BA2">
        <w:t>proposed criteria</w:t>
      </w:r>
      <w:r w:rsidR="00D57BCB" w:rsidRPr="00B74BA2">
        <w:t xml:space="preserve"> state that the patient must have either undergone an autologous stem cell transplant (ASCT) or be unsuitable for </w:t>
      </w:r>
      <w:r w:rsidR="00BD1FFB" w:rsidRPr="00B74BA2">
        <w:t xml:space="preserve">an </w:t>
      </w:r>
      <w:r w:rsidR="00D57BCB" w:rsidRPr="00B74BA2">
        <w:t>ASCT</w:t>
      </w:r>
      <w:r w:rsidR="00B80E65" w:rsidRPr="00B74BA2">
        <w:t>.</w:t>
      </w:r>
      <w:r w:rsidR="00D57BCB" w:rsidRPr="00B74BA2">
        <w:t xml:space="preserve"> ASCT </w:t>
      </w:r>
      <w:r w:rsidR="00BD1FFB" w:rsidRPr="00B74BA2">
        <w:t xml:space="preserve">eligibility </w:t>
      </w:r>
      <w:r w:rsidR="00D57BCB" w:rsidRPr="00B74BA2">
        <w:t xml:space="preserve">is a potentially subjective criterion, particularly in the context of </w:t>
      </w:r>
      <w:r w:rsidR="006441B9" w:rsidRPr="00B74BA2">
        <w:t xml:space="preserve">pembrolizumab having a potential therapeutic role as a bridge to </w:t>
      </w:r>
      <w:r w:rsidR="00BD1FFB" w:rsidRPr="00B74BA2">
        <w:t xml:space="preserve">transplant </w:t>
      </w:r>
      <w:r w:rsidR="006441B9" w:rsidRPr="00B74BA2">
        <w:t>in some patients</w:t>
      </w:r>
      <w:r w:rsidR="00D57BCB" w:rsidRPr="00B74BA2">
        <w:t xml:space="preserve">. </w:t>
      </w:r>
      <w:r w:rsidR="000F7683">
        <w:t xml:space="preserve">The PBAC also </w:t>
      </w:r>
      <w:r w:rsidR="000F7683">
        <w:lastRenderedPageBreak/>
        <w:t xml:space="preserve">noted that eligibility for </w:t>
      </w:r>
      <w:r w:rsidR="00AD4EDF">
        <w:t>ASCT</w:t>
      </w:r>
      <w:r w:rsidR="000F7683">
        <w:t xml:space="preserve"> can change according to a patient’s clinical status post-treatment.</w:t>
      </w:r>
    </w:p>
    <w:p w:rsidR="001C6EC9" w:rsidRPr="00B74BA2" w:rsidRDefault="00E07E3F" w:rsidP="00F2263C">
      <w:pPr>
        <w:pStyle w:val="ListParagraph"/>
        <w:widowControl/>
        <w:numPr>
          <w:ilvl w:val="1"/>
          <w:numId w:val="1"/>
        </w:numPr>
      </w:pPr>
      <w:r w:rsidRPr="00B74BA2">
        <w:t xml:space="preserve">The ESC </w:t>
      </w:r>
      <w:r w:rsidR="000F7683">
        <w:t xml:space="preserve">and </w:t>
      </w:r>
      <w:r w:rsidR="00686364">
        <w:t xml:space="preserve">the </w:t>
      </w:r>
      <w:r w:rsidR="000F7683">
        <w:t xml:space="preserve">PBAC </w:t>
      </w:r>
      <w:r w:rsidRPr="00B74BA2">
        <w:t xml:space="preserve">noted that the criterion around unsuitability for an ASCT was potentially subjective, but considered that </w:t>
      </w:r>
      <w:r w:rsidR="001C6EC9" w:rsidRPr="00B74BA2">
        <w:t xml:space="preserve">clinical judgement </w:t>
      </w:r>
      <w:r w:rsidRPr="00B74BA2">
        <w:t xml:space="preserve">was required as many factors </w:t>
      </w:r>
      <w:r w:rsidR="00744E27" w:rsidRPr="00B74BA2">
        <w:t xml:space="preserve">are used to </w:t>
      </w:r>
      <w:r w:rsidRPr="00B74BA2">
        <w:t>determin</w:t>
      </w:r>
      <w:r w:rsidR="00744E27" w:rsidRPr="00B74BA2">
        <w:t>e</w:t>
      </w:r>
      <w:r w:rsidRPr="00B74BA2">
        <w:t xml:space="preserve"> ASCT eligibility. </w:t>
      </w:r>
      <w:r w:rsidR="00BE7BD7">
        <w:t>As such, t</w:t>
      </w:r>
      <w:r w:rsidR="000F7683">
        <w:t xml:space="preserve">he PBAC considered that </w:t>
      </w:r>
      <w:r w:rsidR="00AD4EDF">
        <w:t>unsuitability for ASCT should not be further defined in th</w:t>
      </w:r>
      <w:r w:rsidR="000F7683">
        <w:t xml:space="preserve">e restriction, consistent with the </w:t>
      </w:r>
      <w:r w:rsidR="00AD4EDF">
        <w:t xml:space="preserve">restrictions for </w:t>
      </w:r>
      <w:r w:rsidR="00AD4EDF" w:rsidRPr="00AD4EDF">
        <w:t>brentux</w:t>
      </w:r>
      <w:r w:rsidR="00AD4EDF">
        <w:t xml:space="preserve">imab vedotin and pembrolizumab </w:t>
      </w:r>
      <w:r w:rsidR="00AD4EDF" w:rsidRPr="00AD4EDF">
        <w:t>for relapsed or refractory Hodgkin lymphoma</w:t>
      </w:r>
      <w:r w:rsidR="00AD4EDF">
        <w:t>.</w:t>
      </w:r>
      <w:r w:rsidR="001C6EC9" w:rsidRPr="00B74BA2">
        <w:t xml:space="preserve"> </w:t>
      </w:r>
    </w:p>
    <w:p w:rsidR="001C6EC9" w:rsidRPr="00B74BA2" w:rsidRDefault="00DE5FC0" w:rsidP="00F2263C">
      <w:pPr>
        <w:pStyle w:val="ListParagraph"/>
        <w:widowControl/>
        <w:numPr>
          <w:ilvl w:val="1"/>
          <w:numId w:val="1"/>
        </w:numPr>
      </w:pPr>
      <w:r w:rsidRPr="00B74BA2">
        <w:t>The proposed restriction included patients who are refractory (i.e.</w:t>
      </w:r>
      <w:r w:rsidR="00EB1DC1" w:rsidRPr="00B74BA2">
        <w:t xml:space="preserve"> who</w:t>
      </w:r>
      <w:r w:rsidRPr="00B74BA2">
        <w:t xml:space="preserve"> </w:t>
      </w:r>
      <w:r w:rsidR="00EB1DC1" w:rsidRPr="00B74BA2">
        <w:t>failed to achieve a complete response or a partial response</w:t>
      </w:r>
      <w:r w:rsidRPr="00B74BA2">
        <w:t xml:space="preserve">) to </w:t>
      </w:r>
      <w:r w:rsidR="003A4796" w:rsidRPr="00B74BA2">
        <w:t xml:space="preserve">one prior </w:t>
      </w:r>
      <w:r w:rsidRPr="00B74BA2">
        <w:t>rituximab-based chemotherapy</w:t>
      </w:r>
      <w:r w:rsidR="00EB1DC1" w:rsidRPr="00B74BA2">
        <w:t xml:space="preserve"> combination; or who </w:t>
      </w:r>
      <w:r w:rsidR="00A0250E" w:rsidRPr="00B74BA2">
        <w:t>have</w:t>
      </w:r>
      <w:r w:rsidR="00EB1DC1" w:rsidRPr="00B74BA2">
        <w:t xml:space="preserve"> relapsed (i.e. who previously achieved a complete or partial response, but subsequently progressed) following two prior </w:t>
      </w:r>
      <w:r w:rsidR="00040CC1" w:rsidRPr="00B74BA2">
        <w:t>lines of therapy</w:t>
      </w:r>
      <w:r w:rsidR="00EB1DC1" w:rsidRPr="00B74BA2">
        <w:t>.</w:t>
      </w:r>
      <w:r w:rsidR="0018151C">
        <w:t xml:space="preserve"> While the PBAC acknowledged that KN170 did not enrol patients who were refractory to one prior line of therapy (i.e. it </w:t>
      </w:r>
      <w:r w:rsidR="0018151C" w:rsidRPr="00FE4D7B">
        <w:t>only enrolled patients who had received at least two prior lines of therapy, or who had relapsed after an ASCT</w:t>
      </w:r>
      <w:r w:rsidR="0018151C">
        <w:t>), the PBAC considered it was reasonable to allow use in such patients consistent with the TGA indication and given the clinical need in this group.</w:t>
      </w:r>
    </w:p>
    <w:p w:rsidR="00AD4EDF" w:rsidRDefault="00AD4EDF" w:rsidP="00F2263C">
      <w:pPr>
        <w:pStyle w:val="ListParagraph"/>
        <w:widowControl/>
        <w:numPr>
          <w:ilvl w:val="1"/>
          <w:numId w:val="1"/>
        </w:numPr>
      </w:pPr>
      <w:r>
        <w:t xml:space="preserve">The PBAC considered that: a definition of progressive disease was not required in the restriction </w:t>
      </w:r>
      <w:r w:rsidR="004E7E1D">
        <w:t>(as this was well</w:t>
      </w:r>
      <w:r w:rsidR="00D74340">
        <w:t>-</w:t>
      </w:r>
      <w:r w:rsidR="004E7E1D">
        <w:t xml:space="preserve">defined in clinical practice and would be </w:t>
      </w:r>
      <w:r>
        <w:t>con</w:t>
      </w:r>
      <w:r w:rsidRPr="00AD4EDF">
        <w:t>sistent with the restriction for relapsed or refractory Hodgkin lymphoma</w:t>
      </w:r>
      <w:r>
        <w:t xml:space="preserve">); </w:t>
      </w:r>
      <w:r w:rsidRPr="00AD4EDF">
        <w:t xml:space="preserve">PD-L1 testing </w:t>
      </w:r>
      <w:r>
        <w:t>was not required (</w:t>
      </w:r>
      <w:r w:rsidRPr="00AD4EDF">
        <w:t>as there is no evidence that the degree of PD-L1 relates to outcome</w:t>
      </w:r>
      <w:r w:rsidR="004E7E1D">
        <w:t xml:space="preserve">); and </w:t>
      </w:r>
      <w:r w:rsidR="00686364">
        <w:t>that the PBS restriction should not specify an age restriction (</w:t>
      </w:r>
      <w:r w:rsidR="004E7E1D">
        <w:t>use in paediatric patients w</w:t>
      </w:r>
      <w:r w:rsidR="00686364">
        <w:t>ould be</w:t>
      </w:r>
      <w:r w:rsidR="004E7E1D">
        <w:t xml:space="preserve"> appropriate</w:t>
      </w:r>
      <w:r w:rsidR="00686364">
        <w:t>,</w:t>
      </w:r>
      <w:r w:rsidR="004E7E1D">
        <w:t xml:space="preserve"> consistent with the TGA registration</w:t>
      </w:r>
      <w:r w:rsidR="00AF21FD">
        <w:t>)</w:t>
      </w:r>
      <w:r w:rsidR="004E7E1D">
        <w:t>.</w:t>
      </w:r>
    </w:p>
    <w:p w:rsidR="00AD4EDF" w:rsidRPr="00AD4EDF" w:rsidRDefault="00AD4EDF" w:rsidP="00F2263C">
      <w:pPr>
        <w:pStyle w:val="ListParagraph"/>
        <w:numPr>
          <w:ilvl w:val="1"/>
          <w:numId w:val="1"/>
        </w:numPr>
      </w:pPr>
      <w:r w:rsidRPr="00AD4EDF">
        <w:t xml:space="preserve">The proposed initial </w:t>
      </w:r>
      <w:r w:rsidRPr="00BE7BD7">
        <w:t>restriction state</w:t>
      </w:r>
      <w:r w:rsidR="00BE7BD7">
        <w:t>d</w:t>
      </w:r>
      <w:r w:rsidRPr="00BE7BD7">
        <w:t xml:space="preserve"> that the patient must not have received prior treatment with a PD-1 (programmed cell death-1) inhibitor for this condition. The ESC </w:t>
      </w:r>
      <w:r w:rsidR="00BE7BD7">
        <w:t xml:space="preserve">and PBAC </w:t>
      </w:r>
      <w:r w:rsidRPr="00BE7BD7">
        <w:t>considered that the restriction should also specify that the patient must not have received prior PD-L1 (programmed cell death ligand-1) therapy.</w:t>
      </w:r>
    </w:p>
    <w:p w:rsidR="004E7E1D" w:rsidRPr="00B74BA2" w:rsidRDefault="004E7E1D" w:rsidP="00F2263C">
      <w:pPr>
        <w:pStyle w:val="ListParagraph"/>
        <w:widowControl/>
        <w:numPr>
          <w:ilvl w:val="1"/>
          <w:numId w:val="1"/>
        </w:numPr>
      </w:pPr>
      <w:r>
        <w:t>The submission proposed that patient</w:t>
      </w:r>
      <w:r w:rsidR="009E438D">
        <w:t>s</w:t>
      </w:r>
      <w:r>
        <w:t xml:space="preserve"> who relapse while receiving pembrolizumab </w:t>
      </w:r>
      <w:r w:rsidR="009E438D">
        <w:t>can</w:t>
      </w:r>
      <w:r>
        <w:t xml:space="preserve"> </w:t>
      </w:r>
      <w:r w:rsidR="009E438D">
        <w:t xml:space="preserve">subsequently </w:t>
      </w:r>
      <w:r>
        <w:t>re</w:t>
      </w:r>
      <w:r w:rsidR="009E438D">
        <w:t>commence</w:t>
      </w:r>
      <w:r>
        <w:t xml:space="preserve"> pembrolizumab as long as the patient previously received less than 35 cycles</w:t>
      </w:r>
      <w:r w:rsidR="00BE7BD7">
        <w:t xml:space="preserve"> (i.e. less than the maximum number of cycles allowed overall)</w:t>
      </w:r>
      <w:r>
        <w:t xml:space="preserve">. The PBAC considered that re-use in patients who had previously relapsed on pembrolizumab was not appropriate as no evidence had been presented to support such use.  </w:t>
      </w:r>
    </w:p>
    <w:p w:rsidR="005D4DB8" w:rsidRDefault="005D4DB8" w:rsidP="00F2263C">
      <w:pPr>
        <w:pStyle w:val="ListParagraph"/>
        <w:widowControl/>
        <w:numPr>
          <w:ilvl w:val="1"/>
          <w:numId w:val="1"/>
        </w:numPr>
      </w:pPr>
      <w:r w:rsidRPr="00B74BA2">
        <w:t xml:space="preserve">The proposed restriction also requested the inclusion of grandfathered patients with R/R PMBCL. </w:t>
      </w:r>
      <w:r w:rsidR="0086622A" w:rsidRPr="00B74BA2">
        <w:t xml:space="preserve">The submission stated that patients would be able to access pembrolizumab through a “cost-share program” that would be run between the date of TGA registration and PBS reimbursement, with eligibility criteria being identical to the proposed PBS restriction. </w:t>
      </w:r>
      <w:r w:rsidR="004D3AEE" w:rsidRPr="00B74BA2">
        <w:t xml:space="preserve">The submission did not clarify the processes in place to ensure that any patients commencing treatment during that period would meet the proposed PBS criteria, the extent of cost-sharing that would apply to patients </w:t>
      </w:r>
      <w:r w:rsidR="004D3AEE" w:rsidRPr="00B74BA2">
        <w:lastRenderedPageBreak/>
        <w:t xml:space="preserve">accessing treatment post-registration and prior to reimbursement, nor whether that program would be extended in the event that the listing timelines were not as assumed by the submission (PBS listing in May 2019). </w:t>
      </w:r>
      <w:r w:rsidR="0086622A" w:rsidRPr="00B74BA2">
        <w:t xml:space="preserve">The submission estimated that </w:t>
      </w:r>
      <w:r w:rsidR="00926970" w:rsidRPr="00B74BA2">
        <w:t xml:space="preserve">10 patients would </w:t>
      </w:r>
      <w:r w:rsidR="004D3AEE" w:rsidRPr="00B74BA2">
        <w:t xml:space="preserve">be eligible to </w:t>
      </w:r>
      <w:r w:rsidR="00926970" w:rsidRPr="00B74BA2">
        <w:t>access pembrolizumab under the grandfathering restriction.</w:t>
      </w:r>
      <w:r w:rsidR="0086622A" w:rsidRPr="00B74BA2">
        <w:t xml:space="preserve"> </w:t>
      </w:r>
    </w:p>
    <w:p w:rsidR="009E438D" w:rsidRDefault="009E438D" w:rsidP="00F2263C">
      <w:pPr>
        <w:pStyle w:val="ListParagraph"/>
        <w:widowControl/>
        <w:numPr>
          <w:ilvl w:val="1"/>
          <w:numId w:val="1"/>
        </w:numPr>
      </w:pPr>
      <w:r w:rsidRPr="009E438D">
        <w:t xml:space="preserve">The proposed grandfathered restriction states that the patient must have previously received non-PBS-subsidised treatment with a programmed cell death 1 (PD-1) inhibitor for this condition, rather than specifically referring to pembrolizumab. This would allow patients to switch from non-PBS subsidised nivolumab. </w:t>
      </w:r>
      <w:r>
        <w:t>The PBAC considered that this was not appropriate and the grandfather restriction should require patients to have previously received treatment with pembrolizumab.</w:t>
      </w:r>
    </w:p>
    <w:p w:rsidR="00344E37" w:rsidRPr="002E7E59" w:rsidRDefault="00344E37" w:rsidP="002E7E59">
      <w:pPr>
        <w:pStyle w:val="PBACHeading1"/>
        <w:numPr>
          <w:ilvl w:val="0"/>
          <w:numId w:val="0"/>
        </w:numPr>
        <w:spacing w:after="240"/>
        <w:ind w:left="720"/>
        <w:rPr>
          <w:b w:val="0"/>
          <w:i/>
          <w:sz w:val="24"/>
        </w:rPr>
      </w:pPr>
      <w:r w:rsidRPr="00344E37">
        <w:rPr>
          <w:b w:val="0"/>
          <w:i/>
          <w:sz w:val="24"/>
        </w:rPr>
        <w:t>For more detail on PBAC’s view, see section 7 PBAC outcome.</w:t>
      </w:r>
    </w:p>
    <w:p w:rsidR="005D4DB8" w:rsidRPr="00B74BA2" w:rsidRDefault="005D4DB8" w:rsidP="0091423A">
      <w:pPr>
        <w:pStyle w:val="Heading1"/>
      </w:pPr>
      <w:bookmarkStart w:id="2" w:name="_Toc524436882"/>
      <w:r w:rsidRPr="00B74BA2">
        <w:t>Background</w:t>
      </w:r>
      <w:bookmarkEnd w:id="2"/>
    </w:p>
    <w:p w:rsidR="005D4DB8" w:rsidRPr="00110E3A" w:rsidRDefault="005D4DB8" w:rsidP="00E60E7A">
      <w:pPr>
        <w:widowControl/>
        <w:spacing w:after="120"/>
        <w:rPr>
          <w:i/>
        </w:rPr>
      </w:pPr>
      <w:r w:rsidRPr="00110E3A">
        <w:rPr>
          <w:b/>
          <w:i/>
          <w:sz w:val="28"/>
          <w:szCs w:val="28"/>
        </w:rPr>
        <w:t>Registration status</w:t>
      </w:r>
    </w:p>
    <w:p w:rsidR="007E7A3B" w:rsidRDefault="007E7A3B" w:rsidP="00F2263C">
      <w:pPr>
        <w:pStyle w:val="ListParagraph"/>
        <w:widowControl/>
        <w:numPr>
          <w:ilvl w:val="1"/>
          <w:numId w:val="1"/>
        </w:numPr>
      </w:pPr>
      <w:r w:rsidRPr="007E7A3B">
        <w:t>The submission was made under the TGA/PBAC Parallel Process. At the time of PBAC consideration, the TGA approval letter was available which stated that the Delegate ha</w:t>
      </w:r>
      <w:r w:rsidR="008228EF">
        <w:t>d</w:t>
      </w:r>
      <w:r w:rsidRPr="007E7A3B">
        <w:t xml:space="preserve"> decided to approve the registration of </w:t>
      </w:r>
      <w:r>
        <w:t xml:space="preserve">pembrolizumab </w:t>
      </w:r>
      <w:r w:rsidRPr="007E7A3B">
        <w:t xml:space="preserve">for: </w:t>
      </w:r>
      <w:r>
        <w:t>“</w:t>
      </w:r>
      <w:r w:rsidRPr="007E7A3B">
        <w:t>the treatment of adult and paediatric patients with refractory primary mediastinal B-cell lymphoma (PMBCL), or who have relapsed after 2 or more prior lines of therapy. The approval of this indication is on the basis of objective response rate (ORR) and duration of response from non-randomised studies.”</w:t>
      </w:r>
    </w:p>
    <w:p w:rsidR="005D4DB8" w:rsidRPr="00B74BA2" w:rsidRDefault="005D4DB8" w:rsidP="0091423A">
      <w:pPr>
        <w:pStyle w:val="Heading1"/>
      </w:pPr>
      <w:bookmarkStart w:id="3" w:name="_Toc524436883"/>
      <w:r w:rsidRPr="00B74BA2">
        <w:t>Population and disease</w:t>
      </w:r>
      <w:bookmarkEnd w:id="3"/>
    </w:p>
    <w:p w:rsidR="0028468F" w:rsidRPr="00B74BA2" w:rsidRDefault="005D4DB8" w:rsidP="00F2263C">
      <w:pPr>
        <w:pStyle w:val="ListParagraph"/>
        <w:widowControl/>
        <w:numPr>
          <w:ilvl w:val="1"/>
          <w:numId w:val="1"/>
        </w:numPr>
      </w:pPr>
      <w:r w:rsidRPr="00B74BA2">
        <w:t>PMBCL is a rare subtype of non-Hodgkin lymphoma (</w:t>
      </w:r>
      <w:proofErr w:type="spellStart"/>
      <w:proofErr w:type="gramStart"/>
      <w:r w:rsidRPr="00B74BA2">
        <w:t>nHL</w:t>
      </w:r>
      <w:proofErr w:type="spellEnd"/>
      <w:proofErr w:type="gramEnd"/>
      <w:r w:rsidRPr="00B74BA2">
        <w:t xml:space="preserve">) and a variant of the diffuse large B-cell lymphomas (DLBCL). PMBCL comprises approximately 2-4% of all </w:t>
      </w:r>
      <w:proofErr w:type="spellStart"/>
      <w:proofErr w:type="gramStart"/>
      <w:r w:rsidRPr="00B74BA2">
        <w:t>nHL</w:t>
      </w:r>
      <w:proofErr w:type="spellEnd"/>
      <w:proofErr w:type="gramEnd"/>
      <w:r w:rsidRPr="00B74BA2">
        <w:t xml:space="preserve"> cases and 6 -10% of all DLBCL. PMBCL occurs in nearly twice as many women as men, with diagnosis </w:t>
      </w:r>
      <w:r w:rsidR="005E0BD7" w:rsidRPr="00B74BA2">
        <w:t xml:space="preserve">typically </w:t>
      </w:r>
      <w:r w:rsidRPr="00B74BA2">
        <w:t xml:space="preserve">between the ages of 25 to 40 years. </w:t>
      </w:r>
    </w:p>
    <w:p w:rsidR="00896283" w:rsidRPr="00B74BA2" w:rsidRDefault="000D17DB" w:rsidP="00F2263C">
      <w:pPr>
        <w:pStyle w:val="ListParagraph"/>
        <w:widowControl/>
        <w:numPr>
          <w:ilvl w:val="1"/>
          <w:numId w:val="1"/>
        </w:numPr>
      </w:pPr>
      <w:r w:rsidRPr="00B74BA2">
        <w:t>As noted in the TGA CER</w:t>
      </w:r>
      <w:r w:rsidR="00ED6EC1" w:rsidRPr="00B74BA2">
        <w:t xml:space="preserve"> (p14), 5-year overall survival following first line therapy is over 80%. </w:t>
      </w:r>
      <w:r w:rsidR="0028468F" w:rsidRPr="00B74BA2">
        <w:t xml:space="preserve">However, in patients who are refractory to initial therapy with rituximab-based chemotherapy regimens, or who have relapsed after two or more prior therapies, the prognosis is poor, with the submission stating that </w:t>
      </w:r>
      <w:r w:rsidR="009E4153" w:rsidRPr="00B74BA2">
        <w:t>such</w:t>
      </w:r>
      <w:r w:rsidR="0028468F" w:rsidRPr="00B74BA2">
        <w:t xml:space="preserve"> patients have two-year survival rates </w:t>
      </w:r>
      <w:r w:rsidR="009E4153" w:rsidRPr="00B74BA2">
        <w:t xml:space="preserve">of </w:t>
      </w:r>
      <w:r w:rsidR="0028468F" w:rsidRPr="00B74BA2">
        <w:t xml:space="preserve">less than 15%. </w:t>
      </w:r>
    </w:p>
    <w:p w:rsidR="00AF21FD" w:rsidRDefault="00F4312B" w:rsidP="00F2263C">
      <w:pPr>
        <w:pStyle w:val="ListParagraph"/>
        <w:widowControl/>
        <w:numPr>
          <w:ilvl w:val="1"/>
          <w:numId w:val="1"/>
        </w:numPr>
      </w:pPr>
      <w:r w:rsidRPr="00B74BA2">
        <w:t xml:space="preserve">First-line therapy for PMBCL </w:t>
      </w:r>
      <w:r w:rsidR="003C48A4" w:rsidRPr="00B74BA2">
        <w:t>comprises</w:t>
      </w:r>
      <w:r w:rsidRPr="00B74BA2">
        <w:t xml:space="preserve"> </w:t>
      </w:r>
      <w:r w:rsidR="003C48A4" w:rsidRPr="00B74BA2">
        <w:t xml:space="preserve">rituximab-based </w:t>
      </w:r>
      <w:r w:rsidRPr="00B74BA2">
        <w:t xml:space="preserve">combination chemotherapy. </w:t>
      </w:r>
      <w:r w:rsidR="00AD41DA" w:rsidRPr="00B74BA2">
        <w:t xml:space="preserve">The submission stated that although the majority of patients will respond with either a complete or partial response, some patients will have no response and are referred to as primary refractory. For those who relapse (i.e. following an initial response), most will do so in the first 12 to 18 months. </w:t>
      </w:r>
    </w:p>
    <w:p w:rsidR="00F4312B" w:rsidRPr="00B74BA2" w:rsidRDefault="00AF21FD" w:rsidP="00F2263C">
      <w:pPr>
        <w:pStyle w:val="ListParagraph"/>
        <w:widowControl/>
        <w:numPr>
          <w:ilvl w:val="1"/>
          <w:numId w:val="1"/>
        </w:numPr>
      </w:pPr>
      <w:r w:rsidRPr="00AF21FD">
        <w:lastRenderedPageBreak/>
        <w:t xml:space="preserve">The PBAC considered that refractory patients would generally receive salvage treatment with a second-line rituximab-containing chemotherapy regimen, while relapsed patients would generally receive second-line rituximab-containing chemotherapy </w:t>
      </w:r>
      <w:r w:rsidR="00F42042">
        <w:t xml:space="preserve">(high dose therapy) </w:t>
      </w:r>
      <w:r w:rsidRPr="00AF21FD">
        <w:t>aiming for transplant</w:t>
      </w:r>
      <w:r>
        <w:t xml:space="preserve"> if suitable</w:t>
      </w:r>
      <w:r w:rsidRPr="00AF21FD">
        <w:t xml:space="preserve"> (</w:t>
      </w:r>
      <w:r w:rsidR="00F42042">
        <w:t xml:space="preserve">which may be </w:t>
      </w:r>
      <w:r w:rsidRPr="00AF21FD">
        <w:t xml:space="preserve">autologous or </w:t>
      </w:r>
      <w:r>
        <w:t xml:space="preserve">a curative-intent </w:t>
      </w:r>
      <w:r w:rsidRPr="00AF21FD">
        <w:t xml:space="preserve">allogeneic </w:t>
      </w:r>
      <w:r>
        <w:t>transplant</w:t>
      </w:r>
      <w:r w:rsidRPr="00AF21FD">
        <w:t>).</w:t>
      </w:r>
      <w:r w:rsidR="00957CC4" w:rsidRPr="00B74BA2">
        <w:rPr>
          <w:rStyle w:val="FootnoteReference"/>
        </w:rPr>
        <w:footnoteReference w:id="2"/>
      </w:r>
      <w:r w:rsidR="00AD41DA" w:rsidRPr="00B74BA2">
        <w:t xml:space="preserve"> </w:t>
      </w:r>
      <w:r>
        <w:t>Stem cell transplants are</w:t>
      </w:r>
      <w:r w:rsidR="003C48A4" w:rsidRPr="00B74BA2">
        <w:t xml:space="preserve"> only </w:t>
      </w:r>
      <w:r w:rsidR="00AC68F3" w:rsidRPr="00B74BA2">
        <w:t>performed in</w:t>
      </w:r>
      <w:r w:rsidR="003C48A4" w:rsidRPr="00B74BA2">
        <w:t xml:space="preserve"> patients in remission, and t</w:t>
      </w:r>
      <w:r w:rsidR="00AD41DA" w:rsidRPr="00B74BA2">
        <w:t xml:space="preserve">he submission stated that </w:t>
      </w:r>
      <w:r w:rsidRPr="00B74BA2">
        <w:t xml:space="preserve">autologous stem cell transplantation </w:t>
      </w:r>
      <w:r>
        <w:t>(</w:t>
      </w:r>
      <w:r w:rsidR="00AD41DA" w:rsidRPr="00B74BA2">
        <w:t>ASCT</w:t>
      </w:r>
      <w:r>
        <w:t>)</w:t>
      </w:r>
      <w:r w:rsidR="00AD41DA" w:rsidRPr="00B74BA2">
        <w:t xml:space="preserve"> provides a cure for about 40% of patients who receive it.</w:t>
      </w:r>
    </w:p>
    <w:p w:rsidR="003C48A4" w:rsidRPr="00B74BA2" w:rsidRDefault="003C48A4" w:rsidP="00F2263C">
      <w:pPr>
        <w:pStyle w:val="ListParagraph"/>
        <w:widowControl/>
        <w:numPr>
          <w:ilvl w:val="1"/>
          <w:numId w:val="1"/>
        </w:numPr>
      </w:pPr>
      <w:r w:rsidRPr="00B74BA2">
        <w:t>The submission stated that for patients who do not respond to salvage chemotherapy, are ineligible for ASCT</w:t>
      </w:r>
      <w:r w:rsidR="00A0250E" w:rsidRPr="00B74BA2">
        <w:t>,</w:t>
      </w:r>
      <w:r w:rsidRPr="00B74BA2">
        <w:t xml:space="preserve"> or who relapse post-ASCT the only option is try another chemotherapy regimen</w:t>
      </w:r>
      <w:r w:rsidR="00AC68F3" w:rsidRPr="00B74BA2">
        <w:t xml:space="preserve">, </w:t>
      </w:r>
      <w:r w:rsidR="001B5F97">
        <w:t xml:space="preserve">which is often unsuccessful </w:t>
      </w:r>
    </w:p>
    <w:p w:rsidR="005D4DB8" w:rsidRPr="00B74BA2" w:rsidRDefault="005D4DB8" w:rsidP="0091423A">
      <w:pPr>
        <w:pStyle w:val="Heading1"/>
      </w:pPr>
      <w:bookmarkStart w:id="4" w:name="_Toc524436884"/>
      <w:r w:rsidRPr="00B74BA2">
        <w:t>Comparator</w:t>
      </w:r>
      <w:bookmarkEnd w:id="4"/>
    </w:p>
    <w:p w:rsidR="005D4DB8" w:rsidRPr="00B74BA2" w:rsidRDefault="005D4DB8" w:rsidP="00F2263C">
      <w:pPr>
        <w:pStyle w:val="ListParagraph"/>
        <w:widowControl/>
        <w:numPr>
          <w:ilvl w:val="1"/>
          <w:numId w:val="1"/>
        </w:numPr>
      </w:pPr>
      <w:r w:rsidRPr="00B74BA2">
        <w:rPr>
          <w:rFonts w:cs="Calibri"/>
          <w:snapToGrid/>
          <w:szCs w:val="24"/>
          <w:lang w:val="en-US" w:eastAsia="en-AU"/>
        </w:rPr>
        <w:t>The submission nominated SOC</w:t>
      </w:r>
      <w:r w:rsidR="004A357C" w:rsidRPr="00B74BA2">
        <w:rPr>
          <w:rFonts w:cs="Calibri"/>
          <w:snapToGrid/>
          <w:szCs w:val="24"/>
          <w:lang w:val="en-US" w:eastAsia="en-AU"/>
        </w:rPr>
        <w:t xml:space="preserve"> chemotherapies including ICE</w:t>
      </w:r>
      <w:r w:rsidRPr="00B74BA2">
        <w:rPr>
          <w:rFonts w:cs="Calibri"/>
          <w:snapToGrid/>
          <w:szCs w:val="24"/>
          <w:lang w:val="en-US" w:eastAsia="en-AU"/>
        </w:rPr>
        <w:t xml:space="preserve"> (comprising</w:t>
      </w:r>
      <w:r w:rsidR="00CD47FF" w:rsidRPr="00B74BA2">
        <w:rPr>
          <w:rFonts w:cs="Calibri"/>
          <w:snapToGrid/>
          <w:szCs w:val="24"/>
          <w:lang w:val="en-US" w:eastAsia="en-AU"/>
        </w:rPr>
        <w:t>:</w:t>
      </w:r>
      <w:r w:rsidRPr="00B74BA2">
        <w:rPr>
          <w:rFonts w:cs="Calibri"/>
          <w:snapToGrid/>
          <w:szCs w:val="24"/>
          <w:lang w:val="en-US" w:eastAsia="en-AU"/>
        </w:rPr>
        <w:t xml:space="preserve"> </w:t>
      </w:r>
      <w:proofErr w:type="spellStart"/>
      <w:r w:rsidR="00CD47FF" w:rsidRPr="00B74BA2">
        <w:t>ifosfamide</w:t>
      </w:r>
      <w:proofErr w:type="spellEnd"/>
      <w:r w:rsidR="00CD47FF" w:rsidRPr="00B74BA2">
        <w:t xml:space="preserve">, carboplatin, etoposide), DHAP (dexamethasone, high-dose </w:t>
      </w:r>
      <w:proofErr w:type="spellStart"/>
      <w:r w:rsidR="00CD47FF" w:rsidRPr="00B74BA2">
        <w:t>cytarabine</w:t>
      </w:r>
      <w:proofErr w:type="spellEnd"/>
      <w:r w:rsidR="00CD47FF" w:rsidRPr="00B74BA2">
        <w:t>, cisplatin) or GDP (gemcitabine, doxorubicin,</w:t>
      </w:r>
      <w:r w:rsidR="00CC1764">
        <w:t xml:space="preserve"> </w:t>
      </w:r>
      <w:r w:rsidR="001B5F97">
        <w:t>cisplatin</w:t>
      </w:r>
      <w:r w:rsidR="00CD47FF" w:rsidRPr="00B74BA2">
        <w:t>)</w:t>
      </w:r>
      <w:r w:rsidRPr="00B74BA2">
        <w:rPr>
          <w:rFonts w:cs="Calibri"/>
          <w:snapToGrid/>
          <w:szCs w:val="24"/>
          <w:lang w:val="en-US" w:eastAsia="en-AU"/>
        </w:rPr>
        <w:t xml:space="preserve"> as the main comparator. </w:t>
      </w:r>
    </w:p>
    <w:p w:rsidR="00896283" w:rsidRPr="00B74BA2" w:rsidRDefault="006D1A29" w:rsidP="00F2263C">
      <w:pPr>
        <w:pStyle w:val="ListParagraph"/>
        <w:widowControl/>
        <w:numPr>
          <w:ilvl w:val="1"/>
          <w:numId w:val="1"/>
        </w:numPr>
        <w:rPr>
          <w:rFonts w:cs="Calibri"/>
          <w:snapToGrid/>
          <w:szCs w:val="24"/>
          <w:lang w:val="en-US" w:eastAsia="en-AU"/>
        </w:rPr>
      </w:pPr>
      <w:r w:rsidRPr="00B74BA2">
        <w:rPr>
          <w:rFonts w:cs="Calibri"/>
          <w:snapToGrid/>
          <w:szCs w:val="24"/>
          <w:lang w:val="en-US" w:eastAsia="en-AU"/>
        </w:rPr>
        <w:t>The ESC considered that th</w:t>
      </w:r>
      <w:r w:rsidR="00907D97" w:rsidRPr="00B74BA2">
        <w:rPr>
          <w:rFonts w:cs="Calibri"/>
          <w:snapToGrid/>
          <w:szCs w:val="24"/>
          <w:lang w:val="en-US" w:eastAsia="en-AU"/>
        </w:rPr>
        <w:t>e nominated comparators do</w:t>
      </w:r>
      <w:r w:rsidRPr="00B74BA2">
        <w:rPr>
          <w:rFonts w:cs="Calibri"/>
          <w:snapToGrid/>
          <w:szCs w:val="24"/>
          <w:lang w:val="en-US" w:eastAsia="en-AU"/>
        </w:rPr>
        <w:t xml:space="preserve"> not</w:t>
      </w:r>
      <w:r w:rsidR="00552AA3">
        <w:rPr>
          <w:rFonts w:cs="Calibri"/>
          <w:snapToGrid/>
          <w:szCs w:val="24"/>
          <w:lang w:val="en-US" w:eastAsia="en-AU"/>
        </w:rPr>
        <w:t xml:space="preserve"> accurately</w:t>
      </w:r>
      <w:r w:rsidRPr="00B74BA2">
        <w:rPr>
          <w:rFonts w:cs="Calibri"/>
          <w:snapToGrid/>
          <w:szCs w:val="24"/>
          <w:lang w:val="en-US" w:eastAsia="en-AU"/>
        </w:rPr>
        <w:t xml:space="preserve"> reflect current clinical practice where most salvage chemotherapy </w:t>
      </w:r>
      <w:r w:rsidR="00F42042">
        <w:rPr>
          <w:rFonts w:cs="Calibri"/>
          <w:snapToGrid/>
          <w:szCs w:val="24"/>
          <w:lang w:val="en-US" w:eastAsia="en-AU"/>
        </w:rPr>
        <w:t xml:space="preserve">or high dose therapy </w:t>
      </w:r>
      <w:r w:rsidRPr="00B74BA2">
        <w:rPr>
          <w:rFonts w:cs="Calibri"/>
          <w:snapToGrid/>
          <w:szCs w:val="24"/>
          <w:lang w:val="en-US" w:eastAsia="en-AU"/>
        </w:rPr>
        <w:t xml:space="preserve">regimens contain rituximab. </w:t>
      </w:r>
      <w:r w:rsidR="004A17F9" w:rsidRPr="00B74BA2">
        <w:rPr>
          <w:rFonts w:cs="Calibri"/>
          <w:snapToGrid/>
          <w:szCs w:val="24"/>
          <w:lang w:val="en-US" w:eastAsia="en-AU"/>
        </w:rPr>
        <w:t xml:space="preserve">The ESC considered that patients who are </w:t>
      </w:r>
      <w:r w:rsidR="00793A1D" w:rsidRPr="00B74BA2">
        <w:rPr>
          <w:rFonts w:cs="Calibri"/>
          <w:snapToGrid/>
          <w:szCs w:val="24"/>
          <w:lang w:val="en-US" w:eastAsia="en-AU"/>
        </w:rPr>
        <w:t>relapsed/</w:t>
      </w:r>
      <w:r w:rsidR="004A17F9" w:rsidRPr="00B74BA2">
        <w:rPr>
          <w:rFonts w:cs="Calibri"/>
          <w:snapToGrid/>
          <w:szCs w:val="24"/>
          <w:lang w:val="en-US" w:eastAsia="en-AU"/>
        </w:rPr>
        <w:t xml:space="preserve">refractory </w:t>
      </w:r>
      <w:r w:rsidR="004A17F9" w:rsidRPr="00B74BA2">
        <w:t xml:space="preserve">following prior rituximab-containing </w:t>
      </w:r>
      <w:r w:rsidR="00793A1D" w:rsidRPr="00B74BA2">
        <w:t>regimen/s will receive further rituximab</w:t>
      </w:r>
      <w:r w:rsidR="00ED30E5" w:rsidRPr="00B74BA2">
        <w:t>,</w:t>
      </w:r>
      <w:r w:rsidR="00793A1D" w:rsidRPr="00B74BA2">
        <w:t xml:space="preserve"> though the chemotherapy backbone may be changed.</w:t>
      </w:r>
    </w:p>
    <w:p w:rsidR="00D47E83" w:rsidRPr="00B74BA2" w:rsidRDefault="00907D97" w:rsidP="00F2263C">
      <w:pPr>
        <w:pStyle w:val="ListParagraph"/>
        <w:widowControl/>
        <w:numPr>
          <w:ilvl w:val="1"/>
          <w:numId w:val="1"/>
        </w:numPr>
      </w:pPr>
      <w:r w:rsidRPr="00B74BA2">
        <w:rPr>
          <w:rFonts w:cs="Calibri"/>
          <w:snapToGrid/>
          <w:szCs w:val="24"/>
          <w:lang w:val="en-US" w:eastAsia="en-AU"/>
        </w:rPr>
        <w:t xml:space="preserve">The ESC </w:t>
      </w:r>
      <w:r w:rsidR="00AD64E7" w:rsidRPr="00B74BA2">
        <w:rPr>
          <w:rFonts w:cs="Calibri"/>
          <w:snapToGrid/>
          <w:szCs w:val="24"/>
          <w:lang w:val="en-US" w:eastAsia="en-AU"/>
        </w:rPr>
        <w:t>noted that</w:t>
      </w:r>
      <w:r w:rsidR="00A0250E" w:rsidRPr="00B74BA2">
        <w:rPr>
          <w:rFonts w:cs="Calibri"/>
          <w:snapToGrid/>
          <w:szCs w:val="24"/>
          <w:lang w:val="en-US" w:eastAsia="en-AU"/>
        </w:rPr>
        <w:t xml:space="preserve"> the submission did not provide</w:t>
      </w:r>
      <w:r w:rsidR="00AD64E7" w:rsidRPr="00B74BA2">
        <w:rPr>
          <w:rFonts w:cs="Calibri"/>
          <w:snapToGrid/>
          <w:szCs w:val="24"/>
          <w:lang w:val="en-US" w:eastAsia="en-AU"/>
        </w:rPr>
        <w:t xml:space="preserve"> information </w:t>
      </w:r>
      <w:r w:rsidR="006D1A29" w:rsidRPr="00B74BA2">
        <w:rPr>
          <w:rFonts w:cs="Calibri"/>
          <w:snapToGrid/>
          <w:szCs w:val="24"/>
          <w:lang w:val="en-US" w:eastAsia="en-AU"/>
        </w:rPr>
        <w:t xml:space="preserve">regarding the relative benefit </w:t>
      </w:r>
      <w:r w:rsidR="00A0250E" w:rsidRPr="00B74BA2">
        <w:rPr>
          <w:rFonts w:cs="Calibri"/>
          <w:snapToGrid/>
          <w:szCs w:val="24"/>
          <w:lang w:val="en-US" w:eastAsia="en-AU"/>
        </w:rPr>
        <w:t xml:space="preserve">of adding </w:t>
      </w:r>
      <w:r w:rsidR="006D1A29" w:rsidRPr="00B74BA2">
        <w:rPr>
          <w:rFonts w:cs="Calibri"/>
          <w:snapToGrid/>
          <w:szCs w:val="24"/>
          <w:lang w:val="en-US" w:eastAsia="en-AU"/>
        </w:rPr>
        <w:t xml:space="preserve">rituximab </w:t>
      </w:r>
      <w:r w:rsidR="00A0250E" w:rsidRPr="00B74BA2">
        <w:rPr>
          <w:rFonts w:cs="Calibri"/>
          <w:snapToGrid/>
          <w:szCs w:val="24"/>
          <w:lang w:val="en-US" w:eastAsia="en-AU"/>
        </w:rPr>
        <w:t xml:space="preserve">to chemotherapy regimens </w:t>
      </w:r>
      <w:r w:rsidR="006D1A29" w:rsidRPr="00B74BA2">
        <w:rPr>
          <w:rFonts w:cs="Calibri"/>
          <w:snapToGrid/>
          <w:szCs w:val="24"/>
          <w:lang w:val="en-US" w:eastAsia="en-AU"/>
        </w:rPr>
        <w:t>in this specific patient group</w:t>
      </w:r>
      <w:r w:rsidR="00A0250E" w:rsidRPr="00B74BA2">
        <w:rPr>
          <w:rFonts w:cs="Calibri"/>
          <w:snapToGrid/>
          <w:szCs w:val="24"/>
          <w:lang w:val="en-US" w:eastAsia="en-AU"/>
        </w:rPr>
        <w:t>. However, the ESC noted</w:t>
      </w:r>
      <w:r w:rsidR="006D1A29" w:rsidRPr="00B74BA2">
        <w:rPr>
          <w:rFonts w:cs="Calibri"/>
          <w:snapToGrid/>
          <w:szCs w:val="24"/>
          <w:lang w:val="en-US" w:eastAsia="en-AU"/>
        </w:rPr>
        <w:t xml:space="preserve"> there is evidence that rituximab has </w:t>
      </w:r>
      <w:r w:rsidR="00957CC4" w:rsidRPr="00B74BA2">
        <w:rPr>
          <w:rFonts w:cs="Calibri"/>
          <w:snapToGrid/>
          <w:szCs w:val="24"/>
          <w:lang w:val="en-US" w:eastAsia="en-AU"/>
        </w:rPr>
        <w:t xml:space="preserve">an incremental </w:t>
      </w:r>
      <w:r w:rsidR="006D1A29" w:rsidRPr="00B74BA2">
        <w:rPr>
          <w:rFonts w:cs="Calibri"/>
          <w:snapToGrid/>
          <w:szCs w:val="24"/>
          <w:lang w:val="en-US" w:eastAsia="en-AU"/>
        </w:rPr>
        <w:t xml:space="preserve">benefit in PMBCL in </w:t>
      </w:r>
      <w:r w:rsidR="00957CC4" w:rsidRPr="00B74BA2">
        <w:rPr>
          <w:rFonts w:cs="Calibri"/>
          <w:snapToGrid/>
          <w:szCs w:val="24"/>
          <w:lang w:val="en-US" w:eastAsia="en-AU"/>
        </w:rPr>
        <w:t xml:space="preserve">the </w:t>
      </w:r>
      <w:r w:rsidR="006D1A29" w:rsidRPr="00B74BA2">
        <w:rPr>
          <w:rFonts w:cs="Calibri"/>
          <w:snapToGrid/>
          <w:szCs w:val="24"/>
          <w:lang w:val="en-US" w:eastAsia="en-AU"/>
        </w:rPr>
        <w:t>f</w:t>
      </w:r>
      <w:r w:rsidR="00AD64E7" w:rsidRPr="00B74BA2">
        <w:rPr>
          <w:rFonts w:cs="Calibri"/>
          <w:snapToGrid/>
          <w:szCs w:val="24"/>
          <w:lang w:val="en-US" w:eastAsia="en-AU"/>
        </w:rPr>
        <w:t>irst-</w:t>
      </w:r>
      <w:r w:rsidR="006D1A29" w:rsidRPr="00B74BA2">
        <w:rPr>
          <w:rFonts w:cs="Calibri"/>
          <w:snapToGrid/>
          <w:szCs w:val="24"/>
          <w:lang w:val="en-US" w:eastAsia="en-AU"/>
        </w:rPr>
        <w:t xml:space="preserve">line </w:t>
      </w:r>
      <w:r w:rsidR="00957CC4" w:rsidRPr="00B74BA2">
        <w:rPr>
          <w:rFonts w:cs="Calibri"/>
          <w:snapToGrid/>
          <w:szCs w:val="24"/>
          <w:lang w:val="en-US" w:eastAsia="en-AU"/>
        </w:rPr>
        <w:t>setting</w:t>
      </w:r>
      <w:r w:rsidR="00AD64E7" w:rsidRPr="00B74BA2">
        <w:rPr>
          <w:rFonts w:cs="Calibri"/>
          <w:snapToGrid/>
          <w:szCs w:val="24"/>
          <w:lang w:val="en-US" w:eastAsia="en-AU"/>
        </w:rPr>
        <w:t xml:space="preserve"> (</w:t>
      </w:r>
      <w:proofErr w:type="spellStart"/>
      <w:r w:rsidR="00AD64E7" w:rsidRPr="00B74BA2">
        <w:rPr>
          <w:rFonts w:cs="Calibri"/>
          <w:snapToGrid/>
          <w:szCs w:val="24"/>
          <w:lang w:val="en-US" w:eastAsia="en-AU"/>
        </w:rPr>
        <w:t>Rieger</w:t>
      </w:r>
      <w:proofErr w:type="spellEnd"/>
      <w:r w:rsidR="00AD64E7" w:rsidRPr="00B74BA2">
        <w:rPr>
          <w:rFonts w:cs="Calibri"/>
          <w:snapToGrid/>
          <w:szCs w:val="24"/>
          <w:lang w:val="en-US" w:eastAsia="en-AU"/>
        </w:rPr>
        <w:t xml:space="preserve"> et al 2011</w:t>
      </w:r>
      <w:r w:rsidR="00AD64E7" w:rsidRPr="00B74BA2">
        <w:rPr>
          <w:rStyle w:val="FootnoteReference"/>
          <w:rFonts w:cs="Calibri"/>
          <w:snapToGrid/>
          <w:szCs w:val="24"/>
          <w:lang w:val="en-US" w:eastAsia="en-AU"/>
        </w:rPr>
        <w:footnoteReference w:id="3"/>
      </w:r>
      <w:r w:rsidR="00AD64E7" w:rsidRPr="00B74BA2">
        <w:rPr>
          <w:rFonts w:cs="Calibri"/>
          <w:snapToGrid/>
          <w:szCs w:val="24"/>
          <w:lang w:val="en-US" w:eastAsia="en-AU"/>
        </w:rPr>
        <w:t>, Dunleavy et al, 2013</w:t>
      </w:r>
      <w:r w:rsidR="00AD64E7" w:rsidRPr="00B74BA2">
        <w:rPr>
          <w:rStyle w:val="FootnoteReference"/>
          <w:rFonts w:cs="Calibri"/>
          <w:snapToGrid/>
          <w:szCs w:val="24"/>
          <w:lang w:val="en-US" w:eastAsia="en-AU"/>
        </w:rPr>
        <w:footnoteReference w:id="4"/>
      </w:r>
      <w:r w:rsidR="00AD64E7" w:rsidRPr="00B74BA2">
        <w:rPr>
          <w:rFonts w:cs="Calibri"/>
          <w:snapToGrid/>
          <w:szCs w:val="24"/>
          <w:lang w:val="en-US" w:eastAsia="en-AU"/>
        </w:rPr>
        <w:t>, Savage et al, 2012</w:t>
      </w:r>
      <w:r w:rsidR="00AD64E7" w:rsidRPr="00B74BA2">
        <w:rPr>
          <w:rStyle w:val="FootnoteReference"/>
          <w:rFonts w:cs="Calibri"/>
          <w:snapToGrid/>
          <w:szCs w:val="24"/>
          <w:lang w:val="en-US" w:eastAsia="en-AU"/>
        </w:rPr>
        <w:footnoteReference w:id="5"/>
      </w:r>
      <w:r w:rsidR="00AD64E7" w:rsidRPr="00B74BA2">
        <w:rPr>
          <w:rFonts w:cs="Calibri"/>
          <w:snapToGrid/>
          <w:szCs w:val="24"/>
          <w:lang w:val="en-US" w:eastAsia="en-AU"/>
        </w:rPr>
        <w:t>)</w:t>
      </w:r>
      <w:r w:rsidR="006D1A29" w:rsidRPr="00B74BA2">
        <w:rPr>
          <w:rFonts w:cs="Calibri"/>
          <w:snapToGrid/>
          <w:szCs w:val="24"/>
          <w:lang w:val="en-US" w:eastAsia="en-AU"/>
        </w:rPr>
        <w:t xml:space="preserve"> and </w:t>
      </w:r>
      <w:r w:rsidR="00A0250E" w:rsidRPr="00B74BA2">
        <w:rPr>
          <w:rFonts w:cs="Calibri"/>
          <w:snapToGrid/>
          <w:szCs w:val="24"/>
          <w:lang w:val="en-US" w:eastAsia="en-AU"/>
        </w:rPr>
        <w:t xml:space="preserve">in </w:t>
      </w:r>
      <w:r w:rsidR="00957CC4" w:rsidRPr="00B74BA2">
        <w:rPr>
          <w:rFonts w:cs="Calibri"/>
          <w:snapToGrid/>
          <w:szCs w:val="24"/>
          <w:lang w:val="en-US" w:eastAsia="en-AU"/>
        </w:rPr>
        <w:t xml:space="preserve">relapsed or refractory </w:t>
      </w:r>
      <w:r w:rsidR="00A0250E" w:rsidRPr="00B74BA2">
        <w:rPr>
          <w:rFonts w:cs="Calibri"/>
          <w:snapToGrid/>
          <w:szCs w:val="24"/>
          <w:lang w:val="en-US" w:eastAsia="en-AU"/>
        </w:rPr>
        <w:t>DLBCL</w:t>
      </w:r>
      <w:r w:rsidR="004A357C" w:rsidRPr="00B74BA2">
        <w:rPr>
          <w:rFonts w:cs="Calibri"/>
          <w:snapToGrid/>
          <w:szCs w:val="24"/>
          <w:lang w:val="en-US" w:eastAsia="en-AU"/>
        </w:rPr>
        <w:t xml:space="preserve"> when</w:t>
      </w:r>
      <w:r w:rsidR="00A0250E" w:rsidRPr="00B74BA2">
        <w:rPr>
          <w:rFonts w:cs="Calibri"/>
          <w:snapToGrid/>
          <w:szCs w:val="24"/>
          <w:lang w:val="en-US" w:eastAsia="en-AU"/>
        </w:rPr>
        <w:t xml:space="preserve"> </w:t>
      </w:r>
      <w:r w:rsidR="00957CC4" w:rsidRPr="00B74BA2">
        <w:rPr>
          <w:rFonts w:cs="Calibri"/>
          <w:snapToGrid/>
          <w:szCs w:val="24"/>
          <w:lang w:val="en-US" w:eastAsia="en-AU"/>
        </w:rPr>
        <w:t xml:space="preserve">used </w:t>
      </w:r>
      <w:r w:rsidR="006D1A29" w:rsidRPr="00B74BA2">
        <w:rPr>
          <w:rFonts w:cs="Calibri"/>
          <w:snapToGrid/>
          <w:szCs w:val="24"/>
          <w:lang w:val="en-US" w:eastAsia="en-AU"/>
        </w:rPr>
        <w:t>post-rituximab containing regimens</w:t>
      </w:r>
      <w:r w:rsidR="00AD64E7" w:rsidRPr="00B74BA2">
        <w:rPr>
          <w:rFonts w:cs="Calibri"/>
          <w:snapToGrid/>
          <w:szCs w:val="24"/>
          <w:lang w:val="en-US" w:eastAsia="en-AU"/>
        </w:rPr>
        <w:t xml:space="preserve"> (</w:t>
      </w:r>
      <w:proofErr w:type="spellStart"/>
      <w:r w:rsidR="00AD64E7" w:rsidRPr="00B74BA2">
        <w:rPr>
          <w:rFonts w:cs="Calibri"/>
          <w:snapToGrid/>
          <w:szCs w:val="24"/>
          <w:lang w:val="en-US" w:eastAsia="en-AU"/>
        </w:rPr>
        <w:t>Gisselbrech</w:t>
      </w:r>
      <w:proofErr w:type="spellEnd"/>
      <w:r w:rsidR="00AD64E7" w:rsidRPr="00B74BA2">
        <w:rPr>
          <w:rFonts w:cs="Calibri"/>
          <w:snapToGrid/>
          <w:szCs w:val="24"/>
          <w:lang w:val="en-US" w:eastAsia="en-AU"/>
        </w:rPr>
        <w:t>, 2008)</w:t>
      </w:r>
      <w:r w:rsidR="00AD64E7" w:rsidRPr="00B74BA2">
        <w:rPr>
          <w:rStyle w:val="FootnoteReference"/>
          <w:rFonts w:cs="Calibri"/>
          <w:snapToGrid/>
          <w:szCs w:val="24"/>
          <w:lang w:val="en-US" w:eastAsia="en-AU"/>
        </w:rPr>
        <w:footnoteReference w:id="6"/>
      </w:r>
      <w:r w:rsidR="004A357C" w:rsidRPr="00B74BA2">
        <w:rPr>
          <w:rFonts w:cs="Calibri"/>
          <w:snapToGrid/>
          <w:szCs w:val="24"/>
          <w:lang w:val="en-US" w:eastAsia="en-AU"/>
        </w:rPr>
        <w:t>.</w:t>
      </w:r>
      <w:r w:rsidR="00AD64E7" w:rsidRPr="00B74BA2">
        <w:rPr>
          <w:rFonts w:cs="Calibri"/>
          <w:snapToGrid/>
          <w:szCs w:val="24"/>
          <w:lang w:val="en-US" w:eastAsia="en-AU"/>
        </w:rPr>
        <w:t xml:space="preserve"> </w:t>
      </w:r>
      <w:r w:rsidR="00037F5E">
        <w:rPr>
          <w:rFonts w:cs="Calibri"/>
          <w:snapToGrid/>
          <w:szCs w:val="24"/>
          <w:lang w:val="en-US" w:eastAsia="en-AU"/>
        </w:rPr>
        <w:t xml:space="preserve">The pre-PBAC response re-iterated that these </w:t>
      </w:r>
      <w:r w:rsidR="00250DDD">
        <w:rPr>
          <w:rFonts w:cs="Calibri"/>
          <w:snapToGrid/>
          <w:szCs w:val="24"/>
          <w:lang w:val="en-US" w:eastAsia="en-AU"/>
        </w:rPr>
        <w:t xml:space="preserve">studies </w:t>
      </w:r>
      <w:r w:rsidR="00037F5E">
        <w:rPr>
          <w:rFonts w:cs="Calibri"/>
          <w:snapToGrid/>
          <w:szCs w:val="24"/>
          <w:lang w:val="en-US" w:eastAsia="en-AU"/>
        </w:rPr>
        <w:t xml:space="preserve">were in different settings to the requested PBS-listing, and may not be applicable to a second-line or refractory PMBCL population. However, the PBAC considered that </w:t>
      </w:r>
      <w:r w:rsidR="00037F5E">
        <w:rPr>
          <w:rFonts w:cs="Calibri"/>
          <w:snapToGrid/>
          <w:szCs w:val="24"/>
          <w:lang w:val="en-US" w:eastAsia="en-AU"/>
        </w:rPr>
        <w:lastRenderedPageBreak/>
        <w:t xml:space="preserve">the SOC chemotherapies used as comparators should reflect current practice in Australia, which </w:t>
      </w:r>
      <w:r w:rsidR="00250DDD">
        <w:rPr>
          <w:rFonts w:cs="Calibri"/>
          <w:snapToGrid/>
          <w:szCs w:val="24"/>
          <w:lang w:val="en-US" w:eastAsia="en-AU"/>
        </w:rPr>
        <w:t>is</w:t>
      </w:r>
      <w:r w:rsidR="00037F5E">
        <w:rPr>
          <w:rFonts w:cs="Calibri"/>
          <w:snapToGrid/>
          <w:szCs w:val="24"/>
          <w:lang w:val="en-US" w:eastAsia="en-AU"/>
        </w:rPr>
        <w:t xml:space="preserve"> likely to include rituximab. </w:t>
      </w:r>
      <w:r w:rsidR="00037F5E" w:rsidRPr="00B74BA2">
        <w:t xml:space="preserve"> </w:t>
      </w:r>
    </w:p>
    <w:p w:rsidR="003A4796" w:rsidRPr="00B74BA2" w:rsidRDefault="003A4796" w:rsidP="00F2263C">
      <w:pPr>
        <w:pStyle w:val="ListParagraph"/>
        <w:widowControl/>
        <w:numPr>
          <w:ilvl w:val="1"/>
          <w:numId w:val="1"/>
        </w:numPr>
      </w:pPr>
      <w:r w:rsidRPr="00B74BA2">
        <w:rPr>
          <w:rFonts w:cs="Calibri"/>
          <w:snapToGrid/>
          <w:szCs w:val="24"/>
          <w:lang w:val="en-US" w:eastAsia="en-AU"/>
        </w:rPr>
        <w:t xml:space="preserve">The ESC also noted that </w:t>
      </w:r>
      <w:proofErr w:type="spellStart"/>
      <w:r w:rsidRPr="00B74BA2">
        <w:rPr>
          <w:rFonts w:cs="Calibri"/>
          <w:snapToGrid/>
          <w:szCs w:val="24"/>
          <w:lang w:val="en-US" w:eastAsia="en-AU"/>
        </w:rPr>
        <w:t>pembrolizumab</w:t>
      </w:r>
      <w:proofErr w:type="spellEnd"/>
      <w:r w:rsidRPr="00B74BA2">
        <w:rPr>
          <w:rFonts w:cs="Calibri"/>
          <w:snapToGrid/>
          <w:szCs w:val="24"/>
          <w:lang w:val="en-US" w:eastAsia="en-AU"/>
        </w:rPr>
        <w:t xml:space="preserve"> would displace, not replace, other lines of therap</w:t>
      </w:r>
      <w:r w:rsidR="004A357C" w:rsidRPr="00B74BA2">
        <w:rPr>
          <w:rFonts w:cs="Calibri"/>
          <w:snapToGrid/>
          <w:szCs w:val="24"/>
          <w:lang w:val="en-US" w:eastAsia="en-AU"/>
        </w:rPr>
        <w:t>y</w:t>
      </w:r>
      <w:r w:rsidRPr="00B74BA2">
        <w:rPr>
          <w:rFonts w:cs="Calibri"/>
          <w:snapToGrid/>
          <w:szCs w:val="24"/>
          <w:lang w:val="en-US" w:eastAsia="en-AU"/>
        </w:rPr>
        <w:t xml:space="preserve"> in some </w:t>
      </w:r>
      <w:r w:rsidR="00694548" w:rsidRPr="00B74BA2">
        <w:rPr>
          <w:rFonts w:cs="Calibri"/>
          <w:snapToGrid/>
          <w:szCs w:val="24"/>
          <w:lang w:val="en-US" w:eastAsia="en-AU"/>
        </w:rPr>
        <w:t>patients</w:t>
      </w:r>
      <w:r w:rsidRPr="00B74BA2">
        <w:rPr>
          <w:rFonts w:cs="Calibri"/>
          <w:snapToGrid/>
          <w:szCs w:val="24"/>
          <w:lang w:val="en-US" w:eastAsia="en-AU"/>
        </w:rPr>
        <w:t xml:space="preserve">. </w:t>
      </w:r>
    </w:p>
    <w:p w:rsidR="00CD47FF" w:rsidRDefault="00651B64" w:rsidP="00F2263C">
      <w:pPr>
        <w:pStyle w:val="ListParagraph"/>
        <w:widowControl/>
        <w:numPr>
          <w:ilvl w:val="1"/>
          <w:numId w:val="1"/>
        </w:numPr>
      </w:pPr>
      <w:r w:rsidRPr="00B74BA2">
        <w:t>T</w:t>
      </w:r>
      <w:r w:rsidR="00CD47FF" w:rsidRPr="00B74BA2">
        <w:t>he submission</w:t>
      </w:r>
      <w:r w:rsidRPr="00B74BA2">
        <w:t xml:space="preserve"> also</w:t>
      </w:r>
      <w:r w:rsidR="00CD47FF" w:rsidRPr="00B74BA2">
        <w:t xml:space="preserve"> presented clinical evidence for brentuximab vedotin</w:t>
      </w:r>
      <w:r w:rsidR="0096441A" w:rsidRPr="00B74BA2">
        <w:t xml:space="preserve"> (BV)</w:t>
      </w:r>
      <w:r w:rsidR="00CD47FF" w:rsidRPr="00B74BA2">
        <w:t xml:space="preserve"> </w:t>
      </w:r>
      <w:r w:rsidR="0096441A" w:rsidRPr="00B74BA2">
        <w:t>in comparison with pembrolizumab</w:t>
      </w:r>
      <w:r w:rsidRPr="00B74BA2">
        <w:t xml:space="preserve">. However, the submission did not nominate BV as a comparator (supplementary or otherwise). Given that BV is not registered or </w:t>
      </w:r>
      <w:r w:rsidR="00767CAF" w:rsidRPr="00B74BA2">
        <w:t xml:space="preserve">PBS-listed </w:t>
      </w:r>
      <w:r w:rsidRPr="00B74BA2">
        <w:t>for PMBCL, and that the study presented for BV (Zinzani 20</w:t>
      </w:r>
      <w:r w:rsidR="006324F3" w:rsidRPr="00B74BA2">
        <w:t>1</w:t>
      </w:r>
      <w:r w:rsidRPr="00B74BA2">
        <w:t xml:space="preserve">7) </w:t>
      </w:r>
      <w:r w:rsidR="007306D4" w:rsidRPr="00B74BA2">
        <w:t xml:space="preserve">was terminated early due to </w:t>
      </w:r>
      <w:r w:rsidR="0096441A" w:rsidRPr="00B74BA2">
        <w:t>drug inefficacy</w:t>
      </w:r>
      <w:r w:rsidRPr="00B74BA2">
        <w:t xml:space="preserve">, </w:t>
      </w:r>
      <w:r w:rsidR="006D1A29" w:rsidRPr="00B74BA2">
        <w:t xml:space="preserve">the evaluation and the ESC considered that </w:t>
      </w:r>
      <w:r w:rsidR="005B71A9" w:rsidRPr="00B74BA2">
        <w:t xml:space="preserve">BV </w:t>
      </w:r>
      <w:r w:rsidR="006D1A29" w:rsidRPr="00B74BA2">
        <w:t>wa</w:t>
      </w:r>
      <w:r w:rsidR="005B71A9" w:rsidRPr="00B74BA2">
        <w:t>s not a relevant comparator</w:t>
      </w:r>
      <w:r w:rsidR="006D1A29" w:rsidRPr="00B74BA2">
        <w:t>.</w:t>
      </w:r>
      <w:r w:rsidRPr="00B74BA2">
        <w:t xml:space="preserve"> </w:t>
      </w:r>
    </w:p>
    <w:p w:rsidR="00344E37" w:rsidRPr="00110E3A" w:rsidRDefault="00344E37" w:rsidP="00110E3A">
      <w:pPr>
        <w:pStyle w:val="PBACHeading1"/>
        <w:numPr>
          <w:ilvl w:val="0"/>
          <w:numId w:val="0"/>
        </w:numPr>
        <w:spacing w:after="240"/>
        <w:ind w:left="720"/>
        <w:rPr>
          <w:b w:val="0"/>
          <w:i/>
          <w:sz w:val="24"/>
        </w:rPr>
      </w:pPr>
      <w:r w:rsidRPr="00344E37">
        <w:rPr>
          <w:b w:val="0"/>
          <w:i/>
          <w:sz w:val="24"/>
        </w:rPr>
        <w:t>For more detail on PBAC’s view, see section 7 PBAC outcome.</w:t>
      </w:r>
    </w:p>
    <w:p w:rsidR="005D4DB8" w:rsidRPr="00B74BA2" w:rsidRDefault="005D4DB8" w:rsidP="0091423A">
      <w:pPr>
        <w:pStyle w:val="Heading1"/>
      </w:pPr>
      <w:bookmarkStart w:id="5" w:name="_Toc524436885"/>
      <w:r w:rsidRPr="00B74BA2">
        <w:t>Consideration of the evidence</w:t>
      </w:r>
      <w:bookmarkEnd w:id="5"/>
    </w:p>
    <w:p w:rsidR="00344E37" w:rsidRPr="00344E37" w:rsidRDefault="00344E37" w:rsidP="00344E37">
      <w:pPr>
        <w:pStyle w:val="PBACHeading1"/>
        <w:numPr>
          <w:ilvl w:val="0"/>
          <w:numId w:val="0"/>
        </w:numPr>
        <w:spacing w:before="240" w:after="120"/>
        <w:rPr>
          <w:rFonts w:asciiTheme="minorHAnsi" w:hAnsiTheme="minorHAnsi"/>
          <w:bCs/>
          <w:i/>
          <w:sz w:val="28"/>
          <w:szCs w:val="28"/>
        </w:rPr>
      </w:pPr>
      <w:bookmarkStart w:id="6" w:name="_Toc524436886"/>
      <w:r w:rsidRPr="00344E37">
        <w:rPr>
          <w:rFonts w:asciiTheme="minorHAnsi" w:hAnsiTheme="minorHAnsi"/>
          <w:bCs/>
          <w:i/>
          <w:sz w:val="28"/>
          <w:szCs w:val="28"/>
        </w:rPr>
        <w:t>Sponsor hearing</w:t>
      </w:r>
    </w:p>
    <w:p w:rsidR="00E60E7A" w:rsidRPr="00E60E7A" w:rsidRDefault="00E60E7A" w:rsidP="00F2263C">
      <w:pPr>
        <w:pStyle w:val="ListParagraph"/>
        <w:numPr>
          <w:ilvl w:val="1"/>
          <w:numId w:val="1"/>
        </w:numPr>
        <w:rPr>
          <w:rFonts w:asciiTheme="minorHAnsi" w:hAnsiTheme="minorHAnsi"/>
          <w:bCs/>
        </w:rPr>
      </w:pPr>
      <w:r w:rsidRPr="00E60E7A">
        <w:rPr>
          <w:rFonts w:asciiTheme="minorHAnsi" w:hAnsiTheme="minorHAnsi"/>
          <w:bCs/>
        </w:rPr>
        <w:t>There was no hearing for this item.</w:t>
      </w:r>
    </w:p>
    <w:p w:rsidR="00344E37" w:rsidRPr="00525B39" w:rsidRDefault="00344E37" w:rsidP="00344E37">
      <w:pPr>
        <w:spacing w:before="240" w:after="120" w:line="276" w:lineRule="auto"/>
        <w:outlineLvl w:val="1"/>
        <w:rPr>
          <w:rFonts w:asciiTheme="minorHAnsi" w:hAnsiTheme="minorHAnsi"/>
          <w:b/>
          <w:bCs/>
          <w:i/>
          <w:sz w:val="28"/>
          <w:szCs w:val="28"/>
        </w:rPr>
      </w:pPr>
      <w:r w:rsidRPr="00525B39">
        <w:rPr>
          <w:rFonts w:asciiTheme="minorHAnsi" w:hAnsiTheme="minorHAnsi"/>
          <w:b/>
          <w:bCs/>
          <w:i/>
          <w:sz w:val="28"/>
          <w:szCs w:val="28"/>
        </w:rPr>
        <w:t>Consumer comments</w:t>
      </w:r>
    </w:p>
    <w:p w:rsidR="00344E37" w:rsidRPr="00E60E7A" w:rsidRDefault="00344E37" w:rsidP="00F2263C">
      <w:pPr>
        <w:pStyle w:val="ListParagraph"/>
        <w:numPr>
          <w:ilvl w:val="1"/>
          <w:numId w:val="1"/>
        </w:numPr>
        <w:rPr>
          <w:rFonts w:asciiTheme="minorHAnsi" w:hAnsiTheme="minorHAnsi"/>
          <w:bCs/>
        </w:rPr>
      </w:pPr>
      <w:r w:rsidRPr="008D5A44">
        <w:rPr>
          <w:rFonts w:asciiTheme="minorHAnsi" w:hAnsiTheme="minorHAnsi"/>
          <w:bCs/>
        </w:rPr>
        <w:t xml:space="preserve">The PBAC noted and welcomed the input </w:t>
      </w:r>
      <w:r w:rsidRPr="00E60E7A">
        <w:rPr>
          <w:rFonts w:asciiTheme="minorHAnsi" w:hAnsiTheme="minorHAnsi"/>
          <w:bCs/>
        </w:rPr>
        <w:t xml:space="preserve">from </w:t>
      </w:r>
      <w:r w:rsidR="00E60E7A" w:rsidRPr="00E60E7A">
        <w:rPr>
          <w:rFonts w:asciiTheme="minorHAnsi" w:hAnsiTheme="minorHAnsi"/>
          <w:bCs/>
        </w:rPr>
        <w:t xml:space="preserve">individuals (3), a health care professional and an organisation via the Consumer Comments facility on the PBS website. The comments described a range of benefits of treatment with </w:t>
      </w:r>
      <w:r w:rsidR="00E60E7A">
        <w:rPr>
          <w:rFonts w:asciiTheme="minorHAnsi" w:hAnsiTheme="minorHAnsi"/>
          <w:bCs/>
        </w:rPr>
        <w:t>pembrolizumab</w:t>
      </w:r>
      <w:r w:rsidR="00E60E7A" w:rsidRPr="00E60E7A">
        <w:rPr>
          <w:rFonts w:asciiTheme="minorHAnsi" w:hAnsiTheme="minorHAnsi"/>
          <w:bCs/>
        </w:rPr>
        <w:t xml:space="preserve"> including </w:t>
      </w:r>
      <w:r w:rsidR="00E60E7A">
        <w:rPr>
          <w:rFonts w:asciiTheme="minorHAnsi" w:hAnsiTheme="minorHAnsi"/>
          <w:bCs/>
        </w:rPr>
        <w:t>the potential for use as a bridge to HSCT which may be curative.</w:t>
      </w:r>
      <w:r w:rsidR="00E60E7A" w:rsidRPr="00E60E7A">
        <w:rPr>
          <w:rFonts w:asciiTheme="minorHAnsi" w:hAnsiTheme="minorHAnsi"/>
          <w:bCs/>
        </w:rPr>
        <w:t xml:space="preserve"> </w:t>
      </w:r>
    </w:p>
    <w:p w:rsidR="00344E37" w:rsidRPr="00E60E7A" w:rsidRDefault="00344E37" w:rsidP="00F2263C">
      <w:pPr>
        <w:pStyle w:val="ListParagraph"/>
        <w:numPr>
          <w:ilvl w:val="1"/>
          <w:numId w:val="1"/>
        </w:numPr>
        <w:rPr>
          <w:rFonts w:asciiTheme="minorHAnsi" w:hAnsiTheme="minorHAnsi"/>
          <w:bCs/>
        </w:rPr>
      </w:pPr>
      <w:r w:rsidRPr="00E60E7A">
        <w:rPr>
          <w:rFonts w:asciiTheme="minorHAnsi" w:hAnsiTheme="minorHAnsi"/>
          <w:bCs/>
        </w:rPr>
        <w:t xml:space="preserve">The PBAC noted </w:t>
      </w:r>
      <w:r w:rsidR="00E60E7A" w:rsidRPr="00E60E7A">
        <w:rPr>
          <w:rFonts w:asciiTheme="minorHAnsi" w:hAnsiTheme="minorHAnsi"/>
          <w:bCs/>
        </w:rPr>
        <w:t xml:space="preserve">the advice from Lymphoma Australia </w:t>
      </w:r>
      <w:r w:rsidR="001A6F57">
        <w:rPr>
          <w:rFonts w:asciiTheme="minorHAnsi" w:hAnsiTheme="minorHAnsi"/>
          <w:bCs/>
        </w:rPr>
        <w:t xml:space="preserve">which outlined that R/R PMBCL is difficult to treat and affects a small number of patients. Lymphoma Australia stated that </w:t>
      </w:r>
      <w:r w:rsidR="00E60E7A">
        <w:rPr>
          <w:rFonts w:asciiTheme="minorHAnsi" w:hAnsiTheme="minorHAnsi"/>
          <w:bCs/>
        </w:rPr>
        <w:t>pembrolizumab offers potential for longer remission</w:t>
      </w:r>
      <w:r w:rsidR="001A6F57">
        <w:rPr>
          <w:rFonts w:asciiTheme="minorHAnsi" w:hAnsiTheme="minorHAnsi"/>
          <w:bCs/>
        </w:rPr>
        <w:t xml:space="preserve"> and</w:t>
      </w:r>
      <w:r w:rsidR="00E60E7A">
        <w:rPr>
          <w:rFonts w:asciiTheme="minorHAnsi" w:hAnsiTheme="minorHAnsi"/>
          <w:bCs/>
        </w:rPr>
        <w:t xml:space="preserve"> cure, </w:t>
      </w:r>
      <w:r w:rsidR="001A6F57">
        <w:rPr>
          <w:rFonts w:asciiTheme="minorHAnsi" w:hAnsiTheme="minorHAnsi"/>
          <w:bCs/>
        </w:rPr>
        <w:t xml:space="preserve">and has </w:t>
      </w:r>
      <w:r w:rsidR="00E60E7A">
        <w:rPr>
          <w:rFonts w:asciiTheme="minorHAnsi" w:hAnsiTheme="minorHAnsi"/>
          <w:bCs/>
        </w:rPr>
        <w:t xml:space="preserve">tolerable adverse events compared with traditional chemotherapies. </w:t>
      </w:r>
    </w:p>
    <w:p w:rsidR="005D4DB8" w:rsidRPr="00110E3A" w:rsidRDefault="005D4DB8" w:rsidP="0091423A">
      <w:pPr>
        <w:pStyle w:val="Heading2"/>
        <w:widowControl/>
      </w:pPr>
      <w:r w:rsidRPr="00110E3A">
        <w:t>Clinical trials</w:t>
      </w:r>
      <w:bookmarkEnd w:id="6"/>
    </w:p>
    <w:p w:rsidR="005D4DB8" w:rsidRPr="00B74BA2" w:rsidRDefault="005D4DB8" w:rsidP="00F2263C">
      <w:pPr>
        <w:pStyle w:val="ListParagraph"/>
        <w:widowControl/>
        <w:numPr>
          <w:ilvl w:val="1"/>
          <w:numId w:val="1"/>
        </w:numPr>
      </w:pPr>
      <w:r w:rsidRPr="00B74BA2">
        <w:rPr>
          <w:rFonts w:cs="Calibri"/>
          <w:snapToGrid/>
          <w:szCs w:val="24"/>
          <w:lang w:val="en-US" w:eastAsia="en-AU"/>
        </w:rPr>
        <w:t xml:space="preserve">The submission presented naïve indirect comparisons of </w:t>
      </w:r>
      <w:proofErr w:type="spellStart"/>
      <w:r w:rsidRPr="00B74BA2">
        <w:rPr>
          <w:rFonts w:cs="Calibri"/>
          <w:snapToGrid/>
          <w:szCs w:val="24"/>
          <w:lang w:val="en-US" w:eastAsia="en-AU"/>
        </w:rPr>
        <w:t>pembrolizumab</w:t>
      </w:r>
      <w:proofErr w:type="spellEnd"/>
      <w:r w:rsidRPr="00B74BA2">
        <w:rPr>
          <w:rFonts w:cs="Calibri"/>
          <w:snapToGrid/>
          <w:szCs w:val="24"/>
          <w:lang w:val="en-US" w:eastAsia="en-AU"/>
        </w:rPr>
        <w:t xml:space="preserve"> to SOC in patients with R/R PMBCL. The evidence used in the comparison was based on two single-arm studies for </w:t>
      </w:r>
      <w:proofErr w:type="spellStart"/>
      <w:r w:rsidRPr="00B74BA2">
        <w:rPr>
          <w:rFonts w:cs="Calibri"/>
          <w:snapToGrid/>
          <w:szCs w:val="24"/>
          <w:lang w:val="en-US" w:eastAsia="en-AU"/>
        </w:rPr>
        <w:t>pembrolizumab</w:t>
      </w:r>
      <w:proofErr w:type="spellEnd"/>
      <w:r w:rsidRPr="00B74BA2">
        <w:rPr>
          <w:rFonts w:cs="Calibri"/>
          <w:snapToGrid/>
          <w:szCs w:val="24"/>
          <w:lang w:val="en-US" w:eastAsia="en-AU"/>
        </w:rPr>
        <w:t xml:space="preserve"> (KN013; N = 21 and KN170; N=53)</w:t>
      </w:r>
      <w:r w:rsidR="00651B64" w:rsidRPr="00B74BA2">
        <w:rPr>
          <w:rFonts w:cs="Calibri"/>
          <w:snapToGrid/>
          <w:szCs w:val="24"/>
          <w:lang w:val="en-US" w:eastAsia="en-AU"/>
        </w:rPr>
        <w:t xml:space="preserve"> and</w:t>
      </w:r>
      <w:r w:rsidRPr="00B74BA2">
        <w:rPr>
          <w:rFonts w:cs="Calibri"/>
          <w:snapToGrid/>
          <w:szCs w:val="24"/>
          <w:lang w:val="en-US" w:eastAsia="en-AU"/>
        </w:rPr>
        <w:t xml:space="preserve"> a retrospective observational single-arm study for SOC therapies (</w:t>
      </w:r>
      <w:proofErr w:type="spellStart"/>
      <w:r w:rsidRPr="00B74BA2">
        <w:rPr>
          <w:rFonts w:cs="Calibri"/>
          <w:snapToGrid/>
          <w:szCs w:val="24"/>
          <w:lang w:val="en-US" w:eastAsia="en-AU"/>
        </w:rPr>
        <w:t>Kuruvilla</w:t>
      </w:r>
      <w:proofErr w:type="spellEnd"/>
      <w:r w:rsidRPr="00B74BA2">
        <w:rPr>
          <w:rFonts w:cs="Calibri"/>
          <w:snapToGrid/>
          <w:szCs w:val="24"/>
          <w:lang w:val="en-US" w:eastAsia="en-AU"/>
        </w:rPr>
        <w:t xml:space="preserve"> 2008</w:t>
      </w:r>
      <w:r w:rsidR="00756309" w:rsidRPr="00B74BA2">
        <w:rPr>
          <w:rFonts w:cs="Calibri"/>
          <w:snapToGrid/>
          <w:szCs w:val="24"/>
          <w:lang w:val="en-US" w:eastAsia="en-AU"/>
        </w:rPr>
        <w:t>; N = </w:t>
      </w:r>
      <w:r w:rsidRPr="00B74BA2">
        <w:rPr>
          <w:rFonts w:cs="Calibri"/>
          <w:snapToGrid/>
          <w:szCs w:val="24"/>
          <w:lang w:val="en-US" w:eastAsia="en-AU"/>
        </w:rPr>
        <w:t>37</w:t>
      </w:r>
      <w:r w:rsidR="00651B64" w:rsidRPr="00B74BA2">
        <w:rPr>
          <w:rFonts w:cs="Calibri"/>
          <w:snapToGrid/>
          <w:szCs w:val="24"/>
          <w:lang w:val="en-US" w:eastAsia="en-AU"/>
        </w:rPr>
        <w:t>)</w:t>
      </w:r>
      <w:r w:rsidR="001C6EC9" w:rsidRPr="00B74BA2">
        <w:rPr>
          <w:rFonts w:cs="Calibri"/>
          <w:snapToGrid/>
          <w:szCs w:val="24"/>
          <w:lang w:val="en-US" w:eastAsia="en-AU"/>
        </w:rPr>
        <w:t>.</w:t>
      </w:r>
    </w:p>
    <w:p w:rsidR="005D4DB8" w:rsidRPr="00B74BA2" w:rsidRDefault="005D4DB8" w:rsidP="00F2263C">
      <w:pPr>
        <w:pStyle w:val="ListParagraph"/>
        <w:widowControl/>
        <w:numPr>
          <w:ilvl w:val="1"/>
          <w:numId w:val="1"/>
        </w:numPr>
      </w:pPr>
      <w:r w:rsidRPr="00B74BA2">
        <w:rPr>
          <w:rFonts w:cs="Calibri"/>
          <w:snapToGrid/>
          <w:szCs w:val="24"/>
          <w:lang w:val="en-US" w:eastAsia="en-AU"/>
        </w:rPr>
        <w:t xml:space="preserve">A summary of the </w:t>
      </w:r>
      <w:r w:rsidR="007B0182" w:rsidRPr="00B74BA2">
        <w:rPr>
          <w:rFonts w:cs="Calibri"/>
          <w:snapToGrid/>
          <w:szCs w:val="24"/>
          <w:lang w:val="en-US" w:eastAsia="en-AU"/>
        </w:rPr>
        <w:t xml:space="preserve">studies </w:t>
      </w:r>
      <w:r w:rsidRPr="00B74BA2">
        <w:rPr>
          <w:rFonts w:cs="Calibri"/>
          <w:snapToGrid/>
          <w:szCs w:val="24"/>
          <w:lang w:val="en-US" w:eastAsia="en-AU"/>
        </w:rPr>
        <w:t xml:space="preserve">presented in the submission </w:t>
      </w:r>
      <w:r w:rsidR="007B0182" w:rsidRPr="00B74BA2">
        <w:rPr>
          <w:rFonts w:cs="Calibri"/>
          <w:snapToGrid/>
          <w:szCs w:val="24"/>
          <w:lang w:val="en-US" w:eastAsia="en-AU"/>
        </w:rPr>
        <w:t xml:space="preserve">is </w:t>
      </w:r>
      <w:r w:rsidR="00756309" w:rsidRPr="00B74BA2">
        <w:rPr>
          <w:rFonts w:cs="Calibri"/>
          <w:snapToGrid/>
          <w:szCs w:val="24"/>
          <w:lang w:val="en-US" w:eastAsia="en-AU"/>
        </w:rPr>
        <w:t>provided in Table 3.</w:t>
      </w:r>
      <w:r w:rsidRPr="00B74BA2">
        <w:rPr>
          <w:rFonts w:cs="Calibri"/>
          <w:snapToGrid/>
          <w:szCs w:val="24"/>
          <w:lang w:val="en-US" w:eastAsia="en-AU"/>
        </w:rPr>
        <w:t xml:space="preserve"> </w:t>
      </w:r>
    </w:p>
    <w:p w:rsidR="005D4DB8" w:rsidRPr="00B74BA2" w:rsidRDefault="005D4DB8" w:rsidP="0091423A">
      <w:pPr>
        <w:keepNext/>
        <w:keepLines/>
        <w:widowControl/>
        <w:rPr>
          <w:rStyle w:val="CommentReference"/>
        </w:rPr>
      </w:pPr>
      <w:r w:rsidRPr="00B74BA2">
        <w:rPr>
          <w:rStyle w:val="CommentReference"/>
        </w:rPr>
        <w:lastRenderedPageBreak/>
        <w:t>Table 3: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46"/>
        <w:gridCol w:w="5499"/>
        <w:gridCol w:w="2138"/>
      </w:tblGrid>
      <w:tr w:rsidR="009A64A5" w:rsidRPr="00B74BA2" w:rsidTr="0007533B">
        <w:trPr>
          <w:tblHeader/>
        </w:trPr>
        <w:tc>
          <w:tcPr>
            <w:tcW w:w="796" w:type="pct"/>
            <w:tcBorders>
              <w:bottom w:val="single" w:sz="4" w:space="0" w:color="auto"/>
            </w:tcBorders>
            <w:vAlign w:val="center"/>
          </w:tcPr>
          <w:p w:rsidR="009A64A5" w:rsidRPr="00B74BA2" w:rsidRDefault="009A64A5" w:rsidP="0091423A">
            <w:pPr>
              <w:pStyle w:val="Tabletext"/>
              <w:keepNext/>
              <w:keepLines/>
              <w:rPr>
                <w:b/>
              </w:rPr>
            </w:pPr>
            <w:r w:rsidRPr="00B74BA2">
              <w:rPr>
                <w:b/>
              </w:rPr>
              <w:t>Trial ID</w:t>
            </w:r>
          </w:p>
        </w:tc>
        <w:tc>
          <w:tcPr>
            <w:tcW w:w="3027" w:type="pct"/>
            <w:tcBorders>
              <w:bottom w:val="single" w:sz="4" w:space="0" w:color="auto"/>
            </w:tcBorders>
            <w:vAlign w:val="center"/>
          </w:tcPr>
          <w:p w:rsidR="009A64A5" w:rsidRPr="00B74BA2" w:rsidRDefault="009A64A5" w:rsidP="0091423A">
            <w:pPr>
              <w:pStyle w:val="Tabletext"/>
              <w:keepNext/>
              <w:keepLines/>
              <w:jc w:val="center"/>
              <w:rPr>
                <w:b/>
              </w:rPr>
            </w:pPr>
            <w:r w:rsidRPr="00B74BA2">
              <w:rPr>
                <w:b/>
              </w:rPr>
              <w:t>Protocol title/ Publication title</w:t>
            </w:r>
          </w:p>
        </w:tc>
        <w:tc>
          <w:tcPr>
            <w:tcW w:w="1177" w:type="pct"/>
            <w:tcBorders>
              <w:bottom w:val="single" w:sz="4" w:space="0" w:color="auto"/>
            </w:tcBorders>
            <w:vAlign w:val="center"/>
          </w:tcPr>
          <w:p w:rsidR="009A64A5" w:rsidRPr="00B74BA2" w:rsidRDefault="009A64A5" w:rsidP="0091423A">
            <w:pPr>
              <w:pStyle w:val="Tabletext"/>
              <w:keepNext/>
              <w:keepLines/>
              <w:jc w:val="center"/>
              <w:rPr>
                <w:b/>
              </w:rPr>
            </w:pPr>
            <w:r w:rsidRPr="00B74BA2">
              <w:rPr>
                <w:b/>
              </w:rPr>
              <w:t>Publication citation</w:t>
            </w:r>
          </w:p>
        </w:tc>
      </w:tr>
      <w:tr w:rsidR="009A64A5" w:rsidRPr="00B74BA2" w:rsidTr="0007533B">
        <w:tc>
          <w:tcPr>
            <w:tcW w:w="796" w:type="pct"/>
            <w:tcBorders>
              <w:bottom w:val="nil"/>
            </w:tcBorders>
            <w:vAlign w:val="center"/>
          </w:tcPr>
          <w:p w:rsidR="009A64A5" w:rsidRPr="00B74BA2" w:rsidRDefault="009A64A5" w:rsidP="0091423A">
            <w:pPr>
              <w:pStyle w:val="Tabletext"/>
              <w:keepNext/>
              <w:keepLines/>
              <w:rPr>
                <w:rFonts w:ascii="Times" w:hAnsi="Times"/>
              </w:rPr>
            </w:pPr>
          </w:p>
        </w:tc>
        <w:tc>
          <w:tcPr>
            <w:tcW w:w="3027" w:type="pct"/>
            <w:tcBorders>
              <w:bottom w:val="nil"/>
            </w:tcBorders>
            <w:vAlign w:val="center"/>
          </w:tcPr>
          <w:p w:rsidR="009F71D3" w:rsidRPr="00B74BA2" w:rsidRDefault="009A64A5" w:rsidP="0091423A">
            <w:pPr>
              <w:pStyle w:val="Tabletext"/>
              <w:keepNext/>
              <w:keepLines/>
              <w:spacing w:after="120"/>
              <w:rPr>
                <w:szCs w:val="18"/>
              </w:rPr>
            </w:pPr>
            <w:r w:rsidRPr="00B74BA2">
              <w:rPr>
                <w:szCs w:val="18"/>
              </w:rPr>
              <w:t xml:space="preserve">A Phase </w:t>
            </w:r>
            <w:proofErr w:type="spellStart"/>
            <w:r w:rsidRPr="00B74BA2">
              <w:rPr>
                <w:szCs w:val="18"/>
              </w:rPr>
              <w:t>Ib</w:t>
            </w:r>
            <w:proofErr w:type="spellEnd"/>
            <w:r w:rsidRPr="00B74BA2">
              <w:rPr>
                <w:szCs w:val="18"/>
              </w:rPr>
              <w:t xml:space="preserve"> Multi-Cohort Trial of MK-3475 (pembrolizumab) in Patients with Hematologic Malignancies. P013V01.</w:t>
            </w:r>
          </w:p>
        </w:tc>
        <w:tc>
          <w:tcPr>
            <w:tcW w:w="1177" w:type="pct"/>
            <w:tcBorders>
              <w:bottom w:val="nil"/>
            </w:tcBorders>
            <w:vAlign w:val="center"/>
          </w:tcPr>
          <w:p w:rsidR="009A64A5" w:rsidRPr="00B74BA2" w:rsidRDefault="009A64A5" w:rsidP="0091423A">
            <w:pPr>
              <w:pStyle w:val="Tabletext"/>
              <w:keepNext/>
              <w:keepLines/>
              <w:spacing w:after="120"/>
              <w:rPr>
                <w:rFonts w:ascii="Times" w:hAnsi="Times"/>
              </w:rPr>
            </w:pPr>
            <w:r w:rsidRPr="00B74BA2">
              <w:t>CSR, 29 September 2017</w:t>
            </w:r>
          </w:p>
        </w:tc>
      </w:tr>
      <w:tr w:rsidR="009A64A5" w:rsidRPr="00B74BA2" w:rsidTr="0007533B">
        <w:tc>
          <w:tcPr>
            <w:tcW w:w="796" w:type="pct"/>
            <w:tcBorders>
              <w:top w:val="nil"/>
              <w:bottom w:val="nil"/>
            </w:tcBorders>
            <w:vAlign w:val="center"/>
          </w:tcPr>
          <w:p w:rsidR="009A64A5" w:rsidRPr="00B74BA2" w:rsidRDefault="009A64A5" w:rsidP="0091423A">
            <w:pPr>
              <w:pStyle w:val="Tabletext"/>
              <w:keepNext/>
              <w:keepLines/>
            </w:pPr>
            <w:r w:rsidRPr="00B74BA2">
              <w:t>Keynote-013</w:t>
            </w:r>
          </w:p>
          <w:p w:rsidR="009A64A5" w:rsidRPr="00B74BA2" w:rsidRDefault="009A64A5" w:rsidP="0091423A">
            <w:pPr>
              <w:pStyle w:val="Tabletext"/>
              <w:keepNext/>
              <w:keepLines/>
            </w:pPr>
            <w:r w:rsidRPr="00B74BA2">
              <w:t>(KN013)</w:t>
            </w:r>
          </w:p>
        </w:tc>
        <w:tc>
          <w:tcPr>
            <w:tcW w:w="3027" w:type="pct"/>
            <w:tcBorders>
              <w:top w:val="nil"/>
              <w:bottom w:val="nil"/>
            </w:tcBorders>
          </w:tcPr>
          <w:p w:rsidR="009F71D3" w:rsidRPr="00B74BA2" w:rsidRDefault="009A64A5" w:rsidP="0091423A">
            <w:pPr>
              <w:pStyle w:val="Tabletext"/>
              <w:keepNext/>
              <w:keepLines/>
              <w:spacing w:after="120"/>
              <w:rPr>
                <w:szCs w:val="18"/>
                <w:lang w:eastAsia="en-AU"/>
              </w:rPr>
            </w:pPr>
            <w:r w:rsidRPr="00B74BA2">
              <w:t xml:space="preserve">Zinzani, P. L., </w:t>
            </w:r>
            <w:proofErr w:type="spellStart"/>
            <w:r w:rsidRPr="00B74BA2">
              <w:t>Ribrag</w:t>
            </w:r>
            <w:proofErr w:type="spellEnd"/>
            <w:r w:rsidRPr="00B74BA2">
              <w:t xml:space="preserve">, V., Moskowitz, C. H., </w:t>
            </w:r>
            <w:proofErr w:type="spellStart"/>
            <w:r w:rsidRPr="00B74BA2">
              <w:t>Michot</w:t>
            </w:r>
            <w:proofErr w:type="spellEnd"/>
            <w:r w:rsidRPr="00B74BA2">
              <w:t xml:space="preserve">, J., </w:t>
            </w:r>
            <w:proofErr w:type="spellStart"/>
            <w:r w:rsidRPr="00B74BA2">
              <w:t>Kuruvilla</w:t>
            </w:r>
            <w:proofErr w:type="spellEnd"/>
            <w:r w:rsidRPr="00B74BA2">
              <w:t xml:space="preserve">, J., </w:t>
            </w:r>
            <w:proofErr w:type="spellStart"/>
            <w:r w:rsidRPr="00B74BA2">
              <w:t>Balakumaran</w:t>
            </w:r>
            <w:proofErr w:type="spellEnd"/>
            <w:r w:rsidRPr="00B74BA2">
              <w:t xml:space="preserve">, A., Zhang, Y., </w:t>
            </w:r>
            <w:proofErr w:type="spellStart"/>
            <w:r w:rsidRPr="00B74BA2">
              <w:t>Chlosta</w:t>
            </w:r>
            <w:proofErr w:type="spellEnd"/>
            <w:r w:rsidRPr="00B74BA2">
              <w:t xml:space="preserve">, S., Shipp, M. A., and Armand, P. Safety and tolerability of pembrolizumab in patients with relapsed/refractory primary mediastinal large B-cell lymphoma. </w:t>
            </w:r>
          </w:p>
        </w:tc>
        <w:tc>
          <w:tcPr>
            <w:tcW w:w="1177" w:type="pct"/>
            <w:tcBorders>
              <w:top w:val="nil"/>
              <w:bottom w:val="nil"/>
            </w:tcBorders>
            <w:vAlign w:val="center"/>
          </w:tcPr>
          <w:p w:rsidR="009A64A5" w:rsidRPr="00B74BA2" w:rsidRDefault="009A64A5" w:rsidP="0091423A">
            <w:pPr>
              <w:pStyle w:val="Tabletext"/>
              <w:keepNext/>
              <w:keepLines/>
              <w:spacing w:after="120"/>
              <w:rPr>
                <w:szCs w:val="18"/>
                <w:lang w:eastAsia="en-AU"/>
              </w:rPr>
            </w:pPr>
            <w:r w:rsidRPr="00B74BA2">
              <w:rPr>
                <w:szCs w:val="18"/>
                <w:lang w:eastAsia="en-AU"/>
              </w:rPr>
              <w:t xml:space="preserve">Blood 2017; 130(3): 267-270.  </w:t>
            </w:r>
          </w:p>
        </w:tc>
      </w:tr>
      <w:tr w:rsidR="009A64A5" w:rsidRPr="00B74BA2" w:rsidTr="0007533B">
        <w:tc>
          <w:tcPr>
            <w:tcW w:w="796" w:type="pct"/>
            <w:tcBorders>
              <w:top w:val="nil"/>
              <w:bottom w:val="single" w:sz="4" w:space="0" w:color="auto"/>
            </w:tcBorders>
            <w:vAlign w:val="center"/>
          </w:tcPr>
          <w:p w:rsidR="009A64A5" w:rsidRPr="00B74BA2" w:rsidRDefault="009A64A5" w:rsidP="0091423A">
            <w:pPr>
              <w:pStyle w:val="Tabletext"/>
              <w:keepNext/>
              <w:keepLines/>
            </w:pPr>
          </w:p>
        </w:tc>
        <w:tc>
          <w:tcPr>
            <w:tcW w:w="3027" w:type="pct"/>
            <w:tcBorders>
              <w:top w:val="nil"/>
              <w:bottom w:val="single" w:sz="4" w:space="0" w:color="auto"/>
            </w:tcBorders>
          </w:tcPr>
          <w:p w:rsidR="009A64A5" w:rsidRPr="00B74BA2" w:rsidRDefault="009A64A5" w:rsidP="0091423A">
            <w:pPr>
              <w:keepNext/>
              <w:keepLines/>
              <w:widowControl/>
              <w:spacing w:after="120"/>
              <w:rPr>
                <w:lang w:val="en-US" w:eastAsia="en-AU"/>
              </w:rPr>
            </w:pPr>
            <w:proofErr w:type="spellStart"/>
            <w:r w:rsidRPr="00B74BA2">
              <w:rPr>
                <w:rFonts w:ascii="Arial Narrow" w:hAnsi="Arial Narrow" w:cs="Times New Roman"/>
                <w:snapToGrid/>
                <w:sz w:val="20"/>
              </w:rPr>
              <w:t>Ribrag</w:t>
            </w:r>
            <w:proofErr w:type="spellEnd"/>
            <w:r w:rsidRPr="00B74BA2">
              <w:rPr>
                <w:rFonts w:ascii="Arial Narrow" w:hAnsi="Arial Narrow" w:cs="Times New Roman"/>
                <w:snapToGrid/>
                <w:sz w:val="20"/>
              </w:rPr>
              <w:t xml:space="preserve"> et al. An open-label, </w:t>
            </w:r>
            <w:proofErr w:type="spellStart"/>
            <w:r w:rsidRPr="00B74BA2">
              <w:rPr>
                <w:rFonts w:ascii="Arial Narrow" w:hAnsi="Arial Narrow" w:cs="Times New Roman"/>
                <w:snapToGrid/>
                <w:sz w:val="20"/>
              </w:rPr>
              <w:t>multicohort</w:t>
            </w:r>
            <w:proofErr w:type="spellEnd"/>
            <w:r w:rsidRPr="00B74BA2">
              <w:rPr>
                <w:rFonts w:ascii="Arial Narrow" w:hAnsi="Arial Narrow" w:cs="Times New Roman"/>
                <w:snapToGrid/>
                <w:sz w:val="20"/>
              </w:rPr>
              <w:t xml:space="preserve"> Phase </w:t>
            </w:r>
            <w:proofErr w:type="spellStart"/>
            <w:r w:rsidRPr="00B74BA2">
              <w:rPr>
                <w:rFonts w:ascii="Arial Narrow" w:hAnsi="Arial Narrow" w:cs="Times New Roman"/>
                <w:snapToGrid/>
                <w:sz w:val="20"/>
              </w:rPr>
              <w:t>Ib</w:t>
            </w:r>
            <w:proofErr w:type="spellEnd"/>
            <w:r w:rsidRPr="00B74BA2">
              <w:rPr>
                <w:rFonts w:ascii="Arial Narrow" w:hAnsi="Arial Narrow" w:cs="Times New Roman"/>
                <w:snapToGrid/>
                <w:sz w:val="20"/>
              </w:rPr>
              <w:t xml:space="preserve"> trial of pembrolizumab (MK-3475) for advanced hematologic malignancies: KEYNOTE-013. </w:t>
            </w:r>
          </w:p>
        </w:tc>
        <w:tc>
          <w:tcPr>
            <w:tcW w:w="1177" w:type="pct"/>
            <w:tcBorders>
              <w:top w:val="nil"/>
              <w:bottom w:val="single" w:sz="4" w:space="0" w:color="auto"/>
            </w:tcBorders>
            <w:vAlign w:val="center"/>
          </w:tcPr>
          <w:p w:rsidR="009A64A5" w:rsidRPr="00B74BA2" w:rsidRDefault="009A64A5" w:rsidP="0091423A">
            <w:pPr>
              <w:pStyle w:val="Tabletext"/>
              <w:keepNext/>
              <w:keepLines/>
              <w:spacing w:after="120"/>
              <w:rPr>
                <w:szCs w:val="18"/>
                <w:lang w:val="en-US" w:eastAsia="en-AU"/>
              </w:rPr>
            </w:pPr>
            <w:r w:rsidRPr="00B74BA2">
              <w:rPr>
                <w:szCs w:val="18"/>
                <w:lang w:val="en-US" w:eastAsia="en-AU"/>
              </w:rPr>
              <w:t xml:space="preserve">Journal for </w:t>
            </w:r>
            <w:proofErr w:type="spellStart"/>
            <w:r w:rsidRPr="00B74BA2">
              <w:rPr>
                <w:szCs w:val="18"/>
                <w:lang w:val="en-US" w:eastAsia="en-AU"/>
              </w:rPr>
              <w:t>Immnuo</w:t>
            </w:r>
            <w:proofErr w:type="spellEnd"/>
            <w:r w:rsidRPr="00B74BA2">
              <w:rPr>
                <w:szCs w:val="18"/>
                <w:lang w:val="en-US" w:eastAsia="en-AU"/>
              </w:rPr>
              <w:t xml:space="preserve"> Therapy of Cancer 2015; 3: (Supplement 2).</w:t>
            </w:r>
          </w:p>
        </w:tc>
      </w:tr>
      <w:tr w:rsidR="009A64A5" w:rsidRPr="00B74BA2" w:rsidTr="0007533B">
        <w:tc>
          <w:tcPr>
            <w:tcW w:w="796" w:type="pct"/>
            <w:tcBorders>
              <w:bottom w:val="nil"/>
            </w:tcBorders>
            <w:vAlign w:val="center"/>
          </w:tcPr>
          <w:p w:rsidR="009A64A5" w:rsidRPr="00B74BA2" w:rsidRDefault="009A64A5" w:rsidP="0091423A">
            <w:pPr>
              <w:pStyle w:val="Tabletext"/>
              <w:keepNext/>
              <w:keepLines/>
              <w:rPr>
                <w:rFonts w:ascii="Times" w:hAnsi="Times"/>
              </w:rPr>
            </w:pPr>
          </w:p>
        </w:tc>
        <w:tc>
          <w:tcPr>
            <w:tcW w:w="3027" w:type="pct"/>
            <w:tcBorders>
              <w:bottom w:val="nil"/>
            </w:tcBorders>
            <w:vAlign w:val="center"/>
          </w:tcPr>
          <w:p w:rsidR="009A64A5" w:rsidRPr="00B74BA2" w:rsidRDefault="009A64A5" w:rsidP="0091423A">
            <w:pPr>
              <w:pStyle w:val="Tabletext"/>
              <w:keepNext/>
              <w:keepLines/>
              <w:spacing w:after="120"/>
              <w:rPr>
                <w:rFonts w:ascii="Times" w:hAnsi="Times"/>
              </w:rPr>
            </w:pPr>
            <w:r w:rsidRPr="00B74BA2">
              <w:rPr>
                <w:szCs w:val="18"/>
              </w:rPr>
              <w:t>A Phase II Study of Pembrolizumab (MK-3475) in Patients with Relapsed or Refractory Primary Mediastinal Large B-cell Lymphoma (R/R PMBCL) or Relapsed or Refractory Richter Syndrome (</w:t>
            </w:r>
            <w:proofErr w:type="spellStart"/>
            <w:r w:rsidRPr="00B74BA2">
              <w:rPr>
                <w:szCs w:val="18"/>
              </w:rPr>
              <w:t>rrRS</w:t>
            </w:r>
            <w:proofErr w:type="spellEnd"/>
            <w:r w:rsidRPr="00B74BA2">
              <w:rPr>
                <w:szCs w:val="18"/>
              </w:rPr>
              <w:t>). P170V01</w:t>
            </w:r>
          </w:p>
        </w:tc>
        <w:tc>
          <w:tcPr>
            <w:tcW w:w="1177" w:type="pct"/>
            <w:tcBorders>
              <w:bottom w:val="nil"/>
            </w:tcBorders>
            <w:vAlign w:val="center"/>
          </w:tcPr>
          <w:p w:rsidR="009A64A5" w:rsidRPr="00B74BA2" w:rsidRDefault="009A64A5" w:rsidP="0091423A">
            <w:pPr>
              <w:pStyle w:val="Tabletext"/>
              <w:keepNext/>
              <w:keepLines/>
              <w:spacing w:after="120"/>
            </w:pPr>
            <w:r w:rsidRPr="00B74BA2">
              <w:t>CSR, 14 December 2017</w:t>
            </w:r>
          </w:p>
        </w:tc>
      </w:tr>
      <w:tr w:rsidR="009A64A5" w:rsidRPr="00B74BA2" w:rsidTr="0007533B">
        <w:tc>
          <w:tcPr>
            <w:tcW w:w="796" w:type="pct"/>
            <w:tcBorders>
              <w:top w:val="nil"/>
              <w:bottom w:val="nil"/>
            </w:tcBorders>
            <w:vAlign w:val="center"/>
          </w:tcPr>
          <w:p w:rsidR="009A64A5" w:rsidRPr="00B74BA2" w:rsidRDefault="009A64A5" w:rsidP="0091423A">
            <w:pPr>
              <w:pStyle w:val="Tabletext"/>
              <w:keepNext/>
              <w:keepLines/>
            </w:pPr>
            <w:r w:rsidRPr="00B74BA2">
              <w:t>Keynote – 170</w:t>
            </w:r>
          </w:p>
          <w:p w:rsidR="009A64A5" w:rsidRPr="00B74BA2" w:rsidRDefault="009A64A5" w:rsidP="0091423A">
            <w:pPr>
              <w:pStyle w:val="Tabletext"/>
              <w:keepNext/>
              <w:keepLines/>
            </w:pPr>
            <w:r w:rsidRPr="00B74BA2">
              <w:t>(KN170)</w:t>
            </w:r>
          </w:p>
        </w:tc>
        <w:tc>
          <w:tcPr>
            <w:tcW w:w="3027" w:type="pct"/>
            <w:tcBorders>
              <w:top w:val="nil"/>
              <w:bottom w:val="nil"/>
            </w:tcBorders>
            <w:vAlign w:val="center"/>
          </w:tcPr>
          <w:p w:rsidR="009A64A5" w:rsidRPr="00B74BA2" w:rsidRDefault="009A64A5" w:rsidP="0091423A">
            <w:pPr>
              <w:pStyle w:val="Tabletext"/>
              <w:keepNext/>
              <w:keepLines/>
              <w:spacing w:after="120"/>
              <w:rPr>
                <w:szCs w:val="18"/>
              </w:rPr>
            </w:pPr>
            <w:r w:rsidRPr="00B74BA2">
              <w:rPr>
                <w:szCs w:val="18"/>
              </w:rPr>
              <w:t>A Phase II Study of Pembrolizumab (MK-3475) in Patients with Relapsed or Refractory Primary Mediastinal Large B-cell Lymphoma (R/R PMBCL) or Relapsed or Refractory Richter Syndrome (</w:t>
            </w:r>
            <w:proofErr w:type="spellStart"/>
            <w:r w:rsidRPr="00B74BA2">
              <w:rPr>
                <w:szCs w:val="18"/>
              </w:rPr>
              <w:t>rrRS</w:t>
            </w:r>
            <w:proofErr w:type="spellEnd"/>
            <w:r w:rsidRPr="00B74BA2">
              <w:rPr>
                <w:szCs w:val="18"/>
              </w:rPr>
              <w:t>).</w:t>
            </w:r>
          </w:p>
        </w:tc>
        <w:tc>
          <w:tcPr>
            <w:tcW w:w="1177" w:type="pct"/>
            <w:tcBorders>
              <w:top w:val="nil"/>
              <w:bottom w:val="nil"/>
            </w:tcBorders>
            <w:vAlign w:val="center"/>
          </w:tcPr>
          <w:p w:rsidR="009A64A5" w:rsidRPr="00B74BA2" w:rsidRDefault="009A64A5" w:rsidP="0091423A">
            <w:pPr>
              <w:pStyle w:val="Tabletext"/>
              <w:keepNext/>
              <w:keepLines/>
              <w:spacing w:after="120"/>
            </w:pPr>
            <w:r w:rsidRPr="00B74BA2">
              <w:rPr>
                <w:szCs w:val="18"/>
              </w:rPr>
              <w:t>KN170 Efficacy Update Report, 19 January 2018.</w:t>
            </w:r>
          </w:p>
        </w:tc>
      </w:tr>
      <w:tr w:rsidR="009A64A5" w:rsidRPr="00B74BA2" w:rsidTr="0007533B">
        <w:tc>
          <w:tcPr>
            <w:tcW w:w="796" w:type="pct"/>
            <w:tcBorders>
              <w:top w:val="nil"/>
              <w:bottom w:val="nil"/>
            </w:tcBorders>
            <w:vAlign w:val="center"/>
          </w:tcPr>
          <w:p w:rsidR="009A64A5" w:rsidRPr="00B74BA2" w:rsidRDefault="009A64A5" w:rsidP="0091423A">
            <w:pPr>
              <w:pStyle w:val="Tabletext"/>
              <w:keepNext/>
              <w:keepLines/>
            </w:pPr>
          </w:p>
        </w:tc>
        <w:tc>
          <w:tcPr>
            <w:tcW w:w="3027" w:type="pct"/>
            <w:tcBorders>
              <w:top w:val="nil"/>
              <w:bottom w:val="nil"/>
            </w:tcBorders>
            <w:vAlign w:val="center"/>
          </w:tcPr>
          <w:p w:rsidR="009A64A5" w:rsidRPr="00B74BA2" w:rsidRDefault="009A64A5" w:rsidP="0091423A">
            <w:pPr>
              <w:pStyle w:val="Tabletext"/>
              <w:keepNext/>
              <w:keepLines/>
              <w:spacing w:after="120"/>
              <w:rPr>
                <w:szCs w:val="18"/>
              </w:rPr>
            </w:pPr>
            <w:r w:rsidRPr="00B74BA2">
              <w:rPr>
                <w:szCs w:val="18"/>
              </w:rPr>
              <w:t>A Phase II Study of Pembrolizumab (MK-3475) in Patients with Relapsed or Refractory Primary Mediastinal Large B-cell Lymphoma (R/R PMBCL) or Relapsed or Refractory Richter Syndrome (</w:t>
            </w:r>
            <w:proofErr w:type="spellStart"/>
            <w:r w:rsidRPr="00B74BA2">
              <w:rPr>
                <w:szCs w:val="18"/>
              </w:rPr>
              <w:t>rrRS</w:t>
            </w:r>
            <w:proofErr w:type="spellEnd"/>
            <w:r w:rsidRPr="00B74BA2">
              <w:rPr>
                <w:szCs w:val="18"/>
              </w:rPr>
              <w:t>).</w:t>
            </w:r>
          </w:p>
        </w:tc>
        <w:tc>
          <w:tcPr>
            <w:tcW w:w="1177" w:type="pct"/>
            <w:tcBorders>
              <w:top w:val="nil"/>
              <w:bottom w:val="nil"/>
            </w:tcBorders>
            <w:vAlign w:val="center"/>
          </w:tcPr>
          <w:p w:rsidR="009A64A5" w:rsidRPr="00B74BA2" w:rsidRDefault="009A64A5" w:rsidP="0091423A">
            <w:pPr>
              <w:pStyle w:val="Tabletext"/>
              <w:keepNext/>
              <w:keepLines/>
              <w:spacing w:after="120"/>
              <w:rPr>
                <w:rFonts w:ascii="Times" w:hAnsi="Times"/>
              </w:rPr>
            </w:pPr>
            <w:r w:rsidRPr="00B74BA2">
              <w:rPr>
                <w:szCs w:val="18"/>
              </w:rPr>
              <w:t>KN170 Safety Update Report, 19 January 2018</w:t>
            </w:r>
          </w:p>
        </w:tc>
      </w:tr>
      <w:tr w:rsidR="009A64A5" w:rsidRPr="00B74BA2" w:rsidTr="003620EE">
        <w:tc>
          <w:tcPr>
            <w:tcW w:w="796" w:type="pct"/>
            <w:tcBorders>
              <w:top w:val="nil"/>
              <w:bottom w:val="nil"/>
            </w:tcBorders>
            <w:vAlign w:val="center"/>
          </w:tcPr>
          <w:p w:rsidR="009A64A5" w:rsidRPr="00B74BA2" w:rsidRDefault="009A64A5" w:rsidP="0091423A">
            <w:pPr>
              <w:pStyle w:val="Tabletext"/>
              <w:keepNext/>
              <w:keepLines/>
            </w:pPr>
          </w:p>
        </w:tc>
        <w:tc>
          <w:tcPr>
            <w:tcW w:w="3027" w:type="pct"/>
            <w:tcBorders>
              <w:top w:val="nil"/>
              <w:bottom w:val="nil"/>
            </w:tcBorders>
            <w:vAlign w:val="center"/>
          </w:tcPr>
          <w:p w:rsidR="009A64A5" w:rsidRPr="00B74BA2" w:rsidRDefault="009A64A5" w:rsidP="0091423A">
            <w:pPr>
              <w:pStyle w:val="Tabletext"/>
              <w:keepNext/>
              <w:keepLines/>
              <w:spacing w:after="120"/>
              <w:rPr>
                <w:szCs w:val="18"/>
              </w:rPr>
            </w:pPr>
            <w:proofErr w:type="spellStart"/>
            <w:r w:rsidRPr="00B74BA2">
              <w:rPr>
                <w:szCs w:val="18"/>
              </w:rPr>
              <w:t>Michot</w:t>
            </w:r>
            <w:proofErr w:type="spellEnd"/>
            <w:r w:rsidRPr="00B74BA2">
              <w:rPr>
                <w:szCs w:val="18"/>
              </w:rPr>
              <w:t xml:space="preserve"> et al. KEYNOTE-170: Phase II Study of Pembrolizumab in Patients with Relapsed/Refractory Primary Mediastinal Large B Cell Lymphoma (R/R PMBCL) or relapsed or refractory Richter syndrome (</w:t>
            </w:r>
            <w:proofErr w:type="spellStart"/>
            <w:r w:rsidRPr="00B74BA2">
              <w:rPr>
                <w:szCs w:val="18"/>
              </w:rPr>
              <w:t>rrRS</w:t>
            </w:r>
            <w:proofErr w:type="spellEnd"/>
            <w:r w:rsidRPr="00B74BA2">
              <w:rPr>
                <w:szCs w:val="18"/>
              </w:rPr>
              <w:t xml:space="preserve">). </w:t>
            </w:r>
          </w:p>
        </w:tc>
        <w:tc>
          <w:tcPr>
            <w:tcW w:w="1177" w:type="pct"/>
            <w:tcBorders>
              <w:top w:val="nil"/>
              <w:bottom w:val="nil"/>
            </w:tcBorders>
            <w:vAlign w:val="center"/>
          </w:tcPr>
          <w:p w:rsidR="009A64A5" w:rsidRPr="00B74BA2" w:rsidRDefault="009A64A5" w:rsidP="0091423A">
            <w:pPr>
              <w:pStyle w:val="Tabletext"/>
              <w:keepNext/>
              <w:keepLines/>
              <w:spacing w:after="120"/>
              <w:rPr>
                <w:szCs w:val="18"/>
              </w:rPr>
            </w:pPr>
            <w:r w:rsidRPr="00B74BA2">
              <w:rPr>
                <w:szCs w:val="18"/>
              </w:rPr>
              <w:t xml:space="preserve">Journal for </w:t>
            </w:r>
            <w:proofErr w:type="spellStart"/>
            <w:r w:rsidRPr="00B74BA2">
              <w:rPr>
                <w:szCs w:val="18"/>
              </w:rPr>
              <w:t>ImmunoTherapy</w:t>
            </w:r>
            <w:proofErr w:type="spellEnd"/>
            <w:r w:rsidRPr="00B74BA2">
              <w:rPr>
                <w:szCs w:val="18"/>
              </w:rPr>
              <w:t xml:space="preserve"> of Cancer 2016; 4 (Supplement 1).</w:t>
            </w:r>
          </w:p>
        </w:tc>
      </w:tr>
      <w:tr w:rsidR="009A64A5" w:rsidRPr="00B74BA2" w:rsidTr="003620EE">
        <w:tc>
          <w:tcPr>
            <w:tcW w:w="796" w:type="pct"/>
            <w:tcBorders>
              <w:top w:val="nil"/>
              <w:bottom w:val="nil"/>
            </w:tcBorders>
            <w:vAlign w:val="center"/>
          </w:tcPr>
          <w:p w:rsidR="009A64A5" w:rsidRPr="00B74BA2" w:rsidRDefault="009A64A5" w:rsidP="0091423A">
            <w:pPr>
              <w:pStyle w:val="Tabletext"/>
              <w:keepNext/>
              <w:keepLines/>
            </w:pPr>
          </w:p>
        </w:tc>
        <w:tc>
          <w:tcPr>
            <w:tcW w:w="3027" w:type="pct"/>
            <w:tcBorders>
              <w:top w:val="nil"/>
              <w:bottom w:val="nil"/>
            </w:tcBorders>
            <w:vAlign w:val="center"/>
          </w:tcPr>
          <w:p w:rsidR="009A64A5" w:rsidRPr="00B74BA2" w:rsidRDefault="009A64A5" w:rsidP="0091423A">
            <w:pPr>
              <w:pStyle w:val="Tabletext"/>
              <w:keepNext/>
              <w:keepLines/>
              <w:spacing w:after="120"/>
              <w:rPr>
                <w:szCs w:val="18"/>
              </w:rPr>
            </w:pPr>
            <w:r w:rsidRPr="00B74BA2">
              <w:rPr>
                <w:szCs w:val="18"/>
              </w:rPr>
              <w:t xml:space="preserve">J-M. </w:t>
            </w:r>
            <w:proofErr w:type="spellStart"/>
            <w:r w:rsidRPr="00B74BA2">
              <w:rPr>
                <w:szCs w:val="18"/>
              </w:rPr>
              <w:t>Michot</w:t>
            </w:r>
            <w:proofErr w:type="spellEnd"/>
            <w:r w:rsidRPr="00B74BA2">
              <w:rPr>
                <w:szCs w:val="18"/>
              </w:rPr>
              <w:t xml:space="preserve">, P. Armand, W. Ding, V. </w:t>
            </w:r>
            <w:proofErr w:type="spellStart"/>
            <w:r w:rsidRPr="00B74BA2">
              <w:rPr>
                <w:szCs w:val="18"/>
              </w:rPr>
              <w:t>Ribrag</w:t>
            </w:r>
            <w:proofErr w:type="spellEnd"/>
            <w:r w:rsidRPr="00B74BA2">
              <w:rPr>
                <w:szCs w:val="18"/>
              </w:rPr>
              <w:t xml:space="preserve">, B. Christian, A. </w:t>
            </w:r>
            <w:proofErr w:type="spellStart"/>
            <w:r w:rsidRPr="00B74BA2">
              <w:rPr>
                <w:szCs w:val="18"/>
              </w:rPr>
              <w:t>Balakumaran</w:t>
            </w:r>
            <w:proofErr w:type="spellEnd"/>
            <w:r w:rsidRPr="00B74BA2">
              <w:rPr>
                <w:szCs w:val="18"/>
              </w:rPr>
              <w:t xml:space="preserve">, P. </w:t>
            </w:r>
            <w:proofErr w:type="spellStart"/>
            <w:r w:rsidRPr="00B74BA2">
              <w:rPr>
                <w:szCs w:val="18"/>
              </w:rPr>
              <w:t>Marinello</w:t>
            </w:r>
            <w:proofErr w:type="spellEnd"/>
            <w:r w:rsidRPr="00B74BA2">
              <w:rPr>
                <w:szCs w:val="18"/>
              </w:rPr>
              <w:t xml:space="preserve">, S. </w:t>
            </w:r>
            <w:proofErr w:type="spellStart"/>
            <w:r w:rsidRPr="00B74BA2">
              <w:rPr>
                <w:szCs w:val="18"/>
              </w:rPr>
              <w:t>Chlosta</w:t>
            </w:r>
            <w:proofErr w:type="spellEnd"/>
            <w:r w:rsidRPr="00B74BA2">
              <w:rPr>
                <w:szCs w:val="18"/>
              </w:rPr>
              <w:t>, Y. Zhang, M. Shipp, P.L. Zinzani; Pembrolizumab in patients with relapsed/refractory primary mediastinal large B-cell lymphoma (R/R PMBCL) or relapsed or refractory Richter syndrome (</w:t>
            </w:r>
            <w:proofErr w:type="spellStart"/>
            <w:r w:rsidRPr="00B74BA2">
              <w:rPr>
                <w:szCs w:val="18"/>
              </w:rPr>
              <w:t>rrRS</w:t>
            </w:r>
            <w:proofErr w:type="spellEnd"/>
            <w:r w:rsidRPr="00B74BA2">
              <w:rPr>
                <w:szCs w:val="18"/>
              </w:rPr>
              <w:t xml:space="preserve">): Phase 2 KEYNOTE-170 study. </w:t>
            </w:r>
          </w:p>
        </w:tc>
        <w:tc>
          <w:tcPr>
            <w:tcW w:w="1177" w:type="pct"/>
            <w:tcBorders>
              <w:top w:val="nil"/>
              <w:bottom w:val="nil"/>
            </w:tcBorders>
            <w:vAlign w:val="center"/>
          </w:tcPr>
          <w:p w:rsidR="009A64A5" w:rsidRPr="00B74BA2" w:rsidRDefault="009A64A5" w:rsidP="0091423A">
            <w:pPr>
              <w:pStyle w:val="Tabletext"/>
              <w:keepNext/>
              <w:keepLines/>
              <w:spacing w:after="120"/>
              <w:rPr>
                <w:szCs w:val="18"/>
              </w:rPr>
            </w:pPr>
            <w:r w:rsidRPr="00B74BA2">
              <w:rPr>
                <w:szCs w:val="18"/>
              </w:rPr>
              <w:t>Annals of Oncology 2016; Volume 27, Issue suppl_6, 944TiP.</w:t>
            </w:r>
          </w:p>
        </w:tc>
      </w:tr>
      <w:tr w:rsidR="009A64A5" w:rsidRPr="00B74BA2" w:rsidTr="0007533B">
        <w:tc>
          <w:tcPr>
            <w:tcW w:w="796" w:type="pct"/>
            <w:tcBorders>
              <w:top w:val="nil"/>
            </w:tcBorders>
            <w:vAlign w:val="center"/>
          </w:tcPr>
          <w:p w:rsidR="009A64A5" w:rsidRPr="00B74BA2" w:rsidRDefault="009A64A5" w:rsidP="0091423A">
            <w:pPr>
              <w:pStyle w:val="Tabletext"/>
              <w:keepNext/>
              <w:keepLines/>
            </w:pPr>
          </w:p>
        </w:tc>
        <w:tc>
          <w:tcPr>
            <w:tcW w:w="3027" w:type="pct"/>
            <w:tcBorders>
              <w:top w:val="nil"/>
            </w:tcBorders>
            <w:vAlign w:val="center"/>
          </w:tcPr>
          <w:p w:rsidR="009A64A5" w:rsidRPr="00B74BA2" w:rsidRDefault="009A64A5" w:rsidP="0091423A">
            <w:pPr>
              <w:pStyle w:val="Tabletext"/>
              <w:keepNext/>
              <w:keepLines/>
              <w:spacing w:after="120"/>
              <w:rPr>
                <w:szCs w:val="18"/>
              </w:rPr>
            </w:pPr>
            <w:r w:rsidRPr="00B74BA2">
              <w:rPr>
                <w:szCs w:val="18"/>
              </w:rPr>
              <w:t xml:space="preserve">Zinzani et al. Efficacy and Safety of Pembrolizumab in Relapsed/Refractory Primary Mediastinal Large B-cell Lymphoma (R/R PMBCL): Interim analysis of the KEYNOTE-170 Phase 2 Trial. </w:t>
            </w:r>
          </w:p>
        </w:tc>
        <w:tc>
          <w:tcPr>
            <w:tcW w:w="1177" w:type="pct"/>
            <w:tcBorders>
              <w:top w:val="nil"/>
            </w:tcBorders>
            <w:vAlign w:val="center"/>
          </w:tcPr>
          <w:p w:rsidR="009A64A5" w:rsidRPr="00B74BA2" w:rsidRDefault="009A64A5" w:rsidP="0091423A">
            <w:pPr>
              <w:pStyle w:val="Tabletext"/>
              <w:keepNext/>
              <w:keepLines/>
              <w:spacing w:after="120"/>
              <w:rPr>
                <w:szCs w:val="18"/>
              </w:rPr>
            </w:pPr>
            <w:proofErr w:type="spellStart"/>
            <w:r w:rsidRPr="00B74BA2">
              <w:rPr>
                <w:szCs w:val="18"/>
              </w:rPr>
              <w:t>Hematological</w:t>
            </w:r>
            <w:proofErr w:type="spellEnd"/>
            <w:r w:rsidRPr="00B74BA2">
              <w:rPr>
                <w:szCs w:val="18"/>
              </w:rPr>
              <w:t xml:space="preserve"> Oncology 2017; 35 (Supplement 2).</w:t>
            </w:r>
          </w:p>
        </w:tc>
      </w:tr>
      <w:tr w:rsidR="009A64A5" w:rsidRPr="00B74BA2" w:rsidTr="0007533B">
        <w:tc>
          <w:tcPr>
            <w:tcW w:w="796" w:type="pct"/>
            <w:vAlign w:val="center"/>
          </w:tcPr>
          <w:p w:rsidR="009A64A5" w:rsidRPr="00B74BA2" w:rsidRDefault="009A64A5" w:rsidP="0091423A">
            <w:pPr>
              <w:pStyle w:val="Tabletext"/>
              <w:keepNext/>
              <w:keepLines/>
            </w:pPr>
            <w:r w:rsidRPr="00B74BA2">
              <w:t>Salvage chemotherapy</w:t>
            </w:r>
          </w:p>
        </w:tc>
        <w:tc>
          <w:tcPr>
            <w:tcW w:w="3027" w:type="pct"/>
            <w:vAlign w:val="center"/>
          </w:tcPr>
          <w:p w:rsidR="009A64A5" w:rsidRPr="00B74BA2" w:rsidRDefault="009A64A5" w:rsidP="0091423A">
            <w:pPr>
              <w:pStyle w:val="Tabletext"/>
              <w:keepNext/>
              <w:keepLines/>
              <w:spacing w:after="120"/>
              <w:rPr>
                <w:szCs w:val="18"/>
              </w:rPr>
            </w:pPr>
            <w:proofErr w:type="spellStart"/>
            <w:r w:rsidRPr="00B74BA2">
              <w:t>Kuruvilla</w:t>
            </w:r>
            <w:proofErr w:type="spellEnd"/>
            <w:r w:rsidRPr="00B74BA2">
              <w:t xml:space="preserve">, J., </w:t>
            </w:r>
            <w:proofErr w:type="spellStart"/>
            <w:r w:rsidRPr="00B74BA2">
              <w:t>Pintilie</w:t>
            </w:r>
            <w:proofErr w:type="spellEnd"/>
            <w:r w:rsidRPr="00B74BA2">
              <w:t>, M., Tsang, R., Nagy, T., Keating, A. and Crump, M. Salvage chemotherapy and autologous stem cell transplantation are inferior for relapsed or refractory primary mediastinal large B-cell lymphoma compared with diffuse large B-cell lymphoma. </w:t>
            </w:r>
          </w:p>
        </w:tc>
        <w:tc>
          <w:tcPr>
            <w:tcW w:w="1177" w:type="pct"/>
            <w:vAlign w:val="center"/>
          </w:tcPr>
          <w:p w:rsidR="009A64A5" w:rsidRPr="00B74BA2" w:rsidRDefault="009A64A5" w:rsidP="0091423A">
            <w:pPr>
              <w:pStyle w:val="Tabletext"/>
              <w:keepNext/>
              <w:keepLines/>
              <w:spacing w:after="120"/>
            </w:pPr>
            <w:r w:rsidRPr="00B74BA2">
              <w:rPr>
                <w:szCs w:val="18"/>
              </w:rPr>
              <w:t>Leukemia and Lymphoma 2008; 49(7): pp.1329-1336.</w:t>
            </w:r>
          </w:p>
        </w:tc>
      </w:tr>
    </w:tbl>
    <w:p w:rsidR="005D4DB8" w:rsidRPr="00B74BA2" w:rsidRDefault="005D4DB8" w:rsidP="0091423A">
      <w:pPr>
        <w:pStyle w:val="TableFooter"/>
        <w:keepNext/>
        <w:keepLines/>
        <w:widowControl/>
        <w:rPr>
          <w:sz w:val="20"/>
        </w:rPr>
      </w:pPr>
      <w:r w:rsidRPr="00B74BA2">
        <w:t>Source: Table 2.2-1, pp20-22, of the submission.</w:t>
      </w:r>
    </w:p>
    <w:p w:rsidR="005D4DB8" w:rsidRPr="00B74BA2" w:rsidRDefault="0007533B" w:rsidP="0091423A">
      <w:pPr>
        <w:widowControl/>
      </w:pPr>
      <w:r w:rsidRPr="00B74BA2">
        <w:br w:type="page"/>
      </w:r>
    </w:p>
    <w:p w:rsidR="005D4DB8" w:rsidRPr="00B74BA2" w:rsidRDefault="005D4DB8" w:rsidP="00F2263C">
      <w:pPr>
        <w:pStyle w:val="ListParagraph"/>
        <w:widowControl/>
        <w:numPr>
          <w:ilvl w:val="1"/>
          <w:numId w:val="1"/>
        </w:numPr>
      </w:pPr>
      <w:r w:rsidRPr="00B74BA2">
        <w:lastRenderedPageBreak/>
        <w:t xml:space="preserve">The key features of the studies are summarised in Table 4. </w:t>
      </w:r>
    </w:p>
    <w:p w:rsidR="005D4DB8" w:rsidRPr="00B74BA2" w:rsidRDefault="005D4DB8" w:rsidP="0091423A">
      <w:pPr>
        <w:keepNext/>
        <w:keepLines/>
        <w:widowControl/>
        <w:jc w:val="left"/>
        <w:rPr>
          <w:rStyle w:val="CommentReference"/>
        </w:rPr>
      </w:pPr>
      <w:r w:rsidRPr="00B74BA2">
        <w:rPr>
          <w:rStyle w:val="CommentReference"/>
        </w:rPr>
        <w:t>Table 4: Key features of the included evidence</w:t>
      </w:r>
    </w:p>
    <w:tbl>
      <w:tblPr>
        <w:tblW w:w="4985"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8"/>
        <w:gridCol w:w="424"/>
        <w:gridCol w:w="1420"/>
        <w:gridCol w:w="849"/>
        <w:gridCol w:w="3119"/>
        <w:gridCol w:w="1134"/>
        <w:gridCol w:w="1402"/>
      </w:tblGrid>
      <w:tr w:rsidR="009F71D3" w:rsidRPr="00B74BA2" w:rsidTr="0007533B">
        <w:tc>
          <w:tcPr>
            <w:tcW w:w="391" w:type="pct"/>
            <w:shd w:val="clear" w:color="auto" w:fill="auto"/>
            <w:vAlign w:val="center"/>
          </w:tcPr>
          <w:p w:rsidR="005D4DB8" w:rsidRPr="00B74BA2" w:rsidRDefault="005D4DB8" w:rsidP="0091423A">
            <w:pPr>
              <w:pStyle w:val="Tabletext"/>
              <w:keepNext/>
              <w:keepLines/>
              <w:rPr>
                <w:b/>
                <w:lang w:val="en-US"/>
              </w:rPr>
            </w:pPr>
            <w:r w:rsidRPr="00B74BA2">
              <w:rPr>
                <w:b/>
                <w:lang w:val="en-US"/>
              </w:rPr>
              <w:t>Trial</w:t>
            </w:r>
          </w:p>
        </w:tc>
        <w:tc>
          <w:tcPr>
            <w:tcW w:w="234" w:type="pct"/>
            <w:shd w:val="clear" w:color="auto" w:fill="auto"/>
            <w:vAlign w:val="center"/>
          </w:tcPr>
          <w:p w:rsidR="005D4DB8" w:rsidRPr="00B74BA2" w:rsidRDefault="005D4DB8" w:rsidP="0091423A">
            <w:pPr>
              <w:pStyle w:val="Tabletext"/>
              <w:keepNext/>
              <w:keepLines/>
              <w:jc w:val="center"/>
              <w:rPr>
                <w:b/>
                <w:lang w:val="en-US"/>
              </w:rPr>
            </w:pPr>
            <w:r w:rsidRPr="00B74BA2">
              <w:rPr>
                <w:b/>
                <w:lang w:val="en-US"/>
              </w:rPr>
              <w:t>N</w:t>
            </w:r>
          </w:p>
        </w:tc>
        <w:tc>
          <w:tcPr>
            <w:tcW w:w="784" w:type="pct"/>
            <w:shd w:val="clear" w:color="auto" w:fill="auto"/>
            <w:vAlign w:val="center"/>
          </w:tcPr>
          <w:p w:rsidR="005D4DB8" w:rsidRPr="00B74BA2" w:rsidRDefault="005D4DB8" w:rsidP="0091423A">
            <w:pPr>
              <w:pStyle w:val="Tabletext"/>
              <w:keepNext/>
              <w:keepLines/>
              <w:jc w:val="center"/>
              <w:rPr>
                <w:b/>
                <w:lang w:val="en-US"/>
              </w:rPr>
            </w:pPr>
            <w:r w:rsidRPr="00B74BA2">
              <w:rPr>
                <w:b/>
                <w:lang w:val="en-US"/>
              </w:rPr>
              <w:t>Design/ duration</w:t>
            </w:r>
          </w:p>
        </w:tc>
        <w:tc>
          <w:tcPr>
            <w:tcW w:w="469" w:type="pct"/>
            <w:shd w:val="clear" w:color="auto" w:fill="auto"/>
            <w:vAlign w:val="center"/>
          </w:tcPr>
          <w:p w:rsidR="005D4DB8" w:rsidRPr="00B74BA2" w:rsidRDefault="005D4DB8" w:rsidP="0091423A">
            <w:pPr>
              <w:pStyle w:val="Tabletext"/>
              <w:keepNext/>
              <w:keepLines/>
              <w:jc w:val="center"/>
              <w:rPr>
                <w:b/>
                <w:lang w:val="en-US"/>
              </w:rPr>
            </w:pPr>
            <w:r w:rsidRPr="00B74BA2">
              <w:rPr>
                <w:b/>
                <w:lang w:val="en-US"/>
              </w:rPr>
              <w:t>Risk of bias</w:t>
            </w:r>
          </w:p>
        </w:tc>
        <w:tc>
          <w:tcPr>
            <w:tcW w:w="1722" w:type="pct"/>
            <w:shd w:val="clear" w:color="auto" w:fill="auto"/>
            <w:vAlign w:val="center"/>
          </w:tcPr>
          <w:p w:rsidR="005D4DB8" w:rsidRPr="00B74BA2" w:rsidRDefault="005D4DB8" w:rsidP="0091423A">
            <w:pPr>
              <w:pStyle w:val="Tabletext"/>
              <w:keepNext/>
              <w:keepLines/>
              <w:jc w:val="center"/>
              <w:rPr>
                <w:b/>
                <w:lang w:val="en-US"/>
              </w:rPr>
            </w:pPr>
            <w:r w:rsidRPr="00B74BA2">
              <w:rPr>
                <w:b/>
                <w:lang w:val="en-US"/>
              </w:rPr>
              <w:t>Patient population</w:t>
            </w:r>
          </w:p>
        </w:tc>
        <w:tc>
          <w:tcPr>
            <w:tcW w:w="626" w:type="pct"/>
            <w:shd w:val="clear" w:color="auto" w:fill="auto"/>
            <w:vAlign w:val="center"/>
          </w:tcPr>
          <w:p w:rsidR="005D4DB8" w:rsidRPr="00B74BA2" w:rsidRDefault="005D4DB8" w:rsidP="0091423A">
            <w:pPr>
              <w:pStyle w:val="Tabletext"/>
              <w:keepNext/>
              <w:keepLines/>
              <w:jc w:val="center"/>
              <w:rPr>
                <w:b/>
                <w:lang w:val="en-US"/>
              </w:rPr>
            </w:pPr>
            <w:r w:rsidRPr="00B74BA2">
              <w:rPr>
                <w:b/>
                <w:lang w:val="en-US"/>
              </w:rPr>
              <w:t>Outcome(s)</w:t>
            </w:r>
          </w:p>
        </w:tc>
        <w:tc>
          <w:tcPr>
            <w:tcW w:w="774" w:type="pct"/>
            <w:shd w:val="clear" w:color="auto" w:fill="auto"/>
            <w:vAlign w:val="center"/>
          </w:tcPr>
          <w:p w:rsidR="005D4DB8" w:rsidRPr="00B74BA2" w:rsidRDefault="005D4DB8" w:rsidP="0091423A">
            <w:pPr>
              <w:pStyle w:val="Tabletext"/>
              <w:keepNext/>
              <w:keepLines/>
              <w:jc w:val="center"/>
              <w:rPr>
                <w:b/>
                <w:lang w:val="en-US"/>
              </w:rPr>
            </w:pPr>
            <w:r w:rsidRPr="00B74BA2">
              <w:rPr>
                <w:b/>
                <w:lang w:val="en-US"/>
              </w:rPr>
              <w:t>Use in modelled evaluation</w:t>
            </w:r>
          </w:p>
        </w:tc>
      </w:tr>
      <w:tr w:rsidR="005D4DB8" w:rsidRPr="00B74BA2" w:rsidTr="0007533B">
        <w:tc>
          <w:tcPr>
            <w:tcW w:w="5000" w:type="pct"/>
            <w:gridSpan w:val="7"/>
            <w:shd w:val="clear" w:color="auto" w:fill="auto"/>
            <w:vAlign w:val="center"/>
          </w:tcPr>
          <w:p w:rsidR="005D4DB8" w:rsidRPr="00B74BA2" w:rsidRDefault="005D4DB8" w:rsidP="0091423A">
            <w:pPr>
              <w:pStyle w:val="Tabletext"/>
              <w:keepNext/>
              <w:keepLines/>
              <w:rPr>
                <w:b/>
                <w:lang w:val="en-US"/>
              </w:rPr>
            </w:pPr>
            <w:proofErr w:type="spellStart"/>
            <w:r w:rsidRPr="00B74BA2">
              <w:rPr>
                <w:b/>
                <w:lang w:val="en-US"/>
              </w:rPr>
              <w:t>Pembrolizumab</w:t>
            </w:r>
            <w:proofErr w:type="spellEnd"/>
          </w:p>
        </w:tc>
      </w:tr>
      <w:tr w:rsidR="009F71D3" w:rsidRPr="00B74BA2" w:rsidTr="0007533B">
        <w:tc>
          <w:tcPr>
            <w:tcW w:w="391" w:type="pct"/>
            <w:shd w:val="clear" w:color="auto" w:fill="auto"/>
            <w:vAlign w:val="center"/>
          </w:tcPr>
          <w:p w:rsidR="005D4DB8" w:rsidRPr="00B74BA2" w:rsidRDefault="005D4DB8" w:rsidP="0091423A">
            <w:pPr>
              <w:pStyle w:val="Tabletext"/>
              <w:keepNext/>
              <w:keepLines/>
              <w:rPr>
                <w:lang w:val="en-US"/>
              </w:rPr>
            </w:pPr>
            <w:r w:rsidRPr="00B74BA2">
              <w:rPr>
                <w:lang w:val="en-US"/>
              </w:rPr>
              <w:t>KN013</w:t>
            </w:r>
          </w:p>
        </w:tc>
        <w:tc>
          <w:tcPr>
            <w:tcW w:w="234" w:type="pct"/>
            <w:shd w:val="clear" w:color="auto" w:fill="auto"/>
            <w:vAlign w:val="center"/>
          </w:tcPr>
          <w:p w:rsidR="005D4DB8" w:rsidRPr="00B74BA2" w:rsidRDefault="005D4DB8" w:rsidP="0091423A">
            <w:pPr>
              <w:pStyle w:val="Tabletext"/>
              <w:keepNext/>
              <w:keepLines/>
              <w:rPr>
                <w:lang w:val="en-US"/>
              </w:rPr>
            </w:pPr>
            <w:r w:rsidRPr="00B74BA2">
              <w:rPr>
                <w:lang w:val="en-US"/>
              </w:rPr>
              <w:t>21</w:t>
            </w:r>
          </w:p>
        </w:tc>
        <w:tc>
          <w:tcPr>
            <w:tcW w:w="784" w:type="pct"/>
            <w:shd w:val="clear" w:color="auto" w:fill="auto"/>
            <w:vAlign w:val="center"/>
          </w:tcPr>
          <w:p w:rsidR="005D4DB8" w:rsidRPr="00B74BA2" w:rsidRDefault="005D4DB8" w:rsidP="0091423A">
            <w:pPr>
              <w:pStyle w:val="Tabletext"/>
              <w:keepNext/>
              <w:keepLines/>
              <w:rPr>
                <w:lang w:val="en-US"/>
              </w:rPr>
            </w:pPr>
            <w:r w:rsidRPr="00B74BA2">
              <w:rPr>
                <w:lang w:val="en-US"/>
              </w:rPr>
              <w:t>Single-arm, OL, Phase I, MC.</w:t>
            </w:r>
          </w:p>
          <w:p w:rsidR="005D4DB8" w:rsidRPr="00B74BA2" w:rsidRDefault="005D4DB8" w:rsidP="0091423A">
            <w:pPr>
              <w:pStyle w:val="Tabletext"/>
              <w:keepNext/>
              <w:keepLines/>
              <w:rPr>
                <w:lang w:val="en-US"/>
              </w:rPr>
            </w:pPr>
            <w:r w:rsidRPr="00B74BA2">
              <w:rPr>
                <w:lang w:val="en-US"/>
              </w:rPr>
              <w:t>Median follow-up 17.1 months</w:t>
            </w:r>
          </w:p>
        </w:tc>
        <w:tc>
          <w:tcPr>
            <w:tcW w:w="469" w:type="pct"/>
            <w:shd w:val="clear" w:color="auto" w:fill="auto"/>
            <w:vAlign w:val="center"/>
          </w:tcPr>
          <w:p w:rsidR="005D4DB8" w:rsidRPr="00B74BA2" w:rsidRDefault="005D4DB8" w:rsidP="0091423A">
            <w:pPr>
              <w:pStyle w:val="Tabletext"/>
              <w:keepNext/>
              <w:keepLines/>
              <w:rPr>
                <w:lang w:val="en-US"/>
              </w:rPr>
            </w:pPr>
            <w:r w:rsidRPr="00B74BA2">
              <w:rPr>
                <w:lang w:val="en-US"/>
              </w:rPr>
              <w:t>Low</w:t>
            </w:r>
          </w:p>
        </w:tc>
        <w:tc>
          <w:tcPr>
            <w:tcW w:w="1722" w:type="pct"/>
            <w:shd w:val="clear" w:color="auto" w:fill="auto"/>
            <w:vAlign w:val="center"/>
          </w:tcPr>
          <w:p w:rsidR="00DC02BC" w:rsidRPr="00B74BA2" w:rsidRDefault="00885E77" w:rsidP="0091423A">
            <w:pPr>
              <w:pStyle w:val="Tabletext"/>
              <w:keepNext/>
              <w:keepLines/>
              <w:rPr>
                <w:lang w:val="en-US"/>
              </w:rPr>
            </w:pPr>
            <w:r w:rsidRPr="00B74BA2">
              <w:rPr>
                <w:lang w:val="en-US"/>
              </w:rPr>
              <w:t xml:space="preserve">Age 18 years and older; </w:t>
            </w:r>
            <w:r w:rsidR="00DC02BC" w:rsidRPr="00B74BA2">
              <w:rPr>
                <w:lang w:val="en-US"/>
              </w:rPr>
              <w:t>R/R</w:t>
            </w:r>
            <w:r w:rsidRPr="00B74BA2">
              <w:rPr>
                <w:lang w:val="en-US"/>
              </w:rPr>
              <w:t xml:space="preserve"> </w:t>
            </w:r>
            <w:r w:rsidR="00E46E71" w:rsidRPr="00B74BA2">
              <w:rPr>
                <w:lang w:val="en-US"/>
              </w:rPr>
              <w:t>PMBCL</w:t>
            </w:r>
            <w:r w:rsidRPr="00B74BA2">
              <w:rPr>
                <w:lang w:val="en-US"/>
              </w:rPr>
              <w:t xml:space="preserve">; </w:t>
            </w:r>
          </w:p>
          <w:p w:rsidR="00DC02BC" w:rsidRPr="00B74BA2" w:rsidRDefault="00885E77" w:rsidP="0091423A">
            <w:pPr>
              <w:pStyle w:val="Tabletext"/>
              <w:keepNext/>
              <w:keepLines/>
              <w:rPr>
                <w:lang w:val="en-US"/>
              </w:rPr>
            </w:pPr>
            <w:r w:rsidRPr="00B74BA2">
              <w:rPr>
                <w:lang w:val="en-US"/>
              </w:rPr>
              <w:t>ineligible for or refused ASCT</w:t>
            </w:r>
            <w:r w:rsidR="00962859" w:rsidRPr="00B74BA2">
              <w:rPr>
                <w:lang w:val="en-US"/>
              </w:rPr>
              <w:t xml:space="preserve"> (100% at baseline)</w:t>
            </w:r>
            <w:r w:rsidR="00E46E71" w:rsidRPr="00B74BA2">
              <w:rPr>
                <w:lang w:val="en-US"/>
              </w:rPr>
              <w:t xml:space="preserve">; </w:t>
            </w:r>
          </w:p>
          <w:p w:rsidR="00DC02BC" w:rsidRPr="00B74BA2" w:rsidRDefault="0096441A" w:rsidP="0091423A">
            <w:pPr>
              <w:pStyle w:val="Tabletext"/>
              <w:keepNext/>
              <w:keepLines/>
              <w:rPr>
                <w:lang w:val="en-US"/>
              </w:rPr>
            </w:pPr>
            <w:proofErr w:type="gramStart"/>
            <w:r w:rsidRPr="00B74BA2">
              <w:rPr>
                <w:lang w:val="en-US"/>
              </w:rPr>
              <w:t>prior</w:t>
            </w:r>
            <w:proofErr w:type="gramEnd"/>
            <w:r w:rsidRPr="00B74BA2">
              <w:rPr>
                <w:lang w:val="en-US"/>
              </w:rPr>
              <w:t xml:space="preserve"> transplant status (38.1%); </w:t>
            </w:r>
          </w:p>
          <w:p w:rsidR="00E46E71" w:rsidRPr="00B74BA2" w:rsidRDefault="0096441A" w:rsidP="0091423A">
            <w:pPr>
              <w:pStyle w:val="Tabletext"/>
              <w:keepNext/>
              <w:keepLines/>
              <w:rPr>
                <w:lang w:val="en-US"/>
              </w:rPr>
            </w:pPr>
            <w:proofErr w:type="gramStart"/>
            <w:r w:rsidRPr="00B74BA2">
              <w:rPr>
                <w:lang w:val="en-US"/>
              </w:rPr>
              <w:t>prior</w:t>
            </w:r>
            <w:proofErr w:type="gramEnd"/>
            <w:r w:rsidRPr="00B74BA2">
              <w:rPr>
                <w:lang w:val="en-US"/>
              </w:rPr>
              <w:t xml:space="preserve"> rituximab therapy (95.2%);</w:t>
            </w:r>
          </w:p>
          <w:p w:rsidR="005D4DB8" w:rsidRPr="00B74BA2" w:rsidRDefault="0096441A" w:rsidP="0091423A">
            <w:pPr>
              <w:pStyle w:val="Tabletext"/>
              <w:keepNext/>
              <w:keepLines/>
              <w:rPr>
                <w:lang w:val="en-US"/>
              </w:rPr>
            </w:pPr>
            <w:proofErr w:type="gramStart"/>
            <w:r w:rsidRPr="00B74BA2">
              <w:rPr>
                <w:lang w:val="en-US"/>
              </w:rPr>
              <w:t>m</w:t>
            </w:r>
            <w:r w:rsidR="00E46E71" w:rsidRPr="00B74BA2">
              <w:rPr>
                <w:lang w:val="en-US"/>
              </w:rPr>
              <w:t>edian</w:t>
            </w:r>
            <w:proofErr w:type="gramEnd"/>
            <w:r w:rsidR="00E46E71" w:rsidRPr="00B74BA2">
              <w:rPr>
                <w:lang w:val="en-US"/>
              </w:rPr>
              <w:t xml:space="preserve"> </w:t>
            </w:r>
            <w:r w:rsidRPr="00B74BA2">
              <w:rPr>
                <w:lang w:val="en-US"/>
              </w:rPr>
              <w:t xml:space="preserve">number of </w:t>
            </w:r>
            <w:r w:rsidR="00E46E71" w:rsidRPr="00B74BA2">
              <w:rPr>
                <w:lang w:val="en-US"/>
              </w:rPr>
              <w:t xml:space="preserve">prior therapy </w:t>
            </w:r>
            <w:r w:rsidRPr="00B74BA2">
              <w:rPr>
                <w:lang w:val="en-US"/>
              </w:rPr>
              <w:t xml:space="preserve">lines </w:t>
            </w:r>
            <w:r w:rsidR="00E46E71" w:rsidRPr="00B74BA2">
              <w:rPr>
                <w:lang w:val="en-US"/>
              </w:rPr>
              <w:t>= 3 [range: 2-9].</w:t>
            </w:r>
          </w:p>
        </w:tc>
        <w:tc>
          <w:tcPr>
            <w:tcW w:w="626" w:type="pct"/>
            <w:shd w:val="clear" w:color="auto" w:fill="auto"/>
            <w:vAlign w:val="center"/>
          </w:tcPr>
          <w:p w:rsidR="005D4DB8" w:rsidRPr="00B74BA2" w:rsidRDefault="005D4DB8" w:rsidP="0091423A">
            <w:pPr>
              <w:pStyle w:val="Tabletext"/>
              <w:keepNext/>
              <w:keepLines/>
              <w:rPr>
                <w:lang w:val="en-US"/>
              </w:rPr>
            </w:pPr>
            <w:r w:rsidRPr="00B74BA2">
              <w:rPr>
                <w:lang w:val="en-US"/>
              </w:rPr>
              <w:t>ORR</w:t>
            </w:r>
            <w:r w:rsidR="00E46E71" w:rsidRPr="00B74BA2">
              <w:rPr>
                <w:lang w:val="en-US"/>
              </w:rPr>
              <w:t xml:space="preserve"> (CR, PR)</w:t>
            </w:r>
            <w:r w:rsidRPr="00B74BA2">
              <w:rPr>
                <w:lang w:val="en-US"/>
              </w:rPr>
              <w:t xml:space="preserve">, </w:t>
            </w:r>
            <w:proofErr w:type="spellStart"/>
            <w:r w:rsidRPr="00B74BA2">
              <w:rPr>
                <w:lang w:val="en-US"/>
              </w:rPr>
              <w:t>DoR</w:t>
            </w:r>
            <w:proofErr w:type="spellEnd"/>
            <w:r w:rsidRPr="00B74BA2">
              <w:rPr>
                <w:lang w:val="en-US"/>
              </w:rPr>
              <w:t>, PFS, OS</w:t>
            </w:r>
          </w:p>
        </w:tc>
        <w:tc>
          <w:tcPr>
            <w:tcW w:w="774" w:type="pct"/>
            <w:shd w:val="clear" w:color="auto" w:fill="auto"/>
            <w:vAlign w:val="center"/>
          </w:tcPr>
          <w:p w:rsidR="005D4DB8" w:rsidRPr="00B74BA2" w:rsidRDefault="005D4DB8" w:rsidP="0091423A">
            <w:pPr>
              <w:pStyle w:val="Tabletext"/>
              <w:keepNext/>
              <w:keepLines/>
              <w:rPr>
                <w:lang w:val="en-US"/>
              </w:rPr>
            </w:pPr>
            <w:r w:rsidRPr="00B74BA2">
              <w:rPr>
                <w:lang w:val="en-US"/>
              </w:rPr>
              <w:t>Not used</w:t>
            </w:r>
          </w:p>
        </w:tc>
      </w:tr>
      <w:tr w:rsidR="009F71D3" w:rsidRPr="00B74BA2" w:rsidTr="0007533B">
        <w:tc>
          <w:tcPr>
            <w:tcW w:w="391" w:type="pct"/>
            <w:shd w:val="clear" w:color="auto" w:fill="auto"/>
            <w:vAlign w:val="center"/>
          </w:tcPr>
          <w:p w:rsidR="005D4DB8" w:rsidRPr="00B74BA2" w:rsidRDefault="005D4DB8" w:rsidP="0091423A">
            <w:pPr>
              <w:pStyle w:val="Tabletext"/>
              <w:keepNext/>
              <w:keepLines/>
              <w:rPr>
                <w:lang w:val="en-US"/>
              </w:rPr>
            </w:pPr>
            <w:r w:rsidRPr="00B74BA2">
              <w:rPr>
                <w:lang w:val="en-US"/>
              </w:rPr>
              <w:t>KN170</w:t>
            </w:r>
          </w:p>
        </w:tc>
        <w:tc>
          <w:tcPr>
            <w:tcW w:w="234" w:type="pct"/>
            <w:shd w:val="clear" w:color="auto" w:fill="auto"/>
            <w:vAlign w:val="center"/>
          </w:tcPr>
          <w:p w:rsidR="005D4DB8" w:rsidRPr="00B74BA2" w:rsidRDefault="005D4DB8" w:rsidP="0091423A">
            <w:pPr>
              <w:pStyle w:val="Tabletext"/>
              <w:keepNext/>
              <w:keepLines/>
              <w:rPr>
                <w:lang w:val="en-US"/>
              </w:rPr>
            </w:pPr>
            <w:r w:rsidRPr="00B74BA2">
              <w:rPr>
                <w:lang w:val="en-US"/>
              </w:rPr>
              <w:t>53</w:t>
            </w:r>
          </w:p>
        </w:tc>
        <w:tc>
          <w:tcPr>
            <w:tcW w:w="784" w:type="pct"/>
            <w:shd w:val="clear" w:color="auto" w:fill="auto"/>
            <w:vAlign w:val="center"/>
          </w:tcPr>
          <w:p w:rsidR="005D4DB8" w:rsidRPr="00B74BA2" w:rsidRDefault="005D4DB8" w:rsidP="0091423A">
            <w:pPr>
              <w:pStyle w:val="Tabletext"/>
              <w:keepNext/>
              <w:keepLines/>
              <w:rPr>
                <w:lang w:val="en-US"/>
              </w:rPr>
            </w:pPr>
            <w:r w:rsidRPr="00B74BA2">
              <w:rPr>
                <w:lang w:val="en-US"/>
              </w:rPr>
              <w:t>Single-arm, OL, Phase II, MC,</w:t>
            </w:r>
          </w:p>
          <w:p w:rsidR="005D4DB8" w:rsidRPr="00B74BA2" w:rsidRDefault="005D4DB8" w:rsidP="0091423A">
            <w:pPr>
              <w:pStyle w:val="Tabletext"/>
              <w:keepNext/>
              <w:keepLines/>
              <w:rPr>
                <w:lang w:val="en-US"/>
              </w:rPr>
            </w:pPr>
            <w:r w:rsidRPr="00B74BA2">
              <w:rPr>
                <w:lang w:val="en-US"/>
              </w:rPr>
              <w:t>Median follow-up 9.7 month</w:t>
            </w:r>
          </w:p>
        </w:tc>
        <w:tc>
          <w:tcPr>
            <w:tcW w:w="469" w:type="pct"/>
            <w:shd w:val="clear" w:color="auto" w:fill="auto"/>
            <w:vAlign w:val="center"/>
          </w:tcPr>
          <w:p w:rsidR="005D4DB8" w:rsidRPr="00B74BA2" w:rsidRDefault="005D4DB8" w:rsidP="0091423A">
            <w:pPr>
              <w:pStyle w:val="Tabletext"/>
              <w:keepNext/>
              <w:keepLines/>
              <w:rPr>
                <w:lang w:val="en-US"/>
              </w:rPr>
            </w:pPr>
            <w:r w:rsidRPr="00B74BA2">
              <w:rPr>
                <w:lang w:val="en-US"/>
              </w:rPr>
              <w:t>Low</w:t>
            </w:r>
          </w:p>
        </w:tc>
        <w:tc>
          <w:tcPr>
            <w:tcW w:w="1722" w:type="pct"/>
            <w:shd w:val="clear" w:color="auto" w:fill="auto"/>
            <w:vAlign w:val="center"/>
          </w:tcPr>
          <w:p w:rsidR="00DC02BC" w:rsidRPr="00B74BA2" w:rsidRDefault="00E46E71" w:rsidP="0091423A">
            <w:pPr>
              <w:pStyle w:val="Tabletext"/>
              <w:keepNext/>
              <w:keepLines/>
              <w:rPr>
                <w:lang w:val="en-US"/>
              </w:rPr>
            </w:pPr>
            <w:r w:rsidRPr="00B74BA2">
              <w:rPr>
                <w:lang w:val="en-US"/>
              </w:rPr>
              <w:t xml:space="preserve">Age 18 years and older; </w:t>
            </w:r>
            <w:r w:rsidR="00DC02BC" w:rsidRPr="00B74BA2">
              <w:rPr>
                <w:lang w:val="en-US"/>
              </w:rPr>
              <w:t xml:space="preserve">R/R </w:t>
            </w:r>
            <w:r w:rsidRPr="00B74BA2">
              <w:rPr>
                <w:lang w:val="en-US"/>
              </w:rPr>
              <w:t xml:space="preserve">PMBCL; </w:t>
            </w:r>
          </w:p>
          <w:p w:rsidR="00DC02BC" w:rsidRPr="00B74BA2" w:rsidRDefault="00E46E71" w:rsidP="0091423A">
            <w:pPr>
              <w:pStyle w:val="Tabletext"/>
              <w:keepNext/>
              <w:keepLines/>
              <w:rPr>
                <w:lang w:val="en-US"/>
              </w:rPr>
            </w:pPr>
            <w:r w:rsidRPr="00B74BA2">
              <w:rPr>
                <w:lang w:val="en-US"/>
              </w:rPr>
              <w:t>ineligible for or refused ASCT</w:t>
            </w:r>
            <w:r w:rsidR="00962859" w:rsidRPr="00B74BA2">
              <w:rPr>
                <w:lang w:val="en-US"/>
              </w:rPr>
              <w:t xml:space="preserve"> (100% at baseline)</w:t>
            </w:r>
            <w:r w:rsidRPr="00B74BA2">
              <w:rPr>
                <w:lang w:val="en-US"/>
              </w:rPr>
              <w:t xml:space="preserve">; </w:t>
            </w:r>
          </w:p>
          <w:p w:rsidR="00E46E71" w:rsidRPr="00B74BA2" w:rsidRDefault="0096441A" w:rsidP="0091423A">
            <w:pPr>
              <w:pStyle w:val="Tabletext"/>
              <w:keepNext/>
              <w:keepLines/>
              <w:rPr>
                <w:lang w:val="en-US"/>
              </w:rPr>
            </w:pPr>
            <w:proofErr w:type="gramStart"/>
            <w:r w:rsidRPr="00B74BA2">
              <w:rPr>
                <w:lang w:val="en-US"/>
              </w:rPr>
              <w:t>prior</w:t>
            </w:r>
            <w:proofErr w:type="gramEnd"/>
            <w:r w:rsidRPr="00B74BA2">
              <w:rPr>
                <w:lang w:val="en-US"/>
              </w:rPr>
              <w:t xml:space="preserve"> transplant status (26.4%)</w:t>
            </w:r>
            <w:r w:rsidR="00E46E71" w:rsidRPr="00B74BA2">
              <w:rPr>
                <w:lang w:val="en-US"/>
              </w:rPr>
              <w:t>;</w:t>
            </w:r>
          </w:p>
          <w:p w:rsidR="005D4DB8" w:rsidRPr="00B74BA2" w:rsidRDefault="0096441A" w:rsidP="0091423A">
            <w:pPr>
              <w:pStyle w:val="Tabletext"/>
              <w:keepNext/>
              <w:keepLines/>
              <w:rPr>
                <w:lang w:val="en-US"/>
              </w:rPr>
            </w:pPr>
            <w:proofErr w:type="gramStart"/>
            <w:r w:rsidRPr="00B74BA2">
              <w:rPr>
                <w:lang w:val="en-US"/>
              </w:rPr>
              <w:t>m</w:t>
            </w:r>
            <w:r w:rsidR="00E46E71" w:rsidRPr="00B74BA2">
              <w:rPr>
                <w:lang w:val="en-US"/>
              </w:rPr>
              <w:t>edian</w:t>
            </w:r>
            <w:proofErr w:type="gramEnd"/>
            <w:r w:rsidRPr="00B74BA2">
              <w:rPr>
                <w:lang w:val="en-US"/>
              </w:rPr>
              <w:t xml:space="preserve"> number of </w:t>
            </w:r>
            <w:r w:rsidR="00E46E71" w:rsidRPr="00B74BA2">
              <w:rPr>
                <w:lang w:val="en-US"/>
              </w:rPr>
              <w:t xml:space="preserve">prior therapy </w:t>
            </w:r>
            <w:r w:rsidRPr="00B74BA2">
              <w:rPr>
                <w:lang w:val="en-US"/>
              </w:rPr>
              <w:t xml:space="preserve">lines </w:t>
            </w:r>
            <w:r w:rsidR="00E46E71" w:rsidRPr="00B74BA2">
              <w:rPr>
                <w:lang w:val="en-US"/>
              </w:rPr>
              <w:t>= 3 [range: 2-8].</w:t>
            </w:r>
          </w:p>
        </w:tc>
        <w:tc>
          <w:tcPr>
            <w:tcW w:w="626" w:type="pct"/>
            <w:shd w:val="clear" w:color="auto" w:fill="auto"/>
            <w:vAlign w:val="center"/>
          </w:tcPr>
          <w:p w:rsidR="005D4DB8" w:rsidRPr="00B74BA2" w:rsidRDefault="005D4DB8" w:rsidP="0091423A">
            <w:pPr>
              <w:pStyle w:val="Tabletext"/>
              <w:keepNext/>
              <w:keepLines/>
              <w:rPr>
                <w:lang w:val="en-US"/>
              </w:rPr>
            </w:pPr>
            <w:r w:rsidRPr="00B74BA2">
              <w:rPr>
                <w:lang w:val="en-US"/>
              </w:rPr>
              <w:t>ORR</w:t>
            </w:r>
            <w:r w:rsidR="00E46E71" w:rsidRPr="00B74BA2">
              <w:rPr>
                <w:lang w:val="en-US"/>
              </w:rPr>
              <w:t xml:space="preserve"> (CR, PR)</w:t>
            </w:r>
            <w:r w:rsidRPr="00B74BA2">
              <w:rPr>
                <w:lang w:val="en-US"/>
              </w:rPr>
              <w:t xml:space="preserve">, </w:t>
            </w:r>
            <w:proofErr w:type="spellStart"/>
            <w:r w:rsidRPr="00B74BA2">
              <w:rPr>
                <w:lang w:val="en-US"/>
              </w:rPr>
              <w:t>DoR</w:t>
            </w:r>
            <w:proofErr w:type="spellEnd"/>
            <w:r w:rsidRPr="00B74BA2">
              <w:rPr>
                <w:lang w:val="en-US"/>
              </w:rPr>
              <w:t>, PFS, OS</w:t>
            </w:r>
          </w:p>
        </w:tc>
        <w:tc>
          <w:tcPr>
            <w:tcW w:w="774" w:type="pct"/>
            <w:shd w:val="clear" w:color="auto" w:fill="auto"/>
            <w:vAlign w:val="center"/>
          </w:tcPr>
          <w:p w:rsidR="005D4DB8" w:rsidRPr="00B74BA2" w:rsidRDefault="005D4DB8" w:rsidP="0091423A">
            <w:pPr>
              <w:pStyle w:val="Tabletext"/>
              <w:keepNext/>
              <w:keepLines/>
              <w:rPr>
                <w:lang w:val="en-US"/>
              </w:rPr>
            </w:pPr>
            <w:r w:rsidRPr="00B74BA2">
              <w:rPr>
                <w:lang w:val="en-US"/>
              </w:rPr>
              <w:t>PFS and OS, AEs and drug exposure are used</w:t>
            </w:r>
          </w:p>
        </w:tc>
      </w:tr>
      <w:tr w:rsidR="005D4DB8" w:rsidRPr="00B74BA2" w:rsidTr="0007533B">
        <w:tc>
          <w:tcPr>
            <w:tcW w:w="5000" w:type="pct"/>
            <w:gridSpan w:val="7"/>
            <w:shd w:val="clear" w:color="auto" w:fill="auto"/>
            <w:vAlign w:val="center"/>
          </w:tcPr>
          <w:p w:rsidR="005D4DB8" w:rsidRPr="00B74BA2" w:rsidRDefault="005D4DB8" w:rsidP="0091423A">
            <w:pPr>
              <w:pStyle w:val="Tabletext"/>
              <w:keepNext/>
              <w:keepLines/>
              <w:rPr>
                <w:lang w:val="en-US"/>
              </w:rPr>
            </w:pPr>
            <w:r w:rsidRPr="00B74BA2">
              <w:rPr>
                <w:b/>
                <w:lang w:val="en-US"/>
              </w:rPr>
              <w:t>SOC therapies</w:t>
            </w:r>
          </w:p>
        </w:tc>
      </w:tr>
      <w:tr w:rsidR="009F71D3" w:rsidRPr="00B74BA2" w:rsidTr="0007533B">
        <w:tc>
          <w:tcPr>
            <w:tcW w:w="391" w:type="pct"/>
            <w:shd w:val="clear" w:color="auto" w:fill="auto"/>
            <w:vAlign w:val="center"/>
          </w:tcPr>
          <w:p w:rsidR="005D4DB8" w:rsidRPr="00B74BA2" w:rsidRDefault="005D4DB8" w:rsidP="0091423A">
            <w:pPr>
              <w:pStyle w:val="Tabletext"/>
              <w:keepNext/>
              <w:keepLines/>
              <w:rPr>
                <w:lang w:val="en-US"/>
              </w:rPr>
            </w:pPr>
            <w:proofErr w:type="spellStart"/>
            <w:r w:rsidRPr="00B74BA2">
              <w:rPr>
                <w:lang w:val="en-US"/>
              </w:rPr>
              <w:t>Kuruvilla</w:t>
            </w:r>
            <w:proofErr w:type="spellEnd"/>
            <w:r w:rsidRPr="00B74BA2">
              <w:rPr>
                <w:lang w:val="en-US"/>
              </w:rPr>
              <w:t xml:space="preserve"> 2008</w:t>
            </w:r>
          </w:p>
        </w:tc>
        <w:tc>
          <w:tcPr>
            <w:tcW w:w="234" w:type="pct"/>
            <w:shd w:val="clear" w:color="auto" w:fill="auto"/>
            <w:vAlign w:val="center"/>
          </w:tcPr>
          <w:p w:rsidR="005D4DB8" w:rsidRPr="00B74BA2" w:rsidRDefault="005D4DB8" w:rsidP="0091423A">
            <w:pPr>
              <w:pStyle w:val="Tabletext"/>
              <w:keepNext/>
              <w:keepLines/>
              <w:rPr>
                <w:lang w:val="en-US"/>
              </w:rPr>
            </w:pPr>
            <w:r w:rsidRPr="00B74BA2">
              <w:rPr>
                <w:lang w:val="en-US"/>
              </w:rPr>
              <w:t>37</w:t>
            </w:r>
          </w:p>
        </w:tc>
        <w:tc>
          <w:tcPr>
            <w:tcW w:w="784" w:type="pct"/>
            <w:shd w:val="clear" w:color="auto" w:fill="auto"/>
            <w:vAlign w:val="center"/>
          </w:tcPr>
          <w:p w:rsidR="005D4DB8" w:rsidRPr="00B74BA2" w:rsidRDefault="00793A1D" w:rsidP="0091423A">
            <w:pPr>
              <w:pStyle w:val="Tabletext"/>
              <w:keepNext/>
              <w:keepLines/>
              <w:rPr>
                <w:lang w:val="en-US"/>
              </w:rPr>
            </w:pPr>
            <w:r w:rsidRPr="00B74BA2">
              <w:rPr>
                <w:lang w:val="en-US"/>
              </w:rPr>
              <w:t>Retrospective, c</w:t>
            </w:r>
            <w:r w:rsidR="005D4DB8" w:rsidRPr="00B74BA2">
              <w:rPr>
                <w:lang w:val="en-US"/>
              </w:rPr>
              <w:t>ohort observational, single-arm, OL</w:t>
            </w:r>
          </w:p>
          <w:p w:rsidR="005D4DB8" w:rsidRPr="00B74BA2" w:rsidRDefault="005D4DB8" w:rsidP="0091423A">
            <w:pPr>
              <w:pStyle w:val="Tabletext"/>
              <w:keepNext/>
              <w:keepLines/>
              <w:rPr>
                <w:lang w:val="en-US"/>
              </w:rPr>
            </w:pPr>
            <w:r w:rsidRPr="00B74BA2">
              <w:rPr>
                <w:lang w:val="en-US"/>
              </w:rPr>
              <w:t>Subgroup of post ASCT (n=8)</w:t>
            </w:r>
          </w:p>
          <w:p w:rsidR="005D4DB8" w:rsidRPr="00B74BA2" w:rsidRDefault="005D4DB8" w:rsidP="0091423A">
            <w:pPr>
              <w:pStyle w:val="Tabletext"/>
              <w:keepNext/>
              <w:keepLines/>
              <w:rPr>
                <w:lang w:val="en-US"/>
              </w:rPr>
            </w:pPr>
            <w:r w:rsidRPr="00B74BA2">
              <w:rPr>
                <w:lang w:val="en-US"/>
              </w:rPr>
              <w:t>Median follow-up post ASCT 1.8 years</w:t>
            </w:r>
          </w:p>
        </w:tc>
        <w:tc>
          <w:tcPr>
            <w:tcW w:w="469" w:type="pct"/>
            <w:shd w:val="clear" w:color="auto" w:fill="auto"/>
            <w:vAlign w:val="center"/>
          </w:tcPr>
          <w:p w:rsidR="005D4DB8" w:rsidRPr="00B74BA2" w:rsidRDefault="005D4DB8" w:rsidP="0091423A">
            <w:pPr>
              <w:pStyle w:val="Tabletext"/>
              <w:keepNext/>
              <w:keepLines/>
              <w:rPr>
                <w:lang w:val="en-US"/>
              </w:rPr>
            </w:pPr>
            <w:r w:rsidRPr="00B74BA2">
              <w:rPr>
                <w:lang w:val="en-US"/>
              </w:rPr>
              <w:t>Low</w:t>
            </w:r>
            <w:r w:rsidR="007306D4" w:rsidRPr="00B74BA2">
              <w:rPr>
                <w:lang w:val="en-US"/>
              </w:rPr>
              <w:t xml:space="preserve"> -Moderate</w:t>
            </w:r>
          </w:p>
        </w:tc>
        <w:tc>
          <w:tcPr>
            <w:tcW w:w="1722" w:type="pct"/>
            <w:shd w:val="clear" w:color="auto" w:fill="auto"/>
            <w:vAlign w:val="center"/>
          </w:tcPr>
          <w:p w:rsidR="00DC02BC" w:rsidRPr="00B74BA2" w:rsidRDefault="00E46E71" w:rsidP="0091423A">
            <w:pPr>
              <w:pStyle w:val="Tabletext"/>
              <w:keepNext/>
              <w:keepLines/>
              <w:rPr>
                <w:lang w:val="en-US"/>
              </w:rPr>
            </w:pPr>
            <w:r w:rsidRPr="00B74BA2">
              <w:rPr>
                <w:lang w:val="en-US"/>
              </w:rPr>
              <w:t xml:space="preserve">Age 18 years and older; </w:t>
            </w:r>
            <w:r w:rsidR="00DC02BC" w:rsidRPr="00B74BA2">
              <w:rPr>
                <w:lang w:val="en-US"/>
              </w:rPr>
              <w:t xml:space="preserve">R/R </w:t>
            </w:r>
            <w:r w:rsidRPr="00B74BA2">
              <w:rPr>
                <w:lang w:val="en-US"/>
              </w:rPr>
              <w:t xml:space="preserve">PMBCL to one prior chemotherapy; </w:t>
            </w:r>
          </w:p>
          <w:p w:rsidR="00DC02BC" w:rsidRPr="00B74BA2" w:rsidRDefault="00E46E71" w:rsidP="0091423A">
            <w:pPr>
              <w:pStyle w:val="Tabletext"/>
              <w:keepNext/>
              <w:keepLines/>
              <w:rPr>
                <w:lang w:val="en-US"/>
              </w:rPr>
            </w:pPr>
            <w:r w:rsidRPr="00B74BA2">
              <w:rPr>
                <w:lang w:val="en-US"/>
              </w:rPr>
              <w:t xml:space="preserve">referred for salvage chemotherapy and </w:t>
            </w:r>
            <w:r w:rsidR="0096441A" w:rsidRPr="00B74BA2">
              <w:rPr>
                <w:lang w:val="en-US"/>
              </w:rPr>
              <w:t xml:space="preserve">subsequent </w:t>
            </w:r>
            <w:r w:rsidRPr="00B74BA2">
              <w:rPr>
                <w:lang w:val="en-US"/>
              </w:rPr>
              <w:t>ASCT</w:t>
            </w:r>
            <w:r w:rsidR="0096441A" w:rsidRPr="00B74BA2">
              <w:rPr>
                <w:lang w:val="en-US"/>
              </w:rPr>
              <w:t xml:space="preserve"> (no prior transplant); </w:t>
            </w:r>
          </w:p>
          <w:p w:rsidR="005D4DB8" w:rsidRPr="00B74BA2" w:rsidRDefault="0096441A" w:rsidP="0091423A">
            <w:pPr>
              <w:pStyle w:val="Tabletext"/>
              <w:keepNext/>
              <w:keepLines/>
              <w:rPr>
                <w:lang w:val="en-US"/>
              </w:rPr>
            </w:pPr>
            <w:proofErr w:type="gramStart"/>
            <w:r w:rsidRPr="00B74BA2">
              <w:rPr>
                <w:lang w:val="en-US"/>
              </w:rPr>
              <w:t>prior</w:t>
            </w:r>
            <w:proofErr w:type="gramEnd"/>
            <w:r w:rsidRPr="00B74BA2">
              <w:rPr>
                <w:lang w:val="en-US"/>
              </w:rPr>
              <w:t xml:space="preserve"> rituximab therapy (3%)</w:t>
            </w:r>
            <w:r w:rsidR="00E46E71" w:rsidRPr="00B74BA2">
              <w:rPr>
                <w:lang w:val="en-US"/>
              </w:rPr>
              <w:t>.</w:t>
            </w:r>
          </w:p>
          <w:p w:rsidR="00B555BD" w:rsidRPr="00B74BA2" w:rsidRDefault="00B555BD" w:rsidP="0091423A">
            <w:pPr>
              <w:pStyle w:val="Tabletext"/>
              <w:keepNext/>
              <w:keepLines/>
              <w:rPr>
                <w:lang w:val="en-US"/>
              </w:rPr>
            </w:pPr>
            <w:r w:rsidRPr="00B74BA2">
              <w:rPr>
                <w:lang w:val="en-US"/>
              </w:rPr>
              <w:t xml:space="preserve">Patients </w:t>
            </w:r>
            <w:r w:rsidR="00793A1D" w:rsidRPr="00B74BA2">
              <w:rPr>
                <w:lang w:val="en-US"/>
              </w:rPr>
              <w:t xml:space="preserve">referred for </w:t>
            </w:r>
            <w:r w:rsidRPr="00B74BA2">
              <w:rPr>
                <w:lang w:val="en-US"/>
              </w:rPr>
              <w:t xml:space="preserve">salvage </w:t>
            </w:r>
            <w:r w:rsidR="00793A1D" w:rsidRPr="00B74BA2">
              <w:rPr>
                <w:lang w:val="en-US"/>
              </w:rPr>
              <w:t xml:space="preserve">chemotherapy and ASCT </w:t>
            </w:r>
            <w:r w:rsidRPr="00B74BA2">
              <w:rPr>
                <w:lang w:val="en-US"/>
              </w:rPr>
              <w:t>between 1995-2004</w:t>
            </w:r>
          </w:p>
        </w:tc>
        <w:tc>
          <w:tcPr>
            <w:tcW w:w="626" w:type="pct"/>
            <w:shd w:val="clear" w:color="auto" w:fill="auto"/>
            <w:vAlign w:val="center"/>
          </w:tcPr>
          <w:p w:rsidR="009F71D3" w:rsidRPr="00B74BA2" w:rsidRDefault="00E46E71" w:rsidP="0091423A">
            <w:pPr>
              <w:pStyle w:val="Tabletext"/>
              <w:keepNext/>
              <w:keepLines/>
              <w:rPr>
                <w:lang w:val="en-US"/>
              </w:rPr>
            </w:pPr>
            <w:r w:rsidRPr="00B74BA2">
              <w:rPr>
                <w:lang w:val="en-US"/>
              </w:rPr>
              <w:t xml:space="preserve">ORR (CR, </w:t>
            </w:r>
            <w:proofErr w:type="spellStart"/>
            <w:r w:rsidRPr="00B74BA2">
              <w:rPr>
                <w:lang w:val="en-US"/>
              </w:rPr>
              <w:t>C</w:t>
            </w:r>
            <w:r w:rsidR="004D6BAA" w:rsidRPr="00B74BA2">
              <w:rPr>
                <w:lang w:val="en-US"/>
              </w:rPr>
              <w:t>R</w:t>
            </w:r>
            <w:r w:rsidRPr="00B74BA2">
              <w:rPr>
                <w:lang w:val="en-US"/>
              </w:rPr>
              <w:t>u</w:t>
            </w:r>
            <w:proofErr w:type="spellEnd"/>
            <w:r w:rsidRPr="00B74BA2">
              <w:rPr>
                <w:lang w:val="en-US"/>
              </w:rPr>
              <w:t xml:space="preserve">, PR), </w:t>
            </w:r>
            <w:r w:rsidR="005D4DB8" w:rsidRPr="00B74BA2">
              <w:rPr>
                <w:lang w:val="en-US"/>
              </w:rPr>
              <w:t>OS</w:t>
            </w:r>
            <w:r w:rsidR="009F71D3" w:rsidRPr="00B74BA2">
              <w:rPr>
                <w:lang w:val="en-US"/>
              </w:rPr>
              <w:t>.</w:t>
            </w:r>
          </w:p>
          <w:p w:rsidR="00D41EF5" w:rsidRPr="00B74BA2" w:rsidRDefault="00D41EF5" w:rsidP="0091423A">
            <w:pPr>
              <w:pStyle w:val="Tabletext"/>
              <w:keepNext/>
              <w:keepLines/>
              <w:rPr>
                <w:lang w:val="en-US"/>
              </w:rPr>
            </w:pPr>
          </w:p>
          <w:p w:rsidR="005D4DB8" w:rsidRPr="00B74BA2" w:rsidRDefault="00D41EF5" w:rsidP="0091423A">
            <w:pPr>
              <w:pStyle w:val="Tabletext"/>
              <w:keepNext/>
              <w:keepLines/>
              <w:rPr>
                <w:lang w:val="en-US"/>
              </w:rPr>
            </w:pPr>
            <w:r w:rsidRPr="00B74BA2">
              <w:rPr>
                <w:lang w:val="en-US"/>
              </w:rPr>
              <w:t xml:space="preserve">Subgroup of post ASCT patients: </w:t>
            </w:r>
            <w:r w:rsidR="005D4DB8" w:rsidRPr="00B74BA2">
              <w:rPr>
                <w:lang w:val="en-US"/>
              </w:rPr>
              <w:t>PFS</w:t>
            </w:r>
            <w:r w:rsidRPr="00B74BA2">
              <w:rPr>
                <w:lang w:val="en-US"/>
              </w:rPr>
              <w:t xml:space="preserve"> and OS</w:t>
            </w:r>
            <w:r w:rsidR="00E46E71" w:rsidRPr="00B74BA2">
              <w:rPr>
                <w:lang w:val="en-US"/>
              </w:rPr>
              <w:t>.</w:t>
            </w:r>
          </w:p>
        </w:tc>
        <w:tc>
          <w:tcPr>
            <w:tcW w:w="774" w:type="pct"/>
            <w:shd w:val="clear" w:color="auto" w:fill="auto"/>
            <w:vAlign w:val="center"/>
          </w:tcPr>
          <w:p w:rsidR="005D4DB8" w:rsidRPr="00B74BA2" w:rsidRDefault="005D4DB8" w:rsidP="0091423A">
            <w:pPr>
              <w:pStyle w:val="Tabletext"/>
              <w:keepNext/>
              <w:keepLines/>
              <w:rPr>
                <w:lang w:val="en-US"/>
              </w:rPr>
            </w:pPr>
            <w:r w:rsidRPr="00B74BA2">
              <w:rPr>
                <w:lang w:val="en-US"/>
              </w:rPr>
              <w:t>OS Used</w:t>
            </w:r>
          </w:p>
        </w:tc>
      </w:tr>
    </w:tbl>
    <w:p w:rsidR="007B0182" w:rsidRPr="00B74BA2" w:rsidRDefault="007B0182" w:rsidP="0091423A">
      <w:pPr>
        <w:pStyle w:val="TableFooter"/>
        <w:keepNext/>
        <w:keepLines/>
        <w:widowControl/>
        <w:rPr>
          <w:sz w:val="20"/>
        </w:rPr>
      </w:pPr>
      <w:r w:rsidRPr="00B74BA2">
        <w:t>Source: compiled during evaluation.</w:t>
      </w:r>
    </w:p>
    <w:p w:rsidR="005D4DB8" w:rsidRPr="00B74BA2" w:rsidRDefault="005D4DB8" w:rsidP="00110E3A">
      <w:pPr>
        <w:pStyle w:val="TableFooter"/>
        <w:keepNext/>
        <w:keepLines/>
        <w:widowControl/>
        <w:spacing w:after="240"/>
      </w:pPr>
      <w:r w:rsidRPr="00B74BA2">
        <w:t>Abbreviations: ASCT = autologous stem cell transplant;</w:t>
      </w:r>
      <w:r w:rsidR="004D6BAA" w:rsidRPr="00B74BA2">
        <w:t xml:space="preserve"> CR = complete response; </w:t>
      </w:r>
      <w:proofErr w:type="spellStart"/>
      <w:r w:rsidR="004D6BAA" w:rsidRPr="00B74BA2">
        <w:t>CRu</w:t>
      </w:r>
      <w:proofErr w:type="spellEnd"/>
      <w:r w:rsidR="004D6BAA" w:rsidRPr="00B74BA2">
        <w:t xml:space="preserve"> = unconfirmed complete response;</w:t>
      </w:r>
      <w:r w:rsidRPr="00B74BA2">
        <w:t xml:space="preserve"> </w:t>
      </w:r>
      <w:proofErr w:type="spellStart"/>
      <w:r w:rsidRPr="00B74BA2">
        <w:t>DoR</w:t>
      </w:r>
      <w:proofErr w:type="spellEnd"/>
      <w:r w:rsidRPr="00B74BA2">
        <w:t xml:space="preserve"> = duration of response;</w:t>
      </w:r>
      <w:r w:rsidR="00E46E71" w:rsidRPr="00B74BA2">
        <w:t xml:space="preserve"> ECOG PS = Eastern Cooperative Oncology Group Performance </w:t>
      </w:r>
      <w:r w:rsidR="004D6BAA" w:rsidRPr="00B74BA2">
        <w:t>Status; MC</w:t>
      </w:r>
      <w:r w:rsidRPr="00B74BA2">
        <w:t xml:space="preserve">=multi-centre; OL=open label; </w:t>
      </w:r>
      <w:r w:rsidR="004D6BAA" w:rsidRPr="00B74BA2">
        <w:t xml:space="preserve">ORR = overall rate of response; </w:t>
      </w:r>
      <w:r w:rsidRPr="00B74BA2">
        <w:t>OS=overall survival; PFS=progression-free survival;</w:t>
      </w:r>
      <w:r w:rsidR="004D6BAA" w:rsidRPr="00B74BA2">
        <w:t xml:space="preserve"> PR = partial response</w:t>
      </w:r>
      <w:r w:rsidR="00110E3A">
        <w:t>.</w:t>
      </w:r>
    </w:p>
    <w:p w:rsidR="005D4DB8" w:rsidRPr="00B74BA2" w:rsidRDefault="005D4DB8" w:rsidP="00F2263C">
      <w:pPr>
        <w:pStyle w:val="ListParagraph"/>
        <w:widowControl/>
        <w:numPr>
          <w:ilvl w:val="1"/>
          <w:numId w:val="1"/>
        </w:numPr>
      </w:pPr>
      <w:r w:rsidRPr="00B74BA2">
        <w:t xml:space="preserve">KN013 was a Phase I, dose finding </w:t>
      </w:r>
      <w:r w:rsidR="00250DDD">
        <w:t>study</w:t>
      </w:r>
      <w:r w:rsidRPr="00B74BA2">
        <w:t xml:space="preserve">, the first 10 patients received a 10 mg/kg dose </w:t>
      </w:r>
      <w:r w:rsidR="007B0182" w:rsidRPr="00B74BA2">
        <w:t>Q</w:t>
      </w:r>
      <w:r w:rsidRPr="00B74BA2">
        <w:t>2</w:t>
      </w:r>
      <w:r w:rsidR="007B0182" w:rsidRPr="00B74BA2">
        <w:t>W</w:t>
      </w:r>
      <w:r w:rsidRPr="00B74BA2">
        <w:t xml:space="preserve">, and thereafter a trial dose amendment resulted in 11 patients receiving 200 mg Q3W (KN013 CSR, p4). KN170 was a Phase 2 </w:t>
      </w:r>
      <w:r w:rsidR="00250DDD">
        <w:t>study</w:t>
      </w:r>
      <w:r w:rsidR="00250DDD" w:rsidRPr="00B74BA2">
        <w:t xml:space="preserve"> </w:t>
      </w:r>
      <w:r w:rsidRPr="00B74BA2">
        <w:t>with a dosing regimen</w:t>
      </w:r>
      <w:r w:rsidR="00614A1D" w:rsidRPr="00B74BA2">
        <w:t xml:space="preserve"> of 200 mg IV Q3W, which is</w:t>
      </w:r>
      <w:r w:rsidRPr="00B74BA2">
        <w:t xml:space="preserve"> consistent with the proposed </w:t>
      </w:r>
      <w:r w:rsidR="00862B5D" w:rsidRPr="00B74BA2">
        <w:t xml:space="preserve">doses </w:t>
      </w:r>
      <w:r w:rsidR="00C71225" w:rsidRPr="00B74BA2">
        <w:t xml:space="preserve">for </w:t>
      </w:r>
      <w:r w:rsidRPr="00B74BA2">
        <w:t>regist</w:t>
      </w:r>
      <w:r w:rsidR="00C71225" w:rsidRPr="00B74BA2">
        <w:t xml:space="preserve">ration </w:t>
      </w:r>
      <w:r w:rsidRPr="00B74BA2">
        <w:t>and reimbursement</w:t>
      </w:r>
      <w:r w:rsidR="00614A1D" w:rsidRPr="00B74BA2">
        <w:t>.</w:t>
      </w:r>
      <w:r w:rsidRPr="00B74BA2">
        <w:t xml:space="preserve"> Both studies were open label and single-arm. The inclusion of a comparative dose group in KN013 and KN170 </w:t>
      </w:r>
      <w:r w:rsidR="007B0182" w:rsidRPr="00B74BA2">
        <w:t xml:space="preserve">allowed comparable outcome types </w:t>
      </w:r>
      <w:r w:rsidRPr="00B74BA2">
        <w:t>to be combined.</w:t>
      </w:r>
      <w:r w:rsidR="0092409D" w:rsidRPr="00B74BA2">
        <w:t xml:space="preserve"> </w:t>
      </w:r>
      <w:r w:rsidR="00250DDD">
        <w:t>The data presented for the Phase 2 study, KN170, were from the January 2018 data cut-off which had a median follow-up of 9.7 months (range 0.1 to 22.8 months) a</w:t>
      </w:r>
      <w:r w:rsidR="00E60D14">
        <w:t xml:space="preserve">t which time </w:t>
      </w:r>
      <w:r w:rsidR="00250DDD">
        <w:t>30% (16/53) of patients remained on pembrolizumab, and 57% (30/53) remained in the study.</w:t>
      </w:r>
    </w:p>
    <w:p w:rsidR="00920CC1" w:rsidRPr="00B74BA2" w:rsidRDefault="005D4DB8" w:rsidP="00F2263C">
      <w:pPr>
        <w:pStyle w:val="ListParagraph"/>
        <w:widowControl/>
        <w:numPr>
          <w:ilvl w:val="1"/>
          <w:numId w:val="1"/>
        </w:numPr>
      </w:pPr>
      <w:proofErr w:type="spellStart"/>
      <w:r w:rsidRPr="00B74BA2">
        <w:t>Kuruvilla</w:t>
      </w:r>
      <w:proofErr w:type="spellEnd"/>
      <w:r w:rsidRPr="00B74BA2">
        <w:t xml:space="preserve"> 2008 was a retrospective cohort study in which PMBCL patients who were relapsed/refractory to prior chemotherapy received salvage chemotherapy with a view to undergoing ASCT. The results of OS were reported at 2 years for the whole population (N=37), and after median follow-up of 1.8 years for post-ASCT (n=8) patients. </w:t>
      </w:r>
      <w:r w:rsidR="00783B28" w:rsidRPr="00B74BA2">
        <w:t xml:space="preserve">Some </w:t>
      </w:r>
      <w:r w:rsidR="00C71225" w:rsidRPr="00B74BA2">
        <w:t xml:space="preserve">SOC </w:t>
      </w:r>
      <w:r w:rsidR="00783B28" w:rsidRPr="00B74BA2">
        <w:t xml:space="preserve">patients received up to three </w:t>
      </w:r>
      <w:r w:rsidR="00C71225" w:rsidRPr="00B74BA2">
        <w:t xml:space="preserve">lines of </w:t>
      </w:r>
      <w:r w:rsidR="00783B28" w:rsidRPr="00B74BA2">
        <w:t>salvage chemotherapy: on</w:t>
      </w:r>
      <w:r w:rsidR="00FD7648" w:rsidRPr="00B74BA2">
        <w:t>e</w:t>
      </w:r>
      <w:r w:rsidR="00783B28" w:rsidRPr="00B74BA2">
        <w:t xml:space="preserve"> line </w:t>
      </w:r>
      <w:r w:rsidR="00C71225" w:rsidRPr="00B74BA2">
        <w:t xml:space="preserve">only </w:t>
      </w:r>
      <w:r w:rsidR="00783B28" w:rsidRPr="00B74BA2">
        <w:t xml:space="preserve">(n=5); </w:t>
      </w:r>
      <w:r w:rsidR="00C71225" w:rsidRPr="00B74BA2">
        <w:t xml:space="preserve">two </w:t>
      </w:r>
      <w:r w:rsidR="00783B28" w:rsidRPr="00B74BA2">
        <w:t>line</w:t>
      </w:r>
      <w:r w:rsidR="00C71225" w:rsidRPr="00B74BA2">
        <w:t>s</w:t>
      </w:r>
      <w:r w:rsidR="00783B28" w:rsidRPr="00B74BA2">
        <w:t xml:space="preserve"> (n=24); </w:t>
      </w:r>
      <w:r w:rsidR="00C71225" w:rsidRPr="00B74BA2">
        <w:t xml:space="preserve">three </w:t>
      </w:r>
      <w:r w:rsidR="00783B28" w:rsidRPr="00B74BA2">
        <w:t>line</w:t>
      </w:r>
      <w:r w:rsidR="00C71225" w:rsidRPr="00B74BA2">
        <w:t>s</w:t>
      </w:r>
      <w:r w:rsidR="00783B28" w:rsidRPr="00B74BA2">
        <w:t xml:space="preserve"> (n=7). </w:t>
      </w:r>
    </w:p>
    <w:p w:rsidR="00AE3766" w:rsidRPr="00B74BA2" w:rsidRDefault="00530C61" w:rsidP="00F2263C">
      <w:pPr>
        <w:pStyle w:val="ListParagraph"/>
        <w:widowControl/>
        <w:numPr>
          <w:ilvl w:val="1"/>
          <w:numId w:val="1"/>
        </w:numPr>
      </w:pPr>
      <w:r w:rsidRPr="00B74BA2">
        <w:lastRenderedPageBreak/>
        <w:t xml:space="preserve">The salvage chemotherapy regimens used in </w:t>
      </w:r>
      <w:proofErr w:type="spellStart"/>
      <w:r w:rsidR="00B555BD" w:rsidRPr="00B74BA2">
        <w:t>Kuruvilla</w:t>
      </w:r>
      <w:proofErr w:type="spellEnd"/>
      <w:r w:rsidR="00B555BD" w:rsidRPr="00B74BA2">
        <w:t xml:space="preserve"> 2008 typically </w:t>
      </w:r>
      <w:r w:rsidRPr="00B74BA2">
        <w:t xml:space="preserve">included </w:t>
      </w:r>
      <w:r w:rsidR="00AC68F3" w:rsidRPr="00B74BA2">
        <w:t>two to three</w:t>
      </w:r>
      <w:r w:rsidR="00B555BD" w:rsidRPr="00B74BA2">
        <w:t xml:space="preserve"> cycles of platinum-based chemotherapy or other salvage regimens</w:t>
      </w:r>
      <w:r w:rsidR="009F3C89" w:rsidRPr="00B74BA2">
        <w:t xml:space="preserve">; the </w:t>
      </w:r>
      <w:r w:rsidR="004071FB" w:rsidRPr="00B74BA2">
        <w:t>regimens used in first salvage were:</w:t>
      </w:r>
      <w:r w:rsidR="00B555BD" w:rsidRPr="00B74BA2">
        <w:t xml:space="preserve"> DHAP</w:t>
      </w:r>
      <w:r w:rsidRPr="00B74BA2">
        <w:t xml:space="preserve"> (51%)</w:t>
      </w:r>
      <w:r w:rsidR="00B555BD" w:rsidRPr="00B74BA2">
        <w:t>, ESHAP</w:t>
      </w:r>
      <w:r w:rsidRPr="00B74BA2">
        <w:t xml:space="preserve"> (27%)</w:t>
      </w:r>
      <w:r w:rsidR="00B555BD" w:rsidRPr="00B74BA2">
        <w:t>, GDP</w:t>
      </w:r>
      <w:r w:rsidRPr="00B74BA2">
        <w:t xml:space="preserve"> (11%)</w:t>
      </w:r>
      <w:r w:rsidR="00B555BD" w:rsidRPr="00B74BA2">
        <w:t xml:space="preserve"> o</w:t>
      </w:r>
      <w:r w:rsidRPr="00B74BA2">
        <w:t>r</w:t>
      </w:r>
      <w:r w:rsidR="00B555BD" w:rsidRPr="00B74BA2">
        <w:t xml:space="preserve"> mini-BEAM</w:t>
      </w:r>
      <w:r w:rsidRPr="00B74BA2">
        <w:t xml:space="preserve"> (5%)</w:t>
      </w:r>
      <w:r w:rsidR="00B555BD" w:rsidRPr="00B74BA2">
        <w:t xml:space="preserve">. </w:t>
      </w:r>
      <w:r w:rsidRPr="00B74BA2">
        <w:t>The publication stated that combination chemotherapy with rituximab was not used in the majority of cases as rituximab was not funded for aggressive NHL in Ontario in patients under the age of 60 years until 2004 (</w:t>
      </w:r>
      <w:proofErr w:type="spellStart"/>
      <w:r w:rsidR="00AE3766" w:rsidRPr="00B74BA2">
        <w:t>Kuruvilla</w:t>
      </w:r>
      <w:proofErr w:type="spellEnd"/>
      <w:r w:rsidR="00AE3766" w:rsidRPr="00B74BA2">
        <w:t xml:space="preserve"> 2008 </w:t>
      </w:r>
      <w:r w:rsidR="00324A1A" w:rsidRPr="00B74BA2">
        <w:t>includ</w:t>
      </w:r>
      <w:r w:rsidRPr="00B74BA2">
        <w:t>ed patients who were referred for salvage chemotherapy and ASCT between 1995 and 2004).</w:t>
      </w:r>
    </w:p>
    <w:p w:rsidR="003620EE" w:rsidRPr="00B74BA2" w:rsidRDefault="00AE3766" w:rsidP="00F2263C">
      <w:pPr>
        <w:pStyle w:val="ListParagraph"/>
        <w:widowControl/>
        <w:numPr>
          <w:ilvl w:val="1"/>
          <w:numId w:val="1"/>
        </w:numPr>
      </w:pPr>
      <w:r w:rsidRPr="00B74BA2">
        <w:t xml:space="preserve">The ESC </w:t>
      </w:r>
      <w:r w:rsidR="00133628">
        <w:t xml:space="preserve">and the PBAC </w:t>
      </w:r>
      <w:r w:rsidRPr="00B74BA2">
        <w:t xml:space="preserve">considered that </w:t>
      </w:r>
      <w:proofErr w:type="spellStart"/>
      <w:r w:rsidR="003620EE" w:rsidRPr="00B74BA2">
        <w:t>Kuruvilla</w:t>
      </w:r>
      <w:proofErr w:type="spellEnd"/>
      <w:r w:rsidRPr="00B74BA2">
        <w:t xml:space="preserve"> 2008</w:t>
      </w:r>
      <w:r w:rsidR="003620EE" w:rsidRPr="00B74BA2">
        <w:t xml:space="preserve"> </w:t>
      </w:r>
      <w:r w:rsidRPr="00B74BA2">
        <w:t xml:space="preserve">was not representative of current clinical practice as the salvage regimens did </w:t>
      </w:r>
      <w:r w:rsidR="003620EE" w:rsidRPr="00B74BA2">
        <w:t xml:space="preserve">not </w:t>
      </w:r>
      <w:r w:rsidR="00C4759E" w:rsidRPr="00B74BA2">
        <w:t>contain</w:t>
      </w:r>
      <w:r w:rsidR="003620EE" w:rsidRPr="00B74BA2">
        <w:t xml:space="preserve"> rituximab</w:t>
      </w:r>
      <w:r w:rsidRPr="00B74BA2">
        <w:t xml:space="preserve">. </w:t>
      </w:r>
      <w:r w:rsidR="009F3C89" w:rsidRPr="00B74BA2">
        <w:t>The ESC considered that this overestimated the incremental efficacy of pembrolizumab versus the standard of care regimens used in current clinical practice.</w:t>
      </w:r>
      <w:r w:rsidR="003620EE" w:rsidRPr="00B74BA2">
        <w:t xml:space="preserve"> </w:t>
      </w:r>
    </w:p>
    <w:p w:rsidR="005D4DB8" w:rsidRPr="00B74BA2" w:rsidRDefault="005D4DB8" w:rsidP="00F2263C">
      <w:pPr>
        <w:pStyle w:val="ListParagraph"/>
        <w:widowControl/>
        <w:numPr>
          <w:ilvl w:val="1"/>
          <w:numId w:val="1"/>
        </w:numPr>
      </w:pPr>
      <w:r w:rsidRPr="00B74BA2">
        <w:t>There were differences across the included studies in terms of:</w:t>
      </w:r>
    </w:p>
    <w:p w:rsidR="00AE3766" w:rsidRPr="00B74BA2" w:rsidRDefault="00AE3766" w:rsidP="00F2263C">
      <w:pPr>
        <w:pStyle w:val="ListParagraph"/>
        <w:widowControl/>
        <w:numPr>
          <w:ilvl w:val="4"/>
          <w:numId w:val="5"/>
        </w:numPr>
        <w:spacing w:after="120"/>
        <w:ind w:left="1134" w:hanging="357"/>
        <w:contextualSpacing/>
      </w:pPr>
      <w:r w:rsidRPr="00B74BA2">
        <w:t>KN013 and KN170 only included patients who were ineligible for or who refused ASCT (</w:t>
      </w:r>
      <w:r w:rsidR="006A5CF3" w:rsidRPr="00B74BA2">
        <w:t xml:space="preserve">ineligibility for ASCT was </w:t>
      </w:r>
      <w:r w:rsidRPr="00B74BA2">
        <w:t xml:space="preserve">consistent with the proposed PBS population), while </w:t>
      </w:r>
      <w:proofErr w:type="spellStart"/>
      <w:r w:rsidRPr="00B74BA2">
        <w:rPr>
          <w:lang w:val="en-US"/>
        </w:rPr>
        <w:t>Kuruvilla</w:t>
      </w:r>
      <w:proofErr w:type="spellEnd"/>
      <w:r w:rsidRPr="00B74BA2">
        <w:rPr>
          <w:lang w:val="en-US"/>
        </w:rPr>
        <w:t xml:space="preserve"> 2008 recrui</w:t>
      </w:r>
      <w:r w:rsidR="00324A1A" w:rsidRPr="00B74BA2">
        <w:rPr>
          <w:lang w:val="en-US"/>
        </w:rPr>
        <w:t>ted patients who were referred f</w:t>
      </w:r>
      <w:r w:rsidRPr="00B74BA2">
        <w:rPr>
          <w:lang w:val="en-US"/>
        </w:rPr>
        <w:t>o</w:t>
      </w:r>
      <w:r w:rsidR="00324A1A" w:rsidRPr="00B74BA2">
        <w:rPr>
          <w:lang w:val="en-US"/>
        </w:rPr>
        <w:t>r</w:t>
      </w:r>
      <w:r w:rsidRPr="00B74BA2">
        <w:rPr>
          <w:lang w:val="en-US"/>
        </w:rPr>
        <w:t xml:space="preserve"> salvage chemotherapy with an intention to undergo ASCT. </w:t>
      </w:r>
      <w:r w:rsidR="00920CC1" w:rsidRPr="00B74BA2">
        <w:rPr>
          <w:lang w:val="en-US"/>
        </w:rPr>
        <w:t xml:space="preserve">The ESC considered </w:t>
      </w:r>
      <w:r w:rsidR="003D73EE" w:rsidRPr="00B74BA2">
        <w:rPr>
          <w:lang w:val="en-US"/>
        </w:rPr>
        <w:t>that</w:t>
      </w:r>
      <w:r w:rsidR="006A5CF3" w:rsidRPr="00B74BA2">
        <w:rPr>
          <w:lang w:val="en-US"/>
        </w:rPr>
        <w:t>,</w:t>
      </w:r>
      <w:r w:rsidR="003D73EE" w:rsidRPr="00B74BA2">
        <w:rPr>
          <w:lang w:val="en-US"/>
        </w:rPr>
        <w:t xml:space="preserve"> consequentially</w:t>
      </w:r>
      <w:r w:rsidR="006A5CF3" w:rsidRPr="00B74BA2">
        <w:rPr>
          <w:lang w:val="en-US"/>
        </w:rPr>
        <w:t>,</w:t>
      </w:r>
      <w:r w:rsidR="003D73EE" w:rsidRPr="00B74BA2">
        <w:rPr>
          <w:lang w:val="en-US"/>
        </w:rPr>
        <w:t xml:space="preserve"> </w:t>
      </w:r>
      <w:r w:rsidR="00920CC1" w:rsidRPr="00B74BA2">
        <w:t xml:space="preserve">patients in </w:t>
      </w:r>
      <w:proofErr w:type="spellStart"/>
      <w:r w:rsidR="00920CC1" w:rsidRPr="00B74BA2">
        <w:t>Kuruvilla</w:t>
      </w:r>
      <w:proofErr w:type="spellEnd"/>
      <w:r w:rsidR="00920CC1" w:rsidRPr="00B74BA2">
        <w:t xml:space="preserve"> 2008 </w:t>
      </w:r>
      <w:r w:rsidR="003D73EE" w:rsidRPr="00B74BA2">
        <w:t xml:space="preserve">may have been </w:t>
      </w:r>
      <w:r w:rsidRPr="00B74BA2">
        <w:t>fitter</w:t>
      </w:r>
      <w:r w:rsidR="009F3C89" w:rsidRPr="00B74BA2">
        <w:t>,</w:t>
      </w:r>
      <w:r w:rsidR="008C3716" w:rsidRPr="00B74BA2">
        <w:t xml:space="preserve"> </w:t>
      </w:r>
      <w:r w:rsidR="003D73EE" w:rsidRPr="00B74BA2">
        <w:t>with</w:t>
      </w:r>
      <w:r w:rsidR="008C3716" w:rsidRPr="00B74BA2">
        <w:t xml:space="preserve"> a better baseline prognosis</w:t>
      </w:r>
      <w:r w:rsidRPr="00B74BA2">
        <w:t>. However</w:t>
      </w:r>
      <w:r w:rsidR="008C3716" w:rsidRPr="00B74BA2">
        <w:t>,</w:t>
      </w:r>
      <w:r w:rsidRPr="00B74BA2">
        <w:t xml:space="preserve"> the ESC </w:t>
      </w:r>
      <w:r w:rsidR="008C3716" w:rsidRPr="00B74BA2">
        <w:t xml:space="preserve">also </w:t>
      </w:r>
      <w:r w:rsidRPr="00B74BA2">
        <w:t xml:space="preserve">noted that </w:t>
      </w:r>
      <w:r w:rsidR="008C3716" w:rsidRPr="00B74BA2">
        <w:t xml:space="preserve">the pembrolizumab studies included patients who had </w:t>
      </w:r>
      <w:r w:rsidRPr="00B74BA2">
        <w:t>“refused ASCT”</w:t>
      </w:r>
      <w:r w:rsidR="008C3716" w:rsidRPr="00B74BA2">
        <w:t xml:space="preserve">, and considered </w:t>
      </w:r>
      <w:r w:rsidR="006A5CF3" w:rsidRPr="00B74BA2">
        <w:t xml:space="preserve">this may have included some </w:t>
      </w:r>
      <w:r w:rsidR="00FD150F" w:rsidRPr="00B74BA2">
        <w:t>patients who were otherwise eligible for ASCT</w:t>
      </w:r>
      <w:r w:rsidR="006A5CF3" w:rsidRPr="00B74BA2">
        <w:t xml:space="preserve"> </w:t>
      </w:r>
      <w:r w:rsidR="00FD150F" w:rsidRPr="00B74BA2">
        <w:t xml:space="preserve">(e.g. </w:t>
      </w:r>
      <w:r w:rsidR="009F3C89" w:rsidRPr="00B74BA2">
        <w:t xml:space="preserve">reasons for refusal </w:t>
      </w:r>
      <w:r w:rsidR="006A5CF3" w:rsidRPr="00B74BA2">
        <w:t xml:space="preserve">of ASCT </w:t>
      </w:r>
      <w:r w:rsidR="00324A1A" w:rsidRPr="00B74BA2">
        <w:t xml:space="preserve">may potentially </w:t>
      </w:r>
      <w:r w:rsidR="008C3716" w:rsidRPr="00B74BA2">
        <w:t xml:space="preserve">include that patients </w:t>
      </w:r>
      <w:r w:rsidRPr="00B74BA2">
        <w:t xml:space="preserve">wanted to participate in </w:t>
      </w:r>
      <w:r w:rsidR="00887692">
        <w:t>the</w:t>
      </w:r>
      <w:r w:rsidRPr="00B74BA2">
        <w:t xml:space="preserve"> </w:t>
      </w:r>
      <w:r w:rsidR="00FD150F" w:rsidRPr="00B74BA2">
        <w:t>study)</w:t>
      </w:r>
      <w:r w:rsidR="00887692">
        <w:t>. The PBAC noted that 8/21 (38%) and 14/53 (26%) of patients in KN013 and KN170, respectively h</w:t>
      </w:r>
      <w:r w:rsidR="000D04A2">
        <w:t>ad received a prior transplant while there were</w:t>
      </w:r>
      <w:r w:rsidR="00887692">
        <w:t xml:space="preserve"> no </w:t>
      </w:r>
      <w:r w:rsidR="000D04A2">
        <w:t xml:space="preserve">patients with </w:t>
      </w:r>
      <w:r w:rsidR="00887692">
        <w:t xml:space="preserve">prior transplants in </w:t>
      </w:r>
      <w:proofErr w:type="spellStart"/>
      <w:r w:rsidR="00887692">
        <w:t>Kuruvilla</w:t>
      </w:r>
      <w:proofErr w:type="spellEnd"/>
      <w:r w:rsidR="00887692">
        <w:t xml:space="preserve"> 2008</w:t>
      </w:r>
      <w:r w:rsidR="006A5CF3" w:rsidRPr="00B74BA2">
        <w:t>;</w:t>
      </w:r>
    </w:p>
    <w:p w:rsidR="00FD150F" w:rsidRPr="00B74BA2" w:rsidRDefault="00FD150F" w:rsidP="00F2263C">
      <w:pPr>
        <w:pStyle w:val="ListParagraph"/>
        <w:widowControl/>
        <w:numPr>
          <w:ilvl w:val="4"/>
          <w:numId w:val="5"/>
        </w:numPr>
        <w:spacing w:after="120"/>
        <w:ind w:left="1134" w:hanging="357"/>
        <w:contextualSpacing/>
      </w:pPr>
      <w:proofErr w:type="gramStart"/>
      <w:r w:rsidRPr="00B74BA2">
        <w:t>the</w:t>
      </w:r>
      <w:proofErr w:type="gramEnd"/>
      <w:r w:rsidRPr="00B74BA2">
        <w:t xml:space="preserve"> studies were conducted over different periods in time (the KN studies of pembrolizumab were conducted in 2014-2017, </w:t>
      </w:r>
      <w:proofErr w:type="spellStart"/>
      <w:r w:rsidRPr="00B74BA2">
        <w:t>Kuruvilla</w:t>
      </w:r>
      <w:proofErr w:type="spellEnd"/>
      <w:r w:rsidRPr="00B74BA2">
        <w:t xml:space="preserve"> 2008 in 1995-2004) and therefore may reflect changes in background therapy for PMBCL. Further, only one patient in </w:t>
      </w:r>
      <w:proofErr w:type="spellStart"/>
      <w:r w:rsidRPr="00B74BA2">
        <w:t>Kuruvilla</w:t>
      </w:r>
      <w:proofErr w:type="spellEnd"/>
      <w:r w:rsidRPr="00B74BA2">
        <w:t xml:space="preserve"> 2008 received </w:t>
      </w:r>
      <w:r w:rsidR="0058049E" w:rsidRPr="00B74BA2">
        <w:t xml:space="preserve">a </w:t>
      </w:r>
      <w:r w:rsidRPr="00B74BA2">
        <w:t xml:space="preserve">rituximab-containing </w:t>
      </w:r>
      <w:r w:rsidR="0058049E" w:rsidRPr="00B74BA2">
        <w:t>regimen in the first-line setting</w:t>
      </w:r>
      <w:r w:rsidR="00552AA3">
        <w:t>;</w:t>
      </w:r>
    </w:p>
    <w:p w:rsidR="00AE3766" w:rsidRPr="00B74BA2" w:rsidRDefault="00AE3766" w:rsidP="00F2263C">
      <w:pPr>
        <w:pStyle w:val="ListParagraph"/>
        <w:widowControl/>
        <w:numPr>
          <w:ilvl w:val="4"/>
          <w:numId w:val="5"/>
        </w:numPr>
        <w:spacing w:after="120"/>
        <w:ind w:left="1134" w:hanging="357"/>
        <w:contextualSpacing/>
      </w:pPr>
      <w:proofErr w:type="gramStart"/>
      <w:r w:rsidRPr="00B74BA2">
        <w:t>patients</w:t>
      </w:r>
      <w:proofErr w:type="gramEnd"/>
      <w:r w:rsidRPr="00B74BA2">
        <w:t xml:space="preserve"> in KN170 had received more prior lines of therapy (median of 3) than those in </w:t>
      </w:r>
      <w:proofErr w:type="spellStart"/>
      <w:r w:rsidRPr="00B74BA2">
        <w:t>Kuruvilla</w:t>
      </w:r>
      <w:proofErr w:type="spellEnd"/>
      <w:r w:rsidRPr="00B74BA2">
        <w:t xml:space="preserve"> 2008 (median of 1). </w:t>
      </w:r>
      <w:r w:rsidR="000D04A2">
        <w:t xml:space="preserve">This was likely because KN170 only included patients who had received at least two prior therapies (i.e. it did not include patients with primary refractory disease). </w:t>
      </w:r>
      <w:r w:rsidR="006A5CF3" w:rsidRPr="00B74BA2">
        <w:t>However,</w:t>
      </w:r>
      <w:r w:rsidRPr="00B74BA2">
        <w:t xml:space="preserve"> patients in </w:t>
      </w:r>
      <w:proofErr w:type="spellStart"/>
      <w:r w:rsidRPr="00B74BA2">
        <w:t>Kuruvilla</w:t>
      </w:r>
      <w:proofErr w:type="spellEnd"/>
      <w:r w:rsidRPr="00B74BA2">
        <w:t xml:space="preserve"> 2008 may have had more bulky disease, making a comparative assessment of disease status difficult across the studies; </w:t>
      </w:r>
    </w:p>
    <w:p w:rsidR="005D4DB8" w:rsidRPr="00B74BA2" w:rsidRDefault="005D4DB8" w:rsidP="00F2263C">
      <w:pPr>
        <w:pStyle w:val="ListParagraph"/>
        <w:widowControl/>
        <w:numPr>
          <w:ilvl w:val="4"/>
          <w:numId w:val="5"/>
        </w:numPr>
        <w:spacing w:after="120"/>
        <w:ind w:left="1134" w:hanging="357"/>
        <w:contextualSpacing/>
      </w:pPr>
      <w:r w:rsidRPr="00B74BA2">
        <w:t xml:space="preserve">KN013 included a dose of pembrolizumab (10 mg/kg) that is not consistent with the proposed registered/reimbursed </w:t>
      </w:r>
      <w:r w:rsidR="006A5CF3" w:rsidRPr="00B74BA2">
        <w:t>dose</w:t>
      </w:r>
      <w:r w:rsidR="007B0182" w:rsidRPr="00B74BA2">
        <w:t>;</w:t>
      </w:r>
      <w:r w:rsidR="00AE3766" w:rsidRPr="00B74BA2">
        <w:t xml:space="preserve"> </w:t>
      </w:r>
      <w:r w:rsidRPr="00B74BA2">
        <w:t>and</w:t>
      </w:r>
    </w:p>
    <w:p w:rsidR="005D4DB8" w:rsidRDefault="005D4DB8" w:rsidP="00F2263C">
      <w:pPr>
        <w:pStyle w:val="ListParagraph"/>
        <w:widowControl/>
        <w:numPr>
          <w:ilvl w:val="4"/>
          <w:numId w:val="5"/>
        </w:numPr>
        <w:ind w:left="1134"/>
      </w:pPr>
      <w:proofErr w:type="gramStart"/>
      <w:r w:rsidRPr="00B74BA2">
        <w:t>within</w:t>
      </w:r>
      <w:proofErr w:type="gramEnd"/>
      <w:r w:rsidRPr="00B74BA2">
        <w:t xml:space="preserve"> KN170, assessments of outcome were based on the time from study entry (which may have occurred some</w:t>
      </w:r>
      <w:r w:rsidR="00C71225" w:rsidRPr="00B74BA2">
        <w:t>-</w:t>
      </w:r>
      <w:r w:rsidRPr="00B74BA2">
        <w:t xml:space="preserve">time after disease relapse), whereas in </w:t>
      </w:r>
      <w:proofErr w:type="spellStart"/>
      <w:r w:rsidRPr="00B74BA2">
        <w:t>Kuruvilla</w:t>
      </w:r>
      <w:proofErr w:type="spellEnd"/>
      <w:r w:rsidRPr="00B74BA2">
        <w:t xml:space="preserve"> 2008 outcome assessments were based on the time from relapse.</w:t>
      </w:r>
    </w:p>
    <w:p w:rsidR="00133628" w:rsidRPr="003A46D2" w:rsidRDefault="00133628" w:rsidP="00F2263C">
      <w:pPr>
        <w:pStyle w:val="ListParagraph"/>
        <w:widowControl/>
        <w:numPr>
          <w:ilvl w:val="1"/>
          <w:numId w:val="1"/>
        </w:numPr>
      </w:pPr>
      <w:r>
        <w:lastRenderedPageBreak/>
        <w:t xml:space="preserve">The PBAC noted </w:t>
      </w:r>
      <w:r w:rsidR="00250DDD">
        <w:t xml:space="preserve">that </w:t>
      </w:r>
      <w:r w:rsidR="00C17641">
        <w:t xml:space="preserve">a more </w:t>
      </w:r>
      <w:r w:rsidR="00250DDD">
        <w:t>contemporary</w:t>
      </w:r>
      <w:r w:rsidR="00C17641">
        <w:t xml:space="preserve"> study of patients with R/R PMBCL who were </w:t>
      </w:r>
      <w:r w:rsidR="00115AC6" w:rsidRPr="00115AC6">
        <w:t>treated with second</w:t>
      </w:r>
      <w:r w:rsidR="00250DDD">
        <w:t>-</w:t>
      </w:r>
      <w:r w:rsidR="00115AC6" w:rsidRPr="00115AC6">
        <w:t>line chemotherapy</w:t>
      </w:r>
      <w:r w:rsidR="00250DDD">
        <w:t xml:space="preserve"> had recently been published</w:t>
      </w:r>
      <w:r w:rsidR="00115AC6" w:rsidRPr="00115AC6">
        <w:t xml:space="preserve"> (</w:t>
      </w:r>
      <w:proofErr w:type="spellStart"/>
      <w:r w:rsidR="00115AC6" w:rsidRPr="00115AC6">
        <w:t>Vardhana</w:t>
      </w:r>
      <w:proofErr w:type="spellEnd"/>
      <w:r w:rsidR="00115AC6" w:rsidRPr="00115AC6">
        <w:t xml:space="preserve"> 2018).</w:t>
      </w:r>
      <w:r w:rsidR="00115AC6">
        <w:rPr>
          <w:rStyle w:val="FootnoteReference"/>
        </w:rPr>
        <w:footnoteReference w:id="7"/>
      </w:r>
      <w:r w:rsidR="00115AC6" w:rsidRPr="00115AC6">
        <w:t xml:space="preserve"> </w:t>
      </w:r>
      <w:r w:rsidR="00C17641">
        <w:t xml:space="preserve">The study </w:t>
      </w:r>
      <w:r w:rsidR="00C17641" w:rsidRPr="00C17641">
        <w:t xml:space="preserve">reviewed the outcomes of 60 patients </w:t>
      </w:r>
      <w:r w:rsidR="00F42042">
        <w:t xml:space="preserve">(from 1989 to 2014) </w:t>
      </w:r>
      <w:r w:rsidR="00C17641">
        <w:t xml:space="preserve">with R/R PMBCL who were </w:t>
      </w:r>
      <w:r w:rsidR="002D3BF0">
        <w:t xml:space="preserve">administered </w:t>
      </w:r>
      <w:r w:rsidR="00C17641" w:rsidRPr="00C17641">
        <w:t xml:space="preserve">second-line </w:t>
      </w:r>
      <w:r w:rsidR="007E4E68">
        <w:t>chemo</w:t>
      </w:r>
      <w:r w:rsidR="00C17641" w:rsidRPr="00C17641">
        <w:t xml:space="preserve">therapy with intent to consolidate with </w:t>
      </w:r>
      <w:r w:rsidR="00C17641">
        <w:t>ASCT</w:t>
      </w:r>
      <w:r w:rsidR="00C17641" w:rsidRPr="00C17641">
        <w:t>.</w:t>
      </w:r>
      <w:r w:rsidR="003716E0">
        <w:t xml:space="preserve"> </w:t>
      </w:r>
      <w:r w:rsidR="009E78EF">
        <w:t xml:space="preserve">The PBAC noted that </w:t>
      </w:r>
      <w:r w:rsidR="003A46D2">
        <w:t xml:space="preserve">around 40% of patients in </w:t>
      </w:r>
      <w:proofErr w:type="spellStart"/>
      <w:r w:rsidR="003A46D2">
        <w:t>Vardhana</w:t>
      </w:r>
      <w:proofErr w:type="spellEnd"/>
      <w:r w:rsidR="003A46D2">
        <w:t xml:space="preserve"> 2018 received rituximab in first-line, and </w:t>
      </w:r>
      <w:r w:rsidR="009E78EF">
        <w:t>58% were refractory to their initial therapy.</w:t>
      </w:r>
      <w:r w:rsidR="00C17641" w:rsidRPr="00C17641">
        <w:t xml:space="preserve"> </w:t>
      </w:r>
      <w:r w:rsidR="009E78EF">
        <w:t xml:space="preserve">Second-line chemotherapy consisted of ICE (33%) and ICE with rituximab (48%) in most cases. </w:t>
      </w:r>
      <w:r w:rsidR="000417AE">
        <w:t xml:space="preserve">The PBAC noted that 85% of patients in </w:t>
      </w:r>
      <w:proofErr w:type="spellStart"/>
      <w:r w:rsidR="000417AE">
        <w:t>Vardhana</w:t>
      </w:r>
      <w:proofErr w:type="spellEnd"/>
      <w:r w:rsidR="000417AE">
        <w:t xml:space="preserve"> 2018 received ASCT. </w:t>
      </w:r>
      <w:r w:rsidR="00527E57">
        <w:t xml:space="preserve">Patients were treated with radiotherapy pre-transplant at the discretion of the primary physician (90% of transplanted patients received radiotherapy). </w:t>
      </w:r>
      <w:r w:rsidR="00115AC6" w:rsidRPr="00115AC6">
        <w:t xml:space="preserve">The </w:t>
      </w:r>
      <w:r w:rsidR="00115AC6">
        <w:t>PBA</w:t>
      </w:r>
      <w:r w:rsidR="00C17641">
        <w:t>C</w:t>
      </w:r>
      <w:r w:rsidR="00115AC6">
        <w:t xml:space="preserve"> noted there were </w:t>
      </w:r>
      <w:r w:rsidR="00C17641">
        <w:t xml:space="preserve">key </w:t>
      </w:r>
      <w:r w:rsidR="00115AC6">
        <w:t xml:space="preserve">difference between </w:t>
      </w:r>
      <w:r w:rsidR="00C17641">
        <w:t>patients</w:t>
      </w:r>
      <w:r w:rsidR="00115AC6">
        <w:t xml:space="preserve"> in </w:t>
      </w:r>
      <w:proofErr w:type="spellStart"/>
      <w:r w:rsidR="00115AC6">
        <w:t>Vardhana</w:t>
      </w:r>
      <w:proofErr w:type="spellEnd"/>
      <w:r w:rsidR="00115AC6">
        <w:t xml:space="preserve"> </w:t>
      </w:r>
      <w:r w:rsidR="00C17641">
        <w:t>2018 and the pembrolizumab studies (K</w:t>
      </w:r>
      <w:r w:rsidR="00C17641" w:rsidRPr="00C17641">
        <w:t>N013 and KN170</w:t>
      </w:r>
      <w:r w:rsidR="00C17641">
        <w:t xml:space="preserve">), </w:t>
      </w:r>
      <w:r w:rsidR="00AD1100">
        <w:t>particular</w:t>
      </w:r>
      <w:r w:rsidR="00C17641">
        <w:t>ly around transplant eligibility</w:t>
      </w:r>
      <w:r w:rsidR="003A46D2">
        <w:t xml:space="preserve"> </w:t>
      </w:r>
      <w:r w:rsidR="00527E57">
        <w:t xml:space="preserve">(and the proportion of patients who progressed to transplant) </w:t>
      </w:r>
      <w:r w:rsidR="003A46D2">
        <w:t>and the number of prior therapies</w:t>
      </w:r>
      <w:r w:rsidR="00AD1100">
        <w:t xml:space="preserve">. The PBAC considered that </w:t>
      </w:r>
      <w:r w:rsidR="00527E57">
        <w:t>some of th</w:t>
      </w:r>
      <w:r w:rsidR="00AD1100">
        <w:t xml:space="preserve">ese limitations also applied to </w:t>
      </w:r>
      <w:proofErr w:type="spellStart"/>
      <w:r w:rsidR="00AD1100">
        <w:t>Kuruvilla</w:t>
      </w:r>
      <w:proofErr w:type="spellEnd"/>
      <w:r w:rsidR="00AD1100">
        <w:t xml:space="preserve"> 2008, while </w:t>
      </w:r>
      <w:proofErr w:type="spellStart"/>
      <w:r w:rsidR="00AD1100">
        <w:t>Vardhana</w:t>
      </w:r>
      <w:proofErr w:type="spellEnd"/>
      <w:r w:rsidR="00AD1100">
        <w:t xml:space="preserve"> 2</w:t>
      </w:r>
      <w:r w:rsidR="003A46D2">
        <w:t xml:space="preserve">018 had the advantage of </w:t>
      </w:r>
      <w:r w:rsidR="009B26A7" w:rsidRPr="009B26A7">
        <w:t xml:space="preserve">including patients who were treated more recently. As such, the PBAC considered that </w:t>
      </w:r>
      <w:proofErr w:type="spellStart"/>
      <w:r w:rsidR="009B26A7" w:rsidRPr="009B26A7">
        <w:t>Vardhana</w:t>
      </w:r>
      <w:proofErr w:type="spellEnd"/>
      <w:r w:rsidR="009B26A7" w:rsidRPr="009B26A7">
        <w:t xml:space="preserve"> 20</w:t>
      </w:r>
      <w:r w:rsidR="00B425EC">
        <w:t>1</w:t>
      </w:r>
      <w:r w:rsidR="009B26A7" w:rsidRPr="009B26A7">
        <w:t xml:space="preserve">8 was </w:t>
      </w:r>
      <w:r w:rsidR="00527E57">
        <w:t>also a</w:t>
      </w:r>
      <w:r w:rsidR="009B26A7" w:rsidRPr="009B26A7">
        <w:t xml:space="preserve"> relevant source for estimating SOC chemotherapy outcomes in current practice. </w:t>
      </w:r>
    </w:p>
    <w:p w:rsidR="005D4DB8" w:rsidRPr="00110E3A" w:rsidRDefault="005D4DB8" w:rsidP="0091423A">
      <w:pPr>
        <w:pStyle w:val="Heading2"/>
        <w:widowControl/>
      </w:pPr>
      <w:bookmarkStart w:id="7" w:name="_Toc524436887"/>
      <w:r w:rsidRPr="00110E3A">
        <w:t>Comparative effectiveness</w:t>
      </w:r>
      <w:bookmarkEnd w:id="7"/>
    </w:p>
    <w:p w:rsidR="005D4DB8" w:rsidRPr="00B74BA2" w:rsidRDefault="005D4DB8" w:rsidP="00F2263C">
      <w:pPr>
        <w:pStyle w:val="ListParagraph"/>
        <w:widowControl/>
        <w:numPr>
          <w:ilvl w:val="1"/>
          <w:numId w:val="1"/>
        </w:numPr>
      </w:pPr>
      <w:r w:rsidRPr="00B74BA2">
        <w:t>The summary of effectiveness of pembrolizumab</w:t>
      </w:r>
      <w:r w:rsidR="00C71225" w:rsidRPr="00B74BA2">
        <w:t xml:space="preserve"> and</w:t>
      </w:r>
      <w:r w:rsidRPr="00B74BA2">
        <w:t xml:space="preserve"> SOC therapies in patients with R/R PMBCL is presented in Tables 5 to </w:t>
      </w:r>
      <w:r w:rsidR="0084031E" w:rsidRPr="00B74BA2">
        <w:t>8</w:t>
      </w:r>
      <w:r w:rsidRPr="00B74BA2">
        <w:t xml:space="preserve">. The primary outcome </w:t>
      </w:r>
      <w:r w:rsidR="00324A1A" w:rsidRPr="00B74BA2">
        <w:t xml:space="preserve">in the three </w:t>
      </w:r>
      <w:r w:rsidRPr="00B74BA2">
        <w:t>studies was overall response rate (ORR), comprising complete response (CR) and partial response (PR). The submission also presented secondary outcomes of: progression free survival (PFS), overall survival (OS), other response status (stable disease; SD and progressive disease; PD), duration of response (</w:t>
      </w:r>
      <w:proofErr w:type="spellStart"/>
      <w:r w:rsidRPr="00B74BA2">
        <w:t>DoR</w:t>
      </w:r>
      <w:proofErr w:type="spellEnd"/>
      <w:r w:rsidRPr="00B74BA2">
        <w:t>) and safety.</w:t>
      </w:r>
    </w:p>
    <w:p w:rsidR="00812BC9" w:rsidRPr="00B74BA2" w:rsidRDefault="005D4DB8" w:rsidP="00F2263C">
      <w:pPr>
        <w:pStyle w:val="ListParagraph"/>
        <w:widowControl/>
        <w:numPr>
          <w:ilvl w:val="1"/>
          <w:numId w:val="1"/>
        </w:numPr>
      </w:pPr>
      <w:r w:rsidRPr="00B74BA2">
        <w:t xml:space="preserve">The ORR results for KN013 (overall results and results for </w:t>
      </w:r>
      <w:r w:rsidR="00C71225" w:rsidRPr="00B74BA2">
        <w:t xml:space="preserve">the </w:t>
      </w:r>
      <w:r w:rsidRPr="00B74BA2">
        <w:t xml:space="preserve">200 mg dose </w:t>
      </w:r>
      <w:r w:rsidR="00C71225" w:rsidRPr="00B74BA2">
        <w:t xml:space="preserve">subgroup </w:t>
      </w:r>
      <w:r w:rsidRPr="00B74BA2">
        <w:t>(n=11)), KN170</w:t>
      </w:r>
      <w:r w:rsidR="00C71225" w:rsidRPr="00B74BA2">
        <w:t xml:space="preserve"> and</w:t>
      </w:r>
      <w:r w:rsidRPr="00B74BA2">
        <w:t xml:space="preserve"> </w:t>
      </w:r>
      <w:proofErr w:type="spellStart"/>
      <w:r w:rsidRPr="00B74BA2">
        <w:t>Kuruvilla</w:t>
      </w:r>
      <w:proofErr w:type="spellEnd"/>
      <w:r w:rsidRPr="00B74BA2">
        <w:t xml:space="preserve"> 2008 are presented in Table 5. Similar rates of ORR (</w:t>
      </w:r>
      <w:r w:rsidR="00102E82" w:rsidRPr="00B74BA2">
        <w:t>around 45</w:t>
      </w:r>
      <w:r w:rsidRPr="00B74BA2">
        <w:t xml:space="preserve">%) were reported in the pembrolizumab studies, while the SOC study reported </w:t>
      </w:r>
      <w:r w:rsidR="00C71225" w:rsidRPr="00B74BA2">
        <w:t xml:space="preserve">an ORR of </w:t>
      </w:r>
      <w:r w:rsidRPr="00B74BA2">
        <w:t>around 25%. This suggests a higher ORR for pembrolizumab, noting the naïve nature of the comparison.</w:t>
      </w:r>
      <w:r w:rsidR="00527064" w:rsidRPr="00B74BA2">
        <w:t xml:space="preserve"> </w:t>
      </w:r>
    </w:p>
    <w:p w:rsidR="005D4DB8" w:rsidRPr="00B74BA2" w:rsidRDefault="005D4DB8" w:rsidP="0091423A">
      <w:pPr>
        <w:keepNext/>
        <w:keepLines/>
        <w:widowControl/>
        <w:rPr>
          <w:rStyle w:val="CommentReference"/>
        </w:rPr>
      </w:pPr>
      <w:r w:rsidRPr="00B74BA2">
        <w:rPr>
          <w:rStyle w:val="CommentReference"/>
        </w:rPr>
        <w:lastRenderedPageBreak/>
        <w:t>Table 5: Results of ORR across the trials</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8"/>
        <w:gridCol w:w="1931"/>
        <w:gridCol w:w="1849"/>
        <w:gridCol w:w="2014"/>
        <w:gridCol w:w="1354"/>
      </w:tblGrid>
      <w:tr w:rsidR="00F73A15" w:rsidRPr="00B74BA2" w:rsidTr="003A1711">
        <w:trPr>
          <w:tblHeader/>
        </w:trPr>
        <w:tc>
          <w:tcPr>
            <w:tcW w:w="1088" w:type="pct"/>
            <w:vMerge w:val="restart"/>
            <w:vAlign w:val="center"/>
          </w:tcPr>
          <w:p w:rsidR="00F73A15" w:rsidRPr="00B74BA2" w:rsidRDefault="00F73A15" w:rsidP="0091423A">
            <w:pPr>
              <w:keepNext/>
              <w:keepLines/>
              <w:widowControl/>
              <w:jc w:val="left"/>
              <w:rPr>
                <w:rFonts w:ascii="Arial Narrow" w:hAnsi="Arial Narrow" w:cs="Times New Roman"/>
                <w:b/>
                <w:snapToGrid/>
                <w:sz w:val="20"/>
                <w:szCs w:val="20"/>
              </w:rPr>
            </w:pPr>
            <w:r w:rsidRPr="00B74BA2">
              <w:rPr>
                <w:rFonts w:ascii="Arial Narrow" w:hAnsi="Arial Narrow" w:cs="Times New Roman"/>
                <w:b/>
                <w:snapToGrid/>
                <w:sz w:val="20"/>
                <w:szCs w:val="20"/>
              </w:rPr>
              <w:t>Outcome/Trial ID</w:t>
            </w:r>
          </w:p>
        </w:tc>
        <w:tc>
          <w:tcPr>
            <w:tcW w:w="2069" w:type="pct"/>
            <w:gridSpan w:val="2"/>
            <w:vAlign w:val="center"/>
          </w:tcPr>
          <w:p w:rsidR="00F73A15" w:rsidRPr="00B74BA2" w:rsidRDefault="00F73A15" w:rsidP="0091423A">
            <w:pPr>
              <w:keepNext/>
              <w:keepLines/>
              <w:widowControl/>
              <w:jc w:val="center"/>
              <w:rPr>
                <w:rFonts w:ascii="Arial Narrow" w:hAnsi="Arial Narrow" w:cs="Times New Roman"/>
                <w:b/>
                <w:snapToGrid/>
                <w:sz w:val="20"/>
                <w:szCs w:val="20"/>
              </w:rPr>
            </w:pPr>
            <w:r w:rsidRPr="00B74BA2">
              <w:rPr>
                <w:rFonts w:ascii="Arial Narrow" w:hAnsi="Arial Narrow" w:cs="Times New Roman"/>
                <w:b/>
                <w:snapToGrid/>
                <w:sz w:val="20"/>
                <w:szCs w:val="20"/>
              </w:rPr>
              <w:t>Pembrolizumab</w:t>
            </w:r>
          </w:p>
          <w:p w:rsidR="00F73A15" w:rsidRPr="00B74BA2" w:rsidRDefault="00F73A15" w:rsidP="0091423A">
            <w:pPr>
              <w:keepNext/>
              <w:keepLines/>
              <w:widowControl/>
              <w:jc w:val="center"/>
              <w:rPr>
                <w:rFonts w:ascii="Arial Narrow" w:hAnsi="Arial Narrow" w:cs="Times New Roman"/>
                <w:b/>
                <w:snapToGrid/>
                <w:sz w:val="20"/>
                <w:szCs w:val="20"/>
              </w:rPr>
            </w:pPr>
            <w:r w:rsidRPr="00B74BA2">
              <w:rPr>
                <w:rFonts w:ascii="Arial Narrow" w:hAnsi="Arial Narrow" w:cs="Times New Roman"/>
                <w:b/>
                <w:snapToGrid/>
                <w:sz w:val="20"/>
                <w:szCs w:val="20"/>
              </w:rPr>
              <w:t>KN013</w:t>
            </w:r>
          </w:p>
        </w:tc>
        <w:tc>
          <w:tcPr>
            <w:tcW w:w="1102" w:type="pct"/>
            <w:vMerge w:val="restart"/>
            <w:vAlign w:val="center"/>
          </w:tcPr>
          <w:p w:rsidR="00F73A15" w:rsidRPr="00B74BA2" w:rsidRDefault="00F73A15" w:rsidP="0091423A">
            <w:pPr>
              <w:keepNext/>
              <w:keepLines/>
              <w:widowControl/>
              <w:jc w:val="center"/>
              <w:rPr>
                <w:rFonts w:ascii="Arial Narrow" w:hAnsi="Arial Narrow" w:cs="Times New Roman"/>
                <w:b/>
                <w:snapToGrid/>
                <w:sz w:val="20"/>
                <w:szCs w:val="20"/>
              </w:rPr>
            </w:pPr>
            <w:r w:rsidRPr="00B74BA2">
              <w:rPr>
                <w:rFonts w:ascii="Arial Narrow" w:hAnsi="Arial Narrow" w:cs="Times New Roman"/>
                <w:b/>
                <w:snapToGrid/>
                <w:sz w:val="20"/>
                <w:szCs w:val="20"/>
              </w:rPr>
              <w:t>Pembrolizumab</w:t>
            </w:r>
          </w:p>
          <w:p w:rsidR="00F73A15" w:rsidRPr="00B74BA2" w:rsidRDefault="00F73A15" w:rsidP="0091423A">
            <w:pPr>
              <w:keepNext/>
              <w:keepLines/>
              <w:widowControl/>
              <w:jc w:val="center"/>
              <w:rPr>
                <w:rFonts w:ascii="Arial Narrow" w:hAnsi="Arial Narrow" w:cs="Times New Roman"/>
                <w:b/>
                <w:snapToGrid/>
                <w:sz w:val="20"/>
                <w:szCs w:val="20"/>
              </w:rPr>
            </w:pPr>
            <w:r w:rsidRPr="00B74BA2">
              <w:rPr>
                <w:rFonts w:ascii="Arial Narrow" w:hAnsi="Arial Narrow" w:cs="Times New Roman"/>
                <w:b/>
                <w:snapToGrid/>
                <w:sz w:val="20"/>
                <w:szCs w:val="20"/>
              </w:rPr>
              <w:t>KN170</w:t>
            </w:r>
          </w:p>
          <w:p w:rsidR="00F73A15" w:rsidRPr="00B74BA2" w:rsidRDefault="00F73A15" w:rsidP="0091423A">
            <w:pPr>
              <w:keepNext/>
              <w:keepLines/>
              <w:widowControl/>
              <w:jc w:val="center"/>
              <w:rPr>
                <w:rFonts w:ascii="Arial Narrow" w:hAnsi="Arial Narrow" w:cs="Times New Roman"/>
                <w:b/>
                <w:snapToGrid/>
                <w:sz w:val="20"/>
                <w:szCs w:val="20"/>
              </w:rPr>
            </w:pPr>
            <w:r w:rsidRPr="00B74BA2">
              <w:rPr>
                <w:rFonts w:ascii="Arial Narrow" w:hAnsi="Arial Narrow" w:cs="Times New Roman"/>
                <w:b/>
                <w:snapToGrid/>
                <w:sz w:val="20"/>
                <w:szCs w:val="20"/>
              </w:rPr>
              <w:t>N = 53</w:t>
            </w:r>
          </w:p>
        </w:tc>
        <w:tc>
          <w:tcPr>
            <w:tcW w:w="742" w:type="pct"/>
            <w:vMerge w:val="restart"/>
          </w:tcPr>
          <w:p w:rsidR="00F73A15" w:rsidRPr="00B74BA2" w:rsidRDefault="00F73A15" w:rsidP="0091423A">
            <w:pPr>
              <w:keepNext/>
              <w:keepLines/>
              <w:widowControl/>
              <w:jc w:val="center"/>
              <w:rPr>
                <w:rFonts w:ascii="Arial Narrow" w:hAnsi="Arial Narrow" w:cs="Times New Roman"/>
                <w:b/>
                <w:snapToGrid/>
                <w:sz w:val="20"/>
                <w:szCs w:val="20"/>
              </w:rPr>
            </w:pPr>
            <w:r w:rsidRPr="00B74BA2">
              <w:rPr>
                <w:rFonts w:ascii="Arial Narrow" w:hAnsi="Arial Narrow" w:cs="Times New Roman"/>
                <w:b/>
                <w:snapToGrid/>
                <w:sz w:val="20"/>
                <w:szCs w:val="20"/>
              </w:rPr>
              <w:t>SOC</w:t>
            </w:r>
          </w:p>
          <w:p w:rsidR="00F73A15" w:rsidRPr="00B74BA2" w:rsidRDefault="00F73A15" w:rsidP="0091423A">
            <w:pPr>
              <w:keepNext/>
              <w:keepLines/>
              <w:widowControl/>
              <w:jc w:val="center"/>
              <w:rPr>
                <w:rFonts w:ascii="Arial Narrow" w:hAnsi="Arial Narrow" w:cs="Times New Roman"/>
                <w:b/>
                <w:snapToGrid/>
                <w:sz w:val="20"/>
                <w:szCs w:val="20"/>
              </w:rPr>
            </w:pPr>
            <w:r w:rsidRPr="00B74BA2">
              <w:rPr>
                <w:rFonts w:ascii="Arial Narrow" w:hAnsi="Arial Narrow" w:cs="Times New Roman"/>
                <w:b/>
                <w:snapToGrid/>
                <w:sz w:val="20"/>
                <w:szCs w:val="20"/>
              </w:rPr>
              <w:t>(</w:t>
            </w:r>
            <w:proofErr w:type="spellStart"/>
            <w:r w:rsidRPr="00B74BA2">
              <w:rPr>
                <w:rFonts w:ascii="Arial Narrow" w:hAnsi="Arial Narrow" w:cs="Times New Roman"/>
                <w:b/>
                <w:snapToGrid/>
                <w:sz w:val="20"/>
                <w:szCs w:val="20"/>
              </w:rPr>
              <w:t>Kuruvilla</w:t>
            </w:r>
            <w:proofErr w:type="spellEnd"/>
            <w:r w:rsidRPr="00B74BA2">
              <w:rPr>
                <w:rFonts w:ascii="Arial Narrow" w:hAnsi="Arial Narrow" w:cs="Times New Roman"/>
                <w:b/>
                <w:snapToGrid/>
                <w:sz w:val="20"/>
                <w:szCs w:val="20"/>
              </w:rPr>
              <w:t xml:space="preserve"> 2008)</w:t>
            </w:r>
          </w:p>
          <w:p w:rsidR="00F73A15" w:rsidRPr="00B74BA2" w:rsidRDefault="00F73A15" w:rsidP="0091423A">
            <w:pPr>
              <w:keepNext/>
              <w:keepLines/>
              <w:widowControl/>
              <w:jc w:val="center"/>
              <w:rPr>
                <w:rFonts w:ascii="Arial Narrow" w:hAnsi="Arial Narrow" w:cs="Times New Roman"/>
                <w:b/>
                <w:snapToGrid/>
                <w:sz w:val="20"/>
                <w:szCs w:val="20"/>
              </w:rPr>
            </w:pPr>
            <w:r w:rsidRPr="00B74BA2">
              <w:rPr>
                <w:rFonts w:ascii="Arial Narrow" w:hAnsi="Arial Narrow" w:cs="Times New Roman"/>
                <w:b/>
                <w:snapToGrid/>
                <w:sz w:val="20"/>
                <w:szCs w:val="20"/>
              </w:rPr>
              <w:t>N = 37</w:t>
            </w:r>
          </w:p>
        </w:tc>
      </w:tr>
      <w:tr w:rsidR="00F73A15" w:rsidRPr="00B74BA2" w:rsidTr="003A1711">
        <w:trPr>
          <w:tblHeader/>
        </w:trPr>
        <w:tc>
          <w:tcPr>
            <w:tcW w:w="1088" w:type="pct"/>
            <w:vMerge/>
            <w:vAlign w:val="center"/>
          </w:tcPr>
          <w:p w:rsidR="00F73A15" w:rsidRPr="00B74BA2" w:rsidRDefault="00F73A15" w:rsidP="0091423A">
            <w:pPr>
              <w:keepNext/>
              <w:keepLines/>
              <w:widowControl/>
              <w:jc w:val="left"/>
              <w:rPr>
                <w:rFonts w:ascii="Arial Narrow" w:hAnsi="Arial Narrow" w:cs="Times New Roman"/>
                <w:b/>
                <w:snapToGrid/>
                <w:sz w:val="20"/>
                <w:szCs w:val="20"/>
              </w:rPr>
            </w:pPr>
          </w:p>
        </w:tc>
        <w:tc>
          <w:tcPr>
            <w:tcW w:w="1057" w:type="pct"/>
            <w:vAlign w:val="center"/>
          </w:tcPr>
          <w:p w:rsidR="00F73A15" w:rsidRPr="00B74BA2" w:rsidRDefault="00F73A15" w:rsidP="0091423A">
            <w:pPr>
              <w:keepNext/>
              <w:keepLines/>
              <w:widowControl/>
              <w:jc w:val="center"/>
              <w:rPr>
                <w:rFonts w:ascii="Arial Narrow" w:hAnsi="Arial Narrow" w:cs="Times New Roman"/>
                <w:b/>
                <w:snapToGrid/>
                <w:sz w:val="20"/>
                <w:szCs w:val="20"/>
              </w:rPr>
            </w:pPr>
            <w:r w:rsidRPr="00B74BA2">
              <w:rPr>
                <w:rFonts w:ascii="Arial Narrow" w:hAnsi="Arial Narrow" w:cs="Times New Roman"/>
                <w:b/>
                <w:snapToGrid/>
                <w:sz w:val="20"/>
                <w:szCs w:val="20"/>
              </w:rPr>
              <w:t>Total</w:t>
            </w:r>
          </w:p>
          <w:p w:rsidR="00F73A15" w:rsidRPr="00B74BA2" w:rsidRDefault="00F73A15" w:rsidP="0091423A">
            <w:pPr>
              <w:keepNext/>
              <w:keepLines/>
              <w:widowControl/>
              <w:jc w:val="center"/>
              <w:rPr>
                <w:rFonts w:ascii="Arial Narrow" w:hAnsi="Arial Narrow" w:cs="Times New Roman"/>
                <w:b/>
                <w:snapToGrid/>
                <w:sz w:val="20"/>
                <w:szCs w:val="20"/>
              </w:rPr>
            </w:pPr>
            <w:r w:rsidRPr="00B74BA2">
              <w:rPr>
                <w:rFonts w:ascii="Arial Narrow" w:hAnsi="Arial Narrow" w:cs="Times New Roman"/>
                <w:b/>
                <w:snapToGrid/>
                <w:sz w:val="20"/>
                <w:szCs w:val="20"/>
              </w:rPr>
              <w:t>N = 21</w:t>
            </w:r>
          </w:p>
        </w:tc>
        <w:tc>
          <w:tcPr>
            <w:tcW w:w="1012" w:type="pct"/>
            <w:vAlign w:val="center"/>
          </w:tcPr>
          <w:p w:rsidR="00F73A15" w:rsidRPr="00B74BA2" w:rsidRDefault="00F73A15" w:rsidP="0091423A">
            <w:pPr>
              <w:pStyle w:val="Tabletext"/>
              <w:keepNext/>
              <w:keepLines/>
              <w:jc w:val="center"/>
              <w:rPr>
                <w:b/>
                <w:szCs w:val="20"/>
              </w:rPr>
            </w:pPr>
            <w:r w:rsidRPr="00B74BA2">
              <w:rPr>
                <w:b/>
                <w:szCs w:val="20"/>
              </w:rPr>
              <w:t>200 mg Q3W</w:t>
            </w:r>
          </w:p>
          <w:p w:rsidR="00F73A15" w:rsidRPr="00B74BA2" w:rsidRDefault="00F73A15" w:rsidP="0091423A">
            <w:pPr>
              <w:pStyle w:val="Tabletext"/>
              <w:keepNext/>
              <w:keepLines/>
              <w:jc w:val="center"/>
              <w:rPr>
                <w:b/>
                <w:szCs w:val="20"/>
              </w:rPr>
            </w:pPr>
            <w:r w:rsidRPr="00B74BA2">
              <w:rPr>
                <w:b/>
                <w:szCs w:val="20"/>
              </w:rPr>
              <w:t>N = 11</w:t>
            </w:r>
          </w:p>
        </w:tc>
        <w:tc>
          <w:tcPr>
            <w:tcW w:w="1102" w:type="pct"/>
            <w:vMerge/>
            <w:vAlign w:val="center"/>
          </w:tcPr>
          <w:p w:rsidR="00F73A15" w:rsidRPr="00B74BA2" w:rsidRDefault="00F73A15" w:rsidP="0091423A">
            <w:pPr>
              <w:keepNext/>
              <w:keepLines/>
              <w:widowControl/>
              <w:jc w:val="center"/>
              <w:rPr>
                <w:rFonts w:ascii="Arial Narrow" w:hAnsi="Arial Narrow" w:cs="Times New Roman"/>
                <w:b/>
                <w:snapToGrid/>
                <w:sz w:val="20"/>
                <w:szCs w:val="20"/>
              </w:rPr>
            </w:pPr>
          </w:p>
        </w:tc>
        <w:tc>
          <w:tcPr>
            <w:tcW w:w="742" w:type="pct"/>
            <w:vMerge/>
          </w:tcPr>
          <w:p w:rsidR="00F73A15" w:rsidRPr="00B74BA2" w:rsidRDefault="00F73A15" w:rsidP="0091423A">
            <w:pPr>
              <w:keepNext/>
              <w:keepLines/>
              <w:widowControl/>
              <w:jc w:val="center"/>
              <w:rPr>
                <w:rFonts w:ascii="Arial Narrow" w:hAnsi="Arial Narrow" w:cs="Times New Roman"/>
                <w:b/>
                <w:snapToGrid/>
                <w:sz w:val="20"/>
                <w:szCs w:val="20"/>
              </w:rPr>
            </w:pPr>
          </w:p>
        </w:tc>
      </w:tr>
      <w:tr w:rsidR="00F73A15" w:rsidRPr="00B74BA2" w:rsidTr="003A1711">
        <w:tc>
          <w:tcPr>
            <w:tcW w:w="1088" w:type="pct"/>
            <w:vAlign w:val="center"/>
          </w:tcPr>
          <w:p w:rsidR="00F73A15" w:rsidRPr="00B74BA2" w:rsidRDefault="00F73A15" w:rsidP="0091423A">
            <w:pPr>
              <w:keepNext/>
              <w:keepLines/>
              <w:widowControl/>
              <w:jc w:val="left"/>
              <w:rPr>
                <w:rFonts w:ascii="Arial Narrow" w:hAnsi="Arial Narrow" w:cs="Times New Roman"/>
                <w:snapToGrid/>
                <w:sz w:val="20"/>
                <w:szCs w:val="20"/>
              </w:rPr>
            </w:pPr>
            <w:r w:rsidRPr="00B74BA2">
              <w:rPr>
                <w:rFonts w:ascii="Arial Narrow" w:hAnsi="Arial Narrow" w:cs="Times New Roman"/>
                <w:snapToGrid/>
                <w:sz w:val="20"/>
                <w:szCs w:val="20"/>
              </w:rPr>
              <w:t>Complete response, n (%), [95%CI]</w:t>
            </w:r>
          </w:p>
        </w:tc>
        <w:tc>
          <w:tcPr>
            <w:tcW w:w="1057" w:type="pct"/>
          </w:tcPr>
          <w:p w:rsidR="00F73A15" w:rsidRPr="00B74BA2" w:rsidRDefault="00F73A15" w:rsidP="0091423A">
            <w:pPr>
              <w:keepNext/>
              <w:keepLines/>
              <w:widowControl/>
              <w:jc w:val="center"/>
              <w:rPr>
                <w:rFonts w:ascii="Arial Narrow" w:hAnsi="Arial Narrow" w:cs="Times New Roman"/>
                <w:snapToGrid/>
                <w:sz w:val="20"/>
                <w:szCs w:val="20"/>
              </w:rPr>
            </w:pPr>
            <w:r w:rsidRPr="00B74BA2">
              <w:rPr>
                <w:rFonts w:ascii="Arial Narrow" w:hAnsi="Arial Narrow" w:cs="Times New Roman"/>
                <w:snapToGrid/>
                <w:sz w:val="20"/>
                <w:szCs w:val="20"/>
              </w:rPr>
              <w:t>7 (33.3) [14.6-57.0]</w:t>
            </w:r>
          </w:p>
        </w:tc>
        <w:tc>
          <w:tcPr>
            <w:tcW w:w="1012" w:type="pct"/>
          </w:tcPr>
          <w:p w:rsidR="00F73A15" w:rsidRPr="00B74BA2" w:rsidRDefault="00F73A15" w:rsidP="0091423A">
            <w:pPr>
              <w:keepNext/>
              <w:keepLines/>
              <w:widowControl/>
              <w:jc w:val="center"/>
              <w:rPr>
                <w:rFonts w:ascii="Arial Narrow" w:hAnsi="Arial Narrow" w:cs="Times New Roman"/>
                <w:snapToGrid/>
                <w:sz w:val="20"/>
                <w:szCs w:val="20"/>
              </w:rPr>
            </w:pPr>
            <w:r w:rsidRPr="00B74BA2">
              <w:rPr>
                <w:rFonts w:ascii="Arial Narrow" w:hAnsi="Arial Narrow"/>
                <w:sz w:val="20"/>
                <w:szCs w:val="20"/>
              </w:rPr>
              <w:t>4 (36.4), [10.9,69.2]</w:t>
            </w:r>
          </w:p>
        </w:tc>
        <w:tc>
          <w:tcPr>
            <w:tcW w:w="1102" w:type="pct"/>
          </w:tcPr>
          <w:p w:rsidR="00F73A15" w:rsidRPr="00B74BA2" w:rsidRDefault="00F73A15" w:rsidP="0091423A">
            <w:pPr>
              <w:keepNext/>
              <w:keepLines/>
              <w:widowControl/>
              <w:jc w:val="center"/>
              <w:rPr>
                <w:rFonts w:ascii="Arial Narrow" w:hAnsi="Arial Narrow" w:cs="Times New Roman"/>
                <w:snapToGrid/>
                <w:sz w:val="20"/>
                <w:szCs w:val="20"/>
              </w:rPr>
            </w:pPr>
            <w:r w:rsidRPr="00B74BA2">
              <w:rPr>
                <w:rFonts w:ascii="Arial Narrow" w:hAnsi="Arial Narrow" w:cs="Times New Roman"/>
                <w:snapToGrid/>
                <w:sz w:val="20"/>
                <w:szCs w:val="20"/>
              </w:rPr>
              <w:t xml:space="preserve">6 (11.3), </w:t>
            </w:r>
          </w:p>
          <w:p w:rsidR="00F73A15" w:rsidRPr="00B74BA2" w:rsidRDefault="00F73A15" w:rsidP="0091423A">
            <w:pPr>
              <w:keepNext/>
              <w:keepLines/>
              <w:widowControl/>
              <w:jc w:val="center"/>
              <w:rPr>
                <w:rFonts w:ascii="Arial Narrow" w:hAnsi="Arial Narrow" w:cs="Times New Roman"/>
                <w:snapToGrid/>
                <w:sz w:val="20"/>
                <w:szCs w:val="20"/>
              </w:rPr>
            </w:pPr>
            <w:r w:rsidRPr="00B74BA2">
              <w:rPr>
                <w:rFonts w:ascii="Arial Narrow" w:hAnsi="Arial Narrow" w:cs="Times New Roman"/>
                <w:snapToGrid/>
                <w:sz w:val="20"/>
                <w:szCs w:val="20"/>
              </w:rPr>
              <w:t>[4.3, 23.0]</w:t>
            </w:r>
          </w:p>
        </w:tc>
        <w:tc>
          <w:tcPr>
            <w:tcW w:w="742" w:type="pct"/>
          </w:tcPr>
          <w:p w:rsidR="00F73A15" w:rsidRPr="00B74BA2" w:rsidRDefault="00F73A15" w:rsidP="0091423A">
            <w:pPr>
              <w:keepNext/>
              <w:keepLines/>
              <w:widowControl/>
              <w:jc w:val="center"/>
              <w:rPr>
                <w:rFonts w:ascii="Arial Narrow" w:hAnsi="Arial Narrow" w:cs="Times New Roman"/>
                <w:snapToGrid/>
                <w:sz w:val="20"/>
                <w:szCs w:val="20"/>
              </w:rPr>
            </w:pPr>
            <w:r w:rsidRPr="00B74BA2">
              <w:rPr>
                <w:rFonts w:ascii="Arial Narrow" w:hAnsi="Arial Narrow" w:cs="Times New Roman"/>
                <w:snapToGrid/>
                <w:sz w:val="20"/>
                <w:szCs w:val="20"/>
              </w:rPr>
              <w:t>1 (3), [NR]</w:t>
            </w:r>
          </w:p>
        </w:tc>
      </w:tr>
      <w:tr w:rsidR="00F73A15" w:rsidRPr="00B74BA2" w:rsidTr="003A1711">
        <w:tc>
          <w:tcPr>
            <w:tcW w:w="1088" w:type="pct"/>
            <w:vAlign w:val="center"/>
          </w:tcPr>
          <w:p w:rsidR="00F73A15" w:rsidRPr="00B74BA2" w:rsidRDefault="00F73A15" w:rsidP="0091423A">
            <w:pPr>
              <w:keepNext/>
              <w:keepLines/>
              <w:widowControl/>
              <w:jc w:val="left"/>
              <w:rPr>
                <w:rFonts w:ascii="Arial Narrow" w:hAnsi="Arial Narrow" w:cs="Times New Roman"/>
                <w:snapToGrid/>
                <w:sz w:val="20"/>
                <w:szCs w:val="20"/>
              </w:rPr>
            </w:pPr>
            <w:r w:rsidRPr="00B74BA2">
              <w:rPr>
                <w:rFonts w:ascii="Arial Narrow" w:hAnsi="Arial Narrow" w:cs="Times New Roman"/>
                <w:snapToGrid/>
                <w:sz w:val="20"/>
                <w:szCs w:val="20"/>
              </w:rPr>
              <w:t>Partial response, n (%), [95%CI]</w:t>
            </w:r>
          </w:p>
        </w:tc>
        <w:tc>
          <w:tcPr>
            <w:tcW w:w="1057" w:type="pct"/>
          </w:tcPr>
          <w:p w:rsidR="00F73A15" w:rsidRPr="00B74BA2" w:rsidRDefault="00F73A15" w:rsidP="0091423A">
            <w:pPr>
              <w:keepNext/>
              <w:keepLines/>
              <w:widowControl/>
              <w:jc w:val="center"/>
              <w:rPr>
                <w:rFonts w:ascii="Arial Narrow" w:hAnsi="Arial Narrow" w:cs="Times New Roman"/>
                <w:snapToGrid/>
                <w:sz w:val="20"/>
                <w:szCs w:val="20"/>
              </w:rPr>
            </w:pPr>
            <w:r w:rsidRPr="00B74BA2">
              <w:rPr>
                <w:rFonts w:ascii="Arial Narrow" w:hAnsi="Arial Narrow" w:cs="Times New Roman"/>
                <w:snapToGrid/>
                <w:sz w:val="20"/>
                <w:szCs w:val="20"/>
              </w:rPr>
              <w:t>3 (14.3) [3.0, 36.3]</w:t>
            </w:r>
          </w:p>
        </w:tc>
        <w:tc>
          <w:tcPr>
            <w:tcW w:w="1012" w:type="pct"/>
          </w:tcPr>
          <w:p w:rsidR="00F73A15" w:rsidRPr="00B74BA2" w:rsidRDefault="00F73A15" w:rsidP="0091423A">
            <w:pPr>
              <w:keepNext/>
              <w:keepLines/>
              <w:widowControl/>
              <w:jc w:val="center"/>
              <w:rPr>
                <w:rFonts w:ascii="Arial Narrow" w:hAnsi="Arial Narrow" w:cs="Times New Roman"/>
                <w:snapToGrid/>
                <w:sz w:val="20"/>
                <w:szCs w:val="20"/>
              </w:rPr>
            </w:pPr>
            <w:r w:rsidRPr="00B74BA2">
              <w:rPr>
                <w:rFonts w:ascii="Arial Narrow" w:hAnsi="Arial Narrow"/>
                <w:sz w:val="20"/>
                <w:szCs w:val="20"/>
              </w:rPr>
              <w:t>1 (9.1), [0.2,41.3]</w:t>
            </w:r>
          </w:p>
        </w:tc>
        <w:tc>
          <w:tcPr>
            <w:tcW w:w="1102" w:type="pct"/>
          </w:tcPr>
          <w:p w:rsidR="00F73A15" w:rsidRPr="00B74BA2" w:rsidRDefault="00F73A15" w:rsidP="0091423A">
            <w:pPr>
              <w:keepNext/>
              <w:keepLines/>
              <w:widowControl/>
              <w:jc w:val="center"/>
              <w:rPr>
                <w:rFonts w:ascii="Arial Narrow" w:hAnsi="Arial Narrow" w:cs="Times New Roman"/>
                <w:snapToGrid/>
                <w:sz w:val="20"/>
                <w:szCs w:val="20"/>
              </w:rPr>
            </w:pPr>
            <w:r w:rsidRPr="00B74BA2">
              <w:rPr>
                <w:rFonts w:ascii="Arial Narrow" w:hAnsi="Arial Narrow" w:cs="Times New Roman"/>
                <w:snapToGrid/>
                <w:sz w:val="20"/>
                <w:szCs w:val="20"/>
              </w:rPr>
              <w:t xml:space="preserve">18 (34), </w:t>
            </w:r>
          </w:p>
          <w:p w:rsidR="00F73A15" w:rsidRPr="00B74BA2" w:rsidRDefault="00F73A15" w:rsidP="0091423A">
            <w:pPr>
              <w:keepNext/>
              <w:keepLines/>
              <w:widowControl/>
              <w:jc w:val="center"/>
              <w:rPr>
                <w:rFonts w:ascii="Arial Narrow" w:hAnsi="Arial Narrow" w:cs="Times New Roman"/>
                <w:snapToGrid/>
                <w:sz w:val="20"/>
                <w:szCs w:val="20"/>
              </w:rPr>
            </w:pPr>
            <w:r w:rsidRPr="00B74BA2">
              <w:rPr>
                <w:rFonts w:ascii="Arial Narrow" w:hAnsi="Arial Narrow" w:cs="Times New Roman"/>
                <w:snapToGrid/>
                <w:sz w:val="20"/>
                <w:szCs w:val="20"/>
              </w:rPr>
              <w:t>[21.5, 48.3]</w:t>
            </w:r>
          </w:p>
        </w:tc>
        <w:tc>
          <w:tcPr>
            <w:tcW w:w="742" w:type="pct"/>
          </w:tcPr>
          <w:p w:rsidR="00F73A15" w:rsidRPr="00B74BA2" w:rsidRDefault="00F73A15" w:rsidP="0091423A">
            <w:pPr>
              <w:keepNext/>
              <w:keepLines/>
              <w:widowControl/>
              <w:jc w:val="center"/>
              <w:rPr>
                <w:rFonts w:ascii="Arial Narrow" w:hAnsi="Arial Narrow" w:cs="Times New Roman"/>
                <w:snapToGrid/>
                <w:sz w:val="20"/>
                <w:szCs w:val="20"/>
              </w:rPr>
            </w:pPr>
            <w:r w:rsidRPr="00B74BA2">
              <w:rPr>
                <w:rFonts w:ascii="Arial Narrow" w:hAnsi="Arial Narrow" w:cs="Times New Roman"/>
                <w:snapToGrid/>
                <w:sz w:val="20"/>
                <w:szCs w:val="20"/>
              </w:rPr>
              <w:t>18 (34), [NR]</w:t>
            </w:r>
          </w:p>
        </w:tc>
      </w:tr>
      <w:tr w:rsidR="00F73A15" w:rsidRPr="00B74BA2" w:rsidTr="003A1711">
        <w:tc>
          <w:tcPr>
            <w:tcW w:w="1088" w:type="pct"/>
            <w:vAlign w:val="center"/>
          </w:tcPr>
          <w:p w:rsidR="00F73A15" w:rsidRPr="00B74BA2" w:rsidRDefault="00F73A15" w:rsidP="0091423A">
            <w:pPr>
              <w:keepNext/>
              <w:keepLines/>
              <w:widowControl/>
              <w:jc w:val="left"/>
              <w:rPr>
                <w:rFonts w:ascii="Arial Narrow" w:hAnsi="Arial Narrow" w:cs="Times New Roman"/>
                <w:snapToGrid/>
                <w:sz w:val="20"/>
                <w:szCs w:val="20"/>
              </w:rPr>
            </w:pPr>
            <w:r w:rsidRPr="00B74BA2">
              <w:rPr>
                <w:rFonts w:ascii="Arial Narrow" w:hAnsi="Arial Narrow" w:cs="Times New Roman"/>
                <w:snapToGrid/>
                <w:sz w:val="20"/>
                <w:szCs w:val="20"/>
              </w:rPr>
              <w:t>ORR (CR +PR), n (%), [95%CI]</w:t>
            </w:r>
          </w:p>
        </w:tc>
        <w:tc>
          <w:tcPr>
            <w:tcW w:w="1057" w:type="pct"/>
          </w:tcPr>
          <w:p w:rsidR="00F73A15" w:rsidRPr="00B74BA2" w:rsidRDefault="00F73A15" w:rsidP="0091423A">
            <w:pPr>
              <w:keepNext/>
              <w:keepLines/>
              <w:widowControl/>
              <w:jc w:val="center"/>
              <w:rPr>
                <w:rFonts w:ascii="Arial Narrow" w:hAnsi="Arial Narrow" w:cs="Times New Roman"/>
                <w:snapToGrid/>
                <w:sz w:val="20"/>
                <w:szCs w:val="20"/>
              </w:rPr>
            </w:pPr>
            <w:r w:rsidRPr="00B74BA2">
              <w:rPr>
                <w:rFonts w:ascii="Arial Narrow" w:hAnsi="Arial Narrow" w:cs="Times New Roman"/>
                <w:snapToGrid/>
                <w:sz w:val="20"/>
                <w:szCs w:val="20"/>
              </w:rPr>
              <w:t xml:space="preserve">10 (47.6) </w:t>
            </w:r>
          </w:p>
          <w:p w:rsidR="00F73A15" w:rsidRPr="00B74BA2" w:rsidRDefault="00F73A15" w:rsidP="0091423A">
            <w:pPr>
              <w:keepNext/>
              <w:keepLines/>
              <w:widowControl/>
              <w:jc w:val="center"/>
              <w:rPr>
                <w:rFonts w:ascii="Arial Narrow" w:hAnsi="Arial Narrow" w:cs="Times New Roman"/>
                <w:snapToGrid/>
                <w:sz w:val="20"/>
                <w:szCs w:val="20"/>
              </w:rPr>
            </w:pPr>
            <w:r w:rsidRPr="00B74BA2">
              <w:rPr>
                <w:rFonts w:ascii="Arial Narrow" w:hAnsi="Arial Narrow" w:cs="Times New Roman"/>
                <w:snapToGrid/>
                <w:sz w:val="20"/>
                <w:szCs w:val="20"/>
              </w:rPr>
              <w:t>[25.7, 70.2]</w:t>
            </w:r>
          </w:p>
        </w:tc>
        <w:tc>
          <w:tcPr>
            <w:tcW w:w="1012" w:type="pct"/>
          </w:tcPr>
          <w:p w:rsidR="00F73A15" w:rsidRPr="00B74BA2" w:rsidRDefault="00F73A15" w:rsidP="0091423A">
            <w:pPr>
              <w:pStyle w:val="Tabletext"/>
              <w:keepNext/>
              <w:keepLines/>
              <w:jc w:val="center"/>
              <w:rPr>
                <w:szCs w:val="20"/>
              </w:rPr>
            </w:pPr>
            <w:r w:rsidRPr="00B74BA2">
              <w:rPr>
                <w:szCs w:val="20"/>
              </w:rPr>
              <w:t>5 (45.5),</w:t>
            </w:r>
          </w:p>
          <w:p w:rsidR="00F73A15" w:rsidRPr="00B74BA2" w:rsidRDefault="00F73A15" w:rsidP="0091423A">
            <w:pPr>
              <w:keepNext/>
              <w:keepLines/>
              <w:widowControl/>
              <w:jc w:val="center"/>
              <w:rPr>
                <w:rFonts w:ascii="Arial Narrow" w:hAnsi="Arial Narrow" w:cs="Times New Roman"/>
                <w:snapToGrid/>
                <w:sz w:val="20"/>
                <w:szCs w:val="20"/>
              </w:rPr>
            </w:pPr>
            <w:r w:rsidRPr="00B74BA2">
              <w:rPr>
                <w:rFonts w:ascii="Arial Narrow" w:hAnsi="Arial Narrow"/>
                <w:sz w:val="20"/>
                <w:szCs w:val="20"/>
              </w:rPr>
              <w:t>[16.7, 76.6]</w:t>
            </w:r>
          </w:p>
        </w:tc>
        <w:tc>
          <w:tcPr>
            <w:tcW w:w="1102" w:type="pct"/>
          </w:tcPr>
          <w:p w:rsidR="00F73A15" w:rsidRPr="00B74BA2" w:rsidRDefault="00F73A15" w:rsidP="0091423A">
            <w:pPr>
              <w:keepNext/>
              <w:keepLines/>
              <w:widowControl/>
              <w:jc w:val="center"/>
              <w:rPr>
                <w:rFonts w:ascii="Arial Narrow" w:hAnsi="Arial Narrow" w:cs="Times New Roman"/>
                <w:snapToGrid/>
                <w:sz w:val="20"/>
                <w:szCs w:val="20"/>
              </w:rPr>
            </w:pPr>
            <w:r w:rsidRPr="00B74BA2">
              <w:rPr>
                <w:rFonts w:ascii="Arial Narrow" w:hAnsi="Arial Narrow" w:cs="Times New Roman"/>
                <w:snapToGrid/>
                <w:sz w:val="20"/>
                <w:szCs w:val="20"/>
              </w:rPr>
              <w:t xml:space="preserve">24 (45.3), </w:t>
            </w:r>
          </w:p>
          <w:p w:rsidR="00F73A15" w:rsidRPr="00B74BA2" w:rsidRDefault="00F73A15" w:rsidP="0091423A">
            <w:pPr>
              <w:keepNext/>
              <w:keepLines/>
              <w:widowControl/>
              <w:jc w:val="center"/>
              <w:rPr>
                <w:rFonts w:ascii="Arial Narrow" w:hAnsi="Arial Narrow" w:cs="Times New Roman"/>
                <w:snapToGrid/>
                <w:sz w:val="20"/>
                <w:szCs w:val="20"/>
              </w:rPr>
            </w:pPr>
            <w:r w:rsidRPr="00B74BA2">
              <w:rPr>
                <w:rFonts w:ascii="Arial Narrow" w:hAnsi="Arial Narrow" w:cs="Times New Roman"/>
                <w:snapToGrid/>
                <w:sz w:val="20"/>
                <w:szCs w:val="20"/>
              </w:rPr>
              <w:t>[31.6, 59.6]</w:t>
            </w:r>
          </w:p>
        </w:tc>
        <w:tc>
          <w:tcPr>
            <w:tcW w:w="742" w:type="pct"/>
          </w:tcPr>
          <w:p w:rsidR="00F73A15" w:rsidRPr="00B74BA2" w:rsidRDefault="00F73A15" w:rsidP="0091423A">
            <w:pPr>
              <w:keepNext/>
              <w:keepLines/>
              <w:widowControl/>
              <w:jc w:val="center"/>
              <w:rPr>
                <w:rFonts w:ascii="Arial Narrow" w:hAnsi="Arial Narrow" w:cs="Times New Roman"/>
                <w:snapToGrid/>
                <w:sz w:val="20"/>
                <w:szCs w:val="20"/>
              </w:rPr>
            </w:pPr>
            <w:r w:rsidRPr="00B74BA2">
              <w:rPr>
                <w:rFonts w:ascii="Arial Narrow" w:hAnsi="Arial Narrow" w:cs="Times New Roman"/>
                <w:snapToGrid/>
                <w:sz w:val="20"/>
                <w:szCs w:val="20"/>
              </w:rPr>
              <w:t>9 (25), [11, 39]</w:t>
            </w:r>
          </w:p>
        </w:tc>
      </w:tr>
      <w:tr w:rsidR="00F73A15" w:rsidRPr="00B74BA2" w:rsidTr="003A1711">
        <w:tc>
          <w:tcPr>
            <w:tcW w:w="1088" w:type="pct"/>
            <w:vAlign w:val="center"/>
          </w:tcPr>
          <w:p w:rsidR="00F73A15" w:rsidRPr="00B74BA2" w:rsidRDefault="00F73A15" w:rsidP="0091423A">
            <w:pPr>
              <w:keepNext/>
              <w:keepLines/>
              <w:widowControl/>
              <w:jc w:val="left"/>
              <w:rPr>
                <w:rFonts w:ascii="Arial Narrow" w:hAnsi="Arial Narrow" w:cs="Times New Roman"/>
                <w:snapToGrid/>
                <w:sz w:val="20"/>
                <w:szCs w:val="20"/>
              </w:rPr>
            </w:pPr>
            <w:r w:rsidRPr="00B74BA2">
              <w:rPr>
                <w:rFonts w:ascii="Arial Narrow" w:hAnsi="Arial Narrow" w:cs="Times New Roman"/>
                <w:snapToGrid/>
                <w:sz w:val="20"/>
                <w:szCs w:val="20"/>
              </w:rPr>
              <w:t>Stable Disease, n (%), [95%CI]</w:t>
            </w:r>
          </w:p>
        </w:tc>
        <w:tc>
          <w:tcPr>
            <w:tcW w:w="1057" w:type="pct"/>
          </w:tcPr>
          <w:p w:rsidR="00F73A15" w:rsidRPr="00B74BA2" w:rsidRDefault="00F73A15" w:rsidP="0091423A">
            <w:pPr>
              <w:keepNext/>
              <w:keepLines/>
              <w:widowControl/>
              <w:jc w:val="center"/>
              <w:rPr>
                <w:rFonts w:ascii="Arial Narrow" w:hAnsi="Arial Narrow" w:cs="Times New Roman"/>
                <w:snapToGrid/>
                <w:sz w:val="20"/>
                <w:szCs w:val="20"/>
              </w:rPr>
            </w:pPr>
            <w:r w:rsidRPr="00B74BA2">
              <w:rPr>
                <w:rFonts w:ascii="Arial Narrow" w:hAnsi="Arial Narrow" w:cs="Times New Roman"/>
                <w:snapToGrid/>
                <w:sz w:val="20"/>
                <w:szCs w:val="20"/>
              </w:rPr>
              <w:t>5 (23.8) [8.2, 47.2]</w:t>
            </w:r>
          </w:p>
        </w:tc>
        <w:tc>
          <w:tcPr>
            <w:tcW w:w="1012" w:type="pct"/>
          </w:tcPr>
          <w:p w:rsidR="00F73A15" w:rsidRPr="00B74BA2" w:rsidRDefault="00F73A15" w:rsidP="0091423A">
            <w:pPr>
              <w:pStyle w:val="Tabletext"/>
              <w:keepNext/>
              <w:keepLines/>
              <w:jc w:val="center"/>
              <w:rPr>
                <w:szCs w:val="20"/>
              </w:rPr>
            </w:pPr>
            <w:r w:rsidRPr="00B74BA2">
              <w:rPr>
                <w:szCs w:val="20"/>
              </w:rPr>
              <w:t>1 (9.1),</w:t>
            </w:r>
          </w:p>
          <w:p w:rsidR="00F73A15" w:rsidRPr="00B74BA2" w:rsidRDefault="00F73A15" w:rsidP="0091423A">
            <w:pPr>
              <w:keepNext/>
              <w:keepLines/>
              <w:widowControl/>
              <w:jc w:val="center"/>
              <w:rPr>
                <w:rFonts w:ascii="Arial Narrow" w:hAnsi="Arial Narrow" w:cs="Times New Roman"/>
                <w:snapToGrid/>
                <w:sz w:val="20"/>
                <w:szCs w:val="20"/>
              </w:rPr>
            </w:pPr>
            <w:r w:rsidRPr="00B74BA2">
              <w:rPr>
                <w:rFonts w:ascii="Arial Narrow" w:hAnsi="Arial Narrow"/>
                <w:sz w:val="20"/>
                <w:szCs w:val="20"/>
              </w:rPr>
              <w:t>[0.2, 41.3]</w:t>
            </w:r>
          </w:p>
        </w:tc>
        <w:tc>
          <w:tcPr>
            <w:tcW w:w="1102" w:type="pct"/>
          </w:tcPr>
          <w:p w:rsidR="00F73A15" w:rsidRPr="00B74BA2" w:rsidRDefault="00F73A15" w:rsidP="0091423A">
            <w:pPr>
              <w:keepNext/>
              <w:keepLines/>
              <w:widowControl/>
              <w:jc w:val="center"/>
              <w:rPr>
                <w:rFonts w:ascii="Arial Narrow" w:hAnsi="Arial Narrow" w:cs="Times New Roman"/>
                <w:snapToGrid/>
                <w:sz w:val="20"/>
                <w:szCs w:val="20"/>
              </w:rPr>
            </w:pPr>
            <w:r w:rsidRPr="00B74BA2">
              <w:rPr>
                <w:rFonts w:ascii="Arial Narrow" w:hAnsi="Arial Narrow" w:cs="Times New Roman"/>
                <w:snapToGrid/>
                <w:sz w:val="20"/>
                <w:szCs w:val="20"/>
              </w:rPr>
              <w:t xml:space="preserve">5 (9.4), </w:t>
            </w:r>
          </w:p>
          <w:p w:rsidR="00F73A15" w:rsidRPr="00B74BA2" w:rsidRDefault="00F73A15" w:rsidP="0091423A">
            <w:pPr>
              <w:keepNext/>
              <w:keepLines/>
              <w:widowControl/>
              <w:jc w:val="center"/>
              <w:rPr>
                <w:rFonts w:ascii="Arial Narrow" w:hAnsi="Arial Narrow" w:cs="Times New Roman"/>
                <w:snapToGrid/>
                <w:sz w:val="20"/>
                <w:szCs w:val="20"/>
              </w:rPr>
            </w:pPr>
            <w:r w:rsidRPr="00B74BA2">
              <w:rPr>
                <w:rFonts w:ascii="Arial Narrow" w:hAnsi="Arial Narrow" w:cs="Times New Roman"/>
                <w:snapToGrid/>
                <w:sz w:val="20"/>
                <w:szCs w:val="20"/>
              </w:rPr>
              <w:t xml:space="preserve">[3.1, 20.7]    </w:t>
            </w:r>
          </w:p>
        </w:tc>
        <w:tc>
          <w:tcPr>
            <w:tcW w:w="742" w:type="pct"/>
          </w:tcPr>
          <w:p w:rsidR="00F73A15" w:rsidRPr="00B74BA2" w:rsidRDefault="00F73A15" w:rsidP="0091423A">
            <w:pPr>
              <w:keepNext/>
              <w:keepLines/>
              <w:widowControl/>
              <w:jc w:val="center"/>
              <w:rPr>
                <w:rFonts w:ascii="Arial Narrow" w:hAnsi="Arial Narrow"/>
                <w:sz w:val="20"/>
                <w:szCs w:val="20"/>
              </w:rPr>
            </w:pPr>
            <w:r w:rsidRPr="00B74BA2">
              <w:rPr>
                <w:rFonts w:ascii="Arial Narrow" w:hAnsi="Arial Narrow"/>
                <w:sz w:val="20"/>
                <w:szCs w:val="20"/>
              </w:rPr>
              <w:t xml:space="preserve">5 (14), [NR]  </w:t>
            </w:r>
          </w:p>
        </w:tc>
      </w:tr>
      <w:tr w:rsidR="00F73A15" w:rsidRPr="00B74BA2" w:rsidTr="003A1711">
        <w:tc>
          <w:tcPr>
            <w:tcW w:w="1088" w:type="pct"/>
            <w:vAlign w:val="center"/>
          </w:tcPr>
          <w:p w:rsidR="00F73A15" w:rsidRPr="00B74BA2" w:rsidRDefault="00F73A15" w:rsidP="0091423A">
            <w:pPr>
              <w:keepNext/>
              <w:keepLines/>
              <w:widowControl/>
              <w:jc w:val="left"/>
              <w:rPr>
                <w:rFonts w:ascii="Arial Narrow" w:hAnsi="Arial Narrow" w:cs="Times New Roman"/>
                <w:b/>
                <w:snapToGrid/>
                <w:sz w:val="20"/>
                <w:szCs w:val="20"/>
              </w:rPr>
            </w:pPr>
            <w:r w:rsidRPr="00B74BA2">
              <w:rPr>
                <w:rFonts w:ascii="Arial Narrow" w:hAnsi="Arial Narrow" w:cs="Times New Roman"/>
                <w:snapToGrid/>
                <w:sz w:val="20"/>
                <w:szCs w:val="20"/>
              </w:rPr>
              <w:t>Progressive disease, n (%), [95%CI]</w:t>
            </w:r>
          </w:p>
        </w:tc>
        <w:tc>
          <w:tcPr>
            <w:tcW w:w="1057" w:type="pct"/>
          </w:tcPr>
          <w:p w:rsidR="00F73A15" w:rsidRPr="00B74BA2" w:rsidRDefault="00F73A15" w:rsidP="0091423A">
            <w:pPr>
              <w:keepNext/>
              <w:keepLines/>
              <w:widowControl/>
              <w:jc w:val="center"/>
              <w:rPr>
                <w:rFonts w:ascii="Arial Narrow" w:hAnsi="Arial Narrow" w:cs="Times New Roman"/>
                <w:snapToGrid/>
                <w:sz w:val="20"/>
                <w:szCs w:val="20"/>
              </w:rPr>
            </w:pPr>
            <w:r w:rsidRPr="00B74BA2">
              <w:rPr>
                <w:rFonts w:ascii="Arial Narrow" w:hAnsi="Arial Narrow" w:cs="Times New Roman"/>
                <w:snapToGrid/>
                <w:sz w:val="20"/>
                <w:szCs w:val="20"/>
              </w:rPr>
              <w:t>4 (19) [5.4, 41.9]</w:t>
            </w:r>
          </w:p>
        </w:tc>
        <w:tc>
          <w:tcPr>
            <w:tcW w:w="1012" w:type="pct"/>
          </w:tcPr>
          <w:p w:rsidR="00F73A15" w:rsidRPr="00B74BA2" w:rsidRDefault="00F73A15" w:rsidP="0091423A">
            <w:pPr>
              <w:pStyle w:val="Tabletext"/>
              <w:keepNext/>
              <w:keepLines/>
              <w:jc w:val="center"/>
              <w:rPr>
                <w:szCs w:val="20"/>
              </w:rPr>
            </w:pPr>
            <w:r w:rsidRPr="00B74BA2">
              <w:rPr>
                <w:szCs w:val="20"/>
              </w:rPr>
              <w:t>3 (27.3),</w:t>
            </w:r>
          </w:p>
          <w:p w:rsidR="00F73A15" w:rsidRPr="00B74BA2" w:rsidRDefault="00F73A15" w:rsidP="0091423A">
            <w:pPr>
              <w:keepNext/>
              <w:keepLines/>
              <w:widowControl/>
              <w:jc w:val="center"/>
              <w:rPr>
                <w:rFonts w:ascii="Arial Narrow" w:hAnsi="Arial Narrow" w:cs="Times New Roman"/>
                <w:snapToGrid/>
                <w:sz w:val="20"/>
                <w:szCs w:val="20"/>
              </w:rPr>
            </w:pPr>
            <w:r w:rsidRPr="00B74BA2">
              <w:rPr>
                <w:rFonts w:ascii="Arial Narrow" w:hAnsi="Arial Narrow"/>
                <w:sz w:val="20"/>
                <w:szCs w:val="20"/>
              </w:rPr>
              <w:t>[6.0, 61.0]</w:t>
            </w:r>
          </w:p>
        </w:tc>
        <w:tc>
          <w:tcPr>
            <w:tcW w:w="1102" w:type="pct"/>
          </w:tcPr>
          <w:p w:rsidR="00F73A15" w:rsidRPr="00B74BA2" w:rsidRDefault="00F73A15" w:rsidP="0091423A">
            <w:pPr>
              <w:keepNext/>
              <w:keepLines/>
              <w:widowControl/>
              <w:jc w:val="center"/>
              <w:rPr>
                <w:rFonts w:ascii="Arial Narrow" w:hAnsi="Arial Narrow" w:cs="Times New Roman"/>
                <w:snapToGrid/>
                <w:sz w:val="20"/>
                <w:szCs w:val="20"/>
              </w:rPr>
            </w:pPr>
            <w:r w:rsidRPr="00B74BA2">
              <w:rPr>
                <w:rFonts w:ascii="Arial Narrow" w:hAnsi="Arial Narrow" w:cs="Times New Roman"/>
                <w:snapToGrid/>
                <w:sz w:val="20"/>
                <w:szCs w:val="20"/>
              </w:rPr>
              <w:t xml:space="preserve">12 (22.6), </w:t>
            </w:r>
          </w:p>
          <w:p w:rsidR="00F73A15" w:rsidRPr="00B74BA2" w:rsidRDefault="00F73A15" w:rsidP="0091423A">
            <w:pPr>
              <w:keepNext/>
              <w:keepLines/>
              <w:widowControl/>
              <w:jc w:val="center"/>
              <w:rPr>
                <w:rFonts w:ascii="Arial Narrow" w:hAnsi="Arial Narrow" w:cs="Times New Roman"/>
                <w:snapToGrid/>
                <w:sz w:val="20"/>
                <w:szCs w:val="20"/>
              </w:rPr>
            </w:pPr>
            <w:r w:rsidRPr="00B74BA2">
              <w:rPr>
                <w:rFonts w:ascii="Arial Narrow" w:hAnsi="Arial Narrow" w:cs="Times New Roman"/>
                <w:snapToGrid/>
                <w:sz w:val="20"/>
                <w:szCs w:val="20"/>
              </w:rPr>
              <w:t>[12.3, 36.2]</w:t>
            </w:r>
          </w:p>
        </w:tc>
        <w:tc>
          <w:tcPr>
            <w:tcW w:w="742" w:type="pct"/>
          </w:tcPr>
          <w:p w:rsidR="00F73A15" w:rsidRPr="00B74BA2" w:rsidRDefault="00F73A15" w:rsidP="0091423A">
            <w:pPr>
              <w:keepNext/>
              <w:keepLines/>
              <w:widowControl/>
              <w:jc w:val="center"/>
              <w:rPr>
                <w:rFonts w:ascii="Arial Narrow" w:hAnsi="Arial Narrow" w:cs="Times New Roman"/>
                <w:snapToGrid/>
                <w:sz w:val="20"/>
                <w:szCs w:val="20"/>
              </w:rPr>
            </w:pPr>
            <w:r w:rsidRPr="00B74BA2">
              <w:rPr>
                <w:rFonts w:ascii="Arial Narrow" w:hAnsi="Arial Narrow" w:cs="Times New Roman"/>
                <w:snapToGrid/>
                <w:sz w:val="20"/>
                <w:szCs w:val="20"/>
              </w:rPr>
              <w:t>22 (61), [NR]</w:t>
            </w:r>
          </w:p>
        </w:tc>
      </w:tr>
      <w:tr w:rsidR="00F73A15" w:rsidRPr="00B74BA2" w:rsidTr="003A1711">
        <w:tc>
          <w:tcPr>
            <w:tcW w:w="1088" w:type="pct"/>
            <w:vAlign w:val="center"/>
          </w:tcPr>
          <w:p w:rsidR="00F73A15" w:rsidRPr="00B74BA2" w:rsidRDefault="00F73A15" w:rsidP="0091423A">
            <w:pPr>
              <w:keepNext/>
              <w:keepLines/>
              <w:widowControl/>
              <w:jc w:val="left"/>
              <w:rPr>
                <w:rFonts w:ascii="Arial Narrow" w:hAnsi="Arial Narrow" w:cs="Times New Roman"/>
                <w:b/>
                <w:snapToGrid/>
                <w:sz w:val="20"/>
                <w:szCs w:val="20"/>
              </w:rPr>
            </w:pPr>
            <w:r w:rsidRPr="00B74BA2">
              <w:rPr>
                <w:rFonts w:ascii="Arial Narrow" w:hAnsi="Arial Narrow" w:cs="Times New Roman"/>
                <w:snapToGrid/>
                <w:sz w:val="20"/>
                <w:szCs w:val="20"/>
              </w:rPr>
              <w:t>Non-evaluable, n (%), [95%CI]</w:t>
            </w:r>
          </w:p>
        </w:tc>
        <w:tc>
          <w:tcPr>
            <w:tcW w:w="1057" w:type="pct"/>
          </w:tcPr>
          <w:p w:rsidR="00F73A15" w:rsidRPr="00B74BA2" w:rsidRDefault="00F73A15" w:rsidP="0091423A">
            <w:pPr>
              <w:keepNext/>
              <w:keepLines/>
              <w:widowControl/>
              <w:jc w:val="center"/>
              <w:rPr>
                <w:rFonts w:ascii="Arial Narrow" w:hAnsi="Arial Narrow" w:cs="Times New Roman"/>
                <w:snapToGrid/>
                <w:sz w:val="20"/>
                <w:szCs w:val="20"/>
              </w:rPr>
            </w:pPr>
            <w:r w:rsidRPr="00B74BA2">
              <w:rPr>
                <w:rFonts w:ascii="Arial Narrow" w:hAnsi="Arial Narrow" w:cs="Times New Roman"/>
                <w:snapToGrid/>
                <w:sz w:val="20"/>
                <w:szCs w:val="20"/>
              </w:rPr>
              <w:t>1 (4.8) [0.1, 23.8]</w:t>
            </w:r>
          </w:p>
        </w:tc>
        <w:tc>
          <w:tcPr>
            <w:tcW w:w="1012" w:type="pct"/>
          </w:tcPr>
          <w:p w:rsidR="00F73A15" w:rsidRPr="00B74BA2" w:rsidRDefault="00F73A15" w:rsidP="0091423A">
            <w:pPr>
              <w:pStyle w:val="Tabletext"/>
              <w:keepNext/>
              <w:keepLines/>
              <w:jc w:val="center"/>
              <w:rPr>
                <w:szCs w:val="20"/>
              </w:rPr>
            </w:pPr>
            <w:r w:rsidRPr="00B74BA2">
              <w:rPr>
                <w:szCs w:val="20"/>
              </w:rPr>
              <w:t>1 (9.1),</w:t>
            </w:r>
          </w:p>
          <w:p w:rsidR="00F73A15" w:rsidRPr="00B74BA2" w:rsidRDefault="00F73A15" w:rsidP="0091423A">
            <w:pPr>
              <w:keepNext/>
              <w:keepLines/>
              <w:widowControl/>
              <w:jc w:val="center"/>
              <w:rPr>
                <w:rFonts w:ascii="Arial Narrow" w:hAnsi="Arial Narrow" w:cs="Times New Roman"/>
                <w:snapToGrid/>
                <w:sz w:val="20"/>
                <w:szCs w:val="20"/>
              </w:rPr>
            </w:pPr>
            <w:r w:rsidRPr="00B74BA2">
              <w:rPr>
                <w:rFonts w:ascii="Arial Narrow" w:hAnsi="Arial Narrow"/>
                <w:sz w:val="20"/>
                <w:szCs w:val="20"/>
              </w:rPr>
              <w:t>[0.2, 41.3]</w:t>
            </w:r>
          </w:p>
        </w:tc>
        <w:tc>
          <w:tcPr>
            <w:tcW w:w="1102" w:type="pct"/>
          </w:tcPr>
          <w:p w:rsidR="00F73A15" w:rsidRPr="00B74BA2" w:rsidRDefault="00F73A15" w:rsidP="0091423A">
            <w:pPr>
              <w:keepNext/>
              <w:keepLines/>
              <w:widowControl/>
              <w:jc w:val="center"/>
              <w:rPr>
                <w:rFonts w:ascii="Arial Narrow" w:hAnsi="Arial Narrow" w:cs="Times New Roman"/>
                <w:snapToGrid/>
                <w:sz w:val="20"/>
                <w:szCs w:val="20"/>
              </w:rPr>
            </w:pPr>
            <w:r w:rsidRPr="00B74BA2">
              <w:rPr>
                <w:rFonts w:ascii="Arial Narrow" w:hAnsi="Arial Narrow" w:cs="Times New Roman"/>
                <w:snapToGrid/>
                <w:sz w:val="20"/>
                <w:szCs w:val="20"/>
              </w:rPr>
              <w:t xml:space="preserve">12 (22.6), </w:t>
            </w:r>
          </w:p>
          <w:p w:rsidR="00F73A15" w:rsidRPr="00B74BA2" w:rsidRDefault="00F73A15" w:rsidP="0091423A">
            <w:pPr>
              <w:keepNext/>
              <w:keepLines/>
              <w:widowControl/>
              <w:jc w:val="center"/>
              <w:rPr>
                <w:rFonts w:ascii="Arial Narrow" w:hAnsi="Arial Narrow" w:cs="Times New Roman"/>
                <w:snapToGrid/>
                <w:sz w:val="20"/>
                <w:szCs w:val="20"/>
              </w:rPr>
            </w:pPr>
            <w:r w:rsidRPr="00B74BA2">
              <w:rPr>
                <w:rFonts w:ascii="Arial Narrow" w:hAnsi="Arial Narrow" w:cs="Times New Roman"/>
                <w:snapToGrid/>
                <w:sz w:val="20"/>
                <w:szCs w:val="20"/>
              </w:rPr>
              <w:t xml:space="preserve">[12.3, 36.2]  </w:t>
            </w:r>
          </w:p>
        </w:tc>
        <w:tc>
          <w:tcPr>
            <w:tcW w:w="742" w:type="pct"/>
          </w:tcPr>
          <w:p w:rsidR="00F73A15" w:rsidRPr="00B74BA2" w:rsidRDefault="00F73A15" w:rsidP="0091423A">
            <w:pPr>
              <w:keepNext/>
              <w:keepLines/>
              <w:widowControl/>
              <w:jc w:val="center"/>
              <w:rPr>
                <w:rFonts w:ascii="Arial Narrow" w:hAnsi="Arial Narrow" w:cs="Times New Roman"/>
                <w:snapToGrid/>
                <w:sz w:val="20"/>
                <w:szCs w:val="20"/>
              </w:rPr>
            </w:pPr>
            <w:r w:rsidRPr="00B74BA2">
              <w:rPr>
                <w:rFonts w:ascii="Arial Narrow" w:hAnsi="Arial Narrow" w:cs="Times New Roman"/>
                <w:snapToGrid/>
                <w:sz w:val="20"/>
                <w:szCs w:val="20"/>
              </w:rPr>
              <w:t xml:space="preserve">1 (3), [NR]  </w:t>
            </w:r>
          </w:p>
        </w:tc>
      </w:tr>
      <w:tr w:rsidR="00F73A15" w:rsidRPr="00B74BA2" w:rsidTr="003A1711">
        <w:tc>
          <w:tcPr>
            <w:tcW w:w="1088" w:type="pct"/>
            <w:vAlign w:val="center"/>
          </w:tcPr>
          <w:p w:rsidR="00F73A15" w:rsidRPr="00B74BA2" w:rsidRDefault="00F73A15" w:rsidP="0091423A">
            <w:pPr>
              <w:keepNext/>
              <w:keepLines/>
              <w:widowControl/>
              <w:jc w:val="left"/>
              <w:rPr>
                <w:rFonts w:ascii="Arial Narrow" w:hAnsi="Arial Narrow" w:cs="Times New Roman"/>
                <w:snapToGrid/>
                <w:sz w:val="20"/>
                <w:szCs w:val="20"/>
              </w:rPr>
            </w:pPr>
            <w:r w:rsidRPr="00B74BA2">
              <w:rPr>
                <w:rFonts w:ascii="Arial Narrow" w:hAnsi="Arial Narrow" w:cs="Times New Roman"/>
                <w:snapToGrid/>
                <w:sz w:val="20"/>
                <w:szCs w:val="20"/>
              </w:rPr>
              <w:t>No Assessment, n (%), [95%CI]</w:t>
            </w:r>
          </w:p>
        </w:tc>
        <w:tc>
          <w:tcPr>
            <w:tcW w:w="1057" w:type="pct"/>
          </w:tcPr>
          <w:p w:rsidR="00F73A15" w:rsidRPr="00B74BA2" w:rsidRDefault="00F73A15" w:rsidP="0091423A">
            <w:pPr>
              <w:keepNext/>
              <w:keepLines/>
              <w:widowControl/>
              <w:jc w:val="center"/>
              <w:rPr>
                <w:rFonts w:ascii="Arial Narrow" w:hAnsi="Arial Narrow" w:cs="Times New Roman"/>
                <w:snapToGrid/>
                <w:sz w:val="20"/>
                <w:szCs w:val="20"/>
              </w:rPr>
            </w:pPr>
            <w:r w:rsidRPr="00B74BA2">
              <w:rPr>
                <w:rFonts w:ascii="Arial Narrow" w:hAnsi="Arial Narrow" w:cs="Times New Roman"/>
                <w:snapToGrid/>
                <w:sz w:val="20"/>
                <w:szCs w:val="20"/>
              </w:rPr>
              <w:t>1 (4.8) [0.1, 23.8]</w:t>
            </w:r>
          </w:p>
        </w:tc>
        <w:tc>
          <w:tcPr>
            <w:tcW w:w="1012" w:type="pct"/>
          </w:tcPr>
          <w:p w:rsidR="00F73A15" w:rsidRPr="00B74BA2" w:rsidRDefault="00F73A15" w:rsidP="0091423A">
            <w:pPr>
              <w:pStyle w:val="Tabletext"/>
              <w:keepNext/>
              <w:keepLines/>
              <w:jc w:val="center"/>
              <w:rPr>
                <w:szCs w:val="20"/>
              </w:rPr>
            </w:pPr>
            <w:r w:rsidRPr="00B74BA2">
              <w:rPr>
                <w:szCs w:val="20"/>
              </w:rPr>
              <w:t>1 (9.1),</w:t>
            </w:r>
          </w:p>
          <w:p w:rsidR="00F73A15" w:rsidRPr="00B74BA2" w:rsidRDefault="00F73A15" w:rsidP="0091423A">
            <w:pPr>
              <w:keepNext/>
              <w:keepLines/>
              <w:widowControl/>
              <w:jc w:val="center"/>
              <w:rPr>
                <w:rFonts w:ascii="Arial Narrow" w:hAnsi="Arial Narrow" w:cs="Times New Roman"/>
                <w:snapToGrid/>
                <w:sz w:val="20"/>
                <w:szCs w:val="20"/>
              </w:rPr>
            </w:pPr>
            <w:r w:rsidRPr="00B74BA2">
              <w:rPr>
                <w:rFonts w:ascii="Arial Narrow" w:hAnsi="Arial Narrow"/>
                <w:sz w:val="20"/>
                <w:szCs w:val="20"/>
              </w:rPr>
              <w:t>[0.2, 41.3]</w:t>
            </w:r>
          </w:p>
        </w:tc>
        <w:tc>
          <w:tcPr>
            <w:tcW w:w="1102" w:type="pct"/>
          </w:tcPr>
          <w:p w:rsidR="00F73A15" w:rsidRPr="00B74BA2" w:rsidRDefault="00F73A15" w:rsidP="0091423A">
            <w:pPr>
              <w:keepNext/>
              <w:keepLines/>
              <w:widowControl/>
              <w:jc w:val="center"/>
              <w:rPr>
                <w:rFonts w:ascii="Arial Narrow" w:hAnsi="Arial Narrow" w:cs="Times New Roman"/>
                <w:snapToGrid/>
                <w:sz w:val="20"/>
                <w:szCs w:val="20"/>
              </w:rPr>
            </w:pPr>
            <w:r w:rsidRPr="00B74BA2">
              <w:rPr>
                <w:rFonts w:ascii="Arial Narrow" w:hAnsi="Arial Narrow" w:cs="Times New Roman"/>
                <w:snapToGrid/>
                <w:sz w:val="20"/>
                <w:szCs w:val="20"/>
              </w:rPr>
              <w:t xml:space="preserve">0, [0.0, 6.7]   </w:t>
            </w:r>
          </w:p>
        </w:tc>
        <w:tc>
          <w:tcPr>
            <w:tcW w:w="742" w:type="pct"/>
          </w:tcPr>
          <w:p w:rsidR="00F73A15" w:rsidRPr="00B74BA2" w:rsidRDefault="00F73A15" w:rsidP="0091423A">
            <w:pPr>
              <w:keepNext/>
              <w:keepLines/>
              <w:widowControl/>
              <w:jc w:val="center"/>
              <w:rPr>
                <w:rFonts w:ascii="Arial Narrow" w:hAnsi="Arial Narrow" w:cs="Times New Roman"/>
                <w:snapToGrid/>
                <w:sz w:val="20"/>
                <w:szCs w:val="20"/>
              </w:rPr>
            </w:pPr>
            <w:r w:rsidRPr="00B74BA2">
              <w:rPr>
                <w:rFonts w:ascii="Arial Narrow" w:hAnsi="Arial Narrow" w:cs="Times New Roman"/>
                <w:snapToGrid/>
                <w:sz w:val="20"/>
                <w:szCs w:val="20"/>
              </w:rPr>
              <w:t>NA</w:t>
            </w:r>
          </w:p>
        </w:tc>
      </w:tr>
    </w:tbl>
    <w:p w:rsidR="005D4DB8" w:rsidRPr="00B74BA2" w:rsidRDefault="005D4DB8" w:rsidP="0091423A">
      <w:pPr>
        <w:keepNext/>
        <w:keepLines/>
        <w:widowControl/>
        <w:rPr>
          <w:rFonts w:ascii="Arial Narrow" w:hAnsi="Arial Narrow"/>
          <w:sz w:val="20"/>
        </w:rPr>
      </w:pPr>
      <w:r w:rsidRPr="00B74BA2">
        <w:rPr>
          <w:rFonts w:ascii="Arial Narrow" w:hAnsi="Arial Narrow"/>
          <w:sz w:val="18"/>
        </w:rPr>
        <w:t>Source: Table 2.6-1, p58, of the submission.</w:t>
      </w:r>
    </w:p>
    <w:p w:rsidR="005D4DB8" w:rsidRPr="00B74BA2" w:rsidRDefault="005D4DB8" w:rsidP="00110E3A">
      <w:pPr>
        <w:keepNext/>
        <w:keepLines/>
        <w:widowControl/>
        <w:spacing w:after="240"/>
        <w:rPr>
          <w:rFonts w:ascii="Arial Narrow" w:eastAsia="Calibri" w:hAnsi="Arial Narrow"/>
          <w:sz w:val="18"/>
        </w:rPr>
      </w:pPr>
      <w:r w:rsidRPr="00B74BA2">
        <w:rPr>
          <w:rFonts w:ascii="Arial Narrow" w:eastAsia="Calibri" w:hAnsi="Arial Narrow"/>
          <w:sz w:val="18"/>
        </w:rPr>
        <w:t>Abbreviations: CI = confidence interval; CR = complete response; n = number of participants with event; N = total participants in group; NA = not applicable; NR = not reported; ORR = overall response rate; PR = partial response; SOC = standard of care.</w:t>
      </w:r>
    </w:p>
    <w:p w:rsidR="00812BC9" w:rsidRPr="00B74BA2" w:rsidRDefault="00812BC9" w:rsidP="00F2263C">
      <w:pPr>
        <w:pStyle w:val="ListParagraph"/>
        <w:widowControl/>
        <w:numPr>
          <w:ilvl w:val="1"/>
          <w:numId w:val="1"/>
        </w:numPr>
      </w:pPr>
      <w:r w:rsidRPr="00B74BA2">
        <w:t xml:space="preserve">The submission claimed that based on the response rate, pembrolizumab offers patients a chance for cure, serving as a potential bridge to ASCT or allogeneic stem cell transplant (SCT). </w:t>
      </w:r>
      <w:r w:rsidR="00887692">
        <w:t>T</w:t>
      </w:r>
      <w:r w:rsidR="00633DDD" w:rsidRPr="00B74BA2">
        <w:t xml:space="preserve">he ESC considered that a key goal of treatment of relapsed/refractory PMBCL is to get patients to allogeneic SCT which may be curative in some patients. </w:t>
      </w:r>
      <w:r w:rsidR="00CE4FDC" w:rsidRPr="00B74BA2">
        <w:t>The ESC noted that</w:t>
      </w:r>
      <w:r w:rsidR="0075354A" w:rsidRPr="00B74BA2">
        <w:t xml:space="preserve"> </w:t>
      </w:r>
      <w:r w:rsidR="00CE4FDC" w:rsidRPr="00B74BA2">
        <w:t>a total of f</w:t>
      </w:r>
      <w:r w:rsidR="000152D6" w:rsidRPr="00B74BA2">
        <w:t>ive</w:t>
      </w:r>
      <w:r w:rsidR="00CE4FDC" w:rsidRPr="00B74BA2">
        <w:t xml:space="preserve"> (</w:t>
      </w:r>
      <w:r w:rsidR="000152D6" w:rsidRPr="00B74BA2">
        <w:t>7</w:t>
      </w:r>
      <w:r w:rsidR="00CE4FDC" w:rsidRPr="00B74BA2">
        <w:t>%) patients proceeded to allogeneic SCT after receiving pembrolizumab</w:t>
      </w:r>
      <w:r w:rsidR="00324A1A" w:rsidRPr="00B74BA2">
        <w:t>, as shown in Table 6</w:t>
      </w:r>
      <w:r w:rsidR="0075354A" w:rsidRPr="00B74BA2">
        <w:t>.</w:t>
      </w:r>
      <w:r w:rsidRPr="00B74BA2">
        <w:t xml:space="preserve"> </w:t>
      </w:r>
    </w:p>
    <w:p w:rsidR="00812BC9" w:rsidRPr="00B74BA2" w:rsidRDefault="00633DDD" w:rsidP="00F2263C">
      <w:pPr>
        <w:pStyle w:val="ListParagraph"/>
        <w:widowControl/>
        <w:numPr>
          <w:ilvl w:val="1"/>
          <w:numId w:val="1"/>
        </w:numPr>
      </w:pPr>
      <w:r w:rsidRPr="00B74BA2">
        <w:t>The ESC noted that t</w:t>
      </w:r>
      <w:r w:rsidR="00812BC9" w:rsidRPr="00B74BA2">
        <w:t xml:space="preserve">he number of patients who underwent allogeneic SCT was not reported in </w:t>
      </w:r>
      <w:r w:rsidR="00CE4FDC" w:rsidRPr="00B74BA2">
        <w:t xml:space="preserve">the publication of </w:t>
      </w:r>
      <w:proofErr w:type="spellStart"/>
      <w:r w:rsidR="00812BC9" w:rsidRPr="00B74BA2">
        <w:t>Kuruvilla</w:t>
      </w:r>
      <w:proofErr w:type="spellEnd"/>
      <w:r w:rsidR="00812BC9" w:rsidRPr="00B74BA2">
        <w:t xml:space="preserve"> 2008</w:t>
      </w:r>
      <w:r w:rsidRPr="00B74BA2">
        <w:t xml:space="preserve">, but </w:t>
      </w:r>
      <w:r w:rsidR="00812BC9" w:rsidRPr="00B74BA2">
        <w:t>8 patients</w:t>
      </w:r>
      <w:r w:rsidRPr="00B74BA2">
        <w:t xml:space="preserve"> (</w:t>
      </w:r>
      <w:r w:rsidR="00812BC9" w:rsidRPr="00B74BA2">
        <w:t>22%</w:t>
      </w:r>
      <w:r w:rsidRPr="00B74BA2">
        <w:t>)</w:t>
      </w:r>
      <w:r w:rsidR="00812BC9" w:rsidRPr="00B74BA2">
        <w:t xml:space="preserve"> underwent autologous SCT</w:t>
      </w:r>
      <w:r w:rsidRPr="00B74BA2">
        <w:t xml:space="preserve"> </w:t>
      </w:r>
      <w:r w:rsidR="0075354A" w:rsidRPr="00B74BA2">
        <w:t>post-</w:t>
      </w:r>
      <w:r w:rsidRPr="00B74BA2">
        <w:t xml:space="preserve">treatment. </w:t>
      </w:r>
      <w:r w:rsidR="00CE4FDC" w:rsidRPr="00B74BA2">
        <w:t>The ESC considered that it would have been informative to compare the number of patients who underwent allogeneic SCT post-treatment, if such data were available.</w:t>
      </w:r>
      <w:r w:rsidR="000F2CD5" w:rsidRPr="00B74BA2">
        <w:t xml:space="preserve"> However the ESC noted the potential limitations of such a comparison, including changes in SCT practices between 1995-2004 (when </w:t>
      </w:r>
      <w:proofErr w:type="spellStart"/>
      <w:r w:rsidR="000F2CD5" w:rsidRPr="00B74BA2">
        <w:t>Kuruvilla</w:t>
      </w:r>
      <w:proofErr w:type="spellEnd"/>
      <w:r w:rsidR="000F2CD5" w:rsidRPr="00B74BA2">
        <w:t xml:space="preserve"> was conducted) and 2014-</w:t>
      </w:r>
      <w:r w:rsidR="005617DF">
        <w:t>20</w:t>
      </w:r>
      <w:r w:rsidR="000F2CD5" w:rsidRPr="00B74BA2">
        <w:t>17 (when the KN studies of pembrolizumab were conducted).</w:t>
      </w:r>
    </w:p>
    <w:p w:rsidR="006E1A11" w:rsidRPr="00B74BA2" w:rsidRDefault="006E1A11" w:rsidP="0091423A">
      <w:pPr>
        <w:keepNext/>
        <w:keepLines/>
        <w:widowControl/>
        <w:rPr>
          <w:rStyle w:val="CommentReference"/>
        </w:rPr>
      </w:pPr>
      <w:r w:rsidRPr="00B74BA2">
        <w:rPr>
          <w:rStyle w:val="CommentReference"/>
        </w:rPr>
        <w:lastRenderedPageBreak/>
        <w:t xml:space="preserve">Table 6: Number of SCTs post-treatment </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977"/>
        <w:gridCol w:w="1844"/>
        <w:gridCol w:w="1906"/>
      </w:tblGrid>
      <w:tr w:rsidR="006E1A11" w:rsidRPr="00B74BA2" w:rsidTr="0075354A">
        <w:trPr>
          <w:tblHeader/>
        </w:trPr>
        <w:tc>
          <w:tcPr>
            <w:tcW w:w="1319" w:type="pct"/>
            <w:vMerge w:val="restart"/>
            <w:vAlign w:val="center"/>
          </w:tcPr>
          <w:p w:rsidR="006E1A11" w:rsidRPr="00B74BA2" w:rsidRDefault="006E1A11" w:rsidP="0091423A">
            <w:pPr>
              <w:keepNext/>
              <w:keepLines/>
              <w:widowControl/>
              <w:jc w:val="left"/>
              <w:rPr>
                <w:rFonts w:ascii="Arial Narrow" w:hAnsi="Arial Narrow" w:cs="Times New Roman"/>
                <w:b/>
                <w:snapToGrid/>
                <w:sz w:val="20"/>
                <w:szCs w:val="20"/>
              </w:rPr>
            </w:pPr>
            <w:r w:rsidRPr="00B74BA2">
              <w:rPr>
                <w:rFonts w:ascii="Arial Narrow" w:hAnsi="Arial Narrow" w:cs="Times New Roman"/>
                <w:b/>
                <w:snapToGrid/>
                <w:sz w:val="20"/>
                <w:szCs w:val="20"/>
              </w:rPr>
              <w:t>Outcome/Trial ID</w:t>
            </w:r>
          </w:p>
        </w:tc>
        <w:tc>
          <w:tcPr>
            <w:tcW w:w="2638" w:type="pct"/>
            <w:gridSpan w:val="2"/>
            <w:vAlign w:val="center"/>
          </w:tcPr>
          <w:p w:rsidR="006E1A11" w:rsidRPr="00B74BA2" w:rsidRDefault="006E1A11" w:rsidP="0091423A">
            <w:pPr>
              <w:keepNext/>
              <w:keepLines/>
              <w:widowControl/>
              <w:jc w:val="center"/>
              <w:rPr>
                <w:rFonts w:ascii="Arial Narrow" w:hAnsi="Arial Narrow" w:cs="Times New Roman"/>
                <w:b/>
                <w:snapToGrid/>
                <w:sz w:val="20"/>
                <w:szCs w:val="20"/>
              </w:rPr>
            </w:pPr>
            <w:r w:rsidRPr="00B74BA2">
              <w:rPr>
                <w:rFonts w:ascii="Arial Narrow" w:hAnsi="Arial Narrow" w:cs="Times New Roman"/>
                <w:b/>
                <w:snapToGrid/>
                <w:sz w:val="20"/>
                <w:szCs w:val="20"/>
              </w:rPr>
              <w:t>Pembrolizumab</w:t>
            </w:r>
          </w:p>
        </w:tc>
        <w:tc>
          <w:tcPr>
            <w:tcW w:w="1043" w:type="pct"/>
            <w:vMerge w:val="restart"/>
          </w:tcPr>
          <w:p w:rsidR="006E1A11" w:rsidRPr="00B74BA2" w:rsidRDefault="006E1A11" w:rsidP="0091423A">
            <w:pPr>
              <w:keepNext/>
              <w:keepLines/>
              <w:widowControl/>
              <w:jc w:val="center"/>
              <w:rPr>
                <w:rFonts w:ascii="Arial Narrow" w:hAnsi="Arial Narrow" w:cs="Times New Roman"/>
                <w:b/>
                <w:snapToGrid/>
                <w:sz w:val="20"/>
                <w:szCs w:val="20"/>
              </w:rPr>
            </w:pPr>
            <w:r w:rsidRPr="00B74BA2">
              <w:rPr>
                <w:rFonts w:ascii="Arial Narrow" w:hAnsi="Arial Narrow" w:cs="Times New Roman"/>
                <w:b/>
                <w:snapToGrid/>
                <w:sz w:val="20"/>
                <w:szCs w:val="20"/>
              </w:rPr>
              <w:t>SOC</w:t>
            </w:r>
          </w:p>
          <w:p w:rsidR="006E1A11" w:rsidRPr="00B74BA2" w:rsidRDefault="006E1A11" w:rsidP="0091423A">
            <w:pPr>
              <w:keepNext/>
              <w:keepLines/>
              <w:widowControl/>
              <w:jc w:val="center"/>
              <w:rPr>
                <w:rFonts w:ascii="Arial Narrow" w:hAnsi="Arial Narrow" w:cs="Times New Roman"/>
                <w:b/>
                <w:snapToGrid/>
                <w:sz w:val="20"/>
                <w:szCs w:val="20"/>
              </w:rPr>
            </w:pPr>
            <w:r w:rsidRPr="00B74BA2">
              <w:rPr>
                <w:rFonts w:ascii="Arial Narrow" w:hAnsi="Arial Narrow" w:cs="Times New Roman"/>
                <w:b/>
                <w:snapToGrid/>
                <w:sz w:val="20"/>
                <w:szCs w:val="20"/>
              </w:rPr>
              <w:t>(</w:t>
            </w:r>
            <w:proofErr w:type="spellStart"/>
            <w:r w:rsidRPr="00B74BA2">
              <w:rPr>
                <w:rFonts w:ascii="Arial Narrow" w:hAnsi="Arial Narrow" w:cs="Times New Roman"/>
                <w:b/>
                <w:snapToGrid/>
                <w:sz w:val="20"/>
                <w:szCs w:val="20"/>
              </w:rPr>
              <w:t>Kuruvilla</w:t>
            </w:r>
            <w:proofErr w:type="spellEnd"/>
            <w:r w:rsidRPr="00B74BA2">
              <w:rPr>
                <w:rFonts w:ascii="Arial Narrow" w:hAnsi="Arial Narrow" w:cs="Times New Roman"/>
                <w:b/>
                <w:snapToGrid/>
                <w:sz w:val="20"/>
                <w:szCs w:val="20"/>
              </w:rPr>
              <w:t xml:space="preserve"> 2008)</w:t>
            </w:r>
          </w:p>
          <w:p w:rsidR="006E1A11" w:rsidRPr="00B74BA2" w:rsidRDefault="006E1A11" w:rsidP="0091423A">
            <w:pPr>
              <w:keepNext/>
              <w:keepLines/>
              <w:widowControl/>
              <w:jc w:val="center"/>
              <w:rPr>
                <w:rFonts w:ascii="Arial Narrow" w:hAnsi="Arial Narrow" w:cs="Times New Roman"/>
                <w:b/>
                <w:snapToGrid/>
                <w:sz w:val="20"/>
                <w:szCs w:val="20"/>
              </w:rPr>
            </w:pPr>
            <w:r w:rsidRPr="00B74BA2">
              <w:rPr>
                <w:rFonts w:ascii="Arial Narrow" w:hAnsi="Arial Narrow" w:cs="Times New Roman"/>
                <w:b/>
                <w:snapToGrid/>
                <w:sz w:val="20"/>
                <w:szCs w:val="20"/>
              </w:rPr>
              <w:t>N = 37</w:t>
            </w:r>
          </w:p>
        </w:tc>
      </w:tr>
      <w:tr w:rsidR="006E1A11" w:rsidRPr="00B74BA2" w:rsidTr="0075354A">
        <w:trPr>
          <w:trHeight w:val="70"/>
          <w:tblHeader/>
        </w:trPr>
        <w:tc>
          <w:tcPr>
            <w:tcW w:w="1319" w:type="pct"/>
            <w:vMerge/>
            <w:vAlign w:val="center"/>
          </w:tcPr>
          <w:p w:rsidR="006E1A11" w:rsidRPr="00B74BA2" w:rsidRDefault="006E1A11" w:rsidP="0091423A">
            <w:pPr>
              <w:keepNext/>
              <w:keepLines/>
              <w:widowControl/>
              <w:jc w:val="left"/>
              <w:rPr>
                <w:rFonts w:ascii="Arial Narrow" w:hAnsi="Arial Narrow" w:cs="Times New Roman"/>
                <w:b/>
                <w:snapToGrid/>
                <w:sz w:val="20"/>
                <w:szCs w:val="20"/>
              </w:rPr>
            </w:pPr>
          </w:p>
        </w:tc>
        <w:tc>
          <w:tcPr>
            <w:tcW w:w="1629" w:type="pct"/>
            <w:vAlign w:val="center"/>
          </w:tcPr>
          <w:p w:rsidR="006E1A11" w:rsidRPr="00B74BA2" w:rsidRDefault="006E1A11" w:rsidP="0091423A">
            <w:pPr>
              <w:keepNext/>
              <w:keepLines/>
              <w:widowControl/>
              <w:jc w:val="center"/>
              <w:rPr>
                <w:rFonts w:ascii="Arial Narrow" w:hAnsi="Arial Narrow" w:cs="Times New Roman"/>
                <w:b/>
                <w:snapToGrid/>
                <w:sz w:val="20"/>
                <w:szCs w:val="20"/>
              </w:rPr>
            </w:pPr>
            <w:r w:rsidRPr="00B74BA2">
              <w:rPr>
                <w:rFonts w:ascii="Arial Narrow" w:hAnsi="Arial Narrow" w:cs="Times New Roman"/>
                <w:b/>
                <w:snapToGrid/>
                <w:sz w:val="20"/>
                <w:szCs w:val="20"/>
              </w:rPr>
              <w:t>KN013 (both dose groups)</w:t>
            </w:r>
          </w:p>
          <w:p w:rsidR="006E1A11" w:rsidRPr="00B74BA2" w:rsidRDefault="006E1A11" w:rsidP="0091423A">
            <w:pPr>
              <w:keepNext/>
              <w:keepLines/>
              <w:widowControl/>
              <w:jc w:val="center"/>
              <w:rPr>
                <w:rFonts w:ascii="Arial Narrow" w:hAnsi="Arial Narrow" w:cs="Times New Roman"/>
                <w:b/>
                <w:snapToGrid/>
                <w:sz w:val="20"/>
                <w:szCs w:val="20"/>
              </w:rPr>
            </w:pPr>
            <w:r w:rsidRPr="00B74BA2">
              <w:rPr>
                <w:rFonts w:ascii="Arial Narrow" w:hAnsi="Arial Narrow" w:cs="Times New Roman"/>
                <w:b/>
                <w:snapToGrid/>
                <w:sz w:val="20"/>
                <w:szCs w:val="20"/>
              </w:rPr>
              <w:t>N = 21</w:t>
            </w:r>
          </w:p>
        </w:tc>
        <w:tc>
          <w:tcPr>
            <w:tcW w:w="1009" w:type="pct"/>
            <w:vAlign w:val="center"/>
          </w:tcPr>
          <w:p w:rsidR="006E1A11" w:rsidRPr="00B74BA2" w:rsidRDefault="006E1A11" w:rsidP="0091423A">
            <w:pPr>
              <w:keepNext/>
              <w:keepLines/>
              <w:widowControl/>
              <w:jc w:val="center"/>
              <w:rPr>
                <w:rFonts w:ascii="Arial Narrow" w:hAnsi="Arial Narrow" w:cs="Times New Roman"/>
                <w:b/>
                <w:snapToGrid/>
                <w:sz w:val="20"/>
                <w:szCs w:val="20"/>
              </w:rPr>
            </w:pPr>
            <w:r w:rsidRPr="00B74BA2">
              <w:rPr>
                <w:rFonts w:ascii="Arial Narrow" w:hAnsi="Arial Narrow" w:cs="Times New Roman"/>
                <w:b/>
                <w:snapToGrid/>
                <w:sz w:val="20"/>
                <w:szCs w:val="20"/>
              </w:rPr>
              <w:t>KN170</w:t>
            </w:r>
          </w:p>
          <w:p w:rsidR="006E1A11" w:rsidRPr="00B74BA2" w:rsidRDefault="006E1A11" w:rsidP="0091423A">
            <w:pPr>
              <w:keepNext/>
              <w:keepLines/>
              <w:widowControl/>
              <w:jc w:val="center"/>
              <w:rPr>
                <w:rFonts w:ascii="Arial Narrow" w:hAnsi="Arial Narrow" w:cs="Times New Roman"/>
                <w:b/>
                <w:snapToGrid/>
                <w:sz w:val="20"/>
                <w:szCs w:val="20"/>
              </w:rPr>
            </w:pPr>
            <w:r w:rsidRPr="00B74BA2">
              <w:rPr>
                <w:rFonts w:ascii="Arial Narrow" w:hAnsi="Arial Narrow" w:cs="Times New Roman"/>
                <w:b/>
                <w:snapToGrid/>
                <w:sz w:val="20"/>
                <w:szCs w:val="20"/>
              </w:rPr>
              <w:t>N = 53</w:t>
            </w:r>
          </w:p>
        </w:tc>
        <w:tc>
          <w:tcPr>
            <w:tcW w:w="1043" w:type="pct"/>
            <w:vMerge/>
          </w:tcPr>
          <w:p w:rsidR="006E1A11" w:rsidRPr="00B74BA2" w:rsidRDefault="006E1A11" w:rsidP="0091423A">
            <w:pPr>
              <w:keepNext/>
              <w:keepLines/>
              <w:widowControl/>
              <w:jc w:val="center"/>
              <w:rPr>
                <w:rFonts w:ascii="Arial Narrow" w:hAnsi="Arial Narrow" w:cs="Times New Roman"/>
                <w:b/>
                <w:snapToGrid/>
                <w:sz w:val="20"/>
                <w:szCs w:val="20"/>
              </w:rPr>
            </w:pPr>
          </w:p>
        </w:tc>
      </w:tr>
      <w:tr w:rsidR="006E1A11" w:rsidRPr="00B74BA2" w:rsidTr="0075354A">
        <w:tc>
          <w:tcPr>
            <w:tcW w:w="1319" w:type="pct"/>
            <w:vAlign w:val="center"/>
          </w:tcPr>
          <w:p w:rsidR="006E1A11" w:rsidRPr="00B74BA2" w:rsidRDefault="006E1A11" w:rsidP="0091423A">
            <w:pPr>
              <w:keepNext/>
              <w:keepLines/>
              <w:widowControl/>
              <w:jc w:val="left"/>
              <w:rPr>
                <w:rFonts w:ascii="Arial Narrow" w:hAnsi="Arial Narrow" w:cs="Times New Roman"/>
                <w:snapToGrid/>
                <w:sz w:val="20"/>
                <w:szCs w:val="20"/>
              </w:rPr>
            </w:pPr>
            <w:r w:rsidRPr="00B74BA2">
              <w:rPr>
                <w:rFonts w:ascii="Arial Narrow" w:hAnsi="Arial Narrow" w:cs="Times New Roman"/>
                <w:snapToGrid/>
                <w:sz w:val="20"/>
                <w:szCs w:val="20"/>
              </w:rPr>
              <w:t>Allogeneic SCT</w:t>
            </w:r>
            <w:r w:rsidR="0075354A" w:rsidRPr="00B74BA2">
              <w:rPr>
                <w:rFonts w:ascii="Arial Narrow" w:hAnsi="Arial Narrow" w:cs="Times New Roman"/>
                <w:snapToGrid/>
                <w:sz w:val="20"/>
                <w:szCs w:val="20"/>
              </w:rPr>
              <w:t>, n (%)</w:t>
            </w:r>
          </w:p>
        </w:tc>
        <w:tc>
          <w:tcPr>
            <w:tcW w:w="1629" w:type="pct"/>
          </w:tcPr>
          <w:p w:rsidR="006E1A11" w:rsidRPr="00132A6D" w:rsidRDefault="00132A6D" w:rsidP="0091423A">
            <w:pPr>
              <w:keepNext/>
              <w:keepLines/>
              <w:widowControl/>
              <w:jc w:val="center"/>
              <w:rPr>
                <w:rFonts w:ascii="Arial Narrow" w:hAnsi="Arial Narrow" w:cs="Times New Roman"/>
                <w:snapToGrid/>
                <w:sz w:val="20"/>
                <w:szCs w:val="20"/>
                <w:highlight w:val="black"/>
              </w:rPr>
            </w:pPr>
            <w:r>
              <w:rPr>
                <w:rFonts w:ascii="Arial Narrow" w:hAnsi="Arial Narrow" w:cs="Times New Roman"/>
                <w:noProof/>
                <w:snapToGrid/>
                <w:color w:val="000000"/>
                <w:sz w:val="20"/>
                <w:szCs w:val="20"/>
                <w:highlight w:val="black"/>
              </w:rPr>
              <w:t>''' '''''''''''''</w:t>
            </w:r>
          </w:p>
        </w:tc>
        <w:tc>
          <w:tcPr>
            <w:tcW w:w="1009" w:type="pct"/>
          </w:tcPr>
          <w:p w:rsidR="006E1A11" w:rsidRPr="00132A6D" w:rsidRDefault="00132A6D" w:rsidP="0091423A">
            <w:pPr>
              <w:keepNext/>
              <w:keepLines/>
              <w:widowControl/>
              <w:jc w:val="center"/>
              <w:rPr>
                <w:rFonts w:ascii="Arial Narrow" w:hAnsi="Arial Narrow" w:cs="Times New Roman"/>
                <w:snapToGrid/>
                <w:sz w:val="20"/>
                <w:szCs w:val="20"/>
                <w:highlight w:val="black"/>
                <w:vertAlign w:val="superscript"/>
              </w:rPr>
            </w:pPr>
            <w:r>
              <w:rPr>
                <w:rFonts w:ascii="Arial Narrow" w:hAnsi="Arial Narrow" w:cs="Times New Roman"/>
                <w:noProof/>
                <w:snapToGrid/>
                <w:color w:val="000000"/>
                <w:sz w:val="20"/>
                <w:szCs w:val="20"/>
                <w:highlight w:val="black"/>
              </w:rPr>
              <w:t>'''' '''''''''' ''''</w:t>
            </w:r>
          </w:p>
        </w:tc>
        <w:tc>
          <w:tcPr>
            <w:tcW w:w="1043" w:type="pct"/>
          </w:tcPr>
          <w:p w:rsidR="006E1A11" w:rsidRPr="00B74BA2" w:rsidRDefault="006E1A11" w:rsidP="0091423A">
            <w:pPr>
              <w:keepNext/>
              <w:keepLines/>
              <w:widowControl/>
              <w:jc w:val="center"/>
              <w:rPr>
                <w:rFonts w:ascii="Arial Narrow" w:hAnsi="Arial Narrow" w:cs="Times New Roman"/>
                <w:snapToGrid/>
                <w:sz w:val="20"/>
                <w:szCs w:val="20"/>
              </w:rPr>
            </w:pPr>
            <w:r w:rsidRPr="00B74BA2">
              <w:rPr>
                <w:rFonts w:ascii="Arial Narrow" w:hAnsi="Arial Narrow" w:cs="Times New Roman"/>
                <w:snapToGrid/>
                <w:sz w:val="20"/>
                <w:szCs w:val="20"/>
              </w:rPr>
              <w:t>NR</w:t>
            </w:r>
          </w:p>
        </w:tc>
      </w:tr>
      <w:tr w:rsidR="006E1A11" w:rsidRPr="00B74BA2" w:rsidTr="0075354A">
        <w:tc>
          <w:tcPr>
            <w:tcW w:w="1319" w:type="pct"/>
            <w:vAlign w:val="center"/>
          </w:tcPr>
          <w:p w:rsidR="006E1A11" w:rsidRPr="00B74BA2" w:rsidRDefault="006E1A11" w:rsidP="0091423A">
            <w:pPr>
              <w:keepNext/>
              <w:keepLines/>
              <w:widowControl/>
              <w:jc w:val="left"/>
              <w:rPr>
                <w:rFonts w:ascii="Arial Narrow" w:hAnsi="Arial Narrow" w:cs="Times New Roman"/>
                <w:snapToGrid/>
                <w:sz w:val="20"/>
                <w:szCs w:val="20"/>
              </w:rPr>
            </w:pPr>
            <w:r w:rsidRPr="00B74BA2">
              <w:rPr>
                <w:rFonts w:ascii="Arial Narrow" w:hAnsi="Arial Narrow" w:cs="Times New Roman"/>
                <w:snapToGrid/>
                <w:sz w:val="20"/>
                <w:szCs w:val="20"/>
              </w:rPr>
              <w:t>Autologous SCT</w:t>
            </w:r>
            <w:r w:rsidR="0075354A" w:rsidRPr="00B74BA2">
              <w:rPr>
                <w:rFonts w:ascii="Arial Narrow" w:hAnsi="Arial Narrow" w:cs="Times New Roman"/>
                <w:snapToGrid/>
                <w:sz w:val="20"/>
                <w:szCs w:val="20"/>
              </w:rPr>
              <w:t>, n (%)</w:t>
            </w:r>
          </w:p>
        </w:tc>
        <w:tc>
          <w:tcPr>
            <w:tcW w:w="1629" w:type="pct"/>
          </w:tcPr>
          <w:p w:rsidR="006E1A11" w:rsidRPr="00132A6D" w:rsidRDefault="00132A6D" w:rsidP="0091423A">
            <w:pPr>
              <w:keepNext/>
              <w:keepLines/>
              <w:widowControl/>
              <w:jc w:val="center"/>
              <w:rPr>
                <w:rFonts w:ascii="Arial Narrow" w:hAnsi="Arial Narrow" w:cs="Times New Roman"/>
                <w:snapToGrid/>
                <w:sz w:val="20"/>
                <w:szCs w:val="20"/>
                <w:highlight w:val="black"/>
              </w:rPr>
            </w:pPr>
            <w:r>
              <w:rPr>
                <w:rFonts w:ascii="Arial Narrow" w:hAnsi="Arial Narrow" w:cs="Times New Roman"/>
                <w:noProof/>
                <w:snapToGrid/>
                <w:color w:val="000000"/>
                <w:sz w:val="20"/>
                <w:szCs w:val="20"/>
                <w:highlight w:val="black"/>
              </w:rPr>
              <w:t xml:space="preserve">''' '''''''''''' </w:t>
            </w:r>
          </w:p>
        </w:tc>
        <w:tc>
          <w:tcPr>
            <w:tcW w:w="1009" w:type="pct"/>
          </w:tcPr>
          <w:p w:rsidR="006E1A11" w:rsidRPr="00132A6D" w:rsidRDefault="00132A6D" w:rsidP="0091423A">
            <w:pPr>
              <w:keepNext/>
              <w:keepLines/>
              <w:widowControl/>
              <w:jc w:val="center"/>
              <w:rPr>
                <w:rFonts w:ascii="Arial Narrow" w:hAnsi="Arial Narrow" w:cs="Times New Roman"/>
                <w:snapToGrid/>
                <w:sz w:val="20"/>
                <w:szCs w:val="20"/>
                <w:highlight w:val="black"/>
              </w:rPr>
            </w:pPr>
            <w:r>
              <w:rPr>
                <w:rFonts w:ascii="Arial Narrow" w:hAnsi="Arial Narrow" w:cs="Times New Roman"/>
                <w:noProof/>
                <w:snapToGrid/>
                <w:color w:val="000000"/>
                <w:sz w:val="20"/>
                <w:szCs w:val="20"/>
                <w:highlight w:val="black"/>
              </w:rPr>
              <w:t>''' ''''''''''</w:t>
            </w:r>
          </w:p>
        </w:tc>
        <w:tc>
          <w:tcPr>
            <w:tcW w:w="1043" w:type="pct"/>
          </w:tcPr>
          <w:p w:rsidR="006E1A11" w:rsidRPr="00B74BA2" w:rsidRDefault="006E1A11" w:rsidP="0091423A">
            <w:pPr>
              <w:keepNext/>
              <w:keepLines/>
              <w:widowControl/>
              <w:jc w:val="center"/>
              <w:rPr>
                <w:rFonts w:ascii="Arial Narrow" w:hAnsi="Arial Narrow" w:cs="Times New Roman"/>
                <w:snapToGrid/>
                <w:sz w:val="20"/>
                <w:szCs w:val="20"/>
              </w:rPr>
            </w:pPr>
            <w:r w:rsidRPr="00B74BA2">
              <w:rPr>
                <w:rFonts w:ascii="Arial Narrow" w:hAnsi="Arial Narrow" w:cs="Times New Roman"/>
                <w:snapToGrid/>
                <w:sz w:val="20"/>
                <w:szCs w:val="20"/>
              </w:rPr>
              <w:t>8 (22%)</w:t>
            </w:r>
          </w:p>
        </w:tc>
      </w:tr>
      <w:tr w:rsidR="006E1A11" w:rsidRPr="00B74BA2" w:rsidTr="0075354A">
        <w:tc>
          <w:tcPr>
            <w:tcW w:w="1319" w:type="pct"/>
            <w:vAlign w:val="center"/>
          </w:tcPr>
          <w:p w:rsidR="006E1A11" w:rsidRPr="00B74BA2" w:rsidRDefault="006E1A11" w:rsidP="0091423A">
            <w:pPr>
              <w:keepNext/>
              <w:keepLines/>
              <w:widowControl/>
              <w:jc w:val="left"/>
              <w:rPr>
                <w:rFonts w:ascii="Arial Narrow" w:hAnsi="Arial Narrow" w:cs="Times New Roman"/>
                <w:snapToGrid/>
                <w:sz w:val="20"/>
                <w:szCs w:val="20"/>
              </w:rPr>
            </w:pPr>
            <w:r w:rsidRPr="00B74BA2">
              <w:rPr>
                <w:rFonts w:ascii="Arial Narrow" w:hAnsi="Arial Narrow" w:cs="Times New Roman"/>
                <w:snapToGrid/>
                <w:sz w:val="20"/>
                <w:szCs w:val="20"/>
              </w:rPr>
              <w:t>Total SCT</w:t>
            </w:r>
            <w:r w:rsidR="0075354A" w:rsidRPr="00B74BA2">
              <w:rPr>
                <w:rFonts w:ascii="Arial Narrow" w:hAnsi="Arial Narrow" w:cs="Times New Roman"/>
                <w:snapToGrid/>
                <w:sz w:val="20"/>
                <w:szCs w:val="20"/>
              </w:rPr>
              <w:t>, n (%)</w:t>
            </w:r>
          </w:p>
        </w:tc>
        <w:tc>
          <w:tcPr>
            <w:tcW w:w="1629" w:type="pct"/>
          </w:tcPr>
          <w:p w:rsidR="006E1A11" w:rsidRPr="00132A6D" w:rsidRDefault="00132A6D" w:rsidP="0091423A">
            <w:pPr>
              <w:keepNext/>
              <w:keepLines/>
              <w:widowControl/>
              <w:jc w:val="center"/>
              <w:rPr>
                <w:rFonts w:ascii="Arial Narrow" w:hAnsi="Arial Narrow" w:cs="Times New Roman"/>
                <w:snapToGrid/>
                <w:sz w:val="20"/>
                <w:szCs w:val="20"/>
                <w:highlight w:val="black"/>
              </w:rPr>
            </w:pPr>
            <w:r>
              <w:rPr>
                <w:rFonts w:ascii="Arial Narrow" w:hAnsi="Arial Narrow" w:cs="Times New Roman"/>
                <w:noProof/>
                <w:snapToGrid/>
                <w:color w:val="000000"/>
                <w:sz w:val="20"/>
                <w:szCs w:val="20"/>
                <w:highlight w:val="black"/>
              </w:rPr>
              <w:t>''' '''''''''''''</w:t>
            </w:r>
          </w:p>
        </w:tc>
        <w:tc>
          <w:tcPr>
            <w:tcW w:w="1009" w:type="pct"/>
          </w:tcPr>
          <w:p w:rsidR="006E1A11" w:rsidRPr="00132A6D" w:rsidRDefault="00132A6D" w:rsidP="0091423A">
            <w:pPr>
              <w:keepNext/>
              <w:keepLines/>
              <w:widowControl/>
              <w:jc w:val="center"/>
              <w:rPr>
                <w:rFonts w:ascii="Arial Narrow" w:hAnsi="Arial Narrow" w:cs="Times New Roman"/>
                <w:snapToGrid/>
                <w:sz w:val="20"/>
                <w:szCs w:val="20"/>
                <w:highlight w:val="black"/>
              </w:rPr>
            </w:pPr>
            <w:r>
              <w:rPr>
                <w:rFonts w:ascii="Arial Narrow" w:hAnsi="Arial Narrow" w:cs="Times New Roman"/>
                <w:noProof/>
                <w:snapToGrid/>
                <w:color w:val="000000"/>
                <w:sz w:val="20"/>
                <w:szCs w:val="20"/>
                <w:highlight w:val="black"/>
              </w:rPr>
              <w:t>'''' ''''''''''''</w:t>
            </w:r>
          </w:p>
        </w:tc>
        <w:tc>
          <w:tcPr>
            <w:tcW w:w="1043" w:type="pct"/>
          </w:tcPr>
          <w:p w:rsidR="006E1A11" w:rsidRPr="00B74BA2" w:rsidRDefault="006E1A11" w:rsidP="0091423A">
            <w:pPr>
              <w:keepNext/>
              <w:keepLines/>
              <w:widowControl/>
              <w:jc w:val="center"/>
              <w:rPr>
                <w:rFonts w:ascii="Arial Narrow" w:hAnsi="Arial Narrow" w:cs="Times New Roman"/>
                <w:snapToGrid/>
                <w:sz w:val="20"/>
                <w:szCs w:val="20"/>
              </w:rPr>
            </w:pPr>
            <w:r w:rsidRPr="00B74BA2">
              <w:rPr>
                <w:rFonts w:ascii="Arial Narrow" w:hAnsi="Arial Narrow" w:cs="Times New Roman"/>
                <w:snapToGrid/>
                <w:sz w:val="20"/>
                <w:szCs w:val="20"/>
              </w:rPr>
              <w:t>NR</w:t>
            </w:r>
          </w:p>
        </w:tc>
      </w:tr>
    </w:tbl>
    <w:p w:rsidR="006E1A11" w:rsidRPr="00B74BA2" w:rsidRDefault="006E1A11" w:rsidP="0091423A">
      <w:pPr>
        <w:keepNext/>
        <w:keepLines/>
        <w:widowControl/>
        <w:rPr>
          <w:rFonts w:ascii="Arial Narrow" w:hAnsi="Arial Narrow"/>
          <w:sz w:val="20"/>
        </w:rPr>
      </w:pPr>
      <w:r w:rsidRPr="00B74BA2">
        <w:rPr>
          <w:rFonts w:ascii="Arial Narrow" w:hAnsi="Arial Narrow"/>
          <w:sz w:val="18"/>
        </w:rPr>
        <w:t xml:space="preserve">Source: </w:t>
      </w:r>
      <w:r w:rsidR="000152D6" w:rsidRPr="00B74BA2">
        <w:rPr>
          <w:rFonts w:ascii="Arial Narrow" w:hAnsi="Arial Narrow"/>
          <w:sz w:val="18"/>
        </w:rPr>
        <w:t xml:space="preserve">Section 2.1.4.4.3, </w:t>
      </w:r>
      <w:r w:rsidR="000152D6" w:rsidRPr="00B74BA2">
        <w:rPr>
          <w:rFonts w:ascii="Arial Narrow" w:eastAsia="Calibri" w:hAnsi="Arial Narrow"/>
          <w:sz w:val="18"/>
        </w:rPr>
        <w:t>page 26 of KN170 and KN013 safety summary;</w:t>
      </w:r>
      <w:r w:rsidR="000152D6" w:rsidRPr="00B74BA2">
        <w:rPr>
          <w:rFonts w:ascii="Arial Narrow" w:hAnsi="Arial Narrow"/>
          <w:sz w:val="18"/>
        </w:rPr>
        <w:t xml:space="preserve"> </w:t>
      </w:r>
      <w:r w:rsidRPr="00B74BA2">
        <w:rPr>
          <w:rFonts w:ascii="Arial Narrow" w:hAnsi="Arial Narrow"/>
          <w:sz w:val="18"/>
        </w:rPr>
        <w:t xml:space="preserve">Table </w:t>
      </w:r>
      <w:r w:rsidR="0075354A" w:rsidRPr="00B74BA2">
        <w:rPr>
          <w:rFonts w:ascii="Arial Narrow" w:hAnsi="Arial Narrow"/>
          <w:sz w:val="18"/>
        </w:rPr>
        <w:t xml:space="preserve">14.3-18, p 221 of KN013 CSR; Table II, p1333 of </w:t>
      </w:r>
      <w:proofErr w:type="spellStart"/>
      <w:r w:rsidR="0075354A" w:rsidRPr="00B74BA2">
        <w:rPr>
          <w:rFonts w:ascii="Arial Narrow" w:hAnsi="Arial Narrow"/>
          <w:sz w:val="18"/>
        </w:rPr>
        <w:t>Kuruvilla</w:t>
      </w:r>
      <w:proofErr w:type="spellEnd"/>
      <w:r w:rsidR="0075354A" w:rsidRPr="00B74BA2">
        <w:rPr>
          <w:rFonts w:ascii="Arial Narrow" w:hAnsi="Arial Narrow"/>
          <w:sz w:val="18"/>
        </w:rPr>
        <w:t xml:space="preserve"> 2008</w:t>
      </w:r>
      <w:r w:rsidRPr="00B74BA2">
        <w:rPr>
          <w:rFonts w:ascii="Arial Narrow" w:hAnsi="Arial Narrow"/>
          <w:sz w:val="18"/>
        </w:rPr>
        <w:t>.</w:t>
      </w:r>
    </w:p>
    <w:p w:rsidR="006E1A11" w:rsidRPr="00B74BA2" w:rsidRDefault="006E1A11" w:rsidP="0091423A">
      <w:pPr>
        <w:keepNext/>
        <w:keepLines/>
        <w:widowControl/>
        <w:rPr>
          <w:rFonts w:ascii="Arial Narrow" w:eastAsia="Calibri" w:hAnsi="Arial Narrow"/>
          <w:sz w:val="18"/>
        </w:rPr>
      </w:pPr>
      <w:r w:rsidRPr="00B74BA2">
        <w:rPr>
          <w:rFonts w:ascii="Arial Narrow" w:eastAsia="Calibri" w:hAnsi="Arial Narrow"/>
          <w:sz w:val="18"/>
        </w:rPr>
        <w:t xml:space="preserve">Abbreviations:  n = number of participants with event; N = total participants in group; NR = not reported; </w:t>
      </w:r>
      <w:r w:rsidR="0075354A" w:rsidRPr="00B74BA2">
        <w:rPr>
          <w:rFonts w:ascii="Arial Narrow" w:eastAsia="Calibri" w:hAnsi="Arial Narrow"/>
          <w:sz w:val="18"/>
        </w:rPr>
        <w:t xml:space="preserve">SCT = stem cell therapy; </w:t>
      </w:r>
      <w:r w:rsidRPr="00B74BA2">
        <w:rPr>
          <w:rFonts w:ascii="Arial Narrow" w:eastAsia="Calibri" w:hAnsi="Arial Narrow"/>
          <w:sz w:val="18"/>
        </w:rPr>
        <w:t>SOC = standard of care.</w:t>
      </w:r>
    </w:p>
    <w:p w:rsidR="006E1A11" w:rsidRPr="00B74BA2" w:rsidRDefault="0075354A" w:rsidP="00110E3A">
      <w:pPr>
        <w:keepNext/>
        <w:keepLines/>
        <w:widowControl/>
        <w:spacing w:after="240"/>
        <w:rPr>
          <w:rFonts w:ascii="Arial Narrow" w:eastAsia="Calibri" w:hAnsi="Arial Narrow"/>
          <w:sz w:val="18"/>
        </w:rPr>
      </w:pPr>
      <w:proofErr w:type="gramStart"/>
      <w:r w:rsidRPr="00B74BA2">
        <w:rPr>
          <w:rFonts w:ascii="Arial Narrow" w:eastAsia="Calibri" w:hAnsi="Arial Narrow"/>
          <w:sz w:val="18"/>
          <w:vertAlign w:val="superscript"/>
        </w:rPr>
        <w:t>a</w:t>
      </w:r>
      <w:proofErr w:type="gramEnd"/>
      <w:r w:rsidRPr="00B74BA2">
        <w:rPr>
          <w:rFonts w:ascii="Arial Narrow" w:eastAsia="Calibri" w:hAnsi="Arial Narrow"/>
          <w:sz w:val="18"/>
        </w:rPr>
        <w:t xml:space="preserve"> As reported in 2.1.4.4.3, page 26 of KN170 and KN013 safety summary. </w:t>
      </w:r>
      <w:r w:rsidR="000152D6" w:rsidRPr="00B74BA2">
        <w:rPr>
          <w:rFonts w:ascii="Arial Narrow" w:eastAsia="Calibri" w:hAnsi="Arial Narrow"/>
          <w:sz w:val="18"/>
        </w:rPr>
        <w:t>The</w:t>
      </w:r>
      <w:r w:rsidRPr="00B74BA2">
        <w:rPr>
          <w:rFonts w:ascii="Arial Narrow" w:eastAsia="Calibri" w:hAnsi="Arial Narrow"/>
          <w:sz w:val="18"/>
        </w:rPr>
        <w:t xml:space="preserve"> </w:t>
      </w:r>
      <w:r w:rsidR="000152D6" w:rsidRPr="00B74BA2">
        <w:rPr>
          <w:rFonts w:ascii="Arial Narrow" w:eastAsia="Calibri" w:hAnsi="Arial Narrow"/>
          <w:sz w:val="18"/>
        </w:rPr>
        <w:t xml:space="preserve">safety summary noted that one of the patients was not previously reported in clinical study report. </w:t>
      </w:r>
    </w:p>
    <w:p w:rsidR="005617DF" w:rsidRPr="005617DF" w:rsidRDefault="005D4DB8" w:rsidP="005617DF">
      <w:pPr>
        <w:pStyle w:val="ListParagraph"/>
        <w:numPr>
          <w:ilvl w:val="1"/>
          <w:numId w:val="1"/>
        </w:numPr>
      </w:pPr>
      <w:r w:rsidRPr="00B74BA2">
        <w:t xml:space="preserve">The PFS results for KN013 and KN170 are presented in Table </w:t>
      </w:r>
      <w:r w:rsidR="0084031E" w:rsidRPr="00B74BA2">
        <w:t>7</w:t>
      </w:r>
      <w:r w:rsidRPr="00B74BA2">
        <w:t xml:space="preserve"> with the </w:t>
      </w:r>
      <w:r w:rsidR="00A47DA8" w:rsidRPr="00B74BA2">
        <w:t>Kaplan-</w:t>
      </w:r>
      <w:r w:rsidRPr="00B74BA2">
        <w:t>Meier data in Figure 1. The median follow-up in KN013 was 17.1 months, with a median PFS of 1</w:t>
      </w:r>
      <w:r w:rsidR="003C609E" w:rsidRPr="00B74BA2">
        <w:t>0</w:t>
      </w:r>
      <w:r w:rsidRPr="00B74BA2">
        <w:t xml:space="preserve">.4 months. In KN170 the median follow-up was 9.7 months, with a median PFS of 4.7 months [95% CI: 2.8; 11.00]. The </w:t>
      </w:r>
      <w:r w:rsidR="005617DF">
        <w:t xml:space="preserve">evaluation noted that the </w:t>
      </w:r>
      <w:r w:rsidRPr="00B74BA2">
        <w:t xml:space="preserve">PFS </w:t>
      </w:r>
      <w:r w:rsidR="005617DF">
        <w:t xml:space="preserve">results are difficult to interpret due to the </w:t>
      </w:r>
      <w:r w:rsidRPr="00B74BA2">
        <w:t>small sample size</w:t>
      </w:r>
      <w:r w:rsidR="005617DF">
        <w:t>s</w:t>
      </w:r>
      <w:r w:rsidRPr="00B74BA2">
        <w:t xml:space="preserve">. </w:t>
      </w:r>
      <w:r w:rsidR="005617DF" w:rsidRPr="005617DF">
        <w:t xml:space="preserve">The PBAC </w:t>
      </w:r>
      <w:r w:rsidR="005617DF">
        <w:t xml:space="preserve">further </w:t>
      </w:r>
      <w:r w:rsidR="005617DF" w:rsidRPr="005617DF">
        <w:t xml:space="preserve">noted that </w:t>
      </w:r>
      <w:r w:rsidR="005617DF">
        <w:t>there was</w:t>
      </w:r>
      <w:r w:rsidR="005617DF" w:rsidRPr="005617DF">
        <w:t xml:space="preserve"> a high degree of censoring in the PFS data for both studies</w:t>
      </w:r>
      <w:r w:rsidR="005617DF">
        <w:t>, which made the results difficult to interpret</w:t>
      </w:r>
      <w:r w:rsidR="005617DF" w:rsidRPr="005617DF">
        <w:t xml:space="preserve">. </w:t>
      </w:r>
    </w:p>
    <w:p w:rsidR="005D4DB8" w:rsidRPr="00B74BA2" w:rsidRDefault="005D4DB8" w:rsidP="0091423A">
      <w:pPr>
        <w:keepNext/>
        <w:keepLines/>
        <w:widowControl/>
        <w:rPr>
          <w:rStyle w:val="CommentReference"/>
        </w:rPr>
      </w:pPr>
      <w:r w:rsidRPr="00B74BA2">
        <w:rPr>
          <w:rStyle w:val="CommentReference"/>
        </w:rPr>
        <w:t xml:space="preserve">Table </w:t>
      </w:r>
      <w:r w:rsidR="0084031E" w:rsidRPr="00B74BA2">
        <w:rPr>
          <w:rStyle w:val="CommentReference"/>
        </w:rPr>
        <w:t>7</w:t>
      </w:r>
      <w:r w:rsidRPr="00B74BA2">
        <w:rPr>
          <w:rStyle w:val="CommentReference"/>
        </w:rPr>
        <w:t xml:space="preserve">: Summary of PFS outcomes in KN013 and KN170 </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8"/>
        <w:gridCol w:w="1632"/>
        <w:gridCol w:w="1904"/>
        <w:gridCol w:w="1902"/>
      </w:tblGrid>
      <w:tr w:rsidR="00313358" w:rsidRPr="00B74BA2" w:rsidTr="003A1711">
        <w:trPr>
          <w:tblHeader/>
        </w:trPr>
        <w:tc>
          <w:tcPr>
            <w:tcW w:w="2024" w:type="pct"/>
            <w:vAlign w:val="center"/>
          </w:tcPr>
          <w:p w:rsidR="00313358" w:rsidRPr="00B74BA2" w:rsidRDefault="00313358" w:rsidP="0091423A">
            <w:pPr>
              <w:keepNext/>
              <w:keepLines/>
              <w:widowControl/>
              <w:jc w:val="center"/>
              <w:rPr>
                <w:rFonts w:ascii="Arial Narrow" w:hAnsi="Arial Narrow" w:cs="Times New Roman"/>
                <w:b/>
                <w:snapToGrid/>
                <w:sz w:val="20"/>
                <w:szCs w:val="20"/>
              </w:rPr>
            </w:pPr>
          </w:p>
        </w:tc>
        <w:tc>
          <w:tcPr>
            <w:tcW w:w="1935" w:type="pct"/>
            <w:gridSpan w:val="2"/>
            <w:vAlign w:val="center"/>
          </w:tcPr>
          <w:p w:rsidR="00313358" w:rsidRPr="00B74BA2" w:rsidRDefault="00313358" w:rsidP="0091423A">
            <w:pPr>
              <w:keepNext/>
              <w:keepLines/>
              <w:widowControl/>
              <w:jc w:val="center"/>
              <w:rPr>
                <w:rFonts w:ascii="Arial Narrow" w:hAnsi="Arial Narrow" w:cs="Times New Roman"/>
                <w:b/>
                <w:snapToGrid/>
                <w:sz w:val="20"/>
                <w:szCs w:val="20"/>
              </w:rPr>
            </w:pPr>
            <w:r w:rsidRPr="00B74BA2">
              <w:rPr>
                <w:rFonts w:ascii="Arial Narrow" w:hAnsi="Arial Narrow" w:cs="Times New Roman"/>
                <w:b/>
                <w:snapToGrid/>
                <w:sz w:val="20"/>
                <w:szCs w:val="20"/>
              </w:rPr>
              <w:t>Pembrolizumab</w:t>
            </w:r>
          </w:p>
          <w:p w:rsidR="00313358" w:rsidRPr="00B74BA2" w:rsidRDefault="00313358" w:rsidP="0091423A">
            <w:pPr>
              <w:keepNext/>
              <w:keepLines/>
              <w:widowControl/>
              <w:jc w:val="center"/>
              <w:rPr>
                <w:rFonts w:ascii="Arial Narrow" w:hAnsi="Arial Narrow" w:cs="Times New Roman"/>
                <w:b/>
                <w:snapToGrid/>
                <w:sz w:val="20"/>
                <w:szCs w:val="20"/>
              </w:rPr>
            </w:pPr>
            <w:r w:rsidRPr="00B74BA2">
              <w:rPr>
                <w:rFonts w:ascii="Arial Narrow" w:hAnsi="Arial Narrow" w:cs="Times New Roman"/>
                <w:b/>
                <w:snapToGrid/>
                <w:sz w:val="20"/>
                <w:szCs w:val="20"/>
              </w:rPr>
              <w:t>KN013</w:t>
            </w:r>
          </w:p>
        </w:tc>
        <w:tc>
          <w:tcPr>
            <w:tcW w:w="1041" w:type="pct"/>
            <w:vMerge w:val="restart"/>
          </w:tcPr>
          <w:p w:rsidR="00313358" w:rsidRPr="00B74BA2" w:rsidRDefault="00313358" w:rsidP="0091423A">
            <w:pPr>
              <w:keepNext/>
              <w:keepLines/>
              <w:widowControl/>
              <w:jc w:val="center"/>
              <w:rPr>
                <w:rFonts w:ascii="Arial Narrow" w:hAnsi="Arial Narrow" w:cs="Times New Roman"/>
                <w:b/>
                <w:snapToGrid/>
                <w:sz w:val="20"/>
                <w:szCs w:val="20"/>
              </w:rPr>
            </w:pPr>
            <w:r w:rsidRPr="00B74BA2">
              <w:rPr>
                <w:rFonts w:ascii="Arial Narrow" w:hAnsi="Arial Narrow" w:cs="Times New Roman"/>
                <w:b/>
                <w:snapToGrid/>
                <w:sz w:val="20"/>
                <w:szCs w:val="20"/>
              </w:rPr>
              <w:t>Pembrolizumab</w:t>
            </w:r>
          </w:p>
          <w:p w:rsidR="00313358" w:rsidRPr="00B74BA2" w:rsidRDefault="00313358" w:rsidP="0091423A">
            <w:pPr>
              <w:keepNext/>
              <w:keepLines/>
              <w:widowControl/>
              <w:jc w:val="center"/>
              <w:rPr>
                <w:rFonts w:ascii="Arial Narrow" w:hAnsi="Arial Narrow" w:cs="Times New Roman"/>
                <w:b/>
                <w:snapToGrid/>
                <w:sz w:val="20"/>
                <w:szCs w:val="20"/>
              </w:rPr>
            </w:pPr>
            <w:r w:rsidRPr="00B74BA2">
              <w:rPr>
                <w:rFonts w:ascii="Arial Narrow" w:hAnsi="Arial Narrow" w:cs="Times New Roman"/>
                <w:b/>
                <w:snapToGrid/>
                <w:sz w:val="20"/>
                <w:szCs w:val="20"/>
              </w:rPr>
              <w:t>KN170</w:t>
            </w:r>
          </w:p>
          <w:p w:rsidR="00313358" w:rsidRPr="00B74BA2" w:rsidRDefault="00313358" w:rsidP="0091423A">
            <w:pPr>
              <w:keepNext/>
              <w:keepLines/>
              <w:widowControl/>
              <w:jc w:val="center"/>
              <w:rPr>
                <w:rFonts w:ascii="Arial Narrow" w:hAnsi="Arial Narrow" w:cs="Times New Roman"/>
                <w:b/>
                <w:snapToGrid/>
                <w:sz w:val="20"/>
                <w:szCs w:val="20"/>
              </w:rPr>
            </w:pPr>
            <w:r w:rsidRPr="00B74BA2">
              <w:rPr>
                <w:rFonts w:ascii="Arial Narrow" w:hAnsi="Arial Narrow" w:cs="Times New Roman"/>
                <w:b/>
                <w:snapToGrid/>
                <w:sz w:val="20"/>
                <w:szCs w:val="20"/>
              </w:rPr>
              <w:t>N = 53</w:t>
            </w:r>
          </w:p>
        </w:tc>
      </w:tr>
      <w:tr w:rsidR="00313358" w:rsidRPr="00B74BA2" w:rsidTr="003A1711">
        <w:trPr>
          <w:tblHeader/>
        </w:trPr>
        <w:tc>
          <w:tcPr>
            <w:tcW w:w="2024" w:type="pct"/>
            <w:vAlign w:val="center"/>
          </w:tcPr>
          <w:p w:rsidR="00313358" w:rsidRPr="00B74BA2" w:rsidRDefault="00313358" w:rsidP="0091423A">
            <w:pPr>
              <w:keepNext/>
              <w:keepLines/>
              <w:widowControl/>
              <w:jc w:val="center"/>
              <w:rPr>
                <w:rFonts w:ascii="Arial Narrow" w:hAnsi="Arial Narrow" w:cs="Times New Roman"/>
                <w:b/>
                <w:snapToGrid/>
                <w:sz w:val="20"/>
                <w:szCs w:val="20"/>
              </w:rPr>
            </w:pPr>
          </w:p>
        </w:tc>
        <w:tc>
          <w:tcPr>
            <w:tcW w:w="893" w:type="pct"/>
          </w:tcPr>
          <w:p w:rsidR="00313358" w:rsidRPr="00B74BA2" w:rsidRDefault="00313358" w:rsidP="0091423A">
            <w:pPr>
              <w:keepNext/>
              <w:keepLines/>
              <w:widowControl/>
              <w:jc w:val="center"/>
              <w:rPr>
                <w:rFonts w:ascii="Arial Narrow" w:hAnsi="Arial Narrow" w:cs="Times New Roman"/>
                <w:b/>
                <w:snapToGrid/>
                <w:sz w:val="20"/>
                <w:szCs w:val="20"/>
              </w:rPr>
            </w:pPr>
            <w:r w:rsidRPr="00B74BA2">
              <w:rPr>
                <w:rFonts w:ascii="Arial Narrow" w:hAnsi="Arial Narrow" w:cs="Times New Roman"/>
                <w:b/>
                <w:snapToGrid/>
                <w:sz w:val="20"/>
                <w:szCs w:val="20"/>
              </w:rPr>
              <w:t>Total</w:t>
            </w:r>
          </w:p>
          <w:p w:rsidR="00313358" w:rsidRPr="00B74BA2" w:rsidRDefault="00313358" w:rsidP="0091423A">
            <w:pPr>
              <w:keepNext/>
              <w:keepLines/>
              <w:widowControl/>
              <w:jc w:val="center"/>
              <w:rPr>
                <w:rFonts w:ascii="Arial Narrow" w:hAnsi="Arial Narrow" w:cs="Times New Roman"/>
                <w:b/>
                <w:snapToGrid/>
                <w:sz w:val="20"/>
                <w:szCs w:val="20"/>
              </w:rPr>
            </w:pPr>
            <w:r w:rsidRPr="00B74BA2">
              <w:rPr>
                <w:rFonts w:ascii="Arial Narrow" w:hAnsi="Arial Narrow" w:cs="Times New Roman"/>
                <w:b/>
                <w:snapToGrid/>
                <w:sz w:val="20"/>
                <w:szCs w:val="20"/>
              </w:rPr>
              <w:t>N = 21</w:t>
            </w:r>
          </w:p>
        </w:tc>
        <w:tc>
          <w:tcPr>
            <w:tcW w:w="1042" w:type="pct"/>
          </w:tcPr>
          <w:p w:rsidR="00313358" w:rsidRPr="00B74BA2" w:rsidRDefault="00313358" w:rsidP="0091423A">
            <w:pPr>
              <w:pStyle w:val="Tabletext"/>
              <w:keepNext/>
              <w:keepLines/>
              <w:jc w:val="center"/>
              <w:rPr>
                <w:b/>
                <w:szCs w:val="20"/>
              </w:rPr>
            </w:pPr>
            <w:r w:rsidRPr="00B74BA2">
              <w:rPr>
                <w:b/>
                <w:szCs w:val="20"/>
              </w:rPr>
              <w:t>200 mg Q3W</w:t>
            </w:r>
          </w:p>
          <w:p w:rsidR="00313358" w:rsidRPr="00B74BA2" w:rsidDel="00A47DA8" w:rsidRDefault="00313358" w:rsidP="0091423A">
            <w:pPr>
              <w:keepNext/>
              <w:keepLines/>
              <w:widowControl/>
              <w:jc w:val="center"/>
              <w:rPr>
                <w:rFonts w:ascii="Arial Narrow" w:hAnsi="Arial Narrow" w:cs="Times New Roman"/>
                <w:b/>
                <w:snapToGrid/>
                <w:sz w:val="20"/>
                <w:szCs w:val="20"/>
              </w:rPr>
            </w:pPr>
            <w:r w:rsidRPr="00B74BA2">
              <w:rPr>
                <w:rFonts w:ascii="Arial Narrow" w:hAnsi="Arial Narrow"/>
                <w:b/>
                <w:sz w:val="20"/>
                <w:szCs w:val="20"/>
              </w:rPr>
              <w:t>N = 11</w:t>
            </w:r>
          </w:p>
        </w:tc>
        <w:tc>
          <w:tcPr>
            <w:tcW w:w="1041" w:type="pct"/>
            <w:vMerge/>
          </w:tcPr>
          <w:p w:rsidR="00313358" w:rsidRPr="00B74BA2" w:rsidRDefault="00313358" w:rsidP="0091423A">
            <w:pPr>
              <w:keepNext/>
              <w:keepLines/>
              <w:widowControl/>
              <w:jc w:val="center"/>
              <w:rPr>
                <w:rFonts w:ascii="Arial Narrow" w:hAnsi="Arial Narrow" w:cs="Times New Roman"/>
                <w:b/>
                <w:snapToGrid/>
                <w:sz w:val="20"/>
                <w:szCs w:val="20"/>
              </w:rPr>
            </w:pPr>
          </w:p>
        </w:tc>
      </w:tr>
      <w:tr w:rsidR="00313358" w:rsidRPr="00B74BA2" w:rsidTr="003A1711">
        <w:tc>
          <w:tcPr>
            <w:tcW w:w="2024" w:type="pct"/>
          </w:tcPr>
          <w:p w:rsidR="00313358" w:rsidRPr="00B74BA2" w:rsidRDefault="00313358" w:rsidP="0091423A">
            <w:pPr>
              <w:keepNext/>
              <w:keepLines/>
              <w:widowControl/>
              <w:jc w:val="left"/>
              <w:rPr>
                <w:rFonts w:ascii="Arial Narrow" w:hAnsi="Arial Narrow" w:cs="Times New Roman"/>
                <w:snapToGrid/>
                <w:sz w:val="20"/>
                <w:szCs w:val="20"/>
              </w:rPr>
            </w:pPr>
            <w:r w:rsidRPr="00B74BA2">
              <w:rPr>
                <w:rFonts w:ascii="Arial Narrow" w:hAnsi="Arial Narrow" w:cs="Times New Roman"/>
                <w:snapToGrid/>
                <w:sz w:val="20"/>
                <w:szCs w:val="20"/>
              </w:rPr>
              <w:t>Number (%) of PFS Events</w:t>
            </w:r>
          </w:p>
        </w:tc>
        <w:tc>
          <w:tcPr>
            <w:tcW w:w="893" w:type="pct"/>
          </w:tcPr>
          <w:p w:rsidR="00313358" w:rsidRPr="00B74BA2" w:rsidRDefault="00313358" w:rsidP="0091423A">
            <w:pPr>
              <w:keepNext/>
              <w:keepLines/>
              <w:widowControl/>
              <w:jc w:val="center"/>
              <w:rPr>
                <w:rFonts w:ascii="Arial Narrow" w:hAnsi="Arial Narrow" w:cs="Times New Roman"/>
                <w:snapToGrid/>
                <w:sz w:val="20"/>
                <w:szCs w:val="20"/>
              </w:rPr>
            </w:pPr>
            <w:r w:rsidRPr="00B74BA2">
              <w:rPr>
                <w:rFonts w:ascii="Arial Narrow" w:hAnsi="Arial Narrow" w:cs="Times New Roman"/>
                <w:snapToGrid/>
                <w:sz w:val="20"/>
                <w:szCs w:val="20"/>
              </w:rPr>
              <w:t>11 (52.4)</w:t>
            </w:r>
          </w:p>
        </w:tc>
        <w:tc>
          <w:tcPr>
            <w:tcW w:w="1042" w:type="pct"/>
          </w:tcPr>
          <w:p w:rsidR="00313358" w:rsidRPr="00B74BA2" w:rsidRDefault="00313358" w:rsidP="0091423A">
            <w:pPr>
              <w:keepNext/>
              <w:keepLines/>
              <w:widowControl/>
              <w:jc w:val="center"/>
              <w:rPr>
                <w:rFonts w:ascii="Arial Narrow" w:hAnsi="Arial Narrow" w:cs="Times New Roman"/>
                <w:snapToGrid/>
                <w:sz w:val="20"/>
              </w:rPr>
            </w:pPr>
            <w:r w:rsidRPr="00B74BA2">
              <w:rPr>
                <w:rFonts w:ascii="Arial Narrow" w:hAnsi="Arial Narrow" w:cs="Times New Roman"/>
                <w:snapToGrid/>
                <w:sz w:val="20"/>
              </w:rPr>
              <w:t>7 (63.6)</w:t>
            </w:r>
          </w:p>
        </w:tc>
        <w:tc>
          <w:tcPr>
            <w:tcW w:w="1041" w:type="pct"/>
          </w:tcPr>
          <w:p w:rsidR="00313358" w:rsidRPr="00B74BA2" w:rsidRDefault="00313358" w:rsidP="0091423A">
            <w:pPr>
              <w:keepNext/>
              <w:keepLines/>
              <w:widowControl/>
              <w:jc w:val="center"/>
              <w:rPr>
                <w:rFonts w:ascii="Arial Narrow" w:hAnsi="Arial Narrow" w:cs="Times New Roman"/>
                <w:snapToGrid/>
                <w:sz w:val="20"/>
                <w:szCs w:val="20"/>
              </w:rPr>
            </w:pPr>
            <w:r w:rsidRPr="00B74BA2">
              <w:rPr>
                <w:rFonts w:ascii="Arial Narrow" w:hAnsi="Arial Narrow" w:cs="Times New Roman"/>
                <w:snapToGrid/>
                <w:sz w:val="20"/>
              </w:rPr>
              <w:t xml:space="preserve">33 (62.3)                                     </w:t>
            </w:r>
          </w:p>
        </w:tc>
      </w:tr>
      <w:tr w:rsidR="00313358" w:rsidRPr="00B74BA2" w:rsidTr="003A1711">
        <w:tc>
          <w:tcPr>
            <w:tcW w:w="2024" w:type="pct"/>
          </w:tcPr>
          <w:p w:rsidR="00313358" w:rsidRPr="00B74BA2" w:rsidRDefault="00313358" w:rsidP="0091423A">
            <w:pPr>
              <w:keepNext/>
              <w:keepLines/>
              <w:widowControl/>
              <w:jc w:val="left"/>
              <w:rPr>
                <w:rFonts w:ascii="Arial Narrow" w:hAnsi="Arial Narrow" w:cs="Times New Roman"/>
                <w:snapToGrid/>
                <w:sz w:val="20"/>
                <w:szCs w:val="20"/>
              </w:rPr>
            </w:pPr>
            <w:r w:rsidRPr="00B74BA2">
              <w:rPr>
                <w:rFonts w:ascii="Arial Narrow" w:hAnsi="Arial Narrow" w:cs="Times New Roman"/>
                <w:snapToGrid/>
                <w:sz w:val="20"/>
                <w:szCs w:val="20"/>
              </w:rPr>
              <w:t>Median PFS (Months)†</w:t>
            </w:r>
          </w:p>
        </w:tc>
        <w:tc>
          <w:tcPr>
            <w:tcW w:w="893" w:type="pct"/>
          </w:tcPr>
          <w:p w:rsidR="00313358" w:rsidRPr="00B74BA2" w:rsidRDefault="00313358" w:rsidP="0091423A">
            <w:pPr>
              <w:keepNext/>
              <w:keepLines/>
              <w:widowControl/>
              <w:jc w:val="center"/>
              <w:rPr>
                <w:rFonts w:ascii="Arial Narrow" w:hAnsi="Arial Narrow" w:cs="Times New Roman"/>
                <w:snapToGrid/>
                <w:sz w:val="20"/>
                <w:szCs w:val="20"/>
              </w:rPr>
            </w:pPr>
            <w:r w:rsidRPr="00B74BA2">
              <w:rPr>
                <w:rFonts w:ascii="Arial Narrow" w:hAnsi="Arial Narrow" w:cs="Times New Roman"/>
                <w:snapToGrid/>
                <w:sz w:val="20"/>
                <w:szCs w:val="20"/>
              </w:rPr>
              <w:t>1</w:t>
            </w:r>
            <w:r w:rsidR="00AF4C4B" w:rsidRPr="00B74BA2">
              <w:rPr>
                <w:rFonts w:ascii="Arial Narrow" w:hAnsi="Arial Narrow" w:cs="Times New Roman"/>
                <w:snapToGrid/>
                <w:sz w:val="20"/>
                <w:szCs w:val="20"/>
              </w:rPr>
              <w:t>0</w:t>
            </w:r>
            <w:r w:rsidRPr="00B74BA2">
              <w:rPr>
                <w:rFonts w:ascii="Arial Narrow" w:hAnsi="Arial Narrow" w:cs="Times New Roman"/>
                <w:snapToGrid/>
                <w:sz w:val="20"/>
                <w:szCs w:val="20"/>
              </w:rPr>
              <w:t>.4</w:t>
            </w:r>
          </w:p>
        </w:tc>
        <w:tc>
          <w:tcPr>
            <w:tcW w:w="1042" w:type="pct"/>
          </w:tcPr>
          <w:p w:rsidR="00313358" w:rsidRPr="00B74BA2" w:rsidRDefault="003C609E" w:rsidP="0091423A">
            <w:pPr>
              <w:keepNext/>
              <w:keepLines/>
              <w:widowControl/>
              <w:jc w:val="center"/>
              <w:rPr>
                <w:rFonts w:ascii="Arial Narrow" w:hAnsi="Arial Narrow" w:cs="Times New Roman"/>
                <w:snapToGrid/>
                <w:sz w:val="20"/>
              </w:rPr>
            </w:pPr>
            <w:r w:rsidRPr="00B74BA2">
              <w:rPr>
                <w:rFonts w:ascii="Arial Narrow" w:hAnsi="Arial Narrow" w:cs="Times New Roman"/>
                <w:snapToGrid/>
                <w:sz w:val="20"/>
              </w:rPr>
              <w:t>9.5</w:t>
            </w:r>
          </w:p>
        </w:tc>
        <w:tc>
          <w:tcPr>
            <w:tcW w:w="1041" w:type="pct"/>
          </w:tcPr>
          <w:p w:rsidR="00313358" w:rsidRPr="00B74BA2" w:rsidRDefault="00313358" w:rsidP="0091423A">
            <w:pPr>
              <w:keepNext/>
              <w:keepLines/>
              <w:widowControl/>
              <w:jc w:val="center"/>
              <w:rPr>
                <w:rFonts w:ascii="Arial Narrow" w:hAnsi="Arial Narrow" w:cs="Times New Roman"/>
                <w:snapToGrid/>
                <w:sz w:val="20"/>
                <w:szCs w:val="20"/>
              </w:rPr>
            </w:pPr>
            <w:r w:rsidRPr="00B74BA2">
              <w:rPr>
                <w:rFonts w:ascii="Arial Narrow" w:hAnsi="Arial Narrow" w:cs="Times New Roman"/>
                <w:snapToGrid/>
                <w:sz w:val="20"/>
              </w:rPr>
              <w:t>4.7</w:t>
            </w:r>
          </w:p>
        </w:tc>
      </w:tr>
      <w:tr w:rsidR="00313358" w:rsidRPr="00B74BA2" w:rsidTr="003A1711">
        <w:tc>
          <w:tcPr>
            <w:tcW w:w="2024" w:type="pct"/>
          </w:tcPr>
          <w:p w:rsidR="00313358" w:rsidRPr="00B74BA2" w:rsidRDefault="00313358" w:rsidP="0091423A">
            <w:pPr>
              <w:keepNext/>
              <w:keepLines/>
              <w:widowControl/>
              <w:jc w:val="left"/>
              <w:rPr>
                <w:rFonts w:ascii="Arial Narrow" w:hAnsi="Arial Narrow" w:cs="Times New Roman"/>
                <w:snapToGrid/>
                <w:sz w:val="20"/>
                <w:szCs w:val="20"/>
              </w:rPr>
            </w:pPr>
            <w:r w:rsidRPr="00B74BA2">
              <w:rPr>
                <w:rFonts w:ascii="Arial Narrow" w:hAnsi="Arial Narrow" w:cs="Times New Roman"/>
                <w:snapToGrid/>
                <w:sz w:val="20"/>
                <w:szCs w:val="20"/>
              </w:rPr>
              <w:t xml:space="preserve">95% CI for Median PFS† </w:t>
            </w:r>
          </w:p>
        </w:tc>
        <w:tc>
          <w:tcPr>
            <w:tcW w:w="893" w:type="pct"/>
          </w:tcPr>
          <w:p w:rsidR="00313358" w:rsidRPr="00B74BA2" w:rsidRDefault="00313358" w:rsidP="0091423A">
            <w:pPr>
              <w:keepNext/>
              <w:keepLines/>
              <w:widowControl/>
              <w:jc w:val="center"/>
              <w:rPr>
                <w:rFonts w:ascii="Arial Narrow" w:hAnsi="Arial Narrow" w:cs="Times New Roman"/>
                <w:snapToGrid/>
                <w:sz w:val="20"/>
                <w:szCs w:val="20"/>
              </w:rPr>
            </w:pPr>
            <w:r w:rsidRPr="00B74BA2">
              <w:rPr>
                <w:rFonts w:ascii="Arial Narrow" w:hAnsi="Arial Narrow" w:cs="Times New Roman"/>
                <w:snapToGrid/>
                <w:sz w:val="20"/>
                <w:szCs w:val="20"/>
              </w:rPr>
              <w:t>(</w:t>
            </w:r>
            <w:r w:rsidR="003C609E" w:rsidRPr="00B74BA2">
              <w:rPr>
                <w:rFonts w:ascii="Arial Narrow" w:hAnsi="Arial Narrow" w:cs="Times New Roman"/>
                <w:snapToGrid/>
                <w:sz w:val="20"/>
                <w:szCs w:val="20"/>
              </w:rPr>
              <w:t>3.4</w:t>
            </w:r>
            <w:r w:rsidRPr="00B74BA2">
              <w:rPr>
                <w:rFonts w:ascii="Arial Narrow" w:hAnsi="Arial Narrow" w:cs="Times New Roman"/>
                <w:snapToGrid/>
                <w:sz w:val="20"/>
                <w:szCs w:val="20"/>
              </w:rPr>
              <w:t>, Not reached)</w:t>
            </w:r>
          </w:p>
        </w:tc>
        <w:tc>
          <w:tcPr>
            <w:tcW w:w="1042" w:type="pct"/>
          </w:tcPr>
          <w:p w:rsidR="00313358" w:rsidRPr="00B74BA2" w:rsidRDefault="003C609E" w:rsidP="0091423A">
            <w:pPr>
              <w:keepNext/>
              <w:keepLines/>
              <w:widowControl/>
              <w:jc w:val="center"/>
              <w:rPr>
                <w:rFonts w:ascii="Arial Narrow" w:hAnsi="Arial Narrow" w:cs="Times New Roman"/>
                <w:snapToGrid/>
                <w:sz w:val="20"/>
              </w:rPr>
            </w:pPr>
            <w:r w:rsidRPr="00B74BA2">
              <w:rPr>
                <w:rFonts w:ascii="Arial Narrow" w:hAnsi="Arial Narrow" w:cs="Times New Roman"/>
                <w:snapToGrid/>
                <w:sz w:val="20"/>
              </w:rPr>
              <w:t>(1.0, Not reached)</w:t>
            </w:r>
          </w:p>
        </w:tc>
        <w:tc>
          <w:tcPr>
            <w:tcW w:w="1041" w:type="pct"/>
          </w:tcPr>
          <w:p w:rsidR="00313358" w:rsidRPr="00B74BA2" w:rsidRDefault="00313358" w:rsidP="0091423A">
            <w:pPr>
              <w:keepNext/>
              <w:keepLines/>
              <w:widowControl/>
              <w:jc w:val="center"/>
              <w:rPr>
                <w:rFonts w:ascii="Arial Narrow" w:hAnsi="Arial Narrow" w:cs="Times New Roman"/>
                <w:snapToGrid/>
                <w:sz w:val="20"/>
                <w:szCs w:val="20"/>
              </w:rPr>
            </w:pPr>
            <w:r w:rsidRPr="00B74BA2">
              <w:rPr>
                <w:rFonts w:ascii="Arial Narrow" w:hAnsi="Arial Narrow" w:cs="Times New Roman"/>
                <w:snapToGrid/>
                <w:sz w:val="20"/>
              </w:rPr>
              <w:t xml:space="preserve">(2.8, 11.0)                                   </w:t>
            </w:r>
          </w:p>
        </w:tc>
      </w:tr>
      <w:tr w:rsidR="00313358" w:rsidRPr="00B74BA2" w:rsidTr="003A1711">
        <w:tc>
          <w:tcPr>
            <w:tcW w:w="2024" w:type="pct"/>
          </w:tcPr>
          <w:p w:rsidR="00313358" w:rsidRPr="00B74BA2" w:rsidRDefault="00313358" w:rsidP="0091423A">
            <w:pPr>
              <w:keepNext/>
              <w:keepLines/>
              <w:widowControl/>
              <w:jc w:val="left"/>
              <w:rPr>
                <w:rFonts w:ascii="Arial Narrow" w:hAnsi="Arial Narrow" w:cs="Times New Roman"/>
                <w:snapToGrid/>
                <w:sz w:val="20"/>
                <w:szCs w:val="20"/>
              </w:rPr>
            </w:pPr>
            <w:r w:rsidRPr="00B74BA2">
              <w:rPr>
                <w:rFonts w:ascii="Arial Narrow" w:hAnsi="Arial Narrow" w:cs="Times New Roman"/>
                <w:snapToGrid/>
                <w:sz w:val="20"/>
                <w:szCs w:val="20"/>
              </w:rPr>
              <w:t>PFS  at 6 Months</w:t>
            </w:r>
            <w:r w:rsidR="0093446C" w:rsidRPr="00B74BA2">
              <w:rPr>
                <w:rFonts w:ascii="Arial Narrow" w:hAnsi="Arial Narrow" w:cs="Times New Roman"/>
                <w:snapToGrid/>
                <w:sz w:val="20"/>
                <w:szCs w:val="20"/>
              </w:rPr>
              <w:t>,</w:t>
            </w:r>
            <w:r w:rsidRPr="00B74BA2">
              <w:rPr>
                <w:rFonts w:ascii="Arial Narrow" w:hAnsi="Arial Narrow" w:cs="Times New Roman"/>
                <w:snapToGrid/>
                <w:sz w:val="20"/>
                <w:szCs w:val="20"/>
              </w:rPr>
              <w:t xml:space="preserve"> % † </w:t>
            </w:r>
          </w:p>
        </w:tc>
        <w:tc>
          <w:tcPr>
            <w:tcW w:w="893" w:type="pct"/>
          </w:tcPr>
          <w:p w:rsidR="00313358" w:rsidRPr="00B74BA2" w:rsidRDefault="00313358" w:rsidP="0091423A">
            <w:pPr>
              <w:keepNext/>
              <w:keepLines/>
              <w:widowControl/>
              <w:jc w:val="center"/>
              <w:rPr>
                <w:rFonts w:ascii="Arial Narrow" w:hAnsi="Arial Narrow" w:cs="Times New Roman"/>
                <w:snapToGrid/>
                <w:sz w:val="20"/>
                <w:szCs w:val="20"/>
              </w:rPr>
            </w:pPr>
            <w:r w:rsidRPr="00B74BA2">
              <w:rPr>
                <w:rFonts w:ascii="Arial Narrow" w:hAnsi="Arial Narrow" w:cs="Times New Roman"/>
                <w:snapToGrid/>
                <w:sz w:val="20"/>
                <w:szCs w:val="20"/>
              </w:rPr>
              <w:t>64.</w:t>
            </w:r>
            <w:r w:rsidR="003C609E" w:rsidRPr="00B74BA2">
              <w:rPr>
                <w:rFonts w:ascii="Arial Narrow" w:hAnsi="Arial Narrow" w:cs="Times New Roman"/>
                <w:snapToGrid/>
                <w:sz w:val="20"/>
                <w:szCs w:val="20"/>
              </w:rPr>
              <w:t>3</w:t>
            </w:r>
          </w:p>
        </w:tc>
        <w:tc>
          <w:tcPr>
            <w:tcW w:w="1042" w:type="pct"/>
          </w:tcPr>
          <w:p w:rsidR="00313358" w:rsidRPr="00B74BA2" w:rsidRDefault="00313358" w:rsidP="0091423A">
            <w:pPr>
              <w:keepNext/>
              <w:keepLines/>
              <w:widowControl/>
              <w:jc w:val="center"/>
              <w:rPr>
                <w:rFonts w:ascii="Arial Narrow" w:hAnsi="Arial Narrow" w:cs="Times New Roman"/>
                <w:snapToGrid/>
                <w:sz w:val="20"/>
                <w:szCs w:val="20"/>
              </w:rPr>
            </w:pPr>
            <w:r w:rsidRPr="00B74BA2">
              <w:rPr>
                <w:rFonts w:ascii="Arial Narrow" w:hAnsi="Arial Narrow" w:cs="Times New Roman"/>
                <w:snapToGrid/>
                <w:sz w:val="20"/>
                <w:szCs w:val="20"/>
              </w:rPr>
              <w:t>54.5</w:t>
            </w:r>
          </w:p>
        </w:tc>
        <w:tc>
          <w:tcPr>
            <w:tcW w:w="1041" w:type="pct"/>
          </w:tcPr>
          <w:p w:rsidR="00313358" w:rsidRPr="00B74BA2" w:rsidRDefault="00313358" w:rsidP="0091423A">
            <w:pPr>
              <w:keepNext/>
              <w:keepLines/>
              <w:widowControl/>
              <w:jc w:val="center"/>
              <w:rPr>
                <w:rFonts w:ascii="Arial Narrow" w:hAnsi="Arial Narrow" w:cs="Times New Roman"/>
                <w:snapToGrid/>
                <w:sz w:val="20"/>
                <w:szCs w:val="20"/>
              </w:rPr>
            </w:pPr>
            <w:r w:rsidRPr="00B74BA2">
              <w:rPr>
                <w:rFonts w:ascii="Arial Narrow" w:hAnsi="Arial Narrow" w:cs="Times New Roman"/>
                <w:snapToGrid/>
                <w:sz w:val="20"/>
              </w:rPr>
              <w:t>44.8</w:t>
            </w:r>
          </w:p>
        </w:tc>
      </w:tr>
      <w:tr w:rsidR="00313358" w:rsidRPr="00B74BA2" w:rsidTr="003A1711">
        <w:tc>
          <w:tcPr>
            <w:tcW w:w="2024" w:type="pct"/>
          </w:tcPr>
          <w:p w:rsidR="00313358" w:rsidRPr="00B74BA2" w:rsidRDefault="00313358" w:rsidP="0091423A">
            <w:pPr>
              <w:keepNext/>
              <w:keepLines/>
              <w:widowControl/>
              <w:jc w:val="left"/>
              <w:rPr>
                <w:rFonts w:ascii="Arial Narrow" w:hAnsi="Arial Narrow" w:cs="Times New Roman"/>
                <w:snapToGrid/>
                <w:sz w:val="20"/>
                <w:szCs w:val="20"/>
              </w:rPr>
            </w:pPr>
            <w:r w:rsidRPr="00B74BA2">
              <w:rPr>
                <w:rFonts w:ascii="Arial Narrow" w:hAnsi="Arial Narrow" w:cs="Times New Roman"/>
                <w:snapToGrid/>
                <w:sz w:val="20"/>
                <w:szCs w:val="20"/>
              </w:rPr>
              <w:t>PFS  at 12 Months</w:t>
            </w:r>
            <w:r w:rsidR="0093446C" w:rsidRPr="00B74BA2">
              <w:rPr>
                <w:rFonts w:ascii="Arial Narrow" w:hAnsi="Arial Narrow" w:cs="Times New Roman"/>
                <w:snapToGrid/>
                <w:sz w:val="20"/>
                <w:szCs w:val="20"/>
              </w:rPr>
              <w:t>,</w:t>
            </w:r>
            <w:r w:rsidRPr="00B74BA2">
              <w:rPr>
                <w:rFonts w:ascii="Arial Narrow" w:hAnsi="Arial Narrow" w:cs="Times New Roman"/>
                <w:snapToGrid/>
                <w:sz w:val="20"/>
                <w:szCs w:val="20"/>
              </w:rPr>
              <w:t xml:space="preserve"> % †</w:t>
            </w:r>
          </w:p>
        </w:tc>
        <w:tc>
          <w:tcPr>
            <w:tcW w:w="893" w:type="pct"/>
          </w:tcPr>
          <w:p w:rsidR="00313358" w:rsidRPr="00B74BA2" w:rsidRDefault="003C609E" w:rsidP="0091423A">
            <w:pPr>
              <w:keepNext/>
              <w:keepLines/>
              <w:widowControl/>
              <w:jc w:val="center"/>
              <w:rPr>
                <w:rFonts w:ascii="Arial Narrow" w:hAnsi="Arial Narrow" w:cs="Times New Roman"/>
                <w:snapToGrid/>
                <w:sz w:val="20"/>
                <w:szCs w:val="20"/>
              </w:rPr>
            </w:pPr>
            <w:r w:rsidRPr="00B74BA2">
              <w:rPr>
                <w:rFonts w:ascii="Arial Narrow" w:hAnsi="Arial Narrow" w:cs="Times New Roman"/>
                <w:snapToGrid/>
                <w:sz w:val="20"/>
                <w:szCs w:val="20"/>
              </w:rPr>
              <w:t>45.0</w:t>
            </w:r>
          </w:p>
        </w:tc>
        <w:tc>
          <w:tcPr>
            <w:tcW w:w="1042" w:type="pct"/>
          </w:tcPr>
          <w:p w:rsidR="00313358" w:rsidRPr="00B74BA2" w:rsidRDefault="00313358" w:rsidP="0091423A">
            <w:pPr>
              <w:keepNext/>
              <w:keepLines/>
              <w:widowControl/>
              <w:jc w:val="center"/>
              <w:rPr>
                <w:rFonts w:ascii="Arial Narrow" w:hAnsi="Arial Narrow" w:cs="Times New Roman"/>
                <w:snapToGrid/>
                <w:sz w:val="20"/>
                <w:szCs w:val="20"/>
              </w:rPr>
            </w:pPr>
            <w:r w:rsidRPr="00B74BA2">
              <w:rPr>
                <w:rFonts w:ascii="Arial Narrow" w:hAnsi="Arial Narrow" w:cs="Times New Roman"/>
                <w:snapToGrid/>
                <w:sz w:val="20"/>
                <w:szCs w:val="20"/>
              </w:rPr>
              <w:t>32.7</w:t>
            </w:r>
          </w:p>
        </w:tc>
        <w:tc>
          <w:tcPr>
            <w:tcW w:w="1041" w:type="pct"/>
          </w:tcPr>
          <w:p w:rsidR="00313358" w:rsidRPr="00B74BA2" w:rsidRDefault="00313358" w:rsidP="0091423A">
            <w:pPr>
              <w:keepNext/>
              <w:keepLines/>
              <w:widowControl/>
              <w:jc w:val="center"/>
              <w:rPr>
                <w:rFonts w:ascii="Arial Narrow" w:hAnsi="Arial Narrow" w:cs="Times New Roman"/>
                <w:snapToGrid/>
                <w:sz w:val="20"/>
                <w:szCs w:val="20"/>
              </w:rPr>
            </w:pPr>
            <w:r w:rsidRPr="00B74BA2">
              <w:rPr>
                <w:rFonts w:ascii="Arial Narrow" w:hAnsi="Arial Narrow" w:cs="Times New Roman"/>
                <w:snapToGrid/>
                <w:sz w:val="20"/>
              </w:rPr>
              <w:t>34.2</w:t>
            </w:r>
          </w:p>
        </w:tc>
      </w:tr>
    </w:tbl>
    <w:p w:rsidR="005D4DB8" w:rsidRPr="00B74BA2" w:rsidRDefault="005D4DB8" w:rsidP="0091423A">
      <w:pPr>
        <w:pStyle w:val="TableFooter"/>
        <w:keepNext/>
        <w:keepLines/>
        <w:widowControl/>
        <w:rPr>
          <w:sz w:val="20"/>
        </w:rPr>
      </w:pPr>
      <w:r w:rsidRPr="00B74BA2">
        <w:t>Source: Table 2.5-2, p39, of the submission</w:t>
      </w:r>
      <w:r w:rsidR="003C609E" w:rsidRPr="00B74BA2">
        <w:t>, Table 11-4, p60 and Table 14.2-28, p151, KN013.</w:t>
      </w:r>
      <w:r w:rsidR="00881371" w:rsidRPr="00B74BA2">
        <w:t xml:space="preserve"> </w:t>
      </w:r>
      <w:r w:rsidR="00881371" w:rsidRPr="00B74BA2">
        <w:rPr>
          <w:szCs w:val="18"/>
        </w:rPr>
        <w:t>The values presented in Table 2.5-2 in the submission were different to the results presented in KN013 CSR.</w:t>
      </w:r>
    </w:p>
    <w:p w:rsidR="001E1C8B" w:rsidRPr="00110E3A" w:rsidRDefault="005D4DB8" w:rsidP="00110E3A">
      <w:pPr>
        <w:pStyle w:val="TableFooter"/>
        <w:keepNext/>
        <w:keepLines/>
        <w:widowControl/>
        <w:spacing w:after="240"/>
        <w:rPr>
          <w:rStyle w:val="CommentReference"/>
          <w:rFonts w:eastAsia="Calibri"/>
          <w:b w:val="0"/>
          <w:sz w:val="18"/>
          <w:szCs w:val="22"/>
        </w:rPr>
      </w:pPr>
      <w:r w:rsidRPr="00B74BA2">
        <w:rPr>
          <w:rFonts w:eastAsia="Calibri"/>
        </w:rPr>
        <w:t>Abbreviations: CI = confidence interval; n = number of participants with event; N = total participants in group; N/A = not available; Q2W = once every 2 weeks; Q3W = once every 3 weeks.</w:t>
      </w:r>
      <w:r w:rsidR="003A1711" w:rsidRPr="00B74BA2">
        <w:rPr>
          <w:rFonts w:eastAsia="Calibri"/>
        </w:rPr>
        <w:t xml:space="preserve"> </w:t>
      </w:r>
      <w:r w:rsidRPr="00B74BA2">
        <w:rPr>
          <w:rFonts w:eastAsia="Calibri"/>
        </w:rPr>
        <w:t>Notes:</w:t>
      </w:r>
      <w:r w:rsidRPr="00B74BA2">
        <w:t xml:space="preserve"> </w:t>
      </w:r>
      <w:r w:rsidRPr="00B74BA2">
        <w:rPr>
          <w:rFonts w:eastAsia="Calibri"/>
        </w:rPr>
        <w:t>† From product-limit (Kaplan-Meier) method for censored data.</w:t>
      </w:r>
    </w:p>
    <w:p w:rsidR="005D4DB8" w:rsidRPr="00B74BA2" w:rsidRDefault="005D4DB8" w:rsidP="0091423A">
      <w:pPr>
        <w:keepNext/>
        <w:widowControl/>
        <w:rPr>
          <w:rStyle w:val="CommentReference"/>
        </w:rPr>
      </w:pPr>
      <w:r w:rsidRPr="00B74BA2">
        <w:rPr>
          <w:rStyle w:val="CommentReference"/>
        </w:rPr>
        <w:t>Figure 1: PFS Kaplan-Meier curves for PFS for pembrolizumab in patients with R/R PMBCL (KN013 and KN170)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 PFS Kaplan-Meier curves for PFS for pembrolizumab in patients with R/R PMBCL (KN013 and KN170)"/>
      </w:tblPr>
      <w:tblGrid>
        <w:gridCol w:w="4508"/>
        <w:gridCol w:w="4509"/>
      </w:tblGrid>
      <w:tr w:rsidR="005D4DB8" w:rsidRPr="00B74BA2" w:rsidTr="005D4DB8">
        <w:tc>
          <w:tcPr>
            <w:tcW w:w="4508" w:type="dxa"/>
          </w:tcPr>
          <w:p w:rsidR="005D4DB8" w:rsidRPr="00B74BA2" w:rsidRDefault="005D4DB8" w:rsidP="0091423A">
            <w:pPr>
              <w:keepNext/>
              <w:widowControl/>
              <w:jc w:val="center"/>
              <w:rPr>
                <w:rStyle w:val="CommentReference"/>
              </w:rPr>
            </w:pPr>
            <w:r w:rsidRPr="00B74BA2">
              <w:rPr>
                <w:rStyle w:val="CommentReference"/>
              </w:rPr>
              <w:t>KN013 (N=21)</w:t>
            </w:r>
          </w:p>
        </w:tc>
        <w:tc>
          <w:tcPr>
            <w:tcW w:w="4509" w:type="dxa"/>
          </w:tcPr>
          <w:p w:rsidR="005D4DB8" w:rsidRPr="00B74BA2" w:rsidRDefault="005D4DB8" w:rsidP="0091423A">
            <w:pPr>
              <w:keepNext/>
              <w:widowControl/>
              <w:jc w:val="center"/>
              <w:rPr>
                <w:rStyle w:val="CommentReference"/>
              </w:rPr>
            </w:pPr>
            <w:r w:rsidRPr="00B74BA2">
              <w:rPr>
                <w:rStyle w:val="CommentReference"/>
              </w:rPr>
              <w:t>KN170 (N = 53)</w:t>
            </w:r>
          </w:p>
        </w:tc>
      </w:tr>
      <w:tr w:rsidR="005D4DB8" w:rsidRPr="00B74BA2" w:rsidTr="005D4DB8">
        <w:tc>
          <w:tcPr>
            <w:tcW w:w="4508" w:type="dxa"/>
          </w:tcPr>
          <w:p w:rsidR="005D4DB8" w:rsidRPr="00B74BA2" w:rsidRDefault="005D4DB8" w:rsidP="0091423A">
            <w:pPr>
              <w:keepNext/>
              <w:widowControl/>
              <w:rPr>
                <w:rStyle w:val="CommentReference"/>
              </w:rPr>
            </w:pPr>
            <w:r w:rsidRPr="00B74BA2">
              <w:rPr>
                <w:rStyle w:val="CommentReference"/>
                <w:noProof/>
                <w:lang w:eastAsia="en-AU"/>
              </w:rPr>
              <w:drawing>
                <wp:inline distT="0" distB="0" distL="0" distR="0" wp14:anchorId="1C56D24D" wp14:editId="49CEA6EB">
                  <wp:extent cx="2602308" cy="1740090"/>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1414" cy="1746179"/>
                          </a:xfrm>
                          <a:prstGeom prst="rect">
                            <a:avLst/>
                          </a:prstGeom>
                          <a:noFill/>
                        </pic:spPr>
                      </pic:pic>
                    </a:graphicData>
                  </a:graphic>
                </wp:inline>
              </w:drawing>
            </w:r>
          </w:p>
        </w:tc>
        <w:tc>
          <w:tcPr>
            <w:tcW w:w="4509" w:type="dxa"/>
          </w:tcPr>
          <w:p w:rsidR="005D4DB8" w:rsidRPr="00B74BA2" w:rsidRDefault="005D4DB8" w:rsidP="0091423A">
            <w:pPr>
              <w:keepNext/>
              <w:widowControl/>
              <w:rPr>
                <w:rStyle w:val="CommentReference"/>
              </w:rPr>
            </w:pPr>
            <w:r w:rsidRPr="00B74BA2">
              <w:rPr>
                <w:rStyle w:val="CommentReference"/>
                <w:noProof/>
                <w:lang w:eastAsia="en-AU"/>
              </w:rPr>
              <w:drawing>
                <wp:inline distT="0" distB="0" distL="0" distR="0" wp14:anchorId="17E66223" wp14:editId="7C4F873E">
                  <wp:extent cx="2586251" cy="1733121"/>
                  <wp:effectExtent l="0" t="0" r="5080"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04984" cy="1745674"/>
                          </a:xfrm>
                          <a:prstGeom prst="rect">
                            <a:avLst/>
                          </a:prstGeom>
                          <a:noFill/>
                        </pic:spPr>
                      </pic:pic>
                    </a:graphicData>
                  </a:graphic>
                </wp:inline>
              </w:drawing>
            </w:r>
          </w:p>
        </w:tc>
      </w:tr>
    </w:tbl>
    <w:p w:rsidR="005D4DB8" w:rsidRPr="00B74BA2" w:rsidRDefault="005D4DB8" w:rsidP="0091423A">
      <w:pPr>
        <w:widowControl/>
        <w:rPr>
          <w:rStyle w:val="CommentReference"/>
          <w:b w:val="0"/>
          <w:sz w:val="18"/>
          <w:szCs w:val="18"/>
        </w:rPr>
      </w:pPr>
      <w:r w:rsidRPr="00B74BA2">
        <w:rPr>
          <w:rStyle w:val="CommentReference"/>
          <w:b w:val="0"/>
          <w:sz w:val="18"/>
          <w:szCs w:val="18"/>
        </w:rPr>
        <w:t>Source: Figure 2.5 – 1, p40 and Figure 2.5 – 2, p41, of the submission. Abbreviations: PFS = progression free survival.</w:t>
      </w:r>
    </w:p>
    <w:p w:rsidR="005D4DB8" w:rsidRPr="00B74BA2" w:rsidRDefault="005D4DB8" w:rsidP="0091423A">
      <w:pPr>
        <w:widowControl/>
      </w:pPr>
    </w:p>
    <w:p w:rsidR="00F73A15" w:rsidRPr="00B74BA2" w:rsidRDefault="005D4DB8" w:rsidP="00F2263C">
      <w:pPr>
        <w:pStyle w:val="ListParagraph"/>
        <w:widowControl/>
        <w:numPr>
          <w:ilvl w:val="1"/>
          <w:numId w:val="1"/>
        </w:numPr>
      </w:pPr>
      <w:r w:rsidRPr="00B74BA2">
        <w:lastRenderedPageBreak/>
        <w:t>The OS results for KN013</w:t>
      </w:r>
      <w:r w:rsidR="00F63B75" w:rsidRPr="00B74BA2">
        <w:t xml:space="preserve">, </w:t>
      </w:r>
      <w:r w:rsidRPr="00B74BA2">
        <w:t>KN170</w:t>
      </w:r>
      <w:r w:rsidR="00F63B75" w:rsidRPr="00B74BA2">
        <w:t xml:space="preserve"> and </w:t>
      </w:r>
      <w:proofErr w:type="spellStart"/>
      <w:r w:rsidR="00F63B75" w:rsidRPr="00B74BA2">
        <w:t>Kuruvilla</w:t>
      </w:r>
      <w:proofErr w:type="spellEnd"/>
      <w:r w:rsidR="00F63B75" w:rsidRPr="00B74BA2">
        <w:t xml:space="preserve"> 2008</w:t>
      </w:r>
      <w:r w:rsidRPr="00B74BA2">
        <w:t xml:space="preserve"> are presented in Table </w:t>
      </w:r>
      <w:r w:rsidR="0084031E" w:rsidRPr="00B74BA2">
        <w:t>8</w:t>
      </w:r>
      <w:r w:rsidRPr="00B74BA2">
        <w:t xml:space="preserve"> with Kaplan-Meier data </w:t>
      </w:r>
      <w:r w:rsidR="00F63B75" w:rsidRPr="00B74BA2">
        <w:t xml:space="preserve">representing pembrolizumab studies </w:t>
      </w:r>
      <w:r w:rsidRPr="00B74BA2">
        <w:t>in Figure 2</w:t>
      </w:r>
      <w:r w:rsidR="00E17482" w:rsidRPr="00B74BA2">
        <w:t>, and for SOC in Figure 3</w:t>
      </w:r>
      <w:r w:rsidRPr="00B74BA2">
        <w:t xml:space="preserve">. The submission stated that in the pembrolizumab studies a ‘plateau’ effect </w:t>
      </w:r>
      <w:r w:rsidR="0055070C" w:rsidRPr="00B74BA2">
        <w:t xml:space="preserve">commenced </w:t>
      </w:r>
      <w:r w:rsidRPr="00B74BA2">
        <w:t xml:space="preserve">at about 18 months. </w:t>
      </w:r>
      <w:r w:rsidR="00B83275">
        <w:t>T</w:t>
      </w:r>
      <w:r w:rsidR="001E1C8B" w:rsidRPr="00B74BA2">
        <w:t xml:space="preserve">he ESC </w:t>
      </w:r>
      <w:r w:rsidR="008B37AE">
        <w:t xml:space="preserve">and PBAC </w:t>
      </w:r>
      <w:r w:rsidR="001E1C8B" w:rsidRPr="00B74BA2">
        <w:t>considered that t</w:t>
      </w:r>
      <w:r w:rsidRPr="00B74BA2">
        <w:t>h</w:t>
      </w:r>
      <w:r w:rsidR="00F73A15" w:rsidRPr="00B74BA2">
        <w:t xml:space="preserve">is claim </w:t>
      </w:r>
      <w:r w:rsidR="0055070C" w:rsidRPr="00B74BA2">
        <w:t xml:space="preserve">was not reasonable </w:t>
      </w:r>
      <w:r w:rsidRPr="00B74BA2">
        <w:t xml:space="preserve">due to the </w:t>
      </w:r>
      <w:r w:rsidR="0055070C" w:rsidRPr="00B74BA2">
        <w:t>low number</w:t>
      </w:r>
      <w:r w:rsidR="00CE4FDC" w:rsidRPr="00B74BA2">
        <w:t xml:space="preserve"> of</w:t>
      </w:r>
      <w:r w:rsidR="0055070C" w:rsidRPr="00B74BA2">
        <w:t xml:space="preserve"> </w:t>
      </w:r>
      <w:r w:rsidR="00CE4FDC" w:rsidRPr="00B74BA2">
        <w:t xml:space="preserve">patients at risk </w:t>
      </w:r>
      <w:r w:rsidR="0055070C" w:rsidRPr="00B74BA2">
        <w:t xml:space="preserve">and </w:t>
      </w:r>
      <w:r w:rsidR="00CE4FDC" w:rsidRPr="00B74BA2">
        <w:t xml:space="preserve">the </w:t>
      </w:r>
      <w:r w:rsidR="0055070C" w:rsidRPr="00B74BA2">
        <w:t>high degree of censoring</w:t>
      </w:r>
      <w:r w:rsidR="00CE4FDC" w:rsidRPr="00B74BA2">
        <w:t xml:space="preserve"> beyond 12 months</w:t>
      </w:r>
      <w:r w:rsidR="0055070C" w:rsidRPr="00B74BA2">
        <w:t>, which make</w:t>
      </w:r>
      <w:r w:rsidR="00CE4FDC" w:rsidRPr="00B74BA2">
        <w:t>s</w:t>
      </w:r>
      <w:r w:rsidR="0055070C" w:rsidRPr="00B74BA2">
        <w:t xml:space="preserve"> the curves </w:t>
      </w:r>
      <w:r w:rsidR="00CE4FDC" w:rsidRPr="00B74BA2">
        <w:t>difficult to interpret beyond this point</w:t>
      </w:r>
      <w:r w:rsidRPr="00B74BA2">
        <w:t xml:space="preserve">. </w:t>
      </w:r>
      <w:r w:rsidR="007C6C68">
        <w:t xml:space="preserve">In KN170, </w:t>
      </w:r>
      <w:r w:rsidR="007C6C68" w:rsidRPr="007C6C68">
        <w:t xml:space="preserve">there were three patients at risk </w:t>
      </w:r>
      <w:r w:rsidR="007C6C68">
        <w:t>a</w:t>
      </w:r>
      <w:r w:rsidR="007C6C68" w:rsidRPr="007C6C68">
        <w:t xml:space="preserve">t </w:t>
      </w:r>
      <w:r w:rsidR="007C6C68">
        <w:t>M</w:t>
      </w:r>
      <w:r w:rsidR="007C6C68" w:rsidRPr="007C6C68">
        <w:t xml:space="preserve">onth 21. A large proportion of patients (19/30 at risk (63%)) were censored from </w:t>
      </w:r>
      <w:r w:rsidR="007C6C68">
        <w:t>M</w:t>
      </w:r>
      <w:r w:rsidR="007C6C68" w:rsidRPr="007C6C68">
        <w:t xml:space="preserve">onth 9 to </w:t>
      </w:r>
      <w:r w:rsidR="007C6C68">
        <w:t>M</w:t>
      </w:r>
      <w:r w:rsidR="007C6C68" w:rsidRPr="007C6C68">
        <w:t>onth</w:t>
      </w:r>
      <w:r w:rsidR="005617DF">
        <w:t xml:space="preserve"> 18, with only two</w:t>
      </w:r>
      <w:r w:rsidR="007C6C68" w:rsidRPr="007C6C68">
        <w:t xml:space="preserve"> deaths occurring during that period.</w:t>
      </w:r>
    </w:p>
    <w:p w:rsidR="005D4DB8" w:rsidRPr="00B74BA2" w:rsidRDefault="00F73A15" w:rsidP="00F2263C">
      <w:pPr>
        <w:pStyle w:val="ListParagraph"/>
        <w:widowControl/>
        <w:numPr>
          <w:ilvl w:val="1"/>
          <w:numId w:val="1"/>
        </w:numPr>
        <w:rPr>
          <w:rStyle w:val="CommentReference"/>
          <w:rFonts w:ascii="Calibri" w:hAnsi="Calibri"/>
          <w:b w:val="0"/>
          <w:sz w:val="24"/>
          <w:szCs w:val="22"/>
        </w:rPr>
      </w:pPr>
      <w:r w:rsidRPr="00B74BA2">
        <w:t xml:space="preserve">Based on the data in </w:t>
      </w:r>
      <w:proofErr w:type="spellStart"/>
      <w:r w:rsidRPr="00B74BA2">
        <w:t>Kuruvilla</w:t>
      </w:r>
      <w:proofErr w:type="spellEnd"/>
      <w:r w:rsidRPr="00B74BA2">
        <w:t xml:space="preserve"> 2008, t</w:t>
      </w:r>
      <w:r w:rsidR="00E17482" w:rsidRPr="00B74BA2">
        <w:t xml:space="preserve">he submission estimated </w:t>
      </w:r>
      <w:r w:rsidRPr="00B74BA2">
        <w:t xml:space="preserve">that </w:t>
      </w:r>
      <w:r w:rsidR="00E17482" w:rsidRPr="00B74BA2">
        <w:t xml:space="preserve">2-year OS </w:t>
      </w:r>
      <w:r w:rsidRPr="00B74BA2">
        <w:t xml:space="preserve">for SOC was </w:t>
      </w:r>
      <w:r w:rsidR="00E17482" w:rsidRPr="00B74BA2">
        <w:t xml:space="preserve">15%. The OS </w:t>
      </w:r>
      <w:r w:rsidRPr="00B74BA2">
        <w:t xml:space="preserve">data reported by </w:t>
      </w:r>
      <w:proofErr w:type="spellStart"/>
      <w:r w:rsidR="00E17482" w:rsidRPr="00B74BA2">
        <w:t>Kuruvilla</w:t>
      </w:r>
      <w:proofErr w:type="spellEnd"/>
      <w:r w:rsidR="00E17482" w:rsidRPr="00B74BA2">
        <w:t xml:space="preserve"> 2008 included patients who received ASCT (n = 8)</w:t>
      </w:r>
      <w:r w:rsidR="00182555" w:rsidRPr="00B74BA2">
        <w:t xml:space="preserve">; </w:t>
      </w:r>
      <w:r w:rsidR="00E83314" w:rsidRPr="00B74BA2">
        <w:t xml:space="preserve">the submission stated that </w:t>
      </w:r>
      <w:r w:rsidR="00182555" w:rsidRPr="00B74BA2">
        <w:t xml:space="preserve">this may bias the analysis against pembrolizumab given the relatively high proportion of SOC patients (8/37) who </w:t>
      </w:r>
      <w:r w:rsidR="00B50E0C">
        <w:t xml:space="preserve">went on to </w:t>
      </w:r>
      <w:r w:rsidR="00182555" w:rsidRPr="00B74BA2">
        <w:t>receive a therapy with curative intent (ASCT).</w:t>
      </w:r>
      <w:r w:rsidR="00691B36" w:rsidRPr="00B74BA2">
        <w:t xml:space="preserve"> </w:t>
      </w:r>
    </w:p>
    <w:p w:rsidR="005D4DB8" w:rsidRPr="00B74BA2" w:rsidRDefault="005D4DB8" w:rsidP="0091423A">
      <w:pPr>
        <w:keepNext/>
        <w:widowControl/>
        <w:rPr>
          <w:rStyle w:val="CommentReference"/>
        </w:rPr>
      </w:pPr>
      <w:r w:rsidRPr="00B74BA2">
        <w:rPr>
          <w:rStyle w:val="CommentReference"/>
        </w:rPr>
        <w:t xml:space="preserve">Table </w:t>
      </w:r>
      <w:r w:rsidR="0084031E" w:rsidRPr="00B74BA2">
        <w:rPr>
          <w:rStyle w:val="CommentReference"/>
        </w:rPr>
        <w:t>8</w:t>
      </w:r>
      <w:r w:rsidRPr="00B74BA2">
        <w:rPr>
          <w:rStyle w:val="CommentReference"/>
        </w:rPr>
        <w:t>: Summary of survival outcomes</w:t>
      </w:r>
      <w:r w:rsidR="00885E77" w:rsidRPr="00B74BA2">
        <w:rPr>
          <w:rStyle w:val="CommentReference"/>
        </w:rPr>
        <w:t xml:space="preserve"> for pembrolizumab studies</w:t>
      </w:r>
      <w:r w:rsidRPr="00B74BA2">
        <w:rPr>
          <w:rStyle w:val="CommentReference"/>
        </w:rPr>
        <w:t xml:space="preserve"> </w:t>
      </w:r>
      <w:r w:rsidR="00FA0323" w:rsidRPr="00B74BA2">
        <w:rPr>
          <w:rStyle w:val="CommentReference"/>
        </w:rPr>
        <w:t>(</w:t>
      </w:r>
      <w:r w:rsidRPr="00B74BA2">
        <w:rPr>
          <w:rStyle w:val="CommentReference"/>
        </w:rPr>
        <w:t>KN013 and KN170</w:t>
      </w:r>
      <w:r w:rsidR="00FA0323" w:rsidRPr="00B74BA2">
        <w:rPr>
          <w:rStyle w:val="CommentReference"/>
        </w:rPr>
        <w:t>)</w:t>
      </w:r>
      <w:r w:rsidR="00885E77" w:rsidRPr="00B74BA2">
        <w:rPr>
          <w:rStyle w:val="CommentReference"/>
        </w:rPr>
        <w:t xml:space="preserve"> and SOC </w:t>
      </w:r>
      <w:r w:rsidR="00FA0323" w:rsidRPr="00B74BA2">
        <w:rPr>
          <w:rStyle w:val="CommentReference"/>
        </w:rPr>
        <w:t>(</w:t>
      </w:r>
      <w:proofErr w:type="spellStart"/>
      <w:r w:rsidR="00885E77" w:rsidRPr="00B74BA2">
        <w:rPr>
          <w:rStyle w:val="CommentReference"/>
        </w:rPr>
        <w:t>Kuruvilla</w:t>
      </w:r>
      <w:proofErr w:type="spellEnd"/>
      <w:r w:rsidR="00885E77" w:rsidRPr="00B74BA2">
        <w:rPr>
          <w:rStyle w:val="CommentReference"/>
        </w:rPr>
        <w:t xml:space="preserve"> </w:t>
      </w:r>
      <w:r w:rsidR="00FA0323" w:rsidRPr="00B74BA2">
        <w:rPr>
          <w:rStyle w:val="CommentReference"/>
        </w:rPr>
        <w:t>2008)</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560"/>
        <w:gridCol w:w="1559"/>
        <w:gridCol w:w="1559"/>
        <w:gridCol w:w="1559"/>
      </w:tblGrid>
      <w:tr w:rsidR="00C23A8B" w:rsidRPr="00B74BA2" w:rsidTr="00B425EC">
        <w:trPr>
          <w:tblHeader/>
        </w:trPr>
        <w:tc>
          <w:tcPr>
            <w:tcW w:w="2835" w:type="dxa"/>
            <w:tcBorders>
              <w:bottom w:val="nil"/>
            </w:tcBorders>
            <w:vAlign w:val="center"/>
          </w:tcPr>
          <w:p w:rsidR="00C23A8B" w:rsidRPr="00B74BA2" w:rsidRDefault="00C23A8B" w:rsidP="0091423A">
            <w:pPr>
              <w:pStyle w:val="Tabletext"/>
              <w:rPr>
                <w:b/>
              </w:rPr>
            </w:pPr>
          </w:p>
        </w:tc>
        <w:tc>
          <w:tcPr>
            <w:tcW w:w="3119" w:type="dxa"/>
            <w:gridSpan w:val="2"/>
            <w:vAlign w:val="center"/>
          </w:tcPr>
          <w:p w:rsidR="00C23A8B" w:rsidRPr="00B74BA2" w:rsidRDefault="00C23A8B" w:rsidP="0091423A">
            <w:pPr>
              <w:widowControl/>
              <w:jc w:val="center"/>
              <w:rPr>
                <w:rFonts w:ascii="Arial Narrow" w:hAnsi="Arial Narrow" w:cs="Times New Roman"/>
                <w:b/>
                <w:snapToGrid/>
                <w:sz w:val="20"/>
                <w:szCs w:val="20"/>
              </w:rPr>
            </w:pPr>
            <w:r w:rsidRPr="00B74BA2">
              <w:rPr>
                <w:rFonts w:ascii="Arial Narrow" w:hAnsi="Arial Narrow" w:cs="Times New Roman"/>
                <w:b/>
                <w:snapToGrid/>
                <w:sz w:val="20"/>
                <w:szCs w:val="20"/>
              </w:rPr>
              <w:t>Pembrolizumab</w:t>
            </w:r>
          </w:p>
          <w:p w:rsidR="00C23A8B" w:rsidRPr="00B74BA2" w:rsidRDefault="00C23A8B" w:rsidP="0091423A">
            <w:pPr>
              <w:pStyle w:val="Tabletext"/>
              <w:jc w:val="center"/>
              <w:rPr>
                <w:b/>
                <w:szCs w:val="20"/>
              </w:rPr>
            </w:pPr>
            <w:r w:rsidRPr="00B74BA2">
              <w:rPr>
                <w:b/>
                <w:szCs w:val="20"/>
              </w:rPr>
              <w:t>KN013</w:t>
            </w:r>
          </w:p>
        </w:tc>
        <w:tc>
          <w:tcPr>
            <w:tcW w:w="1559" w:type="dxa"/>
            <w:vMerge w:val="restart"/>
          </w:tcPr>
          <w:p w:rsidR="00C23A8B" w:rsidRPr="00B74BA2" w:rsidRDefault="00C23A8B" w:rsidP="0091423A">
            <w:pPr>
              <w:pStyle w:val="Tabletext"/>
              <w:jc w:val="center"/>
              <w:rPr>
                <w:b/>
                <w:szCs w:val="20"/>
              </w:rPr>
            </w:pPr>
            <w:r w:rsidRPr="00B74BA2">
              <w:rPr>
                <w:b/>
                <w:szCs w:val="20"/>
              </w:rPr>
              <w:t>Pembrolizumab</w:t>
            </w:r>
          </w:p>
          <w:p w:rsidR="00C23A8B" w:rsidRPr="00B74BA2" w:rsidRDefault="00C23A8B" w:rsidP="0091423A">
            <w:pPr>
              <w:pStyle w:val="Tabletext"/>
              <w:jc w:val="center"/>
              <w:rPr>
                <w:b/>
              </w:rPr>
            </w:pPr>
            <w:r w:rsidRPr="00B74BA2">
              <w:rPr>
                <w:b/>
                <w:szCs w:val="20"/>
              </w:rPr>
              <w:t>KN170</w:t>
            </w:r>
          </w:p>
          <w:p w:rsidR="00C23A8B" w:rsidRPr="00B74BA2" w:rsidRDefault="00C23A8B" w:rsidP="0091423A">
            <w:pPr>
              <w:pStyle w:val="Tabletext"/>
              <w:jc w:val="center"/>
              <w:rPr>
                <w:b/>
              </w:rPr>
            </w:pPr>
            <w:r w:rsidRPr="00B74BA2">
              <w:rPr>
                <w:b/>
                <w:szCs w:val="20"/>
              </w:rPr>
              <w:t>N = 53</w:t>
            </w:r>
          </w:p>
        </w:tc>
        <w:tc>
          <w:tcPr>
            <w:tcW w:w="1559" w:type="dxa"/>
            <w:vMerge w:val="restart"/>
          </w:tcPr>
          <w:p w:rsidR="00885E77" w:rsidRPr="00B74BA2" w:rsidRDefault="00885E77" w:rsidP="0091423A">
            <w:pPr>
              <w:widowControl/>
              <w:jc w:val="center"/>
              <w:rPr>
                <w:rFonts w:ascii="Arial Narrow" w:hAnsi="Arial Narrow" w:cs="Times New Roman"/>
                <w:b/>
                <w:snapToGrid/>
                <w:sz w:val="20"/>
                <w:szCs w:val="20"/>
              </w:rPr>
            </w:pPr>
            <w:r w:rsidRPr="00B74BA2">
              <w:rPr>
                <w:rFonts w:ascii="Arial Narrow" w:hAnsi="Arial Narrow" w:cs="Times New Roman"/>
                <w:b/>
                <w:snapToGrid/>
                <w:sz w:val="20"/>
                <w:szCs w:val="20"/>
              </w:rPr>
              <w:t>SOC</w:t>
            </w:r>
          </w:p>
          <w:p w:rsidR="00885E77" w:rsidRPr="00B74BA2" w:rsidRDefault="00885E77" w:rsidP="0091423A">
            <w:pPr>
              <w:widowControl/>
              <w:jc w:val="center"/>
              <w:rPr>
                <w:rFonts w:ascii="Arial Narrow" w:hAnsi="Arial Narrow" w:cs="Times New Roman"/>
                <w:b/>
                <w:snapToGrid/>
                <w:sz w:val="20"/>
                <w:szCs w:val="20"/>
              </w:rPr>
            </w:pPr>
            <w:r w:rsidRPr="00B74BA2">
              <w:rPr>
                <w:rFonts w:ascii="Arial Narrow" w:hAnsi="Arial Narrow" w:cs="Times New Roman"/>
                <w:b/>
                <w:snapToGrid/>
                <w:sz w:val="20"/>
                <w:szCs w:val="20"/>
              </w:rPr>
              <w:t>(</w:t>
            </w:r>
            <w:proofErr w:type="spellStart"/>
            <w:r w:rsidRPr="00B74BA2">
              <w:rPr>
                <w:rFonts w:ascii="Arial Narrow" w:hAnsi="Arial Narrow" w:cs="Times New Roman"/>
                <w:b/>
                <w:snapToGrid/>
                <w:sz w:val="20"/>
                <w:szCs w:val="20"/>
              </w:rPr>
              <w:t>Kuruvilla</w:t>
            </w:r>
            <w:proofErr w:type="spellEnd"/>
            <w:r w:rsidRPr="00B74BA2">
              <w:rPr>
                <w:rFonts w:ascii="Arial Narrow" w:hAnsi="Arial Narrow" w:cs="Times New Roman"/>
                <w:b/>
                <w:snapToGrid/>
                <w:sz w:val="20"/>
                <w:szCs w:val="20"/>
              </w:rPr>
              <w:t xml:space="preserve"> 2008)</w:t>
            </w:r>
          </w:p>
          <w:p w:rsidR="00C23A8B" w:rsidRPr="00B74BA2" w:rsidRDefault="00885E77" w:rsidP="0091423A">
            <w:pPr>
              <w:pStyle w:val="Tabletext"/>
              <w:jc w:val="center"/>
              <w:rPr>
                <w:b/>
                <w:szCs w:val="20"/>
              </w:rPr>
            </w:pPr>
            <w:r w:rsidRPr="00B74BA2">
              <w:rPr>
                <w:b/>
                <w:szCs w:val="20"/>
              </w:rPr>
              <w:t>N = 37</w:t>
            </w:r>
          </w:p>
        </w:tc>
      </w:tr>
      <w:tr w:rsidR="00C23A8B" w:rsidRPr="00B74BA2" w:rsidTr="00B425EC">
        <w:trPr>
          <w:tblHeader/>
        </w:trPr>
        <w:tc>
          <w:tcPr>
            <w:tcW w:w="2835" w:type="dxa"/>
            <w:tcBorders>
              <w:top w:val="nil"/>
            </w:tcBorders>
            <w:vAlign w:val="center"/>
          </w:tcPr>
          <w:p w:rsidR="00C23A8B" w:rsidRPr="00B74BA2" w:rsidRDefault="00C23A8B" w:rsidP="0091423A">
            <w:pPr>
              <w:pStyle w:val="Tabletext"/>
              <w:rPr>
                <w:b/>
              </w:rPr>
            </w:pPr>
          </w:p>
        </w:tc>
        <w:tc>
          <w:tcPr>
            <w:tcW w:w="1560" w:type="dxa"/>
          </w:tcPr>
          <w:p w:rsidR="00C23A8B" w:rsidRPr="00B74BA2" w:rsidRDefault="00C23A8B" w:rsidP="0091423A">
            <w:pPr>
              <w:pStyle w:val="Tabletext"/>
              <w:jc w:val="center"/>
              <w:rPr>
                <w:b/>
                <w:szCs w:val="20"/>
              </w:rPr>
            </w:pPr>
            <w:r w:rsidRPr="00B74BA2">
              <w:rPr>
                <w:b/>
                <w:szCs w:val="20"/>
              </w:rPr>
              <w:t>Total</w:t>
            </w:r>
          </w:p>
          <w:p w:rsidR="00C23A8B" w:rsidRPr="00B74BA2" w:rsidRDefault="00C23A8B" w:rsidP="0091423A">
            <w:pPr>
              <w:pStyle w:val="Tabletext"/>
              <w:jc w:val="center"/>
              <w:rPr>
                <w:b/>
              </w:rPr>
            </w:pPr>
            <w:r w:rsidRPr="00B74BA2">
              <w:rPr>
                <w:b/>
                <w:szCs w:val="20"/>
              </w:rPr>
              <w:t>N = 21</w:t>
            </w:r>
          </w:p>
        </w:tc>
        <w:tc>
          <w:tcPr>
            <w:tcW w:w="1559" w:type="dxa"/>
          </w:tcPr>
          <w:p w:rsidR="00C23A8B" w:rsidRPr="00B74BA2" w:rsidRDefault="00C23A8B" w:rsidP="0091423A">
            <w:pPr>
              <w:pStyle w:val="Tabletext"/>
              <w:jc w:val="center"/>
              <w:rPr>
                <w:b/>
                <w:szCs w:val="20"/>
              </w:rPr>
            </w:pPr>
            <w:r w:rsidRPr="00B74BA2">
              <w:rPr>
                <w:b/>
                <w:szCs w:val="20"/>
              </w:rPr>
              <w:t>200 mg Q3W</w:t>
            </w:r>
          </w:p>
          <w:p w:rsidR="00C23A8B" w:rsidRPr="00B74BA2" w:rsidRDefault="00C23A8B" w:rsidP="0091423A">
            <w:pPr>
              <w:pStyle w:val="Tabletext"/>
              <w:jc w:val="center"/>
              <w:rPr>
                <w:b/>
                <w:szCs w:val="20"/>
              </w:rPr>
            </w:pPr>
            <w:r w:rsidRPr="00B74BA2">
              <w:rPr>
                <w:b/>
                <w:szCs w:val="20"/>
              </w:rPr>
              <w:t>N = 11</w:t>
            </w:r>
          </w:p>
        </w:tc>
        <w:tc>
          <w:tcPr>
            <w:tcW w:w="1559" w:type="dxa"/>
            <w:vMerge/>
          </w:tcPr>
          <w:p w:rsidR="00C23A8B" w:rsidRPr="00B74BA2" w:rsidRDefault="00C23A8B" w:rsidP="0091423A">
            <w:pPr>
              <w:pStyle w:val="Tabletext"/>
              <w:jc w:val="center"/>
              <w:rPr>
                <w:b/>
              </w:rPr>
            </w:pPr>
          </w:p>
        </w:tc>
        <w:tc>
          <w:tcPr>
            <w:tcW w:w="1559" w:type="dxa"/>
            <w:vMerge/>
          </w:tcPr>
          <w:p w:rsidR="00C23A8B" w:rsidRPr="00B74BA2" w:rsidRDefault="00C23A8B" w:rsidP="0091423A">
            <w:pPr>
              <w:pStyle w:val="Tabletext"/>
              <w:jc w:val="center"/>
              <w:rPr>
                <w:b/>
              </w:rPr>
            </w:pPr>
          </w:p>
        </w:tc>
      </w:tr>
      <w:tr w:rsidR="00C23A8B" w:rsidRPr="00B74BA2" w:rsidTr="00CA03B2">
        <w:tc>
          <w:tcPr>
            <w:tcW w:w="2835" w:type="dxa"/>
            <w:vAlign w:val="center"/>
          </w:tcPr>
          <w:p w:rsidR="00C23A8B" w:rsidRPr="00B74BA2" w:rsidRDefault="00C23A8B" w:rsidP="0091423A">
            <w:pPr>
              <w:pStyle w:val="Tabletext"/>
            </w:pPr>
            <w:r w:rsidRPr="00B74BA2">
              <w:t>Patients with event, Death n (%)</w:t>
            </w:r>
          </w:p>
        </w:tc>
        <w:tc>
          <w:tcPr>
            <w:tcW w:w="1560" w:type="dxa"/>
            <w:vAlign w:val="center"/>
          </w:tcPr>
          <w:p w:rsidR="00C23A8B" w:rsidRPr="00B74BA2" w:rsidRDefault="00C23A8B" w:rsidP="0091423A">
            <w:pPr>
              <w:pStyle w:val="Tabletext"/>
              <w:jc w:val="center"/>
            </w:pPr>
            <w:r w:rsidRPr="00B74BA2">
              <w:t>8 (38.1)</w:t>
            </w:r>
          </w:p>
        </w:tc>
        <w:tc>
          <w:tcPr>
            <w:tcW w:w="1559" w:type="dxa"/>
            <w:vAlign w:val="center"/>
          </w:tcPr>
          <w:p w:rsidR="00C23A8B" w:rsidRPr="00B74BA2" w:rsidRDefault="00C23A8B" w:rsidP="0091423A">
            <w:pPr>
              <w:pStyle w:val="Tabletext"/>
              <w:jc w:val="center"/>
            </w:pPr>
            <w:r w:rsidRPr="00B74BA2">
              <w:rPr>
                <w:rFonts w:cs="TimesNewRoman"/>
                <w:szCs w:val="20"/>
                <w:lang w:eastAsia="en-AU"/>
              </w:rPr>
              <w:t>5 (45.5)</w:t>
            </w:r>
          </w:p>
        </w:tc>
        <w:tc>
          <w:tcPr>
            <w:tcW w:w="1559" w:type="dxa"/>
            <w:vAlign w:val="center"/>
          </w:tcPr>
          <w:p w:rsidR="00C23A8B" w:rsidRPr="00B74BA2" w:rsidRDefault="00C23A8B" w:rsidP="0091423A">
            <w:pPr>
              <w:pStyle w:val="Tabletext"/>
              <w:jc w:val="center"/>
            </w:pPr>
            <w:r w:rsidRPr="00B74BA2">
              <w:t>23 (43.4)</w:t>
            </w:r>
          </w:p>
        </w:tc>
        <w:tc>
          <w:tcPr>
            <w:tcW w:w="1559" w:type="dxa"/>
            <w:vAlign w:val="center"/>
          </w:tcPr>
          <w:p w:rsidR="00C23A8B" w:rsidRPr="00B74BA2" w:rsidRDefault="00B71F69" w:rsidP="0091423A">
            <w:pPr>
              <w:pStyle w:val="Tabletext"/>
              <w:jc w:val="center"/>
            </w:pPr>
            <w:r w:rsidRPr="00B74BA2">
              <w:t>NA</w:t>
            </w:r>
          </w:p>
        </w:tc>
      </w:tr>
      <w:tr w:rsidR="00C23A8B" w:rsidRPr="00B74BA2" w:rsidTr="00CA03B2">
        <w:tc>
          <w:tcPr>
            <w:tcW w:w="2835" w:type="dxa"/>
            <w:vAlign w:val="center"/>
          </w:tcPr>
          <w:p w:rsidR="00C23A8B" w:rsidRPr="00B74BA2" w:rsidRDefault="00C23A8B" w:rsidP="0091423A">
            <w:pPr>
              <w:pStyle w:val="Tabletext"/>
            </w:pPr>
            <w:r w:rsidRPr="00B74BA2">
              <w:t>Median months OS (95% CI)</w:t>
            </w:r>
          </w:p>
        </w:tc>
        <w:tc>
          <w:tcPr>
            <w:tcW w:w="1560" w:type="dxa"/>
            <w:vAlign w:val="center"/>
          </w:tcPr>
          <w:p w:rsidR="00C23A8B" w:rsidRPr="00B74BA2" w:rsidRDefault="00C23A8B" w:rsidP="0091423A">
            <w:pPr>
              <w:pStyle w:val="Tabletext"/>
              <w:jc w:val="center"/>
            </w:pPr>
            <w:r w:rsidRPr="00B74BA2">
              <w:t>Not reached</w:t>
            </w:r>
          </w:p>
        </w:tc>
        <w:tc>
          <w:tcPr>
            <w:tcW w:w="1559" w:type="dxa"/>
            <w:vAlign w:val="center"/>
          </w:tcPr>
          <w:p w:rsidR="00C23A8B" w:rsidRPr="00B74BA2" w:rsidRDefault="00C23A8B" w:rsidP="0091423A">
            <w:pPr>
              <w:pStyle w:val="Tabletext"/>
              <w:jc w:val="center"/>
            </w:pPr>
            <w:r w:rsidRPr="00B74BA2">
              <w:t>Not reached</w:t>
            </w:r>
          </w:p>
        </w:tc>
        <w:tc>
          <w:tcPr>
            <w:tcW w:w="1559" w:type="dxa"/>
            <w:vAlign w:val="center"/>
          </w:tcPr>
          <w:p w:rsidR="00C23A8B" w:rsidRPr="00B74BA2" w:rsidRDefault="00C23A8B" w:rsidP="0091423A">
            <w:pPr>
              <w:pStyle w:val="Tabletext"/>
              <w:jc w:val="center"/>
            </w:pPr>
            <w:r w:rsidRPr="00B74BA2">
              <w:t>Not reached</w:t>
            </w:r>
          </w:p>
        </w:tc>
        <w:tc>
          <w:tcPr>
            <w:tcW w:w="1559" w:type="dxa"/>
            <w:vAlign w:val="center"/>
          </w:tcPr>
          <w:p w:rsidR="00C23A8B" w:rsidRPr="00B74BA2" w:rsidRDefault="00B71F69" w:rsidP="0091423A">
            <w:pPr>
              <w:pStyle w:val="Tabletext"/>
              <w:jc w:val="center"/>
            </w:pPr>
            <w:r w:rsidRPr="00B74BA2">
              <w:t>NA</w:t>
            </w:r>
          </w:p>
        </w:tc>
      </w:tr>
      <w:tr w:rsidR="00C23A8B" w:rsidRPr="00B74BA2" w:rsidTr="00CA03B2">
        <w:tc>
          <w:tcPr>
            <w:tcW w:w="2835" w:type="dxa"/>
          </w:tcPr>
          <w:p w:rsidR="00C23A8B" w:rsidRPr="00B74BA2" w:rsidRDefault="00C23A8B" w:rsidP="0091423A">
            <w:pPr>
              <w:pStyle w:val="Tabletext"/>
              <w:rPr>
                <w:szCs w:val="20"/>
              </w:rPr>
            </w:pPr>
            <w:r w:rsidRPr="00B74BA2">
              <w:rPr>
                <w:szCs w:val="20"/>
              </w:rPr>
              <w:t>95% CI for Median OS†</w:t>
            </w:r>
          </w:p>
        </w:tc>
        <w:tc>
          <w:tcPr>
            <w:tcW w:w="1560" w:type="dxa"/>
            <w:vAlign w:val="center"/>
          </w:tcPr>
          <w:p w:rsidR="00C23A8B" w:rsidRPr="00B74BA2" w:rsidRDefault="00C23A8B" w:rsidP="0091423A">
            <w:pPr>
              <w:pStyle w:val="Tabletext"/>
              <w:jc w:val="center"/>
            </w:pPr>
            <w:r w:rsidRPr="00B74BA2">
              <w:t>(4.9, Not reached)</w:t>
            </w:r>
          </w:p>
        </w:tc>
        <w:tc>
          <w:tcPr>
            <w:tcW w:w="1559" w:type="dxa"/>
            <w:vAlign w:val="center"/>
          </w:tcPr>
          <w:p w:rsidR="00C23A8B" w:rsidRPr="00B74BA2" w:rsidRDefault="00C23A8B" w:rsidP="0091423A">
            <w:pPr>
              <w:pStyle w:val="Tabletext"/>
              <w:jc w:val="center"/>
            </w:pPr>
            <w:r w:rsidRPr="00B74BA2">
              <w:t>(1.0, Not reached)</w:t>
            </w:r>
          </w:p>
        </w:tc>
        <w:tc>
          <w:tcPr>
            <w:tcW w:w="1559" w:type="dxa"/>
            <w:vAlign w:val="center"/>
          </w:tcPr>
          <w:p w:rsidR="00C23A8B" w:rsidRPr="00B74BA2" w:rsidRDefault="00C23A8B" w:rsidP="0091423A">
            <w:pPr>
              <w:pStyle w:val="Tabletext"/>
              <w:jc w:val="center"/>
            </w:pPr>
            <w:r w:rsidRPr="00B74BA2">
              <w:t>(7.3, Not reached)</w:t>
            </w:r>
          </w:p>
        </w:tc>
        <w:tc>
          <w:tcPr>
            <w:tcW w:w="1559" w:type="dxa"/>
            <w:vAlign w:val="center"/>
          </w:tcPr>
          <w:p w:rsidR="00C23A8B" w:rsidRPr="00B74BA2" w:rsidRDefault="00B71F69" w:rsidP="0091423A">
            <w:pPr>
              <w:pStyle w:val="Tabletext"/>
              <w:jc w:val="center"/>
            </w:pPr>
            <w:r w:rsidRPr="00B74BA2">
              <w:t>NA</w:t>
            </w:r>
          </w:p>
        </w:tc>
      </w:tr>
      <w:tr w:rsidR="00C23A8B" w:rsidRPr="00B74BA2" w:rsidTr="00CA03B2">
        <w:tc>
          <w:tcPr>
            <w:tcW w:w="2835" w:type="dxa"/>
          </w:tcPr>
          <w:p w:rsidR="00C23A8B" w:rsidRPr="00B74BA2" w:rsidRDefault="00C23A8B" w:rsidP="0091423A">
            <w:pPr>
              <w:pStyle w:val="Tabletext"/>
            </w:pPr>
            <w:r w:rsidRPr="00B74BA2">
              <w:rPr>
                <w:szCs w:val="20"/>
              </w:rPr>
              <w:t>OS rate at 6 Months</w:t>
            </w:r>
            <w:r w:rsidR="0093446C" w:rsidRPr="00B74BA2">
              <w:rPr>
                <w:szCs w:val="20"/>
              </w:rPr>
              <w:t>,</w:t>
            </w:r>
            <w:r w:rsidRPr="00B74BA2">
              <w:rPr>
                <w:szCs w:val="20"/>
              </w:rPr>
              <w:t xml:space="preserve"> % † </w:t>
            </w:r>
          </w:p>
        </w:tc>
        <w:tc>
          <w:tcPr>
            <w:tcW w:w="1560" w:type="dxa"/>
            <w:vAlign w:val="center"/>
          </w:tcPr>
          <w:p w:rsidR="00C23A8B" w:rsidRPr="00B74BA2" w:rsidRDefault="00C23A8B" w:rsidP="0091423A">
            <w:pPr>
              <w:pStyle w:val="Tabletext"/>
              <w:jc w:val="center"/>
            </w:pPr>
            <w:r w:rsidRPr="00B74BA2">
              <w:t>71</w:t>
            </w:r>
            <w:r w:rsidR="008D2299" w:rsidRPr="00B74BA2">
              <w:t>%</w:t>
            </w:r>
          </w:p>
        </w:tc>
        <w:tc>
          <w:tcPr>
            <w:tcW w:w="1559" w:type="dxa"/>
            <w:vAlign w:val="center"/>
          </w:tcPr>
          <w:p w:rsidR="00C23A8B" w:rsidRPr="00B74BA2" w:rsidRDefault="00C23A8B" w:rsidP="0091423A">
            <w:pPr>
              <w:pStyle w:val="Tabletext"/>
              <w:jc w:val="center"/>
            </w:pPr>
            <w:r w:rsidRPr="00B74BA2">
              <w:t>6</w:t>
            </w:r>
            <w:r w:rsidR="008D2299" w:rsidRPr="00B74BA2">
              <w:t>4%</w:t>
            </w:r>
          </w:p>
        </w:tc>
        <w:tc>
          <w:tcPr>
            <w:tcW w:w="1559" w:type="dxa"/>
            <w:vAlign w:val="center"/>
          </w:tcPr>
          <w:p w:rsidR="00C23A8B" w:rsidRPr="00B74BA2" w:rsidRDefault="008D2299" w:rsidP="0091423A">
            <w:pPr>
              <w:pStyle w:val="Tabletext"/>
              <w:jc w:val="center"/>
            </w:pPr>
            <w:r w:rsidRPr="00B74BA2">
              <w:t>70%</w:t>
            </w:r>
          </w:p>
        </w:tc>
        <w:tc>
          <w:tcPr>
            <w:tcW w:w="1559" w:type="dxa"/>
            <w:vAlign w:val="center"/>
          </w:tcPr>
          <w:p w:rsidR="00C23A8B" w:rsidRPr="00B74BA2" w:rsidRDefault="00885E77" w:rsidP="0091423A">
            <w:pPr>
              <w:pStyle w:val="Tabletext"/>
              <w:jc w:val="center"/>
            </w:pPr>
            <w:r w:rsidRPr="00B74BA2">
              <w:t>65%</w:t>
            </w:r>
            <w:r w:rsidR="00182555" w:rsidRPr="00B74BA2">
              <w:rPr>
                <w:szCs w:val="20"/>
                <w:vertAlign w:val="superscript"/>
              </w:rPr>
              <w:t>††</w:t>
            </w:r>
          </w:p>
        </w:tc>
      </w:tr>
      <w:tr w:rsidR="00C23A8B" w:rsidRPr="00B74BA2" w:rsidTr="00CA03B2">
        <w:tc>
          <w:tcPr>
            <w:tcW w:w="2835" w:type="dxa"/>
          </w:tcPr>
          <w:p w:rsidR="00C23A8B" w:rsidRPr="00B74BA2" w:rsidRDefault="00C23A8B" w:rsidP="0091423A">
            <w:pPr>
              <w:pStyle w:val="Tabletext"/>
            </w:pPr>
            <w:r w:rsidRPr="00B74BA2">
              <w:rPr>
                <w:szCs w:val="20"/>
              </w:rPr>
              <w:t>OS rate at 12 Months</w:t>
            </w:r>
            <w:r w:rsidR="0093446C" w:rsidRPr="00B74BA2">
              <w:rPr>
                <w:szCs w:val="20"/>
              </w:rPr>
              <w:t>,</w:t>
            </w:r>
            <w:r w:rsidRPr="00B74BA2">
              <w:rPr>
                <w:szCs w:val="20"/>
              </w:rPr>
              <w:t xml:space="preserve"> % †</w:t>
            </w:r>
          </w:p>
        </w:tc>
        <w:tc>
          <w:tcPr>
            <w:tcW w:w="1560" w:type="dxa"/>
            <w:vAlign w:val="center"/>
          </w:tcPr>
          <w:p w:rsidR="00C23A8B" w:rsidRPr="00B74BA2" w:rsidRDefault="00C23A8B" w:rsidP="0091423A">
            <w:pPr>
              <w:pStyle w:val="Tabletext"/>
              <w:jc w:val="center"/>
            </w:pPr>
            <w:r w:rsidRPr="00B74BA2">
              <w:t>6</w:t>
            </w:r>
            <w:r w:rsidR="008D2299" w:rsidRPr="00B74BA2">
              <w:t>6%</w:t>
            </w:r>
          </w:p>
        </w:tc>
        <w:tc>
          <w:tcPr>
            <w:tcW w:w="1559" w:type="dxa"/>
            <w:vAlign w:val="center"/>
          </w:tcPr>
          <w:p w:rsidR="00C23A8B" w:rsidRPr="00B74BA2" w:rsidRDefault="00C23A8B" w:rsidP="0091423A">
            <w:pPr>
              <w:pStyle w:val="Tabletext"/>
              <w:jc w:val="center"/>
            </w:pPr>
            <w:r w:rsidRPr="00B74BA2">
              <w:t>5</w:t>
            </w:r>
            <w:r w:rsidR="008D2299" w:rsidRPr="00B74BA2">
              <w:t>1%</w:t>
            </w:r>
          </w:p>
        </w:tc>
        <w:tc>
          <w:tcPr>
            <w:tcW w:w="1559" w:type="dxa"/>
            <w:vAlign w:val="center"/>
          </w:tcPr>
          <w:p w:rsidR="00C23A8B" w:rsidRPr="00B74BA2" w:rsidRDefault="00C23A8B" w:rsidP="0091423A">
            <w:pPr>
              <w:pStyle w:val="Tabletext"/>
              <w:jc w:val="center"/>
            </w:pPr>
            <w:r w:rsidRPr="00B74BA2">
              <w:t>5</w:t>
            </w:r>
            <w:r w:rsidR="008D2299" w:rsidRPr="00B74BA2">
              <w:t>8%</w:t>
            </w:r>
          </w:p>
        </w:tc>
        <w:tc>
          <w:tcPr>
            <w:tcW w:w="1559" w:type="dxa"/>
            <w:vAlign w:val="center"/>
          </w:tcPr>
          <w:p w:rsidR="00C23A8B" w:rsidRPr="00B74BA2" w:rsidRDefault="00885E77" w:rsidP="0091423A">
            <w:pPr>
              <w:pStyle w:val="Tabletext"/>
              <w:jc w:val="center"/>
            </w:pPr>
            <w:r w:rsidRPr="00B74BA2">
              <w:t>35%</w:t>
            </w:r>
            <w:r w:rsidR="00182555" w:rsidRPr="00B74BA2">
              <w:rPr>
                <w:szCs w:val="20"/>
                <w:vertAlign w:val="superscript"/>
              </w:rPr>
              <w:t>††</w:t>
            </w:r>
          </w:p>
        </w:tc>
      </w:tr>
      <w:tr w:rsidR="00B71F69" w:rsidRPr="00B74BA2" w:rsidTr="00CA03B2">
        <w:tc>
          <w:tcPr>
            <w:tcW w:w="2835" w:type="dxa"/>
          </w:tcPr>
          <w:p w:rsidR="00B71F69" w:rsidRPr="00B74BA2" w:rsidRDefault="00B71F69" w:rsidP="0091423A">
            <w:pPr>
              <w:pStyle w:val="Tabletext"/>
              <w:rPr>
                <w:szCs w:val="20"/>
              </w:rPr>
            </w:pPr>
            <w:r w:rsidRPr="00B74BA2">
              <w:rPr>
                <w:szCs w:val="20"/>
              </w:rPr>
              <w:t>OS at 2 years post progression, %</w:t>
            </w:r>
          </w:p>
        </w:tc>
        <w:tc>
          <w:tcPr>
            <w:tcW w:w="1560" w:type="dxa"/>
            <w:vAlign w:val="center"/>
          </w:tcPr>
          <w:p w:rsidR="00B71F69" w:rsidRPr="00B74BA2" w:rsidRDefault="00B71F69" w:rsidP="0091423A">
            <w:pPr>
              <w:pStyle w:val="Tabletext"/>
              <w:jc w:val="center"/>
            </w:pPr>
            <w:r w:rsidRPr="00B74BA2">
              <w:t>NA</w:t>
            </w:r>
          </w:p>
        </w:tc>
        <w:tc>
          <w:tcPr>
            <w:tcW w:w="1559" w:type="dxa"/>
            <w:vAlign w:val="center"/>
          </w:tcPr>
          <w:p w:rsidR="00B71F69" w:rsidRPr="00B74BA2" w:rsidRDefault="00B71F69" w:rsidP="0091423A">
            <w:pPr>
              <w:pStyle w:val="Tabletext"/>
              <w:jc w:val="center"/>
            </w:pPr>
            <w:r w:rsidRPr="00B74BA2">
              <w:t>NA</w:t>
            </w:r>
          </w:p>
        </w:tc>
        <w:tc>
          <w:tcPr>
            <w:tcW w:w="1559" w:type="dxa"/>
            <w:vAlign w:val="center"/>
          </w:tcPr>
          <w:p w:rsidR="00B71F69" w:rsidRPr="00B74BA2" w:rsidRDefault="00B71F69" w:rsidP="0091423A">
            <w:pPr>
              <w:pStyle w:val="Tabletext"/>
              <w:jc w:val="center"/>
            </w:pPr>
            <w:r w:rsidRPr="00B74BA2">
              <w:t>NA</w:t>
            </w:r>
          </w:p>
        </w:tc>
        <w:tc>
          <w:tcPr>
            <w:tcW w:w="1559" w:type="dxa"/>
            <w:vAlign w:val="center"/>
          </w:tcPr>
          <w:p w:rsidR="00B71F69" w:rsidRPr="00B74BA2" w:rsidRDefault="00B71F69" w:rsidP="0091423A">
            <w:pPr>
              <w:pStyle w:val="Tabletext"/>
              <w:jc w:val="center"/>
            </w:pPr>
            <w:r w:rsidRPr="00B74BA2">
              <w:t>15%</w:t>
            </w:r>
          </w:p>
        </w:tc>
      </w:tr>
    </w:tbl>
    <w:p w:rsidR="005D4DB8" w:rsidRPr="00B74BA2" w:rsidRDefault="005D4DB8" w:rsidP="0091423A">
      <w:pPr>
        <w:pStyle w:val="TableFooter"/>
        <w:widowControl/>
        <w:rPr>
          <w:sz w:val="16"/>
          <w:szCs w:val="16"/>
        </w:rPr>
      </w:pPr>
      <w:r w:rsidRPr="00B74BA2">
        <w:rPr>
          <w:sz w:val="16"/>
          <w:szCs w:val="16"/>
        </w:rPr>
        <w:t>Source: Table 11-5, p62,</w:t>
      </w:r>
      <w:r w:rsidR="00881371" w:rsidRPr="00B74BA2">
        <w:rPr>
          <w:sz w:val="16"/>
          <w:szCs w:val="16"/>
        </w:rPr>
        <w:t xml:space="preserve"> and Table 14.2-30, p155, KN</w:t>
      </w:r>
      <w:r w:rsidRPr="00B74BA2">
        <w:rPr>
          <w:sz w:val="16"/>
          <w:szCs w:val="16"/>
        </w:rPr>
        <w:t>013 CSR, and Table 2.7.3-pmbcl</w:t>
      </w:r>
      <w:proofErr w:type="gramStart"/>
      <w:r w:rsidRPr="00B74BA2">
        <w:rPr>
          <w:sz w:val="16"/>
          <w:szCs w:val="16"/>
        </w:rPr>
        <w:t>:13</w:t>
      </w:r>
      <w:proofErr w:type="gramEnd"/>
      <w:r w:rsidRPr="00B74BA2">
        <w:rPr>
          <w:sz w:val="16"/>
          <w:szCs w:val="16"/>
        </w:rPr>
        <w:t>, 20, KN170 efficacy update CSR</w:t>
      </w:r>
      <w:r w:rsidR="00885E77" w:rsidRPr="00B74BA2">
        <w:rPr>
          <w:sz w:val="16"/>
          <w:szCs w:val="16"/>
        </w:rPr>
        <w:t xml:space="preserve">; </w:t>
      </w:r>
      <w:proofErr w:type="spellStart"/>
      <w:r w:rsidR="00885E77" w:rsidRPr="00B74BA2">
        <w:rPr>
          <w:sz w:val="16"/>
          <w:szCs w:val="16"/>
        </w:rPr>
        <w:t>Kuruvilla</w:t>
      </w:r>
      <w:proofErr w:type="spellEnd"/>
      <w:r w:rsidR="00885E77" w:rsidRPr="00B74BA2">
        <w:rPr>
          <w:sz w:val="16"/>
          <w:szCs w:val="16"/>
        </w:rPr>
        <w:t xml:space="preserve"> 2008 rates adapted from economic model </w:t>
      </w:r>
      <w:proofErr w:type="spellStart"/>
      <w:r w:rsidR="00885E77" w:rsidRPr="00B74BA2">
        <w:rPr>
          <w:sz w:val="16"/>
          <w:szCs w:val="16"/>
        </w:rPr>
        <w:t>Inputs_SurvivalCurveData</w:t>
      </w:r>
      <w:proofErr w:type="spellEnd"/>
      <w:r w:rsidR="00885E77" w:rsidRPr="00B74BA2">
        <w:rPr>
          <w:sz w:val="16"/>
          <w:szCs w:val="16"/>
        </w:rPr>
        <w:t xml:space="preserve"> </w:t>
      </w:r>
      <w:r w:rsidR="008B3C7A" w:rsidRPr="00B74BA2">
        <w:rPr>
          <w:sz w:val="16"/>
          <w:szCs w:val="16"/>
        </w:rPr>
        <w:t>excel sheet</w:t>
      </w:r>
      <w:r w:rsidR="00885E77" w:rsidRPr="00B74BA2">
        <w:rPr>
          <w:sz w:val="16"/>
          <w:szCs w:val="16"/>
        </w:rPr>
        <w:t xml:space="preserve">, from Att.8 excel workbook, in the </w:t>
      </w:r>
      <w:r w:rsidR="008B3C7A" w:rsidRPr="00B74BA2">
        <w:rPr>
          <w:sz w:val="16"/>
          <w:szCs w:val="16"/>
        </w:rPr>
        <w:t>submission</w:t>
      </w:r>
      <w:r w:rsidR="00885E77" w:rsidRPr="00B74BA2">
        <w:rPr>
          <w:sz w:val="16"/>
          <w:szCs w:val="16"/>
        </w:rPr>
        <w:t>.</w:t>
      </w:r>
    </w:p>
    <w:p w:rsidR="005D4DB8" w:rsidRPr="00B74BA2" w:rsidRDefault="005D4DB8" w:rsidP="0091423A">
      <w:pPr>
        <w:pStyle w:val="TableFooter"/>
        <w:widowControl/>
        <w:rPr>
          <w:rFonts w:eastAsia="Calibri"/>
          <w:sz w:val="16"/>
          <w:szCs w:val="16"/>
        </w:rPr>
      </w:pPr>
      <w:r w:rsidRPr="00B74BA2">
        <w:rPr>
          <w:rFonts w:eastAsia="Calibri"/>
          <w:sz w:val="16"/>
          <w:szCs w:val="16"/>
        </w:rPr>
        <w:t>Abbreviations: CI = confidence interval; n = number of participants with event; N = total participants in group</w:t>
      </w:r>
      <w:r w:rsidR="00885E77" w:rsidRPr="00B74BA2">
        <w:rPr>
          <w:rFonts w:eastAsia="Calibri"/>
          <w:sz w:val="16"/>
          <w:szCs w:val="16"/>
        </w:rPr>
        <w:t>; NA = not applicable</w:t>
      </w:r>
    </w:p>
    <w:p w:rsidR="00FA0323" w:rsidRPr="00B74BA2" w:rsidRDefault="005D4DB8" w:rsidP="0091423A">
      <w:pPr>
        <w:pStyle w:val="TableFooter"/>
        <w:widowControl/>
        <w:rPr>
          <w:rFonts w:eastAsia="Calibri"/>
          <w:sz w:val="16"/>
          <w:szCs w:val="16"/>
        </w:rPr>
      </w:pPr>
      <w:r w:rsidRPr="00B74BA2">
        <w:rPr>
          <w:rFonts w:eastAsia="Calibri"/>
          <w:sz w:val="16"/>
          <w:szCs w:val="16"/>
        </w:rPr>
        <w:t>Notes:</w:t>
      </w:r>
      <w:r w:rsidRPr="00B74BA2">
        <w:rPr>
          <w:sz w:val="16"/>
          <w:szCs w:val="16"/>
        </w:rPr>
        <w:t xml:space="preserve"> </w:t>
      </w:r>
      <w:r w:rsidRPr="00B74BA2">
        <w:rPr>
          <w:rFonts w:eastAsia="Calibri"/>
          <w:sz w:val="16"/>
          <w:szCs w:val="16"/>
        </w:rPr>
        <w:t>† From product-limit (Kaplan-Meier) method for censored data.</w:t>
      </w:r>
      <w:r w:rsidR="00182555" w:rsidRPr="00B74BA2">
        <w:rPr>
          <w:rFonts w:eastAsia="Calibri"/>
          <w:sz w:val="16"/>
          <w:szCs w:val="16"/>
        </w:rPr>
        <w:t xml:space="preserve"> </w:t>
      </w:r>
    </w:p>
    <w:p w:rsidR="00CE4FDC" w:rsidRPr="00B74BA2" w:rsidRDefault="00182555" w:rsidP="007A3517">
      <w:pPr>
        <w:pStyle w:val="TableFooter"/>
        <w:widowControl/>
        <w:spacing w:after="240"/>
        <w:rPr>
          <w:sz w:val="16"/>
          <w:szCs w:val="16"/>
        </w:rPr>
      </w:pPr>
      <w:r w:rsidRPr="00B74BA2">
        <w:rPr>
          <w:sz w:val="16"/>
          <w:szCs w:val="16"/>
          <w:vertAlign w:val="superscript"/>
        </w:rPr>
        <w:t xml:space="preserve">†† </w:t>
      </w:r>
      <w:r w:rsidRPr="00B74BA2">
        <w:rPr>
          <w:sz w:val="16"/>
          <w:szCs w:val="16"/>
        </w:rPr>
        <w:t xml:space="preserve">OS for SOC at 6 and 12 months were as reported in the digitised KM curves from </w:t>
      </w:r>
      <w:proofErr w:type="spellStart"/>
      <w:r w:rsidRPr="00B74BA2">
        <w:rPr>
          <w:sz w:val="16"/>
          <w:szCs w:val="16"/>
        </w:rPr>
        <w:t>Kuruvilla</w:t>
      </w:r>
      <w:proofErr w:type="spellEnd"/>
      <w:r w:rsidRPr="00B74BA2">
        <w:rPr>
          <w:sz w:val="16"/>
          <w:szCs w:val="16"/>
        </w:rPr>
        <w:t xml:space="preserve"> 2008 included in the Section 3 (Economic Model) workbook accompanying the submission.</w:t>
      </w:r>
    </w:p>
    <w:p w:rsidR="005D4DB8" w:rsidRPr="00B74BA2" w:rsidRDefault="005D4DB8" w:rsidP="0091423A">
      <w:pPr>
        <w:keepNext/>
        <w:widowControl/>
        <w:rPr>
          <w:rStyle w:val="CommentReference"/>
        </w:rPr>
      </w:pPr>
      <w:r w:rsidRPr="00B74BA2">
        <w:rPr>
          <w:rStyle w:val="CommentReference"/>
        </w:rPr>
        <w:t>Figure 2</w:t>
      </w:r>
      <w:r w:rsidR="004D0344" w:rsidRPr="00B74BA2">
        <w:rPr>
          <w:rStyle w:val="CommentReference"/>
        </w:rPr>
        <w:t>:</w:t>
      </w:r>
      <w:r w:rsidRPr="00B74BA2">
        <w:rPr>
          <w:rStyle w:val="CommentReference"/>
        </w:rPr>
        <w:t xml:space="preserve"> Kaplan-Meier curves for OS for pembrolizumab in patients with R/R PMBCL (KN013 and KN170)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aplan-Meier curves for OS for pembrolizumab in patients with R/R PMBCL (KN013 and KN170)"/>
      </w:tblPr>
      <w:tblGrid>
        <w:gridCol w:w="4508"/>
        <w:gridCol w:w="4509"/>
      </w:tblGrid>
      <w:tr w:rsidR="005D4DB8" w:rsidRPr="00B74BA2" w:rsidTr="005D4DB8">
        <w:tc>
          <w:tcPr>
            <w:tcW w:w="4508" w:type="dxa"/>
          </w:tcPr>
          <w:p w:rsidR="005D4DB8" w:rsidRPr="00B74BA2" w:rsidRDefault="005D4DB8" w:rsidP="0091423A">
            <w:pPr>
              <w:keepNext/>
              <w:widowControl/>
              <w:jc w:val="center"/>
              <w:rPr>
                <w:rStyle w:val="CommentReference"/>
              </w:rPr>
            </w:pPr>
            <w:r w:rsidRPr="00B74BA2">
              <w:rPr>
                <w:rStyle w:val="CommentReference"/>
              </w:rPr>
              <w:t>KN013 (N=21)</w:t>
            </w:r>
          </w:p>
        </w:tc>
        <w:tc>
          <w:tcPr>
            <w:tcW w:w="4509" w:type="dxa"/>
          </w:tcPr>
          <w:p w:rsidR="005D4DB8" w:rsidRPr="00B74BA2" w:rsidRDefault="005D4DB8" w:rsidP="0091423A">
            <w:pPr>
              <w:keepNext/>
              <w:widowControl/>
              <w:jc w:val="center"/>
              <w:rPr>
                <w:rStyle w:val="CommentReference"/>
              </w:rPr>
            </w:pPr>
            <w:r w:rsidRPr="00B74BA2">
              <w:rPr>
                <w:rStyle w:val="CommentReference"/>
              </w:rPr>
              <w:t>KN170 (N = 53)</w:t>
            </w:r>
          </w:p>
        </w:tc>
      </w:tr>
      <w:tr w:rsidR="005D4DB8" w:rsidRPr="00B74BA2" w:rsidTr="005D4DB8">
        <w:tc>
          <w:tcPr>
            <w:tcW w:w="4508" w:type="dxa"/>
          </w:tcPr>
          <w:p w:rsidR="005D4DB8" w:rsidRPr="00B74BA2" w:rsidRDefault="005D4DB8" w:rsidP="0091423A">
            <w:pPr>
              <w:keepNext/>
              <w:widowControl/>
              <w:rPr>
                <w:rStyle w:val="CommentReference"/>
              </w:rPr>
            </w:pPr>
            <w:r w:rsidRPr="00B74BA2">
              <w:rPr>
                <w:noProof/>
                <w:snapToGrid/>
                <w:lang w:eastAsia="en-AU"/>
              </w:rPr>
              <w:drawing>
                <wp:inline distT="0" distB="0" distL="0" distR="0" wp14:anchorId="12044E03" wp14:editId="4A317F90">
                  <wp:extent cx="2566198" cy="1678675"/>
                  <wp:effectExtent l="0" t="0" r="571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582129" cy="1689096"/>
                          </a:xfrm>
                          <a:prstGeom prst="rect">
                            <a:avLst/>
                          </a:prstGeom>
                        </pic:spPr>
                      </pic:pic>
                    </a:graphicData>
                  </a:graphic>
                </wp:inline>
              </w:drawing>
            </w:r>
          </w:p>
        </w:tc>
        <w:tc>
          <w:tcPr>
            <w:tcW w:w="4509" w:type="dxa"/>
          </w:tcPr>
          <w:p w:rsidR="005D4DB8" w:rsidRPr="00B74BA2" w:rsidRDefault="005D4DB8" w:rsidP="0091423A">
            <w:pPr>
              <w:keepNext/>
              <w:widowControl/>
              <w:rPr>
                <w:rStyle w:val="CommentReference"/>
              </w:rPr>
            </w:pPr>
            <w:r w:rsidRPr="00B74BA2">
              <w:rPr>
                <w:noProof/>
                <w:snapToGrid/>
                <w:lang w:eastAsia="en-AU"/>
              </w:rPr>
              <w:drawing>
                <wp:inline distT="0" distB="0" distL="0" distR="0" wp14:anchorId="67F7932C" wp14:editId="1FD5F35A">
                  <wp:extent cx="2552131" cy="1724886"/>
                  <wp:effectExtent l="0" t="0" r="635" b="889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575303" cy="1740547"/>
                          </a:xfrm>
                          <a:prstGeom prst="rect">
                            <a:avLst/>
                          </a:prstGeom>
                        </pic:spPr>
                      </pic:pic>
                    </a:graphicData>
                  </a:graphic>
                </wp:inline>
              </w:drawing>
            </w:r>
          </w:p>
        </w:tc>
      </w:tr>
    </w:tbl>
    <w:p w:rsidR="005D4DB8" w:rsidRPr="00B74BA2" w:rsidRDefault="005D4DB8" w:rsidP="0091423A">
      <w:pPr>
        <w:widowControl/>
        <w:rPr>
          <w:rStyle w:val="CommentReference"/>
          <w:b w:val="0"/>
          <w:sz w:val="18"/>
          <w:szCs w:val="18"/>
        </w:rPr>
      </w:pPr>
      <w:r w:rsidRPr="00B74BA2">
        <w:rPr>
          <w:rStyle w:val="CommentReference"/>
          <w:b w:val="0"/>
          <w:sz w:val="18"/>
          <w:szCs w:val="18"/>
        </w:rPr>
        <w:t>Source: Figure 2.5 – 3, p43 and Figure 2.5 – 4, p44, of the submission. Abbreviations: OS = overall survival.</w:t>
      </w:r>
    </w:p>
    <w:p w:rsidR="005D4DB8" w:rsidRPr="00B74BA2" w:rsidRDefault="005D4DB8" w:rsidP="0091423A">
      <w:pPr>
        <w:keepNext/>
        <w:widowControl/>
        <w:rPr>
          <w:rStyle w:val="CommentReference"/>
        </w:rPr>
      </w:pPr>
    </w:p>
    <w:p w:rsidR="005D4DB8" w:rsidRPr="00B74BA2" w:rsidRDefault="005D4DB8" w:rsidP="0091423A">
      <w:pPr>
        <w:keepNext/>
        <w:widowControl/>
        <w:rPr>
          <w:rStyle w:val="CommentReference"/>
        </w:rPr>
      </w:pPr>
      <w:r w:rsidRPr="00B74BA2">
        <w:rPr>
          <w:rStyle w:val="CommentReference"/>
        </w:rPr>
        <w:t>Figure 3</w:t>
      </w:r>
      <w:r w:rsidR="004D0344" w:rsidRPr="00B74BA2">
        <w:rPr>
          <w:rStyle w:val="CommentReference"/>
        </w:rPr>
        <w:t>:</w:t>
      </w:r>
      <w:r w:rsidRPr="00B74BA2">
        <w:rPr>
          <w:rStyle w:val="CommentReference"/>
        </w:rPr>
        <w:t xml:space="preserve"> Kaplan-Meier curves for OS for SOC in patients with R/R PMBCL (</w:t>
      </w:r>
      <w:proofErr w:type="spellStart"/>
      <w:r w:rsidRPr="00B74BA2">
        <w:rPr>
          <w:rStyle w:val="CommentReference"/>
        </w:rPr>
        <w:t>Kuruvilla</w:t>
      </w:r>
      <w:proofErr w:type="spellEnd"/>
      <w:r w:rsidRPr="00B74BA2">
        <w:rPr>
          <w:rStyle w:val="CommentReference"/>
        </w:rPr>
        <w:t xml:space="preserve"> 2008)</w:t>
      </w:r>
    </w:p>
    <w:p w:rsidR="005D4DB8" w:rsidRPr="00B74BA2" w:rsidRDefault="005D4DB8" w:rsidP="0091423A">
      <w:pPr>
        <w:keepNext/>
        <w:widowControl/>
        <w:rPr>
          <w:rStyle w:val="CommentReference"/>
        </w:rPr>
      </w:pPr>
      <w:r w:rsidRPr="00B74BA2">
        <w:rPr>
          <w:rStyle w:val="CommentReference"/>
          <w:noProof/>
          <w:lang w:eastAsia="en-AU"/>
        </w:rPr>
        <w:drawing>
          <wp:inline distT="0" distB="0" distL="0" distR="0" wp14:anchorId="6DE57A8A" wp14:editId="4BF69F91">
            <wp:extent cx="2858982" cy="204787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6874" cy="2053528"/>
                    </a:xfrm>
                    <a:prstGeom prst="rect">
                      <a:avLst/>
                    </a:prstGeom>
                    <a:noFill/>
                  </pic:spPr>
                </pic:pic>
              </a:graphicData>
            </a:graphic>
          </wp:inline>
        </w:drawing>
      </w:r>
    </w:p>
    <w:p w:rsidR="005D4DB8" w:rsidRPr="007A3517" w:rsidRDefault="005D4DB8" w:rsidP="007A3517">
      <w:pPr>
        <w:keepNext/>
        <w:widowControl/>
        <w:spacing w:after="240"/>
        <w:rPr>
          <w:rStyle w:val="CommentReference"/>
          <w:b w:val="0"/>
          <w:sz w:val="18"/>
          <w:szCs w:val="18"/>
        </w:rPr>
      </w:pPr>
      <w:r w:rsidRPr="00B74BA2">
        <w:rPr>
          <w:rStyle w:val="CommentReference"/>
          <w:b w:val="0"/>
          <w:sz w:val="18"/>
          <w:szCs w:val="18"/>
        </w:rPr>
        <w:t xml:space="preserve">Source: Figure 2.5 – 5, p45, of the submission. </w:t>
      </w:r>
      <w:bookmarkStart w:id="8" w:name="_Hlk521524449"/>
      <w:r w:rsidRPr="00B74BA2">
        <w:rPr>
          <w:rStyle w:val="CommentReference"/>
          <w:b w:val="0"/>
          <w:sz w:val="18"/>
          <w:szCs w:val="18"/>
        </w:rPr>
        <w:t>Abbreviations: DLBCL = diffuse large B-cell lymphomas; OS = overall survival; PMBCL = primary mediastinal B-cell lymphoma.</w:t>
      </w:r>
      <w:bookmarkEnd w:id="8"/>
    </w:p>
    <w:p w:rsidR="00133628" w:rsidRDefault="00133628" w:rsidP="00F2263C">
      <w:pPr>
        <w:pStyle w:val="ListParagraph"/>
        <w:widowControl/>
        <w:numPr>
          <w:ilvl w:val="1"/>
          <w:numId w:val="1"/>
        </w:numPr>
      </w:pPr>
      <w:r>
        <w:t xml:space="preserve">The </w:t>
      </w:r>
      <w:r w:rsidRPr="00133628">
        <w:t xml:space="preserve">PBAC noted </w:t>
      </w:r>
      <w:r>
        <w:t>th</w:t>
      </w:r>
      <w:r w:rsidR="00CC7947">
        <w:t xml:space="preserve">at </w:t>
      </w:r>
      <w:r w:rsidR="005617DF">
        <w:t xml:space="preserve">the </w:t>
      </w:r>
      <w:r w:rsidR="00CC7947">
        <w:t>Kaplan-Meier curve from</w:t>
      </w:r>
      <w:r>
        <w:t xml:space="preserve"> </w:t>
      </w:r>
      <w:proofErr w:type="spellStart"/>
      <w:r w:rsidR="00CC7947">
        <w:t>Vardhana</w:t>
      </w:r>
      <w:proofErr w:type="spellEnd"/>
      <w:r w:rsidR="00CC7947">
        <w:t xml:space="preserve"> 2018 (Figure 4 below)</w:t>
      </w:r>
      <w:r w:rsidR="00B50E0C">
        <w:t xml:space="preserve">, which </w:t>
      </w:r>
      <w:r w:rsidR="005617DF">
        <w:t>included more recently treated patients</w:t>
      </w:r>
      <w:r w:rsidR="00B50E0C">
        <w:t xml:space="preserve">, </w:t>
      </w:r>
      <w:r w:rsidR="00CC7947">
        <w:t xml:space="preserve">showed higher </w:t>
      </w:r>
      <w:r w:rsidR="001A6F57">
        <w:t xml:space="preserve">rates of </w:t>
      </w:r>
      <w:r w:rsidR="00CC7947">
        <w:t xml:space="preserve">OS with </w:t>
      </w:r>
      <w:r w:rsidR="001A6F57">
        <w:t>SOC chemotherapies</w:t>
      </w:r>
      <w:r w:rsidR="00696E6C">
        <w:t xml:space="preserve"> than reported in </w:t>
      </w:r>
      <w:proofErr w:type="spellStart"/>
      <w:r w:rsidR="00696E6C">
        <w:t>Kuruvilla</w:t>
      </w:r>
      <w:proofErr w:type="spellEnd"/>
      <w:r w:rsidR="00696E6C">
        <w:t xml:space="preserve"> 2008</w:t>
      </w:r>
      <w:r w:rsidR="001A6F57">
        <w:t xml:space="preserve">, though the Committee acknowledged differences in </w:t>
      </w:r>
      <w:r w:rsidR="00527E57">
        <w:t xml:space="preserve">the proportion of patients who progressed to SCT and </w:t>
      </w:r>
      <w:r w:rsidR="001A6F57">
        <w:t>reporting of outcomes (</w:t>
      </w:r>
      <w:proofErr w:type="spellStart"/>
      <w:r w:rsidR="001A6F57">
        <w:t>Kuruvilla</w:t>
      </w:r>
      <w:proofErr w:type="spellEnd"/>
      <w:r w:rsidR="001A6F57">
        <w:t xml:space="preserve"> 2008 was based on time since first progression). </w:t>
      </w:r>
      <w:r w:rsidR="00696E6C">
        <w:t xml:space="preserve"> </w:t>
      </w:r>
    </w:p>
    <w:p w:rsidR="00696E6C" w:rsidRPr="00696E6C" w:rsidRDefault="00696E6C" w:rsidP="00696E6C">
      <w:pPr>
        <w:pStyle w:val="ListParagraph"/>
        <w:keepNext/>
        <w:keepLines/>
        <w:widowControl/>
        <w:ind w:hanging="720"/>
        <w:rPr>
          <w:rFonts w:ascii="Arial Narrow" w:hAnsi="Arial Narrow"/>
          <w:b/>
          <w:sz w:val="20"/>
          <w:szCs w:val="20"/>
        </w:rPr>
      </w:pPr>
      <w:r w:rsidRPr="00696E6C">
        <w:rPr>
          <w:rFonts w:ascii="Arial Narrow" w:hAnsi="Arial Narrow"/>
          <w:b/>
          <w:sz w:val="20"/>
          <w:szCs w:val="20"/>
        </w:rPr>
        <w:t xml:space="preserve">Figure 4: OS and event free survival (EFS) in </w:t>
      </w:r>
      <w:proofErr w:type="spellStart"/>
      <w:r w:rsidRPr="00696E6C">
        <w:rPr>
          <w:rFonts w:ascii="Arial Narrow" w:hAnsi="Arial Narrow"/>
          <w:b/>
          <w:sz w:val="20"/>
          <w:szCs w:val="20"/>
        </w:rPr>
        <w:t>Vardhana</w:t>
      </w:r>
      <w:proofErr w:type="spellEnd"/>
      <w:r w:rsidRPr="00696E6C">
        <w:rPr>
          <w:rFonts w:ascii="Arial Narrow" w:hAnsi="Arial Narrow"/>
          <w:b/>
          <w:sz w:val="20"/>
          <w:szCs w:val="20"/>
        </w:rPr>
        <w:t xml:space="preserve"> 2018; all patients R/R PM</w:t>
      </w:r>
      <w:r w:rsidR="00CC7947">
        <w:rPr>
          <w:rFonts w:ascii="Arial Narrow" w:hAnsi="Arial Narrow"/>
          <w:b/>
          <w:sz w:val="20"/>
          <w:szCs w:val="20"/>
        </w:rPr>
        <w:t>B</w:t>
      </w:r>
      <w:r w:rsidRPr="00696E6C">
        <w:rPr>
          <w:rFonts w:ascii="Arial Narrow" w:hAnsi="Arial Narrow"/>
          <w:b/>
          <w:sz w:val="20"/>
          <w:szCs w:val="20"/>
        </w:rPr>
        <w:t>CL (n = 60)</w:t>
      </w:r>
    </w:p>
    <w:p w:rsidR="00696E6C" w:rsidRDefault="00696E6C" w:rsidP="00696E6C">
      <w:pPr>
        <w:pStyle w:val="ListParagraph"/>
        <w:keepNext/>
        <w:keepLines/>
        <w:widowControl/>
      </w:pPr>
      <w:r>
        <w:rPr>
          <w:noProof/>
          <w:snapToGrid/>
          <w:lang w:eastAsia="en-AU"/>
        </w:rPr>
        <w:drawing>
          <wp:inline distT="0" distB="0" distL="0" distR="0" wp14:anchorId="711AF077" wp14:editId="040792E2">
            <wp:extent cx="2324100" cy="2066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r="-160"/>
                    <a:stretch/>
                  </pic:blipFill>
                  <pic:spPr bwMode="auto">
                    <a:xfrm>
                      <a:off x="0" y="0"/>
                      <a:ext cx="2327628" cy="2070062"/>
                    </a:xfrm>
                    <a:prstGeom prst="rect">
                      <a:avLst/>
                    </a:prstGeom>
                    <a:noFill/>
                    <a:ln>
                      <a:noFill/>
                    </a:ln>
                    <a:extLst>
                      <a:ext uri="{53640926-AAD7-44D8-BBD7-CCE9431645EC}">
                        <a14:shadowObscured xmlns:a14="http://schemas.microsoft.com/office/drawing/2010/main"/>
                      </a:ext>
                    </a:extLst>
                  </pic:spPr>
                </pic:pic>
              </a:graphicData>
            </a:graphic>
          </wp:inline>
        </w:drawing>
      </w:r>
    </w:p>
    <w:p w:rsidR="00696E6C" w:rsidRPr="00696E6C" w:rsidRDefault="00696E6C" w:rsidP="00696E6C">
      <w:pPr>
        <w:pStyle w:val="ListParagraph"/>
        <w:keepNext/>
        <w:keepLines/>
        <w:widowControl/>
        <w:rPr>
          <w:rFonts w:ascii="Arial Narrow" w:hAnsi="Arial Narrow"/>
          <w:sz w:val="18"/>
          <w:szCs w:val="18"/>
        </w:rPr>
      </w:pPr>
      <w:r>
        <w:rPr>
          <w:rFonts w:ascii="Arial Narrow" w:hAnsi="Arial Narrow"/>
          <w:sz w:val="18"/>
          <w:szCs w:val="18"/>
        </w:rPr>
        <w:t xml:space="preserve">Source: </w:t>
      </w:r>
      <w:proofErr w:type="spellStart"/>
      <w:r>
        <w:rPr>
          <w:rFonts w:ascii="Arial Narrow" w:hAnsi="Arial Narrow"/>
          <w:sz w:val="18"/>
          <w:szCs w:val="18"/>
        </w:rPr>
        <w:t>Vardha</w:t>
      </w:r>
      <w:r w:rsidR="00CC7947">
        <w:rPr>
          <w:rFonts w:ascii="Arial Narrow" w:hAnsi="Arial Narrow"/>
          <w:sz w:val="18"/>
          <w:szCs w:val="18"/>
        </w:rPr>
        <w:t>n</w:t>
      </w:r>
      <w:r>
        <w:rPr>
          <w:rFonts w:ascii="Arial Narrow" w:hAnsi="Arial Narrow"/>
          <w:sz w:val="18"/>
          <w:szCs w:val="18"/>
        </w:rPr>
        <w:t>a</w:t>
      </w:r>
      <w:proofErr w:type="spellEnd"/>
      <w:r>
        <w:rPr>
          <w:rFonts w:ascii="Arial Narrow" w:hAnsi="Arial Narrow"/>
          <w:sz w:val="18"/>
          <w:szCs w:val="18"/>
        </w:rPr>
        <w:t xml:space="preserve"> 2018</w:t>
      </w:r>
    </w:p>
    <w:p w:rsidR="005E7BDB" w:rsidRPr="007A3517" w:rsidRDefault="005D4DB8" w:rsidP="0091423A">
      <w:pPr>
        <w:pStyle w:val="Heading2"/>
        <w:widowControl/>
      </w:pPr>
      <w:bookmarkStart w:id="9" w:name="_Toc524436888"/>
      <w:r w:rsidRPr="007A3517">
        <w:t>Comparative harms</w:t>
      </w:r>
      <w:bookmarkEnd w:id="9"/>
    </w:p>
    <w:p w:rsidR="005D4DB8" w:rsidRPr="00B74BA2" w:rsidRDefault="005D4DB8" w:rsidP="00F2263C">
      <w:pPr>
        <w:pStyle w:val="ListParagraph"/>
        <w:widowControl/>
        <w:numPr>
          <w:ilvl w:val="1"/>
          <w:numId w:val="1"/>
        </w:numPr>
      </w:pPr>
      <w:r w:rsidRPr="00B74BA2">
        <w:t xml:space="preserve">Safety data were presented for </w:t>
      </w:r>
      <w:r w:rsidR="00FD0118" w:rsidRPr="00B74BA2">
        <w:t xml:space="preserve">pembrolizumab from studies </w:t>
      </w:r>
      <w:r w:rsidRPr="00B74BA2">
        <w:t>KN013</w:t>
      </w:r>
      <w:r w:rsidR="00182555" w:rsidRPr="00B74BA2">
        <w:t xml:space="preserve"> and</w:t>
      </w:r>
      <w:r w:rsidRPr="00B74BA2">
        <w:t xml:space="preserve"> KN170.</w:t>
      </w:r>
      <w:r w:rsidR="0055070C" w:rsidRPr="00B74BA2">
        <w:t xml:space="preserve"> However, the submission did not present safety data for standard of care chemotherapies as</w:t>
      </w:r>
      <w:r w:rsidRPr="00B74BA2">
        <w:t xml:space="preserve"> </w:t>
      </w:r>
      <w:proofErr w:type="spellStart"/>
      <w:r w:rsidRPr="00B74BA2">
        <w:t>Kuruvilla</w:t>
      </w:r>
      <w:proofErr w:type="spellEnd"/>
      <w:r w:rsidRPr="00B74BA2">
        <w:t xml:space="preserve"> 2008 did not report data on adverse events but noted that there were no treatment-related deaths and that there were cases of febrile neutropenia (without reporting the number of cases; p1330, </w:t>
      </w:r>
      <w:proofErr w:type="spellStart"/>
      <w:r w:rsidRPr="00B74BA2">
        <w:t>Kuruvilla</w:t>
      </w:r>
      <w:proofErr w:type="spellEnd"/>
      <w:r w:rsidRPr="00B74BA2">
        <w:t xml:space="preserve"> 2008).</w:t>
      </w:r>
      <w:r w:rsidR="0055070C" w:rsidRPr="00B74BA2">
        <w:t xml:space="preserve"> </w:t>
      </w:r>
    </w:p>
    <w:p w:rsidR="00920CC1" w:rsidRPr="00B74BA2" w:rsidRDefault="00920CC1" w:rsidP="00F2263C">
      <w:pPr>
        <w:pStyle w:val="ListParagraph"/>
        <w:widowControl/>
        <w:numPr>
          <w:ilvl w:val="1"/>
          <w:numId w:val="1"/>
        </w:numPr>
      </w:pPr>
      <w:r w:rsidRPr="00B74BA2">
        <w:lastRenderedPageBreak/>
        <w:t>To enable a</w:t>
      </w:r>
      <w:r w:rsidR="00E83314" w:rsidRPr="00B74BA2">
        <w:t>n</w:t>
      </w:r>
      <w:r w:rsidRPr="00B74BA2">
        <w:t xml:space="preserve"> assessment of comparative harms, the ESC </w:t>
      </w:r>
      <w:r w:rsidR="00F37A0C">
        <w:t xml:space="preserve">and the PBAC </w:t>
      </w:r>
      <w:r w:rsidRPr="00B74BA2">
        <w:t xml:space="preserve">considered that it may have been reasonable for the submission to have </w:t>
      </w:r>
      <w:r w:rsidR="00FD0118" w:rsidRPr="00B74BA2">
        <w:t xml:space="preserve">based the </w:t>
      </w:r>
      <w:r w:rsidRPr="00B74BA2">
        <w:t xml:space="preserve">safety </w:t>
      </w:r>
      <w:r w:rsidR="00FD0118" w:rsidRPr="00B74BA2">
        <w:t>of</w:t>
      </w:r>
      <w:r w:rsidRPr="00B74BA2">
        <w:t xml:space="preserve"> currently used salvage regimens </w:t>
      </w:r>
      <w:r w:rsidR="00FD0118" w:rsidRPr="00B74BA2">
        <w:t xml:space="preserve">on </w:t>
      </w:r>
      <w:r w:rsidRPr="00B74BA2">
        <w:t xml:space="preserve">trials </w:t>
      </w:r>
      <w:r w:rsidR="00FD0118" w:rsidRPr="00B74BA2">
        <w:t>in</w:t>
      </w:r>
      <w:r w:rsidRPr="00B74BA2">
        <w:t xml:space="preserve"> </w:t>
      </w:r>
      <w:r w:rsidR="00FD0118" w:rsidRPr="00B74BA2">
        <w:t xml:space="preserve">other </w:t>
      </w:r>
      <w:r w:rsidRPr="00B74BA2">
        <w:t>aggressive lymphoma</w:t>
      </w:r>
      <w:r w:rsidR="00FD0118" w:rsidRPr="00B74BA2">
        <w:t>s</w:t>
      </w:r>
      <w:r w:rsidRPr="00B74BA2">
        <w:t xml:space="preserve">. The ESC considered that such an approach may have been appropriate in the context of the small </w:t>
      </w:r>
      <w:r w:rsidR="00413BD9" w:rsidRPr="00B74BA2">
        <w:t xml:space="preserve">number </w:t>
      </w:r>
      <w:r w:rsidRPr="00B74BA2">
        <w:t>of patients with PMBCL.</w:t>
      </w:r>
      <w:r w:rsidR="00B50E0C">
        <w:t xml:space="preserve"> </w:t>
      </w:r>
    </w:p>
    <w:p w:rsidR="005D4DB8" w:rsidRPr="00B74BA2" w:rsidRDefault="005D4DB8" w:rsidP="00F2263C">
      <w:pPr>
        <w:pStyle w:val="ListParagraph"/>
        <w:widowControl/>
        <w:numPr>
          <w:ilvl w:val="1"/>
          <w:numId w:val="1"/>
        </w:numPr>
      </w:pPr>
      <w:r w:rsidRPr="00B74BA2">
        <w:t>Safety data for KN013 and KN170 were based on all treated patients and are presented in Table</w:t>
      </w:r>
      <w:r w:rsidR="0084031E" w:rsidRPr="00B74BA2">
        <w:t>s</w:t>
      </w:r>
      <w:r w:rsidRPr="00B74BA2">
        <w:t xml:space="preserve"> </w:t>
      </w:r>
      <w:r w:rsidR="0084031E" w:rsidRPr="00B74BA2">
        <w:t>9</w:t>
      </w:r>
      <w:r w:rsidRPr="00B74BA2">
        <w:t xml:space="preserve"> and </w:t>
      </w:r>
      <w:r w:rsidR="0084031E" w:rsidRPr="00B74BA2">
        <w:t>10</w:t>
      </w:r>
      <w:r w:rsidRPr="00B74BA2">
        <w:t xml:space="preserve">. Approximately </w:t>
      </w:r>
      <w:r w:rsidR="00FD0118" w:rsidRPr="00B74BA2">
        <w:t>two-thirds</w:t>
      </w:r>
      <w:r w:rsidRPr="00B74BA2">
        <w:t xml:space="preserve"> of patients in KN013 and </w:t>
      </w:r>
      <w:r w:rsidR="00FD0118" w:rsidRPr="00B74BA2">
        <w:t>half</w:t>
      </w:r>
      <w:r w:rsidRPr="00B74BA2">
        <w:t xml:space="preserve"> of patients in KN170 experienced </w:t>
      </w:r>
      <w:r w:rsidR="00CA277A" w:rsidRPr="00B74BA2">
        <w:t xml:space="preserve">drug-related </w:t>
      </w:r>
      <w:r w:rsidRPr="00B74BA2">
        <w:t xml:space="preserve">AEs. However, more patients in KN170 had </w:t>
      </w:r>
      <w:r w:rsidR="00FD0118" w:rsidRPr="00B74BA2">
        <w:t>G</w:t>
      </w:r>
      <w:r w:rsidRPr="00B74BA2">
        <w:t>rade 3-5 AEs (58.5% vs 38.1%)</w:t>
      </w:r>
      <w:r w:rsidR="003123A8" w:rsidRPr="00B74BA2">
        <w:t xml:space="preserve"> compared to KN013</w:t>
      </w:r>
      <w:r w:rsidRPr="00B74BA2">
        <w:t>. There were five reported AEs that resulted in treatment discontinuation</w:t>
      </w:r>
      <w:r w:rsidR="003123A8" w:rsidRPr="00B74BA2">
        <w:t>:</w:t>
      </w:r>
      <w:r w:rsidRPr="00B74BA2">
        <w:t xml:space="preserve"> neutropenia in KN013</w:t>
      </w:r>
      <w:r w:rsidR="003123A8" w:rsidRPr="00B74BA2">
        <w:t>;</w:t>
      </w:r>
      <w:r w:rsidRPr="00B74BA2">
        <w:t xml:space="preserve"> and cardiac tamponade, myocardial infarction, aspergillus infection and an increased aspartate aminotransferase in KN170. There were no deaths related to adverse events. </w:t>
      </w:r>
    </w:p>
    <w:p w:rsidR="005D4DB8" w:rsidRPr="00B74BA2" w:rsidRDefault="005D4DB8" w:rsidP="0091423A">
      <w:pPr>
        <w:pStyle w:val="ListParagraph"/>
        <w:keepNext/>
        <w:widowControl/>
        <w:spacing w:after="0"/>
        <w:ind w:left="0"/>
        <w:rPr>
          <w:rStyle w:val="CommentReference"/>
        </w:rPr>
      </w:pPr>
      <w:r w:rsidRPr="00B74BA2">
        <w:rPr>
          <w:rStyle w:val="CommentReference"/>
        </w:rPr>
        <w:t xml:space="preserve">Table </w:t>
      </w:r>
      <w:r w:rsidR="0084031E" w:rsidRPr="00B74BA2">
        <w:rPr>
          <w:rStyle w:val="CommentReference"/>
        </w:rPr>
        <w:t>9</w:t>
      </w:r>
      <w:r w:rsidRPr="00B74BA2">
        <w:rPr>
          <w:rStyle w:val="CommentReference"/>
        </w:rPr>
        <w:t xml:space="preserve">:  Summary of key adverse events in the pembrolizumab studies (KN013 and KN170) </w:t>
      </w:r>
    </w:p>
    <w:tbl>
      <w:tblPr>
        <w:tblStyle w:val="TableGrid22"/>
        <w:tblW w:w="4942" w:type="pct"/>
        <w:tblInd w:w="108" w:type="dxa"/>
        <w:tblLook w:val="04A0" w:firstRow="1" w:lastRow="0" w:firstColumn="1" w:lastColumn="0" w:noHBand="0" w:noVBand="1"/>
        <w:tblCaption w:val="Summary of key adverse events in the pembrolizumab studies (KN013 and KN170) "/>
      </w:tblPr>
      <w:tblGrid>
        <w:gridCol w:w="4965"/>
        <w:gridCol w:w="2459"/>
        <w:gridCol w:w="1712"/>
      </w:tblGrid>
      <w:tr w:rsidR="00182555" w:rsidRPr="00B74BA2" w:rsidTr="002C7B1B">
        <w:trPr>
          <w:cantSplit/>
          <w:trHeight w:val="465"/>
          <w:tblHeader/>
        </w:trPr>
        <w:tc>
          <w:tcPr>
            <w:tcW w:w="2716" w:type="pct"/>
          </w:tcPr>
          <w:p w:rsidR="00182555" w:rsidRPr="00B74BA2" w:rsidRDefault="00182555" w:rsidP="0091423A">
            <w:pPr>
              <w:keepNext/>
              <w:widowControl/>
              <w:rPr>
                <w:rFonts w:ascii="Arial Narrow" w:hAnsi="Arial Narrow"/>
                <w:b/>
                <w:sz w:val="20"/>
              </w:rPr>
            </w:pPr>
            <w:r w:rsidRPr="00B74BA2">
              <w:rPr>
                <w:rFonts w:ascii="Arial Narrow" w:hAnsi="Arial Narrow"/>
                <w:b/>
                <w:sz w:val="20"/>
              </w:rPr>
              <w:t>Trial ID</w:t>
            </w:r>
          </w:p>
        </w:tc>
        <w:tc>
          <w:tcPr>
            <w:tcW w:w="1346" w:type="pct"/>
          </w:tcPr>
          <w:p w:rsidR="00182555" w:rsidRPr="00B74BA2" w:rsidRDefault="00182555" w:rsidP="0091423A">
            <w:pPr>
              <w:keepNext/>
              <w:widowControl/>
              <w:jc w:val="center"/>
              <w:rPr>
                <w:rFonts w:ascii="Arial Narrow" w:hAnsi="Arial Narrow"/>
                <w:b/>
                <w:sz w:val="20"/>
              </w:rPr>
            </w:pPr>
            <w:r w:rsidRPr="00B74BA2">
              <w:rPr>
                <w:rFonts w:ascii="Arial Narrow" w:hAnsi="Arial Narrow"/>
                <w:b/>
                <w:sz w:val="20"/>
              </w:rPr>
              <w:t>KN013</w:t>
            </w:r>
          </w:p>
          <w:p w:rsidR="00182555" w:rsidRPr="00B74BA2" w:rsidRDefault="00182555" w:rsidP="0091423A">
            <w:pPr>
              <w:keepNext/>
              <w:widowControl/>
              <w:jc w:val="center"/>
              <w:rPr>
                <w:rFonts w:ascii="Arial Narrow" w:hAnsi="Arial Narrow"/>
                <w:b/>
                <w:sz w:val="20"/>
              </w:rPr>
            </w:pPr>
            <w:r w:rsidRPr="00B74BA2">
              <w:rPr>
                <w:rFonts w:ascii="Arial Narrow" w:hAnsi="Arial Narrow"/>
                <w:b/>
                <w:sz w:val="20"/>
              </w:rPr>
              <w:t>N = 21</w:t>
            </w:r>
          </w:p>
        </w:tc>
        <w:tc>
          <w:tcPr>
            <w:tcW w:w="937" w:type="pct"/>
          </w:tcPr>
          <w:p w:rsidR="00182555" w:rsidRPr="00B74BA2" w:rsidRDefault="00182555" w:rsidP="0091423A">
            <w:pPr>
              <w:keepNext/>
              <w:widowControl/>
              <w:jc w:val="center"/>
              <w:rPr>
                <w:rFonts w:ascii="Arial Narrow" w:hAnsi="Arial Narrow"/>
                <w:b/>
                <w:sz w:val="20"/>
              </w:rPr>
            </w:pPr>
            <w:r w:rsidRPr="00B74BA2">
              <w:rPr>
                <w:rFonts w:ascii="Arial Narrow" w:hAnsi="Arial Narrow"/>
                <w:b/>
                <w:sz w:val="20"/>
              </w:rPr>
              <w:t>KN170</w:t>
            </w:r>
          </w:p>
          <w:p w:rsidR="00182555" w:rsidRPr="00B74BA2" w:rsidRDefault="00182555" w:rsidP="0091423A">
            <w:pPr>
              <w:keepNext/>
              <w:widowControl/>
              <w:jc w:val="center"/>
              <w:rPr>
                <w:rFonts w:ascii="Arial Narrow" w:hAnsi="Arial Narrow"/>
                <w:b/>
                <w:sz w:val="20"/>
              </w:rPr>
            </w:pPr>
            <w:r w:rsidRPr="00B74BA2">
              <w:rPr>
                <w:rFonts w:ascii="Arial Narrow" w:hAnsi="Arial Narrow"/>
                <w:b/>
                <w:sz w:val="20"/>
              </w:rPr>
              <w:t>N = 53</w:t>
            </w:r>
          </w:p>
        </w:tc>
      </w:tr>
      <w:tr w:rsidR="00182555" w:rsidRPr="00B74BA2" w:rsidTr="003A1711">
        <w:trPr>
          <w:trHeight w:val="232"/>
        </w:trPr>
        <w:tc>
          <w:tcPr>
            <w:tcW w:w="2716" w:type="pct"/>
          </w:tcPr>
          <w:p w:rsidR="00182555" w:rsidRPr="00B74BA2" w:rsidRDefault="00182555" w:rsidP="0091423A">
            <w:pPr>
              <w:keepNext/>
              <w:widowControl/>
              <w:rPr>
                <w:rFonts w:ascii="Arial Narrow" w:hAnsi="Arial Narrow"/>
                <w:sz w:val="20"/>
              </w:rPr>
            </w:pPr>
            <w:r w:rsidRPr="00B74BA2">
              <w:rPr>
                <w:rFonts w:ascii="Arial Narrow" w:hAnsi="Arial Narrow"/>
                <w:sz w:val="20"/>
              </w:rPr>
              <w:t>Any AE, n (%)</w:t>
            </w:r>
          </w:p>
        </w:tc>
        <w:tc>
          <w:tcPr>
            <w:tcW w:w="1346" w:type="pct"/>
          </w:tcPr>
          <w:p w:rsidR="00182555" w:rsidRPr="00132A6D" w:rsidRDefault="00132A6D" w:rsidP="0091423A">
            <w:pPr>
              <w:keepNext/>
              <w:widowControl/>
              <w:jc w:val="center"/>
              <w:rPr>
                <w:rFonts w:ascii="Arial Narrow" w:hAnsi="Arial Narrow"/>
                <w:sz w:val="20"/>
                <w:highlight w:val="black"/>
              </w:rPr>
            </w:pPr>
            <w:r>
              <w:rPr>
                <w:rFonts w:ascii="Arial Narrow" w:hAnsi="Arial Narrow"/>
                <w:noProof/>
                <w:color w:val="000000"/>
                <w:sz w:val="20"/>
                <w:highlight w:val="black"/>
              </w:rPr>
              <w:t>'''''' ''''''''''''</w:t>
            </w:r>
          </w:p>
        </w:tc>
        <w:tc>
          <w:tcPr>
            <w:tcW w:w="937" w:type="pct"/>
          </w:tcPr>
          <w:p w:rsidR="00182555" w:rsidRPr="00132A6D" w:rsidRDefault="00132A6D" w:rsidP="0091423A">
            <w:pPr>
              <w:keepNext/>
              <w:widowControl/>
              <w:jc w:val="center"/>
              <w:rPr>
                <w:rFonts w:ascii="Arial Narrow" w:hAnsi="Arial Narrow"/>
                <w:sz w:val="20"/>
                <w:highlight w:val="black"/>
              </w:rPr>
            </w:pPr>
            <w:r>
              <w:rPr>
                <w:rFonts w:ascii="Arial Narrow" w:hAnsi="Arial Narrow"/>
                <w:noProof/>
                <w:color w:val="000000"/>
                <w:sz w:val="20"/>
                <w:highlight w:val="black"/>
              </w:rPr>
              <w:t>'''''' '''''''''''''''</w:t>
            </w:r>
          </w:p>
        </w:tc>
      </w:tr>
      <w:tr w:rsidR="00182555" w:rsidRPr="00B74BA2" w:rsidTr="003A1711">
        <w:trPr>
          <w:trHeight w:val="232"/>
        </w:trPr>
        <w:tc>
          <w:tcPr>
            <w:tcW w:w="2716" w:type="pct"/>
          </w:tcPr>
          <w:p w:rsidR="00182555" w:rsidRPr="00B74BA2" w:rsidRDefault="00182555" w:rsidP="0091423A">
            <w:pPr>
              <w:keepNext/>
              <w:widowControl/>
              <w:rPr>
                <w:rFonts w:ascii="Arial Narrow" w:hAnsi="Arial Narrow"/>
                <w:sz w:val="20"/>
              </w:rPr>
            </w:pPr>
            <w:r w:rsidRPr="00B74BA2">
              <w:rPr>
                <w:rFonts w:ascii="Arial Narrow" w:hAnsi="Arial Narrow"/>
                <w:sz w:val="20"/>
              </w:rPr>
              <w:t>Drug related AEs, n (%)</w:t>
            </w:r>
          </w:p>
        </w:tc>
        <w:tc>
          <w:tcPr>
            <w:tcW w:w="1346" w:type="pct"/>
          </w:tcPr>
          <w:p w:rsidR="00182555" w:rsidRPr="00132A6D" w:rsidRDefault="00132A6D" w:rsidP="0091423A">
            <w:pPr>
              <w:keepNext/>
              <w:widowControl/>
              <w:jc w:val="center"/>
              <w:rPr>
                <w:rFonts w:ascii="Arial Narrow" w:hAnsi="Arial Narrow"/>
                <w:sz w:val="20"/>
                <w:highlight w:val="black"/>
              </w:rPr>
            </w:pPr>
            <w:r>
              <w:rPr>
                <w:rFonts w:ascii="Arial Narrow" w:hAnsi="Arial Narrow"/>
                <w:noProof/>
                <w:color w:val="000000"/>
                <w:sz w:val="20"/>
                <w:highlight w:val="black"/>
              </w:rPr>
              <w:t>'''''' ''''''''''''</w:t>
            </w:r>
          </w:p>
        </w:tc>
        <w:tc>
          <w:tcPr>
            <w:tcW w:w="937" w:type="pct"/>
          </w:tcPr>
          <w:p w:rsidR="00182555" w:rsidRPr="00132A6D" w:rsidRDefault="00132A6D" w:rsidP="0091423A">
            <w:pPr>
              <w:keepNext/>
              <w:widowControl/>
              <w:jc w:val="center"/>
              <w:rPr>
                <w:rFonts w:ascii="Arial Narrow" w:hAnsi="Arial Narrow"/>
                <w:sz w:val="20"/>
                <w:highlight w:val="black"/>
              </w:rPr>
            </w:pPr>
            <w:r>
              <w:rPr>
                <w:rFonts w:ascii="Arial Narrow" w:hAnsi="Arial Narrow"/>
                <w:noProof/>
                <w:color w:val="000000"/>
                <w:sz w:val="20"/>
                <w:highlight w:val="black"/>
              </w:rPr>
              <w:t>''''' '''''''''''''</w:t>
            </w:r>
          </w:p>
        </w:tc>
      </w:tr>
      <w:tr w:rsidR="00182555" w:rsidRPr="00B74BA2" w:rsidTr="003A1711">
        <w:trPr>
          <w:trHeight w:val="232"/>
        </w:trPr>
        <w:tc>
          <w:tcPr>
            <w:tcW w:w="2716" w:type="pct"/>
          </w:tcPr>
          <w:p w:rsidR="00182555" w:rsidRPr="00B74BA2" w:rsidRDefault="00182555" w:rsidP="0091423A">
            <w:pPr>
              <w:keepNext/>
              <w:widowControl/>
              <w:rPr>
                <w:rFonts w:ascii="Arial Narrow" w:hAnsi="Arial Narrow"/>
                <w:sz w:val="20"/>
              </w:rPr>
            </w:pPr>
            <w:r w:rsidRPr="00B74BA2">
              <w:rPr>
                <w:rFonts w:ascii="Arial Narrow" w:hAnsi="Arial Narrow"/>
                <w:sz w:val="20"/>
              </w:rPr>
              <w:t>Any SAE (Grade 3 -5), n (%)</w:t>
            </w:r>
          </w:p>
        </w:tc>
        <w:tc>
          <w:tcPr>
            <w:tcW w:w="1346" w:type="pct"/>
          </w:tcPr>
          <w:p w:rsidR="00182555" w:rsidRPr="00132A6D" w:rsidRDefault="00132A6D" w:rsidP="0091423A">
            <w:pPr>
              <w:keepNext/>
              <w:widowControl/>
              <w:jc w:val="center"/>
              <w:rPr>
                <w:rFonts w:ascii="Arial Narrow" w:hAnsi="Arial Narrow"/>
                <w:sz w:val="20"/>
                <w:highlight w:val="black"/>
              </w:rPr>
            </w:pPr>
            <w:r>
              <w:rPr>
                <w:rFonts w:ascii="Arial Narrow" w:hAnsi="Arial Narrow"/>
                <w:noProof/>
                <w:color w:val="000000"/>
                <w:sz w:val="20"/>
                <w:highlight w:val="black"/>
              </w:rPr>
              <w:t>'''' ''''''''''''''</w:t>
            </w:r>
          </w:p>
        </w:tc>
        <w:tc>
          <w:tcPr>
            <w:tcW w:w="937" w:type="pct"/>
          </w:tcPr>
          <w:p w:rsidR="00182555" w:rsidRPr="00132A6D" w:rsidRDefault="00132A6D" w:rsidP="0091423A">
            <w:pPr>
              <w:keepNext/>
              <w:widowControl/>
              <w:jc w:val="center"/>
              <w:rPr>
                <w:rFonts w:ascii="Arial Narrow" w:hAnsi="Arial Narrow"/>
                <w:sz w:val="20"/>
                <w:highlight w:val="black"/>
              </w:rPr>
            </w:pPr>
            <w:r>
              <w:rPr>
                <w:rFonts w:ascii="Arial Narrow" w:hAnsi="Arial Narrow"/>
                <w:noProof/>
                <w:color w:val="000000"/>
                <w:sz w:val="20"/>
                <w:highlight w:val="black"/>
              </w:rPr>
              <w:t>'''''' ''''''''''''''''</w:t>
            </w:r>
          </w:p>
        </w:tc>
      </w:tr>
      <w:tr w:rsidR="00182555" w:rsidRPr="00B74BA2" w:rsidTr="003A1711">
        <w:trPr>
          <w:trHeight w:val="232"/>
        </w:trPr>
        <w:tc>
          <w:tcPr>
            <w:tcW w:w="2716" w:type="pct"/>
          </w:tcPr>
          <w:p w:rsidR="00182555" w:rsidRPr="00B74BA2" w:rsidRDefault="00182555" w:rsidP="0091423A">
            <w:pPr>
              <w:keepNext/>
              <w:widowControl/>
              <w:rPr>
                <w:rFonts w:ascii="Arial Narrow" w:hAnsi="Arial Narrow"/>
                <w:sz w:val="20"/>
              </w:rPr>
            </w:pPr>
            <w:r w:rsidRPr="00B74BA2">
              <w:rPr>
                <w:rFonts w:ascii="Arial Narrow" w:hAnsi="Arial Narrow"/>
                <w:sz w:val="20"/>
              </w:rPr>
              <w:t>Any SAE (Grade 3-5) drug related, n (%)</w:t>
            </w:r>
          </w:p>
        </w:tc>
        <w:tc>
          <w:tcPr>
            <w:tcW w:w="1346" w:type="pct"/>
          </w:tcPr>
          <w:p w:rsidR="00182555" w:rsidRPr="00132A6D" w:rsidRDefault="00132A6D" w:rsidP="0091423A">
            <w:pPr>
              <w:keepNext/>
              <w:widowControl/>
              <w:jc w:val="center"/>
              <w:rPr>
                <w:rFonts w:ascii="Arial Narrow" w:hAnsi="Arial Narrow"/>
                <w:sz w:val="20"/>
                <w:highlight w:val="black"/>
              </w:rPr>
            </w:pPr>
            <w:r>
              <w:rPr>
                <w:rFonts w:ascii="Arial Narrow" w:hAnsi="Arial Narrow"/>
                <w:noProof/>
                <w:color w:val="000000"/>
                <w:sz w:val="20"/>
                <w:highlight w:val="black"/>
              </w:rPr>
              <w:t>''' '''''''''''''</w:t>
            </w:r>
          </w:p>
        </w:tc>
        <w:tc>
          <w:tcPr>
            <w:tcW w:w="937" w:type="pct"/>
          </w:tcPr>
          <w:p w:rsidR="00182555" w:rsidRPr="00132A6D" w:rsidRDefault="00132A6D" w:rsidP="0091423A">
            <w:pPr>
              <w:keepNext/>
              <w:widowControl/>
              <w:jc w:val="center"/>
              <w:rPr>
                <w:rFonts w:ascii="Arial Narrow" w:hAnsi="Arial Narrow"/>
                <w:sz w:val="20"/>
                <w:highlight w:val="black"/>
              </w:rPr>
            </w:pPr>
            <w:r>
              <w:rPr>
                <w:rFonts w:ascii="Arial Narrow" w:hAnsi="Arial Narrow"/>
                <w:noProof/>
                <w:color w:val="000000"/>
                <w:sz w:val="20"/>
                <w:highlight w:val="black"/>
              </w:rPr>
              <w:t>'''''' '''''''''''''</w:t>
            </w:r>
          </w:p>
        </w:tc>
      </w:tr>
      <w:tr w:rsidR="00182555" w:rsidRPr="00B74BA2" w:rsidTr="003A1711">
        <w:trPr>
          <w:trHeight w:val="232"/>
        </w:trPr>
        <w:tc>
          <w:tcPr>
            <w:tcW w:w="2716" w:type="pct"/>
          </w:tcPr>
          <w:p w:rsidR="00182555" w:rsidRPr="00B74BA2" w:rsidRDefault="00182555" w:rsidP="0091423A">
            <w:pPr>
              <w:keepNext/>
              <w:widowControl/>
              <w:rPr>
                <w:rFonts w:ascii="Arial Narrow" w:hAnsi="Arial Narrow"/>
                <w:sz w:val="20"/>
              </w:rPr>
            </w:pPr>
            <w:r w:rsidRPr="00B74BA2">
              <w:rPr>
                <w:rFonts w:ascii="Arial Narrow" w:hAnsi="Arial Narrow"/>
                <w:sz w:val="20"/>
              </w:rPr>
              <w:t>AE leading to discontinuation of treatment (any grade), n (%)</w:t>
            </w:r>
          </w:p>
        </w:tc>
        <w:tc>
          <w:tcPr>
            <w:tcW w:w="1346" w:type="pct"/>
          </w:tcPr>
          <w:p w:rsidR="00182555" w:rsidRPr="00132A6D" w:rsidRDefault="00132A6D" w:rsidP="0091423A">
            <w:pPr>
              <w:keepNext/>
              <w:widowControl/>
              <w:jc w:val="center"/>
              <w:rPr>
                <w:rFonts w:ascii="Arial Narrow" w:hAnsi="Arial Narrow"/>
                <w:sz w:val="20"/>
                <w:highlight w:val="black"/>
              </w:rPr>
            </w:pPr>
            <w:r>
              <w:rPr>
                <w:rFonts w:ascii="Arial Narrow" w:hAnsi="Arial Narrow"/>
                <w:noProof/>
                <w:color w:val="000000"/>
                <w:sz w:val="20"/>
                <w:highlight w:val="black"/>
              </w:rPr>
              <w:t>'''' ''''''''''''</w:t>
            </w:r>
          </w:p>
        </w:tc>
        <w:tc>
          <w:tcPr>
            <w:tcW w:w="937" w:type="pct"/>
          </w:tcPr>
          <w:p w:rsidR="00182555" w:rsidRPr="00132A6D" w:rsidRDefault="00132A6D" w:rsidP="0091423A">
            <w:pPr>
              <w:keepNext/>
              <w:widowControl/>
              <w:jc w:val="center"/>
              <w:rPr>
                <w:rFonts w:ascii="Arial Narrow" w:hAnsi="Arial Narrow"/>
                <w:sz w:val="20"/>
                <w:highlight w:val="black"/>
              </w:rPr>
            </w:pPr>
            <w:r>
              <w:rPr>
                <w:rFonts w:ascii="Arial Narrow" w:hAnsi="Arial Narrow"/>
                <w:noProof/>
                <w:color w:val="000000"/>
                <w:sz w:val="20"/>
                <w:highlight w:val="black"/>
              </w:rPr>
              <w:t>''' '''''''''''</w:t>
            </w:r>
          </w:p>
        </w:tc>
      </w:tr>
      <w:tr w:rsidR="00182555" w:rsidRPr="00B74BA2" w:rsidTr="003A1711">
        <w:trPr>
          <w:trHeight w:val="232"/>
        </w:trPr>
        <w:tc>
          <w:tcPr>
            <w:tcW w:w="2716" w:type="pct"/>
          </w:tcPr>
          <w:p w:rsidR="00182555" w:rsidRPr="00B74BA2" w:rsidRDefault="00182555" w:rsidP="0091423A">
            <w:pPr>
              <w:keepNext/>
              <w:widowControl/>
              <w:rPr>
                <w:rFonts w:ascii="Arial Narrow" w:hAnsi="Arial Narrow"/>
                <w:sz w:val="20"/>
              </w:rPr>
            </w:pPr>
            <w:r w:rsidRPr="00B74BA2">
              <w:rPr>
                <w:rFonts w:ascii="Arial Narrow" w:hAnsi="Arial Narrow"/>
                <w:sz w:val="20"/>
              </w:rPr>
              <w:t>AE resulting in death, n (%)</w:t>
            </w:r>
          </w:p>
        </w:tc>
        <w:tc>
          <w:tcPr>
            <w:tcW w:w="1346" w:type="pct"/>
          </w:tcPr>
          <w:p w:rsidR="00182555" w:rsidRPr="00132A6D" w:rsidRDefault="00132A6D" w:rsidP="0091423A">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937" w:type="pct"/>
          </w:tcPr>
          <w:p w:rsidR="00182555" w:rsidRPr="00132A6D" w:rsidRDefault="00132A6D" w:rsidP="0091423A">
            <w:pPr>
              <w:keepNext/>
              <w:widowControl/>
              <w:jc w:val="center"/>
              <w:rPr>
                <w:rFonts w:ascii="Arial Narrow" w:hAnsi="Arial Narrow"/>
                <w:sz w:val="20"/>
                <w:highlight w:val="black"/>
              </w:rPr>
            </w:pPr>
            <w:r>
              <w:rPr>
                <w:rFonts w:ascii="Arial Narrow" w:hAnsi="Arial Narrow"/>
                <w:noProof/>
                <w:color w:val="000000"/>
                <w:sz w:val="20"/>
                <w:highlight w:val="black"/>
              </w:rPr>
              <w:t>'''</w:t>
            </w:r>
          </w:p>
        </w:tc>
      </w:tr>
    </w:tbl>
    <w:p w:rsidR="005D4DB8" w:rsidRPr="00B74BA2" w:rsidRDefault="005D4DB8" w:rsidP="0091423A">
      <w:pPr>
        <w:widowControl/>
        <w:rPr>
          <w:rFonts w:ascii="Arial Narrow" w:hAnsi="Arial Narrow"/>
          <w:sz w:val="20"/>
        </w:rPr>
      </w:pPr>
      <w:r w:rsidRPr="00B74BA2">
        <w:rPr>
          <w:rFonts w:ascii="Arial Narrow" w:hAnsi="Arial Narrow"/>
          <w:sz w:val="18"/>
        </w:rPr>
        <w:t>Source: Table 2.5-4, p46 and Table 2.5-8, p51, of the submission, compiled during evaluation.</w:t>
      </w:r>
    </w:p>
    <w:p w:rsidR="005D4DB8" w:rsidRPr="007A3517" w:rsidRDefault="005D4DB8" w:rsidP="007A3517">
      <w:pPr>
        <w:widowControl/>
        <w:spacing w:after="240"/>
        <w:rPr>
          <w:rFonts w:ascii="Arial Narrow" w:eastAsia="Calibri" w:hAnsi="Arial Narrow"/>
          <w:sz w:val="18"/>
        </w:rPr>
      </w:pPr>
      <w:r w:rsidRPr="00B74BA2">
        <w:rPr>
          <w:rFonts w:ascii="Arial Narrow" w:eastAsia="Calibri" w:hAnsi="Arial Narrow"/>
          <w:sz w:val="18"/>
        </w:rPr>
        <w:t xml:space="preserve">Abbreviations: AE = adverse events; n = number of participants reporting data; N = total participants in group; NR = not reported; SAE = serious adverse </w:t>
      </w:r>
      <w:r w:rsidR="007A3517">
        <w:rPr>
          <w:rFonts w:ascii="Arial Narrow" w:eastAsia="Calibri" w:hAnsi="Arial Narrow"/>
          <w:sz w:val="18"/>
        </w:rPr>
        <w:t>events; SOC = standard of care.</w:t>
      </w:r>
    </w:p>
    <w:p w:rsidR="005D4DB8" w:rsidRPr="00B74BA2" w:rsidRDefault="005D4DB8" w:rsidP="0091423A">
      <w:pPr>
        <w:keepNext/>
        <w:keepLines/>
        <w:widowControl/>
        <w:rPr>
          <w:b/>
          <w:bCs/>
          <w:color w:val="4F81BD" w:themeColor="accent1"/>
          <w:sz w:val="18"/>
          <w:szCs w:val="18"/>
        </w:rPr>
      </w:pPr>
      <w:r w:rsidRPr="00B74BA2">
        <w:rPr>
          <w:rFonts w:ascii="Arial Narrow" w:hAnsi="Arial Narrow"/>
          <w:b/>
          <w:sz w:val="20"/>
          <w:szCs w:val="16"/>
        </w:rPr>
        <w:t xml:space="preserve">Table </w:t>
      </w:r>
      <w:r w:rsidR="0084031E" w:rsidRPr="00B74BA2">
        <w:rPr>
          <w:rFonts w:ascii="Arial Narrow" w:hAnsi="Arial Narrow"/>
          <w:b/>
          <w:sz w:val="20"/>
          <w:szCs w:val="16"/>
        </w:rPr>
        <w:t>10</w:t>
      </w:r>
      <w:r w:rsidRPr="00B74BA2">
        <w:rPr>
          <w:rFonts w:ascii="Arial Narrow" w:hAnsi="Arial Narrow"/>
          <w:b/>
          <w:sz w:val="20"/>
          <w:szCs w:val="16"/>
        </w:rPr>
        <w:t>:  Summary of most common adverse events occurring in 10% or more of patients in pembrolizumab studies, KN013 and KN170</w:t>
      </w:r>
    </w:p>
    <w:tbl>
      <w:tblPr>
        <w:tblStyle w:val="TableGrid22"/>
        <w:tblW w:w="4942" w:type="pct"/>
        <w:tblInd w:w="108" w:type="dxa"/>
        <w:tblLook w:val="04A0" w:firstRow="1" w:lastRow="0" w:firstColumn="1" w:lastColumn="0" w:noHBand="0" w:noVBand="1"/>
        <w:tblCaption w:val="Summary of most common adverse events occurring in 10% or more of patients in pembrolizumab studies, KN013 and KN170"/>
      </w:tblPr>
      <w:tblGrid>
        <w:gridCol w:w="4963"/>
        <w:gridCol w:w="2410"/>
        <w:gridCol w:w="1763"/>
      </w:tblGrid>
      <w:tr w:rsidR="005D4DB8" w:rsidRPr="00B74BA2" w:rsidTr="002C7B1B">
        <w:trPr>
          <w:cantSplit/>
          <w:trHeight w:val="465"/>
          <w:tblHeader/>
        </w:trPr>
        <w:tc>
          <w:tcPr>
            <w:tcW w:w="2716" w:type="pct"/>
          </w:tcPr>
          <w:p w:rsidR="005D4DB8" w:rsidRPr="00B74BA2" w:rsidRDefault="005D4DB8" w:rsidP="0091423A">
            <w:pPr>
              <w:keepNext/>
              <w:keepLines/>
              <w:widowControl/>
              <w:rPr>
                <w:rFonts w:ascii="Arial Narrow" w:hAnsi="Arial Narrow"/>
                <w:b/>
                <w:sz w:val="20"/>
              </w:rPr>
            </w:pPr>
            <w:r w:rsidRPr="00B74BA2">
              <w:rPr>
                <w:rFonts w:ascii="Arial Narrow" w:hAnsi="Arial Narrow"/>
                <w:b/>
                <w:sz w:val="20"/>
              </w:rPr>
              <w:t>Trial ID</w:t>
            </w:r>
          </w:p>
        </w:tc>
        <w:tc>
          <w:tcPr>
            <w:tcW w:w="1319" w:type="pct"/>
          </w:tcPr>
          <w:p w:rsidR="005D4DB8" w:rsidRPr="00B74BA2" w:rsidRDefault="005D4DB8" w:rsidP="0091423A">
            <w:pPr>
              <w:keepNext/>
              <w:keepLines/>
              <w:widowControl/>
              <w:jc w:val="center"/>
              <w:rPr>
                <w:rFonts w:ascii="Arial Narrow" w:hAnsi="Arial Narrow"/>
                <w:b/>
                <w:sz w:val="20"/>
              </w:rPr>
            </w:pPr>
            <w:r w:rsidRPr="00B74BA2">
              <w:rPr>
                <w:rFonts w:ascii="Arial Narrow" w:hAnsi="Arial Narrow"/>
                <w:b/>
                <w:sz w:val="20"/>
              </w:rPr>
              <w:t>KN013</w:t>
            </w:r>
          </w:p>
          <w:p w:rsidR="005D4DB8" w:rsidRPr="00B74BA2" w:rsidRDefault="005D4DB8" w:rsidP="0091423A">
            <w:pPr>
              <w:keepNext/>
              <w:keepLines/>
              <w:widowControl/>
              <w:jc w:val="center"/>
              <w:rPr>
                <w:rFonts w:ascii="Arial Narrow" w:hAnsi="Arial Narrow"/>
                <w:b/>
                <w:sz w:val="20"/>
              </w:rPr>
            </w:pPr>
            <w:r w:rsidRPr="00B74BA2">
              <w:rPr>
                <w:rFonts w:ascii="Arial Narrow" w:hAnsi="Arial Narrow"/>
                <w:b/>
                <w:sz w:val="20"/>
              </w:rPr>
              <w:t>N = 21</w:t>
            </w:r>
          </w:p>
        </w:tc>
        <w:tc>
          <w:tcPr>
            <w:tcW w:w="966" w:type="pct"/>
          </w:tcPr>
          <w:p w:rsidR="005D4DB8" w:rsidRPr="00B74BA2" w:rsidRDefault="005D4DB8" w:rsidP="0091423A">
            <w:pPr>
              <w:keepNext/>
              <w:keepLines/>
              <w:widowControl/>
              <w:jc w:val="center"/>
              <w:rPr>
                <w:rFonts w:ascii="Arial Narrow" w:hAnsi="Arial Narrow"/>
                <w:b/>
                <w:sz w:val="20"/>
              </w:rPr>
            </w:pPr>
            <w:r w:rsidRPr="00B74BA2">
              <w:rPr>
                <w:rFonts w:ascii="Arial Narrow" w:hAnsi="Arial Narrow"/>
                <w:b/>
                <w:sz w:val="20"/>
              </w:rPr>
              <w:t>KN170</w:t>
            </w:r>
          </w:p>
          <w:p w:rsidR="005D4DB8" w:rsidRPr="00B74BA2" w:rsidRDefault="005D4DB8" w:rsidP="0091423A">
            <w:pPr>
              <w:keepNext/>
              <w:keepLines/>
              <w:widowControl/>
              <w:jc w:val="center"/>
              <w:rPr>
                <w:rFonts w:ascii="Arial Narrow" w:hAnsi="Arial Narrow"/>
                <w:b/>
                <w:sz w:val="20"/>
              </w:rPr>
            </w:pPr>
            <w:r w:rsidRPr="00B74BA2">
              <w:rPr>
                <w:rFonts w:ascii="Arial Narrow" w:hAnsi="Arial Narrow"/>
                <w:b/>
                <w:sz w:val="20"/>
              </w:rPr>
              <w:t>N = 53</w:t>
            </w:r>
          </w:p>
        </w:tc>
      </w:tr>
      <w:tr w:rsidR="005D4DB8" w:rsidRPr="00B74BA2" w:rsidTr="003A1711">
        <w:trPr>
          <w:trHeight w:val="232"/>
        </w:trPr>
        <w:tc>
          <w:tcPr>
            <w:tcW w:w="2716" w:type="pct"/>
          </w:tcPr>
          <w:p w:rsidR="005D4DB8" w:rsidRPr="00B74BA2" w:rsidRDefault="005D4DB8" w:rsidP="0091423A">
            <w:pPr>
              <w:keepNext/>
              <w:keepLines/>
              <w:widowControl/>
              <w:rPr>
                <w:rFonts w:ascii="Arial Narrow" w:hAnsi="Arial Narrow"/>
                <w:sz w:val="20"/>
              </w:rPr>
            </w:pPr>
            <w:r w:rsidRPr="00B74BA2">
              <w:rPr>
                <w:rFonts w:ascii="Arial Narrow" w:hAnsi="Arial Narrow"/>
                <w:sz w:val="20"/>
              </w:rPr>
              <w:t>Cough, n (%)</w:t>
            </w:r>
          </w:p>
        </w:tc>
        <w:tc>
          <w:tcPr>
            <w:tcW w:w="1319" w:type="pct"/>
          </w:tcPr>
          <w:p w:rsidR="005D4DB8" w:rsidRPr="00B74BA2" w:rsidRDefault="005D4DB8" w:rsidP="0091423A">
            <w:pPr>
              <w:keepNext/>
              <w:keepLines/>
              <w:widowControl/>
              <w:jc w:val="center"/>
              <w:rPr>
                <w:rFonts w:ascii="Arial Narrow" w:hAnsi="Arial Narrow"/>
                <w:sz w:val="20"/>
              </w:rPr>
            </w:pPr>
            <w:r w:rsidRPr="00B74BA2">
              <w:rPr>
                <w:rFonts w:ascii="Arial Narrow" w:hAnsi="Arial Narrow"/>
                <w:sz w:val="20"/>
              </w:rPr>
              <w:t>11 (52.4)</w:t>
            </w:r>
          </w:p>
        </w:tc>
        <w:tc>
          <w:tcPr>
            <w:tcW w:w="966" w:type="pct"/>
          </w:tcPr>
          <w:p w:rsidR="005D4DB8" w:rsidRPr="00B74BA2" w:rsidRDefault="005D4DB8" w:rsidP="0091423A">
            <w:pPr>
              <w:keepNext/>
              <w:keepLines/>
              <w:widowControl/>
              <w:jc w:val="center"/>
              <w:rPr>
                <w:rFonts w:ascii="Arial Narrow" w:hAnsi="Arial Narrow"/>
                <w:sz w:val="20"/>
              </w:rPr>
            </w:pPr>
            <w:r w:rsidRPr="00B74BA2">
              <w:rPr>
                <w:rFonts w:ascii="Arial Narrow" w:hAnsi="Arial Narrow"/>
                <w:sz w:val="20"/>
              </w:rPr>
              <w:t>10 (18.9)</w:t>
            </w:r>
          </w:p>
        </w:tc>
      </w:tr>
      <w:tr w:rsidR="005D4DB8" w:rsidRPr="00B74BA2" w:rsidTr="003A1711">
        <w:trPr>
          <w:trHeight w:val="232"/>
        </w:trPr>
        <w:tc>
          <w:tcPr>
            <w:tcW w:w="2716" w:type="pct"/>
          </w:tcPr>
          <w:p w:rsidR="005D4DB8" w:rsidRPr="00B74BA2" w:rsidRDefault="005D4DB8" w:rsidP="0091423A">
            <w:pPr>
              <w:keepNext/>
              <w:keepLines/>
              <w:widowControl/>
              <w:rPr>
                <w:rFonts w:ascii="Arial Narrow" w:hAnsi="Arial Narrow"/>
                <w:sz w:val="20"/>
              </w:rPr>
            </w:pPr>
            <w:r w:rsidRPr="00B74BA2">
              <w:rPr>
                <w:rFonts w:ascii="Arial Narrow" w:hAnsi="Arial Narrow"/>
                <w:sz w:val="20"/>
              </w:rPr>
              <w:t>Diarrhoea, n (%)</w:t>
            </w:r>
          </w:p>
        </w:tc>
        <w:tc>
          <w:tcPr>
            <w:tcW w:w="1319" w:type="pct"/>
          </w:tcPr>
          <w:p w:rsidR="005D4DB8" w:rsidRPr="00B74BA2" w:rsidRDefault="005D4DB8" w:rsidP="0091423A">
            <w:pPr>
              <w:keepNext/>
              <w:keepLines/>
              <w:widowControl/>
              <w:jc w:val="center"/>
              <w:rPr>
                <w:rFonts w:ascii="Arial Narrow" w:hAnsi="Arial Narrow"/>
                <w:sz w:val="20"/>
              </w:rPr>
            </w:pPr>
            <w:r w:rsidRPr="00B74BA2">
              <w:rPr>
                <w:rFonts w:ascii="Arial Narrow" w:hAnsi="Arial Narrow"/>
                <w:sz w:val="20"/>
              </w:rPr>
              <w:t>7 (33.3)</w:t>
            </w:r>
          </w:p>
        </w:tc>
        <w:tc>
          <w:tcPr>
            <w:tcW w:w="966" w:type="pct"/>
          </w:tcPr>
          <w:p w:rsidR="005D4DB8" w:rsidRPr="00B74BA2" w:rsidRDefault="005D4DB8" w:rsidP="0091423A">
            <w:pPr>
              <w:keepNext/>
              <w:keepLines/>
              <w:widowControl/>
              <w:jc w:val="center"/>
              <w:rPr>
                <w:rFonts w:ascii="Arial Narrow" w:hAnsi="Arial Narrow"/>
                <w:sz w:val="20"/>
              </w:rPr>
            </w:pPr>
            <w:r w:rsidRPr="00B74BA2">
              <w:rPr>
                <w:rFonts w:ascii="Arial Narrow" w:hAnsi="Arial Narrow"/>
                <w:sz w:val="20"/>
              </w:rPr>
              <w:t>6 (11.3)</w:t>
            </w:r>
          </w:p>
        </w:tc>
      </w:tr>
      <w:tr w:rsidR="005D4DB8" w:rsidRPr="00B74BA2" w:rsidTr="003A1711">
        <w:trPr>
          <w:trHeight w:val="232"/>
        </w:trPr>
        <w:tc>
          <w:tcPr>
            <w:tcW w:w="2716" w:type="pct"/>
          </w:tcPr>
          <w:p w:rsidR="005D4DB8" w:rsidRPr="00B74BA2" w:rsidRDefault="005D4DB8" w:rsidP="0091423A">
            <w:pPr>
              <w:keepNext/>
              <w:keepLines/>
              <w:widowControl/>
              <w:rPr>
                <w:rFonts w:ascii="Arial Narrow" w:hAnsi="Arial Narrow"/>
                <w:sz w:val="20"/>
              </w:rPr>
            </w:pPr>
            <w:r w:rsidRPr="00B74BA2">
              <w:rPr>
                <w:rFonts w:ascii="Arial Narrow" w:hAnsi="Arial Narrow"/>
                <w:sz w:val="20"/>
              </w:rPr>
              <w:t>Pyrexia, n (%)</w:t>
            </w:r>
          </w:p>
        </w:tc>
        <w:tc>
          <w:tcPr>
            <w:tcW w:w="1319" w:type="pct"/>
          </w:tcPr>
          <w:p w:rsidR="005D4DB8" w:rsidRPr="00B74BA2" w:rsidRDefault="005D4DB8" w:rsidP="0091423A">
            <w:pPr>
              <w:keepNext/>
              <w:keepLines/>
              <w:widowControl/>
              <w:jc w:val="center"/>
              <w:rPr>
                <w:rFonts w:ascii="Arial Narrow" w:hAnsi="Arial Narrow"/>
                <w:sz w:val="20"/>
              </w:rPr>
            </w:pPr>
            <w:r w:rsidRPr="00B74BA2">
              <w:rPr>
                <w:rFonts w:ascii="Arial Narrow" w:hAnsi="Arial Narrow"/>
                <w:sz w:val="20"/>
              </w:rPr>
              <w:t>7 (33.3)</w:t>
            </w:r>
          </w:p>
        </w:tc>
        <w:tc>
          <w:tcPr>
            <w:tcW w:w="966" w:type="pct"/>
          </w:tcPr>
          <w:p w:rsidR="005D4DB8" w:rsidRPr="00B74BA2" w:rsidRDefault="005D4DB8" w:rsidP="0091423A">
            <w:pPr>
              <w:keepNext/>
              <w:keepLines/>
              <w:widowControl/>
              <w:jc w:val="center"/>
              <w:rPr>
                <w:rFonts w:ascii="Arial Narrow" w:hAnsi="Arial Narrow"/>
                <w:sz w:val="20"/>
              </w:rPr>
            </w:pPr>
            <w:r w:rsidRPr="00B74BA2">
              <w:rPr>
                <w:rFonts w:ascii="Arial Narrow" w:hAnsi="Arial Narrow"/>
                <w:sz w:val="20"/>
              </w:rPr>
              <w:t>15 (28.3)</w:t>
            </w:r>
          </w:p>
        </w:tc>
      </w:tr>
      <w:tr w:rsidR="005D4DB8" w:rsidRPr="00B74BA2" w:rsidTr="003A1711">
        <w:trPr>
          <w:trHeight w:val="232"/>
        </w:trPr>
        <w:tc>
          <w:tcPr>
            <w:tcW w:w="2716" w:type="pct"/>
          </w:tcPr>
          <w:p w:rsidR="005D4DB8" w:rsidRPr="00B74BA2" w:rsidRDefault="005D4DB8" w:rsidP="0091423A">
            <w:pPr>
              <w:keepNext/>
              <w:keepLines/>
              <w:widowControl/>
              <w:rPr>
                <w:rFonts w:ascii="Arial Narrow" w:hAnsi="Arial Narrow"/>
                <w:sz w:val="20"/>
              </w:rPr>
            </w:pPr>
            <w:r w:rsidRPr="00B74BA2">
              <w:rPr>
                <w:rFonts w:ascii="Arial Narrow" w:hAnsi="Arial Narrow"/>
                <w:sz w:val="20"/>
              </w:rPr>
              <w:t>Nausea, n (%)</w:t>
            </w:r>
          </w:p>
        </w:tc>
        <w:tc>
          <w:tcPr>
            <w:tcW w:w="1319" w:type="pct"/>
          </w:tcPr>
          <w:p w:rsidR="005D4DB8" w:rsidRPr="00B74BA2" w:rsidRDefault="005D4DB8" w:rsidP="0091423A">
            <w:pPr>
              <w:keepNext/>
              <w:keepLines/>
              <w:widowControl/>
              <w:jc w:val="center"/>
              <w:rPr>
                <w:rFonts w:ascii="Arial Narrow" w:hAnsi="Arial Narrow"/>
                <w:sz w:val="20"/>
              </w:rPr>
            </w:pPr>
            <w:r w:rsidRPr="00B74BA2">
              <w:rPr>
                <w:rFonts w:ascii="Arial Narrow" w:hAnsi="Arial Narrow"/>
                <w:sz w:val="20"/>
              </w:rPr>
              <w:t>5 (23.8)</w:t>
            </w:r>
          </w:p>
        </w:tc>
        <w:tc>
          <w:tcPr>
            <w:tcW w:w="966" w:type="pct"/>
          </w:tcPr>
          <w:p w:rsidR="005D4DB8" w:rsidRPr="00B74BA2" w:rsidRDefault="005D4DB8" w:rsidP="0091423A">
            <w:pPr>
              <w:keepNext/>
              <w:keepLines/>
              <w:widowControl/>
              <w:jc w:val="center"/>
              <w:rPr>
                <w:rFonts w:ascii="Arial Narrow" w:hAnsi="Arial Narrow"/>
                <w:sz w:val="20"/>
              </w:rPr>
            </w:pPr>
            <w:r w:rsidRPr="00B74BA2">
              <w:rPr>
                <w:rFonts w:ascii="Arial Narrow" w:hAnsi="Arial Narrow"/>
                <w:sz w:val="20"/>
              </w:rPr>
              <w:t>6 (11.3)</w:t>
            </w:r>
          </w:p>
        </w:tc>
      </w:tr>
      <w:tr w:rsidR="005D4DB8" w:rsidRPr="00B74BA2" w:rsidTr="003A1711">
        <w:trPr>
          <w:trHeight w:val="232"/>
        </w:trPr>
        <w:tc>
          <w:tcPr>
            <w:tcW w:w="2716" w:type="pct"/>
          </w:tcPr>
          <w:p w:rsidR="005D4DB8" w:rsidRPr="00B74BA2" w:rsidRDefault="005D4DB8" w:rsidP="0091423A">
            <w:pPr>
              <w:keepNext/>
              <w:keepLines/>
              <w:widowControl/>
              <w:rPr>
                <w:rFonts w:ascii="Arial Narrow" w:hAnsi="Arial Narrow"/>
                <w:sz w:val="20"/>
              </w:rPr>
            </w:pPr>
            <w:r w:rsidRPr="00B74BA2">
              <w:rPr>
                <w:rFonts w:ascii="Arial Narrow" w:hAnsi="Arial Narrow"/>
                <w:sz w:val="20"/>
              </w:rPr>
              <w:t>Neutropenia, n (%)</w:t>
            </w:r>
          </w:p>
        </w:tc>
        <w:tc>
          <w:tcPr>
            <w:tcW w:w="1319" w:type="pct"/>
          </w:tcPr>
          <w:p w:rsidR="005D4DB8" w:rsidRPr="00B74BA2" w:rsidRDefault="005D4DB8" w:rsidP="0091423A">
            <w:pPr>
              <w:keepNext/>
              <w:keepLines/>
              <w:widowControl/>
              <w:jc w:val="center"/>
              <w:rPr>
                <w:rFonts w:ascii="Arial Narrow" w:hAnsi="Arial Narrow"/>
                <w:sz w:val="20"/>
              </w:rPr>
            </w:pPr>
            <w:r w:rsidRPr="00B74BA2">
              <w:rPr>
                <w:rFonts w:ascii="Arial Narrow" w:hAnsi="Arial Narrow"/>
                <w:sz w:val="20"/>
              </w:rPr>
              <w:t>5 (23.8)</w:t>
            </w:r>
          </w:p>
        </w:tc>
        <w:tc>
          <w:tcPr>
            <w:tcW w:w="966" w:type="pct"/>
          </w:tcPr>
          <w:p w:rsidR="005D4DB8" w:rsidRPr="00B74BA2" w:rsidRDefault="005D4DB8" w:rsidP="0091423A">
            <w:pPr>
              <w:keepNext/>
              <w:keepLines/>
              <w:widowControl/>
              <w:jc w:val="center"/>
              <w:rPr>
                <w:rFonts w:ascii="Arial Narrow" w:hAnsi="Arial Narrow"/>
                <w:sz w:val="20"/>
              </w:rPr>
            </w:pPr>
            <w:r w:rsidRPr="00B74BA2">
              <w:rPr>
                <w:rFonts w:ascii="Arial Narrow" w:hAnsi="Arial Narrow"/>
                <w:sz w:val="20"/>
              </w:rPr>
              <w:t>14 (26.4)</w:t>
            </w:r>
          </w:p>
        </w:tc>
      </w:tr>
      <w:tr w:rsidR="005D4DB8" w:rsidRPr="00B74BA2" w:rsidTr="003A1711">
        <w:trPr>
          <w:trHeight w:val="232"/>
        </w:trPr>
        <w:tc>
          <w:tcPr>
            <w:tcW w:w="2716" w:type="pct"/>
          </w:tcPr>
          <w:p w:rsidR="005D4DB8" w:rsidRPr="00B74BA2" w:rsidRDefault="005D4DB8" w:rsidP="0091423A">
            <w:pPr>
              <w:keepNext/>
              <w:keepLines/>
              <w:widowControl/>
              <w:rPr>
                <w:rFonts w:ascii="Arial Narrow" w:hAnsi="Arial Narrow"/>
                <w:sz w:val="20"/>
              </w:rPr>
            </w:pPr>
            <w:r w:rsidRPr="00B74BA2">
              <w:rPr>
                <w:rFonts w:ascii="Arial Narrow" w:hAnsi="Arial Narrow"/>
                <w:sz w:val="20"/>
              </w:rPr>
              <w:t>Anaemia, n (%)</w:t>
            </w:r>
          </w:p>
        </w:tc>
        <w:tc>
          <w:tcPr>
            <w:tcW w:w="1319" w:type="pct"/>
          </w:tcPr>
          <w:p w:rsidR="005D4DB8" w:rsidRPr="00B74BA2" w:rsidRDefault="005D4DB8" w:rsidP="0091423A">
            <w:pPr>
              <w:keepNext/>
              <w:keepLines/>
              <w:widowControl/>
              <w:jc w:val="center"/>
              <w:rPr>
                <w:rFonts w:ascii="Arial Narrow" w:hAnsi="Arial Narrow"/>
                <w:sz w:val="20"/>
              </w:rPr>
            </w:pPr>
            <w:r w:rsidRPr="00B74BA2">
              <w:rPr>
                <w:rFonts w:ascii="Arial Narrow" w:hAnsi="Arial Narrow"/>
                <w:sz w:val="20"/>
              </w:rPr>
              <w:t>4 (19.0)</w:t>
            </w:r>
          </w:p>
        </w:tc>
        <w:tc>
          <w:tcPr>
            <w:tcW w:w="966" w:type="pct"/>
          </w:tcPr>
          <w:p w:rsidR="005D4DB8" w:rsidRPr="00B74BA2" w:rsidRDefault="005D4DB8" w:rsidP="0091423A">
            <w:pPr>
              <w:keepNext/>
              <w:keepLines/>
              <w:widowControl/>
              <w:jc w:val="center"/>
              <w:rPr>
                <w:rFonts w:ascii="Arial Narrow" w:hAnsi="Arial Narrow"/>
                <w:sz w:val="20"/>
              </w:rPr>
            </w:pPr>
            <w:r w:rsidRPr="00B74BA2">
              <w:rPr>
                <w:rFonts w:ascii="Arial Narrow" w:hAnsi="Arial Narrow"/>
                <w:sz w:val="20"/>
              </w:rPr>
              <w:t>6 (11.3)</w:t>
            </w:r>
          </w:p>
        </w:tc>
      </w:tr>
      <w:tr w:rsidR="005D4DB8" w:rsidRPr="00B74BA2" w:rsidTr="003A1711">
        <w:trPr>
          <w:trHeight w:val="232"/>
        </w:trPr>
        <w:tc>
          <w:tcPr>
            <w:tcW w:w="2716" w:type="pct"/>
          </w:tcPr>
          <w:p w:rsidR="005D4DB8" w:rsidRPr="00B74BA2" w:rsidRDefault="005D4DB8" w:rsidP="0091423A">
            <w:pPr>
              <w:keepNext/>
              <w:keepLines/>
              <w:widowControl/>
              <w:rPr>
                <w:rFonts w:ascii="Arial Narrow" w:hAnsi="Arial Narrow"/>
                <w:sz w:val="20"/>
              </w:rPr>
            </w:pPr>
            <w:r w:rsidRPr="00B74BA2">
              <w:rPr>
                <w:rFonts w:ascii="Arial Narrow" w:hAnsi="Arial Narrow"/>
                <w:sz w:val="20"/>
              </w:rPr>
              <w:t>Dyspnoea, n (%)</w:t>
            </w:r>
          </w:p>
        </w:tc>
        <w:tc>
          <w:tcPr>
            <w:tcW w:w="1319" w:type="pct"/>
          </w:tcPr>
          <w:p w:rsidR="005D4DB8" w:rsidRPr="00B74BA2" w:rsidRDefault="005D4DB8" w:rsidP="0091423A">
            <w:pPr>
              <w:keepNext/>
              <w:keepLines/>
              <w:widowControl/>
              <w:jc w:val="center"/>
              <w:rPr>
                <w:rFonts w:ascii="Arial Narrow" w:hAnsi="Arial Narrow"/>
                <w:sz w:val="20"/>
              </w:rPr>
            </w:pPr>
            <w:r w:rsidRPr="00B74BA2">
              <w:rPr>
                <w:rFonts w:ascii="Arial Narrow" w:hAnsi="Arial Narrow"/>
                <w:sz w:val="20"/>
              </w:rPr>
              <w:t>3 (14.3)</w:t>
            </w:r>
          </w:p>
        </w:tc>
        <w:tc>
          <w:tcPr>
            <w:tcW w:w="966" w:type="pct"/>
          </w:tcPr>
          <w:p w:rsidR="005D4DB8" w:rsidRPr="00B74BA2" w:rsidRDefault="005D4DB8" w:rsidP="0091423A">
            <w:pPr>
              <w:keepNext/>
              <w:keepLines/>
              <w:widowControl/>
              <w:jc w:val="center"/>
              <w:rPr>
                <w:rFonts w:ascii="Arial Narrow" w:hAnsi="Arial Narrow"/>
                <w:sz w:val="20"/>
              </w:rPr>
            </w:pPr>
            <w:r w:rsidRPr="00B74BA2">
              <w:rPr>
                <w:rFonts w:ascii="Arial Narrow" w:hAnsi="Arial Narrow"/>
                <w:sz w:val="20"/>
              </w:rPr>
              <w:t>11 (20.8)</w:t>
            </w:r>
          </w:p>
        </w:tc>
      </w:tr>
    </w:tbl>
    <w:p w:rsidR="005D4DB8" w:rsidRPr="00B74BA2" w:rsidRDefault="005D4DB8" w:rsidP="0091423A">
      <w:pPr>
        <w:keepNext/>
        <w:keepLines/>
        <w:widowControl/>
        <w:rPr>
          <w:rFonts w:ascii="Arial Narrow" w:hAnsi="Arial Narrow"/>
          <w:sz w:val="20"/>
        </w:rPr>
      </w:pPr>
      <w:r w:rsidRPr="00B74BA2">
        <w:rPr>
          <w:rFonts w:ascii="Arial Narrow" w:hAnsi="Arial Narrow"/>
          <w:sz w:val="18"/>
        </w:rPr>
        <w:t>Source: Table 2.5-5, p50 and Table 2.5-9, p52, of the submission.</w:t>
      </w:r>
    </w:p>
    <w:p w:rsidR="005D4DB8" w:rsidRPr="007A3517" w:rsidRDefault="005D4DB8" w:rsidP="007A3517">
      <w:pPr>
        <w:keepNext/>
        <w:keepLines/>
        <w:widowControl/>
        <w:spacing w:after="240"/>
        <w:rPr>
          <w:rFonts w:ascii="Arial Narrow" w:eastAsia="Calibri" w:hAnsi="Arial Narrow"/>
          <w:sz w:val="18"/>
        </w:rPr>
      </w:pPr>
      <w:r w:rsidRPr="00B74BA2">
        <w:rPr>
          <w:rFonts w:ascii="Arial Narrow" w:eastAsia="Calibri" w:hAnsi="Arial Narrow"/>
          <w:sz w:val="18"/>
        </w:rPr>
        <w:t xml:space="preserve">Abbreviations: AE = adverse events; n = number of participants reporting data; N = total participants in group; SAE = serious adverse </w:t>
      </w:r>
      <w:r w:rsidR="007A3517">
        <w:rPr>
          <w:rFonts w:ascii="Arial Narrow" w:eastAsia="Calibri" w:hAnsi="Arial Narrow"/>
          <w:sz w:val="18"/>
        </w:rPr>
        <w:t>events; SOC = standard of care.</w:t>
      </w:r>
    </w:p>
    <w:p w:rsidR="005D4DB8" w:rsidRPr="007A3517" w:rsidRDefault="005D4DB8" w:rsidP="0091423A">
      <w:pPr>
        <w:pStyle w:val="Heading2"/>
        <w:widowControl/>
      </w:pPr>
      <w:bookmarkStart w:id="10" w:name="_Toc524436889"/>
      <w:r w:rsidRPr="007A3517">
        <w:t>Benefits/harms</w:t>
      </w:r>
      <w:bookmarkEnd w:id="10"/>
    </w:p>
    <w:p w:rsidR="005D4DB8" w:rsidRPr="00B74BA2" w:rsidRDefault="005D4DB8" w:rsidP="00F2263C">
      <w:pPr>
        <w:pStyle w:val="ListParagraph"/>
        <w:widowControl/>
        <w:numPr>
          <w:ilvl w:val="1"/>
          <w:numId w:val="1"/>
        </w:numPr>
      </w:pPr>
      <w:r w:rsidRPr="00B74BA2">
        <w:rPr>
          <w:rFonts w:cs="Calibri"/>
          <w:snapToGrid/>
          <w:szCs w:val="24"/>
          <w:lang w:val="en-US" w:eastAsia="en-AU"/>
        </w:rPr>
        <w:t xml:space="preserve">The naïve indirect comparison presented in the submission did not allow for a quantitative comparison of the benefits and harms of </w:t>
      </w:r>
      <w:proofErr w:type="spellStart"/>
      <w:r w:rsidRPr="00B74BA2">
        <w:rPr>
          <w:rFonts w:cs="Calibri"/>
          <w:snapToGrid/>
          <w:szCs w:val="24"/>
          <w:lang w:val="en-US" w:eastAsia="en-AU"/>
        </w:rPr>
        <w:t>pembrolizumab</w:t>
      </w:r>
      <w:proofErr w:type="spellEnd"/>
      <w:r w:rsidRPr="00B74BA2">
        <w:rPr>
          <w:rFonts w:cs="Calibri"/>
          <w:snapToGrid/>
          <w:szCs w:val="24"/>
          <w:lang w:val="en-US" w:eastAsia="en-AU"/>
        </w:rPr>
        <w:t xml:space="preserve"> with SOC. Accordingly, a benefits/harms table has not been presented.</w:t>
      </w:r>
    </w:p>
    <w:p w:rsidR="005D4DB8" w:rsidRPr="007A3517" w:rsidRDefault="005D4DB8" w:rsidP="0091423A">
      <w:pPr>
        <w:pStyle w:val="Heading2"/>
        <w:widowControl/>
      </w:pPr>
      <w:bookmarkStart w:id="11" w:name="_Toc524436890"/>
      <w:r w:rsidRPr="007A3517">
        <w:lastRenderedPageBreak/>
        <w:t>Clinical claim</w:t>
      </w:r>
      <w:bookmarkEnd w:id="11"/>
    </w:p>
    <w:p w:rsidR="0038009D" w:rsidRPr="00B74BA2" w:rsidRDefault="005D4DB8" w:rsidP="00852BA0">
      <w:pPr>
        <w:pStyle w:val="ListParagraph"/>
        <w:widowControl/>
        <w:numPr>
          <w:ilvl w:val="1"/>
          <w:numId w:val="1"/>
        </w:numPr>
      </w:pPr>
      <w:r w:rsidRPr="00B74BA2">
        <w:t xml:space="preserve">The submission claimed that pembrolizumab is superior to SOC in terms of effectiveness and safety. The </w:t>
      </w:r>
      <w:r w:rsidR="00FD0118" w:rsidRPr="00B74BA2">
        <w:t xml:space="preserve">ESC considered that the </w:t>
      </w:r>
      <w:r w:rsidRPr="00B74BA2">
        <w:t>submission’s</w:t>
      </w:r>
      <w:r w:rsidR="008D2299" w:rsidRPr="00B74BA2">
        <w:t xml:space="preserve"> claim of superior comparative effectiveness</w:t>
      </w:r>
      <w:r w:rsidRPr="00B74BA2">
        <w:t xml:space="preserve"> </w:t>
      </w:r>
      <w:r w:rsidR="00FD0118" w:rsidRPr="00B74BA2">
        <w:t>wa</w:t>
      </w:r>
      <w:r w:rsidRPr="00B74BA2">
        <w:t>s uncertain given</w:t>
      </w:r>
      <w:r w:rsidR="00431FF6" w:rsidRPr="00B74BA2">
        <w:t xml:space="preserve">: the study of SOC </w:t>
      </w:r>
      <w:r w:rsidR="00750A5E">
        <w:t>(</w:t>
      </w:r>
      <w:proofErr w:type="spellStart"/>
      <w:r w:rsidR="00750A5E">
        <w:t>Kuruvilla</w:t>
      </w:r>
      <w:proofErr w:type="spellEnd"/>
      <w:r w:rsidR="00750A5E">
        <w:t xml:space="preserve"> 2008) </w:t>
      </w:r>
      <w:r w:rsidR="00431FF6" w:rsidRPr="00B74BA2">
        <w:t>did not include rituximab-containing regimens and thus likely underestimated the outcomes with current practice;</w:t>
      </w:r>
      <w:r w:rsidRPr="00B74BA2">
        <w:t xml:space="preserve"> the heterogeneity in study populations and methods</w:t>
      </w:r>
      <w:r w:rsidR="00431FF6" w:rsidRPr="00B74BA2">
        <w:t>;</w:t>
      </w:r>
      <w:r w:rsidRPr="00B74BA2">
        <w:t xml:space="preserve"> </w:t>
      </w:r>
      <w:r w:rsidR="008D2299" w:rsidRPr="00B74BA2">
        <w:t xml:space="preserve">and </w:t>
      </w:r>
      <w:r w:rsidRPr="00B74BA2">
        <w:t>the absence of an indirect comparison informed by a common reference</w:t>
      </w:r>
      <w:r w:rsidR="008D2299" w:rsidRPr="00B74BA2">
        <w:t xml:space="preserve">. </w:t>
      </w:r>
      <w:r w:rsidR="009415B0">
        <w:t xml:space="preserve">The PBAC further considered that the data </w:t>
      </w:r>
      <w:r w:rsidR="00852BA0">
        <w:t xml:space="preserve">from the pembrolizumab studies </w:t>
      </w:r>
      <w:r w:rsidR="009415B0">
        <w:t>were immature</w:t>
      </w:r>
      <w:r w:rsidR="00852BA0">
        <w:t xml:space="preserve">, with the Phase 2 KN170 study having a </w:t>
      </w:r>
      <w:r w:rsidR="00852BA0" w:rsidRPr="00852BA0">
        <w:t xml:space="preserve">median duration of follow-up </w:t>
      </w:r>
      <w:r w:rsidR="00852BA0">
        <w:t>of</w:t>
      </w:r>
      <w:r w:rsidR="00852BA0" w:rsidRPr="00852BA0">
        <w:t xml:space="preserve"> 9.7 months</w:t>
      </w:r>
      <w:r w:rsidR="00852BA0">
        <w:t xml:space="preserve"> and a large degree of censoring.</w:t>
      </w:r>
    </w:p>
    <w:p w:rsidR="005D4DB8" w:rsidRPr="00B74BA2" w:rsidRDefault="00EC1F18" w:rsidP="00F2263C">
      <w:pPr>
        <w:pStyle w:val="ListParagraph"/>
        <w:widowControl/>
        <w:numPr>
          <w:ilvl w:val="1"/>
          <w:numId w:val="1"/>
        </w:numPr>
      </w:pPr>
      <w:r w:rsidRPr="00B74BA2">
        <w:t xml:space="preserve">Further, the submission’s claim of superior comparative safety was </w:t>
      </w:r>
      <w:r w:rsidR="00B57CFA" w:rsidRPr="00B74BA2">
        <w:t xml:space="preserve">unable to be </w:t>
      </w:r>
      <w:r w:rsidR="00431FF6" w:rsidRPr="00B74BA2">
        <w:t>assess</w:t>
      </w:r>
      <w:r w:rsidR="00B57CFA" w:rsidRPr="00B74BA2">
        <w:t xml:space="preserve">ed </w:t>
      </w:r>
      <w:r w:rsidR="00750A5E">
        <w:t xml:space="preserve">during evaluation </w:t>
      </w:r>
      <w:r w:rsidRPr="00B74BA2">
        <w:t xml:space="preserve">as no safety data were presented for SOC, and </w:t>
      </w:r>
      <w:r w:rsidR="005C1542" w:rsidRPr="00B74BA2">
        <w:t>no</w:t>
      </w:r>
      <w:r w:rsidRPr="00B74BA2">
        <w:t xml:space="preserve"> comparison of safety </w:t>
      </w:r>
      <w:r w:rsidR="00792930" w:rsidRPr="00B74BA2">
        <w:t>outcomes</w:t>
      </w:r>
      <w:r w:rsidR="005C1542" w:rsidRPr="00B74BA2">
        <w:t xml:space="preserve"> was provided</w:t>
      </w:r>
      <w:r w:rsidRPr="00B74BA2">
        <w:t>.</w:t>
      </w:r>
    </w:p>
    <w:p w:rsidR="00744DE0" w:rsidRPr="00B74BA2" w:rsidRDefault="00744DE0" w:rsidP="00F2263C">
      <w:pPr>
        <w:pStyle w:val="ListParagraph"/>
        <w:widowControl/>
        <w:numPr>
          <w:ilvl w:val="1"/>
          <w:numId w:val="1"/>
        </w:numPr>
      </w:pPr>
      <w:bookmarkStart w:id="12" w:name="_Hlk523992004"/>
      <w:r w:rsidRPr="00B74BA2">
        <w:t>The submission also claimed that pembrolizumab</w:t>
      </w:r>
      <w:r w:rsidR="00FD150F" w:rsidRPr="00B74BA2">
        <w:t xml:space="preserve"> may</w:t>
      </w:r>
      <w:r w:rsidRPr="00B74BA2">
        <w:t xml:space="preserve"> provide patients with a potential bridge to </w:t>
      </w:r>
      <w:r w:rsidR="006E1A11" w:rsidRPr="00B74BA2">
        <w:t>autologous</w:t>
      </w:r>
      <w:r w:rsidRPr="00B74BA2">
        <w:t xml:space="preserve"> or allo</w:t>
      </w:r>
      <w:r w:rsidR="00186E80" w:rsidRPr="00B74BA2">
        <w:t>geneic</w:t>
      </w:r>
      <w:r w:rsidR="00C04D78" w:rsidRPr="00B74BA2">
        <w:t xml:space="preserve"> </w:t>
      </w:r>
      <w:r w:rsidR="006E1A11" w:rsidRPr="00B74BA2">
        <w:t>SCT</w:t>
      </w:r>
      <w:r w:rsidRPr="00B74BA2">
        <w:t xml:space="preserve">. </w:t>
      </w:r>
      <w:r w:rsidR="006E1A11" w:rsidRPr="00B74BA2">
        <w:t>The evaluation considered that t</w:t>
      </w:r>
      <w:r w:rsidR="008B3DAC" w:rsidRPr="00B74BA2">
        <w:t xml:space="preserve">his may be reasonable, </w:t>
      </w:r>
      <w:r w:rsidR="0055583A" w:rsidRPr="00B74BA2">
        <w:t>given that</w:t>
      </w:r>
      <w:r w:rsidRPr="00B74BA2">
        <w:t xml:space="preserve"> </w:t>
      </w:r>
      <w:r w:rsidR="000152D6" w:rsidRPr="00B74BA2">
        <w:t>eight</w:t>
      </w:r>
      <w:r w:rsidR="00DB75F5" w:rsidRPr="00B74BA2">
        <w:t xml:space="preserve"> patients </w:t>
      </w:r>
      <w:r w:rsidR="006E1A11" w:rsidRPr="00B74BA2">
        <w:t>(</w:t>
      </w:r>
      <w:r w:rsidR="000152D6" w:rsidRPr="00B74BA2">
        <w:t>11</w:t>
      </w:r>
      <w:r w:rsidR="006E1A11" w:rsidRPr="00B74BA2">
        <w:t xml:space="preserve">%) </w:t>
      </w:r>
      <w:r w:rsidR="00DB75F5" w:rsidRPr="00B74BA2">
        <w:t xml:space="preserve">in </w:t>
      </w:r>
      <w:r w:rsidRPr="00B74BA2">
        <w:t xml:space="preserve">KN013 and KN170 </w:t>
      </w:r>
      <w:r w:rsidR="00DB75F5" w:rsidRPr="00B74BA2">
        <w:t>underwent an</w:t>
      </w:r>
      <w:r w:rsidRPr="00B74BA2">
        <w:t xml:space="preserve"> </w:t>
      </w:r>
      <w:r w:rsidR="009815AC" w:rsidRPr="00B74BA2">
        <w:t xml:space="preserve">autologous </w:t>
      </w:r>
      <w:r w:rsidR="00DB75F5" w:rsidRPr="00B74BA2">
        <w:t>or</w:t>
      </w:r>
      <w:r w:rsidRPr="00B74BA2">
        <w:t xml:space="preserve"> allo</w:t>
      </w:r>
      <w:r w:rsidR="00DB75F5" w:rsidRPr="00B74BA2">
        <w:t xml:space="preserve">geneic </w:t>
      </w:r>
      <w:r w:rsidR="009815AC" w:rsidRPr="00B74BA2">
        <w:t xml:space="preserve">SCT </w:t>
      </w:r>
      <w:r w:rsidRPr="00B74BA2">
        <w:t>after treatment with pembrolizumab.</w:t>
      </w:r>
      <w:r w:rsidR="00B57CFA" w:rsidRPr="00B74BA2">
        <w:t xml:space="preserve"> However</w:t>
      </w:r>
      <w:r w:rsidR="006E1A11" w:rsidRPr="00B74BA2">
        <w:t xml:space="preserve">, the ESC </w:t>
      </w:r>
      <w:r w:rsidR="009D7AFA" w:rsidRPr="00B74BA2">
        <w:t>not</w:t>
      </w:r>
      <w:r w:rsidR="00696327" w:rsidRPr="00B74BA2">
        <w:t>ed</w:t>
      </w:r>
      <w:r w:rsidR="006E1A11" w:rsidRPr="00B74BA2">
        <w:t xml:space="preserve"> that </w:t>
      </w:r>
      <w:r w:rsidR="00431FF6" w:rsidRPr="00B74BA2">
        <w:t>SOC</w:t>
      </w:r>
      <w:r w:rsidR="006E1A11" w:rsidRPr="00B74BA2">
        <w:t xml:space="preserve"> therapies</w:t>
      </w:r>
      <w:r w:rsidR="00B57CFA" w:rsidRPr="00B74BA2">
        <w:t xml:space="preserve"> may also act as a bridge to transplant</w:t>
      </w:r>
      <w:r w:rsidR="009D7AFA" w:rsidRPr="00B74BA2">
        <w:t>, with</w:t>
      </w:r>
      <w:r w:rsidR="00696327" w:rsidRPr="00B74BA2">
        <w:t xml:space="preserve"> </w:t>
      </w:r>
      <w:r w:rsidR="000152D6" w:rsidRPr="00B74BA2">
        <w:t>eight</w:t>
      </w:r>
      <w:r w:rsidR="00696327" w:rsidRPr="00B74BA2">
        <w:t xml:space="preserve"> (22%) patients in </w:t>
      </w:r>
      <w:proofErr w:type="spellStart"/>
      <w:r w:rsidR="00696327" w:rsidRPr="00B74BA2">
        <w:t>Kuruvilla</w:t>
      </w:r>
      <w:proofErr w:type="spellEnd"/>
      <w:r w:rsidR="00696327" w:rsidRPr="00B74BA2">
        <w:t xml:space="preserve"> 2008 under</w:t>
      </w:r>
      <w:r w:rsidR="009D7AFA" w:rsidRPr="00B74BA2">
        <w:t>going</w:t>
      </w:r>
      <w:r w:rsidR="00696327" w:rsidRPr="00B74BA2">
        <w:t xml:space="preserve"> an autologous SCT. The ESC noted the limitations of </w:t>
      </w:r>
      <w:r w:rsidR="009D7AFA" w:rsidRPr="00B74BA2">
        <w:t xml:space="preserve">comparing the two pembrolizumab studies to </w:t>
      </w:r>
      <w:proofErr w:type="spellStart"/>
      <w:r w:rsidR="009D7AFA" w:rsidRPr="00B74BA2">
        <w:t>Kuruvilla</w:t>
      </w:r>
      <w:proofErr w:type="spellEnd"/>
      <w:r w:rsidR="009D7AFA" w:rsidRPr="00B74BA2">
        <w:t xml:space="preserve"> 2008</w:t>
      </w:r>
      <w:r w:rsidR="000502F5" w:rsidRPr="00B74BA2">
        <w:t>. H</w:t>
      </w:r>
      <w:r w:rsidR="009D7AFA" w:rsidRPr="00B74BA2">
        <w:t>owever</w:t>
      </w:r>
      <w:r w:rsidR="00FD150F" w:rsidRPr="00B74BA2">
        <w:t>,</w:t>
      </w:r>
      <w:r w:rsidR="009D7AFA" w:rsidRPr="00B74BA2">
        <w:t xml:space="preserve"> </w:t>
      </w:r>
      <w:r w:rsidR="000502F5" w:rsidRPr="00B74BA2">
        <w:t>as</w:t>
      </w:r>
      <w:r w:rsidR="009815AC" w:rsidRPr="00B74BA2">
        <w:t xml:space="preserve"> </w:t>
      </w:r>
      <w:r w:rsidR="000152D6" w:rsidRPr="00B74BA2">
        <w:t xml:space="preserve">SCT (particularly allogeneic SCT) is </w:t>
      </w:r>
      <w:r w:rsidR="009815AC" w:rsidRPr="00B74BA2">
        <w:t>a key goal of treatment</w:t>
      </w:r>
      <w:r w:rsidR="000502F5" w:rsidRPr="00B74BA2">
        <w:t>,</w:t>
      </w:r>
      <w:r w:rsidR="009815AC" w:rsidRPr="00B74BA2">
        <w:t xml:space="preserve"> </w:t>
      </w:r>
      <w:r w:rsidR="000502F5" w:rsidRPr="00B74BA2">
        <w:t xml:space="preserve">the ESC considered that </w:t>
      </w:r>
      <w:r w:rsidR="009815AC" w:rsidRPr="00B74BA2">
        <w:t xml:space="preserve">a comparison of the number of patients who underwent allogeneic SCT post-treatment </w:t>
      </w:r>
      <w:r w:rsidR="000502F5" w:rsidRPr="00B74BA2">
        <w:t xml:space="preserve">would have been informative (i.e. post-treatment with pembrolizumab versus </w:t>
      </w:r>
      <w:r w:rsidR="000152D6" w:rsidRPr="00B74BA2">
        <w:t xml:space="preserve">post-treatment with </w:t>
      </w:r>
      <w:r w:rsidR="000502F5" w:rsidRPr="00B74BA2">
        <w:t>rituximab-containing SOC therapies)</w:t>
      </w:r>
      <w:r w:rsidR="009815AC" w:rsidRPr="00B74BA2">
        <w:t xml:space="preserve">. </w:t>
      </w:r>
    </w:p>
    <w:p w:rsidR="005D4DB8" w:rsidRPr="007A3517" w:rsidRDefault="005D4DB8" w:rsidP="0091423A">
      <w:pPr>
        <w:pStyle w:val="Heading2"/>
        <w:widowControl/>
      </w:pPr>
      <w:bookmarkStart w:id="13" w:name="_Toc524436891"/>
      <w:bookmarkEnd w:id="12"/>
      <w:r w:rsidRPr="007A3517">
        <w:t>Economic analysis</w:t>
      </w:r>
      <w:bookmarkEnd w:id="13"/>
      <w:r w:rsidRPr="007A3517">
        <w:t xml:space="preserve"> </w:t>
      </w:r>
    </w:p>
    <w:p w:rsidR="005D4DB8" w:rsidRPr="00B74BA2" w:rsidRDefault="005D4DB8" w:rsidP="00F2263C">
      <w:pPr>
        <w:pStyle w:val="ListParagraph"/>
        <w:widowControl/>
        <w:numPr>
          <w:ilvl w:val="1"/>
          <w:numId w:val="1"/>
        </w:numPr>
      </w:pPr>
      <w:r w:rsidRPr="00B74BA2">
        <w:rPr>
          <w:rFonts w:cs="Calibri"/>
          <w:snapToGrid/>
          <w:szCs w:val="24"/>
          <w:lang w:val="en-US" w:eastAsia="en-AU"/>
        </w:rPr>
        <w:t>The submission presented a cost-utility analysis. The model structure and rationale are presented in Table 1</w:t>
      </w:r>
      <w:r w:rsidR="0084031E" w:rsidRPr="00B74BA2">
        <w:rPr>
          <w:rFonts w:cs="Calibri"/>
          <w:snapToGrid/>
          <w:szCs w:val="24"/>
          <w:lang w:val="en-US" w:eastAsia="en-AU"/>
        </w:rPr>
        <w:t>1</w:t>
      </w:r>
      <w:r w:rsidRPr="00B74BA2">
        <w:rPr>
          <w:rFonts w:cs="Calibri"/>
          <w:snapToGrid/>
          <w:szCs w:val="24"/>
          <w:lang w:val="en-US" w:eastAsia="en-AU"/>
        </w:rPr>
        <w:t>.</w:t>
      </w:r>
    </w:p>
    <w:p w:rsidR="005D4DB8" w:rsidRPr="00B74BA2" w:rsidRDefault="005D4DB8" w:rsidP="0091423A">
      <w:pPr>
        <w:keepNext/>
        <w:keepLines/>
        <w:widowControl/>
        <w:rPr>
          <w:rStyle w:val="CommentReference"/>
        </w:rPr>
      </w:pPr>
      <w:r w:rsidRPr="00B74BA2">
        <w:rPr>
          <w:rStyle w:val="CommentReference"/>
        </w:rPr>
        <w:lastRenderedPageBreak/>
        <w:t>Table 1</w:t>
      </w:r>
      <w:r w:rsidR="0084031E" w:rsidRPr="00B74BA2">
        <w:rPr>
          <w:rStyle w:val="CommentReference"/>
        </w:rPr>
        <w:t>1</w:t>
      </w:r>
      <w:r w:rsidRPr="00B74BA2">
        <w:rPr>
          <w:rStyle w:val="CommentReference"/>
        </w:rPr>
        <w:t>: Summary of model structure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013"/>
        <w:gridCol w:w="7070"/>
      </w:tblGrid>
      <w:tr w:rsidR="005D4DB8" w:rsidRPr="00B74BA2" w:rsidTr="005A5FA7">
        <w:trPr>
          <w:tblHeader/>
        </w:trPr>
        <w:tc>
          <w:tcPr>
            <w:tcW w:w="1108" w:type="pct"/>
            <w:shd w:val="clear" w:color="auto" w:fill="auto"/>
            <w:vAlign w:val="center"/>
          </w:tcPr>
          <w:p w:rsidR="005D4DB8" w:rsidRPr="00B74BA2" w:rsidRDefault="005D4DB8" w:rsidP="0091423A">
            <w:pPr>
              <w:pStyle w:val="Tabletext"/>
              <w:keepNext/>
              <w:keepLines/>
              <w:rPr>
                <w:b/>
              </w:rPr>
            </w:pPr>
            <w:r w:rsidRPr="00B74BA2">
              <w:rPr>
                <w:b/>
              </w:rPr>
              <w:t>Component</w:t>
            </w:r>
          </w:p>
        </w:tc>
        <w:tc>
          <w:tcPr>
            <w:tcW w:w="3892" w:type="pct"/>
            <w:shd w:val="clear" w:color="auto" w:fill="auto"/>
            <w:vAlign w:val="center"/>
          </w:tcPr>
          <w:p w:rsidR="005D4DB8" w:rsidRPr="00B74BA2" w:rsidRDefault="005D4DB8" w:rsidP="0091423A">
            <w:pPr>
              <w:pStyle w:val="Tabletext"/>
              <w:keepNext/>
              <w:keepLines/>
              <w:jc w:val="center"/>
              <w:rPr>
                <w:b/>
              </w:rPr>
            </w:pPr>
            <w:r w:rsidRPr="00B74BA2">
              <w:rPr>
                <w:b/>
              </w:rPr>
              <w:t>Summary</w:t>
            </w:r>
          </w:p>
        </w:tc>
      </w:tr>
      <w:tr w:rsidR="005D4DB8" w:rsidRPr="00B74BA2" w:rsidTr="005A5FA7">
        <w:trPr>
          <w:tblHeader/>
        </w:trPr>
        <w:tc>
          <w:tcPr>
            <w:tcW w:w="1108" w:type="pct"/>
            <w:shd w:val="clear" w:color="auto" w:fill="auto"/>
            <w:vAlign w:val="center"/>
          </w:tcPr>
          <w:p w:rsidR="005D4DB8" w:rsidRPr="00B74BA2" w:rsidRDefault="005D4DB8" w:rsidP="0091423A">
            <w:pPr>
              <w:pStyle w:val="Tabletext"/>
              <w:keepNext/>
              <w:keepLines/>
            </w:pPr>
            <w:r w:rsidRPr="00B74BA2">
              <w:t>Type of analysis</w:t>
            </w:r>
          </w:p>
        </w:tc>
        <w:tc>
          <w:tcPr>
            <w:tcW w:w="3892" w:type="pct"/>
            <w:shd w:val="clear" w:color="auto" w:fill="auto"/>
          </w:tcPr>
          <w:p w:rsidR="005D4DB8" w:rsidRPr="00B74BA2" w:rsidRDefault="005D4DB8" w:rsidP="0091423A">
            <w:pPr>
              <w:pStyle w:val="Tabletext"/>
              <w:keepNext/>
              <w:keepLines/>
            </w:pPr>
            <w:r w:rsidRPr="00B74BA2">
              <w:t>Cost-utility</w:t>
            </w:r>
          </w:p>
        </w:tc>
      </w:tr>
      <w:tr w:rsidR="005D4DB8" w:rsidRPr="00B74BA2" w:rsidTr="005A5FA7">
        <w:tc>
          <w:tcPr>
            <w:tcW w:w="1108" w:type="pct"/>
            <w:shd w:val="clear" w:color="auto" w:fill="auto"/>
            <w:vAlign w:val="center"/>
          </w:tcPr>
          <w:p w:rsidR="005D4DB8" w:rsidRPr="00B74BA2" w:rsidRDefault="005D4DB8" w:rsidP="0091423A">
            <w:pPr>
              <w:pStyle w:val="Tabletext"/>
              <w:keepNext/>
              <w:keepLines/>
            </w:pPr>
            <w:r w:rsidRPr="00B74BA2">
              <w:t>Time horizon</w:t>
            </w:r>
          </w:p>
        </w:tc>
        <w:tc>
          <w:tcPr>
            <w:tcW w:w="3892" w:type="pct"/>
            <w:shd w:val="clear" w:color="auto" w:fill="auto"/>
            <w:vAlign w:val="center"/>
          </w:tcPr>
          <w:p w:rsidR="005D4DB8" w:rsidRPr="00B74BA2" w:rsidRDefault="005D4DB8" w:rsidP="0091423A">
            <w:pPr>
              <w:pStyle w:val="Tabletext"/>
              <w:keepNext/>
              <w:keepLines/>
            </w:pPr>
            <w:r w:rsidRPr="00B74BA2">
              <w:t xml:space="preserve">10 years in the model base case versus </w:t>
            </w:r>
            <w:r w:rsidR="00E94B7B" w:rsidRPr="00B74BA2">
              <w:t xml:space="preserve">maximum follow-up of </w:t>
            </w:r>
            <w:r w:rsidRPr="00B74BA2">
              <w:t xml:space="preserve">21 months in KN170 (pembrolizumab) and 2 years in </w:t>
            </w:r>
            <w:proofErr w:type="spellStart"/>
            <w:r w:rsidRPr="00B74BA2">
              <w:t>Kuruvilla</w:t>
            </w:r>
            <w:proofErr w:type="spellEnd"/>
            <w:r w:rsidRPr="00B74BA2">
              <w:t xml:space="preserve"> 2008 (SOC)</w:t>
            </w:r>
          </w:p>
        </w:tc>
      </w:tr>
      <w:tr w:rsidR="005D4DB8" w:rsidRPr="00B74BA2" w:rsidTr="005A5FA7">
        <w:tc>
          <w:tcPr>
            <w:tcW w:w="1108" w:type="pct"/>
            <w:shd w:val="clear" w:color="auto" w:fill="auto"/>
            <w:vAlign w:val="center"/>
          </w:tcPr>
          <w:p w:rsidR="005D4DB8" w:rsidRPr="00B74BA2" w:rsidRDefault="005D4DB8" w:rsidP="0091423A">
            <w:pPr>
              <w:pStyle w:val="Tabletext"/>
              <w:keepNext/>
              <w:keepLines/>
            </w:pPr>
            <w:r w:rsidRPr="00B74BA2">
              <w:t>Outcomes</w:t>
            </w:r>
          </w:p>
        </w:tc>
        <w:tc>
          <w:tcPr>
            <w:tcW w:w="3892" w:type="pct"/>
            <w:shd w:val="clear" w:color="auto" w:fill="auto"/>
            <w:vAlign w:val="center"/>
          </w:tcPr>
          <w:p w:rsidR="005D4DB8" w:rsidRPr="00B74BA2" w:rsidRDefault="005D4DB8" w:rsidP="0091423A">
            <w:pPr>
              <w:pStyle w:val="Tabletext"/>
              <w:keepNext/>
              <w:keepLines/>
            </w:pPr>
            <w:r w:rsidRPr="00B74BA2">
              <w:t>QALYs</w:t>
            </w:r>
          </w:p>
        </w:tc>
      </w:tr>
      <w:tr w:rsidR="005D4DB8" w:rsidRPr="00B74BA2" w:rsidTr="005A5FA7">
        <w:tc>
          <w:tcPr>
            <w:tcW w:w="1108" w:type="pct"/>
            <w:shd w:val="clear" w:color="auto" w:fill="auto"/>
            <w:vAlign w:val="center"/>
          </w:tcPr>
          <w:p w:rsidR="005D4DB8" w:rsidRPr="00B74BA2" w:rsidRDefault="005D4DB8" w:rsidP="0091423A">
            <w:pPr>
              <w:pStyle w:val="Tabletext"/>
              <w:keepNext/>
              <w:keepLines/>
            </w:pPr>
            <w:r w:rsidRPr="00B74BA2">
              <w:t>Methods used to generate results</w:t>
            </w:r>
          </w:p>
        </w:tc>
        <w:tc>
          <w:tcPr>
            <w:tcW w:w="3892" w:type="pct"/>
            <w:shd w:val="clear" w:color="auto" w:fill="auto"/>
            <w:vAlign w:val="center"/>
          </w:tcPr>
          <w:p w:rsidR="005D4DB8" w:rsidRPr="00B74BA2" w:rsidRDefault="005D4DB8" w:rsidP="0091423A">
            <w:pPr>
              <w:pStyle w:val="Tabletext"/>
              <w:keepNext/>
              <w:keepLines/>
            </w:pPr>
            <w:r w:rsidRPr="00B74BA2">
              <w:t xml:space="preserve">Cohort analysis using partitioned survival analysis (i.e. area under the curve). Data were extrapolated using all available </w:t>
            </w:r>
            <w:r w:rsidR="008C4047" w:rsidRPr="00B74BA2">
              <w:t xml:space="preserve">Kaplan-Meier </w:t>
            </w:r>
            <w:r w:rsidRPr="00B74BA2">
              <w:t xml:space="preserve">data, applied from last available </w:t>
            </w:r>
            <w:r w:rsidR="008C4047" w:rsidRPr="00B74BA2">
              <w:t>observation</w:t>
            </w:r>
            <w:r w:rsidRPr="00B74BA2">
              <w:t xml:space="preserve"> onwards.</w:t>
            </w:r>
            <w:r w:rsidR="00A51A66" w:rsidRPr="00B74BA2">
              <w:t xml:space="preserve"> Though it was not reasonable to </w:t>
            </w:r>
            <w:r w:rsidR="00E434F4" w:rsidRPr="00B74BA2">
              <w:t xml:space="preserve">extrapolate from the last </w:t>
            </w:r>
            <w:r w:rsidR="00A51A66" w:rsidRPr="00B74BA2">
              <w:t xml:space="preserve">available Kaplan-Meier data </w:t>
            </w:r>
            <w:r w:rsidR="00E434F4" w:rsidRPr="00B74BA2">
              <w:t xml:space="preserve">point, </w:t>
            </w:r>
            <w:r w:rsidR="00A51A66" w:rsidRPr="00B74BA2">
              <w:t>given the large degree of censoring toward the end of the curve, this had little impact on the ICER</w:t>
            </w:r>
            <w:r w:rsidR="00CA6FC0" w:rsidRPr="00B74BA2">
              <w:t xml:space="preserve"> within the current structure of the model</w:t>
            </w:r>
            <w:r w:rsidR="00A51A66" w:rsidRPr="00B74BA2">
              <w:t>.</w:t>
            </w:r>
          </w:p>
        </w:tc>
      </w:tr>
      <w:tr w:rsidR="005D4DB8" w:rsidRPr="00B74BA2" w:rsidTr="005A5FA7">
        <w:tc>
          <w:tcPr>
            <w:tcW w:w="1108" w:type="pct"/>
            <w:shd w:val="clear" w:color="auto" w:fill="auto"/>
            <w:vAlign w:val="center"/>
          </w:tcPr>
          <w:p w:rsidR="005D4DB8" w:rsidRPr="00B74BA2" w:rsidRDefault="005D4DB8" w:rsidP="0091423A">
            <w:pPr>
              <w:pStyle w:val="Tabletext"/>
              <w:keepNext/>
              <w:keepLines/>
            </w:pPr>
            <w:r w:rsidRPr="00B74BA2">
              <w:t>Health states</w:t>
            </w:r>
          </w:p>
        </w:tc>
        <w:tc>
          <w:tcPr>
            <w:tcW w:w="3892" w:type="pct"/>
            <w:shd w:val="clear" w:color="auto" w:fill="auto"/>
            <w:vAlign w:val="center"/>
          </w:tcPr>
          <w:p w:rsidR="005D4DB8" w:rsidRPr="00B74BA2" w:rsidRDefault="005D4DB8" w:rsidP="0091423A">
            <w:pPr>
              <w:pStyle w:val="Tabletext"/>
              <w:keepNext/>
              <w:keepLines/>
            </w:pPr>
            <w:r w:rsidRPr="00B74BA2">
              <w:t>Progression free survival (PFS), progressive disease (PD), death</w:t>
            </w:r>
          </w:p>
        </w:tc>
      </w:tr>
      <w:tr w:rsidR="005D4DB8" w:rsidRPr="00B74BA2" w:rsidTr="005A5FA7">
        <w:trPr>
          <w:trHeight w:val="171"/>
        </w:trPr>
        <w:tc>
          <w:tcPr>
            <w:tcW w:w="1108" w:type="pct"/>
            <w:shd w:val="clear" w:color="auto" w:fill="auto"/>
            <w:vAlign w:val="center"/>
          </w:tcPr>
          <w:p w:rsidR="005D4DB8" w:rsidRPr="00B74BA2" w:rsidRDefault="005D4DB8" w:rsidP="0091423A">
            <w:pPr>
              <w:pStyle w:val="Tabletext"/>
              <w:keepNext/>
              <w:keepLines/>
            </w:pPr>
            <w:r w:rsidRPr="00B74BA2">
              <w:t>Health state movement</w:t>
            </w:r>
          </w:p>
        </w:tc>
        <w:tc>
          <w:tcPr>
            <w:tcW w:w="3892" w:type="pct"/>
            <w:shd w:val="clear" w:color="auto" w:fill="auto"/>
            <w:vAlign w:val="center"/>
          </w:tcPr>
          <w:p w:rsidR="005D4DB8" w:rsidRPr="00B74BA2" w:rsidRDefault="005D4DB8" w:rsidP="0091423A">
            <w:pPr>
              <w:pStyle w:val="Tabletext"/>
              <w:keepNext/>
              <w:keepLines/>
            </w:pPr>
            <w:r w:rsidRPr="00B74BA2">
              <w:t>Health state allocation over time determined by progression free and overall survival curves.</w:t>
            </w:r>
          </w:p>
        </w:tc>
      </w:tr>
      <w:tr w:rsidR="005D4DB8" w:rsidRPr="00B74BA2" w:rsidTr="005A5FA7">
        <w:tc>
          <w:tcPr>
            <w:tcW w:w="1108" w:type="pct"/>
            <w:shd w:val="clear" w:color="auto" w:fill="auto"/>
            <w:vAlign w:val="center"/>
          </w:tcPr>
          <w:p w:rsidR="005D4DB8" w:rsidRPr="00B74BA2" w:rsidRDefault="005D4DB8" w:rsidP="0091423A">
            <w:pPr>
              <w:pStyle w:val="Tabletext"/>
              <w:keepNext/>
              <w:keepLines/>
            </w:pPr>
            <w:r w:rsidRPr="00B74BA2">
              <w:t>Cycle length</w:t>
            </w:r>
          </w:p>
        </w:tc>
        <w:tc>
          <w:tcPr>
            <w:tcW w:w="3892" w:type="pct"/>
            <w:shd w:val="clear" w:color="auto" w:fill="auto"/>
            <w:vAlign w:val="center"/>
          </w:tcPr>
          <w:p w:rsidR="005D4DB8" w:rsidRPr="00B74BA2" w:rsidRDefault="005D4DB8" w:rsidP="0091423A">
            <w:pPr>
              <w:pStyle w:val="Tabletext"/>
              <w:keepNext/>
              <w:keepLines/>
            </w:pPr>
            <w:r w:rsidRPr="00B74BA2">
              <w:t>3 weeks</w:t>
            </w:r>
          </w:p>
        </w:tc>
      </w:tr>
    </w:tbl>
    <w:p w:rsidR="005D4DB8" w:rsidRPr="00B74BA2" w:rsidRDefault="005D4DB8" w:rsidP="0091423A">
      <w:pPr>
        <w:pStyle w:val="TableFooter"/>
        <w:keepNext/>
        <w:keepLines/>
        <w:widowControl/>
      </w:pPr>
      <w:r w:rsidRPr="00B74BA2">
        <w:t xml:space="preserve">Source: Table 3.1-2, p71, of the submission. </w:t>
      </w:r>
    </w:p>
    <w:p w:rsidR="005D4DB8" w:rsidRPr="00B74BA2" w:rsidRDefault="005D4DB8" w:rsidP="007A3517">
      <w:pPr>
        <w:pStyle w:val="TableFooter"/>
        <w:keepNext/>
        <w:keepLines/>
        <w:widowControl/>
        <w:spacing w:after="240"/>
      </w:pPr>
      <w:r w:rsidRPr="00B74BA2">
        <w:t xml:space="preserve">Abbreviations: </w:t>
      </w:r>
      <w:r w:rsidR="00567CBC" w:rsidRPr="00B74BA2">
        <w:t xml:space="preserve">KM = </w:t>
      </w:r>
      <w:r w:rsidR="003C609E" w:rsidRPr="00B74BA2">
        <w:t>Kaplan-Meier</w:t>
      </w:r>
      <w:r w:rsidR="00567CBC" w:rsidRPr="00B74BA2">
        <w:t xml:space="preserve">; </w:t>
      </w:r>
      <w:r w:rsidRPr="00B74BA2">
        <w:t>QALYs = quality adjusted lif</w:t>
      </w:r>
      <w:r w:rsidR="007A3517">
        <w:t>e years; SOC = standard of care</w:t>
      </w:r>
    </w:p>
    <w:p w:rsidR="008C4047" w:rsidRPr="00B74BA2" w:rsidRDefault="005D4DB8" w:rsidP="00F2263C">
      <w:pPr>
        <w:pStyle w:val="ListParagraph"/>
        <w:widowControl/>
        <w:numPr>
          <w:ilvl w:val="1"/>
          <w:numId w:val="1"/>
        </w:numPr>
      </w:pPr>
      <w:r w:rsidRPr="00B74BA2">
        <w:t xml:space="preserve">The submission presented a partitioned-survival (area under the curve) analysis of pembrolizumab compared to SOC (as represented by DHAP, GDP and ICE). The proportion of patients in each of three health states </w:t>
      </w:r>
      <w:r w:rsidR="008C4047" w:rsidRPr="00B74BA2">
        <w:t xml:space="preserve">(progression free, progressed, </w:t>
      </w:r>
      <w:proofErr w:type="gramStart"/>
      <w:r w:rsidR="008C4047" w:rsidRPr="00B74BA2">
        <w:t>dead</w:t>
      </w:r>
      <w:proofErr w:type="gramEnd"/>
      <w:r w:rsidR="008C4047" w:rsidRPr="00B74BA2">
        <w:t xml:space="preserve">) </w:t>
      </w:r>
      <w:r w:rsidRPr="00B74BA2">
        <w:t>at each cycle w</w:t>
      </w:r>
      <w:r w:rsidR="008C4047" w:rsidRPr="00B74BA2">
        <w:t xml:space="preserve">as </w:t>
      </w:r>
      <w:r w:rsidRPr="00B74BA2">
        <w:t>calculated based on predicted survival curves for PFS and OS, by treatment group.</w:t>
      </w:r>
    </w:p>
    <w:p w:rsidR="005D4DB8" w:rsidRPr="00B74BA2" w:rsidRDefault="005D4DB8" w:rsidP="00F2263C">
      <w:pPr>
        <w:pStyle w:val="ListParagraph"/>
        <w:widowControl/>
        <w:numPr>
          <w:ilvl w:val="1"/>
          <w:numId w:val="1"/>
        </w:numPr>
      </w:pPr>
      <w:r w:rsidRPr="00B74BA2">
        <w:t xml:space="preserve">The PFS and OS data for pembrolizumab were sourced from KN170. The OS data for SOC </w:t>
      </w:r>
      <w:r w:rsidR="00FD7648" w:rsidRPr="00B74BA2">
        <w:t xml:space="preserve">were </w:t>
      </w:r>
      <w:r w:rsidRPr="00B74BA2">
        <w:t xml:space="preserve">sourced from </w:t>
      </w:r>
      <w:proofErr w:type="spellStart"/>
      <w:r w:rsidRPr="00B74BA2">
        <w:t>Kuruvilla</w:t>
      </w:r>
      <w:proofErr w:type="spellEnd"/>
      <w:r w:rsidRPr="00B74BA2">
        <w:t xml:space="preserve"> 2008</w:t>
      </w:r>
      <w:r w:rsidR="00DD7838" w:rsidRPr="00B74BA2">
        <w:t>.</w:t>
      </w:r>
      <w:r w:rsidRPr="00B74BA2">
        <w:t xml:space="preserve"> </w:t>
      </w:r>
      <w:r w:rsidR="00F94A3B" w:rsidRPr="00B74BA2">
        <w:t xml:space="preserve">However, as PFS data for SOC were not uniformly reported in </w:t>
      </w:r>
      <w:proofErr w:type="spellStart"/>
      <w:r w:rsidR="00F94A3B" w:rsidRPr="00B74BA2">
        <w:t>Kuruvilla</w:t>
      </w:r>
      <w:proofErr w:type="spellEnd"/>
      <w:r w:rsidR="00F94A3B" w:rsidRPr="00B74BA2">
        <w:t xml:space="preserve"> 2008, the submission estimated </w:t>
      </w:r>
      <w:r w:rsidRPr="00B74BA2">
        <w:t>PFS for SOC by assuming that the ratio of OS to PFS observed for pembrolizumab in KN170 also applied to SOC</w:t>
      </w:r>
      <w:r w:rsidR="000502F5" w:rsidRPr="00B74BA2">
        <w:t xml:space="preserve"> (i.e. </w:t>
      </w:r>
      <w:r w:rsidR="008C4047" w:rsidRPr="00B74BA2">
        <w:t>effectively a</w:t>
      </w:r>
      <w:r w:rsidR="000502F5" w:rsidRPr="00B74BA2">
        <w:t>ssuming</w:t>
      </w:r>
      <w:r w:rsidR="008C4047" w:rsidRPr="00B74BA2">
        <w:t xml:space="preserve"> a surrogate relationship </w:t>
      </w:r>
      <w:r w:rsidR="000502F5" w:rsidRPr="00B74BA2">
        <w:t>between</w:t>
      </w:r>
      <w:r w:rsidR="008C4047" w:rsidRPr="00B74BA2">
        <w:t xml:space="preserve"> PFS</w:t>
      </w:r>
      <w:r w:rsidR="000502F5" w:rsidRPr="00B74BA2">
        <w:t xml:space="preserve"> and OS)</w:t>
      </w:r>
      <w:r w:rsidR="008C4047" w:rsidRPr="00B74BA2">
        <w:t>. Th</w:t>
      </w:r>
      <w:r w:rsidR="009D7AFA" w:rsidRPr="00B74BA2">
        <w:t xml:space="preserve">e submission’s justification for this </w:t>
      </w:r>
      <w:r w:rsidR="00862B5D" w:rsidRPr="00B74BA2">
        <w:t>was that</w:t>
      </w:r>
      <w:r w:rsidR="008C4047" w:rsidRPr="00B74BA2">
        <w:t xml:space="preserve"> published studies </w:t>
      </w:r>
      <w:r w:rsidR="00862B5D" w:rsidRPr="00B74BA2">
        <w:t xml:space="preserve">of chemotherapy </w:t>
      </w:r>
      <w:r w:rsidR="008C4047" w:rsidRPr="00B74BA2">
        <w:t xml:space="preserve">in </w:t>
      </w:r>
      <w:proofErr w:type="spellStart"/>
      <w:proofErr w:type="gramStart"/>
      <w:r w:rsidR="008C4047" w:rsidRPr="00B74BA2">
        <w:t>nHL</w:t>
      </w:r>
      <w:proofErr w:type="spellEnd"/>
      <w:proofErr w:type="gramEnd"/>
      <w:r w:rsidR="00783B28" w:rsidRPr="00B74BA2">
        <w:t xml:space="preserve"> </w:t>
      </w:r>
      <w:r w:rsidR="00E434F4" w:rsidRPr="00B74BA2">
        <w:t xml:space="preserve">showed a positive relationship between PFS and OS </w:t>
      </w:r>
      <w:r w:rsidR="00783B28" w:rsidRPr="00B74BA2">
        <w:t>(</w:t>
      </w:r>
      <w:proofErr w:type="spellStart"/>
      <w:r w:rsidR="00783B28" w:rsidRPr="00B74BA2">
        <w:t>Sehn</w:t>
      </w:r>
      <w:proofErr w:type="spellEnd"/>
      <w:r w:rsidR="00783B28" w:rsidRPr="00B74BA2">
        <w:t xml:space="preserve"> et al. (1998); </w:t>
      </w:r>
      <w:proofErr w:type="spellStart"/>
      <w:r w:rsidR="00783B28" w:rsidRPr="00B74BA2">
        <w:t>Avivi</w:t>
      </w:r>
      <w:proofErr w:type="spellEnd"/>
      <w:r w:rsidR="00783B28" w:rsidRPr="00B74BA2">
        <w:t xml:space="preserve"> et al. (2018))</w:t>
      </w:r>
      <w:r w:rsidR="008C4047" w:rsidRPr="00B74BA2">
        <w:t>.</w:t>
      </w:r>
      <w:r w:rsidR="004F250C" w:rsidRPr="00B74BA2">
        <w:t xml:space="preserve"> The ESC </w:t>
      </w:r>
      <w:r w:rsidR="00F414A2">
        <w:t xml:space="preserve">and PBAC </w:t>
      </w:r>
      <w:r w:rsidR="004F250C" w:rsidRPr="00B74BA2">
        <w:t>considered that this may not have been appropriate.</w:t>
      </w:r>
    </w:p>
    <w:p w:rsidR="00E01A73" w:rsidRPr="00B74BA2" w:rsidRDefault="009F7170" w:rsidP="00F2263C">
      <w:pPr>
        <w:pStyle w:val="ListParagraph"/>
        <w:widowControl/>
        <w:numPr>
          <w:ilvl w:val="1"/>
          <w:numId w:val="1"/>
        </w:numPr>
        <w:spacing w:after="120"/>
      </w:pPr>
      <w:r w:rsidRPr="00B74BA2">
        <w:t xml:space="preserve">The </w:t>
      </w:r>
      <w:r w:rsidR="007672B0" w:rsidRPr="00B74BA2">
        <w:t xml:space="preserve">economic evaluation </w:t>
      </w:r>
      <w:r w:rsidRPr="00B74BA2">
        <w:t xml:space="preserve">used a subgroup </w:t>
      </w:r>
      <w:r w:rsidR="00DD7838" w:rsidRPr="00B74BA2">
        <w:t xml:space="preserve">of the </w:t>
      </w:r>
      <w:proofErr w:type="spellStart"/>
      <w:r w:rsidR="00DD7838" w:rsidRPr="00B74BA2">
        <w:t>Kuruvilla</w:t>
      </w:r>
      <w:proofErr w:type="spellEnd"/>
      <w:r w:rsidR="00DD7838" w:rsidRPr="00B74BA2">
        <w:t xml:space="preserve"> 2008 population </w:t>
      </w:r>
      <w:r w:rsidR="008C4047" w:rsidRPr="00B74BA2">
        <w:t xml:space="preserve">to estimate </w:t>
      </w:r>
      <w:r w:rsidR="00973E92" w:rsidRPr="00B74BA2">
        <w:t xml:space="preserve">OS for </w:t>
      </w:r>
      <w:r w:rsidR="005A3633" w:rsidRPr="00B74BA2">
        <w:t xml:space="preserve">the </w:t>
      </w:r>
      <w:r w:rsidR="008C4047" w:rsidRPr="00B74BA2">
        <w:t>SOC</w:t>
      </w:r>
      <w:r w:rsidR="005A3633" w:rsidRPr="00B74BA2">
        <w:t xml:space="preserve"> arm (the subgroup comprised 24 of the 37 patients included in </w:t>
      </w:r>
      <w:proofErr w:type="spellStart"/>
      <w:r w:rsidR="005A3633" w:rsidRPr="00B74BA2">
        <w:t>Kuruvilla</w:t>
      </w:r>
      <w:proofErr w:type="spellEnd"/>
      <w:r w:rsidR="005A3633" w:rsidRPr="00B74BA2">
        <w:t xml:space="preserve"> 2018)</w:t>
      </w:r>
      <w:r w:rsidRPr="00B74BA2">
        <w:t>.</w:t>
      </w:r>
      <w:r w:rsidR="00973E92" w:rsidRPr="00B74BA2">
        <w:t xml:space="preserve"> P</w:t>
      </w:r>
      <w:r w:rsidR="00783B28" w:rsidRPr="00B74BA2">
        <w:t>atients were excluded from the</w:t>
      </w:r>
      <w:r w:rsidRPr="00B74BA2">
        <w:t xml:space="preserve"> </w:t>
      </w:r>
      <w:r w:rsidR="00973E92" w:rsidRPr="00B74BA2">
        <w:t xml:space="preserve">subgroup </w:t>
      </w:r>
      <w:r w:rsidR="00783B28" w:rsidRPr="00B74BA2">
        <w:t>if they</w:t>
      </w:r>
      <w:r w:rsidRPr="00B74BA2">
        <w:t xml:space="preserve"> received </w:t>
      </w:r>
      <w:r w:rsidR="0084031E" w:rsidRPr="00B74BA2">
        <w:t xml:space="preserve">only </w:t>
      </w:r>
      <w:r w:rsidRPr="00B74BA2">
        <w:t>one</w:t>
      </w:r>
      <w:r w:rsidR="00862B5D" w:rsidRPr="00B74BA2">
        <w:t xml:space="preserve"> prior</w:t>
      </w:r>
      <w:r w:rsidRPr="00B74BA2">
        <w:t xml:space="preserve"> line of chemotherapy (n=5) </w:t>
      </w:r>
      <w:r w:rsidR="00973E92" w:rsidRPr="00B74BA2">
        <w:t xml:space="preserve">or </w:t>
      </w:r>
      <w:r w:rsidR="00783B28" w:rsidRPr="00B74BA2">
        <w:t>if they</w:t>
      </w:r>
      <w:r w:rsidRPr="00B74BA2">
        <w:t xml:space="preserve"> </w:t>
      </w:r>
      <w:r w:rsidR="00D73CE7" w:rsidRPr="00B74BA2">
        <w:t xml:space="preserve">underwent an </w:t>
      </w:r>
      <w:r w:rsidRPr="00B74BA2">
        <w:t>ASCT following treatment (n=8).</w:t>
      </w:r>
      <w:r w:rsidR="00973E92" w:rsidRPr="00B74BA2">
        <w:t xml:space="preserve"> </w:t>
      </w:r>
    </w:p>
    <w:p w:rsidR="00E01A73" w:rsidRPr="00B74BA2" w:rsidRDefault="002E7FBA" w:rsidP="00F2263C">
      <w:pPr>
        <w:pStyle w:val="ListParagraph"/>
        <w:widowControl/>
        <w:numPr>
          <w:ilvl w:val="0"/>
          <w:numId w:val="7"/>
        </w:numPr>
        <w:spacing w:after="120"/>
        <w:contextualSpacing/>
      </w:pPr>
      <w:r w:rsidRPr="00B74BA2">
        <w:t xml:space="preserve">The submission </w:t>
      </w:r>
      <w:r w:rsidR="00E01A73" w:rsidRPr="00B74BA2">
        <w:t>excluded</w:t>
      </w:r>
      <w:r w:rsidRPr="00B74BA2">
        <w:t xml:space="preserve"> the </w:t>
      </w:r>
      <w:r w:rsidR="005A3633" w:rsidRPr="00B74BA2">
        <w:t>five</w:t>
      </w:r>
      <w:r w:rsidRPr="00B74BA2">
        <w:t xml:space="preserve"> patients who </w:t>
      </w:r>
      <w:r w:rsidR="005A3633" w:rsidRPr="00B74BA2">
        <w:t xml:space="preserve">received </w:t>
      </w:r>
      <w:r w:rsidR="0084031E" w:rsidRPr="00B74BA2">
        <w:t xml:space="preserve">only </w:t>
      </w:r>
      <w:r w:rsidR="005A3633" w:rsidRPr="00B74BA2">
        <w:t>one prior line of chemotherapy</w:t>
      </w:r>
      <w:r w:rsidR="00E01A73" w:rsidRPr="00B74BA2">
        <w:t xml:space="preserve"> on the basis that</w:t>
      </w:r>
      <w:r w:rsidRPr="00B74BA2">
        <w:t xml:space="preserve"> they would be </w:t>
      </w:r>
      <w:r w:rsidR="00973E92" w:rsidRPr="00B74BA2">
        <w:t xml:space="preserve">ineligible for </w:t>
      </w:r>
      <w:r w:rsidRPr="00B74BA2">
        <w:t xml:space="preserve">pembrolizumab </w:t>
      </w:r>
      <w:r w:rsidR="00973E92" w:rsidRPr="00B74BA2">
        <w:t xml:space="preserve">under the proposed </w:t>
      </w:r>
      <w:r w:rsidR="00E01A73" w:rsidRPr="00B74BA2">
        <w:t xml:space="preserve">restriction, wherein </w:t>
      </w:r>
      <w:r w:rsidR="00973E92" w:rsidRPr="00B74BA2">
        <w:t>one of the criteri</w:t>
      </w:r>
      <w:r w:rsidR="007672B0" w:rsidRPr="00B74BA2">
        <w:t>a</w:t>
      </w:r>
      <w:r w:rsidR="00973E92" w:rsidRPr="00B74BA2">
        <w:t xml:space="preserve"> requires </w:t>
      </w:r>
      <w:r w:rsidR="00E01A73" w:rsidRPr="00B74BA2">
        <w:t xml:space="preserve">patients to have </w:t>
      </w:r>
      <w:r w:rsidR="00973E92" w:rsidRPr="00B74BA2">
        <w:t>relapse</w:t>
      </w:r>
      <w:r w:rsidR="00E01A73" w:rsidRPr="00B74BA2">
        <w:t>d</w:t>
      </w:r>
      <w:r w:rsidR="00973E92" w:rsidRPr="00B74BA2">
        <w:t xml:space="preserve"> </w:t>
      </w:r>
      <w:r w:rsidR="00E01A73" w:rsidRPr="00B74BA2">
        <w:t xml:space="preserve">following at least </w:t>
      </w:r>
      <w:r w:rsidR="00973E92" w:rsidRPr="00B74BA2">
        <w:t xml:space="preserve">two prior therapies. However, </w:t>
      </w:r>
      <w:r w:rsidR="00E01A73" w:rsidRPr="00B74BA2">
        <w:t>the evaluation noted that the proposed restriction also enable</w:t>
      </w:r>
      <w:r w:rsidR="00E83314" w:rsidRPr="00B74BA2">
        <w:t>s</w:t>
      </w:r>
      <w:r w:rsidR="00E01A73" w:rsidRPr="00B74BA2">
        <w:t xml:space="preserve"> use in patients who </w:t>
      </w:r>
      <w:r w:rsidR="007672B0" w:rsidRPr="00B74BA2">
        <w:t>a</w:t>
      </w:r>
      <w:r w:rsidR="00E01A73" w:rsidRPr="00B74BA2">
        <w:t>re refractory to one prior rituximab-</w:t>
      </w:r>
      <w:r w:rsidR="007672B0" w:rsidRPr="00B74BA2">
        <w:t>containing</w:t>
      </w:r>
      <w:r w:rsidR="00E01A73" w:rsidRPr="00B74BA2">
        <w:t xml:space="preserve"> chemotherapy combination, </w:t>
      </w:r>
      <w:r w:rsidR="005A3633" w:rsidRPr="00B74BA2">
        <w:t>which was not relevant</w:t>
      </w:r>
      <w:r w:rsidR="007672B0" w:rsidRPr="00B74BA2">
        <w:t xml:space="preserve"> to the </w:t>
      </w:r>
      <w:proofErr w:type="spellStart"/>
      <w:r w:rsidR="007672B0" w:rsidRPr="00B74BA2">
        <w:t>Kuruvilla</w:t>
      </w:r>
      <w:proofErr w:type="spellEnd"/>
      <w:r w:rsidR="007672B0" w:rsidRPr="00B74BA2">
        <w:t xml:space="preserve"> 2008 population as only one patient had received prior rituximab-containing therapy</w:t>
      </w:r>
      <w:r w:rsidR="00973E92" w:rsidRPr="00B74BA2">
        <w:t>.</w:t>
      </w:r>
      <w:r w:rsidRPr="00B74BA2">
        <w:t xml:space="preserve"> </w:t>
      </w:r>
      <w:r w:rsidR="000C75B6" w:rsidRPr="00B74BA2">
        <w:t>The ESC considered that these</w:t>
      </w:r>
      <w:r w:rsidR="00CB3EDD" w:rsidRPr="00B74BA2">
        <w:t xml:space="preserve"> five</w:t>
      </w:r>
      <w:r w:rsidR="000C75B6" w:rsidRPr="00B74BA2">
        <w:t xml:space="preserve"> </w:t>
      </w:r>
      <w:r w:rsidR="00CB3EDD" w:rsidRPr="00B74BA2">
        <w:t xml:space="preserve">patients should have been included given it was </w:t>
      </w:r>
      <w:r w:rsidR="00CB3EDD" w:rsidRPr="00B74BA2">
        <w:lastRenderedPageBreak/>
        <w:t>not possible to determine whether they would have been eligible under the proposed restriction.</w:t>
      </w:r>
    </w:p>
    <w:p w:rsidR="009F7170" w:rsidRPr="00B74BA2" w:rsidRDefault="002E7FBA" w:rsidP="00F2263C">
      <w:pPr>
        <w:pStyle w:val="ListParagraph"/>
        <w:widowControl/>
        <w:numPr>
          <w:ilvl w:val="0"/>
          <w:numId w:val="7"/>
        </w:numPr>
        <w:spacing w:after="120"/>
        <w:ind w:left="1434" w:hanging="357"/>
      </w:pPr>
      <w:r w:rsidRPr="00B74BA2">
        <w:t xml:space="preserve">The submission </w:t>
      </w:r>
      <w:r w:rsidR="00106695" w:rsidRPr="00B74BA2">
        <w:t xml:space="preserve">also </w:t>
      </w:r>
      <w:r w:rsidRPr="00B74BA2">
        <w:t xml:space="preserve">excluded the </w:t>
      </w:r>
      <w:r w:rsidR="005A3633" w:rsidRPr="00B74BA2">
        <w:t>eight</w:t>
      </w:r>
      <w:r w:rsidRPr="00B74BA2">
        <w:t xml:space="preserve"> patients who underwent ASCT</w:t>
      </w:r>
      <w:r w:rsidR="005A3633" w:rsidRPr="00B74BA2">
        <w:t xml:space="preserve"> post-treatment</w:t>
      </w:r>
      <w:r w:rsidRPr="00B74BA2">
        <w:t xml:space="preserve">, </w:t>
      </w:r>
      <w:r w:rsidR="00973E92" w:rsidRPr="00B74BA2">
        <w:t xml:space="preserve">on the basis that the proposed PBS </w:t>
      </w:r>
      <w:r w:rsidR="00E01A73" w:rsidRPr="00B74BA2">
        <w:t xml:space="preserve">restriction </w:t>
      </w:r>
      <w:r w:rsidRPr="00B74BA2">
        <w:t>require</w:t>
      </w:r>
      <w:r w:rsidR="00E01A73" w:rsidRPr="00B74BA2">
        <w:t>s</w:t>
      </w:r>
      <w:r w:rsidRPr="00B74BA2">
        <w:t xml:space="preserve"> patients to have failed or be ineligible for ASCT. </w:t>
      </w:r>
      <w:r w:rsidR="00973E92" w:rsidRPr="00B74BA2">
        <w:t xml:space="preserve">However, the submission </w:t>
      </w:r>
      <w:r w:rsidR="005B2D79" w:rsidRPr="00B74BA2">
        <w:t>did not establish</w:t>
      </w:r>
      <w:r w:rsidR="00973E92" w:rsidRPr="00B74BA2">
        <w:t xml:space="preserve"> </w:t>
      </w:r>
      <w:r w:rsidR="000C75B6" w:rsidRPr="00B74BA2">
        <w:t>whether th</w:t>
      </w:r>
      <w:r w:rsidR="00CB3EDD" w:rsidRPr="00B74BA2">
        <w:t>e</w:t>
      </w:r>
      <w:r w:rsidR="000C75B6" w:rsidRPr="00B74BA2">
        <w:t>se</w:t>
      </w:r>
      <w:r w:rsidR="005A3633" w:rsidRPr="00B74BA2">
        <w:t xml:space="preserve"> </w:t>
      </w:r>
      <w:r w:rsidR="00CB3EDD" w:rsidRPr="00B74BA2">
        <w:t>eight</w:t>
      </w:r>
      <w:r w:rsidR="005A3633" w:rsidRPr="00B74BA2">
        <w:t xml:space="preserve"> patients were ineligible for ASCT </w:t>
      </w:r>
      <w:r w:rsidR="00973E92" w:rsidRPr="00B74BA2">
        <w:t xml:space="preserve">when </w:t>
      </w:r>
      <w:r w:rsidR="005A3633" w:rsidRPr="00B74BA2">
        <w:t xml:space="preserve">they </w:t>
      </w:r>
      <w:r w:rsidR="00973E92" w:rsidRPr="00B74BA2">
        <w:t>commenc</w:t>
      </w:r>
      <w:r w:rsidR="005A3633" w:rsidRPr="00B74BA2">
        <w:t>ed</w:t>
      </w:r>
      <w:r w:rsidR="00973E92" w:rsidRPr="00B74BA2">
        <w:t xml:space="preserve"> SOC. </w:t>
      </w:r>
      <w:r w:rsidR="00E01A73" w:rsidRPr="00B74BA2">
        <w:t>Further</w:t>
      </w:r>
      <w:r w:rsidR="005B2D79" w:rsidRPr="00B74BA2">
        <w:t>, since the submission claimed</w:t>
      </w:r>
      <w:r w:rsidR="00973E92" w:rsidRPr="00B74BA2">
        <w:t xml:space="preserve"> that pembrolizumab may be a bridge to transplant</w:t>
      </w:r>
      <w:r w:rsidR="00E01A73" w:rsidRPr="00B74BA2">
        <w:t>, the evaluation and the ESC considered that i</w:t>
      </w:r>
      <w:r w:rsidR="006A2D52" w:rsidRPr="00B74BA2">
        <w:t>t</w:t>
      </w:r>
      <w:r w:rsidR="00E01A73" w:rsidRPr="00B74BA2">
        <w:t xml:space="preserve"> would </w:t>
      </w:r>
      <w:r w:rsidR="007672B0" w:rsidRPr="00B74BA2">
        <w:t>b</w:t>
      </w:r>
      <w:r w:rsidR="00E01A73" w:rsidRPr="00B74BA2">
        <w:t xml:space="preserve">e more </w:t>
      </w:r>
      <w:r w:rsidR="00973E92" w:rsidRPr="00B74BA2">
        <w:t xml:space="preserve">appropriate </w:t>
      </w:r>
      <w:r w:rsidR="00E01A73" w:rsidRPr="00B74BA2">
        <w:t>to include</w:t>
      </w:r>
      <w:r w:rsidR="00973E92" w:rsidRPr="00B74BA2">
        <w:t xml:space="preserve"> the</w:t>
      </w:r>
      <w:r w:rsidR="00CB3EDD" w:rsidRPr="00B74BA2">
        <w:t>se</w:t>
      </w:r>
      <w:r w:rsidR="00973E92" w:rsidRPr="00B74BA2">
        <w:t xml:space="preserve"> </w:t>
      </w:r>
      <w:r w:rsidR="00CB3EDD" w:rsidRPr="00B74BA2">
        <w:t xml:space="preserve">eight </w:t>
      </w:r>
      <w:r w:rsidR="00973E92" w:rsidRPr="00B74BA2">
        <w:t>patients</w:t>
      </w:r>
      <w:r w:rsidR="00CB3EDD" w:rsidRPr="00B74BA2">
        <w:t>.</w:t>
      </w:r>
    </w:p>
    <w:p w:rsidR="0058049E" w:rsidRPr="00B74BA2" w:rsidRDefault="0058049E" w:rsidP="00F2263C">
      <w:pPr>
        <w:pStyle w:val="ListParagraph"/>
        <w:widowControl/>
        <w:numPr>
          <w:ilvl w:val="1"/>
          <w:numId w:val="1"/>
        </w:numPr>
        <w:rPr>
          <w:iCs/>
        </w:rPr>
      </w:pPr>
      <w:r w:rsidRPr="00B74BA2">
        <w:rPr>
          <w:iCs/>
        </w:rPr>
        <w:t xml:space="preserve">The ESC </w:t>
      </w:r>
      <w:r w:rsidR="00750A5E">
        <w:rPr>
          <w:iCs/>
        </w:rPr>
        <w:t xml:space="preserve">and PBAC </w:t>
      </w:r>
      <w:r w:rsidRPr="00B74BA2">
        <w:rPr>
          <w:iCs/>
        </w:rPr>
        <w:t xml:space="preserve">considered that it was not reasonable to select a subgroup based on these two factors alone, given there were many other differences between the studies. Overall, the ESC considered that it would have been more reasonable to use the full population of </w:t>
      </w:r>
      <w:proofErr w:type="spellStart"/>
      <w:r w:rsidRPr="00B74BA2">
        <w:t>Kuruvilla</w:t>
      </w:r>
      <w:proofErr w:type="spellEnd"/>
      <w:r w:rsidRPr="00B74BA2">
        <w:t xml:space="preserve"> 2008 (rather than a subgroup). </w:t>
      </w:r>
    </w:p>
    <w:p w:rsidR="00FC30AC" w:rsidRPr="00B74BA2" w:rsidRDefault="005D4DB8" w:rsidP="00F2263C">
      <w:pPr>
        <w:pStyle w:val="ListParagraph"/>
        <w:widowControl/>
        <w:numPr>
          <w:ilvl w:val="1"/>
          <w:numId w:val="1"/>
        </w:numPr>
      </w:pPr>
      <w:r w:rsidRPr="00B74BA2">
        <w:t xml:space="preserve">The survival curves </w:t>
      </w:r>
      <w:r w:rsidR="008C4047" w:rsidRPr="00B74BA2">
        <w:t xml:space="preserve">(OS and PFS) for pembrolizumab and SOC </w:t>
      </w:r>
      <w:r w:rsidRPr="00B74BA2">
        <w:t xml:space="preserve">were extrapolated from the last observation on the </w:t>
      </w:r>
      <w:r w:rsidR="00FC30AC" w:rsidRPr="00B74BA2">
        <w:t xml:space="preserve">respective </w:t>
      </w:r>
      <w:r w:rsidR="00FE111F" w:rsidRPr="00B74BA2">
        <w:t xml:space="preserve">Kaplan-Meier </w:t>
      </w:r>
      <w:r w:rsidRPr="00B74BA2">
        <w:t>curve</w:t>
      </w:r>
      <w:r w:rsidR="00FC30AC" w:rsidRPr="00B74BA2">
        <w:t>s</w:t>
      </w:r>
      <w:r w:rsidR="00205EC1" w:rsidRPr="00B74BA2">
        <w:t xml:space="preserve">. The ESC </w:t>
      </w:r>
      <w:r w:rsidR="00C7080D">
        <w:t xml:space="preserve">and the PBAC </w:t>
      </w:r>
      <w:r w:rsidR="00205EC1" w:rsidRPr="00B74BA2">
        <w:t xml:space="preserve">considered </w:t>
      </w:r>
      <w:r w:rsidR="00B50E0C">
        <w:t>this</w:t>
      </w:r>
      <w:r w:rsidR="00205EC1" w:rsidRPr="00B74BA2">
        <w:t xml:space="preserve"> was not reasonable given the large degree of censoring toward the end of the curve. However, this had only a small impact on the ICER within the current model structure (per the sensitivity analysis in Table 14). The ESC also noted that this resulted in a mismatch between the modelled and the actual survival at the time point of extrapolation. </w:t>
      </w:r>
    </w:p>
    <w:p w:rsidR="00FE111F" w:rsidRDefault="00FE111F" w:rsidP="00F2263C">
      <w:pPr>
        <w:pStyle w:val="ListParagraph"/>
        <w:widowControl/>
        <w:numPr>
          <w:ilvl w:val="1"/>
          <w:numId w:val="1"/>
        </w:numPr>
        <w:rPr>
          <w:rFonts w:cs="Calibri"/>
          <w:snapToGrid/>
          <w:szCs w:val="24"/>
          <w:lang w:val="en-US" w:eastAsia="en-AU"/>
        </w:rPr>
      </w:pPr>
      <w:r w:rsidRPr="00B74BA2">
        <w:rPr>
          <w:rFonts w:cs="Calibri"/>
          <w:snapToGrid/>
          <w:szCs w:val="24"/>
          <w:lang w:val="en-US" w:eastAsia="en-AU"/>
        </w:rPr>
        <w:t>The submission extrapolated the available outcomes data using a log-logistic function. The ESC noted that the submission had only fitted three of the usual six parametric survival curves to the data</w:t>
      </w:r>
      <w:r w:rsidR="00E87EE0" w:rsidRPr="00B74BA2">
        <w:t xml:space="preserve"> (i.e. </w:t>
      </w:r>
      <w:r w:rsidR="00E87EE0" w:rsidRPr="00B74BA2">
        <w:rPr>
          <w:rFonts w:cs="Calibri"/>
          <w:snapToGrid/>
          <w:szCs w:val="24"/>
          <w:lang w:val="en-US" w:eastAsia="en-AU"/>
        </w:rPr>
        <w:t>only the Weibull, log-logistic and exponential parametric functions were tested f</w:t>
      </w:r>
      <w:r w:rsidR="00E87EE0" w:rsidRPr="00B74BA2">
        <w:t>or goodness of fit</w:t>
      </w:r>
      <w:r w:rsidR="00E87EE0" w:rsidRPr="00B74BA2">
        <w:rPr>
          <w:rFonts w:cs="Calibri"/>
          <w:snapToGrid/>
          <w:szCs w:val="24"/>
          <w:lang w:val="en-US" w:eastAsia="en-AU"/>
        </w:rPr>
        <w:t xml:space="preserve">). The ESC considered that the log normal, gamma and </w:t>
      </w:r>
      <w:proofErr w:type="spellStart"/>
      <w:r w:rsidR="00E87EE0" w:rsidRPr="00B74BA2">
        <w:rPr>
          <w:rFonts w:cs="Calibri"/>
          <w:snapToGrid/>
          <w:szCs w:val="24"/>
          <w:lang w:val="en-US" w:eastAsia="en-AU"/>
        </w:rPr>
        <w:t>Gompertz</w:t>
      </w:r>
      <w:proofErr w:type="spellEnd"/>
      <w:r w:rsidR="00E87EE0" w:rsidRPr="00B74BA2">
        <w:rPr>
          <w:rFonts w:cs="Calibri"/>
          <w:snapToGrid/>
          <w:szCs w:val="24"/>
          <w:lang w:val="en-US" w:eastAsia="en-AU"/>
        </w:rPr>
        <w:t xml:space="preserve"> models should also have been tested</w:t>
      </w:r>
      <w:r w:rsidRPr="00B74BA2">
        <w:t xml:space="preserve">. </w:t>
      </w:r>
      <w:r w:rsidR="00E87EE0" w:rsidRPr="00B74BA2">
        <w:t xml:space="preserve">Further, </w:t>
      </w:r>
      <w:r w:rsidRPr="00B74BA2">
        <w:rPr>
          <w:rFonts w:cs="Calibri"/>
          <w:snapToGrid/>
          <w:szCs w:val="24"/>
          <w:lang w:val="en-US" w:eastAsia="en-AU"/>
        </w:rPr>
        <w:t>the ESC noted that the ICER almost doubled when the exponential curve was used</w:t>
      </w:r>
      <w:r w:rsidR="00E87EE0" w:rsidRPr="00B74BA2">
        <w:rPr>
          <w:rFonts w:cs="Calibri"/>
          <w:snapToGrid/>
          <w:szCs w:val="24"/>
          <w:lang w:val="en-US" w:eastAsia="en-AU"/>
        </w:rPr>
        <w:t>. T</w:t>
      </w:r>
      <w:r w:rsidRPr="00B74BA2">
        <w:rPr>
          <w:rFonts w:cs="Calibri"/>
          <w:snapToGrid/>
          <w:szCs w:val="24"/>
          <w:lang w:val="en-US" w:eastAsia="en-AU"/>
        </w:rPr>
        <w:t>hough the ESC acknowledged th</w:t>
      </w:r>
      <w:r w:rsidR="00E87EE0" w:rsidRPr="00B74BA2">
        <w:rPr>
          <w:rFonts w:cs="Calibri"/>
          <w:snapToGrid/>
          <w:szCs w:val="24"/>
          <w:lang w:val="en-US" w:eastAsia="en-AU"/>
        </w:rPr>
        <w:t>e exponential curve</w:t>
      </w:r>
      <w:r w:rsidRPr="00B74BA2">
        <w:rPr>
          <w:rFonts w:cs="Calibri"/>
          <w:snapToGrid/>
          <w:szCs w:val="24"/>
          <w:lang w:val="en-US" w:eastAsia="en-AU"/>
        </w:rPr>
        <w:t xml:space="preserve"> was a poor fit</w:t>
      </w:r>
      <w:r w:rsidR="00E87EE0" w:rsidRPr="00B74BA2">
        <w:rPr>
          <w:rFonts w:cs="Calibri"/>
          <w:snapToGrid/>
          <w:szCs w:val="24"/>
          <w:lang w:val="en-US" w:eastAsia="en-AU"/>
        </w:rPr>
        <w:t>, it indicated the potential sensitivity of the model to the choice of parametric function</w:t>
      </w:r>
      <w:r w:rsidRPr="00B74BA2">
        <w:rPr>
          <w:rFonts w:cs="Calibri"/>
          <w:snapToGrid/>
          <w:szCs w:val="24"/>
          <w:lang w:val="en-US" w:eastAsia="en-AU"/>
        </w:rPr>
        <w:t>.</w:t>
      </w:r>
    </w:p>
    <w:p w:rsidR="001D16D2" w:rsidRPr="00B74BA2" w:rsidRDefault="001D16D2" w:rsidP="001D6C85">
      <w:pPr>
        <w:pStyle w:val="ListParagraph"/>
        <w:widowControl/>
        <w:numPr>
          <w:ilvl w:val="1"/>
          <w:numId w:val="1"/>
        </w:numPr>
        <w:rPr>
          <w:rFonts w:cs="Calibri"/>
          <w:snapToGrid/>
          <w:szCs w:val="24"/>
          <w:lang w:val="en-US" w:eastAsia="en-AU"/>
        </w:rPr>
      </w:pPr>
      <w:r>
        <w:rPr>
          <w:rFonts w:cs="Calibri"/>
          <w:snapToGrid/>
          <w:szCs w:val="24"/>
          <w:lang w:val="en-US" w:eastAsia="en-AU"/>
        </w:rPr>
        <w:t xml:space="preserve">The pre-PBAC response stated the </w:t>
      </w:r>
      <w:r w:rsidR="00413F92">
        <w:rPr>
          <w:rFonts w:cs="Calibri"/>
          <w:snapToGrid/>
          <w:szCs w:val="24"/>
          <w:lang w:val="en-US" w:eastAsia="en-AU"/>
        </w:rPr>
        <w:t>ICER</w:t>
      </w:r>
      <w:r w:rsidR="000A2FE8">
        <w:rPr>
          <w:rFonts w:cs="Calibri"/>
          <w:snapToGrid/>
          <w:szCs w:val="24"/>
          <w:lang w:val="en-US" w:eastAsia="en-AU"/>
        </w:rPr>
        <w:t>s</w:t>
      </w:r>
      <w:r w:rsidR="00413F92">
        <w:rPr>
          <w:rFonts w:cs="Calibri"/>
          <w:snapToGrid/>
          <w:szCs w:val="24"/>
          <w:lang w:val="en-US" w:eastAsia="en-AU"/>
        </w:rPr>
        <w:t xml:space="preserve"> </w:t>
      </w:r>
      <w:r>
        <w:rPr>
          <w:rFonts w:cs="Calibri"/>
          <w:snapToGrid/>
          <w:szCs w:val="24"/>
          <w:lang w:val="en-US" w:eastAsia="en-AU"/>
        </w:rPr>
        <w:t>using the other three parametric functions (</w:t>
      </w:r>
      <w:r w:rsidRPr="001D16D2">
        <w:rPr>
          <w:rFonts w:cs="Calibri"/>
          <w:snapToGrid/>
          <w:szCs w:val="24"/>
          <w:lang w:val="en-US" w:eastAsia="en-AU"/>
        </w:rPr>
        <w:t xml:space="preserve">log normal, gamma and </w:t>
      </w:r>
      <w:proofErr w:type="spellStart"/>
      <w:r w:rsidRPr="001D16D2">
        <w:rPr>
          <w:rFonts w:cs="Calibri"/>
          <w:snapToGrid/>
          <w:szCs w:val="24"/>
          <w:lang w:val="en-US" w:eastAsia="en-AU"/>
        </w:rPr>
        <w:t>Gompertz</w:t>
      </w:r>
      <w:proofErr w:type="spellEnd"/>
      <w:r>
        <w:rPr>
          <w:rFonts w:cs="Calibri"/>
          <w:snapToGrid/>
          <w:szCs w:val="24"/>
          <w:lang w:val="en-US" w:eastAsia="en-AU"/>
        </w:rPr>
        <w:t>)</w:t>
      </w:r>
      <w:r w:rsidR="00413F92">
        <w:rPr>
          <w:rFonts w:cs="Calibri"/>
          <w:snapToGrid/>
          <w:szCs w:val="24"/>
          <w:lang w:val="en-US" w:eastAsia="en-AU"/>
        </w:rPr>
        <w:t xml:space="preserve">, </w:t>
      </w:r>
      <w:r w:rsidR="001D6C85" w:rsidRPr="001D6C85">
        <w:rPr>
          <w:rFonts w:cs="Calibri"/>
          <w:snapToGrid/>
          <w:szCs w:val="24"/>
          <w:lang w:val="en-US" w:eastAsia="en-AU"/>
        </w:rPr>
        <w:t xml:space="preserve">however </w:t>
      </w:r>
      <w:r w:rsidR="000417AE" w:rsidRPr="001D6C85">
        <w:rPr>
          <w:rFonts w:cs="Calibri"/>
          <w:snapToGrid/>
          <w:szCs w:val="24"/>
          <w:lang w:val="en-US" w:eastAsia="en-AU"/>
        </w:rPr>
        <w:t>the</w:t>
      </w:r>
      <w:r w:rsidR="000417AE">
        <w:rPr>
          <w:rFonts w:cs="Calibri"/>
          <w:snapToGrid/>
          <w:szCs w:val="24"/>
          <w:lang w:val="en-US" w:eastAsia="en-AU"/>
        </w:rPr>
        <w:t>se</w:t>
      </w:r>
      <w:r w:rsidR="000417AE" w:rsidRPr="001D6C85">
        <w:rPr>
          <w:rFonts w:cs="Calibri"/>
          <w:snapToGrid/>
          <w:szCs w:val="24"/>
          <w:lang w:val="en-US" w:eastAsia="en-AU"/>
        </w:rPr>
        <w:t xml:space="preserve"> were not independently verified</w:t>
      </w:r>
      <w:r w:rsidR="000417AE">
        <w:rPr>
          <w:rFonts w:cs="Calibri"/>
          <w:snapToGrid/>
          <w:szCs w:val="24"/>
          <w:lang w:val="en-US" w:eastAsia="en-AU"/>
        </w:rPr>
        <w:t xml:space="preserve"> </w:t>
      </w:r>
      <w:r w:rsidR="001D6C85" w:rsidRPr="001D6C85">
        <w:rPr>
          <w:rFonts w:cs="Calibri"/>
          <w:snapToGrid/>
          <w:szCs w:val="24"/>
          <w:lang w:val="en-US" w:eastAsia="en-AU"/>
        </w:rPr>
        <w:t xml:space="preserve">as they were provided in the </w:t>
      </w:r>
      <w:r w:rsidR="00C642FB">
        <w:rPr>
          <w:rFonts w:cs="Calibri"/>
          <w:snapToGrid/>
          <w:szCs w:val="24"/>
          <w:lang w:val="en-US" w:eastAsia="en-AU"/>
        </w:rPr>
        <w:t xml:space="preserve">pre-PBAC </w:t>
      </w:r>
      <w:r w:rsidR="001D6C85" w:rsidRPr="001D6C85">
        <w:rPr>
          <w:rFonts w:cs="Calibri"/>
          <w:snapToGrid/>
          <w:szCs w:val="24"/>
          <w:lang w:val="en-US" w:eastAsia="en-AU"/>
        </w:rPr>
        <w:t>response</w:t>
      </w:r>
      <w:r w:rsidR="00413F92">
        <w:rPr>
          <w:rFonts w:cs="Calibri"/>
          <w:snapToGrid/>
          <w:szCs w:val="24"/>
          <w:lang w:val="en-US" w:eastAsia="en-AU"/>
        </w:rPr>
        <w:t>. The choice of extrapolation function remained poorly justified.</w:t>
      </w:r>
    </w:p>
    <w:p w:rsidR="00FE111F" w:rsidRPr="00B74BA2" w:rsidRDefault="00FE111F" w:rsidP="00F2263C">
      <w:pPr>
        <w:pStyle w:val="ListParagraph"/>
        <w:widowControl/>
        <w:numPr>
          <w:ilvl w:val="1"/>
          <w:numId w:val="1"/>
        </w:numPr>
        <w:rPr>
          <w:rFonts w:cs="Calibri"/>
          <w:snapToGrid/>
          <w:szCs w:val="24"/>
          <w:lang w:val="en-US" w:eastAsia="en-AU"/>
        </w:rPr>
      </w:pPr>
      <w:r w:rsidRPr="00B74BA2">
        <w:rPr>
          <w:rFonts w:cs="Calibri"/>
          <w:snapToGrid/>
          <w:szCs w:val="24"/>
          <w:lang w:val="en-US" w:eastAsia="en-AU"/>
        </w:rPr>
        <w:t xml:space="preserve">Figure </w:t>
      </w:r>
      <w:r w:rsidR="00B50E0C">
        <w:rPr>
          <w:rFonts w:cs="Calibri"/>
          <w:snapToGrid/>
          <w:szCs w:val="24"/>
          <w:lang w:val="en-US" w:eastAsia="en-AU"/>
        </w:rPr>
        <w:t>5</w:t>
      </w:r>
      <w:r w:rsidR="00B50E0C" w:rsidRPr="00B74BA2">
        <w:rPr>
          <w:rFonts w:cs="Calibri"/>
          <w:snapToGrid/>
          <w:szCs w:val="24"/>
          <w:lang w:val="en-US" w:eastAsia="en-AU"/>
        </w:rPr>
        <w:t xml:space="preserve"> </w:t>
      </w:r>
      <w:r w:rsidRPr="00B74BA2">
        <w:rPr>
          <w:rFonts w:cs="Calibri"/>
          <w:snapToGrid/>
          <w:szCs w:val="24"/>
          <w:lang w:val="en-US" w:eastAsia="en-AU"/>
        </w:rPr>
        <w:t>shows the extrapolation of the OS and PFS curves</w:t>
      </w:r>
      <w:r w:rsidR="00EF2036" w:rsidRPr="00B74BA2">
        <w:rPr>
          <w:rFonts w:cs="Calibri"/>
          <w:snapToGrid/>
          <w:szCs w:val="24"/>
          <w:lang w:val="en-US" w:eastAsia="en-AU"/>
        </w:rPr>
        <w:t xml:space="preserve"> applied </w:t>
      </w:r>
      <w:r w:rsidRPr="00B74BA2">
        <w:rPr>
          <w:rFonts w:cs="Calibri"/>
          <w:snapToGrid/>
          <w:szCs w:val="24"/>
          <w:lang w:val="en-US" w:eastAsia="en-AU"/>
        </w:rPr>
        <w:t>in the economic model. The</w:t>
      </w:r>
      <w:r w:rsidR="002E7E59">
        <w:rPr>
          <w:rFonts w:cs="Calibri"/>
          <w:snapToGrid/>
          <w:szCs w:val="24"/>
          <w:lang w:val="en-US" w:eastAsia="en-AU"/>
        </w:rPr>
        <w:t xml:space="preserve"> Pre-Sub-Committee Response</w:t>
      </w:r>
      <w:r w:rsidRPr="00B74BA2">
        <w:rPr>
          <w:rFonts w:cs="Calibri"/>
          <w:snapToGrid/>
          <w:szCs w:val="24"/>
          <w:lang w:val="en-US" w:eastAsia="en-AU"/>
        </w:rPr>
        <w:t xml:space="preserve"> </w:t>
      </w:r>
      <w:r w:rsidR="002E7E59">
        <w:rPr>
          <w:rFonts w:cs="Calibri"/>
          <w:snapToGrid/>
          <w:szCs w:val="24"/>
          <w:lang w:val="en-US" w:eastAsia="en-AU"/>
        </w:rPr>
        <w:t>(</w:t>
      </w:r>
      <w:r w:rsidRPr="00B74BA2">
        <w:rPr>
          <w:rFonts w:cs="Calibri"/>
          <w:snapToGrid/>
          <w:szCs w:val="24"/>
          <w:lang w:val="en-US" w:eastAsia="en-AU"/>
        </w:rPr>
        <w:t>PSCR</w:t>
      </w:r>
      <w:r w:rsidR="002E7E59">
        <w:rPr>
          <w:rFonts w:cs="Calibri"/>
          <w:snapToGrid/>
          <w:szCs w:val="24"/>
          <w:lang w:val="en-US" w:eastAsia="en-AU"/>
        </w:rPr>
        <w:t>)</w:t>
      </w:r>
      <w:r w:rsidRPr="00B74BA2">
        <w:rPr>
          <w:rFonts w:cs="Calibri"/>
          <w:snapToGrid/>
          <w:szCs w:val="24"/>
          <w:lang w:val="en-US" w:eastAsia="en-AU"/>
        </w:rPr>
        <w:t xml:space="preserve"> stated that the survival outcomes are </w:t>
      </w:r>
      <w:r w:rsidR="00182822" w:rsidRPr="00B74BA2">
        <w:rPr>
          <w:rFonts w:cs="Calibri"/>
          <w:snapToGrid/>
          <w:szCs w:val="24"/>
          <w:lang w:val="en-US" w:eastAsia="en-AU"/>
        </w:rPr>
        <w:t xml:space="preserve">starting to </w:t>
      </w:r>
      <w:r w:rsidRPr="00B74BA2">
        <w:rPr>
          <w:rFonts w:cs="Calibri"/>
          <w:snapToGrid/>
          <w:szCs w:val="24"/>
          <w:lang w:val="en-US" w:eastAsia="en-AU"/>
        </w:rPr>
        <w:t>converg</w:t>
      </w:r>
      <w:r w:rsidR="00182822" w:rsidRPr="00B74BA2">
        <w:rPr>
          <w:rFonts w:cs="Calibri"/>
          <w:snapToGrid/>
          <w:szCs w:val="24"/>
          <w:lang w:val="en-US" w:eastAsia="en-AU"/>
        </w:rPr>
        <w:t>e</w:t>
      </w:r>
      <w:r w:rsidRPr="00B74BA2">
        <w:rPr>
          <w:rFonts w:cs="Calibri"/>
          <w:snapToGrid/>
          <w:szCs w:val="24"/>
          <w:lang w:val="en-US" w:eastAsia="en-AU"/>
        </w:rPr>
        <w:t xml:space="preserve"> over time. The ESC noted, that while the OS curves </w:t>
      </w:r>
      <w:r w:rsidR="00EF2036" w:rsidRPr="00B74BA2">
        <w:rPr>
          <w:rFonts w:cs="Calibri"/>
          <w:snapToGrid/>
          <w:szCs w:val="24"/>
          <w:lang w:val="en-US" w:eastAsia="en-AU"/>
        </w:rPr>
        <w:t xml:space="preserve">start </w:t>
      </w:r>
      <w:r w:rsidRPr="00B74BA2">
        <w:rPr>
          <w:rFonts w:cs="Calibri"/>
          <w:snapToGrid/>
          <w:szCs w:val="24"/>
          <w:lang w:val="en-US" w:eastAsia="en-AU"/>
        </w:rPr>
        <w:t xml:space="preserve">to converge, they do not converge within the modelled time horizon, and noted that the extrapolation methods resulted in an absolute difference in OS at 10 years of 25% for </w:t>
      </w:r>
      <w:proofErr w:type="spellStart"/>
      <w:r w:rsidRPr="00B74BA2">
        <w:rPr>
          <w:rFonts w:cs="Calibri"/>
          <w:snapToGrid/>
          <w:szCs w:val="24"/>
          <w:lang w:val="en-US" w:eastAsia="en-AU"/>
        </w:rPr>
        <w:t>pembrolizumab</w:t>
      </w:r>
      <w:proofErr w:type="spellEnd"/>
      <w:r w:rsidRPr="00B74BA2">
        <w:rPr>
          <w:rFonts w:cs="Calibri"/>
          <w:snapToGrid/>
          <w:szCs w:val="24"/>
          <w:lang w:val="en-US" w:eastAsia="en-AU"/>
        </w:rPr>
        <w:t xml:space="preserve"> versus the ITT of </w:t>
      </w:r>
      <w:proofErr w:type="spellStart"/>
      <w:r w:rsidRPr="00B74BA2">
        <w:rPr>
          <w:rFonts w:cs="Calibri"/>
          <w:snapToGrid/>
          <w:szCs w:val="24"/>
          <w:lang w:val="en-US" w:eastAsia="en-AU"/>
        </w:rPr>
        <w:t>Kuruvilla</w:t>
      </w:r>
      <w:proofErr w:type="spellEnd"/>
      <w:r w:rsidRPr="00B74BA2">
        <w:rPr>
          <w:rFonts w:cs="Calibri"/>
          <w:snapToGrid/>
          <w:szCs w:val="24"/>
          <w:lang w:val="en-US" w:eastAsia="en-AU"/>
        </w:rPr>
        <w:t xml:space="preserve"> 2008, or 30% versus the </w:t>
      </w:r>
      <w:proofErr w:type="spellStart"/>
      <w:r w:rsidRPr="00B74BA2">
        <w:rPr>
          <w:rFonts w:cs="Calibri"/>
          <w:snapToGrid/>
          <w:szCs w:val="24"/>
          <w:lang w:val="en-US" w:eastAsia="en-AU"/>
        </w:rPr>
        <w:t>Kuruvilla</w:t>
      </w:r>
      <w:proofErr w:type="spellEnd"/>
      <w:r w:rsidRPr="00B74BA2">
        <w:rPr>
          <w:rFonts w:cs="Calibri"/>
          <w:snapToGrid/>
          <w:szCs w:val="24"/>
          <w:lang w:val="en-US" w:eastAsia="en-AU"/>
        </w:rPr>
        <w:t xml:space="preserve"> 2008 sub-group. </w:t>
      </w:r>
      <w:r w:rsidR="00323DA9" w:rsidRPr="00B74BA2">
        <w:rPr>
          <w:rFonts w:cs="Calibri"/>
          <w:snapToGrid/>
          <w:szCs w:val="24"/>
          <w:lang w:val="en-US" w:eastAsia="en-AU"/>
        </w:rPr>
        <w:t xml:space="preserve">The ESC noted this absolute difference was in the context of KN170 having a </w:t>
      </w:r>
      <w:r w:rsidR="00323DA9" w:rsidRPr="00B74BA2">
        <w:t xml:space="preserve">maximum follow-up less than two years and a median follow-up of 9.7 </w:t>
      </w:r>
      <w:r w:rsidR="00323DA9" w:rsidRPr="00B74BA2">
        <w:lastRenderedPageBreak/>
        <w:t xml:space="preserve">months at which point OS was around 60%. </w:t>
      </w:r>
      <w:r w:rsidRPr="00B74BA2">
        <w:rPr>
          <w:rFonts w:cs="Calibri"/>
          <w:snapToGrid/>
          <w:szCs w:val="24"/>
          <w:lang w:val="en-US" w:eastAsia="en-AU"/>
        </w:rPr>
        <w:t xml:space="preserve">The ESC </w:t>
      </w:r>
      <w:r w:rsidR="00B50E0C">
        <w:rPr>
          <w:rFonts w:cs="Calibri"/>
          <w:snapToGrid/>
          <w:szCs w:val="24"/>
          <w:lang w:val="en-US" w:eastAsia="en-AU"/>
        </w:rPr>
        <w:t xml:space="preserve">and the PBAC </w:t>
      </w:r>
      <w:r w:rsidRPr="00B74BA2">
        <w:rPr>
          <w:rFonts w:cs="Calibri"/>
          <w:snapToGrid/>
          <w:szCs w:val="24"/>
          <w:lang w:val="en-US" w:eastAsia="en-AU"/>
        </w:rPr>
        <w:t>considered that th</w:t>
      </w:r>
      <w:r w:rsidR="00323DA9" w:rsidRPr="00B74BA2">
        <w:rPr>
          <w:rFonts w:cs="Calibri"/>
          <w:snapToGrid/>
          <w:szCs w:val="24"/>
          <w:lang w:val="en-US" w:eastAsia="en-AU"/>
        </w:rPr>
        <w:t>e estimated</w:t>
      </w:r>
      <w:r w:rsidRPr="00B74BA2">
        <w:rPr>
          <w:rFonts w:cs="Calibri"/>
          <w:snapToGrid/>
          <w:szCs w:val="24"/>
          <w:lang w:val="en-US" w:eastAsia="en-AU"/>
        </w:rPr>
        <w:t xml:space="preserve"> ongoing treatment effect was </w:t>
      </w:r>
      <w:r w:rsidR="00CA03B2" w:rsidRPr="00B74BA2">
        <w:rPr>
          <w:rFonts w:cs="Calibri"/>
          <w:snapToGrid/>
          <w:szCs w:val="24"/>
          <w:lang w:val="en-US" w:eastAsia="en-AU"/>
        </w:rPr>
        <w:t>highly uncertain</w:t>
      </w:r>
      <w:r w:rsidRPr="00B74BA2">
        <w:rPr>
          <w:rFonts w:cs="Calibri"/>
          <w:snapToGrid/>
          <w:szCs w:val="24"/>
          <w:lang w:val="en-US" w:eastAsia="en-AU"/>
        </w:rPr>
        <w:t xml:space="preserve"> as it was based on immature data </w:t>
      </w:r>
      <w:r w:rsidR="0084031E" w:rsidRPr="00B74BA2">
        <w:rPr>
          <w:rFonts w:cs="Calibri"/>
          <w:snapToGrid/>
          <w:szCs w:val="24"/>
          <w:lang w:val="en-US" w:eastAsia="en-AU"/>
        </w:rPr>
        <w:t xml:space="preserve">that were </w:t>
      </w:r>
      <w:r w:rsidRPr="00B74BA2">
        <w:rPr>
          <w:rFonts w:cs="Calibri"/>
          <w:snapToGrid/>
          <w:szCs w:val="24"/>
          <w:lang w:val="en-US" w:eastAsia="en-AU"/>
        </w:rPr>
        <w:t xml:space="preserve">subject to </w:t>
      </w:r>
      <w:r w:rsidR="00323DA9" w:rsidRPr="00B74BA2">
        <w:rPr>
          <w:rFonts w:cs="Calibri"/>
          <w:snapToGrid/>
          <w:szCs w:val="24"/>
          <w:lang w:val="en-US" w:eastAsia="en-AU"/>
        </w:rPr>
        <w:t>a high degree of</w:t>
      </w:r>
      <w:r w:rsidRPr="00B74BA2">
        <w:rPr>
          <w:rFonts w:cs="Calibri"/>
          <w:snapToGrid/>
          <w:szCs w:val="24"/>
          <w:lang w:val="en-US" w:eastAsia="en-AU"/>
        </w:rPr>
        <w:t xml:space="preserve"> censoring. </w:t>
      </w:r>
      <w:r w:rsidR="00B52E8E" w:rsidRPr="00B74BA2">
        <w:rPr>
          <w:rFonts w:cs="Calibri"/>
          <w:snapToGrid/>
          <w:szCs w:val="24"/>
          <w:lang w:val="en-US" w:eastAsia="en-AU"/>
        </w:rPr>
        <w:t>As such, the ESC considered that the survival curves should have converged within the modelled time horizon.</w:t>
      </w:r>
    </w:p>
    <w:p w:rsidR="00FE111F" w:rsidRPr="00B74BA2" w:rsidRDefault="00FE111F" w:rsidP="0091423A">
      <w:pPr>
        <w:keepNext/>
        <w:widowControl/>
        <w:rPr>
          <w:rFonts w:ascii="Arial Narrow" w:hAnsi="Arial Narrow"/>
          <w:b/>
          <w:sz w:val="20"/>
          <w:szCs w:val="20"/>
        </w:rPr>
      </w:pPr>
      <w:r w:rsidRPr="00B74BA2">
        <w:rPr>
          <w:rFonts w:ascii="Arial Narrow" w:hAnsi="Arial Narrow"/>
          <w:b/>
          <w:sz w:val="20"/>
          <w:szCs w:val="20"/>
        </w:rPr>
        <w:t xml:space="preserve">Figure </w:t>
      </w:r>
      <w:r w:rsidR="00B50E0C">
        <w:rPr>
          <w:rFonts w:ascii="Arial Narrow" w:hAnsi="Arial Narrow"/>
          <w:b/>
          <w:sz w:val="20"/>
          <w:szCs w:val="20"/>
        </w:rPr>
        <w:t>5</w:t>
      </w:r>
      <w:r w:rsidRPr="00B74BA2">
        <w:rPr>
          <w:rFonts w:ascii="Arial Narrow" w:hAnsi="Arial Narrow"/>
          <w:b/>
          <w:sz w:val="20"/>
          <w:szCs w:val="20"/>
        </w:rPr>
        <w:t xml:space="preserve">: Extrapolation of the OS </w:t>
      </w:r>
      <w:r w:rsidR="005143DA" w:rsidRPr="00B74BA2">
        <w:rPr>
          <w:rFonts w:ascii="Arial Narrow" w:hAnsi="Arial Narrow"/>
          <w:b/>
          <w:sz w:val="20"/>
          <w:szCs w:val="20"/>
        </w:rPr>
        <w:t xml:space="preserve">(black lines) </w:t>
      </w:r>
      <w:r w:rsidRPr="00B74BA2">
        <w:rPr>
          <w:rFonts w:ascii="Arial Narrow" w:hAnsi="Arial Narrow"/>
          <w:b/>
          <w:sz w:val="20"/>
          <w:szCs w:val="20"/>
        </w:rPr>
        <w:t xml:space="preserve">and PFS </w:t>
      </w:r>
      <w:r w:rsidR="005143DA" w:rsidRPr="00B74BA2">
        <w:rPr>
          <w:rFonts w:ascii="Arial Narrow" w:hAnsi="Arial Narrow"/>
          <w:b/>
          <w:sz w:val="20"/>
          <w:szCs w:val="20"/>
        </w:rPr>
        <w:t xml:space="preserve">(blue lines) </w:t>
      </w:r>
      <w:r w:rsidRPr="00B74BA2">
        <w:rPr>
          <w:rFonts w:ascii="Arial Narrow" w:hAnsi="Arial Narrow"/>
          <w:b/>
          <w:sz w:val="20"/>
          <w:szCs w:val="20"/>
        </w:rPr>
        <w:t>curves in the economic model</w:t>
      </w:r>
    </w:p>
    <w:p w:rsidR="00FE111F" w:rsidRPr="00B74BA2" w:rsidRDefault="006B5C0A" w:rsidP="0091423A">
      <w:pPr>
        <w:keepNext/>
        <w:widowControl/>
        <w:rPr>
          <w:rFonts w:ascii="Arial Narrow" w:hAnsi="Arial Narrow"/>
          <w:b/>
          <w:sz w:val="20"/>
          <w:szCs w:val="20"/>
        </w:rPr>
      </w:pPr>
      <w:r w:rsidRPr="00B74BA2">
        <w:rPr>
          <w:rFonts w:ascii="Arial Narrow" w:hAnsi="Arial Narrow"/>
          <w:b/>
          <w:noProof/>
          <w:snapToGrid/>
          <w:sz w:val="20"/>
          <w:szCs w:val="20"/>
          <w:lang w:eastAsia="en-AU"/>
        </w:rPr>
        <w:drawing>
          <wp:inline distT="0" distB="0" distL="0" distR="0" wp14:anchorId="4E190106" wp14:editId="561865ED">
            <wp:extent cx="5781827" cy="378142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78753" cy="3779415"/>
                    </a:xfrm>
                    <a:prstGeom prst="rect">
                      <a:avLst/>
                    </a:prstGeom>
                    <a:noFill/>
                  </pic:spPr>
                </pic:pic>
              </a:graphicData>
            </a:graphic>
          </wp:inline>
        </w:drawing>
      </w:r>
    </w:p>
    <w:p w:rsidR="00FE111F" w:rsidRPr="00B74BA2" w:rsidRDefault="00FE111F" w:rsidP="0091423A">
      <w:pPr>
        <w:widowControl/>
        <w:rPr>
          <w:rFonts w:ascii="Arial Narrow" w:hAnsi="Arial Narrow"/>
          <w:sz w:val="18"/>
          <w:szCs w:val="18"/>
        </w:rPr>
      </w:pPr>
      <w:r w:rsidRPr="00B74BA2">
        <w:rPr>
          <w:rFonts w:ascii="Arial Narrow" w:hAnsi="Arial Narrow"/>
          <w:sz w:val="18"/>
          <w:szCs w:val="18"/>
        </w:rPr>
        <w:t>Source: “</w:t>
      </w:r>
      <w:proofErr w:type="spellStart"/>
      <w:r w:rsidRPr="00B74BA2">
        <w:rPr>
          <w:rFonts w:ascii="Arial Narrow" w:hAnsi="Arial Narrow"/>
          <w:sz w:val="18"/>
          <w:szCs w:val="18"/>
        </w:rPr>
        <w:t>Chart_SurvivalCurves</w:t>
      </w:r>
      <w:proofErr w:type="spellEnd"/>
      <w:r w:rsidRPr="00B74BA2">
        <w:rPr>
          <w:rFonts w:ascii="Arial Narrow" w:hAnsi="Arial Narrow"/>
          <w:sz w:val="18"/>
          <w:szCs w:val="18"/>
        </w:rPr>
        <w:t>” worksheet of economic model (</w:t>
      </w:r>
      <w:proofErr w:type="spellStart"/>
      <w:r w:rsidRPr="00B74BA2">
        <w:rPr>
          <w:rFonts w:ascii="Arial Narrow" w:hAnsi="Arial Narrow"/>
          <w:sz w:val="18"/>
          <w:szCs w:val="18"/>
        </w:rPr>
        <w:t>Att</w:t>
      </w:r>
      <w:proofErr w:type="spellEnd"/>
      <w:r w:rsidRPr="00B74BA2">
        <w:rPr>
          <w:rFonts w:ascii="Arial Narrow" w:hAnsi="Arial Narrow"/>
          <w:sz w:val="18"/>
          <w:szCs w:val="18"/>
        </w:rPr>
        <w:t xml:space="preserve"> 8.xlsx); Figure 1 (page 5) of the PSCR </w:t>
      </w:r>
    </w:p>
    <w:p w:rsidR="00FE111F" w:rsidRPr="00B74BA2" w:rsidRDefault="00FE111F" w:rsidP="0091423A">
      <w:pPr>
        <w:widowControl/>
        <w:rPr>
          <w:rFonts w:ascii="Arial Narrow" w:hAnsi="Arial Narrow"/>
          <w:sz w:val="18"/>
          <w:szCs w:val="18"/>
        </w:rPr>
      </w:pPr>
      <w:r w:rsidRPr="00B74BA2">
        <w:rPr>
          <w:rFonts w:ascii="Arial Narrow" w:hAnsi="Arial Narrow"/>
          <w:sz w:val="18"/>
          <w:szCs w:val="18"/>
        </w:rPr>
        <w:t>Abbreviations: PEM = pembrolizumab; PD – progressed disease; PF – progression free; SOC = standard of care.</w:t>
      </w:r>
    </w:p>
    <w:p w:rsidR="004D0344" w:rsidRPr="00B74BA2" w:rsidRDefault="004D0344" w:rsidP="0091423A">
      <w:pPr>
        <w:widowControl/>
        <w:rPr>
          <w:rFonts w:ascii="Arial Narrow" w:hAnsi="Arial Narrow"/>
          <w:sz w:val="18"/>
          <w:szCs w:val="18"/>
        </w:rPr>
      </w:pPr>
    </w:p>
    <w:p w:rsidR="00B93751" w:rsidRPr="00B74BA2" w:rsidRDefault="0084031E" w:rsidP="00F2263C">
      <w:pPr>
        <w:pStyle w:val="ListParagraph"/>
        <w:widowControl/>
        <w:numPr>
          <w:ilvl w:val="1"/>
          <w:numId w:val="1"/>
        </w:numPr>
      </w:pPr>
      <w:r w:rsidRPr="00B74BA2">
        <w:t xml:space="preserve">A </w:t>
      </w:r>
      <w:r w:rsidR="00B93751" w:rsidRPr="00B74BA2">
        <w:t>10 year time horizon</w:t>
      </w:r>
      <w:r w:rsidRPr="00B74BA2">
        <w:t xml:space="preserve"> was used in the base case of the economic evaluation</w:t>
      </w:r>
      <w:r w:rsidR="00B93751" w:rsidRPr="00B74BA2">
        <w:t xml:space="preserve">. </w:t>
      </w:r>
      <w:r w:rsidR="00750A5E">
        <w:t>T</w:t>
      </w:r>
      <w:r w:rsidR="00B93751" w:rsidRPr="00B74BA2">
        <w:t xml:space="preserve">he submission justified the 10-year time horizon on the basis of a plateau in the survival data from KN170, </w:t>
      </w:r>
      <w:r w:rsidR="00750A5E">
        <w:t xml:space="preserve">however the ESC and PBAC considered this was not reasonable as it </w:t>
      </w:r>
      <w:r w:rsidR="00B93751" w:rsidRPr="00B74BA2">
        <w:t xml:space="preserve">was based on immature data </w:t>
      </w:r>
      <w:r w:rsidR="00750A5E">
        <w:t xml:space="preserve">that </w:t>
      </w:r>
      <w:r w:rsidR="00B93751" w:rsidRPr="00B74BA2">
        <w:t xml:space="preserve">was subject to a high degree of censoring. </w:t>
      </w:r>
      <w:r w:rsidR="001D16D2">
        <w:t>Further, the evaluation</w:t>
      </w:r>
      <w:r w:rsidR="00C7080D">
        <w:t xml:space="preserve"> and the</w:t>
      </w:r>
      <w:r w:rsidR="001D16D2">
        <w:t xml:space="preserve"> ESC considered that a</w:t>
      </w:r>
      <w:r w:rsidR="00B93751" w:rsidRPr="00B74BA2">
        <w:t xml:space="preserve"> 10-year time horizon may be too long in the context of this condition, particularly when compared with the OS outcomes observed in </w:t>
      </w:r>
      <w:proofErr w:type="spellStart"/>
      <w:r w:rsidR="00B93751" w:rsidRPr="00B74BA2">
        <w:t>Kuruvilla</w:t>
      </w:r>
      <w:proofErr w:type="spellEnd"/>
      <w:r w:rsidR="00B93751" w:rsidRPr="00B74BA2">
        <w:t xml:space="preserve"> 2008 of 15% alive at 2 years. The evaluation and the ESC considered that a 7.5</w:t>
      </w:r>
      <w:r w:rsidRPr="00B74BA2">
        <w:t xml:space="preserve"> </w:t>
      </w:r>
      <w:r w:rsidR="00B93751" w:rsidRPr="00B74BA2">
        <w:t xml:space="preserve">year time horizon may have been more appropriate given the immature data and uncertain extrapolation. </w:t>
      </w:r>
    </w:p>
    <w:p w:rsidR="005D4DB8" w:rsidRPr="00B74BA2" w:rsidRDefault="005D4DB8" w:rsidP="00F2263C">
      <w:pPr>
        <w:pStyle w:val="ListParagraph"/>
        <w:widowControl/>
        <w:numPr>
          <w:ilvl w:val="1"/>
          <w:numId w:val="1"/>
        </w:numPr>
      </w:pPr>
      <w:r w:rsidRPr="00B74BA2">
        <w:t xml:space="preserve">The utility values were estimated from the </w:t>
      </w:r>
      <w:r w:rsidR="00182822" w:rsidRPr="00B74BA2">
        <w:t xml:space="preserve">health-related quality of life </w:t>
      </w:r>
      <w:r w:rsidRPr="00B74BA2">
        <w:t>results in KN170 based on a subset of patients</w:t>
      </w:r>
      <w:r w:rsidR="00C47B70" w:rsidRPr="00B74BA2">
        <w:t xml:space="preserve">, data for which was not provided </w:t>
      </w:r>
      <w:r w:rsidR="009A45B1" w:rsidRPr="00B74BA2">
        <w:t>in the submission</w:t>
      </w:r>
      <w:r w:rsidR="00CA277A" w:rsidRPr="00B74BA2">
        <w:t>.</w:t>
      </w:r>
      <w:r w:rsidR="00114B73" w:rsidRPr="00B74BA2">
        <w:t xml:space="preserve"> </w:t>
      </w:r>
      <w:r w:rsidR="00CA277A" w:rsidRPr="00B74BA2">
        <w:t>T</w:t>
      </w:r>
      <w:r w:rsidR="00114B73" w:rsidRPr="00B74BA2">
        <w:t>herefore</w:t>
      </w:r>
      <w:r w:rsidR="00CA277A" w:rsidRPr="00B74BA2">
        <w:t>,</w:t>
      </w:r>
      <w:r w:rsidR="00114B73" w:rsidRPr="00B74BA2">
        <w:t xml:space="preserve"> the validity of using these data to inform the model </w:t>
      </w:r>
      <w:r w:rsidR="00657DC6" w:rsidRPr="00B74BA2">
        <w:t xml:space="preserve">could not be </w:t>
      </w:r>
      <w:r w:rsidR="00114B73" w:rsidRPr="00B74BA2">
        <w:t>evalua</w:t>
      </w:r>
      <w:r w:rsidR="00657DC6" w:rsidRPr="00B74BA2">
        <w:t>ted</w:t>
      </w:r>
      <w:r w:rsidR="008C4047" w:rsidRPr="00B74BA2">
        <w:t>.</w:t>
      </w:r>
      <w:r w:rsidR="009A45B1" w:rsidRPr="00B74BA2">
        <w:t xml:space="preserve"> </w:t>
      </w:r>
      <w:r w:rsidR="00FB3E89" w:rsidRPr="00B74BA2">
        <w:t xml:space="preserve">The ESC </w:t>
      </w:r>
      <w:r w:rsidR="008923A5">
        <w:t xml:space="preserve">and PBAC </w:t>
      </w:r>
      <w:r w:rsidR="00FB3E89" w:rsidRPr="00B74BA2">
        <w:t xml:space="preserve">considered that, in the absence of data to evaluate these utilities, more conservative utility values should have been applied. </w:t>
      </w:r>
      <w:r w:rsidR="008923A5">
        <w:t>The pre-</w:t>
      </w:r>
      <w:r w:rsidR="008923A5">
        <w:lastRenderedPageBreak/>
        <w:t>PBAC response stated that the utility values were consistent with other values reported in the literature for other types of NHL economic models</w:t>
      </w:r>
      <w:r w:rsidR="006935AC">
        <w:t xml:space="preserve">. However, some of the other utility values presented were for follicular lymphoma (e.g. </w:t>
      </w:r>
      <w:proofErr w:type="spellStart"/>
      <w:r w:rsidR="006935AC">
        <w:t>Blommestein</w:t>
      </w:r>
      <w:proofErr w:type="spellEnd"/>
      <w:r w:rsidR="006935AC">
        <w:t xml:space="preserve"> et al 2014), which is a more indolent condition.</w:t>
      </w:r>
    </w:p>
    <w:p w:rsidR="005D4DB8" w:rsidRPr="00B74BA2" w:rsidRDefault="005D4DB8" w:rsidP="00F2263C">
      <w:pPr>
        <w:pStyle w:val="ListParagraph"/>
        <w:widowControl/>
        <w:numPr>
          <w:ilvl w:val="1"/>
          <w:numId w:val="1"/>
        </w:numPr>
      </w:pPr>
      <w:r w:rsidRPr="00B74BA2">
        <w:rPr>
          <w:rFonts w:cs="Calibri"/>
          <w:snapToGrid/>
          <w:szCs w:val="24"/>
          <w:lang w:val="en-US" w:eastAsia="en-AU"/>
        </w:rPr>
        <w:t>A summary of the key drivers of the economic model is shown in Table 1</w:t>
      </w:r>
      <w:r w:rsidR="0084031E" w:rsidRPr="00B74BA2">
        <w:rPr>
          <w:rFonts w:cs="Calibri"/>
          <w:snapToGrid/>
          <w:szCs w:val="24"/>
          <w:lang w:val="en-US" w:eastAsia="en-AU"/>
        </w:rPr>
        <w:t>2</w:t>
      </w:r>
      <w:r w:rsidRPr="00B74BA2">
        <w:rPr>
          <w:rFonts w:cs="Calibri"/>
          <w:snapToGrid/>
          <w:szCs w:val="24"/>
          <w:lang w:val="en-US" w:eastAsia="en-AU"/>
        </w:rPr>
        <w:t>. The key drivers included</w:t>
      </w:r>
      <w:r w:rsidR="002849A9" w:rsidRPr="00B74BA2">
        <w:rPr>
          <w:rFonts w:cs="Calibri"/>
          <w:snapToGrid/>
          <w:szCs w:val="24"/>
          <w:lang w:val="en-US" w:eastAsia="en-AU"/>
        </w:rPr>
        <w:t xml:space="preserve"> the</w:t>
      </w:r>
      <w:r w:rsidRPr="00B74BA2">
        <w:rPr>
          <w:rFonts w:cs="Calibri"/>
          <w:snapToGrid/>
          <w:szCs w:val="24"/>
          <w:lang w:val="en-US" w:eastAsia="en-AU"/>
        </w:rPr>
        <w:t xml:space="preserve"> time horizon, the</w:t>
      </w:r>
      <w:r w:rsidR="00E2722F" w:rsidRPr="00B74BA2">
        <w:rPr>
          <w:rFonts w:cs="Calibri"/>
          <w:snapToGrid/>
          <w:szCs w:val="24"/>
          <w:lang w:val="en-US" w:eastAsia="en-AU"/>
        </w:rPr>
        <w:t xml:space="preserve"> extrapolation method,</w:t>
      </w:r>
      <w:r w:rsidRPr="00B74BA2">
        <w:rPr>
          <w:rFonts w:cs="Calibri"/>
          <w:snapToGrid/>
          <w:szCs w:val="24"/>
          <w:lang w:val="en-US" w:eastAsia="en-AU"/>
        </w:rPr>
        <w:t xml:space="preserve"> </w:t>
      </w:r>
      <w:r w:rsidR="00E2722F" w:rsidRPr="00B74BA2">
        <w:rPr>
          <w:rFonts w:cs="Calibri"/>
          <w:snapToGrid/>
          <w:szCs w:val="24"/>
          <w:lang w:val="en-US" w:eastAsia="en-AU"/>
        </w:rPr>
        <w:t xml:space="preserve">the </w:t>
      </w:r>
      <w:r w:rsidRPr="00B74BA2">
        <w:rPr>
          <w:rFonts w:cs="Calibri"/>
          <w:snapToGrid/>
          <w:szCs w:val="24"/>
          <w:lang w:val="en-US" w:eastAsia="en-AU"/>
        </w:rPr>
        <w:t xml:space="preserve">approach to estimate </w:t>
      </w:r>
      <w:r w:rsidR="002849A9" w:rsidRPr="00B74BA2">
        <w:rPr>
          <w:rFonts w:cs="Calibri"/>
          <w:snapToGrid/>
          <w:szCs w:val="24"/>
          <w:lang w:val="en-US" w:eastAsia="en-AU"/>
        </w:rPr>
        <w:t xml:space="preserve">the </w:t>
      </w:r>
      <w:r w:rsidRPr="00B74BA2">
        <w:rPr>
          <w:rFonts w:cs="Calibri"/>
          <w:snapToGrid/>
          <w:szCs w:val="24"/>
          <w:lang w:val="en-US" w:eastAsia="en-AU"/>
        </w:rPr>
        <w:t>SOC OS</w:t>
      </w:r>
      <w:r w:rsidR="00E146EA" w:rsidRPr="00B74BA2">
        <w:rPr>
          <w:rFonts w:cs="Calibri"/>
          <w:snapToGrid/>
          <w:szCs w:val="24"/>
          <w:lang w:val="en-US" w:eastAsia="en-AU"/>
        </w:rPr>
        <w:t xml:space="preserve"> and</w:t>
      </w:r>
      <w:r w:rsidRPr="00B74BA2">
        <w:rPr>
          <w:rFonts w:cs="Calibri"/>
          <w:snapToGrid/>
          <w:szCs w:val="24"/>
          <w:lang w:val="en-US" w:eastAsia="en-AU"/>
        </w:rPr>
        <w:t xml:space="preserve"> </w:t>
      </w:r>
      <w:r w:rsidR="00B40FD0" w:rsidRPr="00B74BA2">
        <w:rPr>
          <w:rFonts w:cs="Calibri"/>
          <w:snapToGrid/>
          <w:szCs w:val="24"/>
          <w:lang w:val="en-US" w:eastAsia="en-AU"/>
        </w:rPr>
        <w:t xml:space="preserve">the </w:t>
      </w:r>
      <w:r w:rsidRPr="00B74BA2">
        <w:rPr>
          <w:rFonts w:cs="Calibri"/>
          <w:snapToGrid/>
          <w:szCs w:val="24"/>
          <w:lang w:val="en-US" w:eastAsia="en-AU"/>
        </w:rPr>
        <w:t>utility values.</w:t>
      </w:r>
    </w:p>
    <w:p w:rsidR="005D4DB8" w:rsidRPr="00B74BA2" w:rsidRDefault="005D4DB8" w:rsidP="0091423A">
      <w:pPr>
        <w:keepNext/>
        <w:keepLines/>
        <w:widowControl/>
        <w:rPr>
          <w:rStyle w:val="CommentReference"/>
        </w:rPr>
      </w:pPr>
      <w:r w:rsidRPr="00B74BA2">
        <w:rPr>
          <w:rStyle w:val="CommentReference"/>
        </w:rPr>
        <w:t>Table 1</w:t>
      </w:r>
      <w:r w:rsidR="0084031E" w:rsidRPr="00B74BA2">
        <w:rPr>
          <w:rStyle w:val="CommentReference"/>
        </w:rPr>
        <w:t>2</w:t>
      </w:r>
      <w:r w:rsidRPr="00B74BA2">
        <w:rPr>
          <w:rStyle w:val="CommentReference"/>
        </w:rPr>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20"/>
        <w:gridCol w:w="5463"/>
        <w:gridCol w:w="2600"/>
      </w:tblGrid>
      <w:tr w:rsidR="005D4DB8" w:rsidRPr="00B74BA2" w:rsidTr="00204BD3">
        <w:trPr>
          <w:tblHeader/>
        </w:trPr>
        <w:tc>
          <w:tcPr>
            <w:tcW w:w="562" w:type="pct"/>
            <w:shd w:val="clear" w:color="auto" w:fill="auto"/>
            <w:vAlign w:val="center"/>
          </w:tcPr>
          <w:p w:rsidR="005D4DB8" w:rsidRPr="00B74BA2" w:rsidRDefault="005D4DB8" w:rsidP="0091423A">
            <w:pPr>
              <w:pStyle w:val="Tabletext"/>
              <w:keepNext/>
              <w:keepLines/>
              <w:rPr>
                <w:b/>
                <w:lang w:val="en-US"/>
              </w:rPr>
            </w:pPr>
            <w:r w:rsidRPr="00B74BA2">
              <w:rPr>
                <w:b/>
                <w:lang w:val="en-US"/>
              </w:rPr>
              <w:t>Description</w:t>
            </w:r>
          </w:p>
        </w:tc>
        <w:tc>
          <w:tcPr>
            <w:tcW w:w="3007" w:type="pct"/>
            <w:shd w:val="clear" w:color="auto" w:fill="auto"/>
            <w:vAlign w:val="center"/>
          </w:tcPr>
          <w:p w:rsidR="005D4DB8" w:rsidRPr="00B74BA2" w:rsidRDefault="005D4DB8" w:rsidP="0091423A">
            <w:pPr>
              <w:pStyle w:val="Tabletext"/>
              <w:keepNext/>
              <w:keepLines/>
              <w:jc w:val="center"/>
              <w:rPr>
                <w:b/>
                <w:lang w:val="en-US"/>
              </w:rPr>
            </w:pPr>
            <w:r w:rsidRPr="00B74BA2">
              <w:rPr>
                <w:b/>
                <w:lang w:val="en-US"/>
              </w:rPr>
              <w:t>Method/Value</w:t>
            </w:r>
          </w:p>
        </w:tc>
        <w:tc>
          <w:tcPr>
            <w:tcW w:w="1431" w:type="pct"/>
            <w:shd w:val="clear" w:color="auto" w:fill="auto"/>
            <w:vAlign w:val="center"/>
          </w:tcPr>
          <w:p w:rsidR="005D4DB8" w:rsidRPr="00B74BA2" w:rsidRDefault="005D4DB8" w:rsidP="0091423A">
            <w:pPr>
              <w:pStyle w:val="Tabletext"/>
              <w:keepNext/>
              <w:keepLines/>
              <w:jc w:val="center"/>
              <w:rPr>
                <w:b/>
                <w:lang w:val="en-US"/>
              </w:rPr>
            </w:pPr>
            <w:r w:rsidRPr="00B74BA2">
              <w:rPr>
                <w:b/>
                <w:lang w:val="en-US"/>
              </w:rPr>
              <w:t>Impact</w:t>
            </w:r>
          </w:p>
          <w:p w:rsidR="005D4DB8" w:rsidRPr="00B74BA2" w:rsidRDefault="005D4DB8" w:rsidP="0091423A">
            <w:pPr>
              <w:pStyle w:val="Tabletext"/>
              <w:keepNext/>
              <w:keepLines/>
              <w:jc w:val="center"/>
              <w:rPr>
                <w:lang w:val="en-US"/>
              </w:rPr>
            </w:pPr>
            <w:r w:rsidRPr="00B74BA2">
              <w:rPr>
                <w:lang w:val="en-US"/>
              </w:rPr>
              <w:t>(Base case $</w:t>
            </w:r>
            <w:r w:rsidR="00132A6D">
              <w:rPr>
                <w:noProof/>
                <w:color w:val="000000"/>
                <w:highlight w:val="black"/>
                <w:lang w:val="en-US"/>
              </w:rPr>
              <w:t>'''''''''''''''</w:t>
            </w:r>
            <w:r w:rsidRPr="00B74BA2">
              <w:rPr>
                <w:lang w:val="en-US"/>
              </w:rPr>
              <w:t xml:space="preserve"> per QALY)</w:t>
            </w:r>
          </w:p>
        </w:tc>
      </w:tr>
      <w:tr w:rsidR="005D4DB8" w:rsidRPr="00B74BA2" w:rsidTr="00204BD3">
        <w:tc>
          <w:tcPr>
            <w:tcW w:w="562" w:type="pct"/>
            <w:shd w:val="clear" w:color="auto" w:fill="auto"/>
            <w:vAlign w:val="center"/>
          </w:tcPr>
          <w:p w:rsidR="005D4DB8" w:rsidRPr="00B74BA2" w:rsidRDefault="005D4DB8" w:rsidP="0091423A">
            <w:pPr>
              <w:pStyle w:val="Tabletext"/>
              <w:keepNext/>
              <w:keepLines/>
              <w:rPr>
                <w:lang w:val="en-US"/>
              </w:rPr>
            </w:pPr>
            <w:r w:rsidRPr="00B74BA2">
              <w:rPr>
                <w:lang w:val="en-US"/>
              </w:rPr>
              <w:t>Data source for SOC OS</w:t>
            </w:r>
          </w:p>
        </w:tc>
        <w:tc>
          <w:tcPr>
            <w:tcW w:w="3007" w:type="pct"/>
            <w:shd w:val="clear" w:color="auto" w:fill="auto"/>
            <w:vAlign w:val="center"/>
          </w:tcPr>
          <w:p w:rsidR="005D4DB8" w:rsidRPr="00B74BA2" w:rsidRDefault="005D4DB8" w:rsidP="0091423A">
            <w:pPr>
              <w:pStyle w:val="Tabletext"/>
              <w:keepNext/>
              <w:keepLines/>
              <w:rPr>
                <w:lang w:val="en-US"/>
              </w:rPr>
            </w:pPr>
            <w:r w:rsidRPr="00B74BA2">
              <w:rPr>
                <w:lang w:val="en-US"/>
              </w:rPr>
              <w:t xml:space="preserve">The submission applied OS from a subgroup of patients in </w:t>
            </w:r>
            <w:proofErr w:type="spellStart"/>
            <w:r w:rsidRPr="00B74BA2">
              <w:rPr>
                <w:lang w:val="en-US"/>
              </w:rPr>
              <w:t>Kuruvilla</w:t>
            </w:r>
            <w:proofErr w:type="spellEnd"/>
            <w:r w:rsidRPr="00B74BA2">
              <w:rPr>
                <w:lang w:val="en-US"/>
              </w:rPr>
              <w:t xml:space="preserve"> 2008 who had not undergone a subsequent ASCT</w:t>
            </w:r>
            <w:r w:rsidR="00E146EA" w:rsidRPr="00B74BA2">
              <w:rPr>
                <w:lang w:val="en-US"/>
              </w:rPr>
              <w:t>, or who had not received a 2</w:t>
            </w:r>
            <w:r w:rsidR="00E146EA" w:rsidRPr="00B74BA2">
              <w:rPr>
                <w:vertAlign w:val="superscript"/>
                <w:lang w:val="en-US"/>
              </w:rPr>
              <w:t>nd</w:t>
            </w:r>
            <w:r w:rsidR="00E146EA" w:rsidRPr="00B74BA2">
              <w:rPr>
                <w:lang w:val="en-US"/>
              </w:rPr>
              <w:t xml:space="preserve"> line of therapy</w:t>
            </w:r>
            <w:r w:rsidRPr="00B74BA2">
              <w:rPr>
                <w:lang w:val="en-US"/>
              </w:rPr>
              <w:t xml:space="preserve">. The results were sensitive to the use of data from the overall group. </w:t>
            </w:r>
          </w:p>
        </w:tc>
        <w:tc>
          <w:tcPr>
            <w:tcW w:w="1431" w:type="pct"/>
            <w:shd w:val="clear" w:color="auto" w:fill="auto"/>
            <w:vAlign w:val="center"/>
          </w:tcPr>
          <w:p w:rsidR="005D4DB8" w:rsidRPr="00B74BA2" w:rsidRDefault="005D4DB8" w:rsidP="0091423A">
            <w:pPr>
              <w:pStyle w:val="Tabletext"/>
              <w:keepNext/>
              <w:keepLines/>
              <w:rPr>
                <w:lang w:val="en-US"/>
              </w:rPr>
            </w:pPr>
            <w:r w:rsidRPr="00B74BA2">
              <w:rPr>
                <w:lang w:val="en-US"/>
              </w:rPr>
              <w:t xml:space="preserve">High, </w:t>
            </w:r>
            <w:r w:rsidRPr="00B74BA2">
              <w:t>favours</w:t>
            </w:r>
            <w:r w:rsidRPr="00B74BA2">
              <w:rPr>
                <w:lang w:val="en-US"/>
              </w:rPr>
              <w:t xml:space="preserve"> </w:t>
            </w:r>
            <w:proofErr w:type="spellStart"/>
            <w:r w:rsidRPr="00B74BA2">
              <w:rPr>
                <w:lang w:val="en-US"/>
              </w:rPr>
              <w:t>pembrolizumab</w:t>
            </w:r>
            <w:proofErr w:type="spellEnd"/>
            <w:r w:rsidRPr="00B74BA2">
              <w:rPr>
                <w:lang w:val="en-US"/>
              </w:rPr>
              <w:t xml:space="preserve"> </w:t>
            </w:r>
          </w:p>
          <w:p w:rsidR="005D4DB8" w:rsidRPr="00B74BA2" w:rsidRDefault="005D4DB8" w:rsidP="0091423A">
            <w:pPr>
              <w:pStyle w:val="Tabletext"/>
              <w:keepNext/>
              <w:keepLines/>
              <w:rPr>
                <w:lang w:val="en-US"/>
              </w:rPr>
            </w:pPr>
            <w:r w:rsidRPr="00B74BA2">
              <w:rPr>
                <w:lang w:val="en-US"/>
              </w:rPr>
              <w:t>(ICER = $</w:t>
            </w:r>
            <w:r w:rsidR="00132A6D">
              <w:rPr>
                <w:noProof/>
                <w:color w:val="000000"/>
                <w:highlight w:val="black"/>
                <w:lang w:val="en-US"/>
              </w:rPr>
              <w:t>'''''''''''''''</w:t>
            </w:r>
            <w:r w:rsidRPr="00B74BA2">
              <w:rPr>
                <w:lang w:val="en-US"/>
              </w:rPr>
              <w:t>)</w:t>
            </w:r>
          </w:p>
        </w:tc>
      </w:tr>
      <w:tr w:rsidR="005D4DB8" w:rsidRPr="00B74BA2" w:rsidTr="00204BD3">
        <w:tc>
          <w:tcPr>
            <w:tcW w:w="562" w:type="pct"/>
            <w:shd w:val="clear" w:color="auto" w:fill="auto"/>
            <w:vAlign w:val="center"/>
          </w:tcPr>
          <w:p w:rsidR="005D4DB8" w:rsidRPr="00B74BA2" w:rsidRDefault="005D4DB8" w:rsidP="0091423A">
            <w:pPr>
              <w:pStyle w:val="Tabletext"/>
              <w:keepNext/>
              <w:keepLines/>
              <w:rPr>
                <w:lang w:val="en-US"/>
              </w:rPr>
            </w:pPr>
            <w:r w:rsidRPr="00B74BA2">
              <w:rPr>
                <w:lang w:val="en-US"/>
              </w:rPr>
              <w:t xml:space="preserve">Time horizon </w:t>
            </w:r>
          </w:p>
        </w:tc>
        <w:tc>
          <w:tcPr>
            <w:tcW w:w="3007" w:type="pct"/>
            <w:shd w:val="clear" w:color="auto" w:fill="auto"/>
            <w:vAlign w:val="center"/>
          </w:tcPr>
          <w:p w:rsidR="005D4DB8" w:rsidRPr="00B74BA2" w:rsidRDefault="005D4DB8" w:rsidP="001D16D2">
            <w:pPr>
              <w:pStyle w:val="Tabletext"/>
              <w:keepNext/>
              <w:keepLines/>
              <w:rPr>
                <w:lang w:val="en-US"/>
              </w:rPr>
            </w:pPr>
            <w:r w:rsidRPr="00B74BA2">
              <w:rPr>
                <w:lang w:val="en-US"/>
              </w:rPr>
              <w:t xml:space="preserve">10 years vs. approx. 21 months </w:t>
            </w:r>
            <w:r w:rsidR="001D16D2">
              <w:rPr>
                <w:lang w:val="en-US"/>
              </w:rPr>
              <w:t xml:space="preserve">maximum follow-up </w:t>
            </w:r>
            <w:r w:rsidR="00D560F2">
              <w:rPr>
                <w:lang w:val="en-US"/>
              </w:rPr>
              <w:t xml:space="preserve">(9.7 months median follow-up) </w:t>
            </w:r>
            <w:r w:rsidR="001D16D2">
              <w:rPr>
                <w:lang w:val="en-US"/>
              </w:rPr>
              <w:t xml:space="preserve">from </w:t>
            </w:r>
            <w:r w:rsidRPr="00B74BA2">
              <w:rPr>
                <w:lang w:val="en-US"/>
              </w:rPr>
              <w:t xml:space="preserve">KN170, and 2 years of </w:t>
            </w:r>
            <w:proofErr w:type="spellStart"/>
            <w:r w:rsidRPr="00B74BA2">
              <w:rPr>
                <w:lang w:val="en-US"/>
              </w:rPr>
              <w:t>Kuruvilla</w:t>
            </w:r>
            <w:proofErr w:type="spellEnd"/>
            <w:r w:rsidRPr="00B74BA2">
              <w:rPr>
                <w:lang w:val="en-US"/>
              </w:rPr>
              <w:t xml:space="preserve"> 2008 study</w:t>
            </w:r>
            <w:r w:rsidR="00B40FD0" w:rsidRPr="00B74BA2">
              <w:rPr>
                <w:lang w:val="en-US"/>
              </w:rPr>
              <w:t>.</w:t>
            </w:r>
          </w:p>
        </w:tc>
        <w:tc>
          <w:tcPr>
            <w:tcW w:w="1431" w:type="pct"/>
            <w:shd w:val="clear" w:color="auto" w:fill="auto"/>
            <w:vAlign w:val="center"/>
          </w:tcPr>
          <w:p w:rsidR="005D4DB8" w:rsidRPr="00B74BA2" w:rsidRDefault="005D4DB8" w:rsidP="0091423A">
            <w:pPr>
              <w:pStyle w:val="Tabletext"/>
              <w:keepNext/>
              <w:keepLines/>
              <w:rPr>
                <w:lang w:val="en-US"/>
              </w:rPr>
            </w:pPr>
            <w:r w:rsidRPr="00B74BA2">
              <w:rPr>
                <w:lang w:val="en-US"/>
              </w:rPr>
              <w:t xml:space="preserve">High, </w:t>
            </w:r>
            <w:r w:rsidRPr="00B74BA2">
              <w:t>favours</w:t>
            </w:r>
            <w:r w:rsidRPr="00B74BA2">
              <w:rPr>
                <w:lang w:val="en-US"/>
              </w:rPr>
              <w:t xml:space="preserve"> </w:t>
            </w:r>
            <w:proofErr w:type="spellStart"/>
            <w:r w:rsidRPr="00B74BA2">
              <w:rPr>
                <w:lang w:val="en-US"/>
              </w:rPr>
              <w:t>pembrolizumab</w:t>
            </w:r>
            <w:proofErr w:type="spellEnd"/>
          </w:p>
          <w:p w:rsidR="005D4DB8" w:rsidRPr="00B74BA2" w:rsidRDefault="005D4DB8" w:rsidP="0091423A">
            <w:pPr>
              <w:pStyle w:val="Tabletext"/>
              <w:keepNext/>
              <w:keepLines/>
              <w:rPr>
                <w:lang w:val="en-US"/>
              </w:rPr>
            </w:pPr>
            <w:r w:rsidRPr="00B74BA2">
              <w:rPr>
                <w:lang w:val="en-US"/>
              </w:rPr>
              <w:t xml:space="preserve">(ICER = </w:t>
            </w:r>
            <w:r w:rsidR="00204BD3" w:rsidRPr="00B74BA2">
              <w:rPr>
                <w:lang w:val="en-US"/>
              </w:rPr>
              <w:t>$</w:t>
            </w:r>
            <w:r w:rsidR="00132A6D">
              <w:rPr>
                <w:noProof/>
                <w:color w:val="000000"/>
                <w:highlight w:val="black"/>
                <w:lang w:val="en-US"/>
              </w:rPr>
              <w:t>''''''''''''''''</w:t>
            </w:r>
            <w:r w:rsidR="00204BD3" w:rsidRPr="00B74BA2">
              <w:rPr>
                <w:lang w:val="en-US"/>
              </w:rPr>
              <w:t xml:space="preserve"> </w:t>
            </w:r>
            <w:r w:rsidR="00215837" w:rsidRPr="00B74BA2">
              <w:rPr>
                <w:lang w:val="en-US"/>
              </w:rPr>
              <w:t>for a 7.5 year time horizon</w:t>
            </w:r>
            <w:r w:rsidRPr="00B74BA2">
              <w:rPr>
                <w:lang w:val="en-US"/>
              </w:rPr>
              <w:t>)</w:t>
            </w:r>
          </w:p>
        </w:tc>
      </w:tr>
      <w:tr w:rsidR="005D4DB8" w:rsidRPr="00B74BA2" w:rsidTr="00204BD3">
        <w:tc>
          <w:tcPr>
            <w:tcW w:w="562" w:type="pct"/>
            <w:shd w:val="clear" w:color="auto" w:fill="auto"/>
            <w:vAlign w:val="center"/>
          </w:tcPr>
          <w:p w:rsidR="005D4DB8" w:rsidRPr="00B74BA2" w:rsidRDefault="005D4DB8" w:rsidP="0091423A">
            <w:pPr>
              <w:pStyle w:val="Tabletext"/>
              <w:keepNext/>
              <w:keepLines/>
              <w:rPr>
                <w:lang w:val="en-US"/>
              </w:rPr>
            </w:pPr>
            <w:r w:rsidRPr="00B74BA2">
              <w:rPr>
                <w:lang w:val="en-US"/>
              </w:rPr>
              <w:t xml:space="preserve">Utilities </w:t>
            </w:r>
          </w:p>
        </w:tc>
        <w:tc>
          <w:tcPr>
            <w:tcW w:w="3007" w:type="pct"/>
            <w:shd w:val="clear" w:color="auto" w:fill="auto"/>
            <w:vAlign w:val="center"/>
          </w:tcPr>
          <w:p w:rsidR="005D4DB8" w:rsidRPr="00B74BA2" w:rsidRDefault="005D4DB8" w:rsidP="0091423A">
            <w:pPr>
              <w:pStyle w:val="Tabletext"/>
              <w:keepNext/>
              <w:keepLines/>
              <w:rPr>
                <w:lang w:val="en-US"/>
              </w:rPr>
            </w:pPr>
            <w:r w:rsidRPr="00B74BA2">
              <w:rPr>
                <w:lang w:val="en-US"/>
              </w:rPr>
              <w:t xml:space="preserve">Based on an unknown number of patients in KN170 who responded to the </w:t>
            </w:r>
            <w:proofErr w:type="spellStart"/>
            <w:r w:rsidRPr="00B74BA2">
              <w:rPr>
                <w:lang w:val="en-US"/>
              </w:rPr>
              <w:t>HRQoL</w:t>
            </w:r>
            <w:proofErr w:type="spellEnd"/>
            <w:r w:rsidRPr="00B74BA2">
              <w:rPr>
                <w:lang w:val="en-US"/>
              </w:rPr>
              <w:t xml:space="preserve"> </w:t>
            </w:r>
            <w:r w:rsidR="00B40FD0" w:rsidRPr="00B74BA2">
              <w:rPr>
                <w:lang w:val="en-US"/>
              </w:rPr>
              <w:t xml:space="preserve">questionnaire </w:t>
            </w:r>
            <w:r w:rsidRPr="00B74BA2">
              <w:rPr>
                <w:lang w:val="en-US"/>
              </w:rPr>
              <w:t>(PFS = 0.</w:t>
            </w:r>
            <w:r w:rsidR="001E2C6E" w:rsidRPr="00B74BA2">
              <w:rPr>
                <w:lang w:val="en-US"/>
              </w:rPr>
              <w:t>80</w:t>
            </w:r>
            <w:r w:rsidRPr="00B74BA2">
              <w:rPr>
                <w:lang w:val="en-US"/>
              </w:rPr>
              <w:t>; PD = 0.62)</w:t>
            </w:r>
            <w:r w:rsidR="00793E3F" w:rsidRPr="00B74BA2">
              <w:rPr>
                <w:lang w:val="en-US"/>
              </w:rPr>
              <w:t xml:space="preserve">. Insufficient information was provided to adequately evaluate the utility values applied. </w:t>
            </w:r>
          </w:p>
        </w:tc>
        <w:tc>
          <w:tcPr>
            <w:tcW w:w="1431" w:type="pct"/>
            <w:shd w:val="clear" w:color="auto" w:fill="auto"/>
            <w:vAlign w:val="center"/>
          </w:tcPr>
          <w:p w:rsidR="005D4DB8" w:rsidRPr="00B74BA2" w:rsidRDefault="005D4DB8" w:rsidP="0091423A">
            <w:pPr>
              <w:pStyle w:val="Tabletext"/>
              <w:keepNext/>
              <w:keepLines/>
              <w:rPr>
                <w:lang w:val="en-US"/>
              </w:rPr>
            </w:pPr>
            <w:r w:rsidRPr="00B74BA2">
              <w:rPr>
                <w:lang w:val="en-US"/>
              </w:rPr>
              <w:t xml:space="preserve">Moderate, </w:t>
            </w:r>
            <w:r w:rsidRPr="00B74BA2">
              <w:t>favours</w:t>
            </w:r>
            <w:r w:rsidRPr="00B74BA2">
              <w:rPr>
                <w:lang w:val="en-US"/>
              </w:rPr>
              <w:t xml:space="preserve"> comparator</w:t>
            </w:r>
          </w:p>
        </w:tc>
      </w:tr>
      <w:tr w:rsidR="002F65F1" w:rsidRPr="00B74BA2" w:rsidTr="00204BD3">
        <w:tc>
          <w:tcPr>
            <w:tcW w:w="562" w:type="pct"/>
            <w:shd w:val="clear" w:color="auto" w:fill="auto"/>
            <w:vAlign w:val="center"/>
          </w:tcPr>
          <w:p w:rsidR="002F65F1" w:rsidRPr="00B74BA2" w:rsidRDefault="002F65F1" w:rsidP="0091423A">
            <w:pPr>
              <w:pStyle w:val="Tabletext"/>
              <w:keepNext/>
              <w:keepLines/>
              <w:rPr>
                <w:lang w:val="en-US"/>
              </w:rPr>
            </w:pPr>
            <w:r w:rsidRPr="00B74BA2">
              <w:rPr>
                <w:lang w:val="en-US"/>
              </w:rPr>
              <w:t>Parametric survival function</w:t>
            </w:r>
          </w:p>
        </w:tc>
        <w:tc>
          <w:tcPr>
            <w:tcW w:w="3007" w:type="pct"/>
            <w:shd w:val="clear" w:color="auto" w:fill="auto"/>
          </w:tcPr>
          <w:p w:rsidR="002F65F1" w:rsidRPr="00B74BA2" w:rsidRDefault="002F65F1" w:rsidP="0091423A">
            <w:pPr>
              <w:pStyle w:val="Tabletext"/>
              <w:keepNext/>
              <w:keepLines/>
              <w:rPr>
                <w:lang w:val="en-US"/>
              </w:rPr>
            </w:pPr>
            <w:r w:rsidRPr="00B74BA2">
              <w:rPr>
                <w:lang w:val="en-US"/>
              </w:rPr>
              <w:t xml:space="preserve">The submission selected </w:t>
            </w:r>
            <w:r w:rsidR="004A1C40" w:rsidRPr="00B74BA2">
              <w:rPr>
                <w:lang w:val="en-US"/>
              </w:rPr>
              <w:t>l</w:t>
            </w:r>
            <w:r w:rsidRPr="00B74BA2">
              <w:rPr>
                <w:lang w:val="en-US"/>
              </w:rPr>
              <w:t>og-log</w:t>
            </w:r>
            <w:r w:rsidR="004A1C40" w:rsidRPr="00B74BA2">
              <w:rPr>
                <w:lang w:val="en-US"/>
              </w:rPr>
              <w:t>istic</w:t>
            </w:r>
            <w:r w:rsidRPr="00B74BA2">
              <w:rPr>
                <w:lang w:val="en-US"/>
              </w:rPr>
              <w:t xml:space="preserve"> for all curves based on R-squared test statistic and visual inspection of the curves.</w:t>
            </w:r>
            <w:r w:rsidR="00AD7EDF" w:rsidRPr="00B74BA2">
              <w:rPr>
                <w:lang w:val="en-US"/>
              </w:rPr>
              <w:t xml:space="preserve"> Other models presented </w:t>
            </w:r>
            <w:r w:rsidR="001D16D2">
              <w:rPr>
                <w:lang w:val="en-US"/>
              </w:rPr>
              <w:t xml:space="preserve">in the submission </w:t>
            </w:r>
            <w:r w:rsidR="00AD7EDF" w:rsidRPr="00B74BA2">
              <w:rPr>
                <w:lang w:val="en-US"/>
              </w:rPr>
              <w:t xml:space="preserve">were Weibull and </w:t>
            </w:r>
            <w:r w:rsidR="004A1C40" w:rsidRPr="00B74BA2">
              <w:rPr>
                <w:lang w:val="en-US"/>
              </w:rPr>
              <w:t>e</w:t>
            </w:r>
            <w:r w:rsidR="00AD7EDF" w:rsidRPr="00B74BA2">
              <w:rPr>
                <w:lang w:val="en-US"/>
              </w:rPr>
              <w:t>xponential</w:t>
            </w:r>
            <w:r w:rsidR="001D16D2">
              <w:rPr>
                <w:lang w:val="en-US"/>
              </w:rPr>
              <w:t xml:space="preserve">; the pre-PBAC response reported the results for log-normal, gamma and </w:t>
            </w:r>
            <w:proofErr w:type="spellStart"/>
            <w:r w:rsidR="001D16D2">
              <w:rPr>
                <w:lang w:val="en-US"/>
              </w:rPr>
              <w:t>Gompertz</w:t>
            </w:r>
            <w:proofErr w:type="spellEnd"/>
            <w:r w:rsidR="001D16D2">
              <w:rPr>
                <w:lang w:val="en-US"/>
              </w:rPr>
              <w:t>.</w:t>
            </w:r>
          </w:p>
        </w:tc>
        <w:tc>
          <w:tcPr>
            <w:tcW w:w="1431" w:type="pct"/>
            <w:shd w:val="clear" w:color="auto" w:fill="auto"/>
            <w:vAlign w:val="center"/>
          </w:tcPr>
          <w:p w:rsidR="002F65F1" w:rsidRPr="00B74BA2" w:rsidRDefault="00B52E8E" w:rsidP="0091423A">
            <w:pPr>
              <w:pStyle w:val="Tabletext"/>
              <w:keepNext/>
              <w:keepLines/>
              <w:rPr>
                <w:lang w:val="en-US"/>
              </w:rPr>
            </w:pPr>
            <w:r w:rsidRPr="00B74BA2">
              <w:rPr>
                <w:lang w:val="en-US"/>
              </w:rPr>
              <w:t>High</w:t>
            </w:r>
            <w:r w:rsidR="002F65F1" w:rsidRPr="00B74BA2">
              <w:rPr>
                <w:lang w:val="en-US"/>
              </w:rPr>
              <w:t xml:space="preserve">, </w:t>
            </w:r>
            <w:r w:rsidR="002F65F1" w:rsidRPr="00B74BA2">
              <w:t>favours</w:t>
            </w:r>
            <w:r w:rsidR="002F65F1" w:rsidRPr="00B74BA2">
              <w:rPr>
                <w:lang w:val="en-US"/>
              </w:rPr>
              <w:t xml:space="preserve"> </w:t>
            </w:r>
            <w:proofErr w:type="spellStart"/>
            <w:r w:rsidR="002F65F1" w:rsidRPr="00B74BA2">
              <w:rPr>
                <w:lang w:val="en-US"/>
              </w:rPr>
              <w:t>pembrolizumab</w:t>
            </w:r>
            <w:proofErr w:type="spellEnd"/>
          </w:p>
          <w:p w:rsidR="0069655B" w:rsidRPr="00B74BA2" w:rsidRDefault="0069655B" w:rsidP="0091423A">
            <w:pPr>
              <w:pStyle w:val="Tabletext"/>
              <w:keepNext/>
              <w:keepLines/>
              <w:rPr>
                <w:lang w:val="en-US"/>
              </w:rPr>
            </w:pPr>
            <w:r w:rsidRPr="00B74BA2">
              <w:rPr>
                <w:lang w:val="en-US"/>
              </w:rPr>
              <w:t>(Exponential, ICER = $</w:t>
            </w:r>
            <w:r w:rsidR="00132A6D">
              <w:rPr>
                <w:noProof/>
                <w:color w:val="000000"/>
                <w:highlight w:val="black"/>
                <w:lang w:val="en-US"/>
              </w:rPr>
              <w:t>'''''''''''''''</w:t>
            </w:r>
            <w:r w:rsidRPr="00B74BA2">
              <w:rPr>
                <w:lang w:val="en-US"/>
              </w:rPr>
              <w:t>)</w:t>
            </w:r>
          </w:p>
          <w:p w:rsidR="00B52E8E" w:rsidRPr="00B74BA2" w:rsidRDefault="00B52E8E" w:rsidP="0091423A">
            <w:pPr>
              <w:pStyle w:val="Tabletext"/>
              <w:keepNext/>
              <w:keepLines/>
              <w:rPr>
                <w:lang w:val="en-US"/>
              </w:rPr>
            </w:pPr>
            <w:r w:rsidRPr="00B74BA2">
              <w:rPr>
                <w:lang w:val="en-US"/>
              </w:rPr>
              <w:t>Convergence of survival curves unable to be tested within current model</w:t>
            </w:r>
          </w:p>
        </w:tc>
      </w:tr>
    </w:tbl>
    <w:p w:rsidR="006C21A9" w:rsidRPr="00B74BA2" w:rsidRDefault="005D4DB8" w:rsidP="00110E3A">
      <w:pPr>
        <w:pStyle w:val="TableFooter"/>
        <w:keepNext/>
        <w:keepLines/>
        <w:widowControl/>
        <w:spacing w:after="240"/>
      </w:pPr>
      <w:r w:rsidRPr="00B74BA2">
        <w:t>Source: Table 3.9-1, p119, of the submission. Abbreviations: HRQoL = health</w:t>
      </w:r>
      <w:r w:rsidR="00182822" w:rsidRPr="00B74BA2">
        <w:t>-</w:t>
      </w:r>
      <w:r w:rsidRPr="00B74BA2">
        <w:t xml:space="preserve">related quality of life; </w:t>
      </w:r>
      <w:r w:rsidR="002F65F1" w:rsidRPr="00B74BA2">
        <w:t xml:space="preserve">Log-log = log-logistic; </w:t>
      </w:r>
      <w:r w:rsidRPr="00B74BA2">
        <w:t>OS = overall survival; PD = progressed disease</w:t>
      </w:r>
      <w:r w:rsidR="007A3517">
        <w:t>; PFS = progression-</w:t>
      </w:r>
      <w:r w:rsidR="00110E3A">
        <w:t>free state.</w:t>
      </w:r>
    </w:p>
    <w:p w:rsidR="005D4DB8" w:rsidRPr="00B74BA2" w:rsidRDefault="005D4DB8" w:rsidP="00F2263C">
      <w:pPr>
        <w:pStyle w:val="ListParagraph"/>
        <w:widowControl/>
        <w:numPr>
          <w:ilvl w:val="1"/>
          <w:numId w:val="1"/>
        </w:numPr>
      </w:pPr>
      <w:r w:rsidRPr="00B74BA2">
        <w:t>The results of the economic analysis are presented in Table 1</w:t>
      </w:r>
      <w:r w:rsidR="0084031E" w:rsidRPr="00B74BA2">
        <w:t>3</w:t>
      </w:r>
      <w:r w:rsidRPr="00B74BA2">
        <w:t>. The submission did not present a stepped evaluation.</w:t>
      </w:r>
    </w:p>
    <w:p w:rsidR="005D4DB8" w:rsidRPr="00B74BA2" w:rsidRDefault="005D4DB8" w:rsidP="0091423A">
      <w:pPr>
        <w:keepNext/>
        <w:keepLines/>
        <w:widowControl/>
      </w:pPr>
      <w:r w:rsidRPr="00B74BA2">
        <w:rPr>
          <w:rStyle w:val="CommentReference"/>
        </w:rPr>
        <w:lastRenderedPageBreak/>
        <w:t>Table 1</w:t>
      </w:r>
      <w:r w:rsidR="0084031E" w:rsidRPr="00B74BA2">
        <w:rPr>
          <w:rStyle w:val="CommentReference"/>
        </w:rPr>
        <w:t>3</w:t>
      </w:r>
      <w:r w:rsidRPr="00B74BA2">
        <w:rPr>
          <w:rStyle w:val="CommentReference"/>
        </w:rPr>
        <w:t>: Results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78"/>
        <w:gridCol w:w="2469"/>
        <w:gridCol w:w="2314"/>
        <w:gridCol w:w="1522"/>
      </w:tblGrid>
      <w:tr w:rsidR="005D4DB8" w:rsidRPr="00B74BA2" w:rsidTr="003A1711">
        <w:trPr>
          <w:tblHeader/>
        </w:trPr>
        <w:tc>
          <w:tcPr>
            <w:tcW w:w="1529" w:type="pct"/>
            <w:vAlign w:val="center"/>
          </w:tcPr>
          <w:p w:rsidR="005D4DB8" w:rsidRPr="00B74BA2" w:rsidRDefault="005D4DB8" w:rsidP="0091423A">
            <w:pPr>
              <w:pStyle w:val="Tabletext"/>
              <w:keepNext/>
              <w:keepLines/>
              <w:rPr>
                <w:b/>
              </w:rPr>
            </w:pPr>
            <w:r w:rsidRPr="00B74BA2">
              <w:rPr>
                <w:b/>
              </w:rPr>
              <w:t>Step and component</w:t>
            </w:r>
          </w:p>
        </w:tc>
        <w:tc>
          <w:tcPr>
            <w:tcW w:w="1359" w:type="pct"/>
            <w:vAlign w:val="center"/>
          </w:tcPr>
          <w:p w:rsidR="005D4DB8" w:rsidRPr="00B74BA2" w:rsidRDefault="005D4DB8" w:rsidP="0091423A">
            <w:pPr>
              <w:pStyle w:val="Tabletext"/>
              <w:keepNext/>
              <w:keepLines/>
              <w:jc w:val="center"/>
              <w:rPr>
                <w:b/>
              </w:rPr>
            </w:pPr>
            <w:r w:rsidRPr="00B74BA2">
              <w:rPr>
                <w:b/>
              </w:rPr>
              <w:t>Pembrolizumab</w:t>
            </w:r>
          </w:p>
        </w:tc>
        <w:tc>
          <w:tcPr>
            <w:tcW w:w="1274" w:type="pct"/>
            <w:vAlign w:val="center"/>
          </w:tcPr>
          <w:p w:rsidR="005D4DB8" w:rsidRPr="00B74BA2" w:rsidRDefault="005D4DB8" w:rsidP="0091423A">
            <w:pPr>
              <w:pStyle w:val="Tabletext"/>
              <w:keepNext/>
              <w:keepLines/>
              <w:jc w:val="center"/>
              <w:rPr>
                <w:b/>
              </w:rPr>
            </w:pPr>
            <w:r w:rsidRPr="00B74BA2">
              <w:rPr>
                <w:b/>
              </w:rPr>
              <w:t>SOC therapies</w:t>
            </w:r>
          </w:p>
        </w:tc>
        <w:tc>
          <w:tcPr>
            <w:tcW w:w="838" w:type="pct"/>
            <w:vAlign w:val="center"/>
          </w:tcPr>
          <w:p w:rsidR="005D4DB8" w:rsidRPr="00B74BA2" w:rsidRDefault="005D4DB8" w:rsidP="0091423A">
            <w:pPr>
              <w:pStyle w:val="Tabletext"/>
              <w:keepNext/>
              <w:keepLines/>
              <w:jc w:val="center"/>
              <w:rPr>
                <w:b/>
              </w:rPr>
            </w:pPr>
            <w:r w:rsidRPr="00B74BA2">
              <w:rPr>
                <w:b/>
              </w:rPr>
              <w:t>Increment</w:t>
            </w:r>
          </w:p>
        </w:tc>
      </w:tr>
      <w:tr w:rsidR="005D4DB8" w:rsidRPr="00B74BA2" w:rsidTr="003A1711">
        <w:tc>
          <w:tcPr>
            <w:tcW w:w="5000" w:type="pct"/>
            <w:gridSpan w:val="4"/>
            <w:vAlign w:val="center"/>
          </w:tcPr>
          <w:p w:rsidR="005D4DB8" w:rsidRPr="00B74BA2" w:rsidRDefault="004A7B4A" w:rsidP="0091423A">
            <w:pPr>
              <w:pStyle w:val="Tabletext"/>
              <w:keepNext/>
              <w:keepLines/>
              <w:rPr>
                <w:b/>
                <w:snapToGrid w:val="0"/>
              </w:rPr>
            </w:pPr>
            <w:r w:rsidRPr="00B74BA2">
              <w:rPr>
                <w:b/>
                <w:snapToGrid w:val="0"/>
              </w:rPr>
              <w:t>T</w:t>
            </w:r>
            <w:r w:rsidR="005D4DB8" w:rsidRPr="00B74BA2">
              <w:rPr>
                <w:b/>
                <w:snapToGrid w:val="0"/>
              </w:rPr>
              <w:t xml:space="preserve">rial evidence translated to clinical outcomes, the Australian population/setting, extrapolated, with additional modelling and transformed into an economic outcome </w:t>
            </w:r>
          </w:p>
        </w:tc>
      </w:tr>
      <w:tr w:rsidR="005D4DB8" w:rsidRPr="00B74BA2" w:rsidTr="003A1711">
        <w:tc>
          <w:tcPr>
            <w:tcW w:w="1529" w:type="pct"/>
            <w:vAlign w:val="center"/>
          </w:tcPr>
          <w:p w:rsidR="005D4DB8" w:rsidRPr="00B74BA2" w:rsidRDefault="005D4DB8" w:rsidP="0091423A">
            <w:pPr>
              <w:pStyle w:val="Tabletext"/>
              <w:keepNext/>
              <w:keepLines/>
              <w:rPr>
                <w:rFonts w:ascii="Times" w:hAnsi="Times"/>
              </w:rPr>
            </w:pPr>
            <w:r w:rsidRPr="00B74BA2">
              <w:t>Costs</w:t>
            </w:r>
          </w:p>
        </w:tc>
        <w:tc>
          <w:tcPr>
            <w:tcW w:w="1359" w:type="pct"/>
            <w:vAlign w:val="center"/>
          </w:tcPr>
          <w:p w:rsidR="005D4DB8" w:rsidRPr="00B74BA2" w:rsidRDefault="005D4DB8" w:rsidP="0091423A">
            <w:pPr>
              <w:pStyle w:val="Tabletext"/>
              <w:keepNext/>
              <w:keepLines/>
              <w:jc w:val="center"/>
              <w:rPr>
                <w:rFonts w:ascii="Times" w:hAnsi="Times"/>
              </w:rPr>
            </w:pPr>
            <w:r w:rsidRPr="00B74BA2">
              <w:t>$</w:t>
            </w:r>
            <w:r w:rsidR="00132A6D">
              <w:rPr>
                <w:noProof/>
                <w:color w:val="000000"/>
                <w:highlight w:val="black"/>
              </w:rPr>
              <w:t>''''''''''''''''</w:t>
            </w:r>
          </w:p>
        </w:tc>
        <w:tc>
          <w:tcPr>
            <w:tcW w:w="1274" w:type="pct"/>
            <w:vAlign w:val="center"/>
          </w:tcPr>
          <w:p w:rsidR="005D4DB8" w:rsidRPr="00B74BA2" w:rsidRDefault="005D4DB8" w:rsidP="0091423A">
            <w:pPr>
              <w:pStyle w:val="Tabletext"/>
              <w:keepNext/>
              <w:keepLines/>
              <w:jc w:val="center"/>
              <w:rPr>
                <w:rFonts w:ascii="Times" w:hAnsi="Times"/>
              </w:rPr>
            </w:pPr>
            <w:r w:rsidRPr="00B74BA2">
              <w:t>$</w:t>
            </w:r>
            <w:r w:rsidR="00132A6D">
              <w:rPr>
                <w:noProof/>
                <w:color w:val="000000"/>
                <w:highlight w:val="black"/>
              </w:rPr>
              <w:t>''''''''''''''''</w:t>
            </w:r>
          </w:p>
        </w:tc>
        <w:tc>
          <w:tcPr>
            <w:tcW w:w="838" w:type="pct"/>
            <w:vAlign w:val="center"/>
          </w:tcPr>
          <w:p w:rsidR="005D4DB8" w:rsidRPr="00B74BA2" w:rsidRDefault="005D4DB8" w:rsidP="0091423A">
            <w:pPr>
              <w:pStyle w:val="Tabletext"/>
              <w:keepNext/>
              <w:keepLines/>
              <w:jc w:val="center"/>
              <w:rPr>
                <w:rFonts w:ascii="Times" w:hAnsi="Times"/>
              </w:rPr>
            </w:pPr>
            <w:r w:rsidRPr="00B74BA2">
              <w:t>$</w:t>
            </w:r>
            <w:r w:rsidR="00132A6D">
              <w:rPr>
                <w:noProof/>
                <w:color w:val="000000"/>
                <w:highlight w:val="black"/>
              </w:rPr>
              <w:t>'''''''''''''''</w:t>
            </w:r>
          </w:p>
        </w:tc>
      </w:tr>
      <w:tr w:rsidR="00073E25" w:rsidRPr="00B74BA2" w:rsidTr="003A1711">
        <w:tc>
          <w:tcPr>
            <w:tcW w:w="1529" w:type="pct"/>
            <w:vAlign w:val="center"/>
          </w:tcPr>
          <w:p w:rsidR="00073E25" w:rsidRPr="00B74BA2" w:rsidRDefault="00073E25" w:rsidP="0091423A">
            <w:pPr>
              <w:pStyle w:val="Tabletext"/>
              <w:keepNext/>
              <w:keepLines/>
            </w:pPr>
            <w:r w:rsidRPr="00B74BA2">
              <w:t>LY</w:t>
            </w:r>
          </w:p>
        </w:tc>
        <w:tc>
          <w:tcPr>
            <w:tcW w:w="1359" w:type="pct"/>
            <w:vAlign w:val="center"/>
          </w:tcPr>
          <w:p w:rsidR="00073E25" w:rsidRPr="00B74BA2" w:rsidRDefault="00073E25" w:rsidP="0091423A">
            <w:pPr>
              <w:pStyle w:val="Tabletext"/>
              <w:keepNext/>
              <w:keepLines/>
              <w:jc w:val="center"/>
            </w:pPr>
            <w:r w:rsidRPr="00B74BA2">
              <w:t>3.</w:t>
            </w:r>
            <w:r w:rsidR="007036D9" w:rsidRPr="00B74BA2">
              <w:t>5179</w:t>
            </w:r>
          </w:p>
        </w:tc>
        <w:tc>
          <w:tcPr>
            <w:tcW w:w="1274" w:type="pct"/>
            <w:vAlign w:val="center"/>
          </w:tcPr>
          <w:p w:rsidR="00073E25" w:rsidRPr="00B74BA2" w:rsidRDefault="00073E25" w:rsidP="0091423A">
            <w:pPr>
              <w:pStyle w:val="Tabletext"/>
              <w:keepNext/>
              <w:keepLines/>
              <w:jc w:val="center"/>
            </w:pPr>
            <w:r w:rsidRPr="00B74BA2">
              <w:t>0.</w:t>
            </w:r>
            <w:r w:rsidR="007036D9" w:rsidRPr="00B74BA2">
              <w:t>8013</w:t>
            </w:r>
          </w:p>
        </w:tc>
        <w:tc>
          <w:tcPr>
            <w:tcW w:w="838" w:type="pct"/>
            <w:vAlign w:val="center"/>
          </w:tcPr>
          <w:p w:rsidR="00073E25" w:rsidRPr="00B74BA2" w:rsidRDefault="00073E25" w:rsidP="0091423A">
            <w:pPr>
              <w:pStyle w:val="Tabletext"/>
              <w:keepNext/>
              <w:keepLines/>
              <w:jc w:val="center"/>
            </w:pPr>
            <w:r w:rsidRPr="00B74BA2">
              <w:t>2.7</w:t>
            </w:r>
            <w:r w:rsidR="007036D9" w:rsidRPr="00B74BA2">
              <w:t>166</w:t>
            </w:r>
          </w:p>
        </w:tc>
      </w:tr>
      <w:tr w:rsidR="005D4DB8" w:rsidRPr="00B74BA2" w:rsidTr="003A1711">
        <w:tc>
          <w:tcPr>
            <w:tcW w:w="1529" w:type="pct"/>
            <w:vAlign w:val="center"/>
          </w:tcPr>
          <w:p w:rsidR="005D4DB8" w:rsidRPr="00B74BA2" w:rsidRDefault="005D4DB8" w:rsidP="0091423A">
            <w:pPr>
              <w:pStyle w:val="Tabletext"/>
              <w:keepNext/>
              <w:keepLines/>
              <w:rPr>
                <w:rFonts w:ascii="Times" w:hAnsi="Times"/>
              </w:rPr>
            </w:pPr>
            <w:r w:rsidRPr="00B74BA2">
              <w:t>QALYs</w:t>
            </w:r>
          </w:p>
        </w:tc>
        <w:tc>
          <w:tcPr>
            <w:tcW w:w="1359" w:type="pct"/>
            <w:vAlign w:val="bottom"/>
          </w:tcPr>
          <w:p w:rsidR="005D4DB8" w:rsidRPr="00B74BA2" w:rsidRDefault="005D4DB8" w:rsidP="0091423A">
            <w:pPr>
              <w:pStyle w:val="Tabletext"/>
              <w:keepNext/>
              <w:keepLines/>
              <w:jc w:val="center"/>
              <w:rPr>
                <w:rFonts w:ascii="Times" w:hAnsi="Times"/>
              </w:rPr>
            </w:pPr>
            <w:r w:rsidRPr="00B74BA2">
              <w:t>2.7186</w:t>
            </w:r>
          </w:p>
        </w:tc>
        <w:tc>
          <w:tcPr>
            <w:tcW w:w="1274" w:type="pct"/>
            <w:vAlign w:val="bottom"/>
          </w:tcPr>
          <w:p w:rsidR="005D4DB8" w:rsidRPr="00B74BA2" w:rsidRDefault="005D4DB8" w:rsidP="0091423A">
            <w:pPr>
              <w:pStyle w:val="Tabletext"/>
              <w:keepNext/>
              <w:keepLines/>
              <w:jc w:val="center"/>
              <w:rPr>
                <w:rFonts w:ascii="Times" w:hAnsi="Times"/>
              </w:rPr>
            </w:pPr>
            <w:r w:rsidRPr="00B74BA2">
              <w:t>0.6854</w:t>
            </w:r>
          </w:p>
        </w:tc>
        <w:tc>
          <w:tcPr>
            <w:tcW w:w="838" w:type="pct"/>
            <w:vAlign w:val="bottom"/>
          </w:tcPr>
          <w:p w:rsidR="005D4DB8" w:rsidRPr="00B74BA2" w:rsidRDefault="005D4DB8" w:rsidP="0091423A">
            <w:pPr>
              <w:pStyle w:val="Tabletext"/>
              <w:keepNext/>
              <w:keepLines/>
              <w:jc w:val="center"/>
            </w:pPr>
            <w:r w:rsidRPr="00B74BA2">
              <w:t>2.0332</w:t>
            </w:r>
          </w:p>
        </w:tc>
      </w:tr>
      <w:tr w:rsidR="005D4DB8" w:rsidRPr="00B74BA2" w:rsidTr="003A1711">
        <w:tc>
          <w:tcPr>
            <w:tcW w:w="4162" w:type="pct"/>
            <w:gridSpan w:val="3"/>
            <w:vAlign w:val="center"/>
          </w:tcPr>
          <w:p w:rsidR="005D4DB8" w:rsidRPr="00B74BA2" w:rsidRDefault="005D4DB8" w:rsidP="0091423A">
            <w:pPr>
              <w:pStyle w:val="Tabletext"/>
              <w:keepNext/>
              <w:keepLines/>
              <w:rPr>
                <w:rFonts w:ascii="Times" w:hAnsi="Times"/>
              </w:rPr>
            </w:pPr>
            <w:r w:rsidRPr="00B74BA2">
              <w:t xml:space="preserve">Incremental cost/extra QALY gained </w:t>
            </w:r>
          </w:p>
        </w:tc>
        <w:tc>
          <w:tcPr>
            <w:tcW w:w="838" w:type="pct"/>
            <w:vAlign w:val="center"/>
          </w:tcPr>
          <w:p w:rsidR="005D4DB8" w:rsidRPr="00B74BA2" w:rsidRDefault="005D4DB8" w:rsidP="0091423A">
            <w:pPr>
              <w:pStyle w:val="Tabletext"/>
              <w:keepNext/>
              <w:keepLines/>
              <w:jc w:val="center"/>
              <w:rPr>
                <w:rFonts w:ascii="Times" w:hAnsi="Times"/>
                <w:vertAlign w:val="superscript"/>
              </w:rPr>
            </w:pPr>
            <w:r w:rsidRPr="00B74BA2">
              <w:t>$</w:t>
            </w:r>
            <w:r w:rsidR="00132A6D">
              <w:rPr>
                <w:noProof/>
                <w:color w:val="000000"/>
                <w:highlight w:val="black"/>
              </w:rPr>
              <w:t>'''''''''''''''</w:t>
            </w:r>
            <w:r w:rsidR="00621587" w:rsidRPr="00B74BA2">
              <w:t xml:space="preserve"> </w:t>
            </w:r>
            <w:r w:rsidR="00621587" w:rsidRPr="00B74BA2">
              <w:rPr>
                <w:vertAlign w:val="superscript"/>
              </w:rPr>
              <w:t>a, b</w:t>
            </w:r>
          </w:p>
        </w:tc>
      </w:tr>
    </w:tbl>
    <w:p w:rsidR="00F62D59" w:rsidRPr="00B74BA2" w:rsidRDefault="005D4DB8" w:rsidP="0091423A">
      <w:pPr>
        <w:pStyle w:val="TableFooter"/>
        <w:keepNext/>
        <w:keepLines/>
        <w:widowControl/>
      </w:pPr>
      <w:r w:rsidRPr="00B74BA2">
        <w:t xml:space="preserve">Source: </w:t>
      </w:r>
      <w:r w:rsidR="00F62D59" w:rsidRPr="00B74BA2">
        <w:t xml:space="preserve">Table 3.8-1, p115, of the submission. </w:t>
      </w:r>
    </w:p>
    <w:p w:rsidR="00F62D59" w:rsidRPr="00B74BA2" w:rsidRDefault="00F62D59" w:rsidP="0091423A">
      <w:pPr>
        <w:pStyle w:val="TableFooter"/>
        <w:keepNext/>
        <w:keepLines/>
        <w:widowControl/>
      </w:pPr>
      <w:r w:rsidRPr="00B74BA2">
        <w:t>Abbreviations: LY = life years; QALY = quality adjusted life years; SOC = standard of care.</w:t>
      </w:r>
    </w:p>
    <w:p w:rsidR="00F62D59" w:rsidRPr="00B74BA2" w:rsidRDefault="00621587" w:rsidP="0091423A">
      <w:pPr>
        <w:pStyle w:val="TableFooter"/>
        <w:keepNext/>
        <w:keepLines/>
        <w:widowControl/>
      </w:pPr>
      <w:proofErr w:type="spellStart"/>
      <w:r w:rsidRPr="00B74BA2">
        <w:rPr>
          <w:vertAlign w:val="superscript"/>
        </w:rPr>
        <w:t>a</w:t>
      </w:r>
      <w:proofErr w:type="spellEnd"/>
      <w:r w:rsidRPr="00B74BA2">
        <w:rPr>
          <w:vertAlign w:val="superscript"/>
        </w:rPr>
        <w:t xml:space="preserve"> </w:t>
      </w:r>
      <w:r w:rsidRPr="00B74BA2">
        <w:t>The re-estimated results based on adjustments of utilisation in of AEs in pembrolizumab arm, updated price mark-up for pembrolizumab and updated DPMQ for SOC.</w:t>
      </w:r>
    </w:p>
    <w:p w:rsidR="00FB74FE" w:rsidRDefault="00621587" w:rsidP="0091423A">
      <w:pPr>
        <w:pStyle w:val="TableFooter"/>
        <w:keepNext/>
        <w:keepLines/>
        <w:widowControl/>
        <w:spacing w:after="160"/>
      </w:pPr>
      <w:proofErr w:type="gramStart"/>
      <w:r w:rsidRPr="00B74BA2">
        <w:rPr>
          <w:vertAlign w:val="superscript"/>
        </w:rPr>
        <w:t>b</w:t>
      </w:r>
      <w:proofErr w:type="gramEnd"/>
      <w:r w:rsidRPr="00B74BA2">
        <w:rPr>
          <w:vertAlign w:val="superscript"/>
        </w:rPr>
        <w:t xml:space="preserve"> </w:t>
      </w:r>
      <w:r w:rsidRPr="00B74BA2">
        <w:t xml:space="preserve">This does </w:t>
      </w:r>
      <w:r w:rsidR="006C0DEA" w:rsidRPr="00B74BA2">
        <w:t>not correct</w:t>
      </w:r>
      <w:r w:rsidRPr="00B74BA2">
        <w:t xml:space="preserve"> an error identified during evaluation</w:t>
      </w:r>
      <w:r w:rsidR="006C0DEA" w:rsidRPr="00B74BA2">
        <w:rPr>
          <w:rFonts w:cs="Calibri"/>
          <w:snapToGrid/>
          <w:szCs w:val="24"/>
          <w:lang w:val="en-US" w:eastAsia="en-AU"/>
        </w:rPr>
        <w:t xml:space="preserve"> in the cells used to interpolate the Kaplan-Meier data from the observed months to the cycles in the model. This error resulted in the observed data (post month-13) being applied to the immediately following cycle time-point, effectively extending the survival distribution; see Att.8 Workbook, </w:t>
      </w:r>
      <w:proofErr w:type="spellStart"/>
      <w:r w:rsidR="006C0DEA" w:rsidRPr="00B74BA2">
        <w:rPr>
          <w:rFonts w:cs="Calibri"/>
          <w:snapToGrid/>
          <w:szCs w:val="24"/>
          <w:lang w:val="en-US" w:eastAsia="en-AU"/>
        </w:rPr>
        <w:t>Inputs_SurvivalCurveData</w:t>
      </w:r>
      <w:proofErr w:type="spellEnd"/>
      <w:r w:rsidR="006C0DEA" w:rsidRPr="00B74BA2">
        <w:rPr>
          <w:rFonts w:cs="Calibri"/>
          <w:snapToGrid/>
          <w:szCs w:val="24"/>
          <w:lang w:val="en-US" w:eastAsia="en-AU"/>
        </w:rPr>
        <w:t xml:space="preserve"> worksheet [cells: I106:P506] and Model worksheet [cells: K16: K362; L16:L362; AC16:AC362; AD16:AD362]. Correcting this would have reduced the base case ICER to </w:t>
      </w:r>
      <w:r w:rsidR="006C0DEA" w:rsidRPr="00B74BA2">
        <w:t>$</w:t>
      </w:r>
      <w:r w:rsidR="00132A6D">
        <w:rPr>
          <w:noProof/>
          <w:color w:val="000000"/>
          <w:highlight w:val="black"/>
        </w:rPr>
        <w:t>'''''''''''''''</w:t>
      </w:r>
      <w:r w:rsidR="006C0DEA" w:rsidRPr="00B74BA2">
        <w:t xml:space="preserve">.  </w:t>
      </w:r>
    </w:p>
    <w:p w:rsidR="00861FDB" w:rsidRPr="00993AA6" w:rsidRDefault="00861FDB" w:rsidP="0091423A">
      <w:pPr>
        <w:pStyle w:val="TableFooter"/>
        <w:keepNext/>
        <w:keepLines/>
        <w:widowControl/>
        <w:spacing w:after="160"/>
        <w:rPr>
          <w:rFonts w:asciiTheme="minorHAnsi" w:hAnsiTheme="minorHAnsi" w:cstheme="minorHAnsi"/>
          <w:i/>
          <w:sz w:val="24"/>
          <w:szCs w:val="24"/>
        </w:rPr>
      </w:pPr>
      <w:r w:rsidRPr="00993AA6">
        <w:rPr>
          <w:rFonts w:asciiTheme="minorHAnsi" w:hAnsiTheme="minorHAnsi" w:cstheme="minorHAnsi"/>
          <w:i/>
          <w:sz w:val="24"/>
          <w:szCs w:val="24"/>
        </w:rPr>
        <w:t>The redacted table shows an ICER in the range of $15,000/QALY - $45,000/QALY.</w:t>
      </w:r>
    </w:p>
    <w:p w:rsidR="005D4DB8" w:rsidRPr="00B74BA2" w:rsidRDefault="005D4DB8" w:rsidP="00F2263C">
      <w:pPr>
        <w:pStyle w:val="ListParagraph"/>
        <w:widowControl/>
        <w:numPr>
          <w:ilvl w:val="1"/>
          <w:numId w:val="1"/>
        </w:numPr>
      </w:pPr>
      <w:r w:rsidRPr="00B74BA2">
        <w:t xml:space="preserve">The submission presented a sensitivity analysis </w:t>
      </w:r>
      <w:r w:rsidR="004A7B4A" w:rsidRPr="00B74BA2">
        <w:t xml:space="preserve">with the OS </w:t>
      </w:r>
      <w:r w:rsidRPr="00B74BA2">
        <w:t xml:space="preserve">based on the entire </w:t>
      </w:r>
      <w:proofErr w:type="spellStart"/>
      <w:r w:rsidRPr="00B74BA2">
        <w:t>Kuruvilla</w:t>
      </w:r>
      <w:proofErr w:type="spellEnd"/>
      <w:r w:rsidRPr="00B74BA2">
        <w:t xml:space="preserve"> 2008 cohort,</w:t>
      </w:r>
      <w:r w:rsidR="004A7B4A" w:rsidRPr="00B74BA2">
        <w:t xml:space="preserve"> rather than a subgroup.</w:t>
      </w:r>
      <w:r w:rsidRPr="00B74BA2">
        <w:t xml:space="preserve"> </w:t>
      </w:r>
      <w:r w:rsidR="004A7B4A" w:rsidRPr="00B74BA2">
        <w:t>This</w:t>
      </w:r>
      <w:r w:rsidRPr="00B74BA2">
        <w:t xml:space="preserve"> increased the ICER to </w:t>
      </w:r>
      <w:r w:rsidR="00861FDB">
        <w:t xml:space="preserve">$45,000/QALY - $75,000/QALY </w:t>
      </w:r>
      <w:r w:rsidRPr="00B74BA2">
        <w:t xml:space="preserve">(21% from the base case). Based on the patient characteristics and treatments compared to KN170, </w:t>
      </w:r>
      <w:r w:rsidR="002C1871" w:rsidRPr="00B74BA2">
        <w:t>the evaluation and the ESC considered</w:t>
      </w:r>
      <w:r w:rsidRPr="00B74BA2">
        <w:t xml:space="preserve"> that the entire </w:t>
      </w:r>
      <w:proofErr w:type="spellStart"/>
      <w:r w:rsidRPr="00B74BA2">
        <w:t>Kuruvilla</w:t>
      </w:r>
      <w:proofErr w:type="spellEnd"/>
      <w:r w:rsidRPr="00B74BA2">
        <w:t xml:space="preserve"> 2008 cohort would have formed a more suitable base case. </w:t>
      </w:r>
    </w:p>
    <w:p w:rsidR="005D4DB8" w:rsidRPr="00B74BA2" w:rsidRDefault="005D4DB8" w:rsidP="00F2263C">
      <w:pPr>
        <w:pStyle w:val="ListParagraph"/>
        <w:widowControl/>
        <w:numPr>
          <w:ilvl w:val="1"/>
          <w:numId w:val="1"/>
        </w:numPr>
      </w:pPr>
      <w:r w:rsidRPr="00B74BA2">
        <w:t xml:space="preserve">Selected univariate </w:t>
      </w:r>
      <w:r w:rsidR="00B40FD0" w:rsidRPr="00B74BA2">
        <w:t xml:space="preserve">sensitivity </w:t>
      </w:r>
      <w:r w:rsidRPr="00B74BA2">
        <w:t>analys</w:t>
      </w:r>
      <w:r w:rsidR="00B40FD0" w:rsidRPr="00B74BA2">
        <w:t>e</w:t>
      </w:r>
      <w:r w:rsidRPr="00B74BA2">
        <w:t xml:space="preserve">s are presented in </w:t>
      </w:r>
      <w:r w:rsidR="00FB74FE" w:rsidRPr="00B74BA2">
        <w:t xml:space="preserve">the </w:t>
      </w:r>
      <w:r w:rsidR="001E41FB" w:rsidRPr="00B74BA2">
        <w:t>table below</w:t>
      </w:r>
      <w:r w:rsidRPr="00B74BA2">
        <w:t xml:space="preserve">. The model results were most sensitive to use of the entire </w:t>
      </w:r>
      <w:proofErr w:type="spellStart"/>
      <w:r w:rsidRPr="00B74BA2">
        <w:t>Kuruvilla</w:t>
      </w:r>
      <w:proofErr w:type="spellEnd"/>
      <w:r w:rsidRPr="00B74BA2">
        <w:t xml:space="preserve"> 2008 population, </w:t>
      </w:r>
      <w:r w:rsidR="00E2722F" w:rsidRPr="00B74BA2">
        <w:t xml:space="preserve">choice of extrapolation function, </w:t>
      </w:r>
      <w:r w:rsidRPr="00B74BA2">
        <w:t>the time horizon</w:t>
      </w:r>
      <w:r w:rsidR="006E0758" w:rsidRPr="00B74BA2">
        <w:t xml:space="preserve"> and</w:t>
      </w:r>
      <w:r w:rsidRPr="00B74BA2">
        <w:t xml:space="preserve"> the utility values. </w:t>
      </w:r>
    </w:p>
    <w:p w:rsidR="001E41FB" w:rsidRPr="00B74BA2" w:rsidRDefault="001E41FB" w:rsidP="0091423A">
      <w:pPr>
        <w:keepNext/>
        <w:keepLines/>
        <w:widowControl/>
      </w:pPr>
      <w:r w:rsidRPr="00B74BA2">
        <w:rPr>
          <w:rStyle w:val="CommentReference"/>
        </w:rPr>
        <w:t>Table 1</w:t>
      </w:r>
      <w:r w:rsidR="0084031E" w:rsidRPr="00B74BA2">
        <w:rPr>
          <w:rStyle w:val="CommentReference"/>
        </w:rPr>
        <w:t>4</w:t>
      </w:r>
      <w:r w:rsidRPr="00B74BA2">
        <w:rPr>
          <w:rStyle w:val="CommentReference"/>
        </w:rPr>
        <w:t>: Results of sensitivity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5135"/>
        <w:gridCol w:w="1273"/>
        <w:gridCol w:w="1135"/>
        <w:gridCol w:w="1540"/>
      </w:tblGrid>
      <w:tr w:rsidR="001E41FB" w:rsidRPr="00B74BA2" w:rsidTr="00DD0D89">
        <w:trPr>
          <w:tblHeader/>
        </w:trPr>
        <w:tc>
          <w:tcPr>
            <w:tcW w:w="2826" w:type="pct"/>
            <w:vAlign w:val="center"/>
          </w:tcPr>
          <w:p w:rsidR="001E41FB" w:rsidRPr="00B74BA2" w:rsidRDefault="001E41FB" w:rsidP="0091423A">
            <w:pPr>
              <w:pStyle w:val="Tabletext"/>
              <w:keepNext/>
              <w:keepLines/>
              <w:rPr>
                <w:b/>
                <w:szCs w:val="20"/>
              </w:rPr>
            </w:pPr>
          </w:p>
        </w:tc>
        <w:tc>
          <w:tcPr>
            <w:tcW w:w="701" w:type="pct"/>
          </w:tcPr>
          <w:p w:rsidR="001E41FB" w:rsidRPr="00B74BA2" w:rsidRDefault="008B285F" w:rsidP="0091423A">
            <w:pPr>
              <w:pStyle w:val="Tabletext"/>
              <w:keepNext/>
              <w:keepLines/>
              <w:jc w:val="center"/>
              <w:rPr>
                <w:b/>
                <w:szCs w:val="20"/>
              </w:rPr>
            </w:pPr>
            <w:r w:rsidRPr="00B74BA2">
              <w:rPr>
                <w:b/>
                <w:szCs w:val="20"/>
              </w:rPr>
              <w:t xml:space="preserve">∆ </w:t>
            </w:r>
            <w:r w:rsidR="001E41FB" w:rsidRPr="00B74BA2">
              <w:rPr>
                <w:b/>
                <w:szCs w:val="20"/>
              </w:rPr>
              <w:t xml:space="preserve">costs </w:t>
            </w:r>
          </w:p>
        </w:tc>
        <w:tc>
          <w:tcPr>
            <w:tcW w:w="625" w:type="pct"/>
          </w:tcPr>
          <w:p w:rsidR="001E41FB" w:rsidRPr="00B74BA2" w:rsidRDefault="008B285F" w:rsidP="0091423A">
            <w:pPr>
              <w:pStyle w:val="Tabletext"/>
              <w:keepNext/>
              <w:keepLines/>
              <w:jc w:val="center"/>
              <w:rPr>
                <w:b/>
                <w:szCs w:val="20"/>
              </w:rPr>
            </w:pPr>
            <w:r w:rsidRPr="00B74BA2">
              <w:rPr>
                <w:b/>
                <w:szCs w:val="20"/>
              </w:rPr>
              <w:t xml:space="preserve">∆ </w:t>
            </w:r>
            <w:r w:rsidR="001E41FB" w:rsidRPr="00B74BA2">
              <w:rPr>
                <w:b/>
                <w:szCs w:val="20"/>
              </w:rPr>
              <w:t>QALYs</w:t>
            </w:r>
          </w:p>
        </w:tc>
        <w:tc>
          <w:tcPr>
            <w:tcW w:w="848" w:type="pct"/>
          </w:tcPr>
          <w:p w:rsidR="001E41FB" w:rsidRPr="00B74BA2" w:rsidRDefault="001E41FB" w:rsidP="0091423A">
            <w:pPr>
              <w:pStyle w:val="Tabletext"/>
              <w:keepNext/>
              <w:keepLines/>
              <w:jc w:val="center"/>
              <w:rPr>
                <w:b/>
                <w:szCs w:val="20"/>
              </w:rPr>
            </w:pPr>
            <w:r w:rsidRPr="00B74BA2">
              <w:rPr>
                <w:b/>
                <w:szCs w:val="20"/>
              </w:rPr>
              <w:t>ICER per QALY</w:t>
            </w:r>
          </w:p>
        </w:tc>
      </w:tr>
      <w:tr w:rsidR="001E41FB" w:rsidRPr="00B74BA2" w:rsidTr="00DD0D89">
        <w:tc>
          <w:tcPr>
            <w:tcW w:w="2826" w:type="pct"/>
            <w:vAlign w:val="center"/>
          </w:tcPr>
          <w:p w:rsidR="001E41FB" w:rsidRPr="00B74BA2" w:rsidRDefault="001E41FB" w:rsidP="0091423A">
            <w:pPr>
              <w:pStyle w:val="Tabletext"/>
              <w:keepNext/>
              <w:keepLines/>
              <w:rPr>
                <w:b/>
                <w:szCs w:val="20"/>
              </w:rPr>
            </w:pPr>
            <w:r w:rsidRPr="00B74BA2">
              <w:rPr>
                <w:b/>
                <w:szCs w:val="20"/>
              </w:rPr>
              <w:t>Base case</w:t>
            </w:r>
          </w:p>
        </w:tc>
        <w:tc>
          <w:tcPr>
            <w:tcW w:w="701" w:type="pct"/>
            <w:vAlign w:val="center"/>
          </w:tcPr>
          <w:p w:rsidR="001E41FB" w:rsidRPr="00B74BA2" w:rsidRDefault="001E41FB" w:rsidP="0091423A">
            <w:pPr>
              <w:pStyle w:val="Tabletext"/>
              <w:keepNext/>
              <w:keepLines/>
              <w:jc w:val="center"/>
              <w:rPr>
                <w:b/>
                <w:szCs w:val="20"/>
              </w:rPr>
            </w:pPr>
            <w:r w:rsidRPr="00B74BA2">
              <w:rPr>
                <w:b/>
                <w:szCs w:val="20"/>
              </w:rPr>
              <w:t>$</w:t>
            </w:r>
            <w:r w:rsidR="00132A6D">
              <w:rPr>
                <w:b/>
                <w:noProof/>
                <w:color w:val="000000"/>
                <w:szCs w:val="20"/>
                <w:highlight w:val="black"/>
              </w:rPr>
              <w:t>'''''''''''''''</w:t>
            </w:r>
          </w:p>
        </w:tc>
        <w:tc>
          <w:tcPr>
            <w:tcW w:w="625" w:type="pct"/>
            <w:vAlign w:val="center"/>
          </w:tcPr>
          <w:p w:rsidR="001E41FB" w:rsidRPr="00B74BA2" w:rsidRDefault="001E41FB" w:rsidP="0091423A">
            <w:pPr>
              <w:pStyle w:val="Tabletext"/>
              <w:keepNext/>
              <w:keepLines/>
              <w:jc w:val="center"/>
              <w:rPr>
                <w:b/>
                <w:szCs w:val="20"/>
              </w:rPr>
            </w:pPr>
            <w:r w:rsidRPr="00B74BA2">
              <w:rPr>
                <w:b/>
                <w:szCs w:val="20"/>
              </w:rPr>
              <w:t>2.72</w:t>
            </w:r>
          </w:p>
        </w:tc>
        <w:tc>
          <w:tcPr>
            <w:tcW w:w="848" w:type="pct"/>
            <w:vAlign w:val="center"/>
          </w:tcPr>
          <w:p w:rsidR="001E41FB" w:rsidRPr="00B74BA2" w:rsidRDefault="001E41FB" w:rsidP="0091423A">
            <w:pPr>
              <w:pStyle w:val="Tabletext"/>
              <w:keepNext/>
              <w:keepLines/>
              <w:jc w:val="center"/>
              <w:rPr>
                <w:b/>
                <w:szCs w:val="20"/>
              </w:rPr>
            </w:pPr>
            <w:r w:rsidRPr="00B74BA2">
              <w:rPr>
                <w:b/>
                <w:szCs w:val="20"/>
              </w:rPr>
              <w:t>$</w:t>
            </w:r>
            <w:r w:rsidR="00132A6D">
              <w:rPr>
                <w:b/>
                <w:noProof/>
                <w:color w:val="000000"/>
                <w:szCs w:val="20"/>
                <w:highlight w:val="black"/>
              </w:rPr>
              <w:t>'''''''''''''</w:t>
            </w:r>
          </w:p>
        </w:tc>
      </w:tr>
      <w:tr w:rsidR="00DD0D89" w:rsidRPr="00B74BA2" w:rsidTr="00DD0D89">
        <w:tc>
          <w:tcPr>
            <w:tcW w:w="2826" w:type="pct"/>
            <w:vAlign w:val="center"/>
          </w:tcPr>
          <w:p w:rsidR="00DD0D89" w:rsidRPr="00B74BA2" w:rsidRDefault="00DD0D89" w:rsidP="0091423A">
            <w:pPr>
              <w:pStyle w:val="Tabletext"/>
              <w:keepNext/>
              <w:keepLines/>
              <w:rPr>
                <w:szCs w:val="20"/>
              </w:rPr>
            </w:pPr>
            <w:r w:rsidRPr="00B74BA2">
              <w:rPr>
                <w:szCs w:val="20"/>
              </w:rPr>
              <w:t xml:space="preserve">SOC OS (base case: </w:t>
            </w:r>
            <w:proofErr w:type="spellStart"/>
            <w:r w:rsidRPr="00B74BA2">
              <w:rPr>
                <w:szCs w:val="20"/>
              </w:rPr>
              <w:t>Kuruvilla</w:t>
            </w:r>
            <w:proofErr w:type="spellEnd"/>
            <w:r w:rsidRPr="00B74BA2">
              <w:rPr>
                <w:szCs w:val="20"/>
              </w:rPr>
              <w:t xml:space="preserve"> 2008 sub-group)</w:t>
            </w:r>
          </w:p>
          <w:p w:rsidR="00DD0D89" w:rsidRPr="00B74BA2" w:rsidRDefault="00DD0D89" w:rsidP="0091423A">
            <w:pPr>
              <w:pStyle w:val="Tabletext"/>
              <w:keepNext/>
              <w:keepLines/>
              <w:rPr>
                <w:szCs w:val="20"/>
              </w:rPr>
            </w:pPr>
            <w:r w:rsidRPr="00B74BA2">
              <w:rPr>
                <w:szCs w:val="20"/>
              </w:rPr>
              <w:t xml:space="preserve">Total </w:t>
            </w:r>
            <w:proofErr w:type="spellStart"/>
            <w:r w:rsidRPr="00B74BA2">
              <w:rPr>
                <w:szCs w:val="20"/>
              </w:rPr>
              <w:t>Kuruvilla</w:t>
            </w:r>
            <w:proofErr w:type="spellEnd"/>
            <w:r w:rsidRPr="00B74BA2">
              <w:rPr>
                <w:szCs w:val="20"/>
              </w:rPr>
              <w:t xml:space="preserve"> 2008 population</w:t>
            </w:r>
          </w:p>
        </w:tc>
        <w:tc>
          <w:tcPr>
            <w:tcW w:w="701" w:type="pct"/>
          </w:tcPr>
          <w:p w:rsidR="00DD0D89" w:rsidRPr="00B74BA2" w:rsidRDefault="00DD0D89" w:rsidP="0091423A">
            <w:pPr>
              <w:pStyle w:val="Tabletext"/>
              <w:keepNext/>
              <w:keepLines/>
              <w:jc w:val="center"/>
              <w:rPr>
                <w:iCs/>
                <w:szCs w:val="20"/>
              </w:rPr>
            </w:pPr>
          </w:p>
          <w:p w:rsidR="00DD0D89" w:rsidRPr="00B74BA2" w:rsidRDefault="00DD0D89" w:rsidP="0091423A">
            <w:pPr>
              <w:pStyle w:val="Tabletext"/>
              <w:keepNext/>
              <w:keepLines/>
              <w:jc w:val="center"/>
              <w:rPr>
                <w:szCs w:val="20"/>
              </w:rPr>
            </w:pPr>
            <w:r w:rsidRPr="00B74BA2">
              <w:rPr>
                <w:iCs/>
                <w:szCs w:val="20"/>
              </w:rPr>
              <w:t>$</w:t>
            </w:r>
            <w:r w:rsidR="00132A6D">
              <w:rPr>
                <w:iCs/>
                <w:noProof/>
                <w:color w:val="000000"/>
                <w:szCs w:val="20"/>
                <w:highlight w:val="black"/>
              </w:rPr>
              <w:t>'''''''''''''''</w:t>
            </w:r>
          </w:p>
        </w:tc>
        <w:tc>
          <w:tcPr>
            <w:tcW w:w="625" w:type="pct"/>
          </w:tcPr>
          <w:p w:rsidR="00DD0D89" w:rsidRPr="00B74BA2" w:rsidRDefault="00DD0D89" w:rsidP="0091423A">
            <w:pPr>
              <w:pStyle w:val="Tabletext"/>
              <w:keepNext/>
              <w:keepLines/>
              <w:jc w:val="center"/>
              <w:rPr>
                <w:szCs w:val="20"/>
              </w:rPr>
            </w:pPr>
          </w:p>
          <w:p w:rsidR="00DD0D89" w:rsidRPr="00B74BA2" w:rsidRDefault="00DD0D89" w:rsidP="0091423A">
            <w:pPr>
              <w:pStyle w:val="Tabletext"/>
              <w:keepNext/>
              <w:keepLines/>
              <w:jc w:val="center"/>
              <w:rPr>
                <w:szCs w:val="20"/>
              </w:rPr>
            </w:pPr>
            <w:r w:rsidRPr="00B74BA2">
              <w:rPr>
                <w:szCs w:val="20"/>
              </w:rPr>
              <w:t>1.5952</w:t>
            </w:r>
          </w:p>
        </w:tc>
        <w:tc>
          <w:tcPr>
            <w:tcW w:w="848" w:type="pct"/>
          </w:tcPr>
          <w:p w:rsidR="00DD0D89" w:rsidRPr="00B74BA2" w:rsidRDefault="00DD0D89" w:rsidP="0091423A">
            <w:pPr>
              <w:pStyle w:val="Tabletext"/>
              <w:keepNext/>
              <w:keepLines/>
              <w:jc w:val="center"/>
              <w:rPr>
                <w:iCs/>
                <w:szCs w:val="20"/>
              </w:rPr>
            </w:pPr>
          </w:p>
          <w:p w:rsidR="00DD0D89" w:rsidRPr="00B74BA2" w:rsidRDefault="00DD0D89" w:rsidP="0091423A">
            <w:pPr>
              <w:pStyle w:val="Tabletext"/>
              <w:keepNext/>
              <w:keepLines/>
              <w:jc w:val="center"/>
              <w:rPr>
                <w:szCs w:val="20"/>
              </w:rPr>
            </w:pPr>
            <w:r w:rsidRPr="00B74BA2">
              <w:rPr>
                <w:iCs/>
                <w:szCs w:val="20"/>
              </w:rPr>
              <w:t>$</w:t>
            </w:r>
            <w:r w:rsidR="00132A6D">
              <w:rPr>
                <w:iCs/>
                <w:noProof/>
                <w:color w:val="000000"/>
                <w:szCs w:val="20"/>
                <w:highlight w:val="black"/>
              </w:rPr>
              <w:t>'''''''''''''''''</w:t>
            </w:r>
          </w:p>
        </w:tc>
      </w:tr>
      <w:tr w:rsidR="00DD0D89" w:rsidRPr="00B74BA2" w:rsidTr="00DD0D89">
        <w:tc>
          <w:tcPr>
            <w:tcW w:w="2826" w:type="pct"/>
            <w:vAlign w:val="center"/>
          </w:tcPr>
          <w:p w:rsidR="00DD0D89" w:rsidRPr="00B74BA2" w:rsidRDefault="00DD0D89" w:rsidP="0091423A">
            <w:pPr>
              <w:pStyle w:val="Tabletext"/>
              <w:keepNext/>
              <w:keepLines/>
              <w:rPr>
                <w:szCs w:val="20"/>
              </w:rPr>
            </w:pPr>
            <w:proofErr w:type="spellStart"/>
            <w:r w:rsidRPr="00B74BA2">
              <w:rPr>
                <w:szCs w:val="20"/>
              </w:rPr>
              <w:t>Parametic</w:t>
            </w:r>
            <w:proofErr w:type="spellEnd"/>
            <w:r w:rsidRPr="00B74BA2">
              <w:rPr>
                <w:szCs w:val="20"/>
              </w:rPr>
              <w:t xml:space="preserve"> survival function, PFS and OS (base case: log-log)</w:t>
            </w:r>
          </w:p>
          <w:p w:rsidR="00DD0D89" w:rsidRPr="00B74BA2" w:rsidRDefault="00DD0D89" w:rsidP="0091423A">
            <w:pPr>
              <w:pStyle w:val="Tabletext"/>
              <w:keepNext/>
              <w:keepLines/>
              <w:rPr>
                <w:szCs w:val="20"/>
              </w:rPr>
            </w:pPr>
            <w:r w:rsidRPr="00B74BA2">
              <w:rPr>
                <w:szCs w:val="20"/>
              </w:rPr>
              <w:t>Weibull</w:t>
            </w:r>
          </w:p>
          <w:p w:rsidR="00DD0D89" w:rsidRPr="00B74BA2" w:rsidRDefault="00DD0D89" w:rsidP="0091423A">
            <w:pPr>
              <w:pStyle w:val="Tabletext"/>
              <w:keepNext/>
              <w:keepLines/>
              <w:rPr>
                <w:szCs w:val="20"/>
              </w:rPr>
            </w:pPr>
            <w:r w:rsidRPr="00B74BA2">
              <w:rPr>
                <w:szCs w:val="20"/>
              </w:rPr>
              <w:t>Exponential</w:t>
            </w:r>
          </w:p>
        </w:tc>
        <w:tc>
          <w:tcPr>
            <w:tcW w:w="701" w:type="pct"/>
          </w:tcPr>
          <w:p w:rsidR="00DD0D89" w:rsidRPr="00B74BA2" w:rsidRDefault="00DD0D89" w:rsidP="0091423A">
            <w:pPr>
              <w:pStyle w:val="Tabletext"/>
              <w:keepNext/>
              <w:keepLines/>
              <w:jc w:val="center"/>
              <w:rPr>
                <w:iCs/>
                <w:szCs w:val="20"/>
              </w:rPr>
            </w:pPr>
          </w:p>
          <w:p w:rsidR="00DD0D89" w:rsidRPr="00B74BA2" w:rsidRDefault="00DD0D89" w:rsidP="0091423A">
            <w:pPr>
              <w:pStyle w:val="Tabletext"/>
              <w:keepNext/>
              <w:keepLines/>
              <w:jc w:val="center"/>
              <w:rPr>
                <w:iCs/>
                <w:szCs w:val="20"/>
              </w:rPr>
            </w:pPr>
            <w:r w:rsidRPr="00B74BA2">
              <w:rPr>
                <w:iCs/>
                <w:szCs w:val="20"/>
              </w:rPr>
              <w:t>$</w:t>
            </w:r>
            <w:r w:rsidR="00132A6D">
              <w:rPr>
                <w:iCs/>
                <w:noProof/>
                <w:color w:val="000000"/>
                <w:szCs w:val="20"/>
                <w:highlight w:val="black"/>
              </w:rPr>
              <w:t>'''''''''''''''''</w:t>
            </w:r>
          </w:p>
          <w:p w:rsidR="00DD0D89" w:rsidRPr="00B74BA2" w:rsidRDefault="00DD0D89" w:rsidP="0091423A">
            <w:pPr>
              <w:pStyle w:val="Tabletext"/>
              <w:keepNext/>
              <w:keepLines/>
              <w:jc w:val="center"/>
              <w:rPr>
                <w:szCs w:val="20"/>
              </w:rPr>
            </w:pPr>
            <w:r w:rsidRPr="00B74BA2">
              <w:rPr>
                <w:iCs/>
                <w:szCs w:val="20"/>
              </w:rPr>
              <w:t>$</w:t>
            </w:r>
            <w:r w:rsidR="00132A6D">
              <w:rPr>
                <w:iCs/>
                <w:noProof/>
                <w:color w:val="000000"/>
                <w:szCs w:val="20"/>
                <w:highlight w:val="black"/>
              </w:rPr>
              <w:t>'''''''''''''''''</w:t>
            </w:r>
          </w:p>
        </w:tc>
        <w:tc>
          <w:tcPr>
            <w:tcW w:w="625" w:type="pct"/>
          </w:tcPr>
          <w:p w:rsidR="00DD0D89" w:rsidRPr="00B74BA2" w:rsidRDefault="00DD0D89" w:rsidP="0091423A">
            <w:pPr>
              <w:pStyle w:val="Tabletext"/>
              <w:keepNext/>
              <w:keepLines/>
              <w:jc w:val="center"/>
              <w:rPr>
                <w:szCs w:val="20"/>
              </w:rPr>
            </w:pPr>
          </w:p>
          <w:p w:rsidR="00DD0D89" w:rsidRPr="00B74BA2" w:rsidRDefault="00DD0D89" w:rsidP="0091423A">
            <w:pPr>
              <w:pStyle w:val="Tabletext"/>
              <w:keepNext/>
              <w:keepLines/>
              <w:jc w:val="center"/>
              <w:rPr>
                <w:szCs w:val="20"/>
              </w:rPr>
            </w:pPr>
            <w:r w:rsidRPr="00B74BA2">
              <w:rPr>
                <w:szCs w:val="20"/>
              </w:rPr>
              <w:t>1.9608</w:t>
            </w:r>
          </w:p>
          <w:p w:rsidR="00DD0D89" w:rsidRPr="00B74BA2" w:rsidRDefault="00DD0D89" w:rsidP="0091423A">
            <w:pPr>
              <w:pStyle w:val="Tabletext"/>
              <w:keepNext/>
              <w:keepLines/>
              <w:jc w:val="center"/>
              <w:rPr>
                <w:szCs w:val="20"/>
              </w:rPr>
            </w:pPr>
            <w:r w:rsidRPr="00B74BA2">
              <w:rPr>
                <w:szCs w:val="20"/>
              </w:rPr>
              <w:t>1.0134</w:t>
            </w:r>
          </w:p>
        </w:tc>
        <w:tc>
          <w:tcPr>
            <w:tcW w:w="848" w:type="pct"/>
          </w:tcPr>
          <w:p w:rsidR="00DD0D89" w:rsidRPr="00B74BA2" w:rsidRDefault="00DD0D89" w:rsidP="0091423A">
            <w:pPr>
              <w:pStyle w:val="Tabletext"/>
              <w:keepNext/>
              <w:keepLines/>
              <w:jc w:val="center"/>
              <w:rPr>
                <w:iCs/>
                <w:szCs w:val="20"/>
              </w:rPr>
            </w:pPr>
          </w:p>
          <w:p w:rsidR="00DD0D89" w:rsidRPr="00B74BA2" w:rsidRDefault="00DD0D89" w:rsidP="0091423A">
            <w:pPr>
              <w:pStyle w:val="Tabletext"/>
              <w:keepNext/>
              <w:keepLines/>
              <w:jc w:val="center"/>
              <w:rPr>
                <w:iCs/>
                <w:szCs w:val="20"/>
              </w:rPr>
            </w:pPr>
            <w:r w:rsidRPr="00B74BA2">
              <w:rPr>
                <w:iCs/>
                <w:szCs w:val="20"/>
              </w:rPr>
              <w:t>$</w:t>
            </w:r>
            <w:r w:rsidR="00132A6D">
              <w:rPr>
                <w:iCs/>
                <w:noProof/>
                <w:color w:val="000000"/>
                <w:szCs w:val="20"/>
                <w:highlight w:val="black"/>
              </w:rPr>
              <w:t>'''''''''''''''''</w:t>
            </w:r>
          </w:p>
          <w:p w:rsidR="00DD0D89" w:rsidRPr="00B74BA2" w:rsidRDefault="00DD0D89" w:rsidP="0091423A">
            <w:pPr>
              <w:pStyle w:val="Tabletext"/>
              <w:keepNext/>
              <w:keepLines/>
              <w:jc w:val="center"/>
              <w:rPr>
                <w:szCs w:val="20"/>
              </w:rPr>
            </w:pPr>
            <w:r w:rsidRPr="00B74BA2">
              <w:rPr>
                <w:iCs/>
                <w:szCs w:val="20"/>
              </w:rPr>
              <w:t>$</w:t>
            </w:r>
            <w:r w:rsidR="00132A6D">
              <w:rPr>
                <w:iCs/>
                <w:noProof/>
                <w:color w:val="000000"/>
                <w:szCs w:val="20"/>
                <w:highlight w:val="black"/>
              </w:rPr>
              <w:t>''''''''''''''''</w:t>
            </w:r>
          </w:p>
        </w:tc>
      </w:tr>
      <w:tr w:rsidR="00DD0D89" w:rsidRPr="00B74BA2" w:rsidTr="00DD0D89">
        <w:tc>
          <w:tcPr>
            <w:tcW w:w="2826" w:type="pct"/>
            <w:vAlign w:val="center"/>
          </w:tcPr>
          <w:p w:rsidR="00DD0D89" w:rsidRPr="00B74BA2" w:rsidRDefault="00DD0D89" w:rsidP="0091423A">
            <w:pPr>
              <w:pStyle w:val="Tabletext"/>
              <w:keepNext/>
              <w:keepLines/>
            </w:pPr>
            <w:r w:rsidRPr="00B74BA2">
              <w:t>Point of extrapolation (base case: last available KM data point)</w:t>
            </w:r>
          </w:p>
          <w:p w:rsidR="00DD0D89" w:rsidRPr="00B74BA2" w:rsidRDefault="00DD0D89" w:rsidP="0091423A">
            <w:pPr>
              <w:pStyle w:val="Tabletext"/>
              <w:keepNext/>
              <w:keepLines/>
              <w:rPr>
                <w:szCs w:val="20"/>
              </w:rPr>
            </w:pPr>
            <w:r w:rsidRPr="00B74BA2">
              <w:t>Median follow-up (9 months pembrolizumab, 24 months SOC)</w:t>
            </w:r>
          </w:p>
        </w:tc>
        <w:tc>
          <w:tcPr>
            <w:tcW w:w="701" w:type="pct"/>
          </w:tcPr>
          <w:p w:rsidR="00DD0D89" w:rsidRPr="00B74BA2" w:rsidRDefault="00DD0D89" w:rsidP="0091423A">
            <w:pPr>
              <w:pStyle w:val="Tabletext"/>
              <w:keepNext/>
              <w:keepLines/>
              <w:jc w:val="center"/>
              <w:rPr>
                <w:iCs/>
                <w:szCs w:val="20"/>
              </w:rPr>
            </w:pPr>
          </w:p>
          <w:p w:rsidR="00DD0D89" w:rsidRPr="00B74BA2" w:rsidRDefault="00DD0D89" w:rsidP="0091423A">
            <w:pPr>
              <w:pStyle w:val="Tabletext"/>
              <w:keepNext/>
              <w:keepLines/>
              <w:jc w:val="center"/>
              <w:rPr>
                <w:szCs w:val="20"/>
              </w:rPr>
            </w:pPr>
            <w:r w:rsidRPr="00B74BA2">
              <w:rPr>
                <w:iCs/>
                <w:szCs w:val="20"/>
              </w:rPr>
              <w:t>$</w:t>
            </w:r>
            <w:r w:rsidR="00132A6D">
              <w:rPr>
                <w:iCs/>
                <w:noProof/>
                <w:color w:val="000000"/>
                <w:szCs w:val="20"/>
                <w:highlight w:val="black"/>
              </w:rPr>
              <w:t>''''''''''''''''</w:t>
            </w:r>
          </w:p>
        </w:tc>
        <w:tc>
          <w:tcPr>
            <w:tcW w:w="625" w:type="pct"/>
          </w:tcPr>
          <w:p w:rsidR="00DD0D89" w:rsidRPr="00B74BA2" w:rsidRDefault="00DD0D89" w:rsidP="0091423A">
            <w:pPr>
              <w:pStyle w:val="Tabletext"/>
              <w:keepNext/>
              <w:keepLines/>
              <w:jc w:val="center"/>
              <w:rPr>
                <w:iCs/>
                <w:szCs w:val="20"/>
              </w:rPr>
            </w:pPr>
          </w:p>
          <w:p w:rsidR="00DD0D89" w:rsidRPr="00B74BA2" w:rsidRDefault="00DD0D89" w:rsidP="0091423A">
            <w:pPr>
              <w:pStyle w:val="Tabletext"/>
              <w:keepNext/>
              <w:keepLines/>
              <w:jc w:val="center"/>
              <w:rPr>
                <w:szCs w:val="20"/>
              </w:rPr>
            </w:pPr>
            <w:r w:rsidRPr="00B74BA2">
              <w:rPr>
                <w:iCs/>
                <w:szCs w:val="20"/>
              </w:rPr>
              <w:t>2.0772</w:t>
            </w:r>
          </w:p>
        </w:tc>
        <w:tc>
          <w:tcPr>
            <w:tcW w:w="848" w:type="pct"/>
          </w:tcPr>
          <w:p w:rsidR="00DD0D89" w:rsidRPr="00B74BA2" w:rsidRDefault="00DD0D89" w:rsidP="0091423A">
            <w:pPr>
              <w:pStyle w:val="Tabletext"/>
              <w:keepNext/>
              <w:keepLines/>
              <w:jc w:val="center"/>
              <w:rPr>
                <w:iCs/>
                <w:szCs w:val="20"/>
              </w:rPr>
            </w:pPr>
          </w:p>
          <w:p w:rsidR="00DD0D89" w:rsidRPr="00B74BA2" w:rsidRDefault="00DD0D89" w:rsidP="0091423A">
            <w:pPr>
              <w:pStyle w:val="Tabletext"/>
              <w:keepNext/>
              <w:keepLines/>
              <w:jc w:val="center"/>
              <w:rPr>
                <w:szCs w:val="20"/>
              </w:rPr>
            </w:pPr>
            <w:r w:rsidRPr="00B74BA2">
              <w:rPr>
                <w:iCs/>
                <w:szCs w:val="20"/>
              </w:rPr>
              <w:t>$</w:t>
            </w:r>
            <w:r w:rsidR="00132A6D">
              <w:rPr>
                <w:iCs/>
                <w:noProof/>
                <w:color w:val="000000"/>
                <w:szCs w:val="20"/>
                <w:highlight w:val="black"/>
              </w:rPr>
              <w:t>'''''''''''''''''</w:t>
            </w:r>
          </w:p>
        </w:tc>
      </w:tr>
      <w:tr w:rsidR="00DD0D89" w:rsidRPr="00B74BA2" w:rsidTr="00DD0D89">
        <w:tc>
          <w:tcPr>
            <w:tcW w:w="2826" w:type="pct"/>
            <w:vAlign w:val="center"/>
          </w:tcPr>
          <w:p w:rsidR="00DD0D89" w:rsidRPr="00B74BA2" w:rsidRDefault="00DD0D89" w:rsidP="0091423A">
            <w:pPr>
              <w:pStyle w:val="Tabletext"/>
              <w:keepNext/>
              <w:keepLines/>
              <w:rPr>
                <w:szCs w:val="20"/>
              </w:rPr>
            </w:pPr>
            <w:r w:rsidRPr="00B74BA2">
              <w:rPr>
                <w:szCs w:val="20"/>
              </w:rPr>
              <w:t>Time horizon (base case: 10 years)</w:t>
            </w:r>
          </w:p>
          <w:p w:rsidR="00DD0D89" w:rsidRPr="00B74BA2" w:rsidRDefault="00DD0D89" w:rsidP="0091423A">
            <w:pPr>
              <w:pStyle w:val="Tabletext"/>
              <w:keepNext/>
              <w:keepLines/>
              <w:rPr>
                <w:szCs w:val="20"/>
              </w:rPr>
            </w:pPr>
            <w:r w:rsidRPr="00B74BA2">
              <w:rPr>
                <w:szCs w:val="20"/>
              </w:rPr>
              <w:t>5 years</w:t>
            </w:r>
          </w:p>
          <w:p w:rsidR="00DD0D89" w:rsidRPr="00B74BA2" w:rsidRDefault="00DD0D89" w:rsidP="0091423A">
            <w:pPr>
              <w:pStyle w:val="Tabletext"/>
              <w:keepNext/>
              <w:keepLines/>
              <w:rPr>
                <w:szCs w:val="20"/>
              </w:rPr>
            </w:pPr>
            <w:r w:rsidRPr="00B74BA2">
              <w:rPr>
                <w:szCs w:val="20"/>
              </w:rPr>
              <w:t>7.5 years</w:t>
            </w:r>
          </w:p>
        </w:tc>
        <w:tc>
          <w:tcPr>
            <w:tcW w:w="701" w:type="pct"/>
          </w:tcPr>
          <w:p w:rsidR="00DD0D89" w:rsidRPr="00B74BA2" w:rsidRDefault="00DD0D89" w:rsidP="0091423A">
            <w:pPr>
              <w:pStyle w:val="Tabletext"/>
              <w:keepNext/>
              <w:keepLines/>
              <w:jc w:val="center"/>
              <w:rPr>
                <w:iCs/>
                <w:szCs w:val="20"/>
              </w:rPr>
            </w:pPr>
          </w:p>
          <w:p w:rsidR="00DD0D89" w:rsidRPr="00B74BA2" w:rsidRDefault="00DD0D89" w:rsidP="0091423A">
            <w:pPr>
              <w:pStyle w:val="Tabletext"/>
              <w:keepNext/>
              <w:keepLines/>
              <w:jc w:val="center"/>
              <w:rPr>
                <w:iCs/>
                <w:szCs w:val="20"/>
              </w:rPr>
            </w:pPr>
            <w:r w:rsidRPr="00B74BA2">
              <w:rPr>
                <w:iCs/>
                <w:szCs w:val="20"/>
              </w:rPr>
              <w:t>$</w:t>
            </w:r>
            <w:r w:rsidR="00132A6D">
              <w:rPr>
                <w:iCs/>
                <w:noProof/>
                <w:color w:val="000000"/>
                <w:szCs w:val="20"/>
                <w:highlight w:val="black"/>
              </w:rPr>
              <w:t>'''''''''''''''''</w:t>
            </w:r>
          </w:p>
          <w:p w:rsidR="00DD0D89" w:rsidRPr="00B74BA2" w:rsidRDefault="00DD0D89" w:rsidP="0091423A">
            <w:pPr>
              <w:pStyle w:val="Tabletext"/>
              <w:keepNext/>
              <w:keepLines/>
              <w:jc w:val="center"/>
              <w:rPr>
                <w:szCs w:val="20"/>
              </w:rPr>
            </w:pPr>
            <w:r w:rsidRPr="00B74BA2">
              <w:rPr>
                <w:szCs w:val="20"/>
              </w:rPr>
              <w:t>$</w:t>
            </w:r>
            <w:r w:rsidR="00132A6D">
              <w:rPr>
                <w:noProof/>
                <w:color w:val="000000"/>
                <w:szCs w:val="20"/>
                <w:highlight w:val="black"/>
              </w:rPr>
              <w:t>'''''''''''''''</w:t>
            </w:r>
          </w:p>
        </w:tc>
        <w:tc>
          <w:tcPr>
            <w:tcW w:w="625" w:type="pct"/>
          </w:tcPr>
          <w:p w:rsidR="00DD0D89" w:rsidRPr="00B74BA2" w:rsidRDefault="00DD0D89" w:rsidP="0091423A">
            <w:pPr>
              <w:pStyle w:val="Tabletext"/>
              <w:keepNext/>
              <w:keepLines/>
              <w:jc w:val="center"/>
              <w:rPr>
                <w:szCs w:val="20"/>
              </w:rPr>
            </w:pPr>
          </w:p>
          <w:p w:rsidR="00DD0D89" w:rsidRPr="00B74BA2" w:rsidRDefault="00DD0D89" w:rsidP="0091423A">
            <w:pPr>
              <w:pStyle w:val="Tabletext"/>
              <w:keepNext/>
              <w:keepLines/>
              <w:jc w:val="center"/>
              <w:rPr>
                <w:szCs w:val="20"/>
              </w:rPr>
            </w:pPr>
            <w:r w:rsidRPr="00B74BA2">
              <w:rPr>
                <w:szCs w:val="20"/>
              </w:rPr>
              <w:t>1.1370</w:t>
            </w:r>
          </w:p>
          <w:p w:rsidR="00DD0D89" w:rsidRPr="00B74BA2" w:rsidRDefault="00DD0D89" w:rsidP="0091423A">
            <w:pPr>
              <w:pStyle w:val="Tabletext"/>
              <w:keepNext/>
              <w:keepLines/>
              <w:jc w:val="center"/>
              <w:rPr>
                <w:szCs w:val="20"/>
              </w:rPr>
            </w:pPr>
            <w:r w:rsidRPr="00B74BA2">
              <w:rPr>
                <w:szCs w:val="20"/>
              </w:rPr>
              <w:t>1.6366</w:t>
            </w:r>
          </w:p>
        </w:tc>
        <w:tc>
          <w:tcPr>
            <w:tcW w:w="848" w:type="pct"/>
          </w:tcPr>
          <w:p w:rsidR="00DD0D89" w:rsidRPr="00B74BA2" w:rsidRDefault="00DD0D89" w:rsidP="0091423A">
            <w:pPr>
              <w:pStyle w:val="Tabletext"/>
              <w:keepNext/>
              <w:keepLines/>
              <w:jc w:val="center"/>
              <w:rPr>
                <w:iCs/>
                <w:szCs w:val="20"/>
              </w:rPr>
            </w:pPr>
          </w:p>
          <w:p w:rsidR="00DD0D89" w:rsidRPr="00B74BA2" w:rsidRDefault="00DD0D89" w:rsidP="0091423A">
            <w:pPr>
              <w:pStyle w:val="Tabletext"/>
              <w:keepNext/>
              <w:keepLines/>
              <w:jc w:val="center"/>
              <w:rPr>
                <w:iCs/>
                <w:szCs w:val="20"/>
              </w:rPr>
            </w:pPr>
            <w:r w:rsidRPr="00B74BA2">
              <w:rPr>
                <w:iCs/>
                <w:szCs w:val="20"/>
              </w:rPr>
              <w:t>$</w:t>
            </w:r>
            <w:r w:rsidR="00132A6D">
              <w:rPr>
                <w:iCs/>
                <w:noProof/>
                <w:color w:val="000000"/>
                <w:szCs w:val="20"/>
                <w:highlight w:val="black"/>
              </w:rPr>
              <w:t>''''''''''''''''</w:t>
            </w:r>
          </w:p>
          <w:p w:rsidR="00DD0D89" w:rsidRPr="00B74BA2" w:rsidRDefault="00DD0D89" w:rsidP="0091423A">
            <w:pPr>
              <w:pStyle w:val="Tabletext"/>
              <w:keepNext/>
              <w:keepLines/>
              <w:jc w:val="center"/>
              <w:rPr>
                <w:szCs w:val="20"/>
              </w:rPr>
            </w:pPr>
            <w:r w:rsidRPr="00B74BA2">
              <w:rPr>
                <w:szCs w:val="20"/>
              </w:rPr>
              <w:t>$</w:t>
            </w:r>
            <w:r w:rsidR="00132A6D">
              <w:rPr>
                <w:noProof/>
                <w:color w:val="000000"/>
                <w:szCs w:val="20"/>
                <w:highlight w:val="black"/>
              </w:rPr>
              <w:t>'''''''''''''''</w:t>
            </w:r>
          </w:p>
        </w:tc>
      </w:tr>
      <w:tr w:rsidR="00DD0D89" w:rsidRPr="00B74BA2" w:rsidTr="00DD0D89">
        <w:tc>
          <w:tcPr>
            <w:tcW w:w="2826" w:type="pct"/>
            <w:vAlign w:val="center"/>
          </w:tcPr>
          <w:p w:rsidR="00DD0D89" w:rsidRPr="00B74BA2" w:rsidRDefault="00DD0D89" w:rsidP="0091423A">
            <w:pPr>
              <w:pStyle w:val="Tabletext"/>
              <w:keepNext/>
              <w:keepLines/>
              <w:rPr>
                <w:szCs w:val="20"/>
              </w:rPr>
            </w:pPr>
            <w:r w:rsidRPr="00B74BA2">
              <w:rPr>
                <w:szCs w:val="20"/>
              </w:rPr>
              <w:t>Utility values (base case: EQ-5D from KN170; PFS = 0.80, PD = 0.62)</w:t>
            </w:r>
          </w:p>
          <w:p w:rsidR="00DD0D89" w:rsidRPr="00B74BA2" w:rsidRDefault="00DD0D89" w:rsidP="0091423A">
            <w:pPr>
              <w:pStyle w:val="Tabletext"/>
              <w:keepNext/>
              <w:keepLines/>
              <w:rPr>
                <w:szCs w:val="20"/>
              </w:rPr>
            </w:pPr>
            <w:proofErr w:type="spellStart"/>
            <w:r w:rsidRPr="00B74BA2">
              <w:rPr>
                <w:szCs w:val="20"/>
              </w:rPr>
              <w:t>Blommestein</w:t>
            </w:r>
            <w:proofErr w:type="spellEnd"/>
            <w:r w:rsidRPr="00B74BA2">
              <w:rPr>
                <w:szCs w:val="20"/>
              </w:rPr>
              <w:t xml:space="preserve"> (PFS = 0.88, PD = 0.78)</w:t>
            </w:r>
          </w:p>
        </w:tc>
        <w:tc>
          <w:tcPr>
            <w:tcW w:w="701" w:type="pct"/>
          </w:tcPr>
          <w:p w:rsidR="00DD0D89" w:rsidRPr="00B74BA2" w:rsidRDefault="00DD0D89" w:rsidP="0091423A">
            <w:pPr>
              <w:pStyle w:val="Tabletext"/>
              <w:keepNext/>
              <w:keepLines/>
              <w:jc w:val="center"/>
              <w:rPr>
                <w:szCs w:val="20"/>
              </w:rPr>
            </w:pPr>
            <w:r w:rsidRPr="00B74BA2">
              <w:rPr>
                <w:iCs/>
                <w:szCs w:val="20"/>
              </w:rPr>
              <w:t>$</w:t>
            </w:r>
            <w:r w:rsidR="00132A6D">
              <w:rPr>
                <w:iCs/>
                <w:noProof/>
                <w:color w:val="000000"/>
                <w:szCs w:val="20"/>
                <w:highlight w:val="black"/>
              </w:rPr>
              <w:t>''''''''''''''''''</w:t>
            </w:r>
          </w:p>
        </w:tc>
        <w:tc>
          <w:tcPr>
            <w:tcW w:w="625" w:type="pct"/>
          </w:tcPr>
          <w:p w:rsidR="00DD0D89" w:rsidRPr="00B74BA2" w:rsidRDefault="00DD0D89" w:rsidP="0091423A">
            <w:pPr>
              <w:pStyle w:val="Tabletext"/>
              <w:keepNext/>
              <w:keepLines/>
              <w:jc w:val="center"/>
              <w:rPr>
                <w:szCs w:val="20"/>
              </w:rPr>
            </w:pPr>
            <w:r w:rsidRPr="00B74BA2">
              <w:rPr>
                <w:szCs w:val="20"/>
              </w:rPr>
              <w:t>2.3268</w:t>
            </w:r>
          </w:p>
        </w:tc>
        <w:tc>
          <w:tcPr>
            <w:tcW w:w="848" w:type="pct"/>
          </w:tcPr>
          <w:p w:rsidR="00DD0D89" w:rsidRPr="00B74BA2" w:rsidRDefault="00DD0D89" w:rsidP="0091423A">
            <w:pPr>
              <w:pStyle w:val="Tabletext"/>
              <w:keepNext/>
              <w:keepLines/>
              <w:jc w:val="center"/>
              <w:rPr>
                <w:szCs w:val="20"/>
              </w:rPr>
            </w:pPr>
            <w:r w:rsidRPr="00B74BA2">
              <w:rPr>
                <w:iCs/>
                <w:szCs w:val="20"/>
              </w:rPr>
              <w:t>$</w:t>
            </w:r>
            <w:r w:rsidR="00132A6D">
              <w:rPr>
                <w:iCs/>
                <w:noProof/>
                <w:color w:val="000000"/>
                <w:szCs w:val="20"/>
                <w:highlight w:val="black"/>
              </w:rPr>
              <w:t>''''''''''''''''</w:t>
            </w:r>
          </w:p>
        </w:tc>
      </w:tr>
      <w:tr w:rsidR="00DD0D89" w:rsidRPr="00B74BA2" w:rsidTr="0054300B">
        <w:tc>
          <w:tcPr>
            <w:tcW w:w="5000" w:type="pct"/>
            <w:gridSpan w:val="4"/>
            <w:vAlign w:val="center"/>
          </w:tcPr>
          <w:p w:rsidR="00DD0D89" w:rsidRPr="00B74BA2" w:rsidRDefault="00DD0D89" w:rsidP="0091423A">
            <w:pPr>
              <w:pStyle w:val="Tabletext"/>
              <w:keepNext/>
              <w:keepLines/>
              <w:rPr>
                <w:b/>
                <w:szCs w:val="20"/>
              </w:rPr>
            </w:pPr>
            <w:r w:rsidRPr="00B74BA2">
              <w:rPr>
                <w:b/>
                <w:szCs w:val="20"/>
              </w:rPr>
              <w:t>Multivariate sensitivity analyses presented in PSCR</w:t>
            </w:r>
          </w:p>
        </w:tc>
      </w:tr>
      <w:tr w:rsidR="00DD0D89" w:rsidRPr="00B74BA2" w:rsidTr="00DD0D89">
        <w:tc>
          <w:tcPr>
            <w:tcW w:w="2826" w:type="pct"/>
            <w:vAlign w:val="center"/>
          </w:tcPr>
          <w:p w:rsidR="00DD0D89" w:rsidRPr="00B74BA2" w:rsidRDefault="00DD0D89" w:rsidP="0091423A">
            <w:pPr>
              <w:pStyle w:val="Tabletext"/>
              <w:keepNext/>
              <w:keepLines/>
              <w:rPr>
                <w:szCs w:val="20"/>
              </w:rPr>
            </w:pPr>
            <w:r w:rsidRPr="00B74BA2">
              <w:rPr>
                <w:szCs w:val="20"/>
              </w:rPr>
              <w:t xml:space="preserve">Time horizon 7.5 years, </w:t>
            </w:r>
            <w:proofErr w:type="spellStart"/>
            <w:r w:rsidRPr="00B74BA2">
              <w:rPr>
                <w:szCs w:val="20"/>
              </w:rPr>
              <w:t>Kuruvilla</w:t>
            </w:r>
            <w:proofErr w:type="spellEnd"/>
            <w:r w:rsidRPr="00B74BA2">
              <w:rPr>
                <w:szCs w:val="20"/>
              </w:rPr>
              <w:t xml:space="preserve"> 2008 total population</w:t>
            </w:r>
          </w:p>
        </w:tc>
        <w:tc>
          <w:tcPr>
            <w:tcW w:w="701" w:type="pct"/>
            <w:vAlign w:val="bottom"/>
          </w:tcPr>
          <w:p w:rsidR="00DD0D89" w:rsidRPr="00B74BA2" w:rsidRDefault="00DD0D89" w:rsidP="0091423A">
            <w:pPr>
              <w:pStyle w:val="Tabletext"/>
              <w:keepNext/>
              <w:keepLines/>
              <w:jc w:val="center"/>
              <w:rPr>
                <w:szCs w:val="20"/>
              </w:rPr>
            </w:pPr>
            <w:r w:rsidRPr="00B74BA2">
              <w:rPr>
                <w:iCs/>
                <w:szCs w:val="20"/>
              </w:rPr>
              <w:t>$</w:t>
            </w:r>
            <w:r w:rsidR="00132A6D">
              <w:rPr>
                <w:iCs/>
                <w:noProof/>
                <w:color w:val="000000"/>
                <w:szCs w:val="20"/>
                <w:highlight w:val="black"/>
              </w:rPr>
              <w:t>''''''''''''''''''</w:t>
            </w:r>
          </w:p>
        </w:tc>
        <w:tc>
          <w:tcPr>
            <w:tcW w:w="625" w:type="pct"/>
            <w:vAlign w:val="bottom"/>
          </w:tcPr>
          <w:p w:rsidR="00DD0D89" w:rsidRPr="00B74BA2" w:rsidRDefault="00DD0D89" w:rsidP="0091423A">
            <w:pPr>
              <w:pStyle w:val="Tabletext"/>
              <w:keepNext/>
              <w:keepLines/>
              <w:jc w:val="center"/>
              <w:rPr>
                <w:szCs w:val="20"/>
              </w:rPr>
            </w:pPr>
            <w:r w:rsidRPr="00B74BA2">
              <w:rPr>
                <w:iCs/>
                <w:szCs w:val="20"/>
              </w:rPr>
              <w:t>1.2684</w:t>
            </w:r>
          </w:p>
        </w:tc>
        <w:tc>
          <w:tcPr>
            <w:tcW w:w="848" w:type="pct"/>
            <w:vAlign w:val="bottom"/>
          </w:tcPr>
          <w:p w:rsidR="00DD0D89" w:rsidRPr="00B74BA2" w:rsidRDefault="00DD0D89" w:rsidP="0091423A">
            <w:pPr>
              <w:pStyle w:val="Tabletext"/>
              <w:keepNext/>
              <w:keepLines/>
              <w:jc w:val="center"/>
              <w:rPr>
                <w:szCs w:val="20"/>
              </w:rPr>
            </w:pPr>
            <w:r w:rsidRPr="00B74BA2">
              <w:rPr>
                <w:iCs/>
                <w:szCs w:val="20"/>
              </w:rPr>
              <w:t>$</w:t>
            </w:r>
            <w:r w:rsidR="00132A6D">
              <w:rPr>
                <w:iCs/>
                <w:noProof/>
                <w:color w:val="000000"/>
                <w:szCs w:val="20"/>
                <w:highlight w:val="black"/>
              </w:rPr>
              <w:t>'''''''''''''''</w:t>
            </w:r>
          </w:p>
        </w:tc>
      </w:tr>
    </w:tbl>
    <w:p w:rsidR="00B52E8E" w:rsidRPr="00B74BA2" w:rsidRDefault="005D4DB8" w:rsidP="0091423A">
      <w:pPr>
        <w:pStyle w:val="TableFooter"/>
        <w:keepNext/>
        <w:keepLines/>
        <w:widowControl/>
        <w:rPr>
          <w:szCs w:val="18"/>
        </w:rPr>
      </w:pPr>
      <w:bookmarkStart w:id="14" w:name="_Hlk523403332"/>
      <w:r w:rsidRPr="00B74BA2">
        <w:rPr>
          <w:szCs w:val="18"/>
        </w:rPr>
        <w:t xml:space="preserve">Source: </w:t>
      </w:r>
      <w:r w:rsidR="00591C85" w:rsidRPr="00B74BA2">
        <w:rPr>
          <w:szCs w:val="18"/>
        </w:rPr>
        <w:t xml:space="preserve">Table 3.9-1, page 118 of the submission </w:t>
      </w:r>
      <w:r w:rsidR="00B52E8E" w:rsidRPr="00B74BA2">
        <w:rPr>
          <w:szCs w:val="18"/>
        </w:rPr>
        <w:t>with re-estimated results based on adjustments of utilisation in of AEs in pembrolizumab arm, updated price mark-up for pembrolizumab and updated DPMQ for SOC.</w:t>
      </w:r>
    </w:p>
    <w:p w:rsidR="00F05AA5" w:rsidRPr="00B74BA2" w:rsidRDefault="005D4DB8" w:rsidP="0091423A">
      <w:pPr>
        <w:pStyle w:val="ListParagraph"/>
        <w:widowControl/>
        <w:spacing w:after="0"/>
        <w:ind w:left="0"/>
        <w:rPr>
          <w:rFonts w:ascii="Arial Narrow" w:hAnsi="Arial Narrow"/>
          <w:sz w:val="18"/>
          <w:szCs w:val="18"/>
        </w:rPr>
      </w:pPr>
      <w:r w:rsidRPr="00B74BA2">
        <w:rPr>
          <w:rFonts w:ascii="Arial Narrow" w:hAnsi="Arial Narrow"/>
          <w:sz w:val="18"/>
          <w:szCs w:val="18"/>
        </w:rPr>
        <w:t>Abbreviations: ICER= incremental cost effectiveness ratio,</w:t>
      </w:r>
      <w:r w:rsidR="00B52E8E" w:rsidRPr="00B74BA2">
        <w:rPr>
          <w:rFonts w:ascii="Arial Narrow" w:hAnsi="Arial Narrow"/>
          <w:sz w:val="18"/>
          <w:szCs w:val="18"/>
        </w:rPr>
        <w:t xml:space="preserve"> </w:t>
      </w:r>
      <w:r w:rsidRPr="00B74BA2">
        <w:rPr>
          <w:rFonts w:ascii="Arial Narrow" w:hAnsi="Arial Narrow"/>
          <w:sz w:val="18"/>
          <w:szCs w:val="18"/>
        </w:rPr>
        <w:t xml:space="preserve">KM= </w:t>
      </w:r>
      <w:r w:rsidR="003C609E" w:rsidRPr="00B74BA2">
        <w:rPr>
          <w:rFonts w:ascii="Arial Narrow" w:hAnsi="Arial Narrow"/>
          <w:sz w:val="18"/>
          <w:szCs w:val="18"/>
        </w:rPr>
        <w:t>Kaplan-Meier</w:t>
      </w:r>
      <w:r w:rsidRPr="00B74BA2">
        <w:rPr>
          <w:rFonts w:ascii="Arial Narrow" w:hAnsi="Arial Narrow"/>
          <w:sz w:val="18"/>
          <w:szCs w:val="18"/>
        </w:rPr>
        <w:t>; Log-Log = log Logistic</w:t>
      </w:r>
      <w:r w:rsidR="00B52E8E" w:rsidRPr="00B74BA2">
        <w:rPr>
          <w:rFonts w:ascii="Arial Narrow" w:hAnsi="Arial Narrow"/>
          <w:sz w:val="18"/>
          <w:szCs w:val="18"/>
        </w:rPr>
        <w:t>;</w:t>
      </w:r>
      <w:r w:rsidRPr="00B74BA2">
        <w:rPr>
          <w:rFonts w:ascii="Arial Narrow" w:hAnsi="Arial Narrow"/>
          <w:sz w:val="18"/>
          <w:szCs w:val="18"/>
        </w:rPr>
        <w:t xml:space="preserve"> OS = overall survival; </w:t>
      </w:r>
      <w:r w:rsidR="006C0DEA" w:rsidRPr="00B74BA2">
        <w:rPr>
          <w:rFonts w:ascii="Arial Narrow" w:hAnsi="Arial Narrow"/>
          <w:sz w:val="18"/>
          <w:szCs w:val="18"/>
        </w:rPr>
        <w:t xml:space="preserve">QALY = quality adjusted life years; </w:t>
      </w:r>
      <w:r w:rsidRPr="00B74BA2">
        <w:rPr>
          <w:rFonts w:ascii="Arial Narrow" w:hAnsi="Arial Narrow"/>
          <w:sz w:val="18"/>
          <w:szCs w:val="18"/>
        </w:rPr>
        <w:t>SOC= standard of care.</w:t>
      </w:r>
      <w:bookmarkEnd w:id="14"/>
    </w:p>
    <w:p w:rsidR="00B52E8E" w:rsidRPr="00B74BA2" w:rsidRDefault="00B52E8E" w:rsidP="0091423A">
      <w:pPr>
        <w:pStyle w:val="ListParagraph"/>
        <w:widowControl/>
        <w:spacing w:after="0"/>
        <w:ind w:left="0"/>
        <w:rPr>
          <w:rFonts w:ascii="Arial Narrow" w:hAnsi="Arial Narrow"/>
          <w:sz w:val="16"/>
          <w:szCs w:val="16"/>
        </w:rPr>
      </w:pPr>
    </w:p>
    <w:p w:rsidR="00215837" w:rsidRPr="00B74BA2" w:rsidRDefault="006E0758" w:rsidP="00F2263C">
      <w:pPr>
        <w:pStyle w:val="ListParagraph"/>
        <w:widowControl/>
        <w:numPr>
          <w:ilvl w:val="1"/>
          <w:numId w:val="1"/>
        </w:numPr>
      </w:pPr>
      <w:r w:rsidRPr="00B74BA2">
        <w:lastRenderedPageBreak/>
        <w:t xml:space="preserve">The PSCR </w:t>
      </w:r>
      <w:r w:rsidR="009B151C" w:rsidRPr="00B74BA2">
        <w:t>included</w:t>
      </w:r>
      <w:r w:rsidRPr="00B74BA2">
        <w:t xml:space="preserve"> a multivariate sensitivity analysis in which the time horizon was reduced to 7.5 years and the total population of </w:t>
      </w:r>
      <w:proofErr w:type="spellStart"/>
      <w:r w:rsidRPr="00B74BA2">
        <w:t>Kuruvilla</w:t>
      </w:r>
      <w:proofErr w:type="spellEnd"/>
      <w:r w:rsidRPr="00B74BA2">
        <w:t xml:space="preserve"> 2008 was included. This resulted in an ICER of </w:t>
      </w:r>
      <w:r w:rsidR="00861FDB">
        <w:t>$45,000/QALY - $75,000/QALY</w:t>
      </w:r>
      <w:r w:rsidRPr="00B74BA2">
        <w:t xml:space="preserve">, which the PSCR stated was in a “cost-effective” range. </w:t>
      </w:r>
      <w:r w:rsidR="002768F0" w:rsidRPr="00B74BA2">
        <w:t>However, t</w:t>
      </w:r>
      <w:r w:rsidRPr="00B74BA2">
        <w:t xml:space="preserve">he ESC noted that this multivariate sensitivity analysis did not address the issues </w:t>
      </w:r>
      <w:r w:rsidR="00FE439C" w:rsidRPr="00B74BA2">
        <w:t>with</w:t>
      </w:r>
      <w:r w:rsidRPr="00B74BA2">
        <w:t xml:space="preserve"> the ongoing treatment effect, and that the comparator arm </w:t>
      </w:r>
      <w:r w:rsidR="002C1871" w:rsidRPr="00B74BA2">
        <w:t xml:space="preserve">of </w:t>
      </w:r>
      <w:proofErr w:type="spellStart"/>
      <w:r w:rsidR="002C1871" w:rsidRPr="00B74BA2">
        <w:t>Kuruvilla</w:t>
      </w:r>
      <w:proofErr w:type="spellEnd"/>
      <w:r w:rsidR="002C1871" w:rsidRPr="00B74BA2">
        <w:t xml:space="preserve"> 2008 </w:t>
      </w:r>
      <w:r w:rsidRPr="00B74BA2">
        <w:t>did not reflect current clinical practice. Overall, t</w:t>
      </w:r>
      <w:r w:rsidR="00215837" w:rsidRPr="00B74BA2">
        <w:t xml:space="preserve">he ESC </w:t>
      </w:r>
      <w:r w:rsidR="002D3BF0">
        <w:t xml:space="preserve">and the PBAC </w:t>
      </w:r>
      <w:r w:rsidR="00215837" w:rsidRPr="00B74BA2">
        <w:t xml:space="preserve">considered that </w:t>
      </w:r>
      <w:r w:rsidR="002768F0" w:rsidRPr="00B74BA2">
        <w:t xml:space="preserve">the true ICER is likely to be higher than estimated in the submission or the PSCR. </w:t>
      </w:r>
    </w:p>
    <w:p w:rsidR="00B40FD0" w:rsidRPr="00861FDB" w:rsidRDefault="005D4DB8" w:rsidP="0091423A">
      <w:pPr>
        <w:pStyle w:val="Heading2"/>
        <w:widowControl/>
      </w:pPr>
      <w:bookmarkStart w:id="15" w:name="_Toc524436892"/>
      <w:r w:rsidRPr="00861FDB">
        <w:t>Drug cost/patient/course: $</w:t>
      </w:r>
      <w:bookmarkEnd w:id="15"/>
      <w:r w:rsidR="00132A6D">
        <w:rPr>
          <w:noProof/>
          <w:color w:val="000000"/>
          <w:highlight w:val="black"/>
        </w:rPr>
        <w:t>''''''''''''''</w:t>
      </w:r>
    </w:p>
    <w:p w:rsidR="005D4DB8" w:rsidRPr="00B74BA2" w:rsidRDefault="00AD4672" w:rsidP="00F2263C">
      <w:pPr>
        <w:pStyle w:val="ListParagraph"/>
        <w:widowControl/>
        <w:numPr>
          <w:ilvl w:val="1"/>
          <w:numId w:val="1"/>
        </w:numPr>
        <w:rPr>
          <w:rFonts w:asciiTheme="minorHAnsi" w:hAnsiTheme="minorHAnsi"/>
          <w:szCs w:val="24"/>
        </w:rPr>
      </w:pPr>
      <w:r w:rsidRPr="00B74BA2">
        <w:t>The drug cost per patient per course of $</w:t>
      </w:r>
      <w:r w:rsidR="00132A6D">
        <w:rPr>
          <w:noProof/>
          <w:color w:val="000000"/>
          <w:highlight w:val="black"/>
        </w:rPr>
        <w:t>''''''''''''''</w:t>
      </w:r>
      <w:r w:rsidRPr="00B74BA2">
        <w:t xml:space="preserve"> assumed </w:t>
      </w:r>
      <w:r w:rsidR="005D4DB8" w:rsidRPr="00B74BA2">
        <w:rPr>
          <w:rFonts w:asciiTheme="minorHAnsi" w:hAnsiTheme="minorHAnsi"/>
          <w:szCs w:val="24"/>
        </w:rPr>
        <w:t xml:space="preserve">a fixed dose of 200 mg per person, </w:t>
      </w:r>
      <w:r w:rsidRPr="00B74BA2">
        <w:rPr>
          <w:rFonts w:asciiTheme="minorHAnsi" w:hAnsiTheme="minorHAnsi"/>
          <w:szCs w:val="24"/>
        </w:rPr>
        <w:t>a</w:t>
      </w:r>
      <w:r w:rsidR="005D4DB8" w:rsidRPr="00B74BA2">
        <w:rPr>
          <w:rFonts w:asciiTheme="minorHAnsi" w:hAnsiTheme="minorHAnsi"/>
          <w:szCs w:val="24"/>
        </w:rPr>
        <w:t xml:space="preserve"> DPMA of $</w:t>
      </w:r>
      <w:r w:rsidR="00132A6D">
        <w:rPr>
          <w:rFonts w:asciiTheme="minorHAnsi" w:hAnsiTheme="minorHAnsi"/>
          <w:noProof/>
          <w:color w:val="000000"/>
          <w:szCs w:val="24"/>
          <w:highlight w:val="black"/>
        </w:rPr>
        <w:t>''''''''''''''''</w:t>
      </w:r>
      <w:r w:rsidR="005D4DB8" w:rsidRPr="00B74BA2">
        <w:rPr>
          <w:rFonts w:asciiTheme="minorHAnsi" w:hAnsiTheme="minorHAnsi"/>
          <w:szCs w:val="24"/>
        </w:rPr>
        <w:t xml:space="preserve"> (2 X 100 mg vials)</w:t>
      </w:r>
      <w:r w:rsidRPr="00B74BA2">
        <w:rPr>
          <w:rFonts w:asciiTheme="minorHAnsi" w:hAnsiTheme="minorHAnsi"/>
          <w:szCs w:val="24"/>
        </w:rPr>
        <w:t xml:space="preserve">, with an </w:t>
      </w:r>
      <w:r w:rsidR="005D4DB8" w:rsidRPr="00B74BA2">
        <w:rPr>
          <w:rFonts w:asciiTheme="minorHAnsi" w:hAnsiTheme="minorHAnsi"/>
          <w:szCs w:val="24"/>
        </w:rPr>
        <w:t xml:space="preserve">average number of administrations </w:t>
      </w:r>
      <w:r w:rsidRPr="00B74BA2">
        <w:rPr>
          <w:rFonts w:asciiTheme="minorHAnsi" w:hAnsiTheme="minorHAnsi"/>
          <w:szCs w:val="24"/>
        </w:rPr>
        <w:t xml:space="preserve">of </w:t>
      </w:r>
      <w:r w:rsidR="005D4DB8" w:rsidRPr="00B74BA2">
        <w:rPr>
          <w:rFonts w:asciiTheme="minorHAnsi" w:hAnsiTheme="minorHAnsi"/>
          <w:szCs w:val="24"/>
        </w:rPr>
        <w:t xml:space="preserve">15.63 cycles per course of treatment </w:t>
      </w:r>
      <w:r w:rsidRPr="00B74BA2">
        <w:rPr>
          <w:rFonts w:asciiTheme="minorHAnsi" w:hAnsiTheme="minorHAnsi"/>
          <w:szCs w:val="24"/>
        </w:rPr>
        <w:t>(</w:t>
      </w:r>
      <w:r w:rsidR="005D4DB8" w:rsidRPr="00B74BA2">
        <w:rPr>
          <w:rFonts w:asciiTheme="minorHAnsi" w:hAnsiTheme="minorHAnsi"/>
          <w:szCs w:val="24"/>
        </w:rPr>
        <w:t>adapted from the economic evaluation</w:t>
      </w:r>
      <w:r w:rsidRPr="00B74BA2">
        <w:rPr>
          <w:rFonts w:asciiTheme="minorHAnsi" w:hAnsiTheme="minorHAnsi"/>
          <w:szCs w:val="24"/>
        </w:rPr>
        <w:t>)</w:t>
      </w:r>
      <w:r w:rsidR="005D4DB8" w:rsidRPr="00B74BA2">
        <w:rPr>
          <w:rFonts w:asciiTheme="minorHAnsi" w:hAnsiTheme="minorHAnsi"/>
          <w:szCs w:val="24"/>
        </w:rPr>
        <w:t xml:space="preserve">. </w:t>
      </w:r>
    </w:p>
    <w:p w:rsidR="005D4DB8" w:rsidRPr="00861FDB" w:rsidRDefault="005D4DB8" w:rsidP="0091423A">
      <w:pPr>
        <w:pStyle w:val="Heading2"/>
        <w:widowControl/>
      </w:pPr>
      <w:bookmarkStart w:id="16" w:name="_Toc524436893"/>
      <w:r w:rsidRPr="00861FDB">
        <w:t>Estimated PBS usage &amp; financial implications</w:t>
      </w:r>
      <w:bookmarkEnd w:id="16"/>
    </w:p>
    <w:p w:rsidR="00491343" w:rsidRDefault="005D4DB8" w:rsidP="00F2263C">
      <w:pPr>
        <w:pStyle w:val="ListParagraph"/>
        <w:widowControl/>
        <w:numPr>
          <w:ilvl w:val="1"/>
          <w:numId w:val="1"/>
        </w:numPr>
      </w:pPr>
      <w:r w:rsidRPr="00B74BA2">
        <w:t>This submission w</w:t>
      </w:r>
      <w:r w:rsidR="000A1EDB" w:rsidRPr="00B74BA2">
        <w:t>as</w:t>
      </w:r>
      <w:r w:rsidRPr="00B74BA2">
        <w:t xml:space="preserve"> not considered by DUSC. The submission presented an epidemiological approach to estimate the expected utilisation and financial impact of listing pembrolizumab for R/R PMBCL. </w:t>
      </w:r>
    </w:p>
    <w:p w:rsidR="00491343" w:rsidRPr="00B74BA2" w:rsidRDefault="00073E25" w:rsidP="00F2263C">
      <w:pPr>
        <w:pStyle w:val="ListParagraph"/>
        <w:numPr>
          <w:ilvl w:val="1"/>
          <w:numId w:val="1"/>
        </w:numPr>
      </w:pPr>
      <w:r w:rsidRPr="00B74BA2">
        <w:t>The</w:t>
      </w:r>
      <w:r w:rsidR="00491343">
        <w:t xml:space="preserve"> submission estimated that 12.3% of all PMBCL patients who start first-line rituximab-based chemotherapy would develop relapsed (after two prior lines) or refractory (after one prior line) disease. The evaluation noted this</w:t>
      </w:r>
      <w:r w:rsidR="00491343" w:rsidRPr="00491343">
        <w:t xml:space="preserve"> w</w:t>
      </w:r>
      <w:r w:rsidR="00491343">
        <w:t>as</w:t>
      </w:r>
      <w:r w:rsidR="00491343" w:rsidRPr="00491343">
        <w:t xml:space="preserve"> based on expert opinion</w:t>
      </w:r>
      <w:r w:rsidR="00491343">
        <w:t>. The PBAC considered that th</w:t>
      </w:r>
      <w:r w:rsidR="00A90F9D">
        <w:t>i</w:t>
      </w:r>
      <w:r w:rsidR="00491343">
        <w:t>s proportion</w:t>
      </w:r>
      <w:r w:rsidR="00A90F9D">
        <w:t xml:space="preserve"> was</w:t>
      </w:r>
      <w:r w:rsidR="00491343">
        <w:t xml:space="preserve"> likely reasonable in the absence of </w:t>
      </w:r>
      <w:r w:rsidR="00A90F9D">
        <w:t>more reliable data.</w:t>
      </w:r>
    </w:p>
    <w:p w:rsidR="005D4DB8" w:rsidRPr="00B74BA2" w:rsidRDefault="00FC30AC" w:rsidP="00F2263C">
      <w:pPr>
        <w:pStyle w:val="ListParagraph"/>
        <w:widowControl/>
        <w:numPr>
          <w:ilvl w:val="1"/>
          <w:numId w:val="1"/>
        </w:numPr>
      </w:pPr>
      <w:r w:rsidRPr="00A90F9D">
        <w:rPr>
          <w:color w:val="000000" w:themeColor="text1"/>
        </w:rPr>
        <w:t xml:space="preserve">The submission included </w:t>
      </w:r>
      <w:r w:rsidR="005D4DB8" w:rsidRPr="00A90F9D">
        <w:rPr>
          <w:color w:val="000000" w:themeColor="text1"/>
        </w:rPr>
        <w:t>grandfathered patients</w:t>
      </w:r>
      <w:r w:rsidRPr="00A90F9D">
        <w:rPr>
          <w:color w:val="000000" w:themeColor="text1"/>
        </w:rPr>
        <w:t xml:space="preserve"> </w:t>
      </w:r>
      <w:r w:rsidR="00106695" w:rsidRPr="00A90F9D">
        <w:rPr>
          <w:color w:val="000000" w:themeColor="text1"/>
        </w:rPr>
        <w:t xml:space="preserve">as well as </w:t>
      </w:r>
      <w:r w:rsidR="005D4DB8" w:rsidRPr="00A90F9D">
        <w:rPr>
          <w:color w:val="000000" w:themeColor="text1"/>
        </w:rPr>
        <w:t>a prevalent pool of patients (th</w:t>
      </w:r>
      <w:r w:rsidR="006568B8" w:rsidRPr="00A90F9D">
        <w:rPr>
          <w:color w:val="000000" w:themeColor="text1"/>
        </w:rPr>
        <w:t>e</w:t>
      </w:r>
      <w:r w:rsidR="005D4DB8" w:rsidRPr="00A90F9D">
        <w:rPr>
          <w:color w:val="000000" w:themeColor="text1"/>
        </w:rPr>
        <w:t xml:space="preserve"> relapsed 5-year prevalent population). </w:t>
      </w:r>
      <w:r w:rsidR="004420E5" w:rsidRPr="00B74BA2">
        <w:t xml:space="preserve">Including prevalent patients as well as grandfathered patients (who would presumably have been drawn from the prevalent pool), and </w:t>
      </w:r>
      <w:r w:rsidR="006568B8" w:rsidRPr="00B74BA2">
        <w:t xml:space="preserve">assuming that prevalent patients would “drip feed” into the treated patient group </w:t>
      </w:r>
      <w:r w:rsidR="004420E5" w:rsidRPr="00B74BA2">
        <w:t xml:space="preserve">over the full six years of the analysis, </w:t>
      </w:r>
      <w:r w:rsidR="002768F0" w:rsidRPr="00B74BA2">
        <w:t>was likely to</w:t>
      </w:r>
      <w:r w:rsidR="005D4DB8" w:rsidRPr="00B74BA2">
        <w:t xml:space="preserve"> have overestimate</w:t>
      </w:r>
      <w:r w:rsidR="002768F0" w:rsidRPr="00B74BA2">
        <w:t>d</w:t>
      </w:r>
      <w:r w:rsidR="005D4DB8" w:rsidRPr="00B74BA2">
        <w:t xml:space="preserve"> the number of eligible patients</w:t>
      </w:r>
      <w:r w:rsidR="006568B8" w:rsidRPr="00B74BA2">
        <w:t xml:space="preserve"> as most of these patients are likely to be treated in the first year of listing</w:t>
      </w:r>
      <w:r w:rsidR="005D4DB8" w:rsidRPr="00B74BA2">
        <w:t xml:space="preserve">. </w:t>
      </w:r>
    </w:p>
    <w:p w:rsidR="005D4DB8" w:rsidRPr="00B74BA2" w:rsidRDefault="005D4DB8" w:rsidP="00F2263C">
      <w:pPr>
        <w:pStyle w:val="ListParagraph"/>
        <w:widowControl/>
        <w:numPr>
          <w:ilvl w:val="1"/>
          <w:numId w:val="1"/>
        </w:numPr>
      </w:pPr>
      <w:r w:rsidRPr="00B74BA2">
        <w:t xml:space="preserve">The submission stated that with the better toxicity profile and higher efficacy of pembrolizumab versus </w:t>
      </w:r>
      <w:r w:rsidR="00EA0477" w:rsidRPr="00B74BA2">
        <w:t>SOC</w:t>
      </w:r>
      <w:r w:rsidRPr="00B74BA2">
        <w:t xml:space="preserve">, there will be a higher treatment </w:t>
      </w:r>
      <w:r w:rsidR="00863190" w:rsidRPr="00B74BA2">
        <w:t>uptake</w:t>
      </w:r>
      <w:r w:rsidR="002768F0" w:rsidRPr="00B74BA2">
        <w:t>. Thus, the submission assumed an uptake rate</w:t>
      </w:r>
      <w:r w:rsidR="00863190" w:rsidRPr="00B74BA2">
        <w:t xml:space="preserve"> </w:t>
      </w:r>
      <w:r w:rsidRPr="00B74BA2">
        <w:t xml:space="preserve">of 95% </w:t>
      </w:r>
      <w:r w:rsidR="002768F0" w:rsidRPr="00B74BA2">
        <w:t xml:space="preserve">with pembrolizumab and </w:t>
      </w:r>
      <w:r w:rsidRPr="00B74BA2">
        <w:t xml:space="preserve">90% with </w:t>
      </w:r>
      <w:r w:rsidR="002768F0" w:rsidRPr="00B74BA2">
        <w:t xml:space="preserve">SOC. </w:t>
      </w:r>
      <w:r w:rsidR="00D25DE3">
        <w:t>T</w:t>
      </w:r>
      <w:r w:rsidRPr="00B74BA2">
        <w:t>he</w:t>
      </w:r>
      <w:r w:rsidR="004420E5" w:rsidRPr="00B74BA2">
        <w:t>se</w:t>
      </w:r>
      <w:r w:rsidRPr="00B74BA2">
        <w:t xml:space="preserve"> assumptions were based on expert opinion and could not be verified.</w:t>
      </w:r>
    </w:p>
    <w:p w:rsidR="00F80907" w:rsidRPr="00B74BA2" w:rsidRDefault="00947AF6" w:rsidP="00947AF6">
      <w:pPr>
        <w:pStyle w:val="ListParagraph"/>
        <w:widowControl/>
        <w:numPr>
          <w:ilvl w:val="1"/>
          <w:numId w:val="1"/>
        </w:numPr>
      </w:pPr>
      <w:r w:rsidRPr="00947AF6">
        <w:t xml:space="preserve">The net cost to the PBS/RPBS, as estimated in the submission, is shown in </w:t>
      </w:r>
      <w:r w:rsidR="005D4DB8" w:rsidRPr="00B74BA2">
        <w:t>Table 1</w:t>
      </w:r>
      <w:r w:rsidR="0084031E" w:rsidRPr="00B74BA2">
        <w:t>5</w:t>
      </w:r>
      <w:r w:rsidR="005D4DB8" w:rsidRPr="00B74BA2">
        <w:t xml:space="preserve">. </w:t>
      </w:r>
    </w:p>
    <w:p w:rsidR="005D4DB8" w:rsidRPr="00B74BA2" w:rsidRDefault="005D4DB8" w:rsidP="00D25DE3">
      <w:pPr>
        <w:keepNext/>
        <w:keepLines/>
        <w:widowControl/>
      </w:pPr>
      <w:r w:rsidRPr="00B74BA2">
        <w:rPr>
          <w:rStyle w:val="CommentReference"/>
        </w:rPr>
        <w:lastRenderedPageBreak/>
        <w:t>Table 1</w:t>
      </w:r>
      <w:r w:rsidR="0084031E" w:rsidRPr="00B74BA2">
        <w:rPr>
          <w:rStyle w:val="CommentReference"/>
        </w:rPr>
        <w:t>5</w:t>
      </w:r>
      <w:r w:rsidRPr="00B74BA2">
        <w:rPr>
          <w:rStyle w:val="CommentReference"/>
        </w:rPr>
        <w:t>: Estimated use and financial implications</w:t>
      </w:r>
    </w:p>
    <w:tbl>
      <w:tblPr>
        <w:tblStyle w:val="TableGrid1"/>
        <w:tblW w:w="4899" w:type="pct"/>
        <w:tblInd w:w="108" w:type="dxa"/>
        <w:tblLayout w:type="fixed"/>
        <w:tblLook w:val="04A0" w:firstRow="1" w:lastRow="0" w:firstColumn="1" w:lastColumn="0" w:noHBand="0" w:noVBand="1"/>
        <w:tblCaption w:val="Estimated use and financial implications"/>
      </w:tblPr>
      <w:tblGrid>
        <w:gridCol w:w="2551"/>
        <w:gridCol w:w="1083"/>
        <w:gridCol w:w="1083"/>
        <w:gridCol w:w="1083"/>
        <w:gridCol w:w="1083"/>
        <w:gridCol w:w="1083"/>
        <w:gridCol w:w="1090"/>
      </w:tblGrid>
      <w:tr w:rsidR="005D4DB8" w:rsidRPr="00B74BA2" w:rsidTr="002C7B1B">
        <w:trPr>
          <w:cantSplit/>
          <w:tblHeader/>
        </w:trPr>
        <w:tc>
          <w:tcPr>
            <w:tcW w:w="1408" w:type="pct"/>
          </w:tcPr>
          <w:p w:rsidR="005D4DB8" w:rsidRPr="00B74BA2" w:rsidRDefault="005D4DB8" w:rsidP="00D25DE3">
            <w:pPr>
              <w:pStyle w:val="Tabletext"/>
              <w:keepNext/>
              <w:keepLines/>
              <w:rPr>
                <w:szCs w:val="20"/>
              </w:rPr>
            </w:pPr>
          </w:p>
        </w:tc>
        <w:tc>
          <w:tcPr>
            <w:tcW w:w="598" w:type="pct"/>
          </w:tcPr>
          <w:p w:rsidR="005D4DB8" w:rsidRPr="00B74BA2" w:rsidRDefault="005D4DB8" w:rsidP="00D25DE3">
            <w:pPr>
              <w:pStyle w:val="Tabletext"/>
              <w:keepNext/>
              <w:keepLines/>
              <w:jc w:val="center"/>
              <w:rPr>
                <w:b/>
                <w:szCs w:val="20"/>
              </w:rPr>
            </w:pPr>
            <w:r w:rsidRPr="00B74BA2">
              <w:rPr>
                <w:b/>
                <w:szCs w:val="20"/>
              </w:rPr>
              <w:t>Year 1</w:t>
            </w:r>
          </w:p>
        </w:tc>
        <w:tc>
          <w:tcPr>
            <w:tcW w:w="598" w:type="pct"/>
          </w:tcPr>
          <w:p w:rsidR="005D4DB8" w:rsidRPr="00B74BA2" w:rsidRDefault="005D4DB8" w:rsidP="00D25DE3">
            <w:pPr>
              <w:pStyle w:val="Tabletext"/>
              <w:keepNext/>
              <w:keepLines/>
              <w:jc w:val="center"/>
              <w:rPr>
                <w:b/>
                <w:szCs w:val="20"/>
              </w:rPr>
            </w:pPr>
            <w:r w:rsidRPr="00B74BA2">
              <w:rPr>
                <w:b/>
                <w:szCs w:val="20"/>
              </w:rPr>
              <w:t>Year 2</w:t>
            </w:r>
          </w:p>
        </w:tc>
        <w:tc>
          <w:tcPr>
            <w:tcW w:w="598" w:type="pct"/>
          </w:tcPr>
          <w:p w:rsidR="005D4DB8" w:rsidRPr="00B74BA2" w:rsidRDefault="005D4DB8" w:rsidP="00D25DE3">
            <w:pPr>
              <w:pStyle w:val="Tabletext"/>
              <w:keepNext/>
              <w:keepLines/>
              <w:jc w:val="center"/>
              <w:rPr>
                <w:b/>
                <w:szCs w:val="20"/>
              </w:rPr>
            </w:pPr>
            <w:r w:rsidRPr="00B74BA2">
              <w:rPr>
                <w:b/>
                <w:szCs w:val="20"/>
              </w:rPr>
              <w:t>Year 3</w:t>
            </w:r>
          </w:p>
        </w:tc>
        <w:tc>
          <w:tcPr>
            <w:tcW w:w="598" w:type="pct"/>
          </w:tcPr>
          <w:p w:rsidR="005D4DB8" w:rsidRPr="00B74BA2" w:rsidRDefault="005D4DB8" w:rsidP="00D25DE3">
            <w:pPr>
              <w:pStyle w:val="Tabletext"/>
              <w:keepNext/>
              <w:keepLines/>
              <w:jc w:val="center"/>
              <w:rPr>
                <w:b/>
                <w:szCs w:val="20"/>
              </w:rPr>
            </w:pPr>
            <w:r w:rsidRPr="00B74BA2">
              <w:rPr>
                <w:b/>
                <w:szCs w:val="20"/>
              </w:rPr>
              <w:t>Year 4</w:t>
            </w:r>
          </w:p>
        </w:tc>
        <w:tc>
          <w:tcPr>
            <w:tcW w:w="598" w:type="pct"/>
          </w:tcPr>
          <w:p w:rsidR="005D4DB8" w:rsidRPr="00B74BA2" w:rsidRDefault="005D4DB8" w:rsidP="00D25DE3">
            <w:pPr>
              <w:pStyle w:val="Tabletext"/>
              <w:keepNext/>
              <w:keepLines/>
              <w:jc w:val="center"/>
              <w:rPr>
                <w:b/>
                <w:szCs w:val="20"/>
              </w:rPr>
            </w:pPr>
            <w:r w:rsidRPr="00B74BA2">
              <w:rPr>
                <w:b/>
                <w:szCs w:val="20"/>
              </w:rPr>
              <w:t>Year 5</w:t>
            </w:r>
          </w:p>
        </w:tc>
        <w:tc>
          <w:tcPr>
            <w:tcW w:w="599" w:type="pct"/>
          </w:tcPr>
          <w:p w:rsidR="005D4DB8" w:rsidRPr="00B74BA2" w:rsidRDefault="005D4DB8" w:rsidP="00D25DE3">
            <w:pPr>
              <w:pStyle w:val="Tabletext"/>
              <w:keepNext/>
              <w:keepLines/>
              <w:jc w:val="center"/>
              <w:rPr>
                <w:b/>
                <w:szCs w:val="20"/>
              </w:rPr>
            </w:pPr>
            <w:r w:rsidRPr="00B74BA2">
              <w:rPr>
                <w:b/>
                <w:szCs w:val="20"/>
              </w:rPr>
              <w:t>Year 6</w:t>
            </w:r>
          </w:p>
        </w:tc>
      </w:tr>
      <w:tr w:rsidR="005D4DB8" w:rsidRPr="00B74BA2" w:rsidTr="003A1711">
        <w:tc>
          <w:tcPr>
            <w:tcW w:w="5000" w:type="pct"/>
            <w:gridSpan w:val="7"/>
          </w:tcPr>
          <w:p w:rsidR="005D4DB8" w:rsidRPr="00B74BA2" w:rsidRDefault="005D4DB8" w:rsidP="00D25DE3">
            <w:pPr>
              <w:pStyle w:val="Tabletext"/>
              <w:keepNext/>
              <w:keepLines/>
              <w:rPr>
                <w:b/>
                <w:bCs/>
                <w:color w:val="000000"/>
                <w:szCs w:val="20"/>
              </w:rPr>
            </w:pPr>
            <w:r w:rsidRPr="00B74BA2">
              <w:rPr>
                <w:b/>
                <w:bCs/>
                <w:color w:val="000000"/>
                <w:szCs w:val="20"/>
              </w:rPr>
              <w:t>Estimated extent of use</w:t>
            </w:r>
          </w:p>
        </w:tc>
      </w:tr>
      <w:tr w:rsidR="005D4DB8" w:rsidRPr="00B74BA2" w:rsidTr="00265FFF">
        <w:tc>
          <w:tcPr>
            <w:tcW w:w="1408" w:type="pct"/>
          </w:tcPr>
          <w:p w:rsidR="005D4DB8" w:rsidRPr="00B74BA2" w:rsidRDefault="005D4DB8" w:rsidP="00D25DE3">
            <w:pPr>
              <w:pStyle w:val="Tabletext"/>
              <w:keepNext/>
              <w:keepLines/>
              <w:rPr>
                <w:szCs w:val="20"/>
              </w:rPr>
            </w:pPr>
            <w:r w:rsidRPr="00B74BA2">
              <w:rPr>
                <w:szCs w:val="20"/>
              </w:rPr>
              <w:t>Number of patients treated with pembrolizumab</w:t>
            </w:r>
          </w:p>
        </w:tc>
        <w:tc>
          <w:tcPr>
            <w:tcW w:w="598" w:type="pct"/>
          </w:tcPr>
          <w:p w:rsidR="005D4DB8" w:rsidRPr="00132A6D" w:rsidRDefault="00132A6D" w:rsidP="00D25DE3">
            <w:pPr>
              <w:pStyle w:val="Tabletext"/>
              <w:keepNext/>
              <w:keepLines/>
              <w:jc w:val="center"/>
              <w:rPr>
                <w:bCs/>
                <w:color w:val="000000"/>
                <w:szCs w:val="20"/>
                <w:highlight w:val="black"/>
              </w:rPr>
            </w:pPr>
            <w:r>
              <w:rPr>
                <w:noProof/>
                <w:color w:val="000000"/>
                <w:szCs w:val="20"/>
                <w:highlight w:val="black"/>
              </w:rPr>
              <w:t>'''''''</w:t>
            </w:r>
          </w:p>
        </w:tc>
        <w:tc>
          <w:tcPr>
            <w:tcW w:w="598" w:type="pct"/>
          </w:tcPr>
          <w:p w:rsidR="005D4DB8" w:rsidRPr="00132A6D" w:rsidRDefault="00132A6D" w:rsidP="00D25DE3">
            <w:pPr>
              <w:pStyle w:val="Tabletext"/>
              <w:keepNext/>
              <w:keepLines/>
              <w:jc w:val="center"/>
              <w:rPr>
                <w:bCs/>
                <w:color w:val="000000"/>
                <w:szCs w:val="20"/>
                <w:highlight w:val="black"/>
              </w:rPr>
            </w:pPr>
            <w:r>
              <w:rPr>
                <w:noProof/>
                <w:color w:val="000000"/>
                <w:szCs w:val="20"/>
                <w:highlight w:val="black"/>
              </w:rPr>
              <w:t>'''''</w:t>
            </w:r>
          </w:p>
        </w:tc>
        <w:tc>
          <w:tcPr>
            <w:tcW w:w="598" w:type="pct"/>
          </w:tcPr>
          <w:p w:rsidR="005D4DB8" w:rsidRPr="00132A6D" w:rsidRDefault="00132A6D" w:rsidP="00D25DE3">
            <w:pPr>
              <w:pStyle w:val="Tabletext"/>
              <w:keepNext/>
              <w:keepLines/>
              <w:jc w:val="center"/>
              <w:rPr>
                <w:bCs/>
                <w:color w:val="000000"/>
                <w:szCs w:val="20"/>
                <w:highlight w:val="black"/>
              </w:rPr>
            </w:pPr>
            <w:r>
              <w:rPr>
                <w:noProof/>
                <w:color w:val="000000"/>
                <w:szCs w:val="20"/>
                <w:highlight w:val="black"/>
              </w:rPr>
              <w:t>''''''</w:t>
            </w:r>
          </w:p>
        </w:tc>
        <w:tc>
          <w:tcPr>
            <w:tcW w:w="598" w:type="pct"/>
          </w:tcPr>
          <w:p w:rsidR="005D4DB8" w:rsidRPr="00132A6D" w:rsidRDefault="00132A6D" w:rsidP="00D25DE3">
            <w:pPr>
              <w:pStyle w:val="Tabletext"/>
              <w:keepNext/>
              <w:keepLines/>
              <w:jc w:val="center"/>
              <w:rPr>
                <w:bCs/>
                <w:color w:val="000000"/>
                <w:szCs w:val="20"/>
                <w:highlight w:val="black"/>
              </w:rPr>
            </w:pPr>
            <w:r>
              <w:rPr>
                <w:noProof/>
                <w:color w:val="000000"/>
                <w:szCs w:val="20"/>
                <w:highlight w:val="black"/>
              </w:rPr>
              <w:t>''''''</w:t>
            </w:r>
          </w:p>
        </w:tc>
        <w:tc>
          <w:tcPr>
            <w:tcW w:w="598" w:type="pct"/>
          </w:tcPr>
          <w:p w:rsidR="005D4DB8" w:rsidRPr="00132A6D" w:rsidRDefault="00132A6D" w:rsidP="00D25DE3">
            <w:pPr>
              <w:pStyle w:val="Tabletext"/>
              <w:keepNext/>
              <w:keepLines/>
              <w:jc w:val="center"/>
              <w:rPr>
                <w:bCs/>
                <w:color w:val="000000"/>
                <w:szCs w:val="20"/>
                <w:highlight w:val="black"/>
              </w:rPr>
            </w:pPr>
            <w:r>
              <w:rPr>
                <w:noProof/>
                <w:color w:val="000000"/>
                <w:szCs w:val="20"/>
                <w:highlight w:val="black"/>
              </w:rPr>
              <w:t>'''''''</w:t>
            </w:r>
          </w:p>
        </w:tc>
        <w:tc>
          <w:tcPr>
            <w:tcW w:w="599" w:type="pct"/>
          </w:tcPr>
          <w:p w:rsidR="005D4DB8" w:rsidRPr="00132A6D" w:rsidRDefault="00132A6D" w:rsidP="00D25DE3">
            <w:pPr>
              <w:pStyle w:val="Tabletext"/>
              <w:keepNext/>
              <w:keepLines/>
              <w:jc w:val="center"/>
              <w:rPr>
                <w:bCs/>
                <w:color w:val="000000"/>
                <w:szCs w:val="20"/>
                <w:highlight w:val="black"/>
              </w:rPr>
            </w:pPr>
            <w:r>
              <w:rPr>
                <w:noProof/>
                <w:color w:val="000000"/>
                <w:szCs w:val="20"/>
                <w:highlight w:val="black"/>
              </w:rPr>
              <w:t>''''''</w:t>
            </w:r>
          </w:p>
        </w:tc>
      </w:tr>
      <w:tr w:rsidR="005D4DB8" w:rsidRPr="00B74BA2" w:rsidTr="00265FFF">
        <w:tc>
          <w:tcPr>
            <w:tcW w:w="1408" w:type="pct"/>
          </w:tcPr>
          <w:p w:rsidR="005D4DB8" w:rsidRPr="00B74BA2" w:rsidRDefault="005D4DB8" w:rsidP="00D25DE3">
            <w:pPr>
              <w:pStyle w:val="Tabletext"/>
              <w:keepNext/>
              <w:keepLines/>
              <w:rPr>
                <w:szCs w:val="20"/>
              </w:rPr>
            </w:pPr>
            <w:r w:rsidRPr="00B74BA2">
              <w:rPr>
                <w:szCs w:val="20"/>
              </w:rPr>
              <w:t>Number of patients treated with SOC</w:t>
            </w:r>
          </w:p>
        </w:tc>
        <w:tc>
          <w:tcPr>
            <w:tcW w:w="598" w:type="pct"/>
          </w:tcPr>
          <w:p w:rsidR="005D4DB8" w:rsidRPr="00132A6D" w:rsidRDefault="00132A6D" w:rsidP="00D25DE3">
            <w:pPr>
              <w:pStyle w:val="Tabletext"/>
              <w:keepNext/>
              <w:keepLines/>
              <w:jc w:val="center"/>
              <w:rPr>
                <w:szCs w:val="20"/>
                <w:highlight w:val="black"/>
              </w:rPr>
            </w:pPr>
            <w:r>
              <w:rPr>
                <w:noProof/>
                <w:color w:val="000000"/>
                <w:szCs w:val="20"/>
                <w:highlight w:val="black"/>
              </w:rPr>
              <w:t>'''''</w:t>
            </w:r>
          </w:p>
        </w:tc>
        <w:tc>
          <w:tcPr>
            <w:tcW w:w="598" w:type="pct"/>
          </w:tcPr>
          <w:p w:rsidR="005D4DB8" w:rsidRPr="00132A6D" w:rsidRDefault="00132A6D" w:rsidP="00D25DE3">
            <w:pPr>
              <w:pStyle w:val="Tabletext"/>
              <w:keepNext/>
              <w:keepLines/>
              <w:jc w:val="center"/>
              <w:rPr>
                <w:szCs w:val="20"/>
                <w:highlight w:val="black"/>
              </w:rPr>
            </w:pPr>
            <w:r>
              <w:rPr>
                <w:noProof/>
                <w:color w:val="000000"/>
                <w:szCs w:val="20"/>
                <w:highlight w:val="black"/>
              </w:rPr>
              <w:t>'''''''</w:t>
            </w:r>
          </w:p>
        </w:tc>
        <w:tc>
          <w:tcPr>
            <w:tcW w:w="598" w:type="pct"/>
          </w:tcPr>
          <w:p w:rsidR="005D4DB8" w:rsidRPr="00132A6D" w:rsidRDefault="00132A6D" w:rsidP="00D25DE3">
            <w:pPr>
              <w:pStyle w:val="Tabletext"/>
              <w:keepNext/>
              <w:keepLines/>
              <w:jc w:val="center"/>
              <w:rPr>
                <w:szCs w:val="20"/>
                <w:highlight w:val="black"/>
              </w:rPr>
            </w:pPr>
            <w:r>
              <w:rPr>
                <w:noProof/>
                <w:color w:val="000000"/>
                <w:szCs w:val="20"/>
                <w:highlight w:val="black"/>
              </w:rPr>
              <w:t>'''''''</w:t>
            </w:r>
          </w:p>
        </w:tc>
        <w:tc>
          <w:tcPr>
            <w:tcW w:w="598" w:type="pct"/>
          </w:tcPr>
          <w:p w:rsidR="005D4DB8" w:rsidRPr="00132A6D" w:rsidRDefault="00132A6D" w:rsidP="00D25DE3">
            <w:pPr>
              <w:pStyle w:val="Tabletext"/>
              <w:keepNext/>
              <w:keepLines/>
              <w:jc w:val="center"/>
              <w:rPr>
                <w:szCs w:val="20"/>
                <w:highlight w:val="black"/>
              </w:rPr>
            </w:pPr>
            <w:r>
              <w:rPr>
                <w:noProof/>
                <w:color w:val="000000"/>
                <w:szCs w:val="20"/>
                <w:highlight w:val="black"/>
              </w:rPr>
              <w:t>'''''</w:t>
            </w:r>
          </w:p>
        </w:tc>
        <w:tc>
          <w:tcPr>
            <w:tcW w:w="598" w:type="pct"/>
          </w:tcPr>
          <w:p w:rsidR="005D4DB8" w:rsidRPr="00132A6D" w:rsidRDefault="00132A6D" w:rsidP="00D25DE3">
            <w:pPr>
              <w:pStyle w:val="Tabletext"/>
              <w:keepNext/>
              <w:keepLines/>
              <w:jc w:val="center"/>
              <w:rPr>
                <w:szCs w:val="20"/>
                <w:highlight w:val="black"/>
              </w:rPr>
            </w:pPr>
            <w:r>
              <w:rPr>
                <w:noProof/>
                <w:color w:val="000000"/>
                <w:szCs w:val="20"/>
                <w:highlight w:val="black"/>
              </w:rPr>
              <w:t>''''''</w:t>
            </w:r>
          </w:p>
        </w:tc>
        <w:tc>
          <w:tcPr>
            <w:tcW w:w="599" w:type="pct"/>
          </w:tcPr>
          <w:p w:rsidR="005D4DB8" w:rsidRPr="00132A6D" w:rsidRDefault="00132A6D" w:rsidP="00D25DE3">
            <w:pPr>
              <w:pStyle w:val="Tabletext"/>
              <w:keepNext/>
              <w:keepLines/>
              <w:jc w:val="center"/>
              <w:rPr>
                <w:szCs w:val="20"/>
                <w:highlight w:val="black"/>
              </w:rPr>
            </w:pPr>
            <w:r>
              <w:rPr>
                <w:noProof/>
                <w:color w:val="000000"/>
                <w:szCs w:val="20"/>
                <w:highlight w:val="black"/>
              </w:rPr>
              <w:t>'''''</w:t>
            </w:r>
          </w:p>
        </w:tc>
      </w:tr>
      <w:tr w:rsidR="005D4DB8" w:rsidRPr="00B74BA2" w:rsidTr="00265FFF">
        <w:tc>
          <w:tcPr>
            <w:tcW w:w="1408" w:type="pct"/>
          </w:tcPr>
          <w:p w:rsidR="005D4DB8" w:rsidRPr="00B74BA2" w:rsidRDefault="005D4DB8" w:rsidP="00D25DE3">
            <w:pPr>
              <w:pStyle w:val="Tabletext"/>
              <w:keepNext/>
              <w:keepLines/>
              <w:rPr>
                <w:szCs w:val="20"/>
              </w:rPr>
            </w:pPr>
            <w:r w:rsidRPr="00B74BA2">
              <w:rPr>
                <w:szCs w:val="20"/>
              </w:rPr>
              <w:t xml:space="preserve">Number of scripts </w:t>
            </w:r>
            <w:proofErr w:type="spellStart"/>
            <w:r w:rsidRPr="00B74BA2">
              <w:rPr>
                <w:szCs w:val="20"/>
              </w:rPr>
              <w:t>dispensed</w:t>
            </w:r>
            <w:r w:rsidRPr="00B74BA2">
              <w:rPr>
                <w:szCs w:val="20"/>
                <w:vertAlign w:val="superscript"/>
              </w:rPr>
              <w:t>a</w:t>
            </w:r>
            <w:proofErr w:type="spellEnd"/>
            <w:r w:rsidRPr="00B74BA2">
              <w:rPr>
                <w:szCs w:val="20"/>
                <w:vertAlign w:val="superscript"/>
              </w:rPr>
              <w:t xml:space="preserve"> </w:t>
            </w:r>
            <w:r w:rsidRPr="00B74BA2">
              <w:rPr>
                <w:szCs w:val="20"/>
              </w:rPr>
              <w:t>pembrolizumab</w:t>
            </w:r>
          </w:p>
        </w:tc>
        <w:tc>
          <w:tcPr>
            <w:tcW w:w="598" w:type="pct"/>
          </w:tcPr>
          <w:p w:rsidR="005D4DB8" w:rsidRPr="00132A6D" w:rsidRDefault="00132A6D" w:rsidP="00D25DE3">
            <w:pPr>
              <w:pStyle w:val="Tabletext"/>
              <w:keepNext/>
              <w:keepLines/>
              <w:jc w:val="center"/>
              <w:rPr>
                <w:bCs/>
                <w:color w:val="000000"/>
                <w:szCs w:val="20"/>
                <w:highlight w:val="black"/>
              </w:rPr>
            </w:pPr>
            <w:r>
              <w:rPr>
                <w:noProof/>
                <w:color w:val="000000"/>
                <w:szCs w:val="20"/>
                <w:highlight w:val="black"/>
              </w:rPr>
              <w:t>'''''''''</w:t>
            </w:r>
          </w:p>
        </w:tc>
        <w:tc>
          <w:tcPr>
            <w:tcW w:w="598" w:type="pct"/>
          </w:tcPr>
          <w:p w:rsidR="005D4DB8" w:rsidRPr="00132A6D" w:rsidRDefault="00132A6D" w:rsidP="00D25DE3">
            <w:pPr>
              <w:pStyle w:val="Tabletext"/>
              <w:keepNext/>
              <w:keepLines/>
              <w:jc w:val="center"/>
              <w:rPr>
                <w:bCs/>
                <w:color w:val="000000"/>
                <w:szCs w:val="20"/>
                <w:highlight w:val="black"/>
              </w:rPr>
            </w:pPr>
            <w:r>
              <w:rPr>
                <w:noProof/>
                <w:color w:val="000000"/>
                <w:szCs w:val="20"/>
                <w:highlight w:val="black"/>
              </w:rPr>
              <w:t>'''''''''</w:t>
            </w:r>
          </w:p>
        </w:tc>
        <w:tc>
          <w:tcPr>
            <w:tcW w:w="598" w:type="pct"/>
          </w:tcPr>
          <w:p w:rsidR="005D4DB8" w:rsidRPr="00132A6D" w:rsidRDefault="00132A6D" w:rsidP="00D25DE3">
            <w:pPr>
              <w:pStyle w:val="Tabletext"/>
              <w:keepNext/>
              <w:keepLines/>
              <w:jc w:val="center"/>
              <w:rPr>
                <w:bCs/>
                <w:color w:val="000000"/>
                <w:szCs w:val="20"/>
                <w:highlight w:val="black"/>
              </w:rPr>
            </w:pPr>
            <w:r>
              <w:rPr>
                <w:noProof/>
                <w:color w:val="000000"/>
                <w:szCs w:val="20"/>
                <w:highlight w:val="black"/>
              </w:rPr>
              <w:t>''''''''''</w:t>
            </w:r>
          </w:p>
        </w:tc>
        <w:tc>
          <w:tcPr>
            <w:tcW w:w="598" w:type="pct"/>
          </w:tcPr>
          <w:p w:rsidR="005D4DB8" w:rsidRPr="00132A6D" w:rsidRDefault="00132A6D" w:rsidP="00D25DE3">
            <w:pPr>
              <w:pStyle w:val="Tabletext"/>
              <w:keepNext/>
              <w:keepLines/>
              <w:jc w:val="center"/>
              <w:rPr>
                <w:bCs/>
                <w:color w:val="000000"/>
                <w:szCs w:val="20"/>
                <w:highlight w:val="black"/>
              </w:rPr>
            </w:pPr>
            <w:r>
              <w:rPr>
                <w:noProof/>
                <w:color w:val="000000"/>
                <w:szCs w:val="20"/>
                <w:highlight w:val="black"/>
              </w:rPr>
              <w:t>'''''''''</w:t>
            </w:r>
          </w:p>
        </w:tc>
        <w:tc>
          <w:tcPr>
            <w:tcW w:w="598" w:type="pct"/>
          </w:tcPr>
          <w:p w:rsidR="005D4DB8" w:rsidRPr="00132A6D" w:rsidRDefault="00132A6D" w:rsidP="00D25DE3">
            <w:pPr>
              <w:pStyle w:val="Tabletext"/>
              <w:keepNext/>
              <w:keepLines/>
              <w:jc w:val="center"/>
              <w:rPr>
                <w:bCs/>
                <w:color w:val="000000"/>
                <w:szCs w:val="20"/>
                <w:highlight w:val="black"/>
              </w:rPr>
            </w:pPr>
            <w:r>
              <w:rPr>
                <w:noProof/>
                <w:color w:val="000000"/>
                <w:szCs w:val="20"/>
                <w:highlight w:val="black"/>
              </w:rPr>
              <w:t>''''''''</w:t>
            </w:r>
          </w:p>
        </w:tc>
        <w:tc>
          <w:tcPr>
            <w:tcW w:w="599" w:type="pct"/>
          </w:tcPr>
          <w:p w:rsidR="005D4DB8" w:rsidRPr="00132A6D" w:rsidRDefault="00132A6D" w:rsidP="00D25DE3">
            <w:pPr>
              <w:pStyle w:val="Tabletext"/>
              <w:keepNext/>
              <w:keepLines/>
              <w:jc w:val="center"/>
              <w:rPr>
                <w:bCs/>
                <w:color w:val="000000"/>
                <w:szCs w:val="20"/>
                <w:highlight w:val="black"/>
              </w:rPr>
            </w:pPr>
            <w:r>
              <w:rPr>
                <w:noProof/>
                <w:color w:val="000000"/>
                <w:szCs w:val="20"/>
                <w:highlight w:val="black"/>
              </w:rPr>
              <w:t>''''''''''</w:t>
            </w:r>
          </w:p>
        </w:tc>
      </w:tr>
      <w:tr w:rsidR="005D4DB8" w:rsidRPr="00B74BA2" w:rsidTr="00265FFF">
        <w:tc>
          <w:tcPr>
            <w:tcW w:w="1408" w:type="pct"/>
          </w:tcPr>
          <w:p w:rsidR="005D4DB8" w:rsidRPr="00B74BA2" w:rsidRDefault="005D4DB8" w:rsidP="00D25DE3">
            <w:pPr>
              <w:pStyle w:val="Tabletext"/>
              <w:keepNext/>
              <w:keepLines/>
              <w:rPr>
                <w:szCs w:val="20"/>
              </w:rPr>
            </w:pPr>
            <w:r w:rsidRPr="00B74BA2">
              <w:rPr>
                <w:szCs w:val="20"/>
              </w:rPr>
              <w:t>Number of scripts dispensed for SOC</w:t>
            </w:r>
          </w:p>
        </w:tc>
        <w:tc>
          <w:tcPr>
            <w:tcW w:w="598" w:type="pct"/>
          </w:tcPr>
          <w:p w:rsidR="005D4DB8" w:rsidRPr="00132A6D" w:rsidRDefault="00132A6D" w:rsidP="00D25DE3">
            <w:pPr>
              <w:pStyle w:val="Tabletext"/>
              <w:keepNext/>
              <w:keepLines/>
              <w:jc w:val="center"/>
              <w:rPr>
                <w:szCs w:val="20"/>
                <w:highlight w:val="black"/>
              </w:rPr>
            </w:pPr>
            <w:r>
              <w:rPr>
                <w:noProof/>
                <w:color w:val="000000"/>
                <w:szCs w:val="20"/>
                <w:highlight w:val="black"/>
              </w:rPr>
              <w:t>'''''''''</w:t>
            </w:r>
          </w:p>
        </w:tc>
        <w:tc>
          <w:tcPr>
            <w:tcW w:w="598" w:type="pct"/>
          </w:tcPr>
          <w:p w:rsidR="005D4DB8" w:rsidRPr="00132A6D" w:rsidRDefault="00132A6D" w:rsidP="00D25DE3">
            <w:pPr>
              <w:pStyle w:val="Tabletext"/>
              <w:keepNext/>
              <w:keepLines/>
              <w:jc w:val="center"/>
              <w:rPr>
                <w:szCs w:val="20"/>
                <w:highlight w:val="black"/>
              </w:rPr>
            </w:pPr>
            <w:r>
              <w:rPr>
                <w:noProof/>
                <w:color w:val="000000"/>
                <w:szCs w:val="20"/>
                <w:highlight w:val="black"/>
              </w:rPr>
              <w:t>'''''''''</w:t>
            </w:r>
          </w:p>
        </w:tc>
        <w:tc>
          <w:tcPr>
            <w:tcW w:w="598" w:type="pct"/>
          </w:tcPr>
          <w:p w:rsidR="005D4DB8" w:rsidRPr="00132A6D" w:rsidRDefault="00132A6D" w:rsidP="00D25DE3">
            <w:pPr>
              <w:pStyle w:val="Tabletext"/>
              <w:keepNext/>
              <w:keepLines/>
              <w:jc w:val="center"/>
              <w:rPr>
                <w:szCs w:val="20"/>
                <w:highlight w:val="black"/>
              </w:rPr>
            </w:pPr>
            <w:r>
              <w:rPr>
                <w:noProof/>
                <w:color w:val="000000"/>
                <w:szCs w:val="20"/>
                <w:highlight w:val="black"/>
              </w:rPr>
              <w:t>''''''''''</w:t>
            </w:r>
          </w:p>
        </w:tc>
        <w:tc>
          <w:tcPr>
            <w:tcW w:w="598" w:type="pct"/>
          </w:tcPr>
          <w:p w:rsidR="005D4DB8" w:rsidRPr="00132A6D" w:rsidRDefault="00132A6D" w:rsidP="00D25DE3">
            <w:pPr>
              <w:pStyle w:val="Tabletext"/>
              <w:keepNext/>
              <w:keepLines/>
              <w:jc w:val="center"/>
              <w:rPr>
                <w:szCs w:val="20"/>
                <w:highlight w:val="black"/>
              </w:rPr>
            </w:pPr>
            <w:r>
              <w:rPr>
                <w:noProof/>
                <w:color w:val="000000"/>
                <w:szCs w:val="20"/>
                <w:highlight w:val="black"/>
              </w:rPr>
              <w:t>''''''''''</w:t>
            </w:r>
          </w:p>
        </w:tc>
        <w:tc>
          <w:tcPr>
            <w:tcW w:w="598" w:type="pct"/>
          </w:tcPr>
          <w:p w:rsidR="005D4DB8" w:rsidRPr="00132A6D" w:rsidRDefault="00132A6D" w:rsidP="00D25DE3">
            <w:pPr>
              <w:pStyle w:val="Tabletext"/>
              <w:keepNext/>
              <w:keepLines/>
              <w:jc w:val="center"/>
              <w:rPr>
                <w:szCs w:val="20"/>
                <w:highlight w:val="black"/>
              </w:rPr>
            </w:pPr>
            <w:r>
              <w:rPr>
                <w:noProof/>
                <w:color w:val="000000"/>
                <w:szCs w:val="20"/>
                <w:highlight w:val="black"/>
              </w:rPr>
              <w:t>''''''''''</w:t>
            </w:r>
          </w:p>
        </w:tc>
        <w:tc>
          <w:tcPr>
            <w:tcW w:w="599" w:type="pct"/>
          </w:tcPr>
          <w:p w:rsidR="005D4DB8" w:rsidRPr="00132A6D" w:rsidRDefault="00132A6D" w:rsidP="00D25DE3">
            <w:pPr>
              <w:pStyle w:val="Tabletext"/>
              <w:keepNext/>
              <w:keepLines/>
              <w:jc w:val="center"/>
              <w:rPr>
                <w:szCs w:val="20"/>
                <w:highlight w:val="black"/>
              </w:rPr>
            </w:pPr>
            <w:r>
              <w:rPr>
                <w:noProof/>
                <w:color w:val="000000"/>
                <w:szCs w:val="20"/>
                <w:highlight w:val="black"/>
              </w:rPr>
              <w:t>'''''''''</w:t>
            </w:r>
          </w:p>
        </w:tc>
      </w:tr>
      <w:tr w:rsidR="005D4DB8" w:rsidRPr="00B74BA2" w:rsidTr="003A1711">
        <w:tc>
          <w:tcPr>
            <w:tcW w:w="5000" w:type="pct"/>
            <w:gridSpan w:val="7"/>
          </w:tcPr>
          <w:p w:rsidR="005D4DB8" w:rsidRPr="00B74BA2" w:rsidRDefault="005D4DB8" w:rsidP="00D25DE3">
            <w:pPr>
              <w:pStyle w:val="Tabletext"/>
              <w:keepNext/>
              <w:keepLines/>
              <w:rPr>
                <w:b/>
                <w:bCs/>
                <w:color w:val="000000"/>
                <w:szCs w:val="20"/>
              </w:rPr>
            </w:pPr>
            <w:r w:rsidRPr="00B74BA2">
              <w:rPr>
                <w:b/>
                <w:bCs/>
                <w:color w:val="000000"/>
                <w:szCs w:val="20"/>
              </w:rPr>
              <w:t>Estimated financial implications of pembrolizumab</w:t>
            </w:r>
            <w:r w:rsidR="00577F9B">
              <w:rPr>
                <w:b/>
                <w:bCs/>
                <w:color w:val="000000"/>
                <w:szCs w:val="20"/>
              </w:rPr>
              <w:t xml:space="preserve"> ($)</w:t>
            </w:r>
          </w:p>
        </w:tc>
      </w:tr>
      <w:tr w:rsidR="002756B9" w:rsidRPr="00B74BA2" w:rsidTr="00265FFF">
        <w:tc>
          <w:tcPr>
            <w:tcW w:w="1408" w:type="pct"/>
          </w:tcPr>
          <w:p w:rsidR="002756B9" w:rsidRPr="00B74BA2" w:rsidRDefault="002756B9" w:rsidP="00D25DE3">
            <w:pPr>
              <w:pStyle w:val="Tabletext"/>
              <w:keepNext/>
              <w:keepLines/>
              <w:rPr>
                <w:szCs w:val="20"/>
              </w:rPr>
            </w:pPr>
            <w:r w:rsidRPr="00B74BA2">
              <w:rPr>
                <w:szCs w:val="20"/>
              </w:rPr>
              <w:t>Cost to PBS/RPBS</w:t>
            </w:r>
          </w:p>
        </w:tc>
        <w:tc>
          <w:tcPr>
            <w:tcW w:w="598" w:type="pct"/>
            <w:tcBorders>
              <w:top w:val="single" w:sz="4" w:space="0" w:color="auto"/>
              <w:left w:val="nil"/>
              <w:bottom w:val="single" w:sz="4" w:space="0" w:color="auto"/>
              <w:right w:val="single" w:sz="4" w:space="0" w:color="auto"/>
            </w:tcBorders>
            <w:shd w:val="clear" w:color="auto" w:fill="auto"/>
            <w:vAlign w:val="bottom"/>
          </w:tcPr>
          <w:p w:rsidR="002756B9" w:rsidRPr="00132A6D" w:rsidRDefault="00132A6D" w:rsidP="00D25DE3">
            <w:pPr>
              <w:pStyle w:val="Tabletext"/>
              <w:keepNext/>
              <w:keepLines/>
              <w:jc w:val="center"/>
              <w:rPr>
                <w:bCs/>
                <w:color w:val="000000"/>
                <w:szCs w:val="20"/>
                <w:highlight w:val="black"/>
              </w:rPr>
            </w:pPr>
            <w:r>
              <w:rPr>
                <w:noProof/>
                <w:color w:val="000000"/>
                <w:szCs w:val="20"/>
                <w:highlight w:val="black"/>
              </w:rPr>
              <w:t>''''''''''''''''''''''''''</w:t>
            </w:r>
          </w:p>
        </w:tc>
        <w:tc>
          <w:tcPr>
            <w:tcW w:w="598" w:type="pct"/>
            <w:tcBorders>
              <w:top w:val="single" w:sz="4" w:space="0" w:color="auto"/>
              <w:left w:val="single" w:sz="4" w:space="0" w:color="auto"/>
              <w:bottom w:val="single" w:sz="4" w:space="0" w:color="auto"/>
              <w:right w:val="single" w:sz="4" w:space="0" w:color="auto"/>
            </w:tcBorders>
            <w:shd w:val="clear" w:color="auto" w:fill="auto"/>
            <w:vAlign w:val="bottom"/>
          </w:tcPr>
          <w:p w:rsidR="002756B9" w:rsidRPr="00132A6D" w:rsidRDefault="00132A6D" w:rsidP="00D25DE3">
            <w:pPr>
              <w:pStyle w:val="Tabletext"/>
              <w:keepNext/>
              <w:keepLines/>
              <w:jc w:val="center"/>
              <w:rPr>
                <w:bCs/>
                <w:color w:val="000000"/>
                <w:szCs w:val="20"/>
                <w:highlight w:val="black"/>
              </w:rPr>
            </w:pPr>
            <w:r>
              <w:rPr>
                <w:noProof/>
                <w:color w:val="000000"/>
                <w:szCs w:val="20"/>
                <w:highlight w:val="black"/>
              </w:rPr>
              <w:t>''''''''''''''''''''''''</w:t>
            </w:r>
          </w:p>
        </w:tc>
        <w:tc>
          <w:tcPr>
            <w:tcW w:w="598" w:type="pct"/>
            <w:tcBorders>
              <w:top w:val="single" w:sz="4" w:space="0" w:color="auto"/>
              <w:left w:val="single" w:sz="4" w:space="0" w:color="auto"/>
              <w:bottom w:val="single" w:sz="4" w:space="0" w:color="auto"/>
              <w:right w:val="single" w:sz="4" w:space="0" w:color="auto"/>
            </w:tcBorders>
            <w:shd w:val="clear" w:color="auto" w:fill="auto"/>
            <w:vAlign w:val="bottom"/>
          </w:tcPr>
          <w:p w:rsidR="002756B9" w:rsidRPr="00132A6D" w:rsidRDefault="00132A6D" w:rsidP="00D25DE3">
            <w:pPr>
              <w:pStyle w:val="Tabletext"/>
              <w:keepNext/>
              <w:keepLines/>
              <w:jc w:val="center"/>
              <w:rPr>
                <w:bCs/>
                <w:color w:val="000000"/>
                <w:szCs w:val="20"/>
                <w:highlight w:val="black"/>
              </w:rPr>
            </w:pPr>
            <w:r>
              <w:rPr>
                <w:noProof/>
                <w:color w:val="000000"/>
                <w:szCs w:val="20"/>
                <w:highlight w:val="black"/>
              </w:rPr>
              <w:t>''''''''''''''''''''''''</w:t>
            </w:r>
          </w:p>
        </w:tc>
        <w:tc>
          <w:tcPr>
            <w:tcW w:w="598" w:type="pct"/>
            <w:tcBorders>
              <w:top w:val="single" w:sz="4" w:space="0" w:color="auto"/>
              <w:left w:val="single" w:sz="4" w:space="0" w:color="auto"/>
              <w:bottom w:val="single" w:sz="4" w:space="0" w:color="auto"/>
              <w:right w:val="single" w:sz="4" w:space="0" w:color="auto"/>
            </w:tcBorders>
            <w:shd w:val="clear" w:color="auto" w:fill="auto"/>
            <w:vAlign w:val="bottom"/>
          </w:tcPr>
          <w:p w:rsidR="002756B9" w:rsidRPr="00132A6D" w:rsidRDefault="00132A6D" w:rsidP="00D25DE3">
            <w:pPr>
              <w:pStyle w:val="Tabletext"/>
              <w:keepNext/>
              <w:keepLines/>
              <w:jc w:val="center"/>
              <w:rPr>
                <w:bCs/>
                <w:color w:val="000000"/>
                <w:szCs w:val="20"/>
                <w:highlight w:val="black"/>
              </w:rPr>
            </w:pPr>
            <w:r>
              <w:rPr>
                <w:noProof/>
                <w:color w:val="000000"/>
                <w:szCs w:val="20"/>
                <w:highlight w:val="black"/>
              </w:rPr>
              <w:t>''''''''''''''''''''''''''</w:t>
            </w:r>
          </w:p>
        </w:tc>
        <w:tc>
          <w:tcPr>
            <w:tcW w:w="598" w:type="pct"/>
            <w:tcBorders>
              <w:top w:val="single" w:sz="4" w:space="0" w:color="auto"/>
              <w:left w:val="single" w:sz="4" w:space="0" w:color="auto"/>
              <w:bottom w:val="single" w:sz="4" w:space="0" w:color="auto"/>
              <w:right w:val="single" w:sz="4" w:space="0" w:color="auto"/>
            </w:tcBorders>
            <w:shd w:val="clear" w:color="auto" w:fill="auto"/>
            <w:vAlign w:val="bottom"/>
          </w:tcPr>
          <w:p w:rsidR="002756B9" w:rsidRPr="00132A6D" w:rsidRDefault="00132A6D" w:rsidP="00D25DE3">
            <w:pPr>
              <w:pStyle w:val="Tabletext"/>
              <w:keepNext/>
              <w:keepLines/>
              <w:jc w:val="center"/>
              <w:rPr>
                <w:bCs/>
                <w:color w:val="000000"/>
                <w:szCs w:val="20"/>
                <w:highlight w:val="black"/>
              </w:rPr>
            </w:pPr>
            <w:r>
              <w:rPr>
                <w:noProof/>
                <w:color w:val="000000"/>
                <w:szCs w:val="20"/>
                <w:highlight w:val="black"/>
              </w:rPr>
              <w:t>''''''''''''''''''''''''</w:t>
            </w:r>
          </w:p>
        </w:tc>
        <w:tc>
          <w:tcPr>
            <w:tcW w:w="599" w:type="pct"/>
            <w:tcBorders>
              <w:top w:val="single" w:sz="4" w:space="0" w:color="auto"/>
              <w:left w:val="single" w:sz="4" w:space="0" w:color="auto"/>
              <w:bottom w:val="single" w:sz="4" w:space="0" w:color="auto"/>
              <w:right w:val="single" w:sz="4" w:space="0" w:color="auto"/>
            </w:tcBorders>
            <w:shd w:val="clear" w:color="auto" w:fill="auto"/>
            <w:vAlign w:val="bottom"/>
          </w:tcPr>
          <w:p w:rsidR="002756B9" w:rsidRPr="00132A6D" w:rsidRDefault="00132A6D" w:rsidP="00D25DE3">
            <w:pPr>
              <w:pStyle w:val="Tabletext"/>
              <w:keepNext/>
              <w:keepLines/>
              <w:jc w:val="center"/>
              <w:rPr>
                <w:bCs/>
                <w:color w:val="000000"/>
                <w:szCs w:val="20"/>
                <w:highlight w:val="black"/>
              </w:rPr>
            </w:pPr>
            <w:r>
              <w:rPr>
                <w:noProof/>
                <w:color w:val="000000"/>
                <w:szCs w:val="20"/>
                <w:highlight w:val="black"/>
              </w:rPr>
              <w:t>''''''''''''''''''''''''''</w:t>
            </w:r>
          </w:p>
        </w:tc>
      </w:tr>
      <w:tr w:rsidR="00512445" w:rsidRPr="00B74BA2" w:rsidTr="00265FFF">
        <w:tc>
          <w:tcPr>
            <w:tcW w:w="1408" w:type="pct"/>
          </w:tcPr>
          <w:p w:rsidR="00512445" w:rsidRPr="00B74BA2" w:rsidRDefault="00512445" w:rsidP="00D25DE3">
            <w:pPr>
              <w:pStyle w:val="Tabletext"/>
              <w:keepNext/>
              <w:keepLines/>
              <w:rPr>
                <w:szCs w:val="20"/>
              </w:rPr>
            </w:pPr>
            <w:r w:rsidRPr="00B74BA2">
              <w:rPr>
                <w:szCs w:val="20"/>
              </w:rPr>
              <w:t>Co-payments</w:t>
            </w:r>
          </w:p>
        </w:tc>
        <w:tc>
          <w:tcPr>
            <w:tcW w:w="598" w:type="pct"/>
          </w:tcPr>
          <w:p w:rsidR="00512445" w:rsidRPr="00132A6D" w:rsidRDefault="00132A6D" w:rsidP="00D25DE3">
            <w:pPr>
              <w:pStyle w:val="Tabletext"/>
              <w:keepNext/>
              <w:keepLines/>
              <w:jc w:val="center"/>
              <w:rPr>
                <w:bCs/>
                <w:color w:val="000000"/>
                <w:szCs w:val="20"/>
                <w:highlight w:val="black"/>
              </w:rPr>
            </w:pPr>
            <w:r>
              <w:rPr>
                <w:noProof/>
                <w:color w:val="000000"/>
                <w:szCs w:val="20"/>
                <w:highlight w:val="black"/>
              </w:rPr>
              <w:t>''''''''''''''''</w:t>
            </w:r>
          </w:p>
        </w:tc>
        <w:tc>
          <w:tcPr>
            <w:tcW w:w="598" w:type="pct"/>
          </w:tcPr>
          <w:p w:rsidR="00512445" w:rsidRPr="00132A6D" w:rsidRDefault="00132A6D" w:rsidP="00D25DE3">
            <w:pPr>
              <w:pStyle w:val="Tabletext"/>
              <w:keepNext/>
              <w:keepLines/>
              <w:jc w:val="center"/>
              <w:rPr>
                <w:bCs/>
                <w:color w:val="000000"/>
                <w:szCs w:val="20"/>
                <w:highlight w:val="black"/>
              </w:rPr>
            </w:pPr>
            <w:r>
              <w:rPr>
                <w:noProof/>
                <w:color w:val="000000"/>
                <w:szCs w:val="20"/>
                <w:highlight w:val="black"/>
              </w:rPr>
              <w:t>'''''''''''''''''</w:t>
            </w:r>
          </w:p>
        </w:tc>
        <w:tc>
          <w:tcPr>
            <w:tcW w:w="598" w:type="pct"/>
          </w:tcPr>
          <w:p w:rsidR="00512445" w:rsidRPr="00132A6D" w:rsidRDefault="00132A6D" w:rsidP="00D25DE3">
            <w:pPr>
              <w:pStyle w:val="Tabletext"/>
              <w:keepNext/>
              <w:keepLines/>
              <w:jc w:val="center"/>
              <w:rPr>
                <w:bCs/>
                <w:color w:val="000000"/>
                <w:szCs w:val="20"/>
                <w:highlight w:val="black"/>
              </w:rPr>
            </w:pPr>
            <w:r>
              <w:rPr>
                <w:noProof/>
                <w:color w:val="000000"/>
                <w:szCs w:val="20"/>
                <w:highlight w:val="black"/>
              </w:rPr>
              <w:t>'''''''''''''''</w:t>
            </w:r>
          </w:p>
        </w:tc>
        <w:tc>
          <w:tcPr>
            <w:tcW w:w="598" w:type="pct"/>
          </w:tcPr>
          <w:p w:rsidR="00512445" w:rsidRPr="00132A6D" w:rsidRDefault="00132A6D" w:rsidP="00D25DE3">
            <w:pPr>
              <w:pStyle w:val="Tabletext"/>
              <w:keepNext/>
              <w:keepLines/>
              <w:jc w:val="center"/>
              <w:rPr>
                <w:bCs/>
                <w:color w:val="000000"/>
                <w:szCs w:val="20"/>
                <w:highlight w:val="black"/>
              </w:rPr>
            </w:pPr>
            <w:r>
              <w:rPr>
                <w:noProof/>
                <w:color w:val="000000"/>
                <w:szCs w:val="20"/>
                <w:highlight w:val="black"/>
              </w:rPr>
              <w:t>'''''''''''''''''</w:t>
            </w:r>
          </w:p>
        </w:tc>
        <w:tc>
          <w:tcPr>
            <w:tcW w:w="598" w:type="pct"/>
          </w:tcPr>
          <w:p w:rsidR="00512445" w:rsidRPr="00132A6D" w:rsidRDefault="00132A6D" w:rsidP="00D25DE3">
            <w:pPr>
              <w:pStyle w:val="Tabletext"/>
              <w:keepNext/>
              <w:keepLines/>
              <w:jc w:val="center"/>
              <w:rPr>
                <w:bCs/>
                <w:color w:val="000000"/>
                <w:szCs w:val="20"/>
                <w:highlight w:val="black"/>
              </w:rPr>
            </w:pPr>
            <w:r>
              <w:rPr>
                <w:noProof/>
                <w:color w:val="000000"/>
                <w:szCs w:val="20"/>
                <w:highlight w:val="black"/>
              </w:rPr>
              <w:t>'''''''''''''''</w:t>
            </w:r>
          </w:p>
        </w:tc>
        <w:tc>
          <w:tcPr>
            <w:tcW w:w="599" w:type="pct"/>
          </w:tcPr>
          <w:p w:rsidR="00512445" w:rsidRPr="00132A6D" w:rsidRDefault="00132A6D" w:rsidP="00D25DE3">
            <w:pPr>
              <w:pStyle w:val="Tabletext"/>
              <w:keepNext/>
              <w:keepLines/>
              <w:jc w:val="center"/>
              <w:rPr>
                <w:bCs/>
                <w:color w:val="000000"/>
                <w:szCs w:val="20"/>
                <w:highlight w:val="black"/>
              </w:rPr>
            </w:pPr>
            <w:r>
              <w:rPr>
                <w:noProof/>
                <w:color w:val="000000"/>
                <w:szCs w:val="20"/>
                <w:highlight w:val="black"/>
              </w:rPr>
              <w:t>''''''''''''''''</w:t>
            </w:r>
          </w:p>
        </w:tc>
      </w:tr>
      <w:tr w:rsidR="00DA7C09" w:rsidRPr="00B74BA2" w:rsidTr="00265FFF">
        <w:tc>
          <w:tcPr>
            <w:tcW w:w="1408" w:type="pct"/>
          </w:tcPr>
          <w:p w:rsidR="00DA7C09" w:rsidRPr="00B74BA2" w:rsidRDefault="00DA7C09" w:rsidP="00D25DE3">
            <w:pPr>
              <w:pStyle w:val="Tabletext"/>
              <w:keepNext/>
              <w:keepLines/>
              <w:rPr>
                <w:szCs w:val="20"/>
              </w:rPr>
            </w:pPr>
            <w:r w:rsidRPr="00B74BA2">
              <w:rPr>
                <w:szCs w:val="20"/>
              </w:rPr>
              <w:t>Cost to PBS/RPBS less co-payments</w:t>
            </w:r>
          </w:p>
        </w:tc>
        <w:tc>
          <w:tcPr>
            <w:tcW w:w="598" w:type="pct"/>
            <w:vAlign w:val="bottom"/>
          </w:tcPr>
          <w:p w:rsidR="00DA7C09" w:rsidRPr="00132A6D" w:rsidRDefault="00132A6D" w:rsidP="00D25DE3">
            <w:pPr>
              <w:pStyle w:val="Tabletext"/>
              <w:keepNext/>
              <w:keepLines/>
              <w:jc w:val="center"/>
              <w:rPr>
                <w:bCs/>
                <w:color w:val="000000"/>
                <w:szCs w:val="20"/>
                <w:highlight w:val="black"/>
              </w:rPr>
            </w:pPr>
            <w:r>
              <w:rPr>
                <w:noProof/>
                <w:color w:val="000000"/>
                <w:szCs w:val="20"/>
                <w:highlight w:val="black"/>
              </w:rPr>
              <w:t>'''''''''''''''''''''''''''</w:t>
            </w:r>
          </w:p>
        </w:tc>
        <w:tc>
          <w:tcPr>
            <w:tcW w:w="598" w:type="pct"/>
            <w:vAlign w:val="bottom"/>
          </w:tcPr>
          <w:p w:rsidR="00DA7C09" w:rsidRPr="00132A6D" w:rsidRDefault="00132A6D" w:rsidP="00D25DE3">
            <w:pPr>
              <w:pStyle w:val="Tabletext"/>
              <w:keepNext/>
              <w:keepLines/>
              <w:jc w:val="center"/>
              <w:rPr>
                <w:bCs/>
                <w:color w:val="000000"/>
                <w:szCs w:val="20"/>
                <w:highlight w:val="black"/>
              </w:rPr>
            </w:pPr>
            <w:r>
              <w:rPr>
                <w:noProof/>
                <w:color w:val="000000"/>
                <w:szCs w:val="20"/>
                <w:highlight w:val="black"/>
              </w:rPr>
              <w:t>'''''''''''''''''''''''''''''</w:t>
            </w:r>
          </w:p>
        </w:tc>
        <w:tc>
          <w:tcPr>
            <w:tcW w:w="598" w:type="pct"/>
            <w:vAlign w:val="bottom"/>
          </w:tcPr>
          <w:p w:rsidR="00DA7C09" w:rsidRPr="00132A6D" w:rsidRDefault="00132A6D" w:rsidP="00D25DE3">
            <w:pPr>
              <w:pStyle w:val="Tabletext"/>
              <w:keepNext/>
              <w:keepLines/>
              <w:jc w:val="center"/>
              <w:rPr>
                <w:bCs/>
                <w:color w:val="000000"/>
                <w:szCs w:val="20"/>
                <w:highlight w:val="black"/>
              </w:rPr>
            </w:pPr>
            <w:r>
              <w:rPr>
                <w:noProof/>
                <w:color w:val="000000"/>
                <w:szCs w:val="20"/>
                <w:highlight w:val="black"/>
              </w:rPr>
              <w:t>'''''''''''''''''''''''''''</w:t>
            </w:r>
          </w:p>
        </w:tc>
        <w:tc>
          <w:tcPr>
            <w:tcW w:w="598" w:type="pct"/>
            <w:vAlign w:val="bottom"/>
          </w:tcPr>
          <w:p w:rsidR="00DA7C09" w:rsidRPr="00132A6D" w:rsidRDefault="00132A6D" w:rsidP="00D25DE3">
            <w:pPr>
              <w:pStyle w:val="Tabletext"/>
              <w:keepNext/>
              <w:keepLines/>
              <w:jc w:val="center"/>
              <w:rPr>
                <w:bCs/>
                <w:color w:val="000000"/>
                <w:szCs w:val="20"/>
                <w:highlight w:val="black"/>
              </w:rPr>
            </w:pPr>
            <w:r>
              <w:rPr>
                <w:noProof/>
                <w:color w:val="000000"/>
                <w:szCs w:val="20"/>
                <w:highlight w:val="black"/>
              </w:rPr>
              <w:t>'''''''''''''''''''''''''''''</w:t>
            </w:r>
          </w:p>
        </w:tc>
        <w:tc>
          <w:tcPr>
            <w:tcW w:w="598" w:type="pct"/>
            <w:vAlign w:val="bottom"/>
          </w:tcPr>
          <w:p w:rsidR="00DA7C09" w:rsidRPr="00132A6D" w:rsidRDefault="00132A6D" w:rsidP="00D25DE3">
            <w:pPr>
              <w:pStyle w:val="Tabletext"/>
              <w:keepNext/>
              <w:keepLines/>
              <w:jc w:val="center"/>
              <w:rPr>
                <w:bCs/>
                <w:color w:val="000000"/>
                <w:szCs w:val="20"/>
                <w:highlight w:val="black"/>
              </w:rPr>
            </w:pPr>
            <w:r>
              <w:rPr>
                <w:noProof/>
                <w:color w:val="000000"/>
                <w:szCs w:val="20"/>
                <w:highlight w:val="black"/>
              </w:rPr>
              <w:t>''''''''''''''''''''''''''</w:t>
            </w:r>
          </w:p>
        </w:tc>
        <w:tc>
          <w:tcPr>
            <w:tcW w:w="599" w:type="pct"/>
            <w:vAlign w:val="bottom"/>
          </w:tcPr>
          <w:p w:rsidR="00DA7C09" w:rsidRPr="00132A6D" w:rsidRDefault="00132A6D" w:rsidP="00D25DE3">
            <w:pPr>
              <w:pStyle w:val="Tabletext"/>
              <w:keepNext/>
              <w:keepLines/>
              <w:jc w:val="center"/>
              <w:rPr>
                <w:bCs/>
                <w:color w:val="000000"/>
                <w:szCs w:val="20"/>
                <w:highlight w:val="black"/>
              </w:rPr>
            </w:pPr>
            <w:r>
              <w:rPr>
                <w:noProof/>
                <w:color w:val="000000"/>
                <w:szCs w:val="20"/>
                <w:highlight w:val="black"/>
              </w:rPr>
              <w:t>'''''''''''''''''''''''''''</w:t>
            </w:r>
          </w:p>
        </w:tc>
      </w:tr>
      <w:tr w:rsidR="005D4DB8" w:rsidRPr="00B74BA2" w:rsidTr="003A1711">
        <w:tc>
          <w:tcPr>
            <w:tcW w:w="5000" w:type="pct"/>
            <w:gridSpan w:val="7"/>
          </w:tcPr>
          <w:p w:rsidR="005D4DB8" w:rsidRPr="00B74BA2" w:rsidRDefault="005D4DB8" w:rsidP="00D25DE3">
            <w:pPr>
              <w:pStyle w:val="Tabletext"/>
              <w:keepNext/>
              <w:keepLines/>
              <w:rPr>
                <w:bCs/>
                <w:color w:val="000000"/>
                <w:szCs w:val="20"/>
              </w:rPr>
            </w:pPr>
            <w:r w:rsidRPr="00B74BA2">
              <w:rPr>
                <w:b/>
                <w:bCs/>
                <w:color w:val="000000"/>
                <w:szCs w:val="20"/>
              </w:rPr>
              <w:t>Estimated financial implications for SOC</w:t>
            </w:r>
            <w:r w:rsidR="00577F9B">
              <w:rPr>
                <w:b/>
                <w:bCs/>
                <w:color w:val="000000"/>
                <w:szCs w:val="20"/>
              </w:rPr>
              <w:t xml:space="preserve"> ($)</w:t>
            </w:r>
          </w:p>
        </w:tc>
      </w:tr>
      <w:tr w:rsidR="005D4DB8" w:rsidRPr="00B74BA2" w:rsidTr="00265FFF">
        <w:tc>
          <w:tcPr>
            <w:tcW w:w="1408" w:type="pct"/>
          </w:tcPr>
          <w:p w:rsidR="005D4DB8" w:rsidRPr="00B74BA2" w:rsidRDefault="005D4DB8" w:rsidP="00D25DE3">
            <w:pPr>
              <w:pStyle w:val="Tabletext"/>
              <w:keepNext/>
              <w:keepLines/>
              <w:rPr>
                <w:szCs w:val="20"/>
              </w:rPr>
            </w:pPr>
            <w:r w:rsidRPr="00B74BA2">
              <w:rPr>
                <w:szCs w:val="20"/>
              </w:rPr>
              <w:t>Cost to PBS/RPBS</w:t>
            </w:r>
          </w:p>
        </w:tc>
        <w:tc>
          <w:tcPr>
            <w:tcW w:w="598" w:type="pct"/>
          </w:tcPr>
          <w:p w:rsidR="005D4DB8" w:rsidRPr="00132A6D" w:rsidRDefault="00132A6D" w:rsidP="00D25DE3">
            <w:pPr>
              <w:pStyle w:val="Tabletext"/>
              <w:keepNext/>
              <w:keepLines/>
              <w:jc w:val="center"/>
              <w:rPr>
                <w:bCs/>
                <w:color w:val="000000"/>
                <w:szCs w:val="20"/>
                <w:highlight w:val="black"/>
              </w:rPr>
            </w:pPr>
            <w:r>
              <w:rPr>
                <w:rFonts w:cs="Arial"/>
                <w:noProof/>
                <w:color w:val="000000"/>
                <w:szCs w:val="20"/>
                <w:highlight w:val="black"/>
              </w:rPr>
              <w:t>'''''''''''''''''''''''</w:t>
            </w:r>
          </w:p>
        </w:tc>
        <w:tc>
          <w:tcPr>
            <w:tcW w:w="598" w:type="pct"/>
          </w:tcPr>
          <w:p w:rsidR="005D4DB8" w:rsidRPr="00132A6D" w:rsidRDefault="00132A6D" w:rsidP="00D25DE3">
            <w:pPr>
              <w:pStyle w:val="Tabletext"/>
              <w:keepNext/>
              <w:keepLines/>
              <w:jc w:val="center"/>
              <w:rPr>
                <w:bCs/>
                <w:color w:val="000000"/>
                <w:szCs w:val="20"/>
                <w:highlight w:val="black"/>
              </w:rPr>
            </w:pPr>
            <w:r>
              <w:rPr>
                <w:rFonts w:cs="Arial"/>
                <w:noProof/>
                <w:color w:val="000000"/>
                <w:szCs w:val="20"/>
                <w:highlight w:val="black"/>
              </w:rPr>
              <w:t>''''''''''''''''''''''</w:t>
            </w:r>
          </w:p>
        </w:tc>
        <w:tc>
          <w:tcPr>
            <w:tcW w:w="598" w:type="pct"/>
          </w:tcPr>
          <w:p w:rsidR="005D4DB8" w:rsidRPr="00132A6D" w:rsidRDefault="00132A6D" w:rsidP="00D25DE3">
            <w:pPr>
              <w:pStyle w:val="Tabletext"/>
              <w:keepNext/>
              <w:keepLines/>
              <w:jc w:val="center"/>
              <w:rPr>
                <w:bCs/>
                <w:color w:val="000000"/>
                <w:szCs w:val="20"/>
                <w:highlight w:val="black"/>
              </w:rPr>
            </w:pPr>
            <w:r>
              <w:rPr>
                <w:rFonts w:cs="Arial"/>
                <w:noProof/>
                <w:color w:val="000000"/>
                <w:szCs w:val="20"/>
                <w:highlight w:val="black"/>
              </w:rPr>
              <w:t>'''''''''''''''''''''''</w:t>
            </w:r>
          </w:p>
        </w:tc>
        <w:tc>
          <w:tcPr>
            <w:tcW w:w="598" w:type="pct"/>
          </w:tcPr>
          <w:p w:rsidR="005D4DB8" w:rsidRPr="00132A6D" w:rsidRDefault="00132A6D" w:rsidP="00D25DE3">
            <w:pPr>
              <w:pStyle w:val="Tabletext"/>
              <w:keepNext/>
              <w:keepLines/>
              <w:jc w:val="center"/>
              <w:rPr>
                <w:bCs/>
                <w:color w:val="000000"/>
                <w:szCs w:val="20"/>
                <w:highlight w:val="black"/>
              </w:rPr>
            </w:pPr>
            <w:r>
              <w:rPr>
                <w:rFonts w:cs="Arial"/>
                <w:noProof/>
                <w:color w:val="000000"/>
                <w:szCs w:val="20"/>
                <w:highlight w:val="black"/>
              </w:rPr>
              <w:t>'''''''''''''''''''''''</w:t>
            </w:r>
          </w:p>
        </w:tc>
        <w:tc>
          <w:tcPr>
            <w:tcW w:w="598" w:type="pct"/>
          </w:tcPr>
          <w:p w:rsidR="005D4DB8" w:rsidRPr="00132A6D" w:rsidRDefault="00132A6D" w:rsidP="00D25DE3">
            <w:pPr>
              <w:pStyle w:val="Tabletext"/>
              <w:keepNext/>
              <w:keepLines/>
              <w:jc w:val="center"/>
              <w:rPr>
                <w:bCs/>
                <w:color w:val="000000"/>
                <w:szCs w:val="20"/>
                <w:highlight w:val="black"/>
              </w:rPr>
            </w:pPr>
            <w:r>
              <w:rPr>
                <w:rFonts w:cs="Arial"/>
                <w:noProof/>
                <w:color w:val="000000"/>
                <w:szCs w:val="20"/>
                <w:highlight w:val="black"/>
              </w:rPr>
              <w:t>'''''''''''''''''''''''</w:t>
            </w:r>
          </w:p>
        </w:tc>
        <w:tc>
          <w:tcPr>
            <w:tcW w:w="599" w:type="pct"/>
          </w:tcPr>
          <w:p w:rsidR="005D4DB8" w:rsidRPr="00132A6D" w:rsidRDefault="00132A6D" w:rsidP="00D25DE3">
            <w:pPr>
              <w:pStyle w:val="Tabletext"/>
              <w:keepNext/>
              <w:keepLines/>
              <w:jc w:val="center"/>
              <w:rPr>
                <w:bCs/>
                <w:color w:val="000000"/>
                <w:szCs w:val="20"/>
                <w:highlight w:val="black"/>
              </w:rPr>
            </w:pPr>
            <w:r>
              <w:rPr>
                <w:rFonts w:cs="Arial"/>
                <w:noProof/>
                <w:color w:val="000000"/>
                <w:szCs w:val="20"/>
                <w:highlight w:val="black"/>
              </w:rPr>
              <w:t>''''''''''''''''''''''</w:t>
            </w:r>
          </w:p>
        </w:tc>
      </w:tr>
      <w:tr w:rsidR="005D4DB8" w:rsidRPr="00B74BA2" w:rsidTr="00265FFF">
        <w:tc>
          <w:tcPr>
            <w:tcW w:w="1408" w:type="pct"/>
          </w:tcPr>
          <w:p w:rsidR="005D4DB8" w:rsidRPr="00B74BA2" w:rsidRDefault="005D4DB8" w:rsidP="00D25DE3">
            <w:pPr>
              <w:pStyle w:val="Tabletext"/>
              <w:keepNext/>
              <w:keepLines/>
              <w:rPr>
                <w:szCs w:val="20"/>
              </w:rPr>
            </w:pPr>
            <w:r w:rsidRPr="00B74BA2">
              <w:rPr>
                <w:szCs w:val="20"/>
              </w:rPr>
              <w:t>Co-payments</w:t>
            </w:r>
          </w:p>
        </w:tc>
        <w:tc>
          <w:tcPr>
            <w:tcW w:w="598" w:type="pct"/>
          </w:tcPr>
          <w:p w:rsidR="005D4DB8" w:rsidRPr="00132A6D" w:rsidRDefault="00132A6D" w:rsidP="00D25DE3">
            <w:pPr>
              <w:pStyle w:val="Tabletext"/>
              <w:keepNext/>
              <w:keepLines/>
              <w:jc w:val="center"/>
              <w:rPr>
                <w:bCs/>
                <w:color w:val="000000"/>
                <w:szCs w:val="20"/>
                <w:highlight w:val="black"/>
              </w:rPr>
            </w:pPr>
            <w:r>
              <w:rPr>
                <w:noProof/>
                <w:color w:val="000000"/>
                <w:highlight w:val="black"/>
              </w:rPr>
              <w:t>''''''''''''''''</w:t>
            </w:r>
          </w:p>
        </w:tc>
        <w:tc>
          <w:tcPr>
            <w:tcW w:w="598" w:type="pct"/>
          </w:tcPr>
          <w:p w:rsidR="005D4DB8" w:rsidRPr="00132A6D" w:rsidRDefault="00132A6D" w:rsidP="00D25DE3">
            <w:pPr>
              <w:pStyle w:val="Tabletext"/>
              <w:keepNext/>
              <w:keepLines/>
              <w:jc w:val="center"/>
              <w:rPr>
                <w:bCs/>
                <w:color w:val="000000"/>
                <w:szCs w:val="20"/>
                <w:highlight w:val="black"/>
              </w:rPr>
            </w:pPr>
            <w:r>
              <w:rPr>
                <w:noProof/>
                <w:color w:val="000000"/>
                <w:highlight w:val="black"/>
              </w:rPr>
              <w:t>'''''''''''''''</w:t>
            </w:r>
          </w:p>
        </w:tc>
        <w:tc>
          <w:tcPr>
            <w:tcW w:w="598" w:type="pct"/>
          </w:tcPr>
          <w:p w:rsidR="005D4DB8" w:rsidRPr="00132A6D" w:rsidRDefault="00132A6D" w:rsidP="00D25DE3">
            <w:pPr>
              <w:pStyle w:val="Tabletext"/>
              <w:keepNext/>
              <w:keepLines/>
              <w:jc w:val="center"/>
              <w:rPr>
                <w:bCs/>
                <w:color w:val="000000"/>
                <w:szCs w:val="20"/>
                <w:highlight w:val="black"/>
              </w:rPr>
            </w:pPr>
            <w:r>
              <w:rPr>
                <w:noProof/>
                <w:color w:val="000000"/>
                <w:highlight w:val="black"/>
              </w:rPr>
              <w:t>'''''''''''''''</w:t>
            </w:r>
          </w:p>
        </w:tc>
        <w:tc>
          <w:tcPr>
            <w:tcW w:w="598" w:type="pct"/>
          </w:tcPr>
          <w:p w:rsidR="005D4DB8" w:rsidRPr="00132A6D" w:rsidRDefault="00132A6D" w:rsidP="00D25DE3">
            <w:pPr>
              <w:pStyle w:val="Tabletext"/>
              <w:keepNext/>
              <w:keepLines/>
              <w:jc w:val="center"/>
              <w:rPr>
                <w:bCs/>
                <w:color w:val="000000"/>
                <w:szCs w:val="20"/>
                <w:highlight w:val="black"/>
              </w:rPr>
            </w:pPr>
            <w:r>
              <w:rPr>
                <w:noProof/>
                <w:color w:val="000000"/>
                <w:highlight w:val="black"/>
              </w:rPr>
              <w:t>''''''''''''''''</w:t>
            </w:r>
          </w:p>
        </w:tc>
        <w:tc>
          <w:tcPr>
            <w:tcW w:w="598" w:type="pct"/>
          </w:tcPr>
          <w:p w:rsidR="005D4DB8" w:rsidRPr="00132A6D" w:rsidRDefault="00132A6D" w:rsidP="00D25DE3">
            <w:pPr>
              <w:pStyle w:val="Tabletext"/>
              <w:keepNext/>
              <w:keepLines/>
              <w:jc w:val="center"/>
              <w:rPr>
                <w:bCs/>
                <w:color w:val="000000"/>
                <w:szCs w:val="20"/>
                <w:highlight w:val="black"/>
              </w:rPr>
            </w:pPr>
            <w:r>
              <w:rPr>
                <w:noProof/>
                <w:color w:val="000000"/>
                <w:highlight w:val="black"/>
              </w:rPr>
              <w:t>''''''''''''''''</w:t>
            </w:r>
          </w:p>
        </w:tc>
        <w:tc>
          <w:tcPr>
            <w:tcW w:w="599" w:type="pct"/>
          </w:tcPr>
          <w:p w:rsidR="005D4DB8" w:rsidRPr="00132A6D" w:rsidRDefault="00132A6D" w:rsidP="00D25DE3">
            <w:pPr>
              <w:pStyle w:val="Tabletext"/>
              <w:keepNext/>
              <w:keepLines/>
              <w:jc w:val="center"/>
              <w:rPr>
                <w:bCs/>
                <w:color w:val="000000"/>
                <w:szCs w:val="20"/>
                <w:highlight w:val="black"/>
              </w:rPr>
            </w:pPr>
            <w:r>
              <w:rPr>
                <w:noProof/>
                <w:color w:val="000000"/>
                <w:highlight w:val="black"/>
              </w:rPr>
              <w:t>'''''''''''''''</w:t>
            </w:r>
          </w:p>
        </w:tc>
      </w:tr>
      <w:tr w:rsidR="005D4DB8" w:rsidRPr="00B74BA2" w:rsidTr="00265FFF">
        <w:tc>
          <w:tcPr>
            <w:tcW w:w="1408" w:type="pct"/>
          </w:tcPr>
          <w:p w:rsidR="005D4DB8" w:rsidRPr="00B74BA2" w:rsidRDefault="005D4DB8" w:rsidP="00D25DE3">
            <w:pPr>
              <w:pStyle w:val="Tabletext"/>
              <w:keepNext/>
              <w:keepLines/>
              <w:rPr>
                <w:szCs w:val="20"/>
              </w:rPr>
            </w:pPr>
            <w:r w:rsidRPr="00B74BA2">
              <w:rPr>
                <w:szCs w:val="20"/>
              </w:rPr>
              <w:t>Cost to PBS/RPBS less co-payments</w:t>
            </w:r>
          </w:p>
        </w:tc>
        <w:tc>
          <w:tcPr>
            <w:tcW w:w="598" w:type="pct"/>
          </w:tcPr>
          <w:p w:rsidR="005D4DB8" w:rsidRPr="00132A6D" w:rsidRDefault="00132A6D" w:rsidP="00D25DE3">
            <w:pPr>
              <w:pStyle w:val="Tabletext"/>
              <w:keepNext/>
              <w:keepLines/>
              <w:jc w:val="center"/>
              <w:rPr>
                <w:bCs/>
                <w:color w:val="000000"/>
                <w:szCs w:val="20"/>
                <w:highlight w:val="black"/>
              </w:rPr>
            </w:pPr>
            <w:r>
              <w:rPr>
                <w:noProof/>
                <w:color w:val="000000"/>
                <w:highlight w:val="black"/>
              </w:rPr>
              <w:t>'''''''''''''''''''''</w:t>
            </w:r>
          </w:p>
        </w:tc>
        <w:tc>
          <w:tcPr>
            <w:tcW w:w="598" w:type="pct"/>
          </w:tcPr>
          <w:p w:rsidR="005D4DB8" w:rsidRPr="00132A6D" w:rsidRDefault="00132A6D" w:rsidP="00D25DE3">
            <w:pPr>
              <w:pStyle w:val="Tabletext"/>
              <w:keepNext/>
              <w:keepLines/>
              <w:jc w:val="center"/>
              <w:rPr>
                <w:bCs/>
                <w:color w:val="000000"/>
                <w:szCs w:val="20"/>
                <w:highlight w:val="black"/>
              </w:rPr>
            </w:pPr>
            <w:r>
              <w:rPr>
                <w:noProof/>
                <w:color w:val="000000"/>
                <w:highlight w:val="black"/>
              </w:rPr>
              <w:t>''''''''''''''''''</w:t>
            </w:r>
          </w:p>
        </w:tc>
        <w:tc>
          <w:tcPr>
            <w:tcW w:w="598" w:type="pct"/>
          </w:tcPr>
          <w:p w:rsidR="005D4DB8" w:rsidRPr="00132A6D" w:rsidRDefault="00132A6D" w:rsidP="00D25DE3">
            <w:pPr>
              <w:pStyle w:val="Tabletext"/>
              <w:keepNext/>
              <w:keepLines/>
              <w:jc w:val="center"/>
              <w:rPr>
                <w:bCs/>
                <w:color w:val="000000"/>
                <w:szCs w:val="20"/>
                <w:highlight w:val="black"/>
              </w:rPr>
            </w:pPr>
            <w:r>
              <w:rPr>
                <w:noProof/>
                <w:color w:val="000000"/>
                <w:highlight w:val="black"/>
              </w:rPr>
              <w:t>'''''''''''''''''''''</w:t>
            </w:r>
          </w:p>
        </w:tc>
        <w:tc>
          <w:tcPr>
            <w:tcW w:w="598" w:type="pct"/>
          </w:tcPr>
          <w:p w:rsidR="005D4DB8" w:rsidRPr="00132A6D" w:rsidRDefault="00132A6D" w:rsidP="00D25DE3">
            <w:pPr>
              <w:pStyle w:val="Tabletext"/>
              <w:keepNext/>
              <w:keepLines/>
              <w:jc w:val="center"/>
              <w:rPr>
                <w:bCs/>
                <w:color w:val="000000"/>
                <w:szCs w:val="20"/>
                <w:highlight w:val="black"/>
              </w:rPr>
            </w:pPr>
            <w:r>
              <w:rPr>
                <w:noProof/>
                <w:color w:val="000000"/>
                <w:highlight w:val="black"/>
              </w:rPr>
              <w:t>''''''''''''''''''''</w:t>
            </w:r>
          </w:p>
        </w:tc>
        <w:tc>
          <w:tcPr>
            <w:tcW w:w="598" w:type="pct"/>
          </w:tcPr>
          <w:p w:rsidR="005D4DB8" w:rsidRPr="00132A6D" w:rsidRDefault="00132A6D" w:rsidP="00D25DE3">
            <w:pPr>
              <w:pStyle w:val="Tabletext"/>
              <w:keepNext/>
              <w:keepLines/>
              <w:jc w:val="center"/>
              <w:rPr>
                <w:bCs/>
                <w:color w:val="000000"/>
                <w:szCs w:val="20"/>
                <w:highlight w:val="black"/>
              </w:rPr>
            </w:pPr>
            <w:r>
              <w:rPr>
                <w:noProof/>
                <w:color w:val="000000"/>
                <w:highlight w:val="black"/>
              </w:rPr>
              <w:t>''''''''''''''''''''''</w:t>
            </w:r>
          </w:p>
        </w:tc>
        <w:tc>
          <w:tcPr>
            <w:tcW w:w="599" w:type="pct"/>
          </w:tcPr>
          <w:p w:rsidR="005D4DB8" w:rsidRPr="00132A6D" w:rsidRDefault="00132A6D" w:rsidP="00D25DE3">
            <w:pPr>
              <w:pStyle w:val="Tabletext"/>
              <w:keepNext/>
              <w:keepLines/>
              <w:jc w:val="center"/>
              <w:rPr>
                <w:bCs/>
                <w:color w:val="000000"/>
                <w:szCs w:val="20"/>
                <w:highlight w:val="black"/>
              </w:rPr>
            </w:pPr>
            <w:r>
              <w:rPr>
                <w:noProof/>
                <w:color w:val="000000"/>
                <w:highlight w:val="black"/>
              </w:rPr>
              <w:t>'''''''''''''''''''''</w:t>
            </w:r>
          </w:p>
        </w:tc>
      </w:tr>
      <w:tr w:rsidR="005D4DB8" w:rsidRPr="00B74BA2" w:rsidTr="003A1711">
        <w:tc>
          <w:tcPr>
            <w:tcW w:w="5000" w:type="pct"/>
            <w:gridSpan w:val="7"/>
          </w:tcPr>
          <w:p w:rsidR="005D4DB8" w:rsidRPr="00B74BA2" w:rsidRDefault="005D4DB8" w:rsidP="00D25DE3">
            <w:pPr>
              <w:pStyle w:val="Tabletext"/>
              <w:keepNext/>
              <w:keepLines/>
              <w:rPr>
                <w:b/>
                <w:bCs/>
                <w:color w:val="000000"/>
                <w:szCs w:val="20"/>
              </w:rPr>
            </w:pPr>
            <w:r w:rsidRPr="00B74BA2">
              <w:rPr>
                <w:b/>
                <w:bCs/>
                <w:color w:val="000000"/>
                <w:szCs w:val="20"/>
              </w:rPr>
              <w:t>Net financial implications</w:t>
            </w:r>
            <w:r w:rsidRPr="00B74BA2">
              <w:rPr>
                <w:b/>
                <w:bCs/>
                <w:color w:val="4BACC6" w:themeColor="accent5"/>
                <w:szCs w:val="20"/>
              </w:rPr>
              <w:t xml:space="preserve"> </w:t>
            </w:r>
            <w:r w:rsidR="00577F9B">
              <w:rPr>
                <w:b/>
                <w:bCs/>
                <w:color w:val="4BACC6" w:themeColor="accent5"/>
                <w:szCs w:val="20"/>
              </w:rPr>
              <w:t>($)</w:t>
            </w:r>
          </w:p>
        </w:tc>
      </w:tr>
      <w:tr w:rsidR="00DA7C09" w:rsidRPr="00B74BA2" w:rsidTr="00265FFF">
        <w:tc>
          <w:tcPr>
            <w:tcW w:w="1408" w:type="pct"/>
          </w:tcPr>
          <w:p w:rsidR="00DA7C09" w:rsidRPr="00B74BA2" w:rsidRDefault="00DA7C09" w:rsidP="00D25DE3">
            <w:pPr>
              <w:pStyle w:val="Tabletext"/>
              <w:keepNext/>
              <w:keepLines/>
              <w:rPr>
                <w:szCs w:val="20"/>
              </w:rPr>
            </w:pPr>
            <w:r w:rsidRPr="00B74BA2">
              <w:rPr>
                <w:szCs w:val="20"/>
              </w:rPr>
              <w:t>Net cost to PBS/RPBS</w:t>
            </w:r>
          </w:p>
        </w:tc>
        <w:tc>
          <w:tcPr>
            <w:tcW w:w="598" w:type="pct"/>
            <w:tcBorders>
              <w:top w:val="single" w:sz="4" w:space="0" w:color="auto"/>
              <w:left w:val="nil"/>
              <w:bottom w:val="single" w:sz="4" w:space="0" w:color="auto"/>
              <w:right w:val="single" w:sz="4" w:space="0" w:color="auto"/>
            </w:tcBorders>
            <w:shd w:val="clear" w:color="auto" w:fill="auto"/>
            <w:vAlign w:val="bottom"/>
          </w:tcPr>
          <w:p w:rsidR="00DA7C09" w:rsidRPr="00132A6D" w:rsidRDefault="00132A6D" w:rsidP="00D25DE3">
            <w:pPr>
              <w:pStyle w:val="Tabletext"/>
              <w:keepNext/>
              <w:keepLines/>
              <w:jc w:val="center"/>
              <w:rPr>
                <w:bCs/>
                <w:color w:val="000000"/>
                <w:szCs w:val="20"/>
                <w:highlight w:val="black"/>
              </w:rPr>
            </w:pPr>
            <w:r>
              <w:rPr>
                <w:rFonts w:cs="Arial"/>
                <w:noProof/>
                <w:color w:val="000000"/>
                <w:szCs w:val="20"/>
                <w:highlight w:val="black"/>
              </w:rPr>
              <w:t>'''''''''''''''''''''''</w:t>
            </w:r>
          </w:p>
        </w:tc>
        <w:tc>
          <w:tcPr>
            <w:tcW w:w="598" w:type="pct"/>
            <w:tcBorders>
              <w:top w:val="single" w:sz="4" w:space="0" w:color="auto"/>
              <w:left w:val="single" w:sz="4" w:space="0" w:color="auto"/>
              <w:bottom w:val="single" w:sz="4" w:space="0" w:color="auto"/>
              <w:right w:val="single" w:sz="4" w:space="0" w:color="auto"/>
            </w:tcBorders>
            <w:shd w:val="clear" w:color="auto" w:fill="auto"/>
            <w:vAlign w:val="bottom"/>
          </w:tcPr>
          <w:p w:rsidR="00DA7C09" w:rsidRPr="00132A6D" w:rsidRDefault="00132A6D" w:rsidP="00D25DE3">
            <w:pPr>
              <w:pStyle w:val="Tabletext"/>
              <w:keepNext/>
              <w:keepLines/>
              <w:jc w:val="center"/>
              <w:rPr>
                <w:bCs/>
                <w:color w:val="000000"/>
                <w:szCs w:val="20"/>
                <w:highlight w:val="black"/>
              </w:rPr>
            </w:pPr>
            <w:r>
              <w:rPr>
                <w:rFonts w:cs="Arial"/>
                <w:noProof/>
                <w:color w:val="000000"/>
                <w:szCs w:val="20"/>
                <w:highlight w:val="black"/>
              </w:rPr>
              <w:t>'''''''''''''''''''''''''</w:t>
            </w:r>
          </w:p>
        </w:tc>
        <w:tc>
          <w:tcPr>
            <w:tcW w:w="598" w:type="pct"/>
            <w:tcBorders>
              <w:top w:val="single" w:sz="4" w:space="0" w:color="auto"/>
              <w:left w:val="single" w:sz="4" w:space="0" w:color="auto"/>
              <w:bottom w:val="single" w:sz="4" w:space="0" w:color="auto"/>
              <w:right w:val="single" w:sz="4" w:space="0" w:color="auto"/>
            </w:tcBorders>
            <w:shd w:val="clear" w:color="auto" w:fill="auto"/>
            <w:vAlign w:val="bottom"/>
          </w:tcPr>
          <w:p w:rsidR="00DA7C09" w:rsidRPr="00132A6D" w:rsidRDefault="00132A6D" w:rsidP="00D25DE3">
            <w:pPr>
              <w:pStyle w:val="Tabletext"/>
              <w:keepNext/>
              <w:keepLines/>
              <w:jc w:val="center"/>
              <w:rPr>
                <w:bCs/>
                <w:color w:val="000000"/>
                <w:szCs w:val="20"/>
                <w:highlight w:val="black"/>
              </w:rPr>
            </w:pPr>
            <w:r>
              <w:rPr>
                <w:rFonts w:cs="Arial"/>
                <w:noProof/>
                <w:color w:val="000000"/>
                <w:szCs w:val="20"/>
                <w:highlight w:val="black"/>
              </w:rPr>
              <w:t>''''''''''''''''''''''''''''</w:t>
            </w:r>
          </w:p>
        </w:tc>
        <w:tc>
          <w:tcPr>
            <w:tcW w:w="598" w:type="pct"/>
            <w:tcBorders>
              <w:top w:val="single" w:sz="4" w:space="0" w:color="auto"/>
              <w:left w:val="single" w:sz="4" w:space="0" w:color="auto"/>
              <w:bottom w:val="single" w:sz="4" w:space="0" w:color="auto"/>
              <w:right w:val="single" w:sz="4" w:space="0" w:color="auto"/>
            </w:tcBorders>
            <w:shd w:val="clear" w:color="auto" w:fill="auto"/>
            <w:vAlign w:val="bottom"/>
          </w:tcPr>
          <w:p w:rsidR="00DA7C09" w:rsidRPr="00132A6D" w:rsidRDefault="00132A6D" w:rsidP="00D25DE3">
            <w:pPr>
              <w:pStyle w:val="Tabletext"/>
              <w:keepNext/>
              <w:keepLines/>
              <w:jc w:val="center"/>
              <w:rPr>
                <w:bCs/>
                <w:color w:val="000000"/>
                <w:szCs w:val="20"/>
                <w:highlight w:val="black"/>
              </w:rPr>
            </w:pPr>
            <w:r>
              <w:rPr>
                <w:rFonts w:cs="Arial"/>
                <w:noProof/>
                <w:color w:val="000000"/>
                <w:szCs w:val="20"/>
                <w:highlight w:val="black"/>
              </w:rPr>
              <w:t>'''''''''''''''''''''''''''</w:t>
            </w:r>
          </w:p>
        </w:tc>
        <w:tc>
          <w:tcPr>
            <w:tcW w:w="598" w:type="pct"/>
            <w:tcBorders>
              <w:top w:val="single" w:sz="4" w:space="0" w:color="auto"/>
              <w:left w:val="single" w:sz="4" w:space="0" w:color="auto"/>
              <w:bottom w:val="single" w:sz="4" w:space="0" w:color="auto"/>
              <w:right w:val="single" w:sz="4" w:space="0" w:color="auto"/>
            </w:tcBorders>
            <w:shd w:val="clear" w:color="auto" w:fill="auto"/>
            <w:vAlign w:val="bottom"/>
          </w:tcPr>
          <w:p w:rsidR="00DA7C09" w:rsidRPr="00132A6D" w:rsidRDefault="00132A6D" w:rsidP="00D25DE3">
            <w:pPr>
              <w:pStyle w:val="Tabletext"/>
              <w:keepNext/>
              <w:keepLines/>
              <w:jc w:val="center"/>
              <w:rPr>
                <w:bCs/>
                <w:color w:val="000000"/>
                <w:szCs w:val="20"/>
                <w:highlight w:val="black"/>
              </w:rPr>
            </w:pPr>
            <w:r>
              <w:rPr>
                <w:rFonts w:cs="Arial"/>
                <w:noProof/>
                <w:color w:val="000000"/>
                <w:szCs w:val="20"/>
                <w:highlight w:val="black"/>
              </w:rPr>
              <w:t>''''''''''''''''''''''''</w:t>
            </w:r>
          </w:p>
        </w:tc>
        <w:tc>
          <w:tcPr>
            <w:tcW w:w="599" w:type="pct"/>
            <w:tcBorders>
              <w:top w:val="single" w:sz="4" w:space="0" w:color="auto"/>
              <w:left w:val="single" w:sz="4" w:space="0" w:color="auto"/>
              <w:bottom w:val="single" w:sz="4" w:space="0" w:color="auto"/>
              <w:right w:val="single" w:sz="4" w:space="0" w:color="auto"/>
            </w:tcBorders>
            <w:shd w:val="clear" w:color="auto" w:fill="auto"/>
            <w:vAlign w:val="bottom"/>
          </w:tcPr>
          <w:p w:rsidR="00DA7C09" w:rsidRPr="00132A6D" w:rsidRDefault="00132A6D" w:rsidP="00D25DE3">
            <w:pPr>
              <w:pStyle w:val="Tabletext"/>
              <w:keepNext/>
              <w:keepLines/>
              <w:jc w:val="center"/>
              <w:rPr>
                <w:bCs/>
                <w:color w:val="000000"/>
                <w:szCs w:val="20"/>
                <w:highlight w:val="black"/>
              </w:rPr>
            </w:pPr>
            <w:r>
              <w:rPr>
                <w:rFonts w:cs="Arial"/>
                <w:noProof/>
                <w:color w:val="000000"/>
                <w:szCs w:val="20"/>
                <w:highlight w:val="black"/>
              </w:rPr>
              <w:t>'''''''''''''''''''''''</w:t>
            </w:r>
          </w:p>
        </w:tc>
      </w:tr>
    </w:tbl>
    <w:p w:rsidR="005D4DB8" w:rsidRPr="00B74BA2" w:rsidRDefault="005D4DB8" w:rsidP="00D25DE3">
      <w:pPr>
        <w:pStyle w:val="TableFooter"/>
        <w:keepNext/>
        <w:keepLines/>
        <w:widowControl/>
        <w:tabs>
          <w:tab w:val="left" w:pos="142"/>
        </w:tabs>
      </w:pPr>
      <w:proofErr w:type="spellStart"/>
      <w:proofErr w:type="gramStart"/>
      <w:r w:rsidRPr="00B74BA2">
        <w:rPr>
          <w:vertAlign w:val="superscript"/>
        </w:rPr>
        <w:t>a</w:t>
      </w:r>
      <w:proofErr w:type="spellEnd"/>
      <w:proofErr w:type="gramEnd"/>
      <w:r w:rsidRPr="00B74BA2">
        <w:tab/>
        <w:t>Assuming 15.</w:t>
      </w:r>
      <w:r w:rsidR="002A2351" w:rsidRPr="00B74BA2">
        <w:t xml:space="preserve">32 </w:t>
      </w:r>
      <w:r w:rsidRPr="00B74BA2">
        <w:t xml:space="preserve">cycles per patient per year as estimated </w:t>
      </w:r>
      <w:r w:rsidR="00CF0D8F" w:rsidRPr="00B74BA2">
        <w:t xml:space="preserve">during </w:t>
      </w:r>
      <w:r w:rsidR="00FE395D" w:rsidRPr="00B74BA2">
        <w:t xml:space="preserve">the </w:t>
      </w:r>
      <w:r w:rsidR="00CF0D8F" w:rsidRPr="00B74BA2">
        <w:t>evaluation</w:t>
      </w:r>
      <w:r w:rsidRPr="00B74BA2">
        <w:t>.</w:t>
      </w:r>
    </w:p>
    <w:p w:rsidR="005D4DB8" w:rsidRPr="00B74BA2" w:rsidRDefault="005D4DB8" w:rsidP="00D25DE3">
      <w:pPr>
        <w:pStyle w:val="TableFooter"/>
        <w:keepNext/>
        <w:keepLines/>
        <w:widowControl/>
        <w:rPr>
          <w:rStyle w:val="CommentReference"/>
        </w:rPr>
      </w:pPr>
      <w:r w:rsidRPr="00B74BA2">
        <w:t xml:space="preserve">Source: Table 4.4-1, p140, Table 4.3-4, p138, Table 4.3-6 and Table 4.3-7, p139, Table 4.4-9, p147, Table 4.4-10, p148, Table 4.4-11, p149, Table 4.5-2, p152, of the submission. Values were corrected for the update DPMA prices </w:t>
      </w:r>
      <w:r w:rsidR="00380ADF" w:rsidRPr="00B74BA2">
        <w:t>(</w:t>
      </w:r>
      <w:r w:rsidRPr="00B74BA2">
        <w:t xml:space="preserve">August 2018), updated mark-up costs, corrected errors in the excel </w:t>
      </w:r>
      <w:r w:rsidR="000D60C1" w:rsidRPr="00B74BA2">
        <w:t>workbook and</w:t>
      </w:r>
      <w:r w:rsidR="00DA7C09" w:rsidRPr="00B74BA2">
        <w:t xml:space="preserve"> adjusted for re-estimated number of average cycles from 15.63 to 15.32.</w:t>
      </w:r>
    </w:p>
    <w:p w:rsidR="005D4DB8" w:rsidRPr="00993AA6" w:rsidRDefault="00577F9B" w:rsidP="00132A6D">
      <w:pPr>
        <w:widowControl/>
        <w:spacing w:before="240" w:after="240"/>
        <w:rPr>
          <w:i/>
        </w:rPr>
      </w:pPr>
      <w:r w:rsidRPr="00993AA6">
        <w:rPr>
          <w:i/>
        </w:rPr>
        <w:t>The redacted table shows that at Year 6 the estimated number of patients was less than 10,000 per year, and the net cost to the PBS would be less than $10 million per year.</w:t>
      </w:r>
    </w:p>
    <w:p w:rsidR="00D25DE3" w:rsidRDefault="00D25DE3" w:rsidP="00F2263C">
      <w:pPr>
        <w:pStyle w:val="ListParagraph"/>
        <w:widowControl/>
        <w:numPr>
          <w:ilvl w:val="1"/>
          <w:numId w:val="1"/>
        </w:numPr>
      </w:pPr>
      <w:r w:rsidRPr="00B74BA2">
        <w:t xml:space="preserve">The estimated total </w:t>
      </w:r>
      <w:r w:rsidR="00A90F9D">
        <w:t xml:space="preserve">net </w:t>
      </w:r>
      <w:r w:rsidRPr="00B74BA2">
        <w:t>cost to the PBS/RPBS over the first six years of listing (allowing for the correction in the number of doses administered), incorporating co-payments and substitution for SOC, was</w:t>
      </w:r>
      <w:r w:rsidR="00577F9B">
        <w:t xml:space="preserve"> $10 - $20 million</w:t>
      </w:r>
      <w:r w:rsidRPr="00B74BA2">
        <w:t>.</w:t>
      </w:r>
    </w:p>
    <w:p w:rsidR="00D25DE3" w:rsidRDefault="00FC7F50" w:rsidP="00F2263C">
      <w:pPr>
        <w:pStyle w:val="ListParagraph"/>
        <w:widowControl/>
        <w:numPr>
          <w:ilvl w:val="1"/>
          <w:numId w:val="1"/>
        </w:numPr>
      </w:pPr>
      <w:r w:rsidRPr="00B74BA2">
        <w:t xml:space="preserve">The </w:t>
      </w:r>
      <w:r w:rsidR="00D25DE3">
        <w:t xml:space="preserve">evaluation and the ESC considered that the cost to the PBS/RPBS was </w:t>
      </w:r>
      <w:r w:rsidR="00A90F9D">
        <w:t>likely overestimated</w:t>
      </w:r>
      <w:r w:rsidR="00D25DE3">
        <w:t xml:space="preserve"> because</w:t>
      </w:r>
      <w:r w:rsidR="00A90F9D">
        <w:t xml:space="preserve"> </w:t>
      </w:r>
      <w:r w:rsidR="00137C7B">
        <w:t>u</w:t>
      </w:r>
      <w:r w:rsidR="00D25DE3">
        <w:t xml:space="preserve">ptake from prevalent patients was assumed </w:t>
      </w:r>
      <w:r w:rsidR="00825CE9">
        <w:t xml:space="preserve">to occur each year </w:t>
      </w:r>
      <w:r w:rsidR="00A90F9D">
        <w:t>for</w:t>
      </w:r>
      <w:r w:rsidR="00D25DE3" w:rsidRPr="00D25DE3">
        <w:t xml:space="preserve"> six years</w:t>
      </w:r>
      <w:r w:rsidR="00A90F9D">
        <w:t>.</w:t>
      </w:r>
      <w:r w:rsidR="00D25DE3">
        <w:t xml:space="preserve"> </w:t>
      </w:r>
    </w:p>
    <w:p w:rsidR="005D4DB8" w:rsidRPr="00577F9B" w:rsidRDefault="005D4DB8" w:rsidP="0091423A">
      <w:pPr>
        <w:pStyle w:val="Heading2"/>
        <w:widowControl/>
      </w:pPr>
      <w:bookmarkStart w:id="17" w:name="_Toc524436894"/>
      <w:r w:rsidRPr="00577F9B">
        <w:t>Quality Use of Medicines</w:t>
      </w:r>
      <w:bookmarkEnd w:id="17"/>
    </w:p>
    <w:p w:rsidR="005D4DB8" w:rsidRPr="00B74BA2" w:rsidRDefault="005D4DB8" w:rsidP="00F2263C">
      <w:pPr>
        <w:pStyle w:val="ListParagraph"/>
        <w:widowControl/>
        <w:numPr>
          <w:ilvl w:val="1"/>
          <w:numId w:val="1"/>
        </w:numPr>
        <w:rPr>
          <w:color w:val="000000" w:themeColor="text1"/>
        </w:rPr>
      </w:pPr>
      <w:r w:rsidRPr="00B74BA2">
        <w:rPr>
          <w:color w:val="000000" w:themeColor="text1"/>
        </w:rPr>
        <w:t xml:space="preserve">The sponsor </w:t>
      </w:r>
      <w:r w:rsidR="00265FFF" w:rsidRPr="00B74BA2">
        <w:rPr>
          <w:color w:val="000000" w:themeColor="text1"/>
        </w:rPr>
        <w:t xml:space="preserve">stated that it would </w:t>
      </w:r>
      <w:r w:rsidRPr="00B74BA2">
        <w:rPr>
          <w:color w:val="000000" w:themeColor="text1"/>
        </w:rPr>
        <w:t>develop</w:t>
      </w:r>
      <w:r w:rsidR="002768F0" w:rsidRPr="00B74BA2">
        <w:rPr>
          <w:color w:val="000000" w:themeColor="text1"/>
        </w:rPr>
        <w:t xml:space="preserve"> </w:t>
      </w:r>
      <w:r w:rsidRPr="00B74BA2">
        <w:rPr>
          <w:color w:val="000000" w:themeColor="text1"/>
        </w:rPr>
        <w:t xml:space="preserve">materials and </w:t>
      </w:r>
      <w:r w:rsidR="006A6528">
        <w:rPr>
          <w:color w:val="000000" w:themeColor="text1"/>
        </w:rPr>
        <w:t>inform</w:t>
      </w:r>
      <w:r w:rsidRPr="00B74BA2">
        <w:rPr>
          <w:color w:val="000000" w:themeColor="text1"/>
        </w:rPr>
        <w:t xml:space="preserve"> health professionals and patients about how to identify and manage potential treatment-related adverse events with pembrolizumab. </w:t>
      </w:r>
    </w:p>
    <w:p w:rsidR="005D4DB8" w:rsidRPr="00577F9B" w:rsidRDefault="005D4DB8" w:rsidP="0091423A">
      <w:pPr>
        <w:pStyle w:val="Heading2"/>
        <w:widowControl/>
      </w:pPr>
      <w:bookmarkStart w:id="18" w:name="_Toc524436895"/>
      <w:r w:rsidRPr="00577F9B">
        <w:t>Financial Management – Risk Sharing Arrangements</w:t>
      </w:r>
      <w:bookmarkEnd w:id="18"/>
    </w:p>
    <w:p w:rsidR="005D4DB8" w:rsidRPr="006763C0" w:rsidRDefault="004E239E" w:rsidP="002E7E59">
      <w:pPr>
        <w:pStyle w:val="ListParagraph"/>
        <w:widowControl/>
        <w:numPr>
          <w:ilvl w:val="1"/>
          <w:numId w:val="1"/>
        </w:numPr>
        <w:rPr>
          <w:b/>
          <w:u w:val="single"/>
        </w:rPr>
      </w:pPr>
      <w:r w:rsidRPr="00B74BA2">
        <w:t>The submission proposed that pembrolizumab use for R/R PMBCL could be included in the current</w:t>
      </w:r>
      <w:r w:rsidR="008F56AC">
        <w:t xml:space="preserve"> RSA for pembrolizumab in </w:t>
      </w:r>
      <w:proofErr w:type="spellStart"/>
      <w:r w:rsidR="008F56AC">
        <w:t>rrcHL</w:t>
      </w:r>
      <w:proofErr w:type="spellEnd"/>
      <w:r w:rsidR="008F56AC">
        <w:t xml:space="preserve">, with the </w:t>
      </w:r>
      <w:r w:rsidRPr="00B74BA2">
        <w:t xml:space="preserve">current annual subsidisation cap tiers in the </w:t>
      </w:r>
      <w:proofErr w:type="spellStart"/>
      <w:r w:rsidRPr="00B74BA2">
        <w:t>rrcHL</w:t>
      </w:r>
      <w:proofErr w:type="spellEnd"/>
      <w:r w:rsidRPr="00B74BA2">
        <w:t xml:space="preserve"> RSA increased by an amount equivalent to the additional R/R PMBCL treated patients. </w:t>
      </w:r>
    </w:p>
    <w:p w:rsidR="00344E37" w:rsidRPr="00344E37" w:rsidRDefault="00344E37" w:rsidP="00344E37">
      <w:pPr>
        <w:pStyle w:val="PBACHeading1"/>
        <w:numPr>
          <w:ilvl w:val="0"/>
          <w:numId w:val="0"/>
        </w:numPr>
        <w:ind w:left="720"/>
        <w:rPr>
          <w:b w:val="0"/>
          <w:i/>
          <w:sz w:val="24"/>
        </w:rPr>
      </w:pPr>
      <w:bookmarkStart w:id="19" w:name="_Toc341702043"/>
      <w:bookmarkStart w:id="20" w:name="_Toc380742621"/>
      <w:bookmarkStart w:id="21" w:name="_Toc380746188"/>
      <w:bookmarkStart w:id="22" w:name="_Toc380746314"/>
      <w:bookmarkStart w:id="23" w:name="_Toc380746595"/>
      <w:r w:rsidRPr="00344E37">
        <w:rPr>
          <w:b w:val="0"/>
          <w:i/>
          <w:sz w:val="24"/>
        </w:rPr>
        <w:lastRenderedPageBreak/>
        <w:t>For more detail on PBAC’s view, see section 7 PBAC outcome.</w:t>
      </w:r>
    </w:p>
    <w:bookmarkEnd w:id="19"/>
    <w:bookmarkEnd w:id="20"/>
    <w:bookmarkEnd w:id="21"/>
    <w:bookmarkEnd w:id="22"/>
    <w:bookmarkEnd w:id="23"/>
    <w:p w:rsidR="00344E37" w:rsidRPr="00DB48A8" w:rsidRDefault="00344E37" w:rsidP="00F2263C">
      <w:pPr>
        <w:widowControl/>
        <w:numPr>
          <w:ilvl w:val="0"/>
          <w:numId w:val="1"/>
        </w:numPr>
        <w:spacing w:before="240" w:after="120"/>
        <w:jc w:val="left"/>
        <w:outlineLvl w:val="0"/>
        <w:rPr>
          <w:rFonts w:asciiTheme="minorHAnsi" w:hAnsiTheme="minorHAnsi"/>
          <w:b/>
          <w:bCs/>
          <w:sz w:val="32"/>
        </w:rPr>
      </w:pPr>
      <w:r w:rsidRPr="00DB48A8">
        <w:rPr>
          <w:rFonts w:asciiTheme="minorHAnsi" w:hAnsiTheme="minorHAnsi"/>
          <w:b/>
          <w:bCs/>
          <w:sz w:val="32"/>
        </w:rPr>
        <w:t>PBAC Outcome</w:t>
      </w:r>
    </w:p>
    <w:p w:rsidR="004B5B2E" w:rsidRPr="00191A27" w:rsidRDefault="004B5B2E" w:rsidP="00F2263C">
      <w:pPr>
        <w:widowControl/>
        <w:numPr>
          <w:ilvl w:val="1"/>
          <w:numId w:val="1"/>
        </w:numPr>
        <w:spacing w:after="120"/>
        <w:rPr>
          <w:rFonts w:asciiTheme="minorHAnsi" w:hAnsiTheme="minorHAnsi"/>
          <w:bCs/>
          <w:lang w:val="en-GB"/>
        </w:rPr>
      </w:pPr>
      <w:r w:rsidRPr="00191A27">
        <w:rPr>
          <w:rFonts w:asciiTheme="minorHAnsi" w:hAnsiTheme="minorHAnsi"/>
          <w:bCs/>
          <w:lang w:val="en-GB"/>
        </w:rPr>
        <w:t xml:space="preserve">The PBAC did not recommend the listing of </w:t>
      </w:r>
      <w:proofErr w:type="spellStart"/>
      <w:r w:rsidRPr="00191A27">
        <w:rPr>
          <w:rFonts w:asciiTheme="minorHAnsi" w:hAnsiTheme="minorHAnsi"/>
          <w:bCs/>
          <w:lang w:val="en-GB"/>
        </w:rPr>
        <w:t>pembrolizumab</w:t>
      </w:r>
      <w:proofErr w:type="spellEnd"/>
      <w:r w:rsidRPr="00191A27">
        <w:rPr>
          <w:rFonts w:asciiTheme="minorHAnsi" w:hAnsiTheme="minorHAnsi"/>
          <w:bCs/>
          <w:lang w:val="en-GB"/>
        </w:rPr>
        <w:t xml:space="preserve"> for the treatment of relapsed or refractory primary mediastinal large B-cell lymphoma (R/R PMBCL).</w:t>
      </w:r>
      <w:r w:rsidR="00191A27" w:rsidRPr="00191A27">
        <w:rPr>
          <w:rFonts w:asciiTheme="minorHAnsi" w:hAnsiTheme="minorHAnsi"/>
          <w:bCs/>
          <w:lang w:val="en-GB"/>
        </w:rPr>
        <w:t xml:space="preserve"> The PBAC considered that the incremental effectiveness versus standard of care chemotherapies was uncertain because the </w:t>
      </w:r>
      <w:proofErr w:type="spellStart"/>
      <w:r w:rsidR="00191A27" w:rsidRPr="00191A27">
        <w:rPr>
          <w:rFonts w:asciiTheme="minorHAnsi" w:hAnsiTheme="minorHAnsi"/>
          <w:bCs/>
          <w:lang w:val="en-GB"/>
        </w:rPr>
        <w:t>pembrolizumab</w:t>
      </w:r>
      <w:proofErr w:type="spellEnd"/>
      <w:r w:rsidR="00191A27" w:rsidRPr="00191A27">
        <w:rPr>
          <w:rFonts w:asciiTheme="minorHAnsi" w:hAnsiTheme="minorHAnsi"/>
          <w:bCs/>
          <w:lang w:val="en-GB"/>
        </w:rPr>
        <w:t xml:space="preserve"> trial data were immature and the control data </w:t>
      </w:r>
      <w:r w:rsidR="00CC1764">
        <w:rPr>
          <w:rFonts w:asciiTheme="minorHAnsi" w:hAnsiTheme="minorHAnsi"/>
          <w:bCs/>
          <w:lang w:val="en-GB"/>
        </w:rPr>
        <w:t>use</w:t>
      </w:r>
      <w:r w:rsidR="005B24EC">
        <w:rPr>
          <w:rFonts w:asciiTheme="minorHAnsi" w:hAnsiTheme="minorHAnsi"/>
          <w:bCs/>
          <w:lang w:val="en-GB"/>
        </w:rPr>
        <w:t xml:space="preserve">d in the submission </w:t>
      </w:r>
      <w:r w:rsidR="00191A27" w:rsidRPr="00191A27">
        <w:rPr>
          <w:rFonts w:asciiTheme="minorHAnsi" w:hAnsiTheme="minorHAnsi"/>
          <w:bCs/>
          <w:lang w:val="en-GB"/>
        </w:rPr>
        <w:t>were not contemporary. Thus</w:t>
      </w:r>
      <w:r w:rsidR="007E4E68">
        <w:rPr>
          <w:rFonts w:asciiTheme="minorHAnsi" w:hAnsiTheme="minorHAnsi"/>
          <w:bCs/>
          <w:lang w:val="en-GB"/>
        </w:rPr>
        <w:t>,</w:t>
      </w:r>
      <w:r w:rsidR="00191A27" w:rsidRPr="00191A27">
        <w:rPr>
          <w:rFonts w:asciiTheme="minorHAnsi" w:hAnsiTheme="minorHAnsi"/>
          <w:bCs/>
          <w:lang w:val="en-GB"/>
        </w:rPr>
        <w:t xml:space="preserve"> the cost-effectiveness was unknown. The PBAC advised that more mature trial data would help inform a resubmission.</w:t>
      </w:r>
    </w:p>
    <w:p w:rsidR="00572E92" w:rsidRDefault="00572E92" w:rsidP="00F2263C">
      <w:pPr>
        <w:widowControl/>
        <w:numPr>
          <w:ilvl w:val="1"/>
          <w:numId w:val="1"/>
        </w:numPr>
        <w:spacing w:after="120"/>
        <w:rPr>
          <w:rFonts w:asciiTheme="minorHAnsi" w:hAnsiTheme="minorHAnsi"/>
          <w:bCs/>
          <w:lang w:val="en-GB"/>
        </w:rPr>
      </w:pPr>
      <w:r>
        <w:rPr>
          <w:rFonts w:asciiTheme="minorHAnsi" w:hAnsiTheme="minorHAnsi"/>
          <w:bCs/>
          <w:lang w:val="en-GB"/>
        </w:rPr>
        <w:t xml:space="preserve">The PBAC </w:t>
      </w:r>
      <w:r w:rsidR="00FF1A60">
        <w:rPr>
          <w:rFonts w:asciiTheme="minorHAnsi" w:hAnsiTheme="minorHAnsi"/>
          <w:bCs/>
          <w:lang w:val="en-GB"/>
        </w:rPr>
        <w:t xml:space="preserve">considered there was a high </w:t>
      </w:r>
      <w:r w:rsidR="004C6E1E">
        <w:rPr>
          <w:rFonts w:asciiTheme="minorHAnsi" w:hAnsiTheme="minorHAnsi"/>
          <w:bCs/>
          <w:lang w:val="en-GB"/>
        </w:rPr>
        <w:t xml:space="preserve">unmet </w:t>
      </w:r>
      <w:r w:rsidR="00FF1A60">
        <w:rPr>
          <w:rFonts w:asciiTheme="minorHAnsi" w:hAnsiTheme="minorHAnsi"/>
          <w:bCs/>
          <w:lang w:val="en-GB"/>
        </w:rPr>
        <w:t xml:space="preserve">clinical need for effective treatments for </w:t>
      </w:r>
      <w:r w:rsidR="00345B0D">
        <w:rPr>
          <w:rFonts w:asciiTheme="minorHAnsi" w:hAnsiTheme="minorHAnsi"/>
          <w:bCs/>
          <w:lang w:val="en-GB"/>
        </w:rPr>
        <w:t>R/R</w:t>
      </w:r>
      <w:r w:rsidR="004C6E1E">
        <w:rPr>
          <w:rFonts w:asciiTheme="minorHAnsi" w:hAnsiTheme="minorHAnsi"/>
          <w:bCs/>
          <w:lang w:val="en-GB"/>
        </w:rPr>
        <w:t xml:space="preserve"> PMBCL</w:t>
      </w:r>
      <w:r w:rsidR="00FF1A60">
        <w:rPr>
          <w:rFonts w:asciiTheme="minorHAnsi" w:hAnsiTheme="minorHAnsi"/>
          <w:bCs/>
          <w:lang w:val="en-GB"/>
        </w:rPr>
        <w:t xml:space="preserve">, particularly given </w:t>
      </w:r>
      <w:r>
        <w:rPr>
          <w:rFonts w:asciiTheme="minorHAnsi" w:hAnsiTheme="minorHAnsi"/>
          <w:bCs/>
          <w:lang w:val="en-GB"/>
        </w:rPr>
        <w:t>the poor outcomes in patients with</w:t>
      </w:r>
      <w:r w:rsidR="004C6E1E" w:rsidRPr="004C6E1E">
        <w:rPr>
          <w:rFonts w:asciiTheme="minorHAnsi" w:hAnsiTheme="minorHAnsi"/>
          <w:bCs/>
          <w:lang w:val="en-GB"/>
        </w:rPr>
        <w:t xml:space="preserve"> </w:t>
      </w:r>
      <w:r w:rsidR="004C6E1E">
        <w:rPr>
          <w:rFonts w:asciiTheme="minorHAnsi" w:hAnsiTheme="minorHAnsi"/>
          <w:bCs/>
          <w:lang w:val="en-GB"/>
        </w:rPr>
        <w:t>this condition</w:t>
      </w:r>
      <w:r>
        <w:rPr>
          <w:rFonts w:asciiTheme="minorHAnsi" w:hAnsiTheme="minorHAnsi"/>
          <w:bCs/>
          <w:lang w:val="en-GB"/>
        </w:rPr>
        <w:t>.</w:t>
      </w:r>
    </w:p>
    <w:p w:rsidR="00F42042" w:rsidRPr="00F42042" w:rsidRDefault="00F42042" w:rsidP="00F2263C">
      <w:pPr>
        <w:widowControl/>
        <w:numPr>
          <w:ilvl w:val="1"/>
          <w:numId w:val="1"/>
        </w:numPr>
        <w:spacing w:after="120"/>
        <w:rPr>
          <w:rFonts w:asciiTheme="minorHAnsi" w:hAnsiTheme="minorHAnsi"/>
          <w:bCs/>
          <w:lang w:val="en-GB"/>
        </w:rPr>
      </w:pPr>
      <w:r w:rsidRPr="00F42042">
        <w:rPr>
          <w:rFonts w:asciiTheme="minorHAnsi" w:hAnsiTheme="minorHAnsi"/>
          <w:bCs/>
          <w:lang w:val="en-GB"/>
        </w:rPr>
        <w:t xml:space="preserve">The comparator nominated by the submission was SOC chemotherapies including ICE (comprising: </w:t>
      </w:r>
      <w:proofErr w:type="spellStart"/>
      <w:r w:rsidRPr="00F42042">
        <w:rPr>
          <w:rFonts w:asciiTheme="minorHAnsi" w:hAnsiTheme="minorHAnsi"/>
          <w:bCs/>
          <w:lang w:val="en-GB"/>
        </w:rPr>
        <w:t>ifosfamide</w:t>
      </w:r>
      <w:proofErr w:type="spellEnd"/>
      <w:r w:rsidRPr="00F42042">
        <w:rPr>
          <w:rFonts w:asciiTheme="minorHAnsi" w:hAnsiTheme="minorHAnsi"/>
          <w:bCs/>
          <w:lang w:val="en-GB"/>
        </w:rPr>
        <w:t xml:space="preserve">, carboplatin, etoposide), DHAP (dexamethasone, high-dose </w:t>
      </w:r>
      <w:proofErr w:type="spellStart"/>
      <w:r w:rsidRPr="00F42042">
        <w:rPr>
          <w:rFonts w:asciiTheme="minorHAnsi" w:hAnsiTheme="minorHAnsi"/>
          <w:bCs/>
          <w:lang w:val="en-GB"/>
        </w:rPr>
        <w:t>cytarabine</w:t>
      </w:r>
      <w:proofErr w:type="spellEnd"/>
      <w:r w:rsidRPr="00F42042">
        <w:rPr>
          <w:rFonts w:asciiTheme="minorHAnsi" w:hAnsiTheme="minorHAnsi"/>
          <w:bCs/>
          <w:lang w:val="en-GB"/>
        </w:rPr>
        <w:t>, cisplatin) or GDP (gemcitabine, doxorubicin,</w:t>
      </w:r>
      <w:r w:rsidR="00CC1764">
        <w:rPr>
          <w:rFonts w:asciiTheme="minorHAnsi" w:hAnsiTheme="minorHAnsi"/>
          <w:bCs/>
          <w:lang w:val="en-GB"/>
        </w:rPr>
        <w:t xml:space="preserve"> </w:t>
      </w:r>
      <w:r w:rsidR="00BD253E">
        <w:rPr>
          <w:rFonts w:asciiTheme="minorHAnsi" w:hAnsiTheme="minorHAnsi"/>
          <w:bCs/>
          <w:lang w:val="en-GB"/>
        </w:rPr>
        <w:t>cisplatin</w:t>
      </w:r>
      <w:r w:rsidRPr="00F42042">
        <w:rPr>
          <w:rFonts w:asciiTheme="minorHAnsi" w:hAnsiTheme="minorHAnsi"/>
          <w:bCs/>
          <w:lang w:val="en-GB"/>
        </w:rPr>
        <w:t xml:space="preserve">). </w:t>
      </w:r>
      <w:r w:rsidR="004C6E1E">
        <w:rPr>
          <w:rFonts w:asciiTheme="minorHAnsi" w:hAnsiTheme="minorHAnsi"/>
          <w:bCs/>
          <w:lang w:val="en-GB"/>
        </w:rPr>
        <w:t>T</w:t>
      </w:r>
      <w:r w:rsidRPr="00F42042">
        <w:rPr>
          <w:rFonts w:asciiTheme="minorHAnsi" w:hAnsiTheme="minorHAnsi"/>
          <w:bCs/>
          <w:lang w:val="en-GB"/>
        </w:rPr>
        <w:t xml:space="preserve">he PBAC </w:t>
      </w:r>
      <w:r>
        <w:rPr>
          <w:rFonts w:asciiTheme="minorHAnsi" w:hAnsiTheme="minorHAnsi"/>
          <w:bCs/>
          <w:lang w:val="en-GB"/>
        </w:rPr>
        <w:t>c</w:t>
      </w:r>
      <w:r w:rsidRPr="00F42042">
        <w:rPr>
          <w:rFonts w:asciiTheme="minorHAnsi" w:hAnsiTheme="minorHAnsi"/>
          <w:bCs/>
          <w:lang w:val="en-GB"/>
        </w:rPr>
        <w:t xml:space="preserve">onsidered that the nominated comparators do not </w:t>
      </w:r>
      <w:r w:rsidR="00CC1764">
        <w:rPr>
          <w:rFonts w:asciiTheme="minorHAnsi" w:hAnsiTheme="minorHAnsi"/>
          <w:bCs/>
          <w:lang w:val="en-GB"/>
        </w:rPr>
        <w:t xml:space="preserve">accurately </w:t>
      </w:r>
      <w:r w:rsidRPr="00F42042">
        <w:rPr>
          <w:rFonts w:asciiTheme="minorHAnsi" w:hAnsiTheme="minorHAnsi"/>
          <w:bCs/>
          <w:lang w:val="en-GB"/>
        </w:rPr>
        <w:t xml:space="preserve">reflect current clinical practice where most salvage chemotherapy </w:t>
      </w:r>
      <w:r>
        <w:rPr>
          <w:rFonts w:asciiTheme="minorHAnsi" w:hAnsiTheme="minorHAnsi"/>
          <w:bCs/>
          <w:lang w:val="en-GB"/>
        </w:rPr>
        <w:t xml:space="preserve">or high dose therapy </w:t>
      </w:r>
      <w:r w:rsidRPr="00F42042">
        <w:rPr>
          <w:rFonts w:asciiTheme="minorHAnsi" w:hAnsiTheme="minorHAnsi"/>
          <w:bCs/>
          <w:lang w:val="en-GB"/>
        </w:rPr>
        <w:t>regimens contain rituximab.</w:t>
      </w:r>
    </w:p>
    <w:p w:rsidR="002A0663" w:rsidRDefault="002A0663" w:rsidP="002A0663">
      <w:pPr>
        <w:widowControl/>
        <w:numPr>
          <w:ilvl w:val="1"/>
          <w:numId w:val="1"/>
        </w:numPr>
        <w:spacing w:after="120"/>
        <w:rPr>
          <w:rFonts w:asciiTheme="minorHAnsi" w:hAnsiTheme="minorHAnsi"/>
          <w:bCs/>
          <w:lang w:val="en-GB"/>
        </w:rPr>
      </w:pPr>
      <w:r>
        <w:rPr>
          <w:rFonts w:asciiTheme="minorHAnsi" w:hAnsiTheme="minorHAnsi"/>
          <w:bCs/>
          <w:lang w:val="en-GB"/>
        </w:rPr>
        <w:t xml:space="preserve">The PBAC acknowledged that </w:t>
      </w:r>
      <w:proofErr w:type="spellStart"/>
      <w:r>
        <w:rPr>
          <w:rFonts w:asciiTheme="minorHAnsi" w:hAnsiTheme="minorHAnsi"/>
          <w:bCs/>
          <w:lang w:val="en-GB"/>
        </w:rPr>
        <w:t>pembrolizumab</w:t>
      </w:r>
      <w:proofErr w:type="spellEnd"/>
      <w:r>
        <w:rPr>
          <w:rFonts w:asciiTheme="minorHAnsi" w:hAnsiTheme="minorHAnsi"/>
          <w:bCs/>
          <w:lang w:val="en-GB"/>
        </w:rPr>
        <w:t xml:space="preserve"> appeared to have a higher </w:t>
      </w:r>
      <w:r w:rsidRPr="000D04A2">
        <w:rPr>
          <w:rFonts w:asciiTheme="minorHAnsi" w:hAnsiTheme="minorHAnsi"/>
          <w:bCs/>
          <w:lang w:val="en-GB"/>
        </w:rPr>
        <w:t xml:space="preserve">overall response rate </w:t>
      </w:r>
      <w:r>
        <w:rPr>
          <w:rFonts w:asciiTheme="minorHAnsi" w:hAnsiTheme="minorHAnsi"/>
          <w:bCs/>
          <w:lang w:val="en-GB"/>
        </w:rPr>
        <w:t xml:space="preserve">in the naïve indirect comparison and that </w:t>
      </w:r>
      <w:proofErr w:type="spellStart"/>
      <w:r>
        <w:rPr>
          <w:rFonts w:asciiTheme="minorHAnsi" w:hAnsiTheme="minorHAnsi"/>
          <w:bCs/>
          <w:lang w:val="en-GB"/>
        </w:rPr>
        <w:t>pembrolizumab</w:t>
      </w:r>
      <w:proofErr w:type="spellEnd"/>
      <w:r>
        <w:rPr>
          <w:rFonts w:asciiTheme="minorHAnsi" w:hAnsiTheme="minorHAnsi"/>
          <w:bCs/>
          <w:lang w:val="en-GB"/>
        </w:rPr>
        <w:t xml:space="preserve"> may act as a bridge to transplant in some patients. The PBAC also acknowledged the difficulties of conducting comparisons in relatively rare conditions. However, the PBAC considered that the </w:t>
      </w:r>
      <w:r w:rsidRPr="00191A27">
        <w:rPr>
          <w:rFonts w:asciiTheme="minorHAnsi" w:hAnsiTheme="minorHAnsi"/>
          <w:bCs/>
          <w:lang w:val="en-GB"/>
        </w:rPr>
        <w:t xml:space="preserve">incremental effectiveness versus standard of care chemotherapies was uncertain because the </w:t>
      </w:r>
      <w:proofErr w:type="spellStart"/>
      <w:r w:rsidRPr="00191A27">
        <w:rPr>
          <w:rFonts w:asciiTheme="minorHAnsi" w:hAnsiTheme="minorHAnsi"/>
          <w:bCs/>
          <w:lang w:val="en-GB"/>
        </w:rPr>
        <w:t>pembrolizumab</w:t>
      </w:r>
      <w:proofErr w:type="spellEnd"/>
      <w:r w:rsidRPr="00191A27">
        <w:rPr>
          <w:rFonts w:asciiTheme="minorHAnsi" w:hAnsiTheme="minorHAnsi"/>
          <w:bCs/>
          <w:lang w:val="en-GB"/>
        </w:rPr>
        <w:t xml:space="preserve"> trial data were immature and the control data were not contemporary.</w:t>
      </w:r>
      <w:r>
        <w:rPr>
          <w:rFonts w:asciiTheme="minorHAnsi" w:hAnsiTheme="minorHAnsi"/>
          <w:bCs/>
          <w:lang w:val="en-GB"/>
        </w:rPr>
        <w:t xml:space="preserve"> </w:t>
      </w:r>
    </w:p>
    <w:p w:rsidR="00572E92" w:rsidRDefault="00C56F59" w:rsidP="00C56F59">
      <w:pPr>
        <w:pStyle w:val="ListParagraph"/>
        <w:numPr>
          <w:ilvl w:val="1"/>
          <w:numId w:val="1"/>
        </w:numPr>
        <w:rPr>
          <w:rFonts w:asciiTheme="minorHAnsi" w:hAnsiTheme="minorHAnsi"/>
          <w:bCs/>
          <w:lang w:val="en-GB"/>
        </w:rPr>
      </w:pPr>
      <w:r w:rsidRPr="00C56F59">
        <w:rPr>
          <w:rFonts w:asciiTheme="minorHAnsi" w:hAnsiTheme="minorHAnsi"/>
          <w:bCs/>
          <w:lang w:val="en-GB"/>
        </w:rPr>
        <w:t xml:space="preserve">The PBAC noted that the evidence for </w:t>
      </w:r>
      <w:proofErr w:type="spellStart"/>
      <w:r w:rsidRPr="00C56F59">
        <w:rPr>
          <w:rFonts w:asciiTheme="minorHAnsi" w:hAnsiTheme="minorHAnsi"/>
          <w:bCs/>
          <w:lang w:val="en-GB"/>
        </w:rPr>
        <w:t>pembrolizumab</w:t>
      </w:r>
      <w:proofErr w:type="spellEnd"/>
      <w:r w:rsidRPr="00C56F59">
        <w:rPr>
          <w:rFonts w:asciiTheme="minorHAnsi" w:hAnsiTheme="minorHAnsi"/>
          <w:bCs/>
          <w:lang w:val="en-GB"/>
        </w:rPr>
        <w:t xml:space="preserve"> comprised </w:t>
      </w:r>
      <w:r w:rsidR="00223A6B" w:rsidRPr="00C56F59">
        <w:rPr>
          <w:rFonts w:asciiTheme="minorHAnsi" w:hAnsiTheme="minorHAnsi"/>
          <w:bCs/>
          <w:lang w:val="en-GB"/>
        </w:rPr>
        <w:t>two single-arm studies (KN013</w:t>
      </w:r>
      <w:r w:rsidR="009415B0" w:rsidRPr="00C56F59">
        <w:rPr>
          <w:rFonts w:asciiTheme="minorHAnsi" w:hAnsiTheme="minorHAnsi"/>
          <w:bCs/>
          <w:lang w:val="en-GB"/>
        </w:rPr>
        <w:t xml:space="preserve"> n</w:t>
      </w:r>
      <w:r w:rsidR="00223A6B" w:rsidRPr="00C56F59">
        <w:rPr>
          <w:rFonts w:asciiTheme="minorHAnsi" w:hAnsiTheme="minorHAnsi"/>
          <w:bCs/>
          <w:lang w:val="en-GB"/>
        </w:rPr>
        <w:t xml:space="preserve"> = </w:t>
      </w:r>
      <w:r w:rsidR="009415B0" w:rsidRPr="00C56F59">
        <w:rPr>
          <w:rFonts w:asciiTheme="minorHAnsi" w:hAnsiTheme="minorHAnsi"/>
          <w:bCs/>
          <w:lang w:val="en-GB"/>
        </w:rPr>
        <w:t>21</w:t>
      </w:r>
      <w:r w:rsidRPr="00C56F59">
        <w:rPr>
          <w:rFonts w:asciiTheme="minorHAnsi" w:hAnsiTheme="minorHAnsi"/>
          <w:bCs/>
          <w:lang w:val="en-GB"/>
        </w:rPr>
        <w:t>, of which 11 patients receiving the relevant dose;</w:t>
      </w:r>
      <w:r w:rsidR="00223A6B" w:rsidRPr="00C56F59">
        <w:rPr>
          <w:rFonts w:asciiTheme="minorHAnsi" w:hAnsiTheme="minorHAnsi"/>
          <w:bCs/>
          <w:lang w:val="en-GB"/>
        </w:rPr>
        <w:t xml:space="preserve"> and KN170 </w:t>
      </w:r>
      <w:r w:rsidRPr="00C56F59">
        <w:rPr>
          <w:rFonts w:asciiTheme="minorHAnsi" w:hAnsiTheme="minorHAnsi"/>
          <w:bCs/>
          <w:lang w:val="en-GB"/>
        </w:rPr>
        <w:t>n </w:t>
      </w:r>
      <w:r w:rsidR="00223A6B" w:rsidRPr="00C56F59">
        <w:rPr>
          <w:rFonts w:asciiTheme="minorHAnsi" w:hAnsiTheme="minorHAnsi"/>
          <w:bCs/>
          <w:lang w:val="en-GB"/>
        </w:rPr>
        <w:t xml:space="preserve">= </w:t>
      </w:r>
      <w:r w:rsidR="009415B0" w:rsidRPr="00C56F59">
        <w:rPr>
          <w:rFonts w:asciiTheme="minorHAnsi" w:hAnsiTheme="minorHAnsi"/>
          <w:bCs/>
          <w:lang w:val="en-GB"/>
        </w:rPr>
        <w:t>53)</w:t>
      </w:r>
      <w:r w:rsidRPr="00C56F59">
        <w:rPr>
          <w:rFonts w:asciiTheme="minorHAnsi" w:hAnsiTheme="minorHAnsi"/>
          <w:bCs/>
          <w:lang w:val="en-GB"/>
        </w:rPr>
        <w:t>. The median duration of follow-up in KN170 was 9.7 months based on a data-cut from January 2018, at which time 57% of patients remained in the study. T</w:t>
      </w:r>
      <w:r w:rsidR="00223A6B" w:rsidRPr="00C56F59">
        <w:rPr>
          <w:rFonts w:asciiTheme="minorHAnsi" w:hAnsiTheme="minorHAnsi"/>
          <w:bCs/>
          <w:lang w:val="en-GB"/>
        </w:rPr>
        <w:t xml:space="preserve">he submission claimed that </w:t>
      </w:r>
      <w:r w:rsidR="009415B0" w:rsidRPr="00C56F59">
        <w:rPr>
          <w:rFonts w:asciiTheme="minorHAnsi" w:hAnsiTheme="minorHAnsi"/>
          <w:bCs/>
          <w:lang w:val="en-GB"/>
        </w:rPr>
        <w:t xml:space="preserve">there </w:t>
      </w:r>
      <w:r w:rsidR="009B26A7">
        <w:rPr>
          <w:rFonts w:asciiTheme="minorHAnsi" w:hAnsiTheme="minorHAnsi"/>
          <w:bCs/>
          <w:lang w:val="en-GB"/>
        </w:rPr>
        <w:t>wa</w:t>
      </w:r>
      <w:r w:rsidR="009415B0" w:rsidRPr="00C56F59">
        <w:rPr>
          <w:rFonts w:asciiTheme="minorHAnsi" w:hAnsiTheme="minorHAnsi"/>
          <w:bCs/>
          <w:lang w:val="en-GB"/>
        </w:rPr>
        <w:t xml:space="preserve">s a plateau in the Kaplan-Meier </w:t>
      </w:r>
      <w:r w:rsidR="00345B0D" w:rsidRPr="00C56F59">
        <w:rPr>
          <w:rFonts w:asciiTheme="minorHAnsi" w:hAnsiTheme="minorHAnsi"/>
          <w:bCs/>
          <w:lang w:val="en-GB"/>
        </w:rPr>
        <w:t xml:space="preserve">OS </w:t>
      </w:r>
      <w:r w:rsidR="009415B0" w:rsidRPr="00C56F59">
        <w:rPr>
          <w:rFonts w:asciiTheme="minorHAnsi" w:hAnsiTheme="minorHAnsi"/>
          <w:bCs/>
          <w:lang w:val="en-GB"/>
        </w:rPr>
        <w:t xml:space="preserve">curves for </w:t>
      </w:r>
      <w:proofErr w:type="spellStart"/>
      <w:r w:rsidR="009415B0" w:rsidRPr="00C56F59">
        <w:rPr>
          <w:rFonts w:asciiTheme="minorHAnsi" w:hAnsiTheme="minorHAnsi"/>
          <w:bCs/>
          <w:lang w:val="en-GB"/>
        </w:rPr>
        <w:t>pembrolizumab</w:t>
      </w:r>
      <w:proofErr w:type="spellEnd"/>
      <w:r w:rsidR="009415B0" w:rsidRPr="00C56F59">
        <w:rPr>
          <w:rFonts w:asciiTheme="minorHAnsi" w:hAnsiTheme="minorHAnsi"/>
          <w:bCs/>
          <w:lang w:val="en-GB"/>
        </w:rPr>
        <w:t xml:space="preserve"> commencing </w:t>
      </w:r>
      <w:r w:rsidR="00223A6B" w:rsidRPr="00C56F59">
        <w:rPr>
          <w:rFonts w:asciiTheme="minorHAnsi" w:hAnsiTheme="minorHAnsi"/>
          <w:bCs/>
          <w:lang w:val="en-GB"/>
        </w:rPr>
        <w:t>at about 18 months</w:t>
      </w:r>
      <w:r w:rsidR="009415B0" w:rsidRPr="00C56F59">
        <w:rPr>
          <w:rFonts w:asciiTheme="minorHAnsi" w:hAnsiTheme="minorHAnsi"/>
          <w:bCs/>
          <w:lang w:val="en-GB"/>
        </w:rPr>
        <w:t xml:space="preserve">. The PBAC considered that this claim was not </w:t>
      </w:r>
      <w:r>
        <w:rPr>
          <w:rFonts w:asciiTheme="minorHAnsi" w:hAnsiTheme="minorHAnsi"/>
          <w:bCs/>
          <w:lang w:val="en-GB"/>
        </w:rPr>
        <w:t>adequately substantiated by the currently available</w:t>
      </w:r>
      <w:r w:rsidR="009415B0" w:rsidRPr="00C56F59">
        <w:rPr>
          <w:rFonts w:asciiTheme="minorHAnsi" w:hAnsiTheme="minorHAnsi"/>
          <w:bCs/>
          <w:lang w:val="en-GB"/>
        </w:rPr>
        <w:t xml:space="preserve"> </w:t>
      </w:r>
      <w:r w:rsidR="009B26A7">
        <w:rPr>
          <w:rFonts w:asciiTheme="minorHAnsi" w:hAnsiTheme="minorHAnsi"/>
          <w:bCs/>
          <w:lang w:val="en-GB"/>
        </w:rPr>
        <w:t xml:space="preserve">data </w:t>
      </w:r>
      <w:r w:rsidR="009415B0" w:rsidRPr="00C56F59">
        <w:rPr>
          <w:rFonts w:asciiTheme="minorHAnsi" w:hAnsiTheme="minorHAnsi"/>
          <w:bCs/>
          <w:lang w:val="en-GB"/>
        </w:rPr>
        <w:t xml:space="preserve">due to the low number of patients at risk and the high degree of censoring beyond 12 months, which makes the curves difficult to interpret beyond this point. </w:t>
      </w:r>
      <w:r w:rsidR="00E02EB2">
        <w:rPr>
          <w:rFonts w:asciiTheme="minorHAnsi" w:hAnsiTheme="minorHAnsi"/>
          <w:bCs/>
          <w:lang w:val="en-GB"/>
        </w:rPr>
        <w:t xml:space="preserve">The PBAC considered that more mature data from KN170 would be required to appropriately assess outcomes with </w:t>
      </w:r>
      <w:proofErr w:type="spellStart"/>
      <w:r w:rsidR="00E02EB2">
        <w:rPr>
          <w:rFonts w:asciiTheme="minorHAnsi" w:hAnsiTheme="minorHAnsi"/>
          <w:bCs/>
          <w:lang w:val="en-GB"/>
        </w:rPr>
        <w:t>pembrolizumab</w:t>
      </w:r>
      <w:proofErr w:type="spellEnd"/>
      <w:r w:rsidR="00345B0D">
        <w:rPr>
          <w:rFonts w:asciiTheme="minorHAnsi" w:hAnsiTheme="minorHAnsi"/>
          <w:bCs/>
          <w:lang w:val="en-GB"/>
        </w:rPr>
        <w:t xml:space="preserve"> in this condition</w:t>
      </w:r>
      <w:r w:rsidR="00E02EB2">
        <w:rPr>
          <w:rFonts w:asciiTheme="minorHAnsi" w:hAnsiTheme="minorHAnsi"/>
          <w:bCs/>
          <w:lang w:val="en-GB"/>
        </w:rPr>
        <w:t xml:space="preserve">. </w:t>
      </w:r>
    </w:p>
    <w:p w:rsidR="00975C74" w:rsidRDefault="00345B0D" w:rsidP="00EA6C26">
      <w:pPr>
        <w:widowControl/>
        <w:numPr>
          <w:ilvl w:val="1"/>
          <w:numId w:val="1"/>
        </w:numPr>
        <w:spacing w:after="120"/>
        <w:rPr>
          <w:rFonts w:asciiTheme="minorHAnsi" w:hAnsiTheme="minorHAnsi"/>
          <w:bCs/>
          <w:lang w:val="en-GB"/>
        </w:rPr>
      </w:pPr>
      <w:r w:rsidRPr="00345B0D">
        <w:rPr>
          <w:rFonts w:asciiTheme="minorHAnsi" w:hAnsiTheme="minorHAnsi"/>
          <w:bCs/>
          <w:lang w:val="en-GB"/>
        </w:rPr>
        <w:t>The PBAC noted that the evidence for SOC chemotherapies</w:t>
      </w:r>
      <w:r>
        <w:rPr>
          <w:rFonts w:asciiTheme="minorHAnsi" w:hAnsiTheme="minorHAnsi"/>
          <w:bCs/>
          <w:lang w:val="en-GB"/>
        </w:rPr>
        <w:t xml:space="preserve"> was a</w:t>
      </w:r>
      <w:r w:rsidRPr="00345B0D">
        <w:rPr>
          <w:rFonts w:asciiTheme="minorHAnsi" w:hAnsiTheme="minorHAnsi"/>
          <w:bCs/>
          <w:lang w:val="en-GB"/>
        </w:rPr>
        <w:t xml:space="preserve"> retrospective</w:t>
      </w:r>
      <w:r>
        <w:rPr>
          <w:rFonts w:asciiTheme="minorHAnsi" w:hAnsiTheme="minorHAnsi"/>
          <w:bCs/>
          <w:lang w:val="en-GB"/>
        </w:rPr>
        <w:t>,</w:t>
      </w:r>
      <w:r w:rsidRPr="00345B0D">
        <w:rPr>
          <w:rFonts w:asciiTheme="minorHAnsi" w:hAnsiTheme="minorHAnsi"/>
          <w:bCs/>
          <w:lang w:val="en-GB"/>
        </w:rPr>
        <w:t xml:space="preserve"> observational single-arm study </w:t>
      </w:r>
      <w:r>
        <w:rPr>
          <w:rFonts w:asciiTheme="minorHAnsi" w:hAnsiTheme="minorHAnsi"/>
          <w:bCs/>
          <w:lang w:val="en-GB"/>
        </w:rPr>
        <w:t>which</w:t>
      </w:r>
      <w:r w:rsidRPr="00345B0D">
        <w:rPr>
          <w:rFonts w:asciiTheme="minorHAnsi" w:hAnsiTheme="minorHAnsi"/>
          <w:bCs/>
          <w:lang w:val="en-GB"/>
        </w:rPr>
        <w:t xml:space="preserve"> included patients who were referred for salvage chemotherapy between 1995</w:t>
      </w:r>
      <w:r>
        <w:rPr>
          <w:rFonts w:asciiTheme="minorHAnsi" w:hAnsiTheme="minorHAnsi"/>
          <w:bCs/>
          <w:lang w:val="en-GB"/>
        </w:rPr>
        <w:t xml:space="preserve"> and </w:t>
      </w:r>
      <w:r w:rsidRPr="00345B0D">
        <w:rPr>
          <w:rFonts w:asciiTheme="minorHAnsi" w:hAnsiTheme="minorHAnsi"/>
          <w:bCs/>
          <w:lang w:val="en-GB"/>
        </w:rPr>
        <w:t>2004</w:t>
      </w:r>
      <w:r w:rsidR="002A0663">
        <w:rPr>
          <w:rFonts w:asciiTheme="minorHAnsi" w:hAnsiTheme="minorHAnsi"/>
          <w:bCs/>
          <w:lang w:val="en-GB"/>
        </w:rPr>
        <w:t xml:space="preserve">, and </w:t>
      </w:r>
      <w:r w:rsidR="002A0663" w:rsidRPr="00B74BA2">
        <w:t>did not include rituximab-containing regimens</w:t>
      </w:r>
      <w:r>
        <w:rPr>
          <w:rFonts w:asciiTheme="minorHAnsi" w:hAnsiTheme="minorHAnsi"/>
          <w:bCs/>
          <w:lang w:val="en-GB"/>
        </w:rPr>
        <w:t xml:space="preserve"> (</w:t>
      </w:r>
      <w:proofErr w:type="spellStart"/>
      <w:r w:rsidR="00E02EB2">
        <w:rPr>
          <w:rFonts w:asciiTheme="minorHAnsi" w:hAnsiTheme="minorHAnsi"/>
          <w:bCs/>
          <w:lang w:val="en-GB"/>
        </w:rPr>
        <w:t>Kuruvilla</w:t>
      </w:r>
      <w:proofErr w:type="spellEnd"/>
      <w:r>
        <w:rPr>
          <w:rFonts w:asciiTheme="minorHAnsi" w:hAnsiTheme="minorHAnsi"/>
          <w:bCs/>
          <w:lang w:val="en-GB"/>
        </w:rPr>
        <w:t xml:space="preserve"> 2008). The PBAC considered the </w:t>
      </w:r>
      <w:r w:rsidR="001D66CC">
        <w:rPr>
          <w:rFonts w:asciiTheme="minorHAnsi" w:hAnsiTheme="minorHAnsi"/>
          <w:bCs/>
          <w:lang w:val="en-GB"/>
        </w:rPr>
        <w:t>treatments</w:t>
      </w:r>
      <w:r>
        <w:rPr>
          <w:rFonts w:asciiTheme="minorHAnsi" w:hAnsiTheme="minorHAnsi"/>
          <w:bCs/>
          <w:lang w:val="en-GB"/>
        </w:rPr>
        <w:t xml:space="preserve"> received </w:t>
      </w:r>
      <w:r>
        <w:rPr>
          <w:rFonts w:asciiTheme="minorHAnsi" w:hAnsiTheme="minorHAnsi"/>
          <w:bCs/>
          <w:lang w:val="en-GB"/>
        </w:rPr>
        <w:lastRenderedPageBreak/>
        <w:t>were</w:t>
      </w:r>
      <w:r w:rsidR="00E02EB2">
        <w:rPr>
          <w:rFonts w:asciiTheme="minorHAnsi" w:hAnsiTheme="minorHAnsi"/>
          <w:bCs/>
          <w:lang w:val="en-GB"/>
        </w:rPr>
        <w:t xml:space="preserve"> not applicable to current practice and likely underestimated outcomes</w:t>
      </w:r>
      <w:r w:rsidR="009B26A7">
        <w:rPr>
          <w:rFonts w:asciiTheme="minorHAnsi" w:hAnsiTheme="minorHAnsi"/>
          <w:bCs/>
          <w:lang w:val="en-GB"/>
        </w:rPr>
        <w:t xml:space="preserve"> with SOC chemotherapies</w:t>
      </w:r>
      <w:r w:rsidR="00E02EB2">
        <w:rPr>
          <w:rFonts w:asciiTheme="minorHAnsi" w:hAnsiTheme="minorHAnsi"/>
          <w:bCs/>
          <w:lang w:val="en-GB"/>
        </w:rPr>
        <w:t>.</w:t>
      </w:r>
      <w:r w:rsidR="009B26A7">
        <w:rPr>
          <w:rFonts w:asciiTheme="minorHAnsi" w:hAnsiTheme="minorHAnsi"/>
          <w:bCs/>
          <w:lang w:val="en-GB"/>
        </w:rPr>
        <w:t xml:space="preserve"> The PBAC noted that another study</w:t>
      </w:r>
      <w:r w:rsidR="009B26A7" w:rsidRPr="009B26A7">
        <w:rPr>
          <w:rFonts w:asciiTheme="minorHAnsi" w:hAnsiTheme="minorHAnsi"/>
          <w:bCs/>
          <w:lang w:val="en-GB"/>
        </w:rPr>
        <w:t xml:space="preserve"> </w:t>
      </w:r>
      <w:r w:rsidR="009B26A7">
        <w:rPr>
          <w:rFonts w:asciiTheme="minorHAnsi" w:hAnsiTheme="minorHAnsi"/>
          <w:bCs/>
          <w:lang w:val="en-GB"/>
        </w:rPr>
        <w:t xml:space="preserve">had recently been published, </w:t>
      </w:r>
      <w:proofErr w:type="spellStart"/>
      <w:r w:rsidR="009B26A7">
        <w:rPr>
          <w:rFonts w:asciiTheme="minorHAnsi" w:hAnsiTheme="minorHAnsi"/>
          <w:bCs/>
          <w:lang w:val="en-GB"/>
        </w:rPr>
        <w:t>Vardhana</w:t>
      </w:r>
      <w:proofErr w:type="spellEnd"/>
      <w:r w:rsidR="009B26A7">
        <w:rPr>
          <w:rFonts w:asciiTheme="minorHAnsi" w:hAnsiTheme="minorHAnsi"/>
          <w:bCs/>
          <w:lang w:val="en-GB"/>
        </w:rPr>
        <w:t xml:space="preserve"> 2018, which </w:t>
      </w:r>
      <w:r w:rsidR="00EA6C26">
        <w:rPr>
          <w:rFonts w:asciiTheme="minorHAnsi" w:hAnsiTheme="minorHAnsi"/>
          <w:bCs/>
          <w:lang w:val="en-GB"/>
        </w:rPr>
        <w:t xml:space="preserve">like </w:t>
      </w:r>
      <w:proofErr w:type="spellStart"/>
      <w:r w:rsidR="00EA6C26">
        <w:rPr>
          <w:rFonts w:asciiTheme="minorHAnsi" w:hAnsiTheme="minorHAnsi"/>
          <w:bCs/>
          <w:lang w:val="en-GB"/>
        </w:rPr>
        <w:t>Kuruvilla</w:t>
      </w:r>
      <w:proofErr w:type="spellEnd"/>
      <w:r w:rsidR="00EA6C26">
        <w:rPr>
          <w:rFonts w:asciiTheme="minorHAnsi" w:hAnsiTheme="minorHAnsi"/>
          <w:bCs/>
          <w:lang w:val="en-GB"/>
        </w:rPr>
        <w:t xml:space="preserve"> 2008 </w:t>
      </w:r>
      <w:r w:rsidR="009B26A7">
        <w:rPr>
          <w:rFonts w:asciiTheme="minorHAnsi" w:hAnsiTheme="minorHAnsi"/>
          <w:bCs/>
          <w:lang w:val="en-GB"/>
        </w:rPr>
        <w:t xml:space="preserve">assessed outcomes </w:t>
      </w:r>
      <w:r w:rsidR="009B26A7" w:rsidRPr="009B26A7">
        <w:rPr>
          <w:rFonts w:asciiTheme="minorHAnsi" w:hAnsiTheme="minorHAnsi"/>
          <w:bCs/>
          <w:lang w:val="en-GB"/>
        </w:rPr>
        <w:t>of patients with R/R PMBCL who were treated with second</w:t>
      </w:r>
      <w:r w:rsidR="00527E57">
        <w:rPr>
          <w:rFonts w:asciiTheme="minorHAnsi" w:hAnsiTheme="minorHAnsi"/>
          <w:bCs/>
          <w:lang w:val="en-GB"/>
        </w:rPr>
        <w:t>-</w:t>
      </w:r>
      <w:r w:rsidR="009B26A7" w:rsidRPr="009B26A7">
        <w:rPr>
          <w:rFonts w:asciiTheme="minorHAnsi" w:hAnsiTheme="minorHAnsi"/>
          <w:bCs/>
          <w:lang w:val="en-GB"/>
        </w:rPr>
        <w:t>line chemotherap</w:t>
      </w:r>
      <w:r w:rsidR="009B26A7">
        <w:rPr>
          <w:rFonts w:asciiTheme="minorHAnsi" w:hAnsiTheme="minorHAnsi"/>
          <w:bCs/>
          <w:lang w:val="en-GB"/>
        </w:rPr>
        <w:t>y</w:t>
      </w:r>
      <w:r w:rsidR="00EA6C26" w:rsidRPr="00EA6C26">
        <w:t xml:space="preserve"> </w:t>
      </w:r>
      <w:r w:rsidR="00EA6C26" w:rsidRPr="00EA6C26">
        <w:rPr>
          <w:rFonts w:asciiTheme="minorHAnsi" w:hAnsiTheme="minorHAnsi"/>
          <w:bCs/>
          <w:lang w:val="en-GB"/>
        </w:rPr>
        <w:t>with intent to consolidate with ASCT</w:t>
      </w:r>
      <w:r w:rsidR="009B26A7">
        <w:rPr>
          <w:rFonts w:asciiTheme="minorHAnsi" w:hAnsiTheme="minorHAnsi"/>
          <w:bCs/>
          <w:lang w:val="en-GB"/>
        </w:rPr>
        <w:t xml:space="preserve">. </w:t>
      </w:r>
      <w:r w:rsidR="009B26A7" w:rsidRPr="009B26A7">
        <w:rPr>
          <w:rFonts w:asciiTheme="minorHAnsi" w:hAnsiTheme="minorHAnsi"/>
          <w:bCs/>
          <w:lang w:val="en-GB"/>
        </w:rPr>
        <w:t xml:space="preserve">The PBAC noted there were key difference between patients in </w:t>
      </w:r>
      <w:proofErr w:type="spellStart"/>
      <w:r w:rsidR="009B26A7" w:rsidRPr="009B26A7">
        <w:rPr>
          <w:rFonts w:asciiTheme="minorHAnsi" w:hAnsiTheme="minorHAnsi"/>
          <w:bCs/>
          <w:lang w:val="en-GB"/>
        </w:rPr>
        <w:t>Vardhana</w:t>
      </w:r>
      <w:proofErr w:type="spellEnd"/>
      <w:r w:rsidR="009B26A7" w:rsidRPr="009B26A7">
        <w:rPr>
          <w:rFonts w:asciiTheme="minorHAnsi" w:hAnsiTheme="minorHAnsi"/>
          <w:bCs/>
          <w:lang w:val="en-GB"/>
        </w:rPr>
        <w:t xml:space="preserve"> 2018 and the </w:t>
      </w:r>
      <w:proofErr w:type="spellStart"/>
      <w:r w:rsidR="009B26A7" w:rsidRPr="009B26A7">
        <w:rPr>
          <w:rFonts w:asciiTheme="minorHAnsi" w:hAnsiTheme="minorHAnsi"/>
          <w:bCs/>
          <w:lang w:val="en-GB"/>
        </w:rPr>
        <w:t>pembrolizumab</w:t>
      </w:r>
      <w:proofErr w:type="spellEnd"/>
      <w:r w:rsidR="009B26A7" w:rsidRPr="009B26A7">
        <w:rPr>
          <w:rFonts w:asciiTheme="minorHAnsi" w:hAnsiTheme="minorHAnsi"/>
          <w:bCs/>
          <w:lang w:val="en-GB"/>
        </w:rPr>
        <w:t xml:space="preserve"> studies (KN013 and KN170), particularly around transplant eligibility</w:t>
      </w:r>
      <w:r w:rsidR="00527E57">
        <w:rPr>
          <w:rFonts w:asciiTheme="minorHAnsi" w:hAnsiTheme="minorHAnsi"/>
          <w:bCs/>
          <w:lang w:val="en-GB"/>
        </w:rPr>
        <w:t xml:space="preserve"> (and the proportion of patients progressing to transplant)</w:t>
      </w:r>
      <w:r w:rsidR="009B26A7" w:rsidRPr="009B26A7">
        <w:rPr>
          <w:rFonts w:asciiTheme="minorHAnsi" w:hAnsiTheme="minorHAnsi"/>
          <w:bCs/>
          <w:lang w:val="en-GB"/>
        </w:rPr>
        <w:t xml:space="preserve"> and the number of prior therapies. The PBAC considered that</w:t>
      </w:r>
      <w:r w:rsidR="00527E57">
        <w:rPr>
          <w:rFonts w:asciiTheme="minorHAnsi" w:hAnsiTheme="minorHAnsi"/>
          <w:bCs/>
          <w:lang w:val="en-GB"/>
        </w:rPr>
        <w:t xml:space="preserve"> some of</w:t>
      </w:r>
      <w:r w:rsidR="009B26A7" w:rsidRPr="009B26A7">
        <w:rPr>
          <w:rFonts w:asciiTheme="minorHAnsi" w:hAnsiTheme="minorHAnsi"/>
          <w:bCs/>
          <w:lang w:val="en-GB"/>
        </w:rPr>
        <w:t xml:space="preserve"> these limitations also applied to </w:t>
      </w:r>
      <w:proofErr w:type="spellStart"/>
      <w:r w:rsidR="009B26A7" w:rsidRPr="009B26A7">
        <w:rPr>
          <w:rFonts w:asciiTheme="minorHAnsi" w:hAnsiTheme="minorHAnsi"/>
          <w:bCs/>
          <w:lang w:val="en-GB"/>
        </w:rPr>
        <w:t>Kuruvilla</w:t>
      </w:r>
      <w:proofErr w:type="spellEnd"/>
      <w:r w:rsidR="009B26A7" w:rsidRPr="009B26A7">
        <w:rPr>
          <w:rFonts w:asciiTheme="minorHAnsi" w:hAnsiTheme="minorHAnsi"/>
          <w:bCs/>
          <w:lang w:val="en-GB"/>
        </w:rPr>
        <w:t xml:space="preserve"> 2008, while </w:t>
      </w:r>
      <w:proofErr w:type="spellStart"/>
      <w:r w:rsidR="009B26A7" w:rsidRPr="009B26A7">
        <w:rPr>
          <w:rFonts w:asciiTheme="minorHAnsi" w:hAnsiTheme="minorHAnsi"/>
          <w:bCs/>
          <w:lang w:val="en-GB"/>
        </w:rPr>
        <w:t>Vardhana</w:t>
      </w:r>
      <w:proofErr w:type="spellEnd"/>
      <w:r w:rsidR="009B26A7" w:rsidRPr="009B26A7">
        <w:rPr>
          <w:rFonts w:asciiTheme="minorHAnsi" w:hAnsiTheme="minorHAnsi"/>
          <w:bCs/>
          <w:lang w:val="en-GB"/>
        </w:rPr>
        <w:t xml:space="preserve"> 2018 had the advantage of </w:t>
      </w:r>
      <w:r w:rsidR="009B26A7">
        <w:rPr>
          <w:rFonts w:asciiTheme="minorHAnsi" w:hAnsiTheme="minorHAnsi"/>
          <w:bCs/>
          <w:lang w:val="en-GB"/>
        </w:rPr>
        <w:t>including patients who were treated more recently</w:t>
      </w:r>
      <w:r w:rsidR="009B26A7" w:rsidRPr="009B26A7">
        <w:rPr>
          <w:rFonts w:asciiTheme="minorHAnsi" w:hAnsiTheme="minorHAnsi"/>
          <w:bCs/>
          <w:lang w:val="en-GB"/>
        </w:rPr>
        <w:t xml:space="preserve">. As such, the PBAC considered that </w:t>
      </w:r>
      <w:proofErr w:type="spellStart"/>
      <w:r w:rsidR="009B26A7" w:rsidRPr="009B26A7">
        <w:rPr>
          <w:rFonts w:asciiTheme="minorHAnsi" w:hAnsiTheme="minorHAnsi"/>
          <w:bCs/>
          <w:lang w:val="en-GB"/>
        </w:rPr>
        <w:t>Vardhana</w:t>
      </w:r>
      <w:proofErr w:type="spellEnd"/>
      <w:r w:rsidR="009B26A7" w:rsidRPr="009B26A7">
        <w:rPr>
          <w:rFonts w:asciiTheme="minorHAnsi" w:hAnsiTheme="minorHAnsi"/>
          <w:bCs/>
          <w:lang w:val="en-GB"/>
        </w:rPr>
        <w:t xml:space="preserve"> 20</w:t>
      </w:r>
      <w:r w:rsidR="003C21A4">
        <w:rPr>
          <w:rFonts w:asciiTheme="minorHAnsi" w:hAnsiTheme="minorHAnsi"/>
          <w:bCs/>
          <w:lang w:val="en-GB"/>
        </w:rPr>
        <w:t>1</w:t>
      </w:r>
      <w:r w:rsidR="009B26A7" w:rsidRPr="009B26A7">
        <w:rPr>
          <w:rFonts w:asciiTheme="minorHAnsi" w:hAnsiTheme="minorHAnsi"/>
          <w:bCs/>
          <w:lang w:val="en-GB"/>
        </w:rPr>
        <w:t>8 was a</w:t>
      </w:r>
      <w:r w:rsidR="00527E57">
        <w:rPr>
          <w:rFonts w:asciiTheme="minorHAnsi" w:hAnsiTheme="minorHAnsi"/>
          <w:bCs/>
          <w:lang w:val="en-GB"/>
        </w:rPr>
        <w:t>lso a</w:t>
      </w:r>
      <w:r w:rsidR="009B26A7" w:rsidRPr="009B26A7">
        <w:rPr>
          <w:rFonts w:asciiTheme="minorHAnsi" w:hAnsiTheme="minorHAnsi"/>
          <w:bCs/>
          <w:lang w:val="en-GB"/>
        </w:rPr>
        <w:t xml:space="preserve"> relevant source for estimating SOC chemotherapy outcomes in current practice.</w:t>
      </w:r>
      <w:r w:rsidR="00975C74">
        <w:rPr>
          <w:rFonts w:asciiTheme="minorHAnsi" w:hAnsiTheme="minorHAnsi"/>
          <w:bCs/>
          <w:lang w:val="en-GB"/>
        </w:rPr>
        <w:t xml:space="preserve"> </w:t>
      </w:r>
    </w:p>
    <w:p w:rsidR="00975C74" w:rsidRDefault="009415B0" w:rsidP="00F2263C">
      <w:pPr>
        <w:widowControl/>
        <w:numPr>
          <w:ilvl w:val="1"/>
          <w:numId w:val="1"/>
        </w:numPr>
        <w:spacing w:after="120"/>
        <w:rPr>
          <w:rFonts w:asciiTheme="minorHAnsi" w:hAnsiTheme="minorHAnsi"/>
          <w:bCs/>
          <w:lang w:val="en-GB"/>
        </w:rPr>
      </w:pPr>
      <w:r>
        <w:rPr>
          <w:rFonts w:asciiTheme="minorHAnsi" w:hAnsiTheme="minorHAnsi"/>
          <w:bCs/>
          <w:lang w:val="en-GB"/>
        </w:rPr>
        <w:t xml:space="preserve">The PBAC noted that </w:t>
      </w:r>
      <w:r w:rsidRPr="00B74BA2">
        <w:t xml:space="preserve">the submission did not present safety data for </w:t>
      </w:r>
      <w:r w:rsidR="00F37A0C">
        <w:t>SOC</w:t>
      </w:r>
      <w:r w:rsidRPr="00B74BA2">
        <w:t xml:space="preserve"> chemotherapies </w:t>
      </w:r>
      <w:r>
        <w:t>because</w:t>
      </w:r>
      <w:r w:rsidRPr="00B74BA2">
        <w:t xml:space="preserve"> </w:t>
      </w:r>
      <w:r w:rsidR="00F37A0C" w:rsidRPr="00B74BA2">
        <w:t>adverse event</w:t>
      </w:r>
      <w:r w:rsidR="00F37A0C">
        <w:t>s were not reported in</w:t>
      </w:r>
      <w:r w:rsidR="00F37A0C" w:rsidRPr="00F37A0C">
        <w:t xml:space="preserve"> </w:t>
      </w:r>
      <w:proofErr w:type="spellStart"/>
      <w:r w:rsidRPr="00B74BA2">
        <w:t>Kuruvilla</w:t>
      </w:r>
      <w:proofErr w:type="spellEnd"/>
      <w:r w:rsidRPr="00B74BA2">
        <w:t xml:space="preserve"> 2008</w:t>
      </w:r>
      <w:r>
        <w:t xml:space="preserve">. The PBAC considered that </w:t>
      </w:r>
      <w:r w:rsidR="00F37A0C">
        <w:t xml:space="preserve">an assessment of comparative harms would be informative and considered that </w:t>
      </w:r>
      <w:r w:rsidR="00F37A0C" w:rsidRPr="00B74BA2">
        <w:t xml:space="preserve">it may </w:t>
      </w:r>
      <w:r w:rsidR="000D04A2">
        <w:t xml:space="preserve">have </w:t>
      </w:r>
      <w:r w:rsidR="00F37A0C" w:rsidRPr="00B74BA2">
        <w:t>be</w:t>
      </w:r>
      <w:r w:rsidR="000D04A2">
        <w:t>en</w:t>
      </w:r>
      <w:r w:rsidR="00F37A0C" w:rsidRPr="00B74BA2">
        <w:t xml:space="preserve"> reasonable </w:t>
      </w:r>
      <w:r w:rsidR="00F37A0C">
        <w:t>to</w:t>
      </w:r>
      <w:r w:rsidR="00F37A0C" w:rsidRPr="00B74BA2">
        <w:t xml:space="preserve"> base the safety of currently used </w:t>
      </w:r>
      <w:r w:rsidR="00F37A0C">
        <w:t xml:space="preserve">SOC chemotherapies </w:t>
      </w:r>
      <w:r w:rsidR="00F37A0C" w:rsidRPr="00B74BA2">
        <w:t>on trials in other aggressive lymphomas</w:t>
      </w:r>
      <w:r w:rsidR="00F37A0C">
        <w:t xml:space="preserve"> given the small number of patients with R/R PMBCL. </w:t>
      </w:r>
    </w:p>
    <w:p w:rsidR="00F414A2" w:rsidRPr="002A0663" w:rsidRDefault="00975C74" w:rsidP="00F2263C">
      <w:pPr>
        <w:widowControl/>
        <w:numPr>
          <w:ilvl w:val="1"/>
          <w:numId w:val="1"/>
        </w:numPr>
        <w:spacing w:after="120"/>
        <w:rPr>
          <w:rFonts w:asciiTheme="minorHAnsi" w:hAnsiTheme="minorHAnsi" w:cstheme="minorHAnsi"/>
          <w:bCs/>
          <w:szCs w:val="24"/>
          <w:lang w:val="en-GB"/>
        </w:rPr>
      </w:pPr>
      <w:r w:rsidRPr="002A0663">
        <w:rPr>
          <w:rFonts w:asciiTheme="minorHAnsi" w:hAnsiTheme="minorHAnsi"/>
          <w:bCs/>
          <w:lang w:val="en-GB"/>
        </w:rPr>
        <w:t xml:space="preserve">The PBAC considered that the results of the economic evaluation were </w:t>
      </w:r>
      <w:r w:rsidR="00F37A0C" w:rsidRPr="002A0663">
        <w:rPr>
          <w:rFonts w:asciiTheme="minorHAnsi" w:hAnsiTheme="minorHAnsi"/>
          <w:bCs/>
          <w:lang w:val="en-GB"/>
        </w:rPr>
        <w:t xml:space="preserve">not reliable because </w:t>
      </w:r>
      <w:r w:rsidR="00C7080D" w:rsidRPr="002A0663">
        <w:rPr>
          <w:rFonts w:asciiTheme="minorHAnsi" w:hAnsiTheme="minorHAnsi"/>
          <w:bCs/>
          <w:lang w:val="en-GB"/>
        </w:rPr>
        <w:t xml:space="preserve">the control data used to inform the model were not contemporary, and it </w:t>
      </w:r>
      <w:r w:rsidR="00F37A0C" w:rsidRPr="002A0663">
        <w:rPr>
          <w:rFonts w:asciiTheme="minorHAnsi" w:hAnsiTheme="minorHAnsi"/>
          <w:bCs/>
          <w:lang w:val="en-GB"/>
        </w:rPr>
        <w:t xml:space="preserve">was not reasonable to assume an ongoing treatment effect because the </w:t>
      </w:r>
      <w:proofErr w:type="spellStart"/>
      <w:r w:rsidR="00F37A0C" w:rsidRPr="002A0663">
        <w:rPr>
          <w:rFonts w:asciiTheme="minorHAnsi" w:hAnsiTheme="minorHAnsi"/>
          <w:bCs/>
          <w:lang w:val="en-GB"/>
        </w:rPr>
        <w:t>pembrolizumab</w:t>
      </w:r>
      <w:proofErr w:type="spellEnd"/>
      <w:r w:rsidR="00F37A0C" w:rsidRPr="002A0663">
        <w:rPr>
          <w:rFonts w:asciiTheme="minorHAnsi" w:hAnsiTheme="minorHAnsi"/>
          <w:bCs/>
          <w:lang w:val="en-GB"/>
        </w:rPr>
        <w:t xml:space="preserve"> data were immature and subject to a high degree of censoring.</w:t>
      </w:r>
      <w:r w:rsidR="00C7080D" w:rsidRPr="002A0663">
        <w:rPr>
          <w:rFonts w:asciiTheme="minorHAnsi" w:hAnsiTheme="minorHAnsi"/>
          <w:bCs/>
          <w:lang w:val="en-GB"/>
        </w:rPr>
        <w:t xml:space="preserve"> </w:t>
      </w:r>
      <w:r w:rsidR="002A0663">
        <w:rPr>
          <w:rFonts w:asciiTheme="minorHAnsi" w:hAnsiTheme="minorHAnsi"/>
          <w:bCs/>
          <w:lang w:val="en-GB"/>
        </w:rPr>
        <w:t>Further, t</w:t>
      </w:r>
      <w:r w:rsidR="00C7080D" w:rsidRPr="002A0663">
        <w:rPr>
          <w:rFonts w:asciiTheme="minorHAnsi" w:hAnsiTheme="minorHAnsi"/>
          <w:bCs/>
          <w:lang w:val="en-GB"/>
        </w:rPr>
        <w:t xml:space="preserve">he PBAC </w:t>
      </w:r>
      <w:r w:rsidR="00C7080D" w:rsidRPr="002A0663">
        <w:rPr>
          <w:rFonts w:cs="Calibri"/>
          <w:snapToGrid/>
          <w:lang w:val="en-US" w:eastAsia="en-AU"/>
        </w:rPr>
        <w:t xml:space="preserve">considered </w:t>
      </w:r>
      <w:r w:rsidR="00C7080D" w:rsidRPr="002A0663">
        <w:rPr>
          <w:rFonts w:asciiTheme="minorHAnsi" w:hAnsiTheme="minorHAnsi" w:cstheme="minorHAnsi"/>
          <w:snapToGrid/>
          <w:szCs w:val="24"/>
          <w:lang w:val="en-US" w:eastAsia="en-AU"/>
        </w:rPr>
        <w:t xml:space="preserve">that the utility values applied in the model were poorly justified and resulted in a large increment between the </w:t>
      </w:r>
      <w:r w:rsidR="00C7080D" w:rsidRPr="002A0663">
        <w:rPr>
          <w:rFonts w:asciiTheme="minorHAnsi" w:hAnsiTheme="minorHAnsi" w:cstheme="minorHAnsi"/>
          <w:szCs w:val="24"/>
        </w:rPr>
        <w:t xml:space="preserve">progression free (utility of 0.80) and progressed disease health states (0.62). </w:t>
      </w:r>
    </w:p>
    <w:p w:rsidR="00975C74" w:rsidRPr="002A0663" w:rsidRDefault="00156DB0" w:rsidP="000D04A2">
      <w:pPr>
        <w:widowControl/>
        <w:numPr>
          <w:ilvl w:val="1"/>
          <w:numId w:val="1"/>
        </w:numPr>
        <w:spacing w:after="120"/>
        <w:rPr>
          <w:rFonts w:asciiTheme="minorHAnsi" w:hAnsiTheme="minorHAnsi" w:cstheme="minorHAnsi"/>
          <w:bCs/>
          <w:szCs w:val="24"/>
          <w:lang w:val="en-GB"/>
        </w:rPr>
      </w:pPr>
      <w:r w:rsidRPr="002A0663">
        <w:rPr>
          <w:rFonts w:asciiTheme="minorHAnsi" w:hAnsiTheme="minorHAnsi" w:cstheme="minorHAnsi"/>
          <w:szCs w:val="24"/>
        </w:rPr>
        <w:t>T</w:t>
      </w:r>
      <w:r w:rsidR="00C7080D" w:rsidRPr="002A0663">
        <w:rPr>
          <w:rFonts w:asciiTheme="minorHAnsi" w:hAnsiTheme="minorHAnsi" w:cstheme="minorHAnsi"/>
          <w:szCs w:val="24"/>
        </w:rPr>
        <w:t xml:space="preserve">he PBAC </w:t>
      </w:r>
      <w:r w:rsidR="00F414A2" w:rsidRPr="002A0663">
        <w:rPr>
          <w:rFonts w:asciiTheme="minorHAnsi" w:hAnsiTheme="minorHAnsi" w:cstheme="minorHAnsi"/>
          <w:szCs w:val="24"/>
        </w:rPr>
        <w:t xml:space="preserve">considered that the time horizon </w:t>
      </w:r>
      <w:r w:rsidR="002A0663">
        <w:rPr>
          <w:rFonts w:asciiTheme="minorHAnsi" w:hAnsiTheme="minorHAnsi" w:cstheme="minorHAnsi"/>
          <w:szCs w:val="24"/>
        </w:rPr>
        <w:t xml:space="preserve">of ten </w:t>
      </w:r>
      <w:r w:rsidR="00F414A2" w:rsidRPr="002A0663">
        <w:rPr>
          <w:rFonts w:asciiTheme="minorHAnsi" w:hAnsiTheme="minorHAnsi" w:cstheme="minorHAnsi"/>
          <w:szCs w:val="24"/>
        </w:rPr>
        <w:t xml:space="preserve">years was too long in the context of the </w:t>
      </w:r>
      <w:r w:rsidR="00D560F2">
        <w:rPr>
          <w:rFonts w:asciiTheme="minorHAnsi" w:hAnsiTheme="minorHAnsi" w:cstheme="minorHAnsi"/>
          <w:szCs w:val="24"/>
        </w:rPr>
        <w:t xml:space="preserve">immature pembrolizumab data and the </w:t>
      </w:r>
      <w:r w:rsidR="00F414A2" w:rsidRPr="002A0663">
        <w:rPr>
          <w:rFonts w:asciiTheme="minorHAnsi" w:hAnsiTheme="minorHAnsi" w:cstheme="minorHAnsi"/>
          <w:szCs w:val="24"/>
        </w:rPr>
        <w:t xml:space="preserve">natural history of the disease as evidenced by the SOC data from </w:t>
      </w:r>
      <w:proofErr w:type="spellStart"/>
      <w:r w:rsidR="00F414A2" w:rsidRPr="002A0663">
        <w:rPr>
          <w:rFonts w:asciiTheme="minorHAnsi" w:hAnsiTheme="minorHAnsi" w:cstheme="minorHAnsi"/>
          <w:szCs w:val="24"/>
        </w:rPr>
        <w:t>Kuruvilla</w:t>
      </w:r>
      <w:proofErr w:type="spellEnd"/>
      <w:r w:rsidR="00F414A2" w:rsidRPr="002A0663">
        <w:rPr>
          <w:rFonts w:asciiTheme="minorHAnsi" w:hAnsiTheme="minorHAnsi" w:cstheme="minorHAnsi"/>
          <w:szCs w:val="24"/>
        </w:rPr>
        <w:t xml:space="preserve"> 2008</w:t>
      </w:r>
      <w:r w:rsidRPr="002A0663">
        <w:rPr>
          <w:rFonts w:asciiTheme="minorHAnsi" w:hAnsiTheme="minorHAnsi" w:cstheme="minorHAnsi"/>
          <w:szCs w:val="24"/>
        </w:rPr>
        <w:t>.</w:t>
      </w:r>
      <w:r w:rsidR="00F414A2" w:rsidRPr="002A0663">
        <w:rPr>
          <w:rFonts w:asciiTheme="minorHAnsi" w:hAnsiTheme="minorHAnsi" w:cstheme="minorHAnsi"/>
          <w:szCs w:val="24"/>
        </w:rPr>
        <w:t xml:space="preserve"> </w:t>
      </w:r>
      <w:r w:rsidRPr="002A0663">
        <w:rPr>
          <w:rFonts w:asciiTheme="minorHAnsi" w:hAnsiTheme="minorHAnsi" w:cstheme="minorHAnsi"/>
          <w:szCs w:val="24"/>
        </w:rPr>
        <w:t xml:space="preserve">However, </w:t>
      </w:r>
      <w:r w:rsidR="000D04A2" w:rsidRPr="002A0663">
        <w:rPr>
          <w:rFonts w:asciiTheme="minorHAnsi" w:hAnsiTheme="minorHAnsi" w:cstheme="minorHAnsi"/>
          <w:szCs w:val="24"/>
        </w:rPr>
        <w:t>the Committee considered</w:t>
      </w:r>
      <w:r w:rsidR="00F414A2" w:rsidRPr="002A0663">
        <w:rPr>
          <w:rFonts w:asciiTheme="minorHAnsi" w:hAnsiTheme="minorHAnsi" w:cstheme="minorHAnsi"/>
          <w:szCs w:val="24"/>
        </w:rPr>
        <w:t xml:space="preserve"> that more </w:t>
      </w:r>
      <w:r w:rsidR="00D560F2">
        <w:rPr>
          <w:rFonts w:asciiTheme="minorHAnsi" w:hAnsiTheme="minorHAnsi" w:cstheme="minorHAnsi"/>
          <w:szCs w:val="24"/>
        </w:rPr>
        <w:t xml:space="preserve">mature pembrolizumab data and more </w:t>
      </w:r>
      <w:r w:rsidR="00F414A2" w:rsidRPr="002A0663">
        <w:rPr>
          <w:rFonts w:asciiTheme="minorHAnsi" w:hAnsiTheme="minorHAnsi" w:cstheme="minorHAnsi"/>
          <w:szCs w:val="24"/>
        </w:rPr>
        <w:t xml:space="preserve">contemporary SOC data </w:t>
      </w:r>
      <w:r w:rsidRPr="002A0663">
        <w:rPr>
          <w:rFonts w:asciiTheme="minorHAnsi" w:hAnsiTheme="minorHAnsi" w:cstheme="minorHAnsi"/>
          <w:szCs w:val="24"/>
        </w:rPr>
        <w:t>may</w:t>
      </w:r>
      <w:r w:rsidR="00F414A2" w:rsidRPr="002A0663">
        <w:rPr>
          <w:rFonts w:asciiTheme="minorHAnsi" w:hAnsiTheme="minorHAnsi" w:cstheme="minorHAnsi"/>
          <w:szCs w:val="24"/>
        </w:rPr>
        <w:t xml:space="preserve"> potentially support this time horizon. The PBAC also considered that the choice of parametric function was poorly justified and it was not reasonable to extrapolate from the last available Kaplan-Meier data point. </w:t>
      </w:r>
    </w:p>
    <w:p w:rsidR="00F414A2" w:rsidRPr="00F414A2" w:rsidRDefault="00F414A2" w:rsidP="00F2263C">
      <w:pPr>
        <w:widowControl/>
        <w:numPr>
          <w:ilvl w:val="1"/>
          <w:numId w:val="1"/>
        </w:numPr>
        <w:spacing w:after="120"/>
        <w:rPr>
          <w:rFonts w:asciiTheme="minorHAnsi" w:hAnsiTheme="minorHAnsi"/>
          <w:bCs/>
          <w:lang w:val="en-GB"/>
        </w:rPr>
      </w:pPr>
      <w:r w:rsidRPr="00F414A2">
        <w:rPr>
          <w:rFonts w:asciiTheme="minorHAnsi" w:hAnsiTheme="minorHAnsi"/>
          <w:bCs/>
          <w:lang w:val="en-GB"/>
        </w:rPr>
        <w:t xml:space="preserve">The </w:t>
      </w:r>
      <w:r w:rsidR="00F2263C">
        <w:rPr>
          <w:rFonts w:asciiTheme="minorHAnsi" w:hAnsiTheme="minorHAnsi"/>
          <w:bCs/>
          <w:lang w:val="en-GB"/>
        </w:rPr>
        <w:t xml:space="preserve">PBAC considered that </w:t>
      </w:r>
      <w:r w:rsidRPr="00F414A2">
        <w:rPr>
          <w:rFonts w:asciiTheme="minorHAnsi" w:hAnsiTheme="minorHAnsi"/>
          <w:bCs/>
          <w:lang w:val="en-GB"/>
        </w:rPr>
        <w:t xml:space="preserve">number of eligible patients may have been overestimated by the inclusion of prevalent PMBCL patients </w:t>
      </w:r>
      <w:r w:rsidR="00F2263C">
        <w:rPr>
          <w:rFonts w:asciiTheme="minorHAnsi" w:hAnsiTheme="minorHAnsi"/>
          <w:bCs/>
          <w:lang w:val="en-GB"/>
        </w:rPr>
        <w:t>until Year 6</w:t>
      </w:r>
      <w:r w:rsidRPr="00F414A2">
        <w:rPr>
          <w:rFonts w:asciiTheme="minorHAnsi" w:hAnsiTheme="minorHAnsi"/>
          <w:bCs/>
          <w:lang w:val="en-GB"/>
        </w:rPr>
        <w:t>.</w:t>
      </w:r>
    </w:p>
    <w:p w:rsidR="00F414A2" w:rsidRPr="00F414A2" w:rsidRDefault="00F414A2" w:rsidP="00F2263C">
      <w:pPr>
        <w:widowControl/>
        <w:numPr>
          <w:ilvl w:val="1"/>
          <w:numId w:val="1"/>
        </w:numPr>
        <w:spacing w:after="120"/>
        <w:rPr>
          <w:rFonts w:asciiTheme="minorHAnsi" w:hAnsiTheme="minorHAnsi"/>
          <w:bCs/>
          <w:lang w:val="en-GB"/>
        </w:rPr>
      </w:pPr>
      <w:r>
        <w:t>The PBAC considered that any resubmission would need to be a major resubmission and should address the following issues:</w:t>
      </w:r>
    </w:p>
    <w:p w:rsidR="002A0663" w:rsidRDefault="002A0663" w:rsidP="002A0663">
      <w:pPr>
        <w:pStyle w:val="ListParagraph"/>
        <w:widowControl/>
        <w:numPr>
          <w:ilvl w:val="0"/>
          <w:numId w:val="7"/>
        </w:numPr>
        <w:spacing w:after="120"/>
        <w:contextualSpacing/>
      </w:pPr>
      <w:r w:rsidRPr="00156DB0">
        <w:t xml:space="preserve">more mature data from the KN170 study should be used to inform the pembrolizumab arm of the indirect comparison and the economic model; </w:t>
      </w:r>
    </w:p>
    <w:p w:rsidR="009902DB" w:rsidRPr="00156DB0" w:rsidRDefault="009902DB" w:rsidP="00156DB0">
      <w:pPr>
        <w:pStyle w:val="ListParagraph"/>
        <w:widowControl/>
        <w:numPr>
          <w:ilvl w:val="0"/>
          <w:numId w:val="7"/>
        </w:numPr>
        <w:spacing w:after="120"/>
        <w:contextualSpacing/>
      </w:pPr>
      <w:r w:rsidRPr="00156DB0">
        <w:t>more recent data should be used to inform the SOC chemotherapy arm</w:t>
      </w:r>
      <w:r w:rsidR="00156DB0">
        <w:t xml:space="preserve"> </w:t>
      </w:r>
      <w:r w:rsidR="00156DB0" w:rsidRPr="00156DB0">
        <w:t>of the indirect comparison and the economic model</w:t>
      </w:r>
      <w:r w:rsidRPr="00156DB0">
        <w:t xml:space="preserve">; </w:t>
      </w:r>
    </w:p>
    <w:p w:rsidR="00156DB0" w:rsidRPr="00156DB0" w:rsidRDefault="00156DB0" w:rsidP="00156DB0">
      <w:pPr>
        <w:pStyle w:val="ListParagraph"/>
        <w:widowControl/>
        <w:numPr>
          <w:ilvl w:val="0"/>
          <w:numId w:val="7"/>
        </w:numPr>
        <w:spacing w:after="120"/>
        <w:contextualSpacing/>
      </w:pPr>
      <w:r>
        <w:t>comparative safety data should be provided as outlined in Paragraph 7.7;</w:t>
      </w:r>
    </w:p>
    <w:p w:rsidR="00F414A2" w:rsidRPr="00156DB0" w:rsidRDefault="009902DB" w:rsidP="00156DB0">
      <w:pPr>
        <w:pStyle w:val="ListParagraph"/>
        <w:widowControl/>
        <w:numPr>
          <w:ilvl w:val="0"/>
          <w:numId w:val="7"/>
        </w:numPr>
        <w:spacing w:after="120"/>
        <w:contextualSpacing/>
      </w:pPr>
      <w:r w:rsidRPr="00156DB0">
        <w:lastRenderedPageBreak/>
        <w:t>the economic model</w:t>
      </w:r>
      <w:r w:rsidR="00156DB0" w:rsidRPr="00156DB0">
        <w:t xml:space="preserve"> </w:t>
      </w:r>
      <w:r w:rsidR="00156DB0">
        <w:t xml:space="preserve">should be </w:t>
      </w:r>
      <w:r w:rsidR="00156DB0" w:rsidRPr="00156DB0">
        <w:t>update</w:t>
      </w:r>
      <w:r w:rsidR="00156DB0">
        <w:t>d as outlined in Paragraph</w:t>
      </w:r>
      <w:r w:rsidR="002A0663">
        <w:t>s</w:t>
      </w:r>
      <w:r w:rsidR="00156DB0">
        <w:t xml:space="preserve"> 7.8 to 7.</w:t>
      </w:r>
      <w:r w:rsidR="002A0663">
        <w:t>9</w:t>
      </w:r>
      <w:r w:rsidR="00156DB0">
        <w:t>; and</w:t>
      </w:r>
      <w:r w:rsidRPr="00156DB0">
        <w:t xml:space="preserve"> </w:t>
      </w:r>
    </w:p>
    <w:p w:rsidR="00156DB0" w:rsidRPr="00F414A2" w:rsidRDefault="00156DB0" w:rsidP="00156DB0">
      <w:pPr>
        <w:pStyle w:val="ListParagraph"/>
        <w:widowControl/>
        <w:numPr>
          <w:ilvl w:val="0"/>
          <w:numId w:val="7"/>
        </w:numPr>
        <w:spacing w:after="120"/>
        <w:contextualSpacing/>
        <w:rPr>
          <w:rFonts w:asciiTheme="minorHAnsi" w:hAnsiTheme="minorHAnsi"/>
          <w:bCs/>
          <w:lang w:val="en-GB"/>
        </w:rPr>
      </w:pPr>
      <w:proofErr w:type="gramStart"/>
      <w:r w:rsidRPr="00156DB0">
        <w:t>the</w:t>
      </w:r>
      <w:proofErr w:type="gramEnd"/>
      <w:r w:rsidRPr="00156DB0">
        <w:t xml:space="preserve"> financial</w:t>
      </w:r>
      <w:r>
        <w:rPr>
          <w:rFonts w:asciiTheme="minorHAnsi" w:hAnsiTheme="minorHAnsi"/>
          <w:bCs/>
          <w:lang w:val="en-GB"/>
        </w:rPr>
        <w:t xml:space="preserve"> estimates should be </w:t>
      </w:r>
      <w:r w:rsidRPr="00156DB0">
        <w:t>update</w:t>
      </w:r>
      <w:r>
        <w:t>d</w:t>
      </w:r>
      <w:r w:rsidRPr="00156DB0">
        <w:t xml:space="preserve"> </w:t>
      </w:r>
      <w:r>
        <w:rPr>
          <w:rFonts w:asciiTheme="minorHAnsi" w:hAnsiTheme="minorHAnsi"/>
          <w:bCs/>
          <w:lang w:val="en-GB"/>
        </w:rPr>
        <w:t>as outlined in Paragraph 7.11.</w:t>
      </w:r>
    </w:p>
    <w:p w:rsidR="004E7E1D" w:rsidRPr="00344E37" w:rsidRDefault="00344E37" w:rsidP="00F2263C">
      <w:pPr>
        <w:widowControl/>
        <w:numPr>
          <w:ilvl w:val="1"/>
          <w:numId w:val="1"/>
        </w:numPr>
        <w:spacing w:after="120"/>
        <w:rPr>
          <w:rFonts w:asciiTheme="minorHAnsi" w:hAnsiTheme="minorHAnsi"/>
          <w:bCs/>
          <w:lang w:val="en-GB"/>
        </w:rPr>
      </w:pPr>
      <w:r w:rsidRPr="00344E37">
        <w:rPr>
          <w:rFonts w:asciiTheme="minorHAnsi" w:hAnsiTheme="minorHAnsi"/>
          <w:bCs/>
          <w:lang w:val="en-GB"/>
        </w:rPr>
        <w:t xml:space="preserve">The PBAC noted that this submission is eligible for an Independent Review. </w:t>
      </w:r>
    </w:p>
    <w:p w:rsidR="00344E37" w:rsidRPr="00344E37" w:rsidRDefault="00344E37" w:rsidP="00344E37">
      <w:pPr>
        <w:spacing w:before="240"/>
        <w:rPr>
          <w:rFonts w:asciiTheme="minorHAnsi" w:hAnsiTheme="minorHAnsi"/>
          <w:b/>
          <w:bCs/>
          <w:lang w:val="en-GB"/>
        </w:rPr>
      </w:pPr>
      <w:r w:rsidRPr="00344E37">
        <w:rPr>
          <w:rFonts w:asciiTheme="minorHAnsi" w:hAnsiTheme="minorHAnsi"/>
          <w:b/>
          <w:bCs/>
          <w:lang w:val="en-GB"/>
        </w:rPr>
        <w:t>Outcome:</w:t>
      </w:r>
    </w:p>
    <w:p w:rsidR="00344E37" w:rsidRPr="00344E37" w:rsidRDefault="00344E37" w:rsidP="00344E37">
      <w:pPr>
        <w:rPr>
          <w:rFonts w:asciiTheme="minorHAnsi" w:hAnsiTheme="minorHAnsi"/>
          <w:bCs/>
          <w:lang w:val="en-GB"/>
        </w:rPr>
      </w:pPr>
      <w:r w:rsidRPr="00344E37">
        <w:rPr>
          <w:rFonts w:asciiTheme="minorHAnsi" w:hAnsiTheme="minorHAnsi"/>
          <w:bCs/>
          <w:lang w:val="en-GB"/>
        </w:rPr>
        <w:t xml:space="preserve">Rejected </w:t>
      </w:r>
    </w:p>
    <w:p w:rsidR="00344E37" w:rsidRDefault="00344E37" w:rsidP="00344E37">
      <w:pPr>
        <w:rPr>
          <w:rFonts w:asciiTheme="minorHAnsi" w:hAnsiTheme="minorHAnsi"/>
          <w:b/>
          <w:bCs/>
        </w:rPr>
      </w:pPr>
    </w:p>
    <w:p w:rsidR="00DB48A8" w:rsidRPr="00C07617" w:rsidRDefault="00DB48A8" w:rsidP="00DB48A8">
      <w:pPr>
        <w:pStyle w:val="PBACHeading1"/>
        <w:spacing w:after="120"/>
        <w:outlineLvl w:val="0"/>
        <w:rPr>
          <w:rFonts w:asciiTheme="minorHAnsi" w:hAnsiTheme="minorHAnsi"/>
          <w:b w:val="0"/>
        </w:rPr>
      </w:pPr>
      <w:r w:rsidRPr="00C07617">
        <w:rPr>
          <w:rFonts w:asciiTheme="minorHAnsi" w:hAnsiTheme="minorHAnsi"/>
        </w:rPr>
        <w:t>Context for Decision</w:t>
      </w:r>
    </w:p>
    <w:p w:rsidR="00DB48A8" w:rsidRPr="00C07617" w:rsidRDefault="00DB48A8" w:rsidP="00DB48A8">
      <w:pPr>
        <w:rPr>
          <w:rFonts w:asciiTheme="minorHAnsi" w:hAnsiTheme="minorHAnsi"/>
        </w:rPr>
      </w:pPr>
      <w:r w:rsidRPr="00C07617">
        <w:rPr>
          <w:rFonts w:ascii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DB48A8" w:rsidRDefault="00DB48A8" w:rsidP="00DB48A8">
      <w:pPr>
        <w:ind w:left="426"/>
        <w:rPr>
          <w:rFonts w:ascii="Arial" w:hAnsi="Arial"/>
          <w:sz w:val="22"/>
        </w:rPr>
      </w:pPr>
    </w:p>
    <w:p w:rsidR="00DB48A8" w:rsidRPr="00C07617" w:rsidRDefault="00DB48A8" w:rsidP="00DB48A8">
      <w:pPr>
        <w:pStyle w:val="PBACHeading1"/>
        <w:spacing w:after="120"/>
        <w:outlineLvl w:val="0"/>
        <w:rPr>
          <w:rFonts w:asciiTheme="minorHAnsi" w:hAnsiTheme="minorHAnsi"/>
          <w:b w:val="0"/>
        </w:rPr>
      </w:pPr>
      <w:r>
        <w:rPr>
          <w:rFonts w:asciiTheme="minorHAnsi" w:hAnsiTheme="minorHAnsi"/>
        </w:rPr>
        <w:t>Sponsor’s Comment</w:t>
      </w:r>
    </w:p>
    <w:p w:rsidR="00DB48A8" w:rsidRPr="00202F79" w:rsidRDefault="00795348" w:rsidP="00DB48A8">
      <w:pPr>
        <w:spacing w:after="120"/>
        <w:rPr>
          <w:rFonts w:asciiTheme="minorHAnsi" w:hAnsiTheme="minorHAnsi"/>
          <w:bCs/>
          <w:lang w:val="en-GB"/>
        </w:rPr>
      </w:pPr>
      <w:r w:rsidRPr="00795348">
        <w:rPr>
          <w:rFonts w:asciiTheme="minorHAnsi" w:hAnsiTheme="minorHAnsi"/>
          <w:bCs/>
        </w:rPr>
        <w:t xml:space="preserve">MSD in disappointed in this decision and maintains that there is a substantial benefit of using pembrolizumab in patients with R/R PMBCL, which </w:t>
      </w:r>
      <w:r>
        <w:rPr>
          <w:rFonts w:asciiTheme="minorHAnsi" w:hAnsiTheme="minorHAnsi"/>
          <w:bCs/>
        </w:rPr>
        <w:t>is a rare cancer in Australia.</w:t>
      </w:r>
    </w:p>
    <w:p w:rsidR="00DB48A8" w:rsidRPr="00344E37" w:rsidRDefault="00DB48A8" w:rsidP="00344E37">
      <w:pPr>
        <w:rPr>
          <w:rFonts w:asciiTheme="minorHAnsi" w:hAnsiTheme="minorHAnsi"/>
          <w:b/>
          <w:bCs/>
        </w:rPr>
      </w:pPr>
      <w:bookmarkStart w:id="24" w:name="_GoBack"/>
      <w:bookmarkEnd w:id="24"/>
    </w:p>
    <w:sectPr w:rsidR="00DB48A8" w:rsidRPr="00344E37" w:rsidSect="00E21358">
      <w:headerReference w:type="even" r:id="rId16"/>
      <w:headerReference w:type="default" r:id="rId17"/>
      <w:footerReference w:type="even" r:id="rId18"/>
      <w:footerReference w:type="default" r:id="rId19"/>
      <w:headerReference w:type="first" r:id="rId20"/>
      <w:footerReference w:type="first" r:id="rId21"/>
      <w:pgSz w:w="11907" w:h="16840" w:code="9"/>
      <w:pgMar w:top="1440" w:right="1440" w:bottom="1440" w:left="1440" w:header="1440" w:footer="144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4F1D8B" w16cid:durableId="1FAF88AB"/>
  <w16cid:commentId w16cid:paraId="78FA0FE8" w16cid:durableId="1FAF8947"/>
  <w16cid:commentId w16cid:paraId="086C0873" w16cid:durableId="1FAF8EC8"/>
  <w16cid:commentId w16cid:paraId="7078380E" w16cid:durableId="1FB0BB0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A6D" w:rsidRDefault="00132A6D" w:rsidP="00124A51">
      <w:r>
        <w:separator/>
      </w:r>
    </w:p>
    <w:p w:rsidR="00132A6D" w:rsidRDefault="00132A6D"/>
  </w:endnote>
  <w:endnote w:type="continuationSeparator" w:id="0">
    <w:p w:rsidR="00132A6D" w:rsidRDefault="00132A6D" w:rsidP="00124A51">
      <w:r>
        <w:continuationSeparator/>
      </w:r>
    </w:p>
    <w:p w:rsidR="00132A6D" w:rsidRDefault="00132A6D"/>
  </w:endnote>
  <w:endnote w:type="continuationNotice" w:id="1">
    <w:p w:rsidR="00132A6D" w:rsidRDefault="00132A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TimesNewRoman">
    <w:altName w:val="Yu Gothic"/>
    <w:panose1 w:val="00000000000000000000"/>
    <w:charset w:val="00"/>
    <w:family w:val="auto"/>
    <w:notTrueType/>
    <w:pitch w:val="default"/>
    <w:sig w:usb0="00000001" w:usb1="09070000" w:usb2="00000010" w:usb3="00000000" w:csb0="000A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A6D" w:rsidRDefault="00132A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8E2" w:rsidRDefault="008308E2">
    <w:pPr>
      <w:pStyle w:val="Footer"/>
      <w:jc w:val="center"/>
    </w:pPr>
  </w:p>
  <w:p w:rsidR="008308E2" w:rsidRDefault="007F1726">
    <w:pPr>
      <w:pStyle w:val="Footer"/>
      <w:jc w:val="center"/>
    </w:pPr>
    <w:sdt>
      <w:sdtPr>
        <w:id w:val="849686499"/>
        <w:docPartObj>
          <w:docPartGallery w:val="Page Numbers (Bottom of Page)"/>
          <w:docPartUnique/>
        </w:docPartObj>
      </w:sdtPr>
      <w:sdtEndPr>
        <w:rPr>
          <w:noProof/>
        </w:rPr>
      </w:sdtEndPr>
      <w:sdtContent>
        <w:r w:rsidR="008308E2">
          <w:fldChar w:fldCharType="begin"/>
        </w:r>
        <w:r w:rsidR="008308E2">
          <w:instrText xml:space="preserve"> PAGE   \* MERGEFORMAT </w:instrText>
        </w:r>
        <w:r w:rsidR="008308E2">
          <w:fldChar w:fldCharType="separate"/>
        </w:r>
        <w:r>
          <w:rPr>
            <w:noProof/>
          </w:rPr>
          <w:t>28</w:t>
        </w:r>
        <w:r w:rsidR="008308E2">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A6D" w:rsidRDefault="00132A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A6D" w:rsidRDefault="00132A6D" w:rsidP="00124A51">
      <w:r>
        <w:separator/>
      </w:r>
    </w:p>
    <w:p w:rsidR="00132A6D" w:rsidRDefault="00132A6D"/>
  </w:footnote>
  <w:footnote w:type="continuationSeparator" w:id="0">
    <w:p w:rsidR="00132A6D" w:rsidRDefault="00132A6D" w:rsidP="00124A51">
      <w:r>
        <w:continuationSeparator/>
      </w:r>
    </w:p>
    <w:p w:rsidR="00132A6D" w:rsidRDefault="00132A6D"/>
  </w:footnote>
  <w:footnote w:type="continuationNotice" w:id="1">
    <w:p w:rsidR="00132A6D" w:rsidRDefault="00132A6D"/>
  </w:footnote>
  <w:footnote w:id="2">
    <w:p w:rsidR="008308E2" w:rsidRDefault="008308E2">
      <w:pPr>
        <w:pStyle w:val="FootnoteText"/>
      </w:pPr>
      <w:r>
        <w:rPr>
          <w:rStyle w:val="FootnoteReference"/>
        </w:rPr>
        <w:footnoteRef/>
      </w:r>
      <w:r>
        <w:t xml:space="preserve"> </w:t>
      </w:r>
      <w:proofErr w:type="spellStart"/>
      <w:r w:rsidRPr="00957CC4">
        <w:rPr>
          <w:rFonts w:ascii="Arial Narrow" w:hAnsi="Arial Narrow"/>
        </w:rPr>
        <w:t>Martelli</w:t>
      </w:r>
      <w:proofErr w:type="spellEnd"/>
      <w:r w:rsidRPr="00957CC4">
        <w:rPr>
          <w:rFonts w:ascii="Arial Narrow" w:hAnsi="Arial Narrow"/>
        </w:rPr>
        <w:t xml:space="preserve"> </w:t>
      </w:r>
      <w:r>
        <w:rPr>
          <w:rFonts w:ascii="Arial Narrow" w:hAnsi="Arial Narrow"/>
        </w:rPr>
        <w:t xml:space="preserve">M </w:t>
      </w:r>
      <w:r w:rsidRPr="00957CC4">
        <w:rPr>
          <w:rFonts w:ascii="Arial Narrow" w:hAnsi="Arial Narrow"/>
        </w:rPr>
        <w:t>et al</w:t>
      </w:r>
      <w:r>
        <w:rPr>
          <w:rFonts w:ascii="Arial Narrow" w:hAnsi="Arial Narrow"/>
        </w:rPr>
        <w:t xml:space="preserve">, </w:t>
      </w:r>
      <w:r w:rsidRPr="00957CC4">
        <w:rPr>
          <w:rFonts w:ascii="Arial Narrow" w:hAnsi="Arial Narrow"/>
        </w:rPr>
        <w:t xml:space="preserve">Primary mediastinal large B-cell lymphoma. </w:t>
      </w:r>
      <w:r w:rsidRPr="00BE5367">
        <w:rPr>
          <w:rFonts w:ascii="Arial Narrow" w:hAnsi="Arial Narrow"/>
        </w:rPr>
        <w:t>Critical Reviews in Oncology/</w:t>
      </w:r>
      <w:proofErr w:type="spellStart"/>
      <w:r w:rsidRPr="00BE5367">
        <w:rPr>
          <w:rFonts w:ascii="Arial Narrow" w:hAnsi="Arial Narrow"/>
        </w:rPr>
        <w:t>Hematology</w:t>
      </w:r>
      <w:proofErr w:type="spellEnd"/>
      <w:r>
        <w:rPr>
          <w:rFonts w:ascii="Arial Narrow" w:hAnsi="Arial Narrow"/>
        </w:rPr>
        <w:t>. 2017;</w:t>
      </w:r>
      <w:r w:rsidRPr="00957CC4">
        <w:rPr>
          <w:rFonts w:ascii="Arial Narrow" w:hAnsi="Arial Narrow"/>
        </w:rPr>
        <w:t xml:space="preserve"> 113</w:t>
      </w:r>
      <w:r>
        <w:rPr>
          <w:rFonts w:ascii="Arial Narrow" w:hAnsi="Arial Narrow"/>
        </w:rPr>
        <w:t>:</w:t>
      </w:r>
      <w:r w:rsidRPr="00957CC4">
        <w:rPr>
          <w:rFonts w:ascii="Arial Narrow" w:hAnsi="Arial Narrow"/>
        </w:rPr>
        <w:t xml:space="preserve"> 318–327</w:t>
      </w:r>
      <w:r>
        <w:rPr>
          <w:rFonts w:ascii="Arial Narrow" w:hAnsi="Arial Narrow"/>
        </w:rPr>
        <w:t>.</w:t>
      </w:r>
    </w:p>
  </w:footnote>
  <w:footnote w:id="3">
    <w:p w:rsidR="008308E2" w:rsidRDefault="008308E2" w:rsidP="00AD64E7">
      <w:pPr>
        <w:pStyle w:val="FootnoteText"/>
      </w:pPr>
      <w:r>
        <w:rPr>
          <w:rStyle w:val="FootnoteReference"/>
        </w:rPr>
        <w:footnoteRef/>
      </w:r>
      <w:r>
        <w:t xml:space="preserve"> </w:t>
      </w:r>
      <w:proofErr w:type="spellStart"/>
      <w:r w:rsidRPr="00AD64E7">
        <w:rPr>
          <w:rFonts w:ascii="Arial Narrow" w:hAnsi="Arial Narrow"/>
        </w:rPr>
        <w:t>Rieger</w:t>
      </w:r>
      <w:proofErr w:type="spellEnd"/>
      <w:r w:rsidRPr="00AD64E7">
        <w:rPr>
          <w:rFonts w:ascii="Arial Narrow" w:hAnsi="Arial Narrow"/>
        </w:rPr>
        <w:t xml:space="preserve"> M, </w:t>
      </w:r>
      <w:proofErr w:type="spellStart"/>
      <w:r w:rsidRPr="00AD64E7">
        <w:rPr>
          <w:rFonts w:ascii="Arial Narrow" w:hAnsi="Arial Narrow"/>
        </w:rPr>
        <w:t>Osterborg</w:t>
      </w:r>
      <w:proofErr w:type="spellEnd"/>
      <w:r w:rsidRPr="00AD64E7">
        <w:rPr>
          <w:rFonts w:ascii="Arial Narrow" w:hAnsi="Arial Narrow"/>
        </w:rPr>
        <w:t xml:space="preserve"> A, </w:t>
      </w:r>
      <w:proofErr w:type="spellStart"/>
      <w:r w:rsidRPr="00AD64E7">
        <w:rPr>
          <w:rFonts w:ascii="Arial Narrow" w:hAnsi="Arial Narrow"/>
        </w:rPr>
        <w:t>Pettengell</w:t>
      </w:r>
      <w:proofErr w:type="spellEnd"/>
      <w:r w:rsidRPr="00AD64E7">
        <w:rPr>
          <w:rFonts w:ascii="Arial Narrow" w:hAnsi="Arial Narrow"/>
        </w:rPr>
        <w:t xml:space="preserve"> R, et al. </w:t>
      </w:r>
      <w:proofErr w:type="spellStart"/>
      <w:r w:rsidRPr="00AD64E7">
        <w:rPr>
          <w:rFonts w:ascii="Arial Narrow" w:hAnsi="Arial Narrow"/>
        </w:rPr>
        <w:t>MabThera</w:t>
      </w:r>
      <w:proofErr w:type="spellEnd"/>
      <w:r w:rsidRPr="00AD64E7">
        <w:rPr>
          <w:rFonts w:ascii="Arial Narrow" w:hAnsi="Arial Narrow"/>
        </w:rPr>
        <w:t xml:space="preserve"> International Trial (</w:t>
      </w:r>
      <w:proofErr w:type="spellStart"/>
      <w:r w:rsidRPr="00AD64E7">
        <w:rPr>
          <w:rFonts w:ascii="Arial Narrow" w:hAnsi="Arial Narrow"/>
        </w:rPr>
        <w:t>MInT</w:t>
      </w:r>
      <w:proofErr w:type="spellEnd"/>
      <w:r w:rsidRPr="00AD64E7">
        <w:rPr>
          <w:rFonts w:ascii="Arial Narrow" w:hAnsi="Arial Narrow"/>
        </w:rPr>
        <w:t xml:space="preserve">) Group. Primary mediastinal B-cell lymphoma treated with CHOP-like chemotherapy with or without rituximab: results of the </w:t>
      </w:r>
      <w:proofErr w:type="spellStart"/>
      <w:r w:rsidRPr="00AD64E7">
        <w:rPr>
          <w:rFonts w:ascii="Arial Narrow" w:hAnsi="Arial Narrow"/>
        </w:rPr>
        <w:t>Mabthera</w:t>
      </w:r>
      <w:proofErr w:type="spellEnd"/>
      <w:r w:rsidRPr="00AD64E7">
        <w:t xml:space="preserve"> </w:t>
      </w:r>
      <w:r w:rsidRPr="00AD64E7">
        <w:rPr>
          <w:rFonts w:ascii="Arial Narrow" w:hAnsi="Arial Narrow"/>
        </w:rPr>
        <w:t>International Trial Group</w:t>
      </w:r>
      <w:r w:rsidRPr="00AD64E7">
        <w:t xml:space="preserve"> </w:t>
      </w:r>
      <w:r w:rsidRPr="00AD64E7">
        <w:rPr>
          <w:rFonts w:ascii="Arial Narrow" w:hAnsi="Arial Narrow"/>
        </w:rPr>
        <w:t>study. Ann Oncol. 2011;</w:t>
      </w:r>
      <w:r>
        <w:rPr>
          <w:rFonts w:ascii="Arial Narrow" w:hAnsi="Arial Narrow"/>
        </w:rPr>
        <w:t xml:space="preserve"> </w:t>
      </w:r>
      <w:r w:rsidRPr="00AD64E7">
        <w:rPr>
          <w:rFonts w:ascii="Arial Narrow" w:hAnsi="Arial Narrow"/>
        </w:rPr>
        <w:t>22(3):664–670.</w:t>
      </w:r>
      <w:r w:rsidRPr="00AD64E7">
        <w:t xml:space="preserve">  </w:t>
      </w:r>
    </w:p>
  </w:footnote>
  <w:footnote w:id="4">
    <w:p w:rsidR="008308E2" w:rsidRDefault="008308E2">
      <w:pPr>
        <w:pStyle w:val="FootnoteText"/>
      </w:pPr>
      <w:r>
        <w:rPr>
          <w:rStyle w:val="FootnoteReference"/>
        </w:rPr>
        <w:footnoteRef/>
      </w:r>
      <w:r>
        <w:t xml:space="preserve"> </w:t>
      </w:r>
      <w:r w:rsidRPr="00AD64E7">
        <w:rPr>
          <w:rFonts w:ascii="Arial Narrow" w:hAnsi="Arial Narrow"/>
        </w:rPr>
        <w:t xml:space="preserve">Dunleavy K, </w:t>
      </w:r>
      <w:proofErr w:type="spellStart"/>
      <w:r w:rsidRPr="00AD64E7">
        <w:rPr>
          <w:rFonts w:ascii="Arial Narrow" w:hAnsi="Arial Narrow"/>
        </w:rPr>
        <w:t>Pittaluga</w:t>
      </w:r>
      <w:proofErr w:type="spellEnd"/>
      <w:r w:rsidRPr="00AD64E7">
        <w:rPr>
          <w:rFonts w:ascii="Arial Narrow" w:hAnsi="Arial Narrow"/>
        </w:rPr>
        <w:t xml:space="preserve"> S, Maeda LS, et al. Dose-adjusted EPOCH-rituximab therapy in primary mediastinal B-cell lymphoma. N </w:t>
      </w:r>
      <w:proofErr w:type="spellStart"/>
      <w:r w:rsidRPr="00AD64E7">
        <w:rPr>
          <w:rFonts w:ascii="Arial Narrow" w:hAnsi="Arial Narrow"/>
        </w:rPr>
        <w:t>Engl</w:t>
      </w:r>
      <w:proofErr w:type="spellEnd"/>
      <w:r w:rsidRPr="00AD64E7">
        <w:rPr>
          <w:rFonts w:ascii="Arial Narrow" w:hAnsi="Arial Narrow"/>
        </w:rPr>
        <w:t xml:space="preserve"> J Med. 2013;</w:t>
      </w:r>
      <w:r>
        <w:rPr>
          <w:rFonts w:ascii="Arial Narrow" w:hAnsi="Arial Narrow"/>
        </w:rPr>
        <w:t xml:space="preserve"> </w:t>
      </w:r>
      <w:r w:rsidRPr="00AD64E7">
        <w:rPr>
          <w:rFonts w:ascii="Arial Narrow" w:hAnsi="Arial Narrow"/>
        </w:rPr>
        <w:t>368(15):1408–1416</w:t>
      </w:r>
    </w:p>
  </w:footnote>
  <w:footnote w:id="5">
    <w:p w:rsidR="008308E2" w:rsidRDefault="008308E2">
      <w:pPr>
        <w:pStyle w:val="FootnoteText"/>
      </w:pPr>
      <w:r>
        <w:rPr>
          <w:rStyle w:val="FootnoteReference"/>
        </w:rPr>
        <w:footnoteRef/>
      </w:r>
      <w:r>
        <w:t xml:space="preserve"> </w:t>
      </w:r>
      <w:r w:rsidRPr="00AD64E7">
        <w:rPr>
          <w:rFonts w:ascii="Arial Narrow" w:hAnsi="Arial Narrow"/>
        </w:rPr>
        <w:t xml:space="preserve">Savage KJ, </w:t>
      </w:r>
      <w:proofErr w:type="spellStart"/>
      <w:r w:rsidRPr="00AD64E7">
        <w:rPr>
          <w:rFonts w:ascii="Arial Narrow" w:hAnsi="Arial Narrow"/>
        </w:rPr>
        <w:t>Yenson</w:t>
      </w:r>
      <w:proofErr w:type="spellEnd"/>
      <w:r w:rsidRPr="00AD64E7">
        <w:rPr>
          <w:rFonts w:ascii="Arial Narrow" w:hAnsi="Arial Narrow"/>
        </w:rPr>
        <w:t xml:space="preserve"> PR, </w:t>
      </w:r>
      <w:proofErr w:type="spellStart"/>
      <w:r w:rsidRPr="00AD64E7">
        <w:rPr>
          <w:rFonts w:ascii="Arial Narrow" w:hAnsi="Arial Narrow"/>
        </w:rPr>
        <w:t>Shenkier</w:t>
      </w:r>
      <w:proofErr w:type="spellEnd"/>
      <w:r w:rsidRPr="00AD64E7">
        <w:rPr>
          <w:rFonts w:ascii="Arial Narrow" w:hAnsi="Arial Narrow"/>
        </w:rPr>
        <w:t xml:space="preserve"> T, et al. The outcome of primary mediastinal large B-cell lymphoma (PMBCL) in the R-CHOP treatment era. Oral presentation at the 54th ASH Annual Meeting and Exposition. December 10, 2012. Atlanta, GA.</w:t>
      </w:r>
    </w:p>
  </w:footnote>
  <w:footnote w:id="6">
    <w:p w:rsidR="008308E2" w:rsidRDefault="008308E2">
      <w:pPr>
        <w:pStyle w:val="FootnoteText"/>
      </w:pPr>
      <w:r>
        <w:rPr>
          <w:rStyle w:val="FootnoteReference"/>
        </w:rPr>
        <w:footnoteRef/>
      </w:r>
      <w:r>
        <w:t xml:space="preserve"> </w:t>
      </w:r>
      <w:r w:rsidRPr="00AD64E7">
        <w:rPr>
          <w:rFonts w:ascii="Arial Narrow" w:hAnsi="Arial Narrow"/>
        </w:rPr>
        <w:t xml:space="preserve">Christian </w:t>
      </w:r>
      <w:proofErr w:type="spellStart"/>
      <w:r w:rsidRPr="00AD64E7">
        <w:rPr>
          <w:rFonts w:ascii="Arial Narrow" w:hAnsi="Arial Narrow"/>
        </w:rPr>
        <w:t>Gisselbrecht</w:t>
      </w:r>
      <w:proofErr w:type="spellEnd"/>
      <w:r w:rsidRPr="00AD64E7">
        <w:rPr>
          <w:rFonts w:ascii="Arial Narrow" w:hAnsi="Arial Narrow"/>
        </w:rPr>
        <w:t>. Use of rituximab in diffuse large B</w:t>
      </w:r>
      <w:r w:rsidRPr="00AD64E7">
        <w:rPr>
          <w:rFonts w:ascii="Cambria Math" w:hAnsi="Cambria Math" w:cs="Cambria Math"/>
        </w:rPr>
        <w:t>‐</w:t>
      </w:r>
      <w:r w:rsidRPr="00AD64E7">
        <w:rPr>
          <w:rFonts w:ascii="Arial Narrow" w:hAnsi="Arial Narrow"/>
        </w:rPr>
        <w:t xml:space="preserve">cell lymphoma in the salvage setting First published: 11 November 2008, British Journal of </w:t>
      </w:r>
      <w:proofErr w:type="spellStart"/>
      <w:r w:rsidRPr="00AD64E7">
        <w:rPr>
          <w:rFonts w:ascii="Arial Narrow" w:hAnsi="Arial Narrow"/>
        </w:rPr>
        <w:t>hematology</w:t>
      </w:r>
      <w:proofErr w:type="spellEnd"/>
      <w:r w:rsidRPr="00AD64E7">
        <w:rPr>
          <w:rFonts w:ascii="Arial Narrow" w:hAnsi="Arial Narrow"/>
        </w:rPr>
        <w:t>.</w:t>
      </w:r>
    </w:p>
  </w:footnote>
  <w:footnote w:id="7">
    <w:p w:rsidR="008308E2" w:rsidRDefault="008308E2" w:rsidP="00115AC6">
      <w:pPr>
        <w:pStyle w:val="FootnoteText"/>
      </w:pPr>
      <w:r>
        <w:rPr>
          <w:rStyle w:val="FootnoteReference"/>
        </w:rPr>
        <w:footnoteRef/>
      </w:r>
      <w:r>
        <w:t xml:space="preserve"> </w:t>
      </w:r>
      <w:proofErr w:type="spellStart"/>
      <w:r>
        <w:t>Vardhana</w:t>
      </w:r>
      <w:proofErr w:type="spellEnd"/>
      <w:r>
        <w:t xml:space="preserve">, S et al. Outcomes of Relapsed and Refractory Primary Mediastinal (Thymic) Large B </w:t>
      </w:r>
      <w:proofErr w:type="gramStart"/>
      <w:r>
        <w:t>Cell</w:t>
      </w:r>
      <w:proofErr w:type="gramEnd"/>
      <w:r>
        <w:t xml:space="preserve"> Lymphoma Treated with Second-Line Therapy and Intent to Transplant.  Biology of Blood and Marrow Transplantation, 2018. Volume 24 , Issue 10 , 2133 - 2138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A6D" w:rsidRDefault="00132A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8E2" w:rsidRPr="005478EA" w:rsidRDefault="008308E2" w:rsidP="006A1B49">
    <w:pPr>
      <w:tabs>
        <w:tab w:val="center" w:pos="4513"/>
        <w:tab w:val="right" w:pos="9026"/>
      </w:tabs>
      <w:ind w:left="360"/>
      <w:jc w:val="center"/>
      <w:rPr>
        <w:rFonts w:asciiTheme="minorHAnsi" w:hAnsiTheme="minorHAnsi"/>
        <w:i/>
        <w:color w:val="808080"/>
        <w:szCs w:val="24"/>
      </w:rPr>
    </w:pPr>
    <w:r>
      <w:rPr>
        <w:rFonts w:asciiTheme="minorHAnsi" w:hAnsiTheme="minorHAnsi"/>
        <w:i/>
        <w:color w:val="808080"/>
        <w:szCs w:val="24"/>
      </w:rPr>
      <w:t>Public Summary Document</w:t>
    </w:r>
    <w:r w:rsidRPr="005478EA">
      <w:rPr>
        <w:rFonts w:asciiTheme="minorHAnsi" w:hAnsiTheme="minorHAnsi"/>
        <w:i/>
        <w:color w:val="808080"/>
        <w:szCs w:val="24"/>
      </w:rPr>
      <w:t xml:space="preserve"> – November 2018 PBAC Meeting</w:t>
    </w:r>
  </w:p>
  <w:p w:rsidR="008308E2" w:rsidRDefault="008308E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A6D" w:rsidRDefault="00132A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36BE1"/>
    <w:multiLevelType w:val="multilevel"/>
    <w:tmpl w:val="C3760018"/>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bullet"/>
      <w:lvlText w:val=""/>
      <w:lvlJc w:val="left"/>
      <w:pPr>
        <w:ind w:left="360" w:hanging="360"/>
      </w:pPr>
      <w:rPr>
        <w:rFonts w:ascii="Symbol" w:hAnsi="Symbol"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26A71F19"/>
    <w:multiLevelType w:val="hybridMultilevel"/>
    <w:tmpl w:val="53D0ED9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nsid w:val="34C239BB"/>
    <w:multiLevelType w:val="hybridMultilevel"/>
    <w:tmpl w:val="E02694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91E7CF7"/>
    <w:multiLevelType w:val="hybridMultilevel"/>
    <w:tmpl w:val="0CA475DA"/>
    <w:lvl w:ilvl="0" w:tplc="851AAA84">
      <w:start w:val="10"/>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3B7C34E2"/>
    <w:multiLevelType w:val="hybridMultilevel"/>
    <w:tmpl w:val="F6A0F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3F148C1"/>
    <w:multiLevelType w:val="multilevel"/>
    <w:tmpl w:val="CFDEF360"/>
    <w:lvl w:ilvl="0">
      <w:start w:val="1"/>
      <w:numFmt w:val="bullet"/>
      <w:pStyle w:val="ListBullet"/>
      <w:lvlText w:val=""/>
      <w:lvlJc w:val="left"/>
      <w:pPr>
        <w:ind w:left="360" w:hanging="360"/>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bullet"/>
      <w:pStyle w:val="ListBullet4"/>
      <w:lvlText w:val=""/>
      <w:lvlJc w:val="left"/>
      <w:pPr>
        <w:ind w:left="1435" w:hanging="358"/>
      </w:pPr>
      <w:rPr>
        <w:rFonts w:ascii="Symbol" w:hAnsi="Symbol" w:hint="default"/>
        <w:color w:val="000000" w:themeColor="text1"/>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0445F4"/>
    <w:multiLevelType w:val="multilevel"/>
    <w:tmpl w:val="24401002"/>
    <w:styleLink w:val="Lists"/>
    <w:lvl w:ilvl="0">
      <w:start w:val="1"/>
      <w:numFmt w:val="none"/>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decimal"/>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8">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784D033C"/>
    <w:multiLevelType w:val="multilevel"/>
    <w:tmpl w:val="01A69AC6"/>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ascii="Calibri" w:hAnsi="Calibri" w:cs="Calibri" w:hint="default"/>
        <w:b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6"/>
  </w:num>
  <w:num w:numId="3">
    <w:abstractNumId w:val="7"/>
  </w:num>
  <w:num w:numId="4">
    <w:abstractNumId w:val="5"/>
  </w:num>
  <w:num w:numId="5">
    <w:abstractNumId w:val="0"/>
  </w:num>
  <w:num w:numId="6">
    <w:abstractNumId w:val="2"/>
  </w:num>
  <w:num w:numId="7">
    <w:abstractNumId w:val="1"/>
  </w:num>
  <w:num w:numId="8">
    <w:abstractNumId w:val="8"/>
  </w:num>
  <w:num w:numId="9">
    <w:abstractNumId w:val="3"/>
  </w:num>
  <w:num w:numId="1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oNotTrackFormatting/>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48DCCBDA-19AD-426D-9B42-80912E0A4D70}"/>
    <w:docVar w:name="dgnword-eventsink" w:val="353239736"/>
  </w:docVars>
  <w:rsids>
    <w:rsidRoot w:val="00E65E79"/>
    <w:rsid w:val="00000790"/>
    <w:rsid w:val="0000110B"/>
    <w:rsid w:val="00003499"/>
    <w:rsid w:val="000039B7"/>
    <w:rsid w:val="00003E3A"/>
    <w:rsid w:val="00011474"/>
    <w:rsid w:val="00013247"/>
    <w:rsid w:val="000152D6"/>
    <w:rsid w:val="00015886"/>
    <w:rsid w:val="00015ACD"/>
    <w:rsid w:val="000162EF"/>
    <w:rsid w:val="00017828"/>
    <w:rsid w:val="0002225F"/>
    <w:rsid w:val="000229E6"/>
    <w:rsid w:val="00023763"/>
    <w:rsid w:val="0003014E"/>
    <w:rsid w:val="0003115A"/>
    <w:rsid w:val="000314CF"/>
    <w:rsid w:val="00033863"/>
    <w:rsid w:val="00035C32"/>
    <w:rsid w:val="00035DC0"/>
    <w:rsid w:val="00036829"/>
    <w:rsid w:val="00037F5E"/>
    <w:rsid w:val="00040895"/>
    <w:rsid w:val="00040CC1"/>
    <w:rsid w:val="000417AE"/>
    <w:rsid w:val="00043C37"/>
    <w:rsid w:val="00044ED9"/>
    <w:rsid w:val="00045017"/>
    <w:rsid w:val="000453AC"/>
    <w:rsid w:val="00045A2B"/>
    <w:rsid w:val="0004698F"/>
    <w:rsid w:val="00046DED"/>
    <w:rsid w:val="000502F5"/>
    <w:rsid w:val="00050658"/>
    <w:rsid w:val="000539D0"/>
    <w:rsid w:val="00053FE8"/>
    <w:rsid w:val="00054621"/>
    <w:rsid w:val="000546D7"/>
    <w:rsid w:val="00054B2B"/>
    <w:rsid w:val="00056A32"/>
    <w:rsid w:val="0005792F"/>
    <w:rsid w:val="000611E6"/>
    <w:rsid w:val="0006325E"/>
    <w:rsid w:val="000634F9"/>
    <w:rsid w:val="00063872"/>
    <w:rsid w:val="00065CE8"/>
    <w:rsid w:val="00066360"/>
    <w:rsid w:val="000676E6"/>
    <w:rsid w:val="00071248"/>
    <w:rsid w:val="00071F79"/>
    <w:rsid w:val="000720B9"/>
    <w:rsid w:val="00072C7C"/>
    <w:rsid w:val="00073383"/>
    <w:rsid w:val="000737F7"/>
    <w:rsid w:val="00073CBF"/>
    <w:rsid w:val="00073E25"/>
    <w:rsid w:val="0007533B"/>
    <w:rsid w:val="00075BBB"/>
    <w:rsid w:val="0007672F"/>
    <w:rsid w:val="000774F0"/>
    <w:rsid w:val="00080909"/>
    <w:rsid w:val="000812CA"/>
    <w:rsid w:val="00081EB7"/>
    <w:rsid w:val="0008258D"/>
    <w:rsid w:val="00083E99"/>
    <w:rsid w:val="000856C5"/>
    <w:rsid w:val="000901A4"/>
    <w:rsid w:val="00090C7E"/>
    <w:rsid w:val="000918E8"/>
    <w:rsid w:val="00092600"/>
    <w:rsid w:val="0009262B"/>
    <w:rsid w:val="00093310"/>
    <w:rsid w:val="00093A37"/>
    <w:rsid w:val="00093B97"/>
    <w:rsid w:val="0009445C"/>
    <w:rsid w:val="00095FE5"/>
    <w:rsid w:val="00096284"/>
    <w:rsid w:val="00096C4E"/>
    <w:rsid w:val="000A1EDB"/>
    <w:rsid w:val="000A2FE8"/>
    <w:rsid w:val="000A7D08"/>
    <w:rsid w:val="000B0670"/>
    <w:rsid w:val="000B0E75"/>
    <w:rsid w:val="000B3E11"/>
    <w:rsid w:val="000B4C12"/>
    <w:rsid w:val="000B6CAC"/>
    <w:rsid w:val="000B7612"/>
    <w:rsid w:val="000C0567"/>
    <w:rsid w:val="000C0CC2"/>
    <w:rsid w:val="000C3DF9"/>
    <w:rsid w:val="000C4035"/>
    <w:rsid w:val="000C4BD2"/>
    <w:rsid w:val="000C6713"/>
    <w:rsid w:val="000C75B6"/>
    <w:rsid w:val="000D04A2"/>
    <w:rsid w:val="000D17DB"/>
    <w:rsid w:val="000D1BFC"/>
    <w:rsid w:val="000D281A"/>
    <w:rsid w:val="000D2C72"/>
    <w:rsid w:val="000D326A"/>
    <w:rsid w:val="000D51FB"/>
    <w:rsid w:val="000D558F"/>
    <w:rsid w:val="000D5DB3"/>
    <w:rsid w:val="000D60C1"/>
    <w:rsid w:val="000D735B"/>
    <w:rsid w:val="000E135D"/>
    <w:rsid w:val="000E1756"/>
    <w:rsid w:val="000E3A0A"/>
    <w:rsid w:val="000E41A9"/>
    <w:rsid w:val="000E4CA9"/>
    <w:rsid w:val="000E58DE"/>
    <w:rsid w:val="000E633A"/>
    <w:rsid w:val="000E6CE5"/>
    <w:rsid w:val="000F00BA"/>
    <w:rsid w:val="000F0A55"/>
    <w:rsid w:val="000F1A00"/>
    <w:rsid w:val="000F2548"/>
    <w:rsid w:val="000F2CD5"/>
    <w:rsid w:val="000F316A"/>
    <w:rsid w:val="000F3C74"/>
    <w:rsid w:val="000F4BB8"/>
    <w:rsid w:val="000F6E3E"/>
    <w:rsid w:val="000F7124"/>
    <w:rsid w:val="000F7127"/>
    <w:rsid w:val="000F7683"/>
    <w:rsid w:val="0010031A"/>
    <w:rsid w:val="00100F8A"/>
    <w:rsid w:val="00101DAA"/>
    <w:rsid w:val="00102E82"/>
    <w:rsid w:val="00105AE2"/>
    <w:rsid w:val="00106695"/>
    <w:rsid w:val="00106B80"/>
    <w:rsid w:val="00107B46"/>
    <w:rsid w:val="0011032E"/>
    <w:rsid w:val="00110E3A"/>
    <w:rsid w:val="0011348B"/>
    <w:rsid w:val="00114B73"/>
    <w:rsid w:val="00115982"/>
    <w:rsid w:val="00115AC6"/>
    <w:rsid w:val="00116C53"/>
    <w:rsid w:val="00121799"/>
    <w:rsid w:val="001222FC"/>
    <w:rsid w:val="00123CB4"/>
    <w:rsid w:val="00124A51"/>
    <w:rsid w:val="00124AF0"/>
    <w:rsid w:val="00126108"/>
    <w:rsid w:val="00126621"/>
    <w:rsid w:val="00127C5A"/>
    <w:rsid w:val="00127CAB"/>
    <w:rsid w:val="001301E9"/>
    <w:rsid w:val="00131D82"/>
    <w:rsid w:val="0013280F"/>
    <w:rsid w:val="00132A6D"/>
    <w:rsid w:val="00133628"/>
    <w:rsid w:val="00133D36"/>
    <w:rsid w:val="001340F5"/>
    <w:rsid w:val="00136C73"/>
    <w:rsid w:val="00137645"/>
    <w:rsid w:val="00137C7B"/>
    <w:rsid w:val="0014015A"/>
    <w:rsid w:val="00140E99"/>
    <w:rsid w:val="00144B7D"/>
    <w:rsid w:val="001453AF"/>
    <w:rsid w:val="00145540"/>
    <w:rsid w:val="001456B0"/>
    <w:rsid w:val="00147441"/>
    <w:rsid w:val="00147A06"/>
    <w:rsid w:val="0015117D"/>
    <w:rsid w:val="00152666"/>
    <w:rsid w:val="0015299D"/>
    <w:rsid w:val="00153880"/>
    <w:rsid w:val="00154D9B"/>
    <w:rsid w:val="00156DB0"/>
    <w:rsid w:val="00157130"/>
    <w:rsid w:val="00157433"/>
    <w:rsid w:val="001576B1"/>
    <w:rsid w:val="00160A4C"/>
    <w:rsid w:val="001618F3"/>
    <w:rsid w:val="00162913"/>
    <w:rsid w:val="00163EFF"/>
    <w:rsid w:val="00165165"/>
    <w:rsid w:val="00165F51"/>
    <w:rsid w:val="001661FB"/>
    <w:rsid w:val="00166414"/>
    <w:rsid w:val="00167F3D"/>
    <w:rsid w:val="00173565"/>
    <w:rsid w:val="001739EE"/>
    <w:rsid w:val="00173B07"/>
    <w:rsid w:val="00177F90"/>
    <w:rsid w:val="00180358"/>
    <w:rsid w:val="0018151C"/>
    <w:rsid w:val="00181D9C"/>
    <w:rsid w:val="00182555"/>
    <w:rsid w:val="00182822"/>
    <w:rsid w:val="00186E80"/>
    <w:rsid w:val="0018752F"/>
    <w:rsid w:val="00191A27"/>
    <w:rsid w:val="00195222"/>
    <w:rsid w:val="001975D8"/>
    <w:rsid w:val="001A43FA"/>
    <w:rsid w:val="001A59FB"/>
    <w:rsid w:val="001A6354"/>
    <w:rsid w:val="001A6F57"/>
    <w:rsid w:val="001A7AE8"/>
    <w:rsid w:val="001B204E"/>
    <w:rsid w:val="001B2EF0"/>
    <w:rsid w:val="001B3443"/>
    <w:rsid w:val="001B409D"/>
    <w:rsid w:val="001B4D20"/>
    <w:rsid w:val="001B559C"/>
    <w:rsid w:val="001B5F97"/>
    <w:rsid w:val="001B68E2"/>
    <w:rsid w:val="001C0C0C"/>
    <w:rsid w:val="001C0EE4"/>
    <w:rsid w:val="001C2A9B"/>
    <w:rsid w:val="001C4299"/>
    <w:rsid w:val="001C4570"/>
    <w:rsid w:val="001C5241"/>
    <w:rsid w:val="001C5F94"/>
    <w:rsid w:val="001C652A"/>
    <w:rsid w:val="001C6E66"/>
    <w:rsid w:val="001C6EC9"/>
    <w:rsid w:val="001D09F2"/>
    <w:rsid w:val="001D16D2"/>
    <w:rsid w:val="001D332D"/>
    <w:rsid w:val="001D5737"/>
    <w:rsid w:val="001D5C1D"/>
    <w:rsid w:val="001D66CC"/>
    <w:rsid w:val="001D6C85"/>
    <w:rsid w:val="001D6DA7"/>
    <w:rsid w:val="001D6F36"/>
    <w:rsid w:val="001E1C8B"/>
    <w:rsid w:val="001E238E"/>
    <w:rsid w:val="001E2483"/>
    <w:rsid w:val="001E2B1E"/>
    <w:rsid w:val="001E2C6E"/>
    <w:rsid w:val="001E30CE"/>
    <w:rsid w:val="001E30D4"/>
    <w:rsid w:val="001E41FB"/>
    <w:rsid w:val="001E52EB"/>
    <w:rsid w:val="001E5592"/>
    <w:rsid w:val="001E581A"/>
    <w:rsid w:val="001E61D2"/>
    <w:rsid w:val="001E6A09"/>
    <w:rsid w:val="001E740C"/>
    <w:rsid w:val="001F1235"/>
    <w:rsid w:val="001F125C"/>
    <w:rsid w:val="001F1CB3"/>
    <w:rsid w:val="001F38B5"/>
    <w:rsid w:val="001F6AA6"/>
    <w:rsid w:val="001F7361"/>
    <w:rsid w:val="001F7A62"/>
    <w:rsid w:val="002011B0"/>
    <w:rsid w:val="00203181"/>
    <w:rsid w:val="00203783"/>
    <w:rsid w:val="0020385F"/>
    <w:rsid w:val="00203C69"/>
    <w:rsid w:val="00204BD3"/>
    <w:rsid w:val="00205EC1"/>
    <w:rsid w:val="0020635F"/>
    <w:rsid w:val="00207021"/>
    <w:rsid w:val="0020732F"/>
    <w:rsid w:val="00207D00"/>
    <w:rsid w:val="002105C1"/>
    <w:rsid w:val="00211A16"/>
    <w:rsid w:val="002142F6"/>
    <w:rsid w:val="00215816"/>
    <w:rsid w:val="00215837"/>
    <w:rsid w:val="00216BBE"/>
    <w:rsid w:val="002174BC"/>
    <w:rsid w:val="00223A6B"/>
    <w:rsid w:val="00223B49"/>
    <w:rsid w:val="00223F6A"/>
    <w:rsid w:val="00224DD4"/>
    <w:rsid w:val="0022507B"/>
    <w:rsid w:val="00226BEE"/>
    <w:rsid w:val="002309CC"/>
    <w:rsid w:val="0023209F"/>
    <w:rsid w:val="002330AD"/>
    <w:rsid w:val="00234480"/>
    <w:rsid w:val="00235F99"/>
    <w:rsid w:val="0023629D"/>
    <w:rsid w:val="00237255"/>
    <w:rsid w:val="002424AF"/>
    <w:rsid w:val="002439DC"/>
    <w:rsid w:val="00244DC8"/>
    <w:rsid w:val="002458BA"/>
    <w:rsid w:val="0024636C"/>
    <w:rsid w:val="002466E6"/>
    <w:rsid w:val="002468AF"/>
    <w:rsid w:val="00246A13"/>
    <w:rsid w:val="00247925"/>
    <w:rsid w:val="00250DDD"/>
    <w:rsid w:val="002544CC"/>
    <w:rsid w:val="00254A6C"/>
    <w:rsid w:val="00254D7B"/>
    <w:rsid w:val="00254DCF"/>
    <w:rsid w:val="0025534B"/>
    <w:rsid w:val="00255BB7"/>
    <w:rsid w:val="00256191"/>
    <w:rsid w:val="00257541"/>
    <w:rsid w:val="00257CDF"/>
    <w:rsid w:val="00262447"/>
    <w:rsid w:val="00262A1A"/>
    <w:rsid w:val="00262A87"/>
    <w:rsid w:val="00264D26"/>
    <w:rsid w:val="00265FFF"/>
    <w:rsid w:val="00267642"/>
    <w:rsid w:val="00267AEA"/>
    <w:rsid w:val="002700E6"/>
    <w:rsid w:val="002708B7"/>
    <w:rsid w:val="0027286E"/>
    <w:rsid w:val="0027294B"/>
    <w:rsid w:val="00273337"/>
    <w:rsid w:val="00273450"/>
    <w:rsid w:val="002756B9"/>
    <w:rsid w:val="00275C5A"/>
    <w:rsid w:val="002768F0"/>
    <w:rsid w:val="00281014"/>
    <w:rsid w:val="00281C42"/>
    <w:rsid w:val="0028205F"/>
    <w:rsid w:val="00284086"/>
    <w:rsid w:val="0028468F"/>
    <w:rsid w:val="002849A9"/>
    <w:rsid w:val="00285D2C"/>
    <w:rsid w:val="0029682C"/>
    <w:rsid w:val="00297AF7"/>
    <w:rsid w:val="002A0663"/>
    <w:rsid w:val="002A14AB"/>
    <w:rsid w:val="002A2351"/>
    <w:rsid w:val="002A2F50"/>
    <w:rsid w:val="002A6573"/>
    <w:rsid w:val="002A6C66"/>
    <w:rsid w:val="002A777A"/>
    <w:rsid w:val="002A7CEE"/>
    <w:rsid w:val="002B09A4"/>
    <w:rsid w:val="002B1C1F"/>
    <w:rsid w:val="002B432F"/>
    <w:rsid w:val="002B61B0"/>
    <w:rsid w:val="002B62B3"/>
    <w:rsid w:val="002B6754"/>
    <w:rsid w:val="002B6CCE"/>
    <w:rsid w:val="002C1871"/>
    <w:rsid w:val="002C2510"/>
    <w:rsid w:val="002C2775"/>
    <w:rsid w:val="002C27C1"/>
    <w:rsid w:val="002C4027"/>
    <w:rsid w:val="002C4030"/>
    <w:rsid w:val="002C5099"/>
    <w:rsid w:val="002C5889"/>
    <w:rsid w:val="002C5AC4"/>
    <w:rsid w:val="002C71CE"/>
    <w:rsid w:val="002C7B1B"/>
    <w:rsid w:val="002D0B87"/>
    <w:rsid w:val="002D23EB"/>
    <w:rsid w:val="002D2FED"/>
    <w:rsid w:val="002D3BF0"/>
    <w:rsid w:val="002D577C"/>
    <w:rsid w:val="002D5BE1"/>
    <w:rsid w:val="002D68A9"/>
    <w:rsid w:val="002E15B9"/>
    <w:rsid w:val="002E1BF0"/>
    <w:rsid w:val="002E2158"/>
    <w:rsid w:val="002E3665"/>
    <w:rsid w:val="002E5CEA"/>
    <w:rsid w:val="002E7722"/>
    <w:rsid w:val="002E7E59"/>
    <w:rsid w:val="002E7FBA"/>
    <w:rsid w:val="002F07BA"/>
    <w:rsid w:val="002F0DA9"/>
    <w:rsid w:val="002F279D"/>
    <w:rsid w:val="002F52CA"/>
    <w:rsid w:val="002F643C"/>
    <w:rsid w:val="002F65F1"/>
    <w:rsid w:val="002F71C0"/>
    <w:rsid w:val="002F7AF7"/>
    <w:rsid w:val="00301017"/>
    <w:rsid w:val="0030155F"/>
    <w:rsid w:val="00303D95"/>
    <w:rsid w:val="003046EA"/>
    <w:rsid w:val="0030587B"/>
    <w:rsid w:val="00306D98"/>
    <w:rsid w:val="0030786C"/>
    <w:rsid w:val="0031031A"/>
    <w:rsid w:val="003106E9"/>
    <w:rsid w:val="00310981"/>
    <w:rsid w:val="003123A8"/>
    <w:rsid w:val="003125CB"/>
    <w:rsid w:val="00312760"/>
    <w:rsid w:val="00313358"/>
    <w:rsid w:val="00315498"/>
    <w:rsid w:val="00317211"/>
    <w:rsid w:val="003202DA"/>
    <w:rsid w:val="00322107"/>
    <w:rsid w:val="00322846"/>
    <w:rsid w:val="00323DA9"/>
    <w:rsid w:val="00324A1A"/>
    <w:rsid w:val="00324B49"/>
    <w:rsid w:val="0032537D"/>
    <w:rsid w:val="00325CBC"/>
    <w:rsid w:val="00326DA7"/>
    <w:rsid w:val="003270E4"/>
    <w:rsid w:val="00330582"/>
    <w:rsid w:val="00330F5C"/>
    <w:rsid w:val="00331CC0"/>
    <w:rsid w:val="00333583"/>
    <w:rsid w:val="003366C9"/>
    <w:rsid w:val="00336734"/>
    <w:rsid w:val="003371B0"/>
    <w:rsid w:val="00337EA7"/>
    <w:rsid w:val="00340DF1"/>
    <w:rsid w:val="00341AC6"/>
    <w:rsid w:val="0034249A"/>
    <w:rsid w:val="0034282E"/>
    <w:rsid w:val="0034309D"/>
    <w:rsid w:val="00344E37"/>
    <w:rsid w:val="00345B0D"/>
    <w:rsid w:val="003517F9"/>
    <w:rsid w:val="00351F2F"/>
    <w:rsid w:val="00352BA8"/>
    <w:rsid w:val="0035350D"/>
    <w:rsid w:val="00353677"/>
    <w:rsid w:val="0035620E"/>
    <w:rsid w:val="003620EE"/>
    <w:rsid w:val="003624C4"/>
    <w:rsid w:val="00362910"/>
    <w:rsid w:val="00362DF6"/>
    <w:rsid w:val="00363541"/>
    <w:rsid w:val="003654AC"/>
    <w:rsid w:val="003710CF"/>
    <w:rsid w:val="003716E0"/>
    <w:rsid w:val="00372586"/>
    <w:rsid w:val="00373192"/>
    <w:rsid w:val="0037358A"/>
    <w:rsid w:val="003743DE"/>
    <w:rsid w:val="003750F6"/>
    <w:rsid w:val="003760FC"/>
    <w:rsid w:val="00376EF0"/>
    <w:rsid w:val="00377573"/>
    <w:rsid w:val="0038009D"/>
    <w:rsid w:val="00380ADF"/>
    <w:rsid w:val="0038365C"/>
    <w:rsid w:val="0038369B"/>
    <w:rsid w:val="00383B78"/>
    <w:rsid w:val="00384BB4"/>
    <w:rsid w:val="00385A9D"/>
    <w:rsid w:val="00387440"/>
    <w:rsid w:val="003902B1"/>
    <w:rsid w:val="00391D16"/>
    <w:rsid w:val="00392D0E"/>
    <w:rsid w:val="00393BB5"/>
    <w:rsid w:val="00393D77"/>
    <w:rsid w:val="00393EE5"/>
    <w:rsid w:val="0039522E"/>
    <w:rsid w:val="00396648"/>
    <w:rsid w:val="00396896"/>
    <w:rsid w:val="00396CE8"/>
    <w:rsid w:val="00396FD0"/>
    <w:rsid w:val="003A060A"/>
    <w:rsid w:val="003A1711"/>
    <w:rsid w:val="003A1A7A"/>
    <w:rsid w:val="003A1DA6"/>
    <w:rsid w:val="003A2392"/>
    <w:rsid w:val="003A2831"/>
    <w:rsid w:val="003A2937"/>
    <w:rsid w:val="003A33B8"/>
    <w:rsid w:val="003A3AB7"/>
    <w:rsid w:val="003A3ED1"/>
    <w:rsid w:val="003A46D2"/>
    <w:rsid w:val="003A4796"/>
    <w:rsid w:val="003A50C3"/>
    <w:rsid w:val="003A5565"/>
    <w:rsid w:val="003B1B87"/>
    <w:rsid w:val="003B5A1F"/>
    <w:rsid w:val="003B5B61"/>
    <w:rsid w:val="003C1654"/>
    <w:rsid w:val="003C21A4"/>
    <w:rsid w:val="003C37BB"/>
    <w:rsid w:val="003C48A4"/>
    <w:rsid w:val="003C609E"/>
    <w:rsid w:val="003C60AC"/>
    <w:rsid w:val="003C621D"/>
    <w:rsid w:val="003C6A1A"/>
    <w:rsid w:val="003C757D"/>
    <w:rsid w:val="003C7D19"/>
    <w:rsid w:val="003D15E7"/>
    <w:rsid w:val="003D1828"/>
    <w:rsid w:val="003D1C25"/>
    <w:rsid w:val="003D1DE4"/>
    <w:rsid w:val="003D2422"/>
    <w:rsid w:val="003D39A1"/>
    <w:rsid w:val="003D3FBF"/>
    <w:rsid w:val="003D43CD"/>
    <w:rsid w:val="003D4A30"/>
    <w:rsid w:val="003D73EE"/>
    <w:rsid w:val="003D79BB"/>
    <w:rsid w:val="003D7C98"/>
    <w:rsid w:val="003E0543"/>
    <w:rsid w:val="003E1A61"/>
    <w:rsid w:val="003E5DF8"/>
    <w:rsid w:val="003E70F5"/>
    <w:rsid w:val="003E7FAD"/>
    <w:rsid w:val="003F19DE"/>
    <w:rsid w:val="003F4156"/>
    <w:rsid w:val="003F5131"/>
    <w:rsid w:val="003F6521"/>
    <w:rsid w:val="003F6807"/>
    <w:rsid w:val="0040036D"/>
    <w:rsid w:val="004003A8"/>
    <w:rsid w:val="00400B29"/>
    <w:rsid w:val="00401603"/>
    <w:rsid w:val="00401DB8"/>
    <w:rsid w:val="00403C2D"/>
    <w:rsid w:val="004047D5"/>
    <w:rsid w:val="0040504B"/>
    <w:rsid w:val="004071FB"/>
    <w:rsid w:val="0041042B"/>
    <w:rsid w:val="00410708"/>
    <w:rsid w:val="00410EC7"/>
    <w:rsid w:val="00411B39"/>
    <w:rsid w:val="0041384F"/>
    <w:rsid w:val="00413A1E"/>
    <w:rsid w:val="00413BD9"/>
    <w:rsid w:val="00413F92"/>
    <w:rsid w:val="00414111"/>
    <w:rsid w:val="00414476"/>
    <w:rsid w:val="00414B6E"/>
    <w:rsid w:val="00414C2E"/>
    <w:rsid w:val="00415033"/>
    <w:rsid w:val="004151CF"/>
    <w:rsid w:val="004158CB"/>
    <w:rsid w:val="00416364"/>
    <w:rsid w:val="00420AA6"/>
    <w:rsid w:val="00420B9F"/>
    <w:rsid w:val="00420CA2"/>
    <w:rsid w:val="004217FD"/>
    <w:rsid w:val="00422260"/>
    <w:rsid w:val="0042413F"/>
    <w:rsid w:val="00427CDA"/>
    <w:rsid w:val="004307D7"/>
    <w:rsid w:val="00431627"/>
    <w:rsid w:val="004319F8"/>
    <w:rsid w:val="00431E55"/>
    <w:rsid w:val="00431FF6"/>
    <w:rsid w:val="004321F6"/>
    <w:rsid w:val="00433044"/>
    <w:rsid w:val="004375B9"/>
    <w:rsid w:val="004420E5"/>
    <w:rsid w:val="004428D0"/>
    <w:rsid w:val="004443A7"/>
    <w:rsid w:val="0044442C"/>
    <w:rsid w:val="0044585B"/>
    <w:rsid w:val="00445941"/>
    <w:rsid w:val="004464EB"/>
    <w:rsid w:val="00447D26"/>
    <w:rsid w:val="004504A8"/>
    <w:rsid w:val="00453ABB"/>
    <w:rsid w:val="0045476C"/>
    <w:rsid w:val="00455D45"/>
    <w:rsid w:val="004562BA"/>
    <w:rsid w:val="0045675C"/>
    <w:rsid w:val="00456AB5"/>
    <w:rsid w:val="0045741B"/>
    <w:rsid w:val="00462F73"/>
    <w:rsid w:val="00463BC6"/>
    <w:rsid w:val="00464595"/>
    <w:rsid w:val="00465657"/>
    <w:rsid w:val="004665D7"/>
    <w:rsid w:val="00472A79"/>
    <w:rsid w:val="00473F19"/>
    <w:rsid w:val="00475A90"/>
    <w:rsid w:val="00475E22"/>
    <w:rsid w:val="0047633D"/>
    <w:rsid w:val="00480071"/>
    <w:rsid w:val="0048088E"/>
    <w:rsid w:val="00481482"/>
    <w:rsid w:val="00482720"/>
    <w:rsid w:val="00482B71"/>
    <w:rsid w:val="004835E7"/>
    <w:rsid w:val="0048463C"/>
    <w:rsid w:val="00485919"/>
    <w:rsid w:val="0048594A"/>
    <w:rsid w:val="004867E2"/>
    <w:rsid w:val="0048717E"/>
    <w:rsid w:val="004901F9"/>
    <w:rsid w:val="0049045C"/>
    <w:rsid w:val="00491343"/>
    <w:rsid w:val="00491A54"/>
    <w:rsid w:val="00491B3A"/>
    <w:rsid w:val="00492888"/>
    <w:rsid w:val="00492BF4"/>
    <w:rsid w:val="00492CFD"/>
    <w:rsid w:val="00492FFC"/>
    <w:rsid w:val="00494DD5"/>
    <w:rsid w:val="004962D2"/>
    <w:rsid w:val="00497F1E"/>
    <w:rsid w:val="004A0DA1"/>
    <w:rsid w:val="004A12FE"/>
    <w:rsid w:val="004A17F9"/>
    <w:rsid w:val="004A1C40"/>
    <w:rsid w:val="004A357C"/>
    <w:rsid w:val="004A5282"/>
    <w:rsid w:val="004A52E9"/>
    <w:rsid w:val="004A6597"/>
    <w:rsid w:val="004A7848"/>
    <w:rsid w:val="004A7B4A"/>
    <w:rsid w:val="004B1CB4"/>
    <w:rsid w:val="004B2F18"/>
    <w:rsid w:val="004B3DDB"/>
    <w:rsid w:val="004B44FD"/>
    <w:rsid w:val="004B5B2E"/>
    <w:rsid w:val="004B5CFC"/>
    <w:rsid w:val="004B774D"/>
    <w:rsid w:val="004C03A0"/>
    <w:rsid w:val="004C3E5B"/>
    <w:rsid w:val="004C4AED"/>
    <w:rsid w:val="004C5C08"/>
    <w:rsid w:val="004C6E1E"/>
    <w:rsid w:val="004D0344"/>
    <w:rsid w:val="004D0BA0"/>
    <w:rsid w:val="004D18E4"/>
    <w:rsid w:val="004D2271"/>
    <w:rsid w:val="004D2C2D"/>
    <w:rsid w:val="004D3AEE"/>
    <w:rsid w:val="004D5ACF"/>
    <w:rsid w:val="004D6BAA"/>
    <w:rsid w:val="004D6D83"/>
    <w:rsid w:val="004D7227"/>
    <w:rsid w:val="004E0E7F"/>
    <w:rsid w:val="004E0EB8"/>
    <w:rsid w:val="004E16E7"/>
    <w:rsid w:val="004E18BC"/>
    <w:rsid w:val="004E239E"/>
    <w:rsid w:val="004E2ADC"/>
    <w:rsid w:val="004E3847"/>
    <w:rsid w:val="004E4286"/>
    <w:rsid w:val="004E43B2"/>
    <w:rsid w:val="004E7C0A"/>
    <w:rsid w:val="004E7E1D"/>
    <w:rsid w:val="004F02AF"/>
    <w:rsid w:val="004F1A9B"/>
    <w:rsid w:val="004F1D02"/>
    <w:rsid w:val="004F250C"/>
    <w:rsid w:val="004F2679"/>
    <w:rsid w:val="004F2F21"/>
    <w:rsid w:val="004F400D"/>
    <w:rsid w:val="004F6913"/>
    <w:rsid w:val="004F7865"/>
    <w:rsid w:val="0050219B"/>
    <w:rsid w:val="0050347A"/>
    <w:rsid w:val="00503BDA"/>
    <w:rsid w:val="00503F17"/>
    <w:rsid w:val="00505234"/>
    <w:rsid w:val="00505CA6"/>
    <w:rsid w:val="00506928"/>
    <w:rsid w:val="00512445"/>
    <w:rsid w:val="00513575"/>
    <w:rsid w:val="005143DA"/>
    <w:rsid w:val="005152B5"/>
    <w:rsid w:val="0051791D"/>
    <w:rsid w:val="00521319"/>
    <w:rsid w:val="00522BC8"/>
    <w:rsid w:val="0052337E"/>
    <w:rsid w:val="00523704"/>
    <w:rsid w:val="00523C28"/>
    <w:rsid w:val="00525070"/>
    <w:rsid w:val="00525EC4"/>
    <w:rsid w:val="00527064"/>
    <w:rsid w:val="005270B1"/>
    <w:rsid w:val="00527E57"/>
    <w:rsid w:val="00530C61"/>
    <w:rsid w:val="00532E5F"/>
    <w:rsid w:val="00536F42"/>
    <w:rsid w:val="00537182"/>
    <w:rsid w:val="0053736B"/>
    <w:rsid w:val="00542743"/>
    <w:rsid w:val="00542C2D"/>
    <w:rsid w:val="0054300B"/>
    <w:rsid w:val="00543A91"/>
    <w:rsid w:val="0054688D"/>
    <w:rsid w:val="005478EA"/>
    <w:rsid w:val="0055070C"/>
    <w:rsid w:val="00551985"/>
    <w:rsid w:val="00552AA3"/>
    <w:rsid w:val="00552BD3"/>
    <w:rsid w:val="00553C58"/>
    <w:rsid w:val="00553EBA"/>
    <w:rsid w:val="00555109"/>
    <w:rsid w:val="0055583A"/>
    <w:rsid w:val="005617DF"/>
    <w:rsid w:val="005625AD"/>
    <w:rsid w:val="00565CE3"/>
    <w:rsid w:val="0056696F"/>
    <w:rsid w:val="00567CBC"/>
    <w:rsid w:val="00571C66"/>
    <w:rsid w:val="00571F10"/>
    <w:rsid w:val="00572269"/>
    <w:rsid w:val="0057244A"/>
    <w:rsid w:val="00572E92"/>
    <w:rsid w:val="00573018"/>
    <w:rsid w:val="00575C48"/>
    <w:rsid w:val="00575D8D"/>
    <w:rsid w:val="005761E4"/>
    <w:rsid w:val="00576972"/>
    <w:rsid w:val="00577F9B"/>
    <w:rsid w:val="0058049E"/>
    <w:rsid w:val="0058166A"/>
    <w:rsid w:val="005819A7"/>
    <w:rsid w:val="00583699"/>
    <w:rsid w:val="00585CDD"/>
    <w:rsid w:val="00586214"/>
    <w:rsid w:val="00587058"/>
    <w:rsid w:val="005878FD"/>
    <w:rsid w:val="00587E92"/>
    <w:rsid w:val="00591957"/>
    <w:rsid w:val="00591C85"/>
    <w:rsid w:val="00594106"/>
    <w:rsid w:val="00595938"/>
    <w:rsid w:val="00596CCD"/>
    <w:rsid w:val="00597BF9"/>
    <w:rsid w:val="005A047F"/>
    <w:rsid w:val="005A04BB"/>
    <w:rsid w:val="005A2D1E"/>
    <w:rsid w:val="005A2EEA"/>
    <w:rsid w:val="005A3633"/>
    <w:rsid w:val="005A373D"/>
    <w:rsid w:val="005A374C"/>
    <w:rsid w:val="005A3E03"/>
    <w:rsid w:val="005A4F93"/>
    <w:rsid w:val="005A5FA7"/>
    <w:rsid w:val="005B00F5"/>
    <w:rsid w:val="005B0CE1"/>
    <w:rsid w:val="005B2165"/>
    <w:rsid w:val="005B24EC"/>
    <w:rsid w:val="005B2D79"/>
    <w:rsid w:val="005B4CE5"/>
    <w:rsid w:val="005B5857"/>
    <w:rsid w:val="005B692B"/>
    <w:rsid w:val="005B71A9"/>
    <w:rsid w:val="005C0413"/>
    <w:rsid w:val="005C1542"/>
    <w:rsid w:val="005C1B83"/>
    <w:rsid w:val="005C2D55"/>
    <w:rsid w:val="005C346B"/>
    <w:rsid w:val="005C3633"/>
    <w:rsid w:val="005C4598"/>
    <w:rsid w:val="005C5AEC"/>
    <w:rsid w:val="005C6E0C"/>
    <w:rsid w:val="005D0278"/>
    <w:rsid w:val="005D044D"/>
    <w:rsid w:val="005D0ABD"/>
    <w:rsid w:val="005D1002"/>
    <w:rsid w:val="005D18AD"/>
    <w:rsid w:val="005D26B4"/>
    <w:rsid w:val="005D4DB8"/>
    <w:rsid w:val="005D4F44"/>
    <w:rsid w:val="005D6BDF"/>
    <w:rsid w:val="005E0522"/>
    <w:rsid w:val="005E0BD7"/>
    <w:rsid w:val="005E1B18"/>
    <w:rsid w:val="005E6CBC"/>
    <w:rsid w:val="005E73C0"/>
    <w:rsid w:val="005E7BDB"/>
    <w:rsid w:val="005F1355"/>
    <w:rsid w:val="005F2706"/>
    <w:rsid w:val="005F3911"/>
    <w:rsid w:val="005F6A8F"/>
    <w:rsid w:val="005F7277"/>
    <w:rsid w:val="0060013A"/>
    <w:rsid w:val="00602140"/>
    <w:rsid w:val="00603DB9"/>
    <w:rsid w:val="00603F21"/>
    <w:rsid w:val="00607669"/>
    <w:rsid w:val="00607AFD"/>
    <w:rsid w:val="006100FE"/>
    <w:rsid w:val="006103EA"/>
    <w:rsid w:val="00612F97"/>
    <w:rsid w:val="00613270"/>
    <w:rsid w:val="0061345D"/>
    <w:rsid w:val="00614A1D"/>
    <w:rsid w:val="00615F55"/>
    <w:rsid w:val="00616802"/>
    <w:rsid w:val="00617440"/>
    <w:rsid w:val="00617E12"/>
    <w:rsid w:val="00620A0E"/>
    <w:rsid w:val="00620C99"/>
    <w:rsid w:val="00621477"/>
    <w:rsid w:val="00621587"/>
    <w:rsid w:val="006219CB"/>
    <w:rsid w:val="00622EEC"/>
    <w:rsid w:val="006253CE"/>
    <w:rsid w:val="00626A70"/>
    <w:rsid w:val="00631229"/>
    <w:rsid w:val="0063158F"/>
    <w:rsid w:val="00631B91"/>
    <w:rsid w:val="00631D6B"/>
    <w:rsid w:val="00631E4F"/>
    <w:rsid w:val="006324F3"/>
    <w:rsid w:val="00632DE3"/>
    <w:rsid w:val="006330A1"/>
    <w:rsid w:val="00633DDD"/>
    <w:rsid w:val="0063479F"/>
    <w:rsid w:val="006353F0"/>
    <w:rsid w:val="006364A1"/>
    <w:rsid w:val="00637BFD"/>
    <w:rsid w:val="00640182"/>
    <w:rsid w:val="00641C4E"/>
    <w:rsid w:val="0064205D"/>
    <w:rsid w:val="00643FF4"/>
    <w:rsid w:val="006441B9"/>
    <w:rsid w:val="00645020"/>
    <w:rsid w:val="006471CC"/>
    <w:rsid w:val="00650753"/>
    <w:rsid w:val="0065079F"/>
    <w:rsid w:val="00651B64"/>
    <w:rsid w:val="0065379F"/>
    <w:rsid w:val="00653F63"/>
    <w:rsid w:val="006559BA"/>
    <w:rsid w:val="00655B21"/>
    <w:rsid w:val="006565B0"/>
    <w:rsid w:val="006568B8"/>
    <w:rsid w:val="006572C2"/>
    <w:rsid w:val="00657DC6"/>
    <w:rsid w:val="00660F08"/>
    <w:rsid w:val="00661C6B"/>
    <w:rsid w:val="00662FF5"/>
    <w:rsid w:val="00673EA5"/>
    <w:rsid w:val="00674598"/>
    <w:rsid w:val="00674E42"/>
    <w:rsid w:val="006763C0"/>
    <w:rsid w:val="00677029"/>
    <w:rsid w:val="006804C1"/>
    <w:rsid w:val="00681AFF"/>
    <w:rsid w:val="00682112"/>
    <w:rsid w:val="006846AD"/>
    <w:rsid w:val="006851A4"/>
    <w:rsid w:val="006855F4"/>
    <w:rsid w:val="00686364"/>
    <w:rsid w:val="00686957"/>
    <w:rsid w:val="006872BA"/>
    <w:rsid w:val="0069066C"/>
    <w:rsid w:val="00691648"/>
    <w:rsid w:val="006917C0"/>
    <w:rsid w:val="006917D7"/>
    <w:rsid w:val="00691B36"/>
    <w:rsid w:val="006935AC"/>
    <w:rsid w:val="00693A3F"/>
    <w:rsid w:val="00693D9C"/>
    <w:rsid w:val="00694548"/>
    <w:rsid w:val="00694F44"/>
    <w:rsid w:val="00696327"/>
    <w:rsid w:val="0069655B"/>
    <w:rsid w:val="00696E6C"/>
    <w:rsid w:val="00697094"/>
    <w:rsid w:val="006A030B"/>
    <w:rsid w:val="006A1460"/>
    <w:rsid w:val="006A185F"/>
    <w:rsid w:val="006A1B49"/>
    <w:rsid w:val="006A1BB0"/>
    <w:rsid w:val="006A2D52"/>
    <w:rsid w:val="006A47F0"/>
    <w:rsid w:val="006A591E"/>
    <w:rsid w:val="006A5CF3"/>
    <w:rsid w:val="006A6528"/>
    <w:rsid w:val="006A6CB9"/>
    <w:rsid w:val="006A6ED5"/>
    <w:rsid w:val="006A77EB"/>
    <w:rsid w:val="006A79BA"/>
    <w:rsid w:val="006A7E5F"/>
    <w:rsid w:val="006B11B9"/>
    <w:rsid w:val="006B1823"/>
    <w:rsid w:val="006B2120"/>
    <w:rsid w:val="006B2373"/>
    <w:rsid w:val="006B261B"/>
    <w:rsid w:val="006B29C4"/>
    <w:rsid w:val="006B2C90"/>
    <w:rsid w:val="006B5022"/>
    <w:rsid w:val="006B5C0A"/>
    <w:rsid w:val="006B6DD0"/>
    <w:rsid w:val="006C0A47"/>
    <w:rsid w:val="006C0DEA"/>
    <w:rsid w:val="006C1C0A"/>
    <w:rsid w:val="006C21A9"/>
    <w:rsid w:val="006C2A8E"/>
    <w:rsid w:val="006C30EF"/>
    <w:rsid w:val="006C4705"/>
    <w:rsid w:val="006C5624"/>
    <w:rsid w:val="006C6659"/>
    <w:rsid w:val="006C7C29"/>
    <w:rsid w:val="006D16FA"/>
    <w:rsid w:val="006D1A29"/>
    <w:rsid w:val="006D3C7D"/>
    <w:rsid w:val="006D5008"/>
    <w:rsid w:val="006D5D5F"/>
    <w:rsid w:val="006D60E4"/>
    <w:rsid w:val="006D6987"/>
    <w:rsid w:val="006D6F9C"/>
    <w:rsid w:val="006E0758"/>
    <w:rsid w:val="006E0A55"/>
    <w:rsid w:val="006E1A11"/>
    <w:rsid w:val="006E2E2E"/>
    <w:rsid w:val="006E3063"/>
    <w:rsid w:val="006E406F"/>
    <w:rsid w:val="006E4BA4"/>
    <w:rsid w:val="006E6DA5"/>
    <w:rsid w:val="006E7120"/>
    <w:rsid w:val="006F0F84"/>
    <w:rsid w:val="006F306C"/>
    <w:rsid w:val="006F63A5"/>
    <w:rsid w:val="00700568"/>
    <w:rsid w:val="007013AE"/>
    <w:rsid w:val="0070142B"/>
    <w:rsid w:val="007018D0"/>
    <w:rsid w:val="00701D08"/>
    <w:rsid w:val="0070276E"/>
    <w:rsid w:val="00702A19"/>
    <w:rsid w:val="00702F8F"/>
    <w:rsid w:val="007036D9"/>
    <w:rsid w:val="00703CDF"/>
    <w:rsid w:val="00707FEA"/>
    <w:rsid w:val="007112D7"/>
    <w:rsid w:val="0071172F"/>
    <w:rsid w:val="00711A36"/>
    <w:rsid w:val="00711F84"/>
    <w:rsid w:val="00712003"/>
    <w:rsid w:val="007128A5"/>
    <w:rsid w:val="00713BAB"/>
    <w:rsid w:val="0071529C"/>
    <w:rsid w:val="007172AD"/>
    <w:rsid w:val="00717E20"/>
    <w:rsid w:val="00720720"/>
    <w:rsid w:val="00722B1B"/>
    <w:rsid w:val="0072335B"/>
    <w:rsid w:val="0072416F"/>
    <w:rsid w:val="007275CC"/>
    <w:rsid w:val="00727C94"/>
    <w:rsid w:val="007306D4"/>
    <w:rsid w:val="00731EAE"/>
    <w:rsid w:val="0073344E"/>
    <w:rsid w:val="00735033"/>
    <w:rsid w:val="00735328"/>
    <w:rsid w:val="0073685B"/>
    <w:rsid w:val="00737317"/>
    <w:rsid w:val="00741EF2"/>
    <w:rsid w:val="00743C83"/>
    <w:rsid w:val="00743DFC"/>
    <w:rsid w:val="00744DE0"/>
    <w:rsid w:val="00744E27"/>
    <w:rsid w:val="00745AC1"/>
    <w:rsid w:val="0074642A"/>
    <w:rsid w:val="00750A5E"/>
    <w:rsid w:val="00750ED9"/>
    <w:rsid w:val="00752142"/>
    <w:rsid w:val="007523F9"/>
    <w:rsid w:val="0075354A"/>
    <w:rsid w:val="00753872"/>
    <w:rsid w:val="00753E72"/>
    <w:rsid w:val="00754C52"/>
    <w:rsid w:val="0075506E"/>
    <w:rsid w:val="00756309"/>
    <w:rsid w:val="007573E8"/>
    <w:rsid w:val="0075752E"/>
    <w:rsid w:val="00757E2A"/>
    <w:rsid w:val="00760C4E"/>
    <w:rsid w:val="007612DC"/>
    <w:rsid w:val="00765B1A"/>
    <w:rsid w:val="007672B0"/>
    <w:rsid w:val="0076769B"/>
    <w:rsid w:val="00767CAF"/>
    <w:rsid w:val="00773D89"/>
    <w:rsid w:val="007767C5"/>
    <w:rsid w:val="00780B2B"/>
    <w:rsid w:val="00781126"/>
    <w:rsid w:val="00781435"/>
    <w:rsid w:val="00783B28"/>
    <w:rsid w:val="007843F2"/>
    <w:rsid w:val="0079152D"/>
    <w:rsid w:val="00792930"/>
    <w:rsid w:val="00793A1D"/>
    <w:rsid w:val="00793E3F"/>
    <w:rsid w:val="007940E7"/>
    <w:rsid w:val="0079522F"/>
    <w:rsid w:val="00795348"/>
    <w:rsid w:val="007A0A12"/>
    <w:rsid w:val="007A132D"/>
    <w:rsid w:val="007A25E3"/>
    <w:rsid w:val="007A261A"/>
    <w:rsid w:val="007A3517"/>
    <w:rsid w:val="007A4DEE"/>
    <w:rsid w:val="007A6325"/>
    <w:rsid w:val="007B0182"/>
    <w:rsid w:val="007B0D68"/>
    <w:rsid w:val="007B2402"/>
    <w:rsid w:val="007B251D"/>
    <w:rsid w:val="007B2B95"/>
    <w:rsid w:val="007B4F58"/>
    <w:rsid w:val="007B5231"/>
    <w:rsid w:val="007B528D"/>
    <w:rsid w:val="007B70A9"/>
    <w:rsid w:val="007B77D1"/>
    <w:rsid w:val="007C1CD9"/>
    <w:rsid w:val="007C361D"/>
    <w:rsid w:val="007C4B84"/>
    <w:rsid w:val="007C6289"/>
    <w:rsid w:val="007C6AEB"/>
    <w:rsid w:val="007C6C68"/>
    <w:rsid w:val="007D004F"/>
    <w:rsid w:val="007D0B38"/>
    <w:rsid w:val="007D4B7B"/>
    <w:rsid w:val="007D5440"/>
    <w:rsid w:val="007D5511"/>
    <w:rsid w:val="007E3396"/>
    <w:rsid w:val="007E4E68"/>
    <w:rsid w:val="007E68BD"/>
    <w:rsid w:val="007E6CED"/>
    <w:rsid w:val="007E7A3B"/>
    <w:rsid w:val="007F0D7B"/>
    <w:rsid w:val="007F0F09"/>
    <w:rsid w:val="007F1017"/>
    <w:rsid w:val="007F1726"/>
    <w:rsid w:val="007F252D"/>
    <w:rsid w:val="007F4A3F"/>
    <w:rsid w:val="007F4A61"/>
    <w:rsid w:val="007F61C2"/>
    <w:rsid w:val="007F67DB"/>
    <w:rsid w:val="007F67F6"/>
    <w:rsid w:val="007F703D"/>
    <w:rsid w:val="00801FAF"/>
    <w:rsid w:val="00803567"/>
    <w:rsid w:val="008049C4"/>
    <w:rsid w:val="00805142"/>
    <w:rsid w:val="00805D72"/>
    <w:rsid w:val="00807A8B"/>
    <w:rsid w:val="00807D1C"/>
    <w:rsid w:val="00811383"/>
    <w:rsid w:val="00812149"/>
    <w:rsid w:val="00812BC9"/>
    <w:rsid w:val="00812CAC"/>
    <w:rsid w:val="008164D3"/>
    <w:rsid w:val="008166EF"/>
    <w:rsid w:val="0081684D"/>
    <w:rsid w:val="00820398"/>
    <w:rsid w:val="008228EF"/>
    <w:rsid w:val="00825751"/>
    <w:rsid w:val="00825CE9"/>
    <w:rsid w:val="008264EB"/>
    <w:rsid w:val="008271F4"/>
    <w:rsid w:val="0082790B"/>
    <w:rsid w:val="008307B1"/>
    <w:rsid w:val="008308E2"/>
    <w:rsid w:val="00833B05"/>
    <w:rsid w:val="00835A15"/>
    <w:rsid w:val="00835C01"/>
    <w:rsid w:val="00835E31"/>
    <w:rsid w:val="008362B4"/>
    <w:rsid w:val="00836877"/>
    <w:rsid w:val="0084031E"/>
    <w:rsid w:val="00840CA2"/>
    <w:rsid w:val="00840E30"/>
    <w:rsid w:val="008427FF"/>
    <w:rsid w:val="0084374F"/>
    <w:rsid w:val="00846AC6"/>
    <w:rsid w:val="00847DF5"/>
    <w:rsid w:val="00851203"/>
    <w:rsid w:val="00852BA0"/>
    <w:rsid w:val="0085309D"/>
    <w:rsid w:val="00854DC3"/>
    <w:rsid w:val="008567F8"/>
    <w:rsid w:val="00856897"/>
    <w:rsid w:val="00856E9A"/>
    <w:rsid w:val="0086075D"/>
    <w:rsid w:val="00860A7A"/>
    <w:rsid w:val="00861FDB"/>
    <w:rsid w:val="00862502"/>
    <w:rsid w:val="00862B5D"/>
    <w:rsid w:val="00863190"/>
    <w:rsid w:val="008660D4"/>
    <w:rsid w:val="0086622A"/>
    <w:rsid w:val="00871FA9"/>
    <w:rsid w:val="008728E9"/>
    <w:rsid w:val="00873531"/>
    <w:rsid w:val="0087627B"/>
    <w:rsid w:val="00881371"/>
    <w:rsid w:val="00882874"/>
    <w:rsid w:val="00883787"/>
    <w:rsid w:val="00883C5D"/>
    <w:rsid w:val="00883FFE"/>
    <w:rsid w:val="00884C0F"/>
    <w:rsid w:val="00885E77"/>
    <w:rsid w:val="00886CD2"/>
    <w:rsid w:val="00887692"/>
    <w:rsid w:val="008923A5"/>
    <w:rsid w:val="00892A36"/>
    <w:rsid w:val="00893239"/>
    <w:rsid w:val="008934C4"/>
    <w:rsid w:val="00894489"/>
    <w:rsid w:val="00896283"/>
    <w:rsid w:val="008963A5"/>
    <w:rsid w:val="008A0169"/>
    <w:rsid w:val="008A3363"/>
    <w:rsid w:val="008A3371"/>
    <w:rsid w:val="008A3C3E"/>
    <w:rsid w:val="008A4728"/>
    <w:rsid w:val="008A4948"/>
    <w:rsid w:val="008A5523"/>
    <w:rsid w:val="008A79DE"/>
    <w:rsid w:val="008B1757"/>
    <w:rsid w:val="008B26B0"/>
    <w:rsid w:val="008B285F"/>
    <w:rsid w:val="008B37AE"/>
    <w:rsid w:val="008B3C7A"/>
    <w:rsid w:val="008B3DAC"/>
    <w:rsid w:val="008B49EA"/>
    <w:rsid w:val="008B5908"/>
    <w:rsid w:val="008B634B"/>
    <w:rsid w:val="008B7D7E"/>
    <w:rsid w:val="008C1FCB"/>
    <w:rsid w:val="008C282E"/>
    <w:rsid w:val="008C3716"/>
    <w:rsid w:val="008C4047"/>
    <w:rsid w:val="008C7ECB"/>
    <w:rsid w:val="008D103D"/>
    <w:rsid w:val="008D12B2"/>
    <w:rsid w:val="008D2299"/>
    <w:rsid w:val="008D4755"/>
    <w:rsid w:val="008D4C3D"/>
    <w:rsid w:val="008D60EE"/>
    <w:rsid w:val="008D62F2"/>
    <w:rsid w:val="008D675C"/>
    <w:rsid w:val="008D709C"/>
    <w:rsid w:val="008D7746"/>
    <w:rsid w:val="008E0787"/>
    <w:rsid w:val="008E0D3C"/>
    <w:rsid w:val="008E1B9E"/>
    <w:rsid w:val="008E2689"/>
    <w:rsid w:val="008E27F1"/>
    <w:rsid w:val="008E3508"/>
    <w:rsid w:val="008E5270"/>
    <w:rsid w:val="008E55AB"/>
    <w:rsid w:val="008F120A"/>
    <w:rsid w:val="008F27E0"/>
    <w:rsid w:val="008F2A8D"/>
    <w:rsid w:val="008F48EB"/>
    <w:rsid w:val="008F4F0B"/>
    <w:rsid w:val="008F56AC"/>
    <w:rsid w:val="008F6BEB"/>
    <w:rsid w:val="008F7D9D"/>
    <w:rsid w:val="009046C4"/>
    <w:rsid w:val="009062A5"/>
    <w:rsid w:val="00906E46"/>
    <w:rsid w:val="00907D97"/>
    <w:rsid w:val="00911272"/>
    <w:rsid w:val="00912B33"/>
    <w:rsid w:val="009135D6"/>
    <w:rsid w:val="0091423A"/>
    <w:rsid w:val="009143AD"/>
    <w:rsid w:val="00914C77"/>
    <w:rsid w:val="00914CB8"/>
    <w:rsid w:val="00916276"/>
    <w:rsid w:val="00920CC1"/>
    <w:rsid w:val="00922D51"/>
    <w:rsid w:val="0092369B"/>
    <w:rsid w:val="0092409D"/>
    <w:rsid w:val="009242AE"/>
    <w:rsid w:val="00926970"/>
    <w:rsid w:val="0093446C"/>
    <w:rsid w:val="00934FCB"/>
    <w:rsid w:val="00935167"/>
    <w:rsid w:val="00940833"/>
    <w:rsid w:val="009415B0"/>
    <w:rsid w:val="009456B4"/>
    <w:rsid w:val="00946725"/>
    <w:rsid w:val="00946F12"/>
    <w:rsid w:val="00947AF6"/>
    <w:rsid w:val="009510A2"/>
    <w:rsid w:val="00951FD2"/>
    <w:rsid w:val="00953257"/>
    <w:rsid w:val="0095549E"/>
    <w:rsid w:val="00957CC4"/>
    <w:rsid w:val="00960645"/>
    <w:rsid w:val="009617CD"/>
    <w:rsid w:val="00962859"/>
    <w:rsid w:val="00962CB9"/>
    <w:rsid w:val="00962D2D"/>
    <w:rsid w:val="00964312"/>
    <w:rsid w:val="0096441A"/>
    <w:rsid w:val="00965043"/>
    <w:rsid w:val="0096530C"/>
    <w:rsid w:val="00965B8A"/>
    <w:rsid w:val="00970923"/>
    <w:rsid w:val="00970A8B"/>
    <w:rsid w:val="00970DDE"/>
    <w:rsid w:val="009712D2"/>
    <w:rsid w:val="009717AC"/>
    <w:rsid w:val="009731DD"/>
    <w:rsid w:val="00973E92"/>
    <w:rsid w:val="0097598A"/>
    <w:rsid w:val="00975C74"/>
    <w:rsid w:val="009815AC"/>
    <w:rsid w:val="00981961"/>
    <w:rsid w:val="00982987"/>
    <w:rsid w:val="00983E57"/>
    <w:rsid w:val="009841D5"/>
    <w:rsid w:val="0098675D"/>
    <w:rsid w:val="009902DB"/>
    <w:rsid w:val="00991E34"/>
    <w:rsid w:val="00993AA6"/>
    <w:rsid w:val="00993CE5"/>
    <w:rsid w:val="00996345"/>
    <w:rsid w:val="00996B1A"/>
    <w:rsid w:val="009A25F0"/>
    <w:rsid w:val="009A268F"/>
    <w:rsid w:val="009A3E54"/>
    <w:rsid w:val="009A44FF"/>
    <w:rsid w:val="009A45B1"/>
    <w:rsid w:val="009A64A5"/>
    <w:rsid w:val="009A6663"/>
    <w:rsid w:val="009A7F10"/>
    <w:rsid w:val="009B151C"/>
    <w:rsid w:val="009B190C"/>
    <w:rsid w:val="009B26A7"/>
    <w:rsid w:val="009B3E26"/>
    <w:rsid w:val="009B4545"/>
    <w:rsid w:val="009B4EA8"/>
    <w:rsid w:val="009B7DD6"/>
    <w:rsid w:val="009C042B"/>
    <w:rsid w:val="009C15DE"/>
    <w:rsid w:val="009C28E5"/>
    <w:rsid w:val="009C6B68"/>
    <w:rsid w:val="009C6CEA"/>
    <w:rsid w:val="009C7343"/>
    <w:rsid w:val="009C7928"/>
    <w:rsid w:val="009C7B85"/>
    <w:rsid w:val="009D467C"/>
    <w:rsid w:val="009D5A15"/>
    <w:rsid w:val="009D5B91"/>
    <w:rsid w:val="009D792E"/>
    <w:rsid w:val="009D7AFA"/>
    <w:rsid w:val="009E00F1"/>
    <w:rsid w:val="009E06A9"/>
    <w:rsid w:val="009E0DFE"/>
    <w:rsid w:val="009E4153"/>
    <w:rsid w:val="009E438D"/>
    <w:rsid w:val="009E4C07"/>
    <w:rsid w:val="009E543A"/>
    <w:rsid w:val="009E7466"/>
    <w:rsid w:val="009E78EF"/>
    <w:rsid w:val="009F3C89"/>
    <w:rsid w:val="009F503A"/>
    <w:rsid w:val="009F54AC"/>
    <w:rsid w:val="009F6823"/>
    <w:rsid w:val="009F7170"/>
    <w:rsid w:val="009F71D3"/>
    <w:rsid w:val="009F7625"/>
    <w:rsid w:val="00A01184"/>
    <w:rsid w:val="00A01189"/>
    <w:rsid w:val="00A0250E"/>
    <w:rsid w:val="00A03A50"/>
    <w:rsid w:val="00A03D43"/>
    <w:rsid w:val="00A04380"/>
    <w:rsid w:val="00A04AA1"/>
    <w:rsid w:val="00A07935"/>
    <w:rsid w:val="00A11CD0"/>
    <w:rsid w:val="00A125DC"/>
    <w:rsid w:val="00A12FEE"/>
    <w:rsid w:val="00A137FB"/>
    <w:rsid w:val="00A13948"/>
    <w:rsid w:val="00A14DF1"/>
    <w:rsid w:val="00A1555B"/>
    <w:rsid w:val="00A155C5"/>
    <w:rsid w:val="00A16AD8"/>
    <w:rsid w:val="00A21ABD"/>
    <w:rsid w:val="00A21CF3"/>
    <w:rsid w:val="00A22ABB"/>
    <w:rsid w:val="00A23C87"/>
    <w:rsid w:val="00A240F5"/>
    <w:rsid w:val="00A25D2A"/>
    <w:rsid w:val="00A27AEC"/>
    <w:rsid w:val="00A312DA"/>
    <w:rsid w:val="00A320DB"/>
    <w:rsid w:val="00A35033"/>
    <w:rsid w:val="00A35D16"/>
    <w:rsid w:val="00A37713"/>
    <w:rsid w:val="00A37BCD"/>
    <w:rsid w:val="00A41D15"/>
    <w:rsid w:val="00A43C59"/>
    <w:rsid w:val="00A47696"/>
    <w:rsid w:val="00A47DA8"/>
    <w:rsid w:val="00A509F9"/>
    <w:rsid w:val="00A50ECD"/>
    <w:rsid w:val="00A518F3"/>
    <w:rsid w:val="00A51A66"/>
    <w:rsid w:val="00A52729"/>
    <w:rsid w:val="00A53675"/>
    <w:rsid w:val="00A55830"/>
    <w:rsid w:val="00A564D7"/>
    <w:rsid w:val="00A56B6A"/>
    <w:rsid w:val="00A56E16"/>
    <w:rsid w:val="00A578DC"/>
    <w:rsid w:val="00A60A5C"/>
    <w:rsid w:val="00A60F24"/>
    <w:rsid w:val="00A61F2C"/>
    <w:rsid w:val="00A6725B"/>
    <w:rsid w:val="00A70605"/>
    <w:rsid w:val="00A73134"/>
    <w:rsid w:val="00A73394"/>
    <w:rsid w:val="00A7485B"/>
    <w:rsid w:val="00A76BDD"/>
    <w:rsid w:val="00A777B2"/>
    <w:rsid w:val="00A80CB8"/>
    <w:rsid w:val="00A85D64"/>
    <w:rsid w:val="00A86B55"/>
    <w:rsid w:val="00A86E8B"/>
    <w:rsid w:val="00A87164"/>
    <w:rsid w:val="00A876D0"/>
    <w:rsid w:val="00A87781"/>
    <w:rsid w:val="00A90F9D"/>
    <w:rsid w:val="00A93072"/>
    <w:rsid w:val="00A93105"/>
    <w:rsid w:val="00A93953"/>
    <w:rsid w:val="00A95130"/>
    <w:rsid w:val="00A959D8"/>
    <w:rsid w:val="00A974CF"/>
    <w:rsid w:val="00AA0D03"/>
    <w:rsid w:val="00AA113D"/>
    <w:rsid w:val="00AA240A"/>
    <w:rsid w:val="00AA5526"/>
    <w:rsid w:val="00AA5B95"/>
    <w:rsid w:val="00AA6C7D"/>
    <w:rsid w:val="00AA7FD6"/>
    <w:rsid w:val="00AB042A"/>
    <w:rsid w:val="00AB05D8"/>
    <w:rsid w:val="00AB0A36"/>
    <w:rsid w:val="00AB2D34"/>
    <w:rsid w:val="00AB326C"/>
    <w:rsid w:val="00AB3430"/>
    <w:rsid w:val="00AB4AD1"/>
    <w:rsid w:val="00AB7680"/>
    <w:rsid w:val="00AB7CFA"/>
    <w:rsid w:val="00AC5761"/>
    <w:rsid w:val="00AC5B48"/>
    <w:rsid w:val="00AC650F"/>
    <w:rsid w:val="00AC68F3"/>
    <w:rsid w:val="00AC6EA7"/>
    <w:rsid w:val="00AD0893"/>
    <w:rsid w:val="00AD1100"/>
    <w:rsid w:val="00AD26F8"/>
    <w:rsid w:val="00AD371E"/>
    <w:rsid w:val="00AD41DA"/>
    <w:rsid w:val="00AD4672"/>
    <w:rsid w:val="00AD4A47"/>
    <w:rsid w:val="00AD4EDF"/>
    <w:rsid w:val="00AD5AA7"/>
    <w:rsid w:val="00AD5D24"/>
    <w:rsid w:val="00AD64E7"/>
    <w:rsid w:val="00AD6502"/>
    <w:rsid w:val="00AD7EDF"/>
    <w:rsid w:val="00AE1046"/>
    <w:rsid w:val="00AE3117"/>
    <w:rsid w:val="00AE3766"/>
    <w:rsid w:val="00AE40E2"/>
    <w:rsid w:val="00AE455F"/>
    <w:rsid w:val="00AE56A2"/>
    <w:rsid w:val="00AE5A66"/>
    <w:rsid w:val="00AE6C52"/>
    <w:rsid w:val="00AE76A2"/>
    <w:rsid w:val="00AF04D9"/>
    <w:rsid w:val="00AF1315"/>
    <w:rsid w:val="00AF19BF"/>
    <w:rsid w:val="00AF1D91"/>
    <w:rsid w:val="00AF21FD"/>
    <w:rsid w:val="00AF2DC3"/>
    <w:rsid w:val="00AF3394"/>
    <w:rsid w:val="00AF4C4B"/>
    <w:rsid w:val="00B004F6"/>
    <w:rsid w:val="00B02247"/>
    <w:rsid w:val="00B026D9"/>
    <w:rsid w:val="00B02721"/>
    <w:rsid w:val="00B033E5"/>
    <w:rsid w:val="00B03A4C"/>
    <w:rsid w:val="00B03A63"/>
    <w:rsid w:val="00B051B9"/>
    <w:rsid w:val="00B13099"/>
    <w:rsid w:val="00B15387"/>
    <w:rsid w:val="00B16EC9"/>
    <w:rsid w:val="00B17AA0"/>
    <w:rsid w:val="00B201A4"/>
    <w:rsid w:val="00B205B7"/>
    <w:rsid w:val="00B213A6"/>
    <w:rsid w:val="00B22602"/>
    <w:rsid w:val="00B24BD2"/>
    <w:rsid w:val="00B24DF6"/>
    <w:rsid w:val="00B25B5C"/>
    <w:rsid w:val="00B2682B"/>
    <w:rsid w:val="00B2684A"/>
    <w:rsid w:val="00B3258A"/>
    <w:rsid w:val="00B329AE"/>
    <w:rsid w:val="00B3382B"/>
    <w:rsid w:val="00B33A6A"/>
    <w:rsid w:val="00B34FE2"/>
    <w:rsid w:val="00B357D8"/>
    <w:rsid w:val="00B3713C"/>
    <w:rsid w:val="00B379C7"/>
    <w:rsid w:val="00B37BFC"/>
    <w:rsid w:val="00B40358"/>
    <w:rsid w:val="00B40964"/>
    <w:rsid w:val="00B40FD0"/>
    <w:rsid w:val="00B41614"/>
    <w:rsid w:val="00B425EC"/>
    <w:rsid w:val="00B42851"/>
    <w:rsid w:val="00B42856"/>
    <w:rsid w:val="00B42F80"/>
    <w:rsid w:val="00B435CB"/>
    <w:rsid w:val="00B43BF6"/>
    <w:rsid w:val="00B440BF"/>
    <w:rsid w:val="00B44ABB"/>
    <w:rsid w:val="00B477C6"/>
    <w:rsid w:val="00B50DB8"/>
    <w:rsid w:val="00B50E0C"/>
    <w:rsid w:val="00B52E8E"/>
    <w:rsid w:val="00B53654"/>
    <w:rsid w:val="00B53905"/>
    <w:rsid w:val="00B53AA0"/>
    <w:rsid w:val="00B54B5B"/>
    <w:rsid w:val="00B54FC7"/>
    <w:rsid w:val="00B555BD"/>
    <w:rsid w:val="00B5562E"/>
    <w:rsid w:val="00B5615F"/>
    <w:rsid w:val="00B5681B"/>
    <w:rsid w:val="00B57000"/>
    <w:rsid w:val="00B57CFA"/>
    <w:rsid w:val="00B60939"/>
    <w:rsid w:val="00B60AFD"/>
    <w:rsid w:val="00B60DDC"/>
    <w:rsid w:val="00B62715"/>
    <w:rsid w:val="00B6366E"/>
    <w:rsid w:val="00B66246"/>
    <w:rsid w:val="00B70E52"/>
    <w:rsid w:val="00B71F69"/>
    <w:rsid w:val="00B72123"/>
    <w:rsid w:val="00B74BA2"/>
    <w:rsid w:val="00B75AB5"/>
    <w:rsid w:val="00B77259"/>
    <w:rsid w:val="00B801F1"/>
    <w:rsid w:val="00B80E65"/>
    <w:rsid w:val="00B818A4"/>
    <w:rsid w:val="00B82E5C"/>
    <w:rsid w:val="00B83275"/>
    <w:rsid w:val="00B83665"/>
    <w:rsid w:val="00B84117"/>
    <w:rsid w:val="00B84B03"/>
    <w:rsid w:val="00B85AA2"/>
    <w:rsid w:val="00B8649C"/>
    <w:rsid w:val="00B87F0A"/>
    <w:rsid w:val="00B92D0B"/>
    <w:rsid w:val="00B9303A"/>
    <w:rsid w:val="00B93236"/>
    <w:rsid w:val="00B93751"/>
    <w:rsid w:val="00B94945"/>
    <w:rsid w:val="00B94F8B"/>
    <w:rsid w:val="00B950D1"/>
    <w:rsid w:val="00B96159"/>
    <w:rsid w:val="00BA0B05"/>
    <w:rsid w:val="00BA322D"/>
    <w:rsid w:val="00BA3F02"/>
    <w:rsid w:val="00BA40A2"/>
    <w:rsid w:val="00BA451B"/>
    <w:rsid w:val="00BB0BDD"/>
    <w:rsid w:val="00BB2A73"/>
    <w:rsid w:val="00BB332D"/>
    <w:rsid w:val="00BB4ACC"/>
    <w:rsid w:val="00BB4F01"/>
    <w:rsid w:val="00BB5FE5"/>
    <w:rsid w:val="00BB60C2"/>
    <w:rsid w:val="00BB703E"/>
    <w:rsid w:val="00BB7405"/>
    <w:rsid w:val="00BB7F0F"/>
    <w:rsid w:val="00BC3631"/>
    <w:rsid w:val="00BC5731"/>
    <w:rsid w:val="00BC685F"/>
    <w:rsid w:val="00BD141F"/>
    <w:rsid w:val="00BD1FFB"/>
    <w:rsid w:val="00BD2027"/>
    <w:rsid w:val="00BD253E"/>
    <w:rsid w:val="00BD2D90"/>
    <w:rsid w:val="00BD3E31"/>
    <w:rsid w:val="00BD6209"/>
    <w:rsid w:val="00BD68A3"/>
    <w:rsid w:val="00BD6938"/>
    <w:rsid w:val="00BD6CF3"/>
    <w:rsid w:val="00BD748D"/>
    <w:rsid w:val="00BE2180"/>
    <w:rsid w:val="00BE21F2"/>
    <w:rsid w:val="00BE4275"/>
    <w:rsid w:val="00BE5367"/>
    <w:rsid w:val="00BE5790"/>
    <w:rsid w:val="00BE7BD7"/>
    <w:rsid w:val="00BF0F95"/>
    <w:rsid w:val="00BF2433"/>
    <w:rsid w:val="00BF61C9"/>
    <w:rsid w:val="00BF6C94"/>
    <w:rsid w:val="00BF71A2"/>
    <w:rsid w:val="00C00424"/>
    <w:rsid w:val="00C01001"/>
    <w:rsid w:val="00C04D78"/>
    <w:rsid w:val="00C06CB9"/>
    <w:rsid w:val="00C12C14"/>
    <w:rsid w:val="00C14A6B"/>
    <w:rsid w:val="00C17641"/>
    <w:rsid w:val="00C17B5E"/>
    <w:rsid w:val="00C200AA"/>
    <w:rsid w:val="00C202F8"/>
    <w:rsid w:val="00C237ED"/>
    <w:rsid w:val="00C23A8B"/>
    <w:rsid w:val="00C24632"/>
    <w:rsid w:val="00C25418"/>
    <w:rsid w:val="00C25D8E"/>
    <w:rsid w:val="00C25D9C"/>
    <w:rsid w:val="00C27537"/>
    <w:rsid w:val="00C2778B"/>
    <w:rsid w:val="00C30332"/>
    <w:rsid w:val="00C31649"/>
    <w:rsid w:val="00C327DE"/>
    <w:rsid w:val="00C34F44"/>
    <w:rsid w:val="00C371EE"/>
    <w:rsid w:val="00C40385"/>
    <w:rsid w:val="00C413D7"/>
    <w:rsid w:val="00C42033"/>
    <w:rsid w:val="00C4360E"/>
    <w:rsid w:val="00C47584"/>
    <w:rsid w:val="00C4759E"/>
    <w:rsid w:val="00C475AA"/>
    <w:rsid w:val="00C47B70"/>
    <w:rsid w:val="00C55123"/>
    <w:rsid w:val="00C55E48"/>
    <w:rsid w:val="00C56F59"/>
    <w:rsid w:val="00C611B0"/>
    <w:rsid w:val="00C61431"/>
    <w:rsid w:val="00C62700"/>
    <w:rsid w:val="00C63B4D"/>
    <w:rsid w:val="00C63F6F"/>
    <w:rsid w:val="00C642FB"/>
    <w:rsid w:val="00C65576"/>
    <w:rsid w:val="00C66165"/>
    <w:rsid w:val="00C66D57"/>
    <w:rsid w:val="00C67EF7"/>
    <w:rsid w:val="00C704BD"/>
    <w:rsid w:val="00C7080D"/>
    <w:rsid w:val="00C70BDE"/>
    <w:rsid w:val="00C71225"/>
    <w:rsid w:val="00C7151A"/>
    <w:rsid w:val="00C71F60"/>
    <w:rsid w:val="00C72241"/>
    <w:rsid w:val="00C72375"/>
    <w:rsid w:val="00C7283A"/>
    <w:rsid w:val="00C7365E"/>
    <w:rsid w:val="00C74224"/>
    <w:rsid w:val="00C750C8"/>
    <w:rsid w:val="00C7560F"/>
    <w:rsid w:val="00C75DE2"/>
    <w:rsid w:val="00C75F47"/>
    <w:rsid w:val="00C77851"/>
    <w:rsid w:val="00C80A0E"/>
    <w:rsid w:val="00C8213F"/>
    <w:rsid w:val="00C8797A"/>
    <w:rsid w:val="00C900B8"/>
    <w:rsid w:val="00C90C71"/>
    <w:rsid w:val="00C90CD8"/>
    <w:rsid w:val="00C926C2"/>
    <w:rsid w:val="00C931CF"/>
    <w:rsid w:val="00C938CF"/>
    <w:rsid w:val="00C93DA9"/>
    <w:rsid w:val="00C9624D"/>
    <w:rsid w:val="00C969DA"/>
    <w:rsid w:val="00C9706E"/>
    <w:rsid w:val="00CA03B2"/>
    <w:rsid w:val="00CA1989"/>
    <w:rsid w:val="00CA277A"/>
    <w:rsid w:val="00CA2C77"/>
    <w:rsid w:val="00CA444F"/>
    <w:rsid w:val="00CA5245"/>
    <w:rsid w:val="00CA6A5F"/>
    <w:rsid w:val="00CA6FC0"/>
    <w:rsid w:val="00CA71F4"/>
    <w:rsid w:val="00CA7B09"/>
    <w:rsid w:val="00CB2F2A"/>
    <w:rsid w:val="00CB3EDD"/>
    <w:rsid w:val="00CB5B1A"/>
    <w:rsid w:val="00CB6526"/>
    <w:rsid w:val="00CB6B22"/>
    <w:rsid w:val="00CB7F5F"/>
    <w:rsid w:val="00CC1370"/>
    <w:rsid w:val="00CC1764"/>
    <w:rsid w:val="00CC1B39"/>
    <w:rsid w:val="00CC234D"/>
    <w:rsid w:val="00CC6785"/>
    <w:rsid w:val="00CC7947"/>
    <w:rsid w:val="00CD47FF"/>
    <w:rsid w:val="00CD5101"/>
    <w:rsid w:val="00CD5737"/>
    <w:rsid w:val="00CD6ADC"/>
    <w:rsid w:val="00CD6E06"/>
    <w:rsid w:val="00CD6F04"/>
    <w:rsid w:val="00CE4FDC"/>
    <w:rsid w:val="00CE6274"/>
    <w:rsid w:val="00CF0D8F"/>
    <w:rsid w:val="00CF0F3E"/>
    <w:rsid w:val="00CF1B88"/>
    <w:rsid w:val="00CF1E71"/>
    <w:rsid w:val="00CF2B47"/>
    <w:rsid w:val="00CF2B8D"/>
    <w:rsid w:val="00CF41A7"/>
    <w:rsid w:val="00CF456B"/>
    <w:rsid w:val="00CF47AC"/>
    <w:rsid w:val="00CF5A22"/>
    <w:rsid w:val="00CF6668"/>
    <w:rsid w:val="00CF7E0E"/>
    <w:rsid w:val="00D0120F"/>
    <w:rsid w:val="00D01F12"/>
    <w:rsid w:val="00D02380"/>
    <w:rsid w:val="00D0262E"/>
    <w:rsid w:val="00D02D7E"/>
    <w:rsid w:val="00D06181"/>
    <w:rsid w:val="00D06B57"/>
    <w:rsid w:val="00D07B43"/>
    <w:rsid w:val="00D110BD"/>
    <w:rsid w:val="00D121CA"/>
    <w:rsid w:val="00D13675"/>
    <w:rsid w:val="00D13B6E"/>
    <w:rsid w:val="00D141E1"/>
    <w:rsid w:val="00D1611C"/>
    <w:rsid w:val="00D16AD3"/>
    <w:rsid w:val="00D16B27"/>
    <w:rsid w:val="00D17D6C"/>
    <w:rsid w:val="00D20732"/>
    <w:rsid w:val="00D211E7"/>
    <w:rsid w:val="00D21A4A"/>
    <w:rsid w:val="00D2341F"/>
    <w:rsid w:val="00D25DE3"/>
    <w:rsid w:val="00D26272"/>
    <w:rsid w:val="00D267D5"/>
    <w:rsid w:val="00D2754D"/>
    <w:rsid w:val="00D27B27"/>
    <w:rsid w:val="00D3215A"/>
    <w:rsid w:val="00D33BE9"/>
    <w:rsid w:val="00D346CC"/>
    <w:rsid w:val="00D35131"/>
    <w:rsid w:val="00D357FF"/>
    <w:rsid w:val="00D41EF5"/>
    <w:rsid w:val="00D424C7"/>
    <w:rsid w:val="00D43B2A"/>
    <w:rsid w:val="00D4453E"/>
    <w:rsid w:val="00D455B3"/>
    <w:rsid w:val="00D46402"/>
    <w:rsid w:val="00D47575"/>
    <w:rsid w:val="00D47E83"/>
    <w:rsid w:val="00D560F2"/>
    <w:rsid w:val="00D57BCB"/>
    <w:rsid w:val="00D62344"/>
    <w:rsid w:val="00D631AD"/>
    <w:rsid w:val="00D6493A"/>
    <w:rsid w:val="00D6699E"/>
    <w:rsid w:val="00D66FF5"/>
    <w:rsid w:val="00D70F16"/>
    <w:rsid w:val="00D72615"/>
    <w:rsid w:val="00D73CE7"/>
    <w:rsid w:val="00D74340"/>
    <w:rsid w:val="00D75ACA"/>
    <w:rsid w:val="00D76A44"/>
    <w:rsid w:val="00D8028B"/>
    <w:rsid w:val="00D809DB"/>
    <w:rsid w:val="00D815EF"/>
    <w:rsid w:val="00D83F49"/>
    <w:rsid w:val="00D84235"/>
    <w:rsid w:val="00D8475F"/>
    <w:rsid w:val="00D868FA"/>
    <w:rsid w:val="00D87289"/>
    <w:rsid w:val="00D87F26"/>
    <w:rsid w:val="00D91923"/>
    <w:rsid w:val="00D924AF"/>
    <w:rsid w:val="00D92E71"/>
    <w:rsid w:val="00D93753"/>
    <w:rsid w:val="00D96CED"/>
    <w:rsid w:val="00D96D22"/>
    <w:rsid w:val="00DA3167"/>
    <w:rsid w:val="00DA34F5"/>
    <w:rsid w:val="00DA3D85"/>
    <w:rsid w:val="00DA4DC3"/>
    <w:rsid w:val="00DA511B"/>
    <w:rsid w:val="00DA64DF"/>
    <w:rsid w:val="00DA67D4"/>
    <w:rsid w:val="00DA77A5"/>
    <w:rsid w:val="00DA7C09"/>
    <w:rsid w:val="00DB034B"/>
    <w:rsid w:val="00DB0CE8"/>
    <w:rsid w:val="00DB0DF6"/>
    <w:rsid w:val="00DB484F"/>
    <w:rsid w:val="00DB48A8"/>
    <w:rsid w:val="00DB567C"/>
    <w:rsid w:val="00DB66D7"/>
    <w:rsid w:val="00DB75F5"/>
    <w:rsid w:val="00DC02BC"/>
    <w:rsid w:val="00DC04F6"/>
    <w:rsid w:val="00DC3C57"/>
    <w:rsid w:val="00DC3D00"/>
    <w:rsid w:val="00DC5501"/>
    <w:rsid w:val="00DD0D89"/>
    <w:rsid w:val="00DD0E7B"/>
    <w:rsid w:val="00DD0F1D"/>
    <w:rsid w:val="00DD15C3"/>
    <w:rsid w:val="00DD1787"/>
    <w:rsid w:val="00DD273C"/>
    <w:rsid w:val="00DD3F28"/>
    <w:rsid w:val="00DD4537"/>
    <w:rsid w:val="00DD4E15"/>
    <w:rsid w:val="00DD5E7E"/>
    <w:rsid w:val="00DD6B4D"/>
    <w:rsid w:val="00DD7838"/>
    <w:rsid w:val="00DD7A22"/>
    <w:rsid w:val="00DE3138"/>
    <w:rsid w:val="00DE37F8"/>
    <w:rsid w:val="00DE4FCB"/>
    <w:rsid w:val="00DE5FC0"/>
    <w:rsid w:val="00DE6362"/>
    <w:rsid w:val="00DE6845"/>
    <w:rsid w:val="00DE7832"/>
    <w:rsid w:val="00DF0FE0"/>
    <w:rsid w:val="00DF18FC"/>
    <w:rsid w:val="00DF347D"/>
    <w:rsid w:val="00DF49E7"/>
    <w:rsid w:val="00DF5D2B"/>
    <w:rsid w:val="00E008CF"/>
    <w:rsid w:val="00E00E8E"/>
    <w:rsid w:val="00E01A73"/>
    <w:rsid w:val="00E01C45"/>
    <w:rsid w:val="00E02495"/>
    <w:rsid w:val="00E02EB2"/>
    <w:rsid w:val="00E05630"/>
    <w:rsid w:val="00E06DBB"/>
    <w:rsid w:val="00E07E3F"/>
    <w:rsid w:val="00E10149"/>
    <w:rsid w:val="00E13299"/>
    <w:rsid w:val="00E146EA"/>
    <w:rsid w:val="00E158FE"/>
    <w:rsid w:val="00E16372"/>
    <w:rsid w:val="00E17482"/>
    <w:rsid w:val="00E20E4D"/>
    <w:rsid w:val="00E20ED6"/>
    <w:rsid w:val="00E21358"/>
    <w:rsid w:val="00E2249B"/>
    <w:rsid w:val="00E22788"/>
    <w:rsid w:val="00E22A0D"/>
    <w:rsid w:val="00E23F99"/>
    <w:rsid w:val="00E246B0"/>
    <w:rsid w:val="00E251FA"/>
    <w:rsid w:val="00E2722F"/>
    <w:rsid w:val="00E2771E"/>
    <w:rsid w:val="00E31CCC"/>
    <w:rsid w:val="00E34948"/>
    <w:rsid w:val="00E36730"/>
    <w:rsid w:val="00E37569"/>
    <w:rsid w:val="00E379C2"/>
    <w:rsid w:val="00E40948"/>
    <w:rsid w:val="00E41E30"/>
    <w:rsid w:val="00E434F4"/>
    <w:rsid w:val="00E43D70"/>
    <w:rsid w:val="00E46616"/>
    <w:rsid w:val="00E466F3"/>
    <w:rsid w:val="00E46E71"/>
    <w:rsid w:val="00E47B2C"/>
    <w:rsid w:val="00E51560"/>
    <w:rsid w:val="00E53BD5"/>
    <w:rsid w:val="00E54347"/>
    <w:rsid w:val="00E54AB0"/>
    <w:rsid w:val="00E55424"/>
    <w:rsid w:val="00E55578"/>
    <w:rsid w:val="00E55BB5"/>
    <w:rsid w:val="00E60D14"/>
    <w:rsid w:val="00E60E7A"/>
    <w:rsid w:val="00E635DB"/>
    <w:rsid w:val="00E63DE3"/>
    <w:rsid w:val="00E65E79"/>
    <w:rsid w:val="00E66BA2"/>
    <w:rsid w:val="00E67416"/>
    <w:rsid w:val="00E70A4B"/>
    <w:rsid w:val="00E718B6"/>
    <w:rsid w:val="00E71E2B"/>
    <w:rsid w:val="00E7237F"/>
    <w:rsid w:val="00E723BA"/>
    <w:rsid w:val="00E72A20"/>
    <w:rsid w:val="00E73581"/>
    <w:rsid w:val="00E80BF9"/>
    <w:rsid w:val="00E83314"/>
    <w:rsid w:val="00E833F7"/>
    <w:rsid w:val="00E83BDF"/>
    <w:rsid w:val="00E87A1D"/>
    <w:rsid w:val="00E87D7E"/>
    <w:rsid w:val="00E87EE0"/>
    <w:rsid w:val="00E9075E"/>
    <w:rsid w:val="00E90EB0"/>
    <w:rsid w:val="00E9250D"/>
    <w:rsid w:val="00E926A5"/>
    <w:rsid w:val="00E94B7B"/>
    <w:rsid w:val="00EA0477"/>
    <w:rsid w:val="00EA17C3"/>
    <w:rsid w:val="00EA1F6B"/>
    <w:rsid w:val="00EA2CAA"/>
    <w:rsid w:val="00EA3864"/>
    <w:rsid w:val="00EA3AF9"/>
    <w:rsid w:val="00EA44FD"/>
    <w:rsid w:val="00EA55C7"/>
    <w:rsid w:val="00EA6C26"/>
    <w:rsid w:val="00EB0AD2"/>
    <w:rsid w:val="00EB15B6"/>
    <w:rsid w:val="00EB1DC1"/>
    <w:rsid w:val="00EB3067"/>
    <w:rsid w:val="00EB4916"/>
    <w:rsid w:val="00EC00C9"/>
    <w:rsid w:val="00EC0348"/>
    <w:rsid w:val="00EC10A2"/>
    <w:rsid w:val="00EC1F18"/>
    <w:rsid w:val="00EC2649"/>
    <w:rsid w:val="00EC3E30"/>
    <w:rsid w:val="00EC5E78"/>
    <w:rsid w:val="00ED30E5"/>
    <w:rsid w:val="00ED542D"/>
    <w:rsid w:val="00ED57EA"/>
    <w:rsid w:val="00ED64C1"/>
    <w:rsid w:val="00ED6EC1"/>
    <w:rsid w:val="00ED7099"/>
    <w:rsid w:val="00ED72AC"/>
    <w:rsid w:val="00EE07D3"/>
    <w:rsid w:val="00EE22AF"/>
    <w:rsid w:val="00EE2BFC"/>
    <w:rsid w:val="00EE495A"/>
    <w:rsid w:val="00EE552F"/>
    <w:rsid w:val="00EE5A03"/>
    <w:rsid w:val="00EE7357"/>
    <w:rsid w:val="00EE7716"/>
    <w:rsid w:val="00EF0171"/>
    <w:rsid w:val="00EF0B46"/>
    <w:rsid w:val="00EF1B25"/>
    <w:rsid w:val="00EF1B6F"/>
    <w:rsid w:val="00EF2036"/>
    <w:rsid w:val="00EF4747"/>
    <w:rsid w:val="00EF498E"/>
    <w:rsid w:val="00EF4BF8"/>
    <w:rsid w:val="00EF6468"/>
    <w:rsid w:val="00F002BF"/>
    <w:rsid w:val="00F02253"/>
    <w:rsid w:val="00F02460"/>
    <w:rsid w:val="00F03C2E"/>
    <w:rsid w:val="00F04A66"/>
    <w:rsid w:val="00F0516C"/>
    <w:rsid w:val="00F05AA5"/>
    <w:rsid w:val="00F06114"/>
    <w:rsid w:val="00F067A2"/>
    <w:rsid w:val="00F07747"/>
    <w:rsid w:val="00F10FBF"/>
    <w:rsid w:val="00F11810"/>
    <w:rsid w:val="00F1263A"/>
    <w:rsid w:val="00F1331D"/>
    <w:rsid w:val="00F14B59"/>
    <w:rsid w:val="00F15C2F"/>
    <w:rsid w:val="00F1701A"/>
    <w:rsid w:val="00F2070E"/>
    <w:rsid w:val="00F2263C"/>
    <w:rsid w:val="00F24837"/>
    <w:rsid w:val="00F2575F"/>
    <w:rsid w:val="00F2677E"/>
    <w:rsid w:val="00F268D6"/>
    <w:rsid w:val="00F27565"/>
    <w:rsid w:val="00F310D4"/>
    <w:rsid w:val="00F31D5A"/>
    <w:rsid w:val="00F32E27"/>
    <w:rsid w:val="00F33DE9"/>
    <w:rsid w:val="00F35870"/>
    <w:rsid w:val="00F35A36"/>
    <w:rsid w:val="00F3619A"/>
    <w:rsid w:val="00F365DA"/>
    <w:rsid w:val="00F367A0"/>
    <w:rsid w:val="00F37A0C"/>
    <w:rsid w:val="00F40AAA"/>
    <w:rsid w:val="00F40BA7"/>
    <w:rsid w:val="00F414A2"/>
    <w:rsid w:val="00F41D0D"/>
    <w:rsid w:val="00F42042"/>
    <w:rsid w:val="00F4312B"/>
    <w:rsid w:val="00F4462C"/>
    <w:rsid w:val="00F45B75"/>
    <w:rsid w:val="00F46AA1"/>
    <w:rsid w:val="00F46CB6"/>
    <w:rsid w:val="00F47DE8"/>
    <w:rsid w:val="00F47ECA"/>
    <w:rsid w:val="00F50150"/>
    <w:rsid w:val="00F532FB"/>
    <w:rsid w:val="00F542C1"/>
    <w:rsid w:val="00F54E76"/>
    <w:rsid w:val="00F55E73"/>
    <w:rsid w:val="00F55EDA"/>
    <w:rsid w:val="00F56808"/>
    <w:rsid w:val="00F5703C"/>
    <w:rsid w:val="00F60092"/>
    <w:rsid w:val="00F628EC"/>
    <w:rsid w:val="00F62A05"/>
    <w:rsid w:val="00F62D59"/>
    <w:rsid w:val="00F62EC7"/>
    <w:rsid w:val="00F63B75"/>
    <w:rsid w:val="00F64D2A"/>
    <w:rsid w:val="00F652D3"/>
    <w:rsid w:val="00F65F4B"/>
    <w:rsid w:val="00F66E2C"/>
    <w:rsid w:val="00F70C9D"/>
    <w:rsid w:val="00F73A15"/>
    <w:rsid w:val="00F73D04"/>
    <w:rsid w:val="00F74CD9"/>
    <w:rsid w:val="00F779FC"/>
    <w:rsid w:val="00F80907"/>
    <w:rsid w:val="00F80A7B"/>
    <w:rsid w:val="00F80E5D"/>
    <w:rsid w:val="00F80F2F"/>
    <w:rsid w:val="00F84772"/>
    <w:rsid w:val="00F851CE"/>
    <w:rsid w:val="00F91219"/>
    <w:rsid w:val="00F94A3B"/>
    <w:rsid w:val="00F952C2"/>
    <w:rsid w:val="00F972E0"/>
    <w:rsid w:val="00F97A78"/>
    <w:rsid w:val="00FA0323"/>
    <w:rsid w:val="00FA0B20"/>
    <w:rsid w:val="00FA0F20"/>
    <w:rsid w:val="00FA24E7"/>
    <w:rsid w:val="00FA353C"/>
    <w:rsid w:val="00FA636C"/>
    <w:rsid w:val="00FA6427"/>
    <w:rsid w:val="00FB0D2C"/>
    <w:rsid w:val="00FB2C96"/>
    <w:rsid w:val="00FB2FCB"/>
    <w:rsid w:val="00FB3E89"/>
    <w:rsid w:val="00FB5AE9"/>
    <w:rsid w:val="00FB68E1"/>
    <w:rsid w:val="00FB74FE"/>
    <w:rsid w:val="00FC0CB3"/>
    <w:rsid w:val="00FC1074"/>
    <w:rsid w:val="00FC1884"/>
    <w:rsid w:val="00FC203D"/>
    <w:rsid w:val="00FC2B12"/>
    <w:rsid w:val="00FC30AC"/>
    <w:rsid w:val="00FC371D"/>
    <w:rsid w:val="00FC5F0B"/>
    <w:rsid w:val="00FC654E"/>
    <w:rsid w:val="00FC7F50"/>
    <w:rsid w:val="00FD0118"/>
    <w:rsid w:val="00FD150F"/>
    <w:rsid w:val="00FD2100"/>
    <w:rsid w:val="00FD436C"/>
    <w:rsid w:val="00FD446D"/>
    <w:rsid w:val="00FD45C2"/>
    <w:rsid w:val="00FD6394"/>
    <w:rsid w:val="00FD6819"/>
    <w:rsid w:val="00FD7648"/>
    <w:rsid w:val="00FE0E6C"/>
    <w:rsid w:val="00FE111F"/>
    <w:rsid w:val="00FE395D"/>
    <w:rsid w:val="00FE439C"/>
    <w:rsid w:val="00FE4B58"/>
    <w:rsid w:val="00FE4D7B"/>
    <w:rsid w:val="00FE4D88"/>
    <w:rsid w:val="00FE70C3"/>
    <w:rsid w:val="00FF1A60"/>
    <w:rsid w:val="00FF2113"/>
    <w:rsid w:val="00FF377C"/>
    <w:rsid w:val="00FF3DCF"/>
    <w:rsid w:val="00FF492C"/>
    <w:rsid w:val="00FF4A21"/>
    <w:rsid w:val="00FF58EF"/>
    <w:rsid w:val="00FF5AA3"/>
    <w:rsid w:val="00FF5AD8"/>
    <w:rsid w:val="00FF5BE7"/>
    <w:rsid w:val="5C26C44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caption" w:uiPriority="35" w:qFormat="1"/>
    <w:lsdException w:name="annotation reference" w:uiPriority="99" w:qFormat="1"/>
    <w:lsdException w:name="List Bullet" w:uiPriority="16" w:qFormat="1"/>
    <w:lsdException w:name="List Number" w:semiHidden="0" w:unhideWhenUsed="0"/>
    <w:lsdException w:name="List 4" w:semiHidden="0" w:unhideWhenUsed="0"/>
    <w:lsdException w:name="List 5" w:semiHidden="0" w:unhideWhenUsed="0"/>
    <w:lsdException w:name="List Bullet 2" w:uiPriority="16" w:qFormat="1"/>
    <w:lsdException w:name="List Bullet 3" w:uiPriority="16" w:qFormat="1"/>
    <w:lsdException w:name="List Bullet 4" w:uiPriority="16" w:qFormat="1"/>
    <w:lsdException w:name="Title" w:semiHidden="0" w:unhideWhenUsed="0"/>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284086"/>
    <w:pPr>
      <w:widowControl w:val="0"/>
      <w:jc w:val="both"/>
    </w:pPr>
    <w:rPr>
      <w:rFonts w:ascii="Calibri" w:hAnsi="Calibri" w:cs="Arial"/>
      <w:snapToGrid w:val="0"/>
      <w:sz w:val="24"/>
      <w:szCs w:val="22"/>
      <w:lang w:eastAsia="en-US"/>
    </w:rPr>
  </w:style>
  <w:style w:type="paragraph" w:styleId="Heading1">
    <w:name w:val="heading 1"/>
    <w:basedOn w:val="PBACHeading1"/>
    <w:next w:val="Normal"/>
    <w:qFormat/>
    <w:rsid w:val="00756309"/>
    <w:pPr>
      <w:keepNext/>
      <w:spacing w:after="120"/>
      <w:outlineLvl w:val="0"/>
    </w:pPr>
  </w:style>
  <w:style w:type="paragraph" w:styleId="Heading2">
    <w:name w:val="heading 2"/>
    <w:basedOn w:val="Normal"/>
    <w:next w:val="Normal"/>
    <w:link w:val="Heading2Char"/>
    <w:qFormat/>
    <w:rsid w:val="00756309"/>
    <w:pPr>
      <w:keepNext/>
      <w:spacing w:after="120"/>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56309"/>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List Paragraph1"/>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List Paragraph1 Char"/>
    <w:basedOn w:val="DefaultParagraphFont"/>
    <w:link w:val="ListParagraph"/>
    <w:uiPriority w:val="34"/>
    <w:qFormat/>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PBAC table,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widowControl/>
      <w:jc w:val="left"/>
    </w:pPr>
    <w:rPr>
      <w:rFonts w:ascii="Arial Narrow" w:hAnsi="Arial Narrow" w:cs="Times New Roman"/>
      <w:snapToGrid/>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2"/>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03A63"/>
    <w:pPr>
      <w:numPr>
        <w:numId w:val="1"/>
      </w:numPr>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table" w:customStyle="1" w:styleId="TableHTAsimple">
    <w:name w:val="Table HTA simple"/>
    <w:basedOn w:val="TableNormal"/>
    <w:uiPriority w:val="99"/>
    <w:rsid w:val="00883C5D"/>
    <w:rPr>
      <w:rFonts w:asciiTheme="minorHAnsi" w:eastAsiaTheme="minorHAnsi" w:hAnsiTheme="minorHAnsi" w:cstheme="minorBidi"/>
      <w:sz w:val="18"/>
      <w:szCs w:val="22"/>
      <w:lang w:val="de-DE" w:eastAsia="en-US"/>
    </w:rPr>
    <w:tblPr>
      <w:tblStyleRowBandSize w:val="1"/>
      <w:tblBorders>
        <w:top w:val="single" w:sz="4" w:space="0" w:color="auto"/>
        <w:bottom w:val="single" w:sz="4" w:space="0" w:color="auto"/>
        <w:insideH w:val="single" w:sz="6" w:space="0" w:color="auto"/>
      </w:tblBorders>
    </w:tblPr>
    <w:tcPr>
      <w:vAlign w:val="center"/>
    </w:tcPr>
    <w:tblStylePr w:type="firstRow">
      <w:pPr>
        <w:wordWrap/>
        <w:spacing w:beforeLines="0" w:before="40" w:beforeAutospacing="0" w:afterLines="0" w:after="40" w:afterAutospacing="0" w:line="240" w:lineRule="auto"/>
      </w:pPr>
      <w:rPr>
        <w:rFonts w:asciiTheme="minorHAnsi" w:hAnsiTheme="minorHAnsi"/>
        <w:b w:val="0"/>
        <w:sz w:val="18"/>
      </w:rPr>
    </w:tblStylePr>
    <w:tblStylePr w:type="band1Horz">
      <w:pPr>
        <w:wordWrap/>
        <w:spacing w:beforeLines="0" w:before="20" w:beforeAutospacing="0" w:afterLines="0" w:after="20" w:afterAutospacing="0" w:line="240" w:lineRule="auto"/>
      </w:pPr>
    </w:tblStylePr>
    <w:tblStylePr w:type="band2Horz">
      <w:pPr>
        <w:wordWrap/>
        <w:spacing w:beforeLines="0" w:before="20" w:beforeAutospacing="0" w:afterLines="0" w:after="20" w:afterAutospacing="0" w:line="240" w:lineRule="auto"/>
      </w:pPr>
    </w:tblStylePr>
  </w:style>
  <w:style w:type="numbering" w:customStyle="1" w:styleId="Lists">
    <w:name w:val="Lists"/>
    <w:uiPriority w:val="99"/>
    <w:rsid w:val="00C47584"/>
    <w:pPr>
      <w:numPr>
        <w:numId w:val="3"/>
      </w:numPr>
    </w:pPr>
  </w:style>
  <w:style w:type="paragraph" w:customStyle="1" w:styleId="Default">
    <w:name w:val="Default"/>
    <w:rsid w:val="00D924AF"/>
    <w:pPr>
      <w:autoSpaceDE w:val="0"/>
      <w:autoSpaceDN w:val="0"/>
      <w:adjustRightInd w:val="0"/>
    </w:pPr>
    <w:rPr>
      <w:color w:val="000000"/>
      <w:sz w:val="24"/>
      <w:szCs w:val="24"/>
      <w:lang w:val="en-US" w:eastAsia="en-US"/>
    </w:rPr>
  </w:style>
  <w:style w:type="table" w:customStyle="1" w:styleId="MSDAustralia">
    <w:name w:val="MSD Australia"/>
    <w:basedOn w:val="TableGrid"/>
    <w:uiPriority w:val="99"/>
    <w:rsid w:val="00A86B55"/>
    <w:pPr>
      <w:ind w:left="57" w:right="57"/>
    </w:pPr>
    <w:rPr>
      <w:rFonts w:ascii="Arial" w:eastAsiaTheme="minorHAnsi" w:hAnsi="Arial" w:cstheme="minorBidi"/>
      <w:lang w:eastAsia="en-US"/>
    </w:rPr>
    <w:tblPr>
      <w:tblBorders>
        <w:top w:val="single" w:sz="12" w:space="0" w:color="4BACC6" w:themeColor="accent5"/>
        <w:left w:val="none" w:sz="0" w:space="0" w:color="auto"/>
        <w:bottom w:val="single" w:sz="12" w:space="0" w:color="4BACC6" w:themeColor="accent5"/>
        <w:right w:val="none" w:sz="0" w:space="0" w:color="auto"/>
        <w:insideH w:val="single" w:sz="4" w:space="0" w:color="4BACC6" w:themeColor="accent5"/>
        <w:insideV w:val="none" w:sz="0" w:space="0" w:color="auto"/>
      </w:tblBorders>
      <w:tblCellMar>
        <w:left w:w="57" w:type="dxa"/>
        <w:right w:w="57" w:type="dxa"/>
      </w:tblCellMar>
    </w:tblPr>
    <w:tblStylePr w:type="firstRow">
      <w:rPr>
        <w:b/>
      </w:rPr>
      <w:tblPr/>
      <w:trPr>
        <w:cantSplit/>
        <w:tblHeader/>
      </w:tr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firstCol">
      <w:rPr>
        <w:b/>
      </w:rPr>
    </w:tblStylePr>
    <w:tblStylePr w:type="lastCol">
      <w:rPr>
        <w:b/>
      </w:rPr>
    </w:tblStylePr>
  </w:style>
  <w:style w:type="table" w:customStyle="1" w:styleId="ExecSummTable">
    <w:name w:val="Exec Summ Table"/>
    <w:basedOn w:val="TableNormal"/>
    <w:uiPriority w:val="99"/>
    <w:rsid w:val="008A5523"/>
    <w:pPr>
      <w:ind w:left="57" w:right="57"/>
    </w:pPr>
    <w:rPr>
      <w:rFonts w:ascii="Arial" w:eastAsiaTheme="minorHAnsi" w:hAnsi="Arial" w:cstheme="minorBidi"/>
      <w:sz w:val="18"/>
      <w:lang w:bidi="th-TH"/>
    </w:rPr>
    <w:tblPr>
      <w:tblBorders>
        <w:top w:val="single" w:sz="12" w:space="0" w:color="4BACC6" w:themeColor="accent5"/>
        <w:bottom w:val="single" w:sz="12" w:space="0" w:color="4BACC6" w:themeColor="accent5"/>
        <w:insideH w:val="single" w:sz="4" w:space="0" w:color="4BACC6" w:themeColor="accent5"/>
      </w:tblBorders>
      <w:tblCellMar>
        <w:left w:w="57" w:type="dxa"/>
        <w:right w:w="57" w:type="dxa"/>
      </w:tblCellMar>
    </w:tblPr>
    <w:tblStylePr w:type="firstRow">
      <w:rPr>
        <w:b/>
      </w:rPr>
      <w:tblPr/>
      <w:trPr>
        <w:cantSplit/>
        <w:tblHeader/>
      </w:tr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firstCol">
      <w:rPr>
        <w:b/>
      </w:rPr>
    </w:tblStylePr>
    <w:tblStylePr w:type="lastCol">
      <w:rPr>
        <w:b/>
      </w:rPr>
    </w:tblStylePr>
  </w:style>
  <w:style w:type="table" w:customStyle="1" w:styleId="TableGrid22">
    <w:name w:val="Table Grid22"/>
    <w:basedOn w:val="TableNormal"/>
    <w:next w:val="TableGrid"/>
    <w:uiPriority w:val="39"/>
    <w:rsid w:val="00FD45C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0">
    <w:name w:val="Table Text Char"/>
    <w:link w:val="TableText0"/>
    <w:locked/>
    <w:rsid w:val="00CD6E06"/>
    <w:rPr>
      <w:rFonts w:ascii="Arial Narrow" w:eastAsiaTheme="minorHAnsi" w:hAnsi="Arial Narrow" w:cstheme="minorBidi"/>
      <w:szCs w:val="22"/>
      <w:lang w:eastAsia="en-US"/>
    </w:rPr>
  </w:style>
  <w:style w:type="paragraph" w:customStyle="1" w:styleId="TableText0">
    <w:name w:val="Table Text"/>
    <w:basedOn w:val="Normal"/>
    <w:link w:val="TableTextChar0"/>
    <w:qFormat/>
    <w:rsid w:val="00CD6E06"/>
    <w:pPr>
      <w:keepNext/>
      <w:widowControl/>
      <w:spacing w:before="40" w:after="40"/>
      <w:jc w:val="left"/>
    </w:pPr>
    <w:rPr>
      <w:rFonts w:ascii="Arial Narrow" w:eastAsiaTheme="minorHAnsi" w:hAnsi="Arial Narrow" w:cstheme="minorBidi"/>
      <w:snapToGrid/>
      <w:sz w:val="20"/>
    </w:rPr>
  </w:style>
  <w:style w:type="paragraph" w:customStyle="1" w:styleId="TableHeading0">
    <w:name w:val="Table Heading"/>
    <w:basedOn w:val="Normal"/>
    <w:qFormat/>
    <w:rsid w:val="00CD6E06"/>
    <w:pPr>
      <w:keepNext/>
      <w:widowControl/>
      <w:spacing w:after="60"/>
      <w:jc w:val="left"/>
    </w:pPr>
    <w:rPr>
      <w:rFonts w:ascii="Arial Narrow" w:eastAsiaTheme="minorHAnsi" w:hAnsi="Arial Narrow" w:cstheme="minorBidi"/>
      <w:b/>
      <w:snapToGrid/>
      <w:sz w:val="20"/>
    </w:rPr>
  </w:style>
  <w:style w:type="paragraph" w:customStyle="1" w:styleId="Source">
    <w:name w:val="Source"/>
    <w:basedOn w:val="Normal"/>
    <w:uiPriority w:val="35"/>
    <w:qFormat/>
    <w:rsid w:val="00297AF7"/>
    <w:pPr>
      <w:keepLines/>
      <w:widowControl/>
      <w:tabs>
        <w:tab w:val="left" w:pos="284"/>
      </w:tabs>
      <w:spacing w:before="60" w:after="360" w:line="360" w:lineRule="auto"/>
      <w:contextualSpacing/>
      <w:jc w:val="left"/>
    </w:pPr>
    <w:rPr>
      <w:rFonts w:ascii="Arial" w:eastAsiaTheme="minorHAnsi" w:hAnsi="Arial" w:cstheme="minorBidi"/>
      <w:snapToGrid/>
      <w:sz w:val="18"/>
      <w:szCs w:val="20"/>
    </w:rPr>
  </w:style>
  <w:style w:type="paragraph" w:customStyle="1" w:styleId="SubHeading">
    <w:name w:val="Sub Heading"/>
    <w:basedOn w:val="Normal"/>
    <w:next w:val="Normal"/>
    <w:uiPriority w:val="9"/>
    <w:qFormat/>
    <w:rsid w:val="008D60EE"/>
    <w:pPr>
      <w:keepLines/>
      <w:widowControl/>
      <w:spacing w:before="360" w:line="360" w:lineRule="auto"/>
      <w:jc w:val="left"/>
    </w:pPr>
    <w:rPr>
      <w:rFonts w:ascii="Arial" w:eastAsiaTheme="minorHAnsi" w:hAnsi="Arial" w:cstheme="minorBidi"/>
      <w:b/>
      <w:snapToGrid/>
      <w:sz w:val="20"/>
      <w:szCs w:val="20"/>
    </w:rPr>
  </w:style>
  <w:style w:type="paragraph" w:customStyle="1" w:styleId="Heading4NoNumbers">
    <w:name w:val="Heading 4 No Numbers"/>
    <w:basedOn w:val="Heading4"/>
    <w:next w:val="Normal"/>
    <w:uiPriority w:val="9"/>
    <w:qFormat/>
    <w:rsid w:val="008D60EE"/>
    <w:pPr>
      <w:keepLines/>
      <w:widowControl/>
      <w:spacing w:before="120" w:after="120" w:line="360" w:lineRule="auto"/>
      <w:jc w:val="left"/>
    </w:pPr>
    <w:rPr>
      <w:rFonts w:asciiTheme="majorHAnsi" w:eastAsiaTheme="majorEastAsia" w:hAnsiTheme="majorHAnsi" w:cstheme="majorBidi"/>
      <w:i w:val="0"/>
      <w:iCs/>
      <w:snapToGrid/>
      <w:sz w:val="24"/>
      <w:szCs w:val="20"/>
    </w:rPr>
  </w:style>
  <w:style w:type="paragraph" w:styleId="ListBullet">
    <w:name w:val="List Bullet"/>
    <w:basedOn w:val="Normal"/>
    <w:uiPriority w:val="16"/>
    <w:qFormat/>
    <w:rsid w:val="008D60EE"/>
    <w:pPr>
      <w:keepLines/>
      <w:widowControl/>
      <w:numPr>
        <w:numId w:val="4"/>
      </w:numPr>
      <w:spacing w:after="360" w:line="360" w:lineRule="auto"/>
      <w:jc w:val="left"/>
    </w:pPr>
    <w:rPr>
      <w:rFonts w:ascii="Arial" w:eastAsiaTheme="minorHAnsi" w:hAnsi="Arial" w:cstheme="minorBidi"/>
      <w:snapToGrid/>
      <w:sz w:val="20"/>
      <w:szCs w:val="20"/>
    </w:rPr>
  </w:style>
  <w:style w:type="paragraph" w:styleId="ListBullet2">
    <w:name w:val="List Bullet 2"/>
    <w:basedOn w:val="ListBullet"/>
    <w:uiPriority w:val="16"/>
    <w:qFormat/>
    <w:rsid w:val="008D60EE"/>
    <w:pPr>
      <w:numPr>
        <w:ilvl w:val="1"/>
      </w:numPr>
    </w:pPr>
  </w:style>
  <w:style w:type="paragraph" w:styleId="ListBullet3">
    <w:name w:val="List Bullet 3"/>
    <w:basedOn w:val="Normal"/>
    <w:uiPriority w:val="16"/>
    <w:qFormat/>
    <w:rsid w:val="008D60EE"/>
    <w:pPr>
      <w:keepLines/>
      <w:widowControl/>
      <w:numPr>
        <w:ilvl w:val="2"/>
        <w:numId w:val="4"/>
      </w:numPr>
      <w:spacing w:after="360" w:line="360" w:lineRule="auto"/>
      <w:contextualSpacing/>
      <w:jc w:val="left"/>
    </w:pPr>
    <w:rPr>
      <w:rFonts w:ascii="Arial" w:eastAsiaTheme="minorHAnsi" w:hAnsi="Arial" w:cstheme="minorBidi"/>
      <w:snapToGrid/>
      <w:sz w:val="20"/>
      <w:szCs w:val="20"/>
    </w:rPr>
  </w:style>
  <w:style w:type="paragraph" w:styleId="ListBullet4">
    <w:name w:val="List Bullet 4"/>
    <w:basedOn w:val="Normal"/>
    <w:uiPriority w:val="16"/>
    <w:qFormat/>
    <w:rsid w:val="008D60EE"/>
    <w:pPr>
      <w:keepLines/>
      <w:widowControl/>
      <w:numPr>
        <w:ilvl w:val="3"/>
        <w:numId w:val="4"/>
      </w:numPr>
      <w:spacing w:after="360" w:line="360" w:lineRule="auto"/>
      <w:contextualSpacing/>
      <w:jc w:val="left"/>
    </w:pPr>
    <w:rPr>
      <w:rFonts w:ascii="Arial" w:eastAsiaTheme="minorHAnsi" w:hAnsi="Arial" w:cstheme="minorBidi"/>
      <w:snapToGrid/>
      <w:sz w:val="20"/>
      <w:szCs w:val="20"/>
    </w:rPr>
  </w:style>
  <w:style w:type="paragraph" w:customStyle="1" w:styleId="V50Instructions">
    <w:name w:val="V5.0 Instructions"/>
    <w:basedOn w:val="Normal"/>
    <w:link w:val="V50InstructionsChar"/>
    <w:qFormat/>
    <w:rsid w:val="008D60EE"/>
    <w:pPr>
      <w:widowControl/>
      <w:spacing w:before="120" w:after="160"/>
      <w:jc w:val="left"/>
    </w:pPr>
    <w:rPr>
      <w:rFonts w:asciiTheme="minorHAnsi" w:eastAsiaTheme="minorHAnsi" w:hAnsiTheme="minorHAnsi" w:cstheme="minorBidi"/>
      <w:snapToGrid/>
      <w:color w:val="4BACC6" w:themeColor="accent5"/>
    </w:rPr>
  </w:style>
  <w:style w:type="character" w:customStyle="1" w:styleId="V50InstructionsChar">
    <w:name w:val="V5.0 Instructions Char"/>
    <w:basedOn w:val="DefaultParagraphFont"/>
    <w:link w:val="V50Instructions"/>
    <w:rsid w:val="008D60EE"/>
    <w:rPr>
      <w:rFonts w:asciiTheme="minorHAnsi" w:eastAsiaTheme="minorHAnsi" w:hAnsiTheme="minorHAnsi" w:cstheme="minorBidi"/>
      <w:color w:val="4BACC6" w:themeColor="accent5"/>
      <w:sz w:val="24"/>
      <w:szCs w:val="22"/>
      <w:lang w:eastAsia="en-US"/>
    </w:rPr>
  </w:style>
  <w:style w:type="table" w:customStyle="1" w:styleId="TableGrid1">
    <w:name w:val="Table Grid1"/>
    <w:basedOn w:val="TableNormal"/>
    <w:next w:val="TableGrid"/>
    <w:uiPriority w:val="39"/>
    <w:rsid w:val="002330A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330AD"/>
    <w:rPr>
      <w:color w:val="605E5C"/>
      <w:shd w:val="clear" w:color="auto" w:fill="E1DFDD"/>
    </w:rPr>
  </w:style>
  <w:style w:type="character" w:customStyle="1" w:styleId="normaltextrun">
    <w:name w:val="normaltextrun"/>
    <w:basedOn w:val="DefaultParagraphFont"/>
    <w:rsid w:val="00D01F12"/>
  </w:style>
  <w:style w:type="character" w:customStyle="1" w:styleId="eop">
    <w:name w:val="eop"/>
    <w:basedOn w:val="DefaultParagraphFont"/>
    <w:rsid w:val="00D01F12"/>
  </w:style>
  <w:style w:type="numbering" w:customStyle="1" w:styleId="Lists1">
    <w:name w:val="Lists1"/>
    <w:uiPriority w:val="99"/>
    <w:rsid w:val="001D6DA7"/>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427CDA"/>
    <w:pPr>
      <w:widowControl/>
      <w:spacing w:after="160" w:line="240" w:lineRule="exact"/>
      <w:jc w:val="left"/>
    </w:pPr>
    <w:rPr>
      <w:rFonts w:ascii="Verdana" w:eastAsia="MS Mincho" w:hAnsi="Verdana" w:cs="Verdana"/>
      <w:snapToGrid/>
      <w:sz w:val="20"/>
      <w:szCs w:val="20"/>
      <w:lang w:val="en-US"/>
    </w:rPr>
  </w:style>
  <w:style w:type="paragraph" w:styleId="FootnoteText">
    <w:name w:val="footnote text"/>
    <w:basedOn w:val="Normal"/>
    <w:link w:val="FootnoteTextChar"/>
    <w:semiHidden/>
    <w:unhideWhenUsed/>
    <w:rsid w:val="00AD64E7"/>
    <w:rPr>
      <w:sz w:val="20"/>
      <w:szCs w:val="20"/>
    </w:rPr>
  </w:style>
  <w:style w:type="character" w:customStyle="1" w:styleId="FootnoteTextChar">
    <w:name w:val="Footnote Text Char"/>
    <w:basedOn w:val="DefaultParagraphFont"/>
    <w:link w:val="FootnoteText"/>
    <w:semiHidden/>
    <w:rsid w:val="00AD64E7"/>
    <w:rPr>
      <w:rFonts w:ascii="Calibri" w:hAnsi="Calibri" w:cs="Arial"/>
      <w:snapToGrid w:val="0"/>
      <w:lang w:eastAsia="en-US"/>
    </w:rPr>
  </w:style>
  <w:style w:type="character" w:styleId="FootnoteReference">
    <w:name w:val="footnote reference"/>
    <w:basedOn w:val="DefaultParagraphFont"/>
    <w:semiHidden/>
    <w:unhideWhenUsed/>
    <w:rsid w:val="00AD64E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caption" w:uiPriority="35" w:qFormat="1"/>
    <w:lsdException w:name="annotation reference" w:uiPriority="99" w:qFormat="1"/>
    <w:lsdException w:name="List Bullet" w:uiPriority="16" w:qFormat="1"/>
    <w:lsdException w:name="List Number" w:semiHidden="0" w:unhideWhenUsed="0"/>
    <w:lsdException w:name="List 4" w:semiHidden="0" w:unhideWhenUsed="0"/>
    <w:lsdException w:name="List 5" w:semiHidden="0" w:unhideWhenUsed="0"/>
    <w:lsdException w:name="List Bullet 2" w:uiPriority="16" w:qFormat="1"/>
    <w:lsdException w:name="List Bullet 3" w:uiPriority="16" w:qFormat="1"/>
    <w:lsdException w:name="List Bullet 4" w:uiPriority="16" w:qFormat="1"/>
    <w:lsdException w:name="Title" w:semiHidden="0" w:unhideWhenUsed="0"/>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284086"/>
    <w:pPr>
      <w:widowControl w:val="0"/>
      <w:jc w:val="both"/>
    </w:pPr>
    <w:rPr>
      <w:rFonts w:ascii="Calibri" w:hAnsi="Calibri" w:cs="Arial"/>
      <w:snapToGrid w:val="0"/>
      <w:sz w:val="24"/>
      <w:szCs w:val="22"/>
      <w:lang w:eastAsia="en-US"/>
    </w:rPr>
  </w:style>
  <w:style w:type="paragraph" w:styleId="Heading1">
    <w:name w:val="heading 1"/>
    <w:basedOn w:val="PBACHeading1"/>
    <w:next w:val="Normal"/>
    <w:qFormat/>
    <w:rsid w:val="00756309"/>
    <w:pPr>
      <w:keepNext/>
      <w:spacing w:after="120"/>
      <w:outlineLvl w:val="0"/>
    </w:pPr>
  </w:style>
  <w:style w:type="paragraph" w:styleId="Heading2">
    <w:name w:val="heading 2"/>
    <w:basedOn w:val="Normal"/>
    <w:next w:val="Normal"/>
    <w:link w:val="Heading2Char"/>
    <w:qFormat/>
    <w:rsid w:val="00756309"/>
    <w:pPr>
      <w:keepNext/>
      <w:spacing w:after="120"/>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56309"/>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List Paragraph1"/>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List Paragraph1 Char"/>
    <w:basedOn w:val="DefaultParagraphFont"/>
    <w:link w:val="ListParagraph"/>
    <w:uiPriority w:val="34"/>
    <w:qFormat/>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PBAC table,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widowControl/>
      <w:jc w:val="left"/>
    </w:pPr>
    <w:rPr>
      <w:rFonts w:ascii="Arial Narrow" w:hAnsi="Arial Narrow" w:cs="Times New Roman"/>
      <w:snapToGrid/>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2"/>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03A63"/>
    <w:pPr>
      <w:numPr>
        <w:numId w:val="1"/>
      </w:numPr>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table" w:customStyle="1" w:styleId="TableHTAsimple">
    <w:name w:val="Table HTA simple"/>
    <w:basedOn w:val="TableNormal"/>
    <w:uiPriority w:val="99"/>
    <w:rsid w:val="00883C5D"/>
    <w:rPr>
      <w:rFonts w:asciiTheme="minorHAnsi" w:eastAsiaTheme="minorHAnsi" w:hAnsiTheme="minorHAnsi" w:cstheme="minorBidi"/>
      <w:sz w:val="18"/>
      <w:szCs w:val="22"/>
      <w:lang w:val="de-DE" w:eastAsia="en-US"/>
    </w:rPr>
    <w:tblPr>
      <w:tblStyleRowBandSize w:val="1"/>
      <w:tblBorders>
        <w:top w:val="single" w:sz="4" w:space="0" w:color="auto"/>
        <w:bottom w:val="single" w:sz="4" w:space="0" w:color="auto"/>
        <w:insideH w:val="single" w:sz="6" w:space="0" w:color="auto"/>
      </w:tblBorders>
    </w:tblPr>
    <w:tcPr>
      <w:vAlign w:val="center"/>
    </w:tcPr>
    <w:tblStylePr w:type="firstRow">
      <w:pPr>
        <w:wordWrap/>
        <w:spacing w:beforeLines="0" w:before="40" w:beforeAutospacing="0" w:afterLines="0" w:after="40" w:afterAutospacing="0" w:line="240" w:lineRule="auto"/>
      </w:pPr>
      <w:rPr>
        <w:rFonts w:asciiTheme="minorHAnsi" w:hAnsiTheme="minorHAnsi"/>
        <w:b w:val="0"/>
        <w:sz w:val="18"/>
      </w:rPr>
    </w:tblStylePr>
    <w:tblStylePr w:type="band1Horz">
      <w:pPr>
        <w:wordWrap/>
        <w:spacing w:beforeLines="0" w:before="20" w:beforeAutospacing="0" w:afterLines="0" w:after="20" w:afterAutospacing="0" w:line="240" w:lineRule="auto"/>
      </w:pPr>
    </w:tblStylePr>
    <w:tblStylePr w:type="band2Horz">
      <w:pPr>
        <w:wordWrap/>
        <w:spacing w:beforeLines="0" w:before="20" w:beforeAutospacing="0" w:afterLines="0" w:after="20" w:afterAutospacing="0" w:line="240" w:lineRule="auto"/>
      </w:pPr>
    </w:tblStylePr>
  </w:style>
  <w:style w:type="numbering" w:customStyle="1" w:styleId="Lists">
    <w:name w:val="Lists"/>
    <w:uiPriority w:val="99"/>
    <w:rsid w:val="00C47584"/>
    <w:pPr>
      <w:numPr>
        <w:numId w:val="3"/>
      </w:numPr>
    </w:pPr>
  </w:style>
  <w:style w:type="paragraph" w:customStyle="1" w:styleId="Default">
    <w:name w:val="Default"/>
    <w:rsid w:val="00D924AF"/>
    <w:pPr>
      <w:autoSpaceDE w:val="0"/>
      <w:autoSpaceDN w:val="0"/>
      <w:adjustRightInd w:val="0"/>
    </w:pPr>
    <w:rPr>
      <w:color w:val="000000"/>
      <w:sz w:val="24"/>
      <w:szCs w:val="24"/>
      <w:lang w:val="en-US" w:eastAsia="en-US"/>
    </w:rPr>
  </w:style>
  <w:style w:type="table" w:customStyle="1" w:styleId="MSDAustralia">
    <w:name w:val="MSD Australia"/>
    <w:basedOn w:val="TableGrid"/>
    <w:uiPriority w:val="99"/>
    <w:rsid w:val="00A86B55"/>
    <w:pPr>
      <w:ind w:left="57" w:right="57"/>
    </w:pPr>
    <w:rPr>
      <w:rFonts w:ascii="Arial" w:eastAsiaTheme="minorHAnsi" w:hAnsi="Arial" w:cstheme="minorBidi"/>
      <w:lang w:eastAsia="en-US"/>
    </w:rPr>
    <w:tblPr>
      <w:tblBorders>
        <w:top w:val="single" w:sz="12" w:space="0" w:color="4BACC6" w:themeColor="accent5"/>
        <w:left w:val="none" w:sz="0" w:space="0" w:color="auto"/>
        <w:bottom w:val="single" w:sz="12" w:space="0" w:color="4BACC6" w:themeColor="accent5"/>
        <w:right w:val="none" w:sz="0" w:space="0" w:color="auto"/>
        <w:insideH w:val="single" w:sz="4" w:space="0" w:color="4BACC6" w:themeColor="accent5"/>
        <w:insideV w:val="none" w:sz="0" w:space="0" w:color="auto"/>
      </w:tblBorders>
      <w:tblCellMar>
        <w:left w:w="57" w:type="dxa"/>
        <w:right w:w="57" w:type="dxa"/>
      </w:tblCellMar>
    </w:tblPr>
    <w:tblStylePr w:type="firstRow">
      <w:rPr>
        <w:b/>
      </w:rPr>
      <w:tblPr/>
      <w:trPr>
        <w:cantSplit/>
        <w:tblHeader/>
      </w:tr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firstCol">
      <w:rPr>
        <w:b/>
      </w:rPr>
    </w:tblStylePr>
    <w:tblStylePr w:type="lastCol">
      <w:rPr>
        <w:b/>
      </w:rPr>
    </w:tblStylePr>
  </w:style>
  <w:style w:type="table" w:customStyle="1" w:styleId="ExecSummTable">
    <w:name w:val="Exec Summ Table"/>
    <w:basedOn w:val="TableNormal"/>
    <w:uiPriority w:val="99"/>
    <w:rsid w:val="008A5523"/>
    <w:pPr>
      <w:ind w:left="57" w:right="57"/>
    </w:pPr>
    <w:rPr>
      <w:rFonts w:ascii="Arial" w:eastAsiaTheme="minorHAnsi" w:hAnsi="Arial" w:cstheme="minorBidi"/>
      <w:sz w:val="18"/>
      <w:lang w:bidi="th-TH"/>
    </w:rPr>
    <w:tblPr>
      <w:tblBorders>
        <w:top w:val="single" w:sz="12" w:space="0" w:color="4BACC6" w:themeColor="accent5"/>
        <w:bottom w:val="single" w:sz="12" w:space="0" w:color="4BACC6" w:themeColor="accent5"/>
        <w:insideH w:val="single" w:sz="4" w:space="0" w:color="4BACC6" w:themeColor="accent5"/>
      </w:tblBorders>
      <w:tblCellMar>
        <w:left w:w="57" w:type="dxa"/>
        <w:right w:w="57" w:type="dxa"/>
      </w:tblCellMar>
    </w:tblPr>
    <w:tblStylePr w:type="firstRow">
      <w:rPr>
        <w:b/>
      </w:rPr>
      <w:tblPr/>
      <w:trPr>
        <w:cantSplit/>
        <w:tblHeader/>
      </w:tr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firstCol">
      <w:rPr>
        <w:b/>
      </w:rPr>
    </w:tblStylePr>
    <w:tblStylePr w:type="lastCol">
      <w:rPr>
        <w:b/>
      </w:rPr>
    </w:tblStylePr>
  </w:style>
  <w:style w:type="table" w:customStyle="1" w:styleId="TableGrid22">
    <w:name w:val="Table Grid22"/>
    <w:basedOn w:val="TableNormal"/>
    <w:next w:val="TableGrid"/>
    <w:uiPriority w:val="39"/>
    <w:rsid w:val="00FD45C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0">
    <w:name w:val="Table Text Char"/>
    <w:link w:val="TableText0"/>
    <w:locked/>
    <w:rsid w:val="00CD6E06"/>
    <w:rPr>
      <w:rFonts w:ascii="Arial Narrow" w:eastAsiaTheme="minorHAnsi" w:hAnsi="Arial Narrow" w:cstheme="minorBidi"/>
      <w:szCs w:val="22"/>
      <w:lang w:eastAsia="en-US"/>
    </w:rPr>
  </w:style>
  <w:style w:type="paragraph" w:customStyle="1" w:styleId="TableText0">
    <w:name w:val="Table Text"/>
    <w:basedOn w:val="Normal"/>
    <w:link w:val="TableTextChar0"/>
    <w:qFormat/>
    <w:rsid w:val="00CD6E06"/>
    <w:pPr>
      <w:keepNext/>
      <w:widowControl/>
      <w:spacing w:before="40" w:after="40"/>
      <w:jc w:val="left"/>
    </w:pPr>
    <w:rPr>
      <w:rFonts w:ascii="Arial Narrow" w:eastAsiaTheme="minorHAnsi" w:hAnsi="Arial Narrow" w:cstheme="minorBidi"/>
      <w:snapToGrid/>
      <w:sz w:val="20"/>
    </w:rPr>
  </w:style>
  <w:style w:type="paragraph" w:customStyle="1" w:styleId="TableHeading0">
    <w:name w:val="Table Heading"/>
    <w:basedOn w:val="Normal"/>
    <w:qFormat/>
    <w:rsid w:val="00CD6E06"/>
    <w:pPr>
      <w:keepNext/>
      <w:widowControl/>
      <w:spacing w:after="60"/>
      <w:jc w:val="left"/>
    </w:pPr>
    <w:rPr>
      <w:rFonts w:ascii="Arial Narrow" w:eastAsiaTheme="minorHAnsi" w:hAnsi="Arial Narrow" w:cstheme="minorBidi"/>
      <w:b/>
      <w:snapToGrid/>
      <w:sz w:val="20"/>
    </w:rPr>
  </w:style>
  <w:style w:type="paragraph" w:customStyle="1" w:styleId="Source">
    <w:name w:val="Source"/>
    <w:basedOn w:val="Normal"/>
    <w:uiPriority w:val="35"/>
    <w:qFormat/>
    <w:rsid w:val="00297AF7"/>
    <w:pPr>
      <w:keepLines/>
      <w:widowControl/>
      <w:tabs>
        <w:tab w:val="left" w:pos="284"/>
      </w:tabs>
      <w:spacing w:before="60" w:after="360" w:line="360" w:lineRule="auto"/>
      <w:contextualSpacing/>
      <w:jc w:val="left"/>
    </w:pPr>
    <w:rPr>
      <w:rFonts w:ascii="Arial" w:eastAsiaTheme="minorHAnsi" w:hAnsi="Arial" w:cstheme="minorBidi"/>
      <w:snapToGrid/>
      <w:sz w:val="18"/>
      <w:szCs w:val="20"/>
    </w:rPr>
  </w:style>
  <w:style w:type="paragraph" w:customStyle="1" w:styleId="SubHeading">
    <w:name w:val="Sub Heading"/>
    <w:basedOn w:val="Normal"/>
    <w:next w:val="Normal"/>
    <w:uiPriority w:val="9"/>
    <w:qFormat/>
    <w:rsid w:val="008D60EE"/>
    <w:pPr>
      <w:keepLines/>
      <w:widowControl/>
      <w:spacing w:before="360" w:line="360" w:lineRule="auto"/>
      <w:jc w:val="left"/>
    </w:pPr>
    <w:rPr>
      <w:rFonts w:ascii="Arial" w:eastAsiaTheme="minorHAnsi" w:hAnsi="Arial" w:cstheme="minorBidi"/>
      <w:b/>
      <w:snapToGrid/>
      <w:sz w:val="20"/>
      <w:szCs w:val="20"/>
    </w:rPr>
  </w:style>
  <w:style w:type="paragraph" w:customStyle="1" w:styleId="Heading4NoNumbers">
    <w:name w:val="Heading 4 No Numbers"/>
    <w:basedOn w:val="Heading4"/>
    <w:next w:val="Normal"/>
    <w:uiPriority w:val="9"/>
    <w:qFormat/>
    <w:rsid w:val="008D60EE"/>
    <w:pPr>
      <w:keepLines/>
      <w:widowControl/>
      <w:spacing w:before="120" w:after="120" w:line="360" w:lineRule="auto"/>
      <w:jc w:val="left"/>
    </w:pPr>
    <w:rPr>
      <w:rFonts w:asciiTheme="majorHAnsi" w:eastAsiaTheme="majorEastAsia" w:hAnsiTheme="majorHAnsi" w:cstheme="majorBidi"/>
      <w:i w:val="0"/>
      <w:iCs/>
      <w:snapToGrid/>
      <w:sz w:val="24"/>
      <w:szCs w:val="20"/>
    </w:rPr>
  </w:style>
  <w:style w:type="paragraph" w:styleId="ListBullet">
    <w:name w:val="List Bullet"/>
    <w:basedOn w:val="Normal"/>
    <w:uiPriority w:val="16"/>
    <w:qFormat/>
    <w:rsid w:val="008D60EE"/>
    <w:pPr>
      <w:keepLines/>
      <w:widowControl/>
      <w:numPr>
        <w:numId w:val="4"/>
      </w:numPr>
      <w:spacing w:after="360" w:line="360" w:lineRule="auto"/>
      <w:jc w:val="left"/>
    </w:pPr>
    <w:rPr>
      <w:rFonts w:ascii="Arial" w:eastAsiaTheme="minorHAnsi" w:hAnsi="Arial" w:cstheme="minorBidi"/>
      <w:snapToGrid/>
      <w:sz w:val="20"/>
      <w:szCs w:val="20"/>
    </w:rPr>
  </w:style>
  <w:style w:type="paragraph" w:styleId="ListBullet2">
    <w:name w:val="List Bullet 2"/>
    <w:basedOn w:val="ListBullet"/>
    <w:uiPriority w:val="16"/>
    <w:qFormat/>
    <w:rsid w:val="008D60EE"/>
    <w:pPr>
      <w:numPr>
        <w:ilvl w:val="1"/>
      </w:numPr>
    </w:pPr>
  </w:style>
  <w:style w:type="paragraph" w:styleId="ListBullet3">
    <w:name w:val="List Bullet 3"/>
    <w:basedOn w:val="Normal"/>
    <w:uiPriority w:val="16"/>
    <w:qFormat/>
    <w:rsid w:val="008D60EE"/>
    <w:pPr>
      <w:keepLines/>
      <w:widowControl/>
      <w:numPr>
        <w:ilvl w:val="2"/>
        <w:numId w:val="4"/>
      </w:numPr>
      <w:spacing w:after="360" w:line="360" w:lineRule="auto"/>
      <w:contextualSpacing/>
      <w:jc w:val="left"/>
    </w:pPr>
    <w:rPr>
      <w:rFonts w:ascii="Arial" w:eastAsiaTheme="minorHAnsi" w:hAnsi="Arial" w:cstheme="minorBidi"/>
      <w:snapToGrid/>
      <w:sz w:val="20"/>
      <w:szCs w:val="20"/>
    </w:rPr>
  </w:style>
  <w:style w:type="paragraph" w:styleId="ListBullet4">
    <w:name w:val="List Bullet 4"/>
    <w:basedOn w:val="Normal"/>
    <w:uiPriority w:val="16"/>
    <w:qFormat/>
    <w:rsid w:val="008D60EE"/>
    <w:pPr>
      <w:keepLines/>
      <w:widowControl/>
      <w:numPr>
        <w:ilvl w:val="3"/>
        <w:numId w:val="4"/>
      </w:numPr>
      <w:spacing w:after="360" w:line="360" w:lineRule="auto"/>
      <w:contextualSpacing/>
      <w:jc w:val="left"/>
    </w:pPr>
    <w:rPr>
      <w:rFonts w:ascii="Arial" w:eastAsiaTheme="minorHAnsi" w:hAnsi="Arial" w:cstheme="minorBidi"/>
      <w:snapToGrid/>
      <w:sz w:val="20"/>
      <w:szCs w:val="20"/>
    </w:rPr>
  </w:style>
  <w:style w:type="paragraph" w:customStyle="1" w:styleId="V50Instructions">
    <w:name w:val="V5.0 Instructions"/>
    <w:basedOn w:val="Normal"/>
    <w:link w:val="V50InstructionsChar"/>
    <w:qFormat/>
    <w:rsid w:val="008D60EE"/>
    <w:pPr>
      <w:widowControl/>
      <w:spacing w:before="120" w:after="160"/>
      <w:jc w:val="left"/>
    </w:pPr>
    <w:rPr>
      <w:rFonts w:asciiTheme="minorHAnsi" w:eastAsiaTheme="minorHAnsi" w:hAnsiTheme="minorHAnsi" w:cstheme="minorBidi"/>
      <w:snapToGrid/>
      <w:color w:val="4BACC6" w:themeColor="accent5"/>
    </w:rPr>
  </w:style>
  <w:style w:type="character" w:customStyle="1" w:styleId="V50InstructionsChar">
    <w:name w:val="V5.0 Instructions Char"/>
    <w:basedOn w:val="DefaultParagraphFont"/>
    <w:link w:val="V50Instructions"/>
    <w:rsid w:val="008D60EE"/>
    <w:rPr>
      <w:rFonts w:asciiTheme="minorHAnsi" w:eastAsiaTheme="minorHAnsi" w:hAnsiTheme="minorHAnsi" w:cstheme="minorBidi"/>
      <w:color w:val="4BACC6" w:themeColor="accent5"/>
      <w:sz w:val="24"/>
      <w:szCs w:val="22"/>
      <w:lang w:eastAsia="en-US"/>
    </w:rPr>
  </w:style>
  <w:style w:type="table" w:customStyle="1" w:styleId="TableGrid1">
    <w:name w:val="Table Grid1"/>
    <w:basedOn w:val="TableNormal"/>
    <w:next w:val="TableGrid"/>
    <w:uiPriority w:val="39"/>
    <w:rsid w:val="002330A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330AD"/>
    <w:rPr>
      <w:color w:val="605E5C"/>
      <w:shd w:val="clear" w:color="auto" w:fill="E1DFDD"/>
    </w:rPr>
  </w:style>
  <w:style w:type="character" w:customStyle="1" w:styleId="normaltextrun">
    <w:name w:val="normaltextrun"/>
    <w:basedOn w:val="DefaultParagraphFont"/>
    <w:rsid w:val="00D01F12"/>
  </w:style>
  <w:style w:type="character" w:customStyle="1" w:styleId="eop">
    <w:name w:val="eop"/>
    <w:basedOn w:val="DefaultParagraphFont"/>
    <w:rsid w:val="00D01F12"/>
  </w:style>
  <w:style w:type="numbering" w:customStyle="1" w:styleId="Lists1">
    <w:name w:val="Lists1"/>
    <w:uiPriority w:val="99"/>
    <w:rsid w:val="001D6DA7"/>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427CDA"/>
    <w:pPr>
      <w:widowControl/>
      <w:spacing w:after="160" w:line="240" w:lineRule="exact"/>
      <w:jc w:val="left"/>
    </w:pPr>
    <w:rPr>
      <w:rFonts w:ascii="Verdana" w:eastAsia="MS Mincho" w:hAnsi="Verdana" w:cs="Verdana"/>
      <w:snapToGrid/>
      <w:sz w:val="20"/>
      <w:szCs w:val="20"/>
      <w:lang w:val="en-US"/>
    </w:rPr>
  </w:style>
  <w:style w:type="paragraph" w:styleId="FootnoteText">
    <w:name w:val="footnote text"/>
    <w:basedOn w:val="Normal"/>
    <w:link w:val="FootnoteTextChar"/>
    <w:semiHidden/>
    <w:unhideWhenUsed/>
    <w:rsid w:val="00AD64E7"/>
    <w:rPr>
      <w:sz w:val="20"/>
      <w:szCs w:val="20"/>
    </w:rPr>
  </w:style>
  <w:style w:type="character" w:customStyle="1" w:styleId="FootnoteTextChar">
    <w:name w:val="Footnote Text Char"/>
    <w:basedOn w:val="DefaultParagraphFont"/>
    <w:link w:val="FootnoteText"/>
    <w:semiHidden/>
    <w:rsid w:val="00AD64E7"/>
    <w:rPr>
      <w:rFonts w:ascii="Calibri" w:hAnsi="Calibri" w:cs="Arial"/>
      <w:snapToGrid w:val="0"/>
      <w:lang w:eastAsia="en-US"/>
    </w:rPr>
  </w:style>
  <w:style w:type="character" w:styleId="FootnoteReference">
    <w:name w:val="footnote reference"/>
    <w:basedOn w:val="DefaultParagraphFont"/>
    <w:semiHidden/>
    <w:unhideWhenUsed/>
    <w:rsid w:val="00AD64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193662">
      <w:bodyDiv w:val="1"/>
      <w:marLeft w:val="0"/>
      <w:marRight w:val="0"/>
      <w:marTop w:val="0"/>
      <w:marBottom w:val="0"/>
      <w:divBdr>
        <w:top w:val="none" w:sz="0" w:space="0" w:color="auto"/>
        <w:left w:val="none" w:sz="0" w:space="0" w:color="auto"/>
        <w:bottom w:val="none" w:sz="0" w:space="0" w:color="auto"/>
        <w:right w:val="none" w:sz="0" w:space="0" w:color="auto"/>
      </w:divBdr>
      <w:divsChild>
        <w:div w:id="1985356439">
          <w:marLeft w:val="547"/>
          <w:marRight w:val="0"/>
          <w:marTop w:val="86"/>
          <w:marBottom w:val="0"/>
          <w:divBdr>
            <w:top w:val="none" w:sz="0" w:space="0" w:color="auto"/>
            <w:left w:val="none" w:sz="0" w:space="0" w:color="auto"/>
            <w:bottom w:val="none" w:sz="0" w:space="0" w:color="auto"/>
            <w:right w:val="none" w:sz="0" w:space="0" w:color="auto"/>
          </w:divBdr>
        </w:div>
      </w:divsChild>
    </w:div>
    <w:div w:id="877937233">
      <w:bodyDiv w:val="1"/>
      <w:marLeft w:val="0"/>
      <w:marRight w:val="0"/>
      <w:marTop w:val="0"/>
      <w:marBottom w:val="0"/>
      <w:divBdr>
        <w:top w:val="none" w:sz="0" w:space="0" w:color="auto"/>
        <w:left w:val="none" w:sz="0" w:space="0" w:color="auto"/>
        <w:bottom w:val="none" w:sz="0" w:space="0" w:color="auto"/>
        <w:right w:val="none" w:sz="0" w:space="0" w:color="auto"/>
      </w:divBdr>
      <w:divsChild>
        <w:div w:id="1176922210">
          <w:marLeft w:val="547"/>
          <w:marRight w:val="0"/>
          <w:marTop w:val="96"/>
          <w:marBottom w:val="0"/>
          <w:divBdr>
            <w:top w:val="none" w:sz="0" w:space="0" w:color="auto"/>
            <w:left w:val="none" w:sz="0" w:space="0" w:color="auto"/>
            <w:bottom w:val="none" w:sz="0" w:space="0" w:color="auto"/>
            <w:right w:val="none" w:sz="0" w:space="0" w:color="auto"/>
          </w:divBdr>
        </w:div>
        <w:div w:id="1780175091">
          <w:marLeft w:val="1166"/>
          <w:marRight w:val="0"/>
          <w:marTop w:val="96"/>
          <w:marBottom w:val="0"/>
          <w:divBdr>
            <w:top w:val="none" w:sz="0" w:space="0" w:color="auto"/>
            <w:left w:val="none" w:sz="0" w:space="0" w:color="auto"/>
            <w:bottom w:val="none" w:sz="0" w:space="0" w:color="auto"/>
            <w:right w:val="none" w:sz="0" w:space="0" w:color="auto"/>
          </w:divBdr>
        </w:div>
        <w:div w:id="146866525">
          <w:marLeft w:val="1166"/>
          <w:marRight w:val="0"/>
          <w:marTop w:val="96"/>
          <w:marBottom w:val="0"/>
          <w:divBdr>
            <w:top w:val="none" w:sz="0" w:space="0" w:color="auto"/>
            <w:left w:val="none" w:sz="0" w:space="0" w:color="auto"/>
            <w:bottom w:val="none" w:sz="0" w:space="0" w:color="auto"/>
            <w:right w:val="none" w:sz="0" w:space="0" w:color="auto"/>
          </w:divBdr>
        </w:div>
        <w:div w:id="1758818193">
          <w:marLeft w:val="1166"/>
          <w:marRight w:val="0"/>
          <w:marTop w:val="96"/>
          <w:marBottom w:val="0"/>
          <w:divBdr>
            <w:top w:val="none" w:sz="0" w:space="0" w:color="auto"/>
            <w:left w:val="none" w:sz="0" w:space="0" w:color="auto"/>
            <w:bottom w:val="none" w:sz="0" w:space="0" w:color="auto"/>
            <w:right w:val="none" w:sz="0" w:space="0" w:color="auto"/>
          </w:divBdr>
        </w:div>
        <w:div w:id="1315991331">
          <w:marLeft w:val="547"/>
          <w:marRight w:val="0"/>
          <w:marTop w:val="96"/>
          <w:marBottom w:val="0"/>
          <w:divBdr>
            <w:top w:val="none" w:sz="0" w:space="0" w:color="auto"/>
            <w:left w:val="none" w:sz="0" w:space="0" w:color="auto"/>
            <w:bottom w:val="none" w:sz="0" w:space="0" w:color="auto"/>
            <w:right w:val="none" w:sz="0" w:space="0" w:color="auto"/>
          </w:divBdr>
        </w:div>
      </w:divsChild>
    </w:div>
    <w:div w:id="933244064">
      <w:bodyDiv w:val="1"/>
      <w:marLeft w:val="0"/>
      <w:marRight w:val="0"/>
      <w:marTop w:val="0"/>
      <w:marBottom w:val="0"/>
      <w:divBdr>
        <w:top w:val="none" w:sz="0" w:space="0" w:color="auto"/>
        <w:left w:val="none" w:sz="0" w:space="0" w:color="auto"/>
        <w:bottom w:val="none" w:sz="0" w:space="0" w:color="auto"/>
        <w:right w:val="none" w:sz="0" w:space="0" w:color="auto"/>
      </w:divBdr>
    </w:div>
    <w:div w:id="1005522112">
      <w:bodyDiv w:val="1"/>
      <w:marLeft w:val="0"/>
      <w:marRight w:val="0"/>
      <w:marTop w:val="0"/>
      <w:marBottom w:val="0"/>
      <w:divBdr>
        <w:top w:val="none" w:sz="0" w:space="0" w:color="auto"/>
        <w:left w:val="none" w:sz="0" w:space="0" w:color="auto"/>
        <w:bottom w:val="none" w:sz="0" w:space="0" w:color="auto"/>
        <w:right w:val="none" w:sz="0" w:space="0" w:color="auto"/>
      </w:divBdr>
      <w:divsChild>
        <w:div w:id="894582536">
          <w:marLeft w:val="547"/>
          <w:marRight w:val="0"/>
          <w:marTop w:val="67"/>
          <w:marBottom w:val="0"/>
          <w:divBdr>
            <w:top w:val="none" w:sz="0" w:space="0" w:color="auto"/>
            <w:left w:val="none" w:sz="0" w:space="0" w:color="auto"/>
            <w:bottom w:val="none" w:sz="0" w:space="0" w:color="auto"/>
            <w:right w:val="none" w:sz="0" w:space="0" w:color="auto"/>
          </w:divBdr>
        </w:div>
      </w:divsChild>
    </w:div>
    <w:div w:id="1190990938">
      <w:bodyDiv w:val="1"/>
      <w:marLeft w:val="0"/>
      <w:marRight w:val="0"/>
      <w:marTop w:val="0"/>
      <w:marBottom w:val="0"/>
      <w:divBdr>
        <w:top w:val="none" w:sz="0" w:space="0" w:color="auto"/>
        <w:left w:val="none" w:sz="0" w:space="0" w:color="auto"/>
        <w:bottom w:val="none" w:sz="0" w:space="0" w:color="auto"/>
        <w:right w:val="none" w:sz="0" w:space="0" w:color="auto"/>
      </w:divBdr>
    </w:div>
    <w:div w:id="1225019294">
      <w:bodyDiv w:val="1"/>
      <w:marLeft w:val="0"/>
      <w:marRight w:val="0"/>
      <w:marTop w:val="0"/>
      <w:marBottom w:val="0"/>
      <w:divBdr>
        <w:top w:val="none" w:sz="0" w:space="0" w:color="auto"/>
        <w:left w:val="none" w:sz="0" w:space="0" w:color="auto"/>
        <w:bottom w:val="none" w:sz="0" w:space="0" w:color="auto"/>
        <w:right w:val="none" w:sz="0" w:space="0" w:color="auto"/>
      </w:divBdr>
    </w:div>
    <w:div w:id="1228763862">
      <w:bodyDiv w:val="1"/>
      <w:marLeft w:val="0"/>
      <w:marRight w:val="0"/>
      <w:marTop w:val="0"/>
      <w:marBottom w:val="0"/>
      <w:divBdr>
        <w:top w:val="none" w:sz="0" w:space="0" w:color="auto"/>
        <w:left w:val="none" w:sz="0" w:space="0" w:color="auto"/>
        <w:bottom w:val="none" w:sz="0" w:space="0" w:color="auto"/>
        <w:right w:val="none" w:sz="0" w:space="0" w:color="auto"/>
      </w:divBdr>
      <w:divsChild>
        <w:div w:id="740635752">
          <w:marLeft w:val="547"/>
          <w:marRight w:val="0"/>
          <w:marTop w:val="106"/>
          <w:marBottom w:val="0"/>
          <w:divBdr>
            <w:top w:val="none" w:sz="0" w:space="0" w:color="auto"/>
            <w:left w:val="none" w:sz="0" w:space="0" w:color="auto"/>
            <w:bottom w:val="none" w:sz="0" w:space="0" w:color="auto"/>
            <w:right w:val="none" w:sz="0" w:space="0" w:color="auto"/>
          </w:divBdr>
        </w:div>
        <w:div w:id="2012293619">
          <w:marLeft w:val="1166"/>
          <w:marRight w:val="0"/>
          <w:marTop w:val="115"/>
          <w:marBottom w:val="0"/>
          <w:divBdr>
            <w:top w:val="none" w:sz="0" w:space="0" w:color="auto"/>
            <w:left w:val="none" w:sz="0" w:space="0" w:color="auto"/>
            <w:bottom w:val="none" w:sz="0" w:space="0" w:color="auto"/>
            <w:right w:val="none" w:sz="0" w:space="0" w:color="auto"/>
          </w:divBdr>
        </w:div>
        <w:div w:id="1540513232">
          <w:marLeft w:val="547"/>
          <w:marRight w:val="0"/>
          <w:marTop w:val="106"/>
          <w:marBottom w:val="0"/>
          <w:divBdr>
            <w:top w:val="none" w:sz="0" w:space="0" w:color="auto"/>
            <w:left w:val="none" w:sz="0" w:space="0" w:color="auto"/>
            <w:bottom w:val="none" w:sz="0" w:space="0" w:color="auto"/>
            <w:right w:val="none" w:sz="0" w:space="0" w:color="auto"/>
          </w:divBdr>
        </w:div>
        <w:div w:id="728653374">
          <w:marLeft w:val="547"/>
          <w:marRight w:val="0"/>
          <w:marTop w:val="106"/>
          <w:marBottom w:val="0"/>
          <w:divBdr>
            <w:top w:val="none" w:sz="0" w:space="0" w:color="auto"/>
            <w:left w:val="none" w:sz="0" w:space="0" w:color="auto"/>
            <w:bottom w:val="none" w:sz="0" w:space="0" w:color="auto"/>
            <w:right w:val="none" w:sz="0" w:space="0" w:color="auto"/>
          </w:divBdr>
        </w:div>
        <w:div w:id="25910058">
          <w:marLeft w:val="547"/>
          <w:marRight w:val="0"/>
          <w:marTop w:val="106"/>
          <w:marBottom w:val="0"/>
          <w:divBdr>
            <w:top w:val="none" w:sz="0" w:space="0" w:color="auto"/>
            <w:left w:val="none" w:sz="0" w:space="0" w:color="auto"/>
            <w:bottom w:val="none" w:sz="0" w:space="0" w:color="auto"/>
            <w:right w:val="none" w:sz="0" w:space="0" w:color="auto"/>
          </w:divBdr>
        </w:div>
        <w:div w:id="118230500">
          <w:marLeft w:val="547"/>
          <w:marRight w:val="0"/>
          <w:marTop w:val="106"/>
          <w:marBottom w:val="0"/>
          <w:divBdr>
            <w:top w:val="none" w:sz="0" w:space="0" w:color="auto"/>
            <w:left w:val="none" w:sz="0" w:space="0" w:color="auto"/>
            <w:bottom w:val="none" w:sz="0" w:space="0" w:color="auto"/>
            <w:right w:val="none" w:sz="0" w:space="0" w:color="auto"/>
          </w:divBdr>
        </w:div>
        <w:div w:id="754983371">
          <w:marLeft w:val="547"/>
          <w:marRight w:val="0"/>
          <w:marTop w:val="106"/>
          <w:marBottom w:val="0"/>
          <w:divBdr>
            <w:top w:val="none" w:sz="0" w:space="0" w:color="auto"/>
            <w:left w:val="none" w:sz="0" w:space="0" w:color="auto"/>
            <w:bottom w:val="none" w:sz="0" w:space="0" w:color="auto"/>
            <w:right w:val="none" w:sz="0" w:space="0" w:color="auto"/>
          </w:divBdr>
        </w:div>
        <w:div w:id="1253708586">
          <w:marLeft w:val="547"/>
          <w:marRight w:val="0"/>
          <w:marTop w:val="106"/>
          <w:marBottom w:val="0"/>
          <w:divBdr>
            <w:top w:val="none" w:sz="0" w:space="0" w:color="auto"/>
            <w:left w:val="none" w:sz="0" w:space="0" w:color="auto"/>
            <w:bottom w:val="none" w:sz="0" w:space="0" w:color="auto"/>
            <w:right w:val="none" w:sz="0" w:space="0" w:color="auto"/>
          </w:divBdr>
        </w:div>
        <w:div w:id="401951648">
          <w:marLeft w:val="547"/>
          <w:marRight w:val="0"/>
          <w:marTop w:val="106"/>
          <w:marBottom w:val="0"/>
          <w:divBdr>
            <w:top w:val="none" w:sz="0" w:space="0" w:color="auto"/>
            <w:left w:val="none" w:sz="0" w:space="0" w:color="auto"/>
            <w:bottom w:val="none" w:sz="0" w:space="0" w:color="auto"/>
            <w:right w:val="none" w:sz="0" w:space="0" w:color="auto"/>
          </w:divBdr>
        </w:div>
      </w:divsChild>
    </w:div>
    <w:div w:id="1645041332">
      <w:bodyDiv w:val="1"/>
      <w:marLeft w:val="0"/>
      <w:marRight w:val="0"/>
      <w:marTop w:val="0"/>
      <w:marBottom w:val="0"/>
      <w:divBdr>
        <w:top w:val="none" w:sz="0" w:space="0" w:color="auto"/>
        <w:left w:val="none" w:sz="0" w:space="0" w:color="auto"/>
        <w:bottom w:val="none" w:sz="0" w:space="0" w:color="auto"/>
        <w:right w:val="none" w:sz="0" w:space="0" w:color="auto"/>
      </w:divBdr>
      <w:divsChild>
        <w:div w:id="330765362">
          <w:marLeft w:val="1166"/>
          <w:marRight w:val="0"/>
          <w:marTop w:val="86"/>
          <w:marBottom w:val="0"/>
          <w:divBdr>
            <w:top w:val="none" w:sz="0" w:space="0" w:color="auto"/>
            <w:left w:val="none" w:sz="0" w:space="0" w:color="auto"/>
            <w:bottom w:val="none" w:sz="0" w:space="0" w:color="auto"/>
            <w:right w:val="none" w:sz="0" w:space="0" w:color="auto"/>
          </w:divBdr>
        </w:div>
      </w:divsChild>
    </w:div>
    <w:div w:id="1663042911">
      <w:bodyDiv w:val="1"/>
      <w:marLeft w:val="0"/>
      <w:marRight w:val="0"/>
      <w:marTop w:val="0"/>
      <w:marBottom w:val="0"/>
      <w:divBdr>
        <w:top w:val="none" w:sz="0" w:space="0" w:color="auto"/>
        <w:left w:val="none" w:sz="0" w:space="0" w:color="auto"/>
        <w:bottom w:val="none" w:sz="0" w:space="0" w:color="auto"/>
        <w:right w:val="none" w:sz="0" w:space="0" w:color="auto"/>
      </w:divBdr>
    </w:div>
    <w:div w:id="1816870025">
      <w:bodyDiv w:val="1"/>
      <w:marLeft w:val="0"/>
      <w:marRight w:val="0"/>
      <w:marTop w:val="0"/>
      <w:marBottom w:val="0"/>
      <w:divBdr>
        <w:top w:val="none" w:sz="0" w:space="0" w:color="auto"/>
        <w:left w:val="none" w:sz="0" w:space="0" w:color="auto"/>
        <w:bottom w:val="none" w:sz="0" w:space="0" w:color="auto"/>
        <w:right w:val="none" w:sz="0" w:space="0" w:color="auto"/>
      </w:divBdr>
      <w:divsChild>
        <w:div w:id="1266615934">
          <w:marLeft w:val="547"/>
          <w:marRight w:val="0"/>
          <w:marTop w:val="154"/>
          <w:marBottom w:val="0"/>
          <w:divBdr>
            <w:top w:val="none" w:sz="0" w:space="0" w:color="auto"/>
            <w:left w:val="none" w:sz="0" w:space="0" w:color="auto"/>
            <w:bottom w:val="none" w:sz="0" w:space="0" w:color="auto"/>
            <w:right w:val="none" w:sz="0" w:space="0" w:color="auto"/>
          </w:divBdr>
        </w:div>
        <w:div w:id="2024699423">
          <w:marLeft w:val="1166"/>
          <w:marRight w:val="0"/>
          <w:marTop w:val="134"/>
          <w:marBottom w:val="0"/>
          <w:divBdr>
            <w:top w:val="none" w:sz="0" w:space="0" w:color="auto"/>
            <w:left w:val="none" w:sz="0" w:space="0" w:color="auto"/>
            <w:bottom w:val="none" w:sz="0" w:space="0" w:color="auto"/>
            <w:right w:val="none" w:sz="0" w:space="0" w:color="auto"/>
          </w:divBdr>
        </w:div>
        <w:div w:id="2052144280">
          <w:marLeft w:val="547"/>
          <w:marRight w:val="0"/>
          <w:marTop w:val="154"/>
          <w:marBottom w:val="0"/>
          <w:divBdr>
            <w:top w:val="none" w:sz="0" w:space="0" w:color="auto"/>
            <w:left w:val="none" w:sz="0" w:space="0" w:color="auto"/>
            <w:bottom w:val="none" w:sz="0" w:space="0" w:color="auto"/>
            <w:right w:val="none" w:sz="0" w:space="0" w:color="auto"/>
          </w:divBdr>
        </w:div>
        <w:div w:id="273364604">
          <w:marLeft w:val="1166"/>
          <w:marRight w:val="0"/>
          <w:marTop w:val="134"/>
          <w:marBottom w:val="0"/>
          <w:divBdr>
            <w:top w:val="none" w:sz="0" w:space="0" w:color="auto"/>
            <w:left w:val="none" w:sz="0" w:space="0" w:color="auto"/>
            <w:bottom w:val="none" w:sz="0" w:space="0" w:color="auto"/>
            <w:right w:val="none" w:sz="0" w:space="0" w:color="auto"/>
          </w:divBdr>
        </w:div>
        <w:div w:id="644429607">
          <w:marLeft w:val="1166"/>
          <w:marRight w:val="0"/>
          <w:marTop w:val="134"/>
          <w:marBottom w:val="0"/>
          <w:divBdr>
            <w:top w:val="none" w:sz="0" w:space="0" w:color="auto"/>
            <w:left w:val="none" w:sz="0" w:space="0" w:color="auto"/>
            <w:bottom w:val="none" w:sz="0" w:space="0" w:color="auto"/>
            <w:right w:val="none" w:sz="0" w:space="0" w:color="auto"/>
          </w:divBdr>
        </w:div>
      </w:divsChild>
    </w:div>
    <w:div w:id="211165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4E925-E368-4A15-B11A-EAA0DE1EB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10463</Words>
  <Characters>58536</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2019-03-18T00:36:00Z</dcterms:created>
  <dcterms:modified xsi:type="dcterms:W3CDTF">2019-03-18T00:37:00Z</dcterms:modified>
</cp:coreProperties>
</file>