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F2A" w:rsidRPr="003E7E2B" w:rsidRDefault="005C38AD" w:rsidP="007329FC">
      <w:pPr>
        <w:pStyle w:val="Title"/>
        <w:spacing w:before="120" w:after="240"/>
        <w:ind w:left="720" w:hanging="720"/>
        <w:contextualSpacing w:val="0"/>
        <w:rPr>
          <w:rFonts w:asciiTheme="minorHAnsi" w:hAnsiTheme="minorHAnsi"/>
          <w:sz w:val="36"/>
          <w:szCs w:val="36"/>
        </w:rPr>
      </w:pPr>
      <w:bookmarkStart w:id="0" w:name="_GoBack"/>
      <w:bookmarkEnd w:id="0"/>
      <w:r w:rsidRPr="003E7E2B">
        <w:rPr>
          <w:rFonts w:asciiTheme="minorHAnsi" w:hAnsiTheme="minorHAnsi"/>
          <w:sz w:val="36"/>
          <w:szCs w:val="36"/>
        </w:rPr>
        <w:t>7</w:t>
      </w:r>
      <w:r w:rsidR="006D6493" w:rsidRPr="003E7E2B">
        <w:rPr>
          <w:rFonts w:asciiTheme="minorHAnsi" w:hAnsiTheme="minorHAnsi"/>
          <w:sz w:val="36"/>
          <w:szCs w:val="36"/>
        </w:rPr>
        <w:t>.</w:t>
      </w:r>
      <w:r w:rsidRPr="003E7E2B">
        <w:rPr>
          <w:rFonts w:asciiTheme="minorHAnsi" w:hAnsiTheme="minorHAnsi"/>
          <w:sz w:val="36"/>
          <w:szCs w:val="36"/>
        </w:rPr>
        <w:t>09</w:t>
      </w:r>
      <w:r w:rsidR="006D6493" w:rsidRPr="003E7E2B">
        <w:rPr>
          <w:rFonts w:asciiTheme="minorHAnsi" w:hAnsiTheme="minorHAnsi"/>
          <w:sz w:val="36"/>
          <w:szCs w:val="36"/>
        </w:rPr>
        <w:tab/>
      </w:r>
      <w:r w:rsidR="00A35F2A" w:rsidRPr="003E7E2B">
        <w:rPr>
          <w:rFonts w:asciiTheme="minorHAnsi" w:hAnsiTheme="minorHAnsi"/>
          <w:sz w:val="36"/>
          <w:szCs w:val="36"/>
        </w:rPr>
        <w:t>NIVOLUMAB (OPDIVO®) plus IPILIMUMAB (YERVOY®)</w:t>
      </w:r>
    </w:p>
    <w:p w:rsidR="007329FC" w:rsidRDefault="00845EDE" w:rsidP="006B186F">
      <w:pPr>
        <w:pStyle w:val="Title"/>
        <w:spacing w:before="120" w:after="160"/>
        <w:ind w:left="720"/>
        <w:outlineLvl w:val="9"/>
        <w:rPr>
          <w:rFonts w:asciiTheme="minorHAnsi" w:hAnsiTheme="minorHAnsi"/>
          <w:sz w:val="36"/>
          <w:szCs w:val="36"/>
        </w:rPr>
      </w:pPr>
      <w:r>
        <w:rPr>
          <w:rFonts w:asciiTheme="minorHAnsi" w:hAnsiTheme="minorHAnsi"/>
          <w:sz w:val="36"/>
          <w:szCs w:val="36"/>
        </w:rPr>
        <w:t>NIVOLUMAB</w:t>
      </w:r>
    </w:p>
    <w:p w:rsidR="007329FC" w:rsidRPr="007329FC" w:rsidRDefault="007329FC" w:rsidP="006B186F">
      <w:pPr>
        <w:pStyle w:val="Title"/>
        <w:spacing w:before="120" w:after="160"/>
        <w:ind w:left="720"/>
        <w:outlineLvl w:val="9"/>
        <w:rPr>
          <w:rFonts w:asciiTheme="minorHAnsi" w:hAnsiTheme="minorHAnsi"/>
          <w:sz w:val="36"/>
          <w:szCs w:val="36"/>
        </w:rPr>
      </w:pPr>
      <w:r w:rsidRPr="007329FC">
        <w:rPr>
          <w:rFonts w:asciiTheme="minorHAnsi" w:hAnsiTheme="minorHAnsi"/>
          <w:sz w:val="36"/>
          <w:szCs w:val="36"/>
        </w:rPr>
        <w:t>C</w:t>
      </w:r>
      <w:r w:rsidR="00A35F2A" w:rsidRPr="007329FC">
        <w:rPr>
          <w:rFonts w:asciiTheme="minorHAnsi" w:hAnsiTheme="minorHAnsi"/>
          <w:sz w:val="36"/>
          <w:szCs w:val="36"/>
        </w:rPr>
        <w:t>oncentrate solution for intravenous infusion, 40 mg/4 mL, 1 x 4 mL vial, concentrate solution for intravenous infusio</w:t>
      </w:r>
      <w:r w:rsidRPr="007329FC">
        <w:rPr>
          <w:rFonts w:asciiTheme="minorHAnsi" w:hAnsiTheme="minorHAnsi"/>
          <w:sz w:val="36"/>
          <w:szCs w:val="36"/>
        </w:rPr>
        <w:t>n, 100 mg/10 mL, 1 x 10 mL vial</w:t>
      </w:r>
    </w:p>
    <w:p w:rsidR="00A35F2A" w:rsidRPr="007329FC" w:rsidRDefault="007329FC" w:rsidP="007329FC">
      <w:pPr>
        <w:pStyle w:val="Title"/>
        <w:spacing w:before="120" w:after="240"/>
        <w:ind w:left="720"/>
        <w:contextualSpacing w:val="0"/>
        <w:outlineLvl w:val="9"/>
        <w:rPr>
          <w:rFonts w:asciiTheme="minorHAnsi" w:hAnsiTheme="minorHAnsi"/>
          <w:sz w:val="36"/>
          <w:szCs w:val="36"/>
        </w:rPr>
      </w:pPr>
      <w:proofErr w:type="spellStart"/>
      <w:r w:rsidRPr="007329FC">
        <w:rPr>
          <w:rFonts w:asciiTheme="minorHAnsi" w:hAnsiTheme="minorHAnsi"/>
          <w:sz w:val="36"/>
          <w:szCs w:val="36"/>
        </w:rPr>
        <w:t>Opdivo</w:t>
      </w:r>
      <w:proofErr w:type="spellEnd"/>
      <w:r>
        <w:rPr>
          <w:rFonts w:asciiTheme="minorHAnsi" w:hAnsiTheme="minorHAnsi"/>
          <w:sz w:val="36"/>
          <w:szCs w:val="36"/>
        </w:rPr>
        <w:t>®</w:t>
      </w:r>
      <w:r w:rsidRPr="007329FC">
        <w:rPr>
          <w:rFonts w:asciiTheme="minorHAnsi" w:hAnsiTheme="minorHAnsi"/>
          <w:sz w:val="36"/>
          <w:szCs w:val="36"/>
        </w:rPr>
        <w:t xml:space="preserve">; </w:t>
      </w:r>
      <w:r w:rsidR="00A35F2A" w:rsidRPr="007329FC">
        <w:rPr>
          <w:rFonts w:asciiTheme="minorHAnsi" w:hAnsiTheme="minorHAnsi"/>
          <w:sz w:val="36"/>
          <w:szCs w:val="36"/>
        </w:rPr>
        <w:t>plus</w:t>
      </w:r>
    </w:p>
    <w:p w:rsidR="007329FC" w:rsidRDefault="006B186F" w:rsidP="007329FC">
      <w:pPr>
        <w:pStyle w:val="Title"/>
        <w:tabs>
          <w:tab w:val="left" w:pos="904"/>
        </w:tabs>
        <w:spacing w:before="120" w:after="160"/>
        <w:ind w:left="720" w:hanging="720"/>
        <w:outlineLvl w:val="9"/>
        <w:rPr>
          <w:rFonts w:asciiTheme="minorHAnsi" w:hAnsiTheme="minorHAnsi"/>
          <w:sz w:val="36"/>
          <w:szCs w:val="36"/>
        </w:rPr>
      </w:pPr>
      <w:r w:rsidRPr="003E7E2B">
        <w:rPr>
          <w:rFonts w:asciiTheme="minorHAnsi" w:hAnsiTheme="minorHAnsi"/>
          <w:sz w:val="36"/>
          <w:szCs w:val="36"/>
        </w:rPr>
        <w:tab/>
      </w:r>
      <w:r w:rsidR="00845EDE">
        <w:rPr>
          <w:rFonts w:asciiTheme="minorHAnsi" w:hAnsiTheme="minorHAnsi"/>
          <w:sz w:val="36"/>
          <w:szCs w:val="36"/>
        </w:rPr>
        <w:t>IPILIMUMAB</w:t>
      </w:r>
    </w:p>
    <w:p w:rsidR="007329FC" w:rsidRDefault="007329FC" w:rsidP="006B186F">
      <w:pPr>
        <w:pStyle w:val="Title"/>
        <w:spacing w:before="120" w:after="160"/>
        <w:ind w:left="720" w:hanging="11"/>
        <w:outlineLvl w:val="9"/>
        <w:rPr>
          <w:rFonts w:asciiTheme="minorHAnsi" w:hAnsiTheme="minorHAnsi"/>
          <w:sz w:val="36"/>
          <w:szCs w:val="36"/>
        </w:rPr>
      </w:pPr>
      <w:r>
        <w:rPr>
          <w:rFonts w:asciiTheme="minorHAnsi" w:hAnsiTheme="minorHAnsi"/>
          <w:sz w:val="36"/>
          <w:szCs w:val="36"/>
        </w:rPr>
        <w:t>C</w:t>
      </w:r>
      <w:r w:rsidR="00A35F2A" w:rsidRPr="003E7E2B">
        <w:rPr>
          <w:rFonts w:asciiTheme="minorHAnsi" w:hAnsiTheme="minorHAnsi"/>
          <w:sz w:val="36"/>
          <w:szCs w:val="36"/>
        </w:rPr>
        <w:t>oncentrate solution for intravenous i</w:t>
      </w:r>
      <w:r w:rsidR="00845EDE">
        <w:rPr>
          <w:rFonts w:asciiTheme="minorHAnsi" w:hAnsiTheme="minorHAnsi"/>
          <w:sz w:val="36"/>
          <w:szCs w:val="36"/>
        </w:rPr>
        <w:t>nfusion 50 mg/10 mL, 1 x 10 mL,</w:t>
      </w:r>
    </w:p>
    <w:p w:rsidR="007329FC" w:rsidRDefault="007329FC" w:rsidP="007329FC">
      <w:pPr>
        <w:pStyle w:val="Title"/>
        <w:spacing w:before="120" w:after="160"/>
        <w:ind w:left="720" w:hanging="11"/>
        <w:outlineLvl w:val="9"/>
        <w:rPr>
          <w:rFonts w:asciiTheme="minorHAnsi" w:hAnsiTheme="minorHAnsi"/>
          <w:sz w:val="36"/>
          <w:szCs w:val="36"/>
        </w:rPr>
      </w:pPr>
      <w:proofErr w:type="spellStart"/>
      <w:r>
        <w:rPr>
          <w:rFonts w:asciiTheme="minorHAnsi" w:hAnsiTheme="minorHAnsi"/>
          <w:sz w:val="36"/>
          <w:szCs w:val="36"/>
        </w:rPr>
        <w:t>Yervoy</w:t>
      </w:r>
      <w:proofErr w:type="spellEnd"/>
      <w:r>
        <w:rPr>
          <w:rFonts w:asciiTheme="minorHAnsi" w:hAnsiTheme="minorHAnsi"/>
          <w:sz w:val="36"/>
          <w:szCs w:val="36"/>
        </w:rPr>
        <w:t>®,</w:t>
      </w:r>
    </w:p>
    <w:p w:rsidR="006D6493" w:rsidRPr="003E7E2B" w:rsidRDefault="00A35F2A" w:rsidP="006B186F">
      <w:pPr>
        <w:pStyle w:val="Title"/>
        <w:spacing w:before="120" w:after="160"/>
        <w:ind w:left="720" w:hanging="11"/>
        <w:outlineLvl w:val="9"/>
        <w:rPr>
          <w:rFonts w:asciiTheme="minorHAnsi" w:hAnsiTheme="minorHAnsi"/>
          <w:sz w:val="36"/>
          <w:szCs w:val="36"/>
        </w:rPr>
      </w:pPr>
      <w:r w:rsidRPr="003E7E2B">
        <w:rPr>
          <w:rFonts w:asciiTheme="minorHAnsi" w:hAnsiTheme="minorHAnsi"/>
          <w:sz w:val="36"/>
          <w:szCs w:val="36"/>
        </w:rPr>
        <w:t>Bristol-Myers Squibb</w:t>
      </w:r>
    </w:p>
    <w:p w:rsidR="008A50F1" w:rsidRPr="003E7E2B" w:rsidRDefault="00CE10C4" w:rsidP="00FC41BC">
      <w:pPr>
        <w:pStyle w:val="Heading1"/>
      </w:pPr>
      <w:r w:rsidRPr="003E7E2B">
        <w:t xml:space="preserve">Purpose of </w:t>
      </w:r>
      <w:r w:rsidR="0004240E" w:rsidRPr="003E7E2B">
        <w:t>Application</w:t>
      </w:r>
    </w:p>
    <w:p w:rsidR="00A35F2A" w:rsidRPr="003E7E2B" w:rsidRDefault="00EF44A0" w:rsidP="00A35F2A">
      <w:pPr>
        <w:pStyle w:val="ListParagraph"/>
        <w:numPr>
          <w:ilvl w:val="1"/>
          <w:numId w:val="5"/>
        </w:numPr>
        <w:spacing w:after="120"/>
        <w:contextualSpacing w:val="0"/>
        <w:rPr>
          <w:rFonts w:asciiTheme="minorHAnsi" w:eastAsiaTheme="minorHAnsi" w:hAnsiTheme="minorHAnsi" w:cstheme="minorHAnsi"/>
          <w:snapToGrid/>
          <w:sz w:val="24"/>
          <w:szCs w:val="24"/>
        </w:rPr>
      </w:pPr>
      <w:r w:rsidRPr="003E7E2B">
        <w:rPr>
          <w:rFonts w:asciiTheme="minorHAnsi" w:eastAsiaTheme="minorHAnsi" w:hAnsiTheme="minorHAnsi" w:cstheme="minorHAnsi"/>
          <w:snapToGrid/>
          <w:sz w:val="24"/>
          <w:szCs w:val="24"/>
        </w:rPr>
        <w:t>The mi</w:t>
      </w:r>
      <w:r w:rsidR="00FF2801" w:rsidRPr="003E7E2B">
        <w:rPr>
          <w:rFonts w:asciiTheme="minorHAnsi" w:eastAsiaTheme="minorHAnsi" w:hAnsiTheme="minorHAnsi" w:cstheme="minorHAnsi"/>
          <w:snapToGrid/>
          <w:sz w:val="24"/>
          <w:szCs w:val="24"/>
        </w:rPr>
        <w:t xml:space="preserve">nor </w:t>
      </w:r>
      <w:r w:rsidR="00A35F2A" w:rsidRPr="003E7E2B">
        <w:rPr>
          <w:rFonts w:asciiTheme="minorHAnsi" w:eastAsiaTheme="minorHAnsi" w:hAnsiTheme="minorHAnsi" w:cstheme="minorHAnsi"/>
          <w:snapToGrid/>
          <w:sz w:val="24"/>
          <w:szCs w:val="24"/>
        </w:rPr>
        <w:t>re</w:t>
      </w:r>
      <w:r w:rsidR="00FF2801" w:rsidRPr="003E7E2B">
        <w:rPr>
          <w:rFonts w:asciiTheme="minorHAnsi" w:eastAsiaTheme="minorHAnsi" w:hAnsiTheme="minorHAnsi" w:cstheme="minorHAnsi"/>
          <w:snapToGrid/>
          <w:sz w:val="24"/>
          <w:szCs w:val="24"/>
        </w:rPr>
        <w:t xml:space="preserve">submission </w:t>
      </w:r>
      <w:r w:rsidR="00A35F2A" w:rsidRPr="003E7E2B">
        <w:rPr>
          <w:rFonts w:asciiTheme="minorHAnsi" w:eastAsiaTheme="minorHAnsi" w:hAnsiTheme="minorHAnsi" w:cstheme="minorHAnsi"/>
          <w:snapToGrid/>
          <w:sz w:val="24"/>
          <w:szCs w:val="24"/>
        </w:rPr>
        <w:t>requested Section 100 (Efficient Funding of Chemotherapy) listing for nivolumab in combination with ipilimumab (NIVO+IPI) as the first line treatment of Stage IV clear cell variant renal cell carcinoma (RCC) in patients meeting the International Metastatic Renal Cell Carcinoma Database Consortium (IMDC) intermediate to poor risk group criteria.</w:t>
      </w:r>
    </w:p>
    <w:p w:rsidR="00A35F2A" w:rsidRPr="003E7E2B" w:rsidRDefault="008116C0" w:rsidP="00A35F2A">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3E7E2B">
        <w:rPr>
          <w:rFonts w:asciiTheme="minorHAnsi" w:hAnsiTheme="minorHAnsi" w:cstheme="minorHAnsi"/>
          <w:sz w:val="24"/>
          <w:szCs w:val="24"/>
        </w:rPr>
        <w:t xml:space="preserve">NIVO+IPI </w:t>
      </w:r>
      <w:proofErr w:type="gramStart"/>
      <w:r w:rsidRPr="003E7E2B">
        <w:rPr>
          <w:rFonts w:asciiTheme="minorHAnsi" w:hAnsiTheme="minorHAnsi" w:cstheme="minorHAnsi"/>
          <w:sz w:val="24"/>
          <w:szCs w:val="24"/>
        </w:rPr>
        <w:t>was</w:t>
      </w:r>
      <w:proofErr w:type="gramEnd"/>
      <w:r w:rsidRPr="003E7E2B">
        <w:rPr>
          <w:rFonts w:asciiTheme="minorHAnsi" w:hAnsiTheme="minorHAnsi" w:cstheme="minorHAnsi"/>
          <w:sz w:val="24"/>
          <w:szCs w:val="24"/>
        </w:rPr>
        <w:t xml:space="preserve"> rejected </w:t>
      </w:r>
      <w:r w:rsidR="00C91427" w:rsidRPr="003E7E2B">
        <w:rPr>
          <w:rFonts w:asciiTheme="minorHAnsi" w:hAnsiTheme="minorHAnsi" w:cstheme="minorHAnsi"/>
          <w:sz w:val="24"/>
          <w:szCs w:val="24"/>
        </w:rPr>
        <w:t xml:space="preserve">by the PBAC </w:t>
      </w:r>
      <w:r w:rsidRPr="003E7E2B">
        <w:rPr>
          <w:rFonts w:asciiTheme="minorHAnsi" w:hAnsiTheme="minorHAnsi" w:cstheme="minorHAnsi"/>
          <w:sz w:val="24"/>
          <w:szCs w:val="24"/>
        </w:rPr>
        <w:t xml:space="preserve">for this indication </w:t>
      </w:r>
      <w:r w:rsidR="00C91427" w:rsidRPr="003E7E2B">
        <w:rPr>
          <w:rFonts w:asciiTheme="minorHAnsi" w:hAnsiTheme="minorHAnsi" w:cstheme="minorHAnsi"/>
          <w:sz w:val="24"/>
          <w:szCs w:val="24"/>
        </w:rPr>
        <w:t>in July 2018.</w:t>
      </w:r>
      <w:r w:rsidRPr="003E7E2B">
        <w:rPr>
          <w:rFonts w:asciiTheme="minorHAnsi" w:hAnsiTheme="minorHAnsi" w:cstheme="minorHAnsi"/>
          <w:sz w:val="24"/>
          <w:szCs w:val="24"/>
        </w:rPr>
        <w:t xml:space="preserve"> </w:t>
      </w:r>
      <w:r w:rsidR="008518EE" w:rsidRPr="003E7E2B">
        <w:rPr>
          <w:rFonts w:asciiTheme="minorHAnsi" w:hAnsiTheme="minorHAnsi" w:cstheme="minorHAnsi"/>
          <w:sz w:val="24"/>
          <w:szCs w:val="24"/>
        </w:rPr>
        <w:t xml:space="preserve">The minor resubmission attempted to address concerns raised </w:t>
      </w:r>
      <w:r w:rsidR="00C91427" w:rsidRPr="003E7E2B">
        <w:rPr>
          <w:rFonts w:asciiTheme="minorHAnsi" w:eastAsiaTheme="minorHAnsi" w:hAnsiTheme="minorHAnsi" w:cstheme="minorHAnsi"/>
          <w:snapToGrid/>
          <w:sz w:val="24"/>
          <w:szCs w:val="24"/>
        </w:rPr>
        <w:t>in that consideration</w:t>
      </w:r>
      <w:r w:rsidRPr="003E7E2B">
        <w:rPr>
          <w:rFonts w:asciiTheme="minorHAnsi" w:eastAsiaTheme="minorHAnsi" w:hAnsiTheme="minorHAnsi" w:cstheme="minorHAnsi"/>
          <w:snapToGrid/>
          <w:sz w:val="24"/>
          <w:szCs w:val="24"/>
        </w:rPr>
        <w:t>.</w:t>
      </w:r>
    </w:p>
    <w:p w:rsidR="00A35F2A" w:rsidRPr="003E7E2B" w:rsidRDefault="00A35F2A" w:rsidP="00A35F2A">
      <w:pPr>
        <w:pStyle w:val="ListParagraph"/>
        <w:numPr>
          <w:ilvl w:val="1"/>
          <w:numId w:val="5"/>
        </w:numPr>
        <w:spacing w:after="120"/>
        <w:contextualSpacing w:val="0"/>
        <w:rPr>
          <w:rFonts w:asciiTheme="minorHAnsi" w:eastAsiaTheme="minorHAnsi" w:hAnsiTheme="minorHAnsi" w:cstheme="minorHAnsi"/>
          <w:snapToGrid/>
          <w:sz w:val="24"/>
          <w:szCs w:val="24"/>
        </w:rPr>
      </w:pPr>
      <w:r w:rsidRPr="003E7E2B">
        <w:rPr>
          <w:rFonts w:asciiTheme="minorHAnsi" w:eastAsiaTheme="minorHAnsi" w:hAnsiTheme="minorHAnsi" w:cstheme="minorHAnsi"/>
          <w:snapToGrid/>
          <w:sz w:val="24"/>
          <w:szCs w:val="24"/>
        </w:rPr>
        <w:t xml:space="preserve">The </w:t>
      </w:r>
      <w:r w:rsidR="008116C0" w:rsidRPr="003E7E2B">
        <w:rPr>
          <w:rFonts w:asciiTheme="minorHAnsi" w:eastAsiaTheme="minorHAnsi" w:hAnsiTheme="minorHAnsi" w:cstheme="minorHAnsi"/>
          <w:snapToGrid/>
          <w:sz w:val="24"/>
          <w:szCs w:val="24"/>
        </w:rPr>
        <w:t xml:space="preserve">basis for the </w:t>
      </w:r>
      <w:r w:rsidRPr="003E7E2B">
        <w:rPr>
          <w:rFonts w:asciiTheme="minorHAnsi" w:eastAsiaTheme="minorHAnsi" w:hAnsiTheme="minorHAnsi" w:cstheme="minorHAnsi"/>
          <w:snapToGrid/>
          <w:sz w:val="24"/>
          <w:szCs w:val="24"/>
        </w:rPr>
        <w:t xml:space="preserve">requested listing was </w:t>
      </w:r>
      <w:r w:rsidR="008116C0" w:rsidRPr="003E7E2B">
        <w:rPr>
          <w:rFonts w:asciiTheme="minorHAnsi" w:eastAsiaTheme="minorHAnsi" w:hAnsiTheme="minorHAnsi" w:cstheme="minorHAnsi"/>
          <w:snapToGrid/>
          <w:sz w:val="24"/>
          <w:szCs w:val="24"/>
        </w:rPr>
        <w:t xml:space="preserve">unchanged from the previous submission and was </w:t>
      </w:r>
      <w:r w:rsidRPr="003E7E2B">
        <w:rPr>
          <w:rFonts w:asciiTheme="minorHAnsi" w:eastAsiaTheme="minorHAnsi" w:hAnsiTheme="minorHAnsi" w:cstheme="minorHAnsi"/>
          <w:snapToGrid/>
          <w:sz w:val="24"/>
          <w:szCs w:val="24"/>
        </w:rPr>
        <w:t>a cost-utility analysis of NI</w:t>
      </w:r>
      <w:r w:rsidR="00845EDE">
        <w:rPr>
          <w:rFonts w:asciiTheme="minorHAnsi" w:eastAsiaTheme="minorHAnsi" w:hAnsiTheme="minorHAnsi" w:cstheme="minorHAnsi"/>
          <w:snapToGrid/>
          <w:sz w:val="24"/>
          <w:szCs w:val="24"/>
        </w:rPr>
        <w:t>VO+IPI compared with sunitinib.</w:t>
      </w:r>
    </w:p>
    <w:p w:rsidR="006A12A5" w:rsidRPr="003E7E2B" w:rsidRDefault="006A12A5" w:rsidP="00FC41BC">
      <w:pPr>
        <w:pStyle w:val="Heading1"/>
      </w:pPr>
      <w:r w:rsidRPr="003E7E2B">
        <w:t>Requested listing</w:t>
      </w:r>
    </w:p>
    <w:p w:rsidR="00A53899" w:rsidRPr="003E7E2B" w:rsidRDefault="00A53899"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3E7E2B">
        <w:rPr>
          <w:rFonts w:asciiTheme="minorHAnsi" w:eastAsiaTheme="minorHAnsi" w:hAnsiTheme="minorHAnsi" w:cstheme="minorBidi"/>
          <w:snapToGrid/>
          <w:sz w:val="24"/>
          <w:szCs w:val="22"/>
        </w:rPr>
        <w:t>Compared with the previous submission, the only change to the requested restriction was that a grandfathering restriction was proposed.</w:t>
      </w:r>
    </w:p>
    <w:p w:rsidR="00A53899" w:rsidRPr="003E7E2B" w:rsidRDefault="00DC0008" w:rsidP="002D4543">
      <w:pPr>
        <w:pStyle w:val="ListParagraph"/>
        <w:widowControl/>
        <w:numPr>
          <w:ilvl w:val="1"/>
          <w:numId w:val="14"/>
        </w:numPr>
        <w:spacing w:after="120"/>
        <w:contextualSpacing w:val="0"/>
        <w:rPr>
          <w:szCs w:val="22"/>
        </w:rPr>
      </w:pPr>
      <w:r w:rsidRPr="003E7E2B">
        <w:rPr>
          <w:rFonts w:asciiTheme="minorHAnsi" w:eastAsiaTheme="minorHAnsi" w:hAnsiTheme="minorHAnsi" w:cstheme="minorBidi"/>
          <w:snapToGrid/>
          <w:sz w:val="24"/>
          <w:szCs w:val="22"/>
        </w:rPr>
        <w:t>The requested restriction is outlined below with the PBAC’s additions in italics and deletions in strikethrough.</w:t>
      </w:r>
    </w:p>
    <w:p w:rsidR="009B3CD1" w:rsidRDefault="009B3CD1">
      <w:pPr>
        <w:rPr>
          <w:rFonts w:asciiTheme="minorHAnsi" w:hAnsiTheme="minorHAnsi" w:cs="Arial"/>
          <w:b/>
        </w:rPr>
      </w:pPr>
      <w:r>
        <w:rPr>
          <w:rFonts w:asciiTheme="minorHAnsi" w:hAnsiTheme="minorHAnsi" w:cs="Arial"/>
          <w:b/>
        </w:rPr>
        <w:br w:type="page"/>
      </w:r>
    </w:p>
    <w:p w:rsidR="00DC0008" w:rsidRPr="003E7E2B" w:rsidRDefault="00DC0008" w:rsidP="00DC0008">
      <w:pPr>
        <w:spacing w:after="120"/>
        <w:ind w:left="142"/>
        <w:rPr>
          <w:rFonts w:asciiTheme="minorHAnsi" w:hAnsiTheme="minorHAnsi" w:cs="Arial"/>
          <w:b/>
        </w:rPr>
      </w:pPr>
      <w:r w:rsidRPr="003E7E2B">
        <w:rPr>
          <w:rFonts w:asciiTheme="minorHAnsi" w:hAnsiTheme="minorHAnsi" w:cs="Arial"/>
          <w:b/>
        </w:rPr>
        <w:lastRenderedPageBreak/>
        <w:t>Nivolumab induction</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3125"/>
        <w:gridCol w:w="1162"/>
        <w:gridCol w:w="924"/>
        <w:gridCol w:w="2268"/>
        <w:gridCol w:w="1701"/>
      </w:tblGrid>
      <w:tr w:rsidR="00DC0008" w:rsidRPr="003E7E2B" w:rsidTr="00497AD7">
        <w:trPr>
          <w:tblHeader/>
        </w:trPr>
        <w:tc>
          <w:tcPr>
            <w:tcW w:w="0" w:type="auto"/>
          </w:tcPr>
          <w:p w:rsidR="00DC0008" w:rsidRPr="003E7E2B" w:rsidRDefault="00DC0008" w:rsidP="00497AD7">
            <w:pPr>
              <w:keepNext/>
              <w:keepLines/>
              <w:widowControl w:val="0"/>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Name, restriction, manner of administration, form</w:t>
            </w:r>
          </w:p>
        </w:tc>
        <w:tc>
          <w:tcPr>
            <w:tcW w:w="0" w:type="auto"/>
          </w:tcPr>
          <w:p w:rsidR="00DC0008" w:rsidRPr="003E7E2B" w:rsidRDefault="00DC0008" w:rsidP="00497AD7">
            <w:pPr>
              <w:keepNext/>
              <w:keepLines/>
              <w:widowControl w:val="0"/>
              <w:jc w:val="center"/>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 xml:space="preserve">Maximum </w:t>
            </w:r>
            <w:proofErr w:type="spellStart"/>
            <w:r w:rsidRPr="003E7E2B">
              <w:rPr>
                <w:rFonts w:ascii="Arial Narrow" w:hAnsi="Arial Narrow" w:cs="Arial"/>
                <w:b/>
                <w:snapToGrid w:val="0"/>
                <w:sz w:val="20"/>
                <w:szCs w:val="20"/>
                <w:lang w:eastAsia="en-US"/>
              </w:rPr>
              <w:t>qty</w:t>
            </w:r>
            <w:proofErr w:type="spellEnd"/>
          </w:p>
        </w:tc>
        <w:tc>
          <w:tcPr>
            <w:tcW w:w="924" w:type="dxa"/>
          </w:tcPr>
          <w:p w:rsidR="00DC0008" w:rsidRPr="003E7E2B" w:rsidRDefault="00DC0008" w:rsidP="00497AD7">
            <w:pPr>
              <w:keepNext/>
              <w:keepLines/>
              <w:widowControl w:val="0"/>
              <w:jc w:val="center"/>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No. of repeats</w:t>
            </w:r>
          </w:p>
        </w:tc>
        <w:tc>
          <w:tcPr>
            <w:tcW w:w="2268" w:type="dxa"/>
          </w:tcPr>
          <w:p w:rsidR="00DC0008" w:rsidRPr="003E7E2B" w:rsidRDefault="00DC0008" w:rsidP="00497AD7">
            <w:pPr>
              <w:keepNext/>
              <w:keepLines/>
              <w:widowControl w:val="0"/>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Dispensed price for maximum amount</w:t>
            </w:r>
          </w:p>
        </w:tc>
        <w:tc>
          <w:tcPr>
            <w:tcW w:w="1701" w:type="dxa"/>
          </w:tcPr>
          <w:p w:rsidR="00DC0008" w:rsidRPr="003E7E2B" w:rsidRDefault="00DC0008" w:rsidP="00497AD7">
            <w:pPr>
              <w:keepNext/>
              <w:keepLines/>
              <w:widowControl w:val="0"/>
              <w:jc w:val="both"/>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Proprietary name and manufacturer</w:t>
            </w:r>
          </w:p>
        </w:tc>
      </w:tr>
      <w:tr w:rsidR="00DC0008" w:rsidRPr="003E7E2B" w:rsidTr="00497AD7">
        <w:trPr>
          <w:tblHeader/>
        </w:trPr>
        <w:tc>
          <w:tcPr>
            <w:tcW w:w="0" w:type="auto"/>
          </w:tcPr>
          <w:p w:rsidR="00DC0008" w:rsidRPr="003E7E2B" w:rsidRDefault="00DC0008" w:rsidP="00497AD7">
            <w:pPr>
              <w:keepNext/>
              <w:keepLines/>
              <w:widowControl w:val="0"/>
              <w:rPr>
                <w:rFonts w:ascii="Arial Narrow" w:hAnsi="Arial Narrow" w:cs="Arial"/>
                <w:snapToGrid w:val="0"/>
                <w:sz w:val="20"/>
                <w:szCs w:val="20"/>
                <w:lang w:eastAsia="en-US"/>
              </w:rPr>
            </w:pPr>
            <w:r w:rsidRPr="003E7E2B">
              <w:rPr>
                <w:rFonts w:ascii="Arial Narrow" w:hAnsi="Arial Narrow" w:cs="Arial"/>
                <w:snapToGrid w:val="0"/>
                <w:sz w:val="20"/>
                <w:szCs w:val="20"/>
                <w:lang w:eastAsia="en-US"/>
              </w:rPr>
              <w:t>Induction phase</w:t>
            </w:r>
          </w:p>
        </w:tc>
        <w:tc>
          <w:tcPr>
            <w:tcW w:w="0" w:type="auto"/>
          </w:tcPr>
          <w:p w:rsidR="00DC0008" w:rsidRPr="003E7E2B" w:rsidRDefault="00DC0008" w:rsidP="00497AD7">
            <w:pPr>
              <w:keepNext/>
              <w:keepLines/>
              <w:widowControl w:val="0"/>
              <w:jc w:val="center"/>
              <w:rPr>
                <w:rFonts w:ascii="Arial Narrow" w:hAnsi="Arial Narrow" w:cs="Arial"/>
                <w:b/>
                <w:snapToGrid w:val="0"/>
                <w:sz w:val="20"/>
                <w:szCs w:val="20"/>
                <w:lang w:eastAsia="en-US"/>
              </w:rPr>
            </w:pPr>
          </w:p>
        </w:tc>
        <w:tc>
          <w:tcPr>
            <w:tcW w:w="924" w:type="dxa"/>
          </w:tcPr>
          <w:p w:rsidR="00DC0008" w:rsidRPr="003E7E2B" w:rsidRDefault="00DC0008" w:rsidP="00497AD7">
            <w:pPr>
              <w:keepNext/>
              <w:keepLines/>
              <w:widowControl w:val="0"/>
              <w:jc w:val="center"/>
              <w:rPr>
                <w:rFonts w:ascii="Arial Narrow" w:hAnsi="Arial Narrow" w:cs="Arial"/>
                <w:b/>
                <w:snapToGrid w:val="0"/>
                <w:sz w:val="20"/>
                <w:szCs w:val="20"/>
                <w:lang w:eastAsia="en-US"/>
              </w:rPr>
            </w:pPr>
          </w:p>
        </w:tc>
        <w:tc>
          <w:tcPr>
            <w:tcW w:w="2268" w:type="dxa"/>
          </w:tcPr>
          <w:p w:rsidR="00DC0008" w:rsidRPr="003E7E2B" w:rsidRDefault="00DC0008" w:rsidP="00497AD7">
            <w:pPr>
              <w:keepNext/>
              <w:keepLines/>
              <w:widowControl w:val="0"/>
              <w:rPr>
                <w:rFonts w:ascii="Arial Narrow" w:hAnsi="Arial Narrow" w:cs="Arial"/>
                <w:b/>
                <w:snapToGrid w:val="0"/>
                <w:sz w:val="20"/>
                <w:szCs w:val="20"/>
                <w:lang w:eastAsia="en-US"/>
              </w:rPr>
            </w:pPr>
          </w:p>
        </w:tc>
        <w:tc>
          <w:tcPr>
            <w:tcW w:w="1701" w:type="dxa"/>
          </w:tcPr>
          <w:p w:rsidR="00DC0008" w:rsidRPr="003E7E2B" w:rsidRDefault="00DC0008" w:rsidP="00497AD7">
            <w:pPr>
              <w:keepNext/>
              <w:keepLines/>
              <w:widowControl w:val="0"/>
              <w:jc w:val="both"/>
              <w:rPr>
                <w:rFonts w:ascii="Arial Narrow" w:hAnsi="Arial Narrow" w:cs="Arial"/>
                <w:b/>
                <w:snapToGrid w:val="0"/>
                <w:sz w:val="20"/>
                <w:szCs w:val="20"/>
                <w:lang w:eastAsia="en-US"/>
              </w:rPr>
            </w:pPr>
          </w:p>
        </w:tc>
      </w:tr>
      <w:tr w:rsidR="00DC0008" w:rsidRPr="003E7E2B" w:rsidTr="00497AD7">
        <w:tc>
          <w:tcPr>
            <w:tcW w:w="0" w:type="auto"/>
          </w:tcPr>
          <w:p w:rsidR="00DC0008" w:rsidRPr="00AF0145" w:rsidRDefault="00DC0008" w:rsidP="00497AD7">
            <w:pPr>
              <w:keepNext/>
              <w:keepLines/>
              <w:rPr>
                <w:rFonts w:ascii="Arial Narrow" w:hAnsi="Arial Narrow"/>
                <w:sz w:val="20"/>
                <w:szCs w:val="22"/>
                <w:lang w:eastAsia="en-US"/>
              </w:rPr>
            </w:pPr>
            <w:r w:rsidRPr="00AF0145">
              <w:rPr>
                <w:rFonts w:ascii="Arial Narrow" w:hAnsi="Arial Narrow"/>
                <w:sz w:val="20"/>
                <w:szCs w:val="22"/>
                <w:lang w:eastAsia="en-US"/>
              </w:rPr>
              <w:t>NIVOLUMAB</w:t>
            </w:r>
          </w:p>
          <w:p w:rsidR="00DC0008" w:rsidRPr="00AF0145" w:rsidRDefault="00DC0008" w:rsidP="00497AD7">
            <w:pPr>
              <w:keepNext/>
              <w:keepLines/>
              <w:rPr>
                <w:rFonts w:ascii="Arial Narrow" w:hAnsi="Arial Narrow"/>
                <w:sz w:val="20"/>
                <w:szCs w:val="22"/>
                <w:lang w:eastAsia="en-US"/>
              </w:rPr>
            </w:pPr>
            <w:r w:rsidRPr="00AF0145">
              <w:rPr>
                <w:rFonts w:ascii="Arial Narrow" w:hAnsi="Arial Narrow"/>
                <w:sz w:val="20"/>
                <w:szCs w:val="22"/>
                <w:lang w:eastAsia="en-US"/>
              </w:rPr>
              <w:t>Injection 40 mg/4 mL 1 x 4 mL vial</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bCs/>
                <w:sz w:val="20"/>
                <w:szCs w:val="22"/>
                <w:lang w:eastAsia="en-US"/>
              </w:rPr>
              <w:t>Injection 100 mg/10 mL 1 x 10 mL vial</w:t>
            </w:r>
          </w:p>
        </w:tc>
        <w:tc>
          <w:tcPr>
            <w:tcW w:w="0" w:type="auto"/>
          </w:tcPr>
          <w:p w:rsidR="00DC0008" w:rsidRPr="003C2660" w:rsidRDefault="00DC0008" w:rsidP="00497AD7">
            <w:pPr>
              <w:keepNext/>
              <w:keepLines/>
              <w:jc w:val="center"/>
              <w:rPr>
                <w:rFonts w:ascii="Arial Narrow" w:hAnsi="Arial Narrow"/>
                <w:sz w:val="20"/>
                <w:szCs w:val="22"/>
                <w:lang w:eastAsia="en-US"/>
              </w:rPr>
            </w:pPr>
            <w:r w:rsidRPr="003C2660">
              <w:rPr>
                <w:rFonts w:ascii="Arial Narrow" w:hAnsi="Arial Narrow"/>
                <w:sz w:val="20"/>
                <w:szCs w:val="22"/>
                <w:lang w:eastAsia="en-US"/>
              </w:rPr>
              <w:t>360 mg</w:t>
            </w:r>
          </w:p>
          <w:p w:rsidR="00DC0008" w:rsidRPr="003C2660" w:rsidRDefault="00DC0008" w:rsidP="00497AD7">
            <w:pPr>
              <w:keepNext/>
              <w:keepLines/>
              <w:jc w:val="center"/>
              <w:rPr>
                <w:rFonts w:ascii="Arial Narrow" w:hAnsi="Arial Narrow"/>
                <w:sz w:val="20"/>
                <w:szCs w:val="22"/>
                <w:lang w:eastAsia="en-US"/>
              </w:rPr>
            </w:pPr>
          </w:p>
        </w:tc>
        <w:tc>
          <w:tcPr>
            <w:tcW w:w="924" w:type="dxa"/>
          </w:tcPr>
          <w:p w:rsidR="00DC0008" w:rsidRPr="003E7E2B" w:rsidRDefault="00DC0008" w:rsidP="00497AD7">
            <w:pPr>
              <w:keepNext/>
              <w:keepLines/>
              <w:jc w:val="center"/>
              <w:rPr>
                <w:rFonts w:ascii="Arial Narrow" w:hAnsi="Arial Narrow"/>
                <w:sz w:val="20"/>
                <w:szCs w:val="22"/>
                <w:lang w:eastAsia="en-US"/>
              </w:rPr>
            </w:pPr>
            <w:r w:rsidRPr="003E7E2B">
              <w:rPr>
                <w:rFonts w:ascii="Arial Narrow" w:hAnsi="Arial Narrow"/>
                <w:sz w:val="20"/>
                <w:szCs w:val="22"/>
                <w:lang w:eastAsia="en-US"/>
              </w:rPr>
              <w:t>3</w:t>
            </w:r>
          </w:p>
          <w:p w:rsidR="00DC0008" w:rsidRPr="003E7E2B" w:rsidRDefault="00DC0008" w:rsidP="00497AD7">
            <w:pPr>
              <w:keepNext/>
              <w:keepLines/>
              <w:jc w:val="center"/>
              <w:rPr>
                <w:rFonts w:ascii="Arial Narrow" w:hAnsi="Arial Narrow"/>
                <w:sz w:val="20"/>
                <w:szCs w:val="22"/>
                <w:lang w:eastAsia="en-US"/>
              </w:rPr>
            </w:pPr>
          </w:p>
        </w:tc>
        <w:tc>
          <w:tcPr>
            <w:tcW w:w="2268" w:type="dxa"/>
          </w:tcPr>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$7,560.13 published price</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Effective prices:</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Public: $</w:t>
            </w:r>
            <w:r w:rsidR="00B76982">
              <w:rPr>
                <w:rFonts w:ascii="Arial Narrow" w:hAnsi="Arial Narrow"/>
                <w:noProof/>
                <w:color w:val="000000"/>
                <w:sz w:val="20"/>
                <w:szCs w:val="22"/>
                <w:highlight w:val="black"/>
                <w:lang w:eastAsia="en-US"/>
              </w:rPr>
              <w:t>'''''''''''''''''''</w:t>
            </w:r>
            <w:r w:rsidRPr="003E7E2B">
              <w:rPr>
                <w:rFonts w:ascii="Arial Narrow" w:hAnsi="Arial Narrow"/>
                <w:sz w:val="20"/>
                <w:szCs w:val="22"/>
                <w:lang w:eastAsia="en-US"/>
              </w:rPr>
              <w:t xml:space="preserve"> </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Private: $</w:t>
            </w:r>
            <w:r w:rsidR="00B76982">
              <w:rPr>
                <w:rFonts w:ascii="Arial Narrow" w:hAnsi="Arial Narrow"/>
                <w:noProof/>
                <w:color w:val="000000"/>
                <w:sz w:val="20"/>
                <w:szCs w:val="22"/>
                <w:highlight w:val="black"/>
                <w:lang w:eastAsia="en-US"/>
              </w:rPr>
              <w:t>''''''''''''''''''''''</w:t>
            </w:r>
          </w:p>
        </w:tc>
        <w:tc>
          <w:tcPr>
            <w:tcW w:w="1701" w:type="dxa"/>
          </w:tcPr>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OPDIVO Bristol-Myers Squibb Australia Pty Ltd</w:t>
            </w:r>
          </w:p>
        </w:tc>
      </w:tr>
    </w:tbl>
    <w:p w:rsidR="00DC0008" w:rsidRPr="003E7E2B" w:rsidRDefault="00DC0008" w:rsidP="00DC0008">
      <w:pPr>
        <w:rPr>
          <w:rFonts w:ascii="Arial Narrow" w:hAnsi="Arial Narrow"/>
          <w:b/>
          <w:sz w:val="20"/>
          <w:szCs w:val="16"/>
          <w:lang w:eastAsia="en-US"/>
        </w:rPr>
      </w:pPr>
    </w:p>
    <w:tbl>
      <w:tblPr>
        <w:tblW w:w="9072" w:type="dxa"/>
        <w:tblInd w:w="108" w:type="dxa"/>
        <w:tblLayout w:type="fixed"/>
        <w:tblLook w:val="0000" w:firstRow="0" w:lastRow="0" w:firstColumn="0" w:lastColumn="0" w:noHBand="0" w:noVBand="0"/>
      </w:tblPr>
      <w:tblGrid>
        <w:gridCol w:w="1843"/>
        <w:gridCol w:w="7229"/>
      </w:tblGrid>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Category/Program</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Section 100 - Efficient funding of Chemotherapy</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Prescriber type</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Medical Practitioners</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Severity:</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Stage IV</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Condition:</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Clear cell variant renal cell carcinoma (RCC)</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PBS Indication:</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Stage IV clear cell variant renal cell carcinoma (RCC)</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b/>
                <w:sz w:val="20"/>
                <w:szCs w:val="22"/>
                <w:lang w:eastAsia="en-US"/>
              </w:rPr>
              <w:t>Treatment phase:</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1F3475">
            <w:pPr>
              <w:rPr>
                <w:rFonts w:ascii="Arial Narrow" w:hAnsi="Arial Narrow"/>
                <w:sz w:val="20"/>
                <w:szCs w:val="22"/>
                <w:lang w:eastAsia="en-US"/>
              </w:rPr>
            </w:pPr>
            <w:r w:rsidRPr="003E7E2B">
              <w:rPr>
                <w:rFonts w:ascii="Arial Narrow" w:hAnsi="Arial Narrow"/>
                <w:sz w:val="20"/>
                <w:szCs w:val="22"/>
                <w:lang w:eastAsia="en-US"/>
              </w:rPr>
              <w:t xml:space="preserve">Induction (combination) </w:t>
            </w:r>
            <w:r w:rsidR="001F3475">
              <w:rPr>
                <w:rFonts w:ascii="Arial Narrow" w:hAnsi="Arial Narrow"/>
                <w:sz w:val="20"/>
                <w:szCs w:val="22"/>
                <w:lang w:eastAsia="en-US"/>
              </w:rPr>
              <w:t>treatment</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b/>
                <w:sz w:val="20"/>
                <w:szCs w:val="22"/>
                <w:lang w:eastAsia="en-US"/>
              </w:rPr>
              <w:t>Restriction:</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ED5AEF">
              <w:rPr>
                <w:rFonts w:ascii="Arial Narrow" w:hAnsi="Arial Narrow"/>
                <w:sz w:val="20"/>
                <w:szCs w:val="22"/>
                <w:lang w:eastAsia="en-US"/>
              </w:rPr>
              <w:fldChar w:fldCharType="begin">
                <w:ffData>
                  <w:name w:val="Check5"/>
                  <w:enabled/>
                  <w:calcOnExit w:val="0"/>
                  <w:checkBox>
                    <w:sizeAuto/>
                    <w:default w:val="1"/>
                  </w:checkBox>
                </w:ffData>
              </w:fldChar>
            </w:r>
            <w:r w:rsidRPr="003E7E2B">
              <w:rPr>
                <w:rFonts w:ascii="Arial Narrow" w:hAnsi="Arial Narrow"/>
                <w:sz w:val="20"/>
                <w:szCs w:val="22"/>
                <w:lang w:eastAsia="en-US"/>
              </w:rPr>
              <w:instrText xml:space="preserve"> FORMCHECKBOX </w:instrText>
            </w:r>
            <w:r w:rsidR="004473C8">
              <w:rPr>
                <w:rFonts w:ascii="Arial Narrow" w:hAnsi="Arial Narrow"/>
                <w:sz w:val="20"/>
                <w:szCs w:val="22"/>
                <w:lang w:eastAsia="en-US"/>
              </w:rPr>
            </w:r>
            <w:r w:rsidR="004473C8">
              <w:rPr>
                <w:rFonts w:ascii="Arial Narrow" w:hAnsi="Arial Narrow"/>
                <w:sz w:val="20"/>
                <w:szCs w:val="22"/>
                <w:lang w:eastAsia="en-US"/>
              </w:rPr>
              <w:fldChar w:fldCharType="separate"/>
            </w:r>
            <w:r w:rsidRPr="00ED5AEF">
              <w:rPr>
                <w:rFonts w:ascii="Arial Narrow" w:hAnsi="Arial Narrow"/>
                <w:sz w:val="20"/>
                <w:szCs w:val="22"/>
                <w:lang w:eastAsia="en-US"/>
              </w:rPr>
              <w:fldChar w:fldCharType="end"/>
            </w:r>
            <w:r w:rsidRPr="003E7E2B">
              <w:rPr>
                <w:rFonts w:ascii="Arial Narrow" w:hAnsi="Arial Narrow"/>
                <w:sz w:val="20"/>
                <w:szCs w:val="22"/>
                <w:lang w:eastAsia="en-US"/>
              </w:rPr>
              <w:t>Streamlined</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C81E5A" w:rsidP="00497AD7">
            <w:pPr>
              <w:rPr>
                <w:rFonts w:ascii="Arial Narrow" w:hAnsi="Arial Narrow"/>
                <w:b/>
                <w:sz w:val="20"/>
                <w:szCs w:val="22"/>
                <w:lang w:eastAsia="en-US"/>
              </w:rPr>
            </w:pPr>
            <w:r>
              <w:rPr>
                <w:rFonts w:ascii="Arial Narrow" w:hAnsi="Arial Narrow"/>
                <w:b/>
                <w:sz w:val="20"/>
                <w:szCs w:val="22"/>
                <w:lang w:eastAsia="en-US"/>
              </w:rPr>
              <w:t>Clinical</w:t>
            </w:r>
            <w:r w:rsidR="00DC0008" w:rsidRPr="003E7E2B">
              <w:rPr>
                <w:rFonts w:ascii="Arial Narrow" w:hAnsi="Arial Narrow"/>
                <w:b/>
                <w:sz w:val="20"/>
                <w:szCs w:val="22"/>
                <w:lang w:eastAsia="en-US"/>
              </w:rPr>
              <w:t xml:space="preserve"> criteria:</w:t>
            </w:r>
          </w:p>
          <w:p w:rsidR="00DC0008" w:rsidRPr="003E7E2B" w:rsidRDefault="00DC0008" w:rsidP="00497AD7">
            <w:pPr>
              <w:rPr>
                <w:rFonts w:ascii="Arial Narrow" w:hAnsi="Arial Narrow"/>
                <w:sz w:val="20"/>
                <w:szCs w:val="22"/>
                <w:lang w:eastAsia="en-US"/>
              </w:rPr>
            </w:pP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Patient must meet the International Metastatic Renal Cell Carcinoma Database Consortium (IMDC) intermediate to poor risk group criteria</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AND</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Patient must have a WHO performance status of 2 or less</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AND</w:t>
            </w:r>
          </w:p>
          <w:p w:rsidR="00DC0008" w:rsidRPr="003E7E2B" w:rsidRDefault="00DC0008" w:rsidP="00497AD7">
            <w:pPr>
              <w:rPr>
                <w:rFonts w:ascii="Arial Narrow" w:hAnsi="Arial Narrow"/>
                <w:strike/>
                <w:sz w:val="20"/>
                <w:szCs w:val="22"/>
                <w:lang w:eastAsia="en-US"/>
              </w:rPr>
            </w:pPr>
            <w:r w:rsidRPr="003E7E2B">
              <w:rPr>
                <w:rFonts w:ascii="Arial Narrow" w:hAnsi="Arial Narrow"/>
                <w:strike/>
                <w:sz w:val="20"/>
                <w:szCs w:val="22"/>
                <w:lang w:eastAsia="en-US"/>
              </w:rPr>
              <w:t>Patient must receive this PBS subsidised nivolumab and ipilimumab concomitantly as the first line of treatment for this condition</w:t>
            </w:r>
          </w:p>
          <w:p w:rsidR="00B763A5" w:rsidRDefault="00DC0008" w:rsidP="00497AD7">
            <w:pPr>
              <w:rPr>
                <w:rFonts w:ascii="Arial Narrow" w:hAnsi="Arial Narrow"/>
                <w:i/>
                <w:sz w:val="20"/>
                <w:szCs w:val="22"/>
                <w:lang w:eastAsia="en-US"/>
              </w:rPr>
            </w:pPr>
            <w:r w:rsidRPr="003E7E2B">
              <w:rPr>
                <w:rFonts w:ascii="Arial Narrow" w:hAnsi="Arial Narrow"/>
                <w:i/>
                <w:sz w:val="20"/>
                <w:szCs w:val="22"/>
                <w:lang w:eastAsia="en-US"/>
              </w:rPr>
              <w:t xml:space="preserve">The treatment must be in combination with </w:t>
            </w:r>
            <w:r w:rsidR="00B763A5" w:rsidRPr="00B763A5">
              <w:rPr>
                <w:rFonts w:ascii="Arial Narrow" w:hAnsi="Arial Narrow"/>
                <w:i/>
                <w:sz w:val="20"/>
                <w:szCs w:val="22"/>
                <w:lang w:eastAsia="en-US"/>
              </w:rPr>
              <w:t>PBS-subsidised treatment with ipilimumab as induction for this condition</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AND</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 xml:space="preserve">The treatment must be </w:t>
            </w:r>
            <w:r w:rsidR="00C81E5A">
              <w:rPr>
                <w:rFonts w:ascii="Arial Narrow" w:hAnsi="Arial Narrow"/>
                <w:i/>
                <w:sz w:val="20"/>
                <w:szCs w:val="22"/>
                <w:lang w:eastAsia="en-US"/>
              </w:rPr>
              <w:t xml:space="preserve">for </w:t>
            </w:r>
            <w:r w:rsidRPr="003E7E2B">
              <w:rPr>
                <w:rFonts w:ascii="Arial Narrow" w:hAnsi="Arial Narrow"/>
                <w:i/>
                <w:sz w:val="20"/>
                <w:szCs w:val="22"/>
                <w:lang w:eastAsia="en-US"/>
              </w:rPr>
              <w:t>first-line therapy for this condition</w:t>
            </w:r>
          </w:p>
          <w:p w:rsidR="00DC0008" w:rsidRPr="003E7E2B" w:rsidRDefault="00DC0008" w:rsidP="00497AD7">
            <w:pPr>
              <w:rPr>
                <w:rFonts w:ascii="Arial Narrow" w:hAnsi="Arial Narrow"/>
                <w:strike/>
                <w:sz w:val="20"/>
                <w:szCs w:val="22"/>
                <w:lang w:eastAsia="en-US"/>
              </w:rPr>
            </w:pPr>
            <w:r w:rsidRPr="003E7E2B">
              <w:rPr>
                <w:rFonts w:ascii="Arial Narrow" w:hAnsi="Arial Narrow"/>
                <w:strike/>
                <w:sz w:val="20"/>
                <w:szCs w:val="22"/>
                <w:lang w:eastAsia="en-US"/>
              </w:rPr>
              <w:t>AND</w:t>
            </w:r>
          </w:p>
          <w:p w:rsidR="00DC0008" w:rsidRPr="003E7E2B" w:rsidRDefault="00DC0008" w:rsidP="00497AD7">
            <w:pPr>
              <w:rPr>
                <w:rFonts w:ascii="Arial Narrow" w:hAnsi="Arial Narrow" w:cs="Arial"/>
                <w:sz w:val="20"/>
                <w:szCs w:val="22"/>
                <w:lang w:eastAsia="en-US"/>
              </w:rPr>
            </w:pPr>
            <w:r w:rsidRPr="003E7E2B">
              <w:rPr>
                <w:rFonts w:ascii="Arial Narrow" w:hAnsi="Arial Narrow"/>
                <w:strike/>
                <w:sz w:val="20"/>
                <w:szCs w:val="22"/>
                <w:lang w:eastAsia="en-US"/>
              </w:rPr>
              <w:t>The treatment with ipilimumab must not exceed a total of 4 doses at a maximum dose of 1 mg per kg every 3 weeks</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05293C" w:rsidRPr="003E7E2B" w:rsidRDefault="0005293C" w:rsidP="0005293C">
            <w:pPr>
              <w:rPr>
                <w:rFonts w:ascii="Arial Narrow" w:hAnsi="Arial Narrow"/>
                <w:sz w:val="20"/>
                <w:szCs w:val="22"/>
                <w:lang w:eastAsia="en-US"/>
              </w:rPr>
            </w:pPr>
            <w:r w:rsidRPr="00AF0145">
              <w:rPr>
                <w:rFonts w:ascii="Arial Narrow" w:hAnsi="Arial Narrow"/>
                <w:strike/>
                <w:sz w:val="20"/>
                <w:szCs w:val="22"/>
                <w:lang w:eastAsia="en-US"/>
              </w:rPr>
              <w:t>The</w:t>
            </w:r>
            <w:r w:rsidRPr="003E7E2B">
              <w:rPr>
                <w:rFonts w:ascii="Arial Narrow" w:hAnsi="Arial Narrow"/>
                <w:sz w:val="20"/>
                <w:szCs w:val="22"/>
                <w:lang w:eastAsia="en-US"/>
              </w:rPr>
              <w:t xml:space="preserve"> </w:t>
            </w:r>
            <w:r>
              <w:rPr>
                <w:rFonts w:ascii="Arial Narrow" w:hAnsi="Arial Narrow"/>
                <w:i/>
                <w:sz w:val="20"/>
                <w:szCs w:val="22"/>
                <w:lang w:eastAsia="en-US"/>
              </w:rPr>
              <w:t xml:space="preserve">Induction </w:t>
            </w:r>
            <w:r w:rsidRPr="003E7E2B">
              <w:rPr>
                <w:rFonts w:ascii="Arial Narrow" w:hAnsi="Arial Narrow"/>
                <w:sz w:val="20"/>
                <w:szCs w:val="22"/>
                <w:lang w:eastAsia="en-US"/>
              </w:rPr>
              <w:t xml:space="preserve">treatment </w:t>
            </w:r>
            <w:r w:rsidRPr="00AF0145">
              <w:rPr>
                <w:rFonts w:ascii="Arial Narrow" w:hAnsi="Arial Narrow"/>
                <w:sz w:val="20"/>
                <w:szCs w:val="22"/>
                <w:lang w:eastAsia="en-US"/>
              </w:rPr>
              <w:t>with nivolumab</w:t>
            </w:r>
            <w:r w:rsidRPr="003E7E2B">
              <w:rPr>
                <w:rFonts w:ascii="Arial Narrow" w:hAnsi="Arial Narrow"/>
                <w:sz w:val="20"/>
                <w:szCs w:val="22"/>
                <w:lang w:eastAsia="en-US"/>
              </w:rPr>
              <w:t xml:space="preserve"> must not exceed a total of 4 doses at a maximum dose of 3 mg per kg every 3 weeks</w:t>
            </w:r>
          </w:p>
          <w:p w:rsidR="0005293C" w:rsidRDefault="0005293C" w:rsidP="00497AD7">
            <w:pPr>
              <w:rPr>
                <w:rFonts w:ascii="Arial Narrow" w:hAnsi="Arial Narrow"/>
                <w:sz w:val="20"/>
                <w:szCs w:val="22"/>
                <w:lang w:eastAsia="en-US"/>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The patient’s body weight must be documented in the patient’s medical records at the time treatment is initiated</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p w:rsidR="00DC0008" w:rsidRPr="003E7E2B" w:rsidRDefault="00DC0008" w:rsidP="00497AD7">
            <w:pPr>
              <w:rPr>
                <w:rFonts w:ascii="Arial Narrow" w:hAnsi="Arial Narrow"/>
                <w:sz w:val="20"/>
                <w:szCs w:val="22"/>
                <w:lang w:eastAsia="en-US"/>
              </w:rPr>
            </w:pP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No increase in the maximum quantity or number of units may be authorised.</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No increase in the maximum number of repeats may be authorised.</w:t>
            </w:r>
          </w:p>
          <w:p w:rsidR="00DC0008" w:rsidRPr="003E7E2B" w:rsidRDefault="00DC0008" w:rsidP="00497AD7">
            <w:pPr>
              <w:rPr>
                <w:rFonts w:ascii="Arial Narrow" w:hAnsi="Arial Narrow"/>
                <w:sz w:val="20"/>
                <w:szCs w:val="22"/>
                <w:lang w:eastAsia="en-US"/>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Special Pricing Arrangements apply.</w:t>
            </w:r>
          </w:p>
        </w:tc>
      </w:tr>
      <w:tr w:rsidR="00ED5AEF"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ED5AEF" w:rsidRPr="003E7E2B" w:rsidRDefault="00ED5AEF" w:rsidP="00497AD7">
            <w:pPr>
              <w:rPr>
                <w:rFonts w:ascii="Arial Narrow" w:hAnsi="Arial Narrow"/>
                <w:b/>
                <w:sz w:val="20"/>
                <w:szCs w:val="22"/>
                <w:lang w:eastAsia="en-US"/>
              </w:rPr>
            </w:pPr>
            <w:r>
              <w:rPr>
                <w:rFonts w:ascii="Arial Narrow" w:hAnsi="Arial Narrow"/>
                <w:b/>
                <w:sz w:val="20"/>
                <w:szCs w:val="22"/>
                <w:lang w:eastAsia="en-US"/>
              </w:rPr>
              <w:t>Caution</w:t>
            </w:r>
          </w:p>
        </w:tc>
        <w:tc>
          <w:tcPr>
            <w:tcW w:w="7229" w:type="dxa"/>
            <w:tcBorders>
              <w:top w:val="single" w:sz="4" w:space="0" w:color="auto"/>
              <w:left w:val="single" w:sz="4" w:space="0" w:color="auto"/>
              <w:bottom w:val="single" w:sz="4" w:space="0" w:color="auto"/>
              <w:right w:val="single" w:sz="4" w:space="0" w:color="auto"/>
            </w:tcBorders>
          </w:tcPr>
          <w:p w:rsidR="00ED5AEF" w:rsidRPr="00AF0145" w:rsidRDefault="00ED5AEF" w:rsidP="0075046A">
            <w:pPr>
              <w:rPr>
                <w:rFonts w:ascii="Arial Narrow" w:hAnsi="Arial Narrow"/>
                <w:i/>
                <w:sz w:val="20"/>
                <w:szCs w:val="22"/>
                <w:lang w:eastAsia="en-US"/>
              </w:rPr>
            </w:pPr>
            <w:r w:rsidRPr="00AF0145">
              <w:rPr>
                <w:rFonts w:ascii="Arial Narrow" w:hAnsi="Arial Narrow"/>
                <w:i/>
                <w:sz w:val="20"/>
                <w:szCs w:val="22"/>
                <w:lang w:eastAsia="en-US"/>
              </w:rPr>
              <w:t xml:space="preserve">Combination treatment with ipilimumab and nivolumab is associated with an increase incidence and severity of immune-related adverse reactions </w:t>
            </w:r>
            <w:r w:rsidR="0075046A" w:rsidRPr="0075046A">
              <w:rPr>
                <w:rFonts w:ascii="Arial Narrow" w:hAnsi="Arial Narrow"/>
                <w:i/>
                <w:sz w:val="20"/>
                <w:szCs w:val="22"/>
                <w:lang w:eastAsia="en-US"/>
              </w:rPr>
              <w:t>compared with</w:t>
            </w:r>
            <w:r w:rsidRPr="00AF0145">
              <w:rPr>
                <w:rFonts w:ascii="Arial Narrow" w:hAnsi="Arial Narrow"/>
                <w:i/>
                <w:sz w:val="20"/>
                <w:szCs w:val="22"/>
                <w:lang w:eastAsia="en-US"/>
              </w:rPr>
              <w:t xml:space="preserve"> monotherapy with these agents.  Monitoring at least prior to each dose is recommended.</w:t>
            </w:r>
          </w:p>
        </w:tc>
      </w:tr>
    </w:tbl>
    <w:p w:rsidR="00DC0008" w:rsidRPr="003E7E2B" w:rsidRDefault="00DC0008" w:rsidP="00DC0008">
      <w:pPr>
        <w:rPr>
          <w:rFonts w:asciiTheme="minorHAnsi" w:hAnsiTheme="minorHAnsi" w:cs="Arial"/>
          <w:b/>
        </w:rPr>
      </w:pPr>
    </w:p>
    <w:p w:rsidR="009B3CD1" w:rsidRDefault="009B3CD1">
      <w:pPr>
        <w:rPr>
          <w:rFonts w:asciiTheme="minorHAnsi" w:hAnsiTheme="minorHAnsi" w:cs="Arial"/>
          <w:b/>
        </w:rPr>
      </w:pPr>
      <w:r>
        <w:rPr>
          <w:rFonts w:asciiTheme="minorHAnsi" w:hAnsiTheme="minorHAnsi" w:cs="Arial"/>
          <w:b/>
        </w:rPr>
        <w:br w:type="page"/>
      </w:r>
    </w:p>
    <w:p w:rsidR="00DC0008" w:rsidRPr="003E7E2B" w:rsidRDefault="00DC0008" w:rsidP="00DC0008">
      <w:pPr>
        <w:spacing w:after="120"/>
        <w:ind w:left="142"/>
        <w:rPr>
          <w:rFonts w:asciiTheme="minorHAnsi" w:hAnsiTheme="minorHAnsi" w:cs="Arial"/>
          <w:b/>
        </w:rPr>
      </w:pPr>
      <w:r w:rsidRPr="003E7E2B">
        <w:rPr>
          <w:rFonts w:asciiTheme="minorHAnsi" w:hAnsiTheme="minorHAnsi" w:cs="Arial"/>
          <w:b/>
        </w:rPr>
        <w:lastRenderedPageBreak/>
        <w:t>Ipilimumab induction</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3125"/>
        <w:gridCol w:w="1162"/>
        <w:gridCol w:w="924"/>
        <w:gridCol w:w="2268"/>
        <w:gridCol w:w="1701"/>
      </w:tblGrid>
      <w:tr w:rsidR="00DC0008" w:rsidRPr="003E7E2B" w:rsidTr="00497AD7">
        <w:trPr>
          <w:tblHeader/>
        </w:trPr>
        <w:tc>
          <w:tcPr>
            <w:tcW w:w="0" w:type="auto"/>
          </w:tcPr>
          <w:p w:rsidR="00DC0008" w:rsidRPr="003E7E2B" w:rsidRDefault="00DC0008" w:rsidP="00497AD7">
            <w:pPr>
              <w:keepNext/>
              <w:keepLines/>
              <w:widowControl w:val="0"/>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Name, restriction, manner of administration, form</w:t>
            </w:r>
          </w:p>
        </w:tc>
        <w:tc>
          <w:tcPr>
            <w:tcW w:w="0" w:type="auto"/>
          </w:tcPr>
          <w:p w:rsidR="00DC0008" w:rsidRPr="003E7E2B" w:rsidRDefault="00DC0008" w:rsidP="00497AD7">
            <w:pPr>
              <w:keepNext/>
              <w:keepLines/>
              <w:widowControl w:val="0"/>
              <w:jc w:val="center"/>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 xml:space="preserve">Maximum </w:t>
            </w:r>
            <w:proofErr w:type="spellStart"/>
            <w:r w:rsidRPr="003E7E2B">
              <w:rPr>
                <w:rFonts w:ascii="Arial Narrow" w:hAnsi="Arial Narrow" w:cs="Arial"/>
                <w:b/>
                <w:snapToGrid w:val="0"/>
                <w:sz w:val="20"/>
                <w:szCs w:val="20"/>
                <w:lang w:eastAsia="en-US"/>
              </w:rPr>
              <w:t>qty</w:t>
            </w:r>
            <w:proofErr w:type="spellEnd"/>
          </w:p>
        </w:tc>
        <w:tc>
          <w:tcPr>
            <w:tcW w:w="924" w:type="dxa"/>
          </w:tcPr>
          <w:p w:rsidR="00DC0008" w:rsidRPr="003E7E2B" w:rsidRDefault="00DC0008" w:rsidP="00497AD7">
            <w:pPr>
              <w:keepNext/>
              <w:keepLines/>
              <w:widowControl w:val="0"/>
              <w:jc w:val="center"/>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No. of repeats</w:t>
            </w:r>
          </w:p>
        </w:tc>
        <w:tc>
          <w:tcPr>
            <w:tcW w:w="2268" w:type="dxa"/>
          </w:tcPr>
          <w:p w:rsidR="00DC0008" w:rsidRPr="003E7E2B" w:rsidRDefault="00DC0008" w:rsidP="00497AD7">
            <w:pPr>
              <w:keepNext/>
              <w:keepLines/>
              <w:widowControl w:val="0"/>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Dispensed price for maximum amount</w:t>
            </w:r>
          </w:p>
        </w:tc>
        <w:tc>
          <w:tcPr>
            <w:tcW w:w="1701" w:type="dxa"/>
          </w:tcPr>
          <w:p w:rsidR="00DC0008" w:rsidRPr="003E7E2B" w:rsidRDefault="00DC0008" w:rsidP="00497AD7">
            <w:pPr>
              <w:keepNext/>
              <w:keepLines/>
              <w:widowControl w:val="0"/>
              <w:jc w:val="both"/>
              <w:rPr>
                <w:rFonts w:ascii="Arial Narrow" w:hAnsi="Arial Narrow" w:cs="Arial"/>
                <w:b/>
                <w:snapToGrid w:val="0"/>
                <w:sz w:val="20"/>
                <w:szCs w:val="20"/>
                <w:lang w:eastAsia="en-US"/>
              </w:rPr>
            </w:pPr>
            <w:r w:rsidRPr="003E7E2B">
              <w:rPr>
                <w:rFonts w:ascii="Arial Narrow" w:hAnsi="Arial Narrow" w:cs="Arial"/>
                <w:b/>
                <w:snapToGrid w:val="0"/>
                <w:sz w:val="20"/>
                <w:szCs w:val="20"/>
                <w:lang w:eastAsia="en-US"/>
              </w:rPr>
              <w:t>Proprietary name and manufacturer</w:t>
            </w:r>
          </w:p>
        </w:tc>
      </w:tr>
      <w:tr w:rsidR="00DC0008" w:rsidRPr="003E7E2B" w:rsidTr="00497AD7">
        <w:tc>
          <w:tcPr>
            <w:tcW w:w="0" w:type="auto"/>
          </w:tcPr>
          <w:p w:rsidR="00DC0008" w:rsidRPr="003E7E2B" w:rsidRDefault="00DC0008" w:rsidP="00497AD7">
            <w:pPr>
              <w:keepNext/>
              <w:keepLines/>
              <w:rPr>
                <w:rFonts w:ascii="Arial Narrow" w:hAnsi="Arial Narrow"/>
                <w:bCs/>
                <w:sz w:val="20"/>
                <w:szCs w:val="22"/>
                <w:lang w:eastAsia="en-US"/>
              </w:rPr>
            </w:pPr>
            <w:r w:rsidRPr="003E7E2B">
              <w:rPr>
                <w:rFonts w:ascii="Arial Narrow" w:hAnsi="Arial Narrow"/>
                <w:bCs/>
                <w:sz w:val="20"/>
                <w:szCs w:val="22"/>
                <w:lang w:eastAsia="en-US"/>
              </w:rPr>
              <w:t>IPILIMUMAB</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bCs/>
                <w:sz w:val="20"/>
                <w:szCs w:val="22"/>
                <w:lang w:eastAsia="en-US"/>
              </w:rPr>
              <w:t>Injection 50 mg/10 mL 1 x 10 mL vial</w:t>
            </w:r>
            <w:r w:rsidRPr="003E7E2B">
              <w:rPr>
                <w:rFonts w:ascii="Arial Narrow" w:hAnsi="Arial Narrow"/>
                <w:sz w:val="20"/>
                <w:szCs w:val="22"/>
                <w:lang w:eastAsia="en-US"/>
              </w:rPr>
              <w:t xml:space="preserve"> </w:t>
            </w:r>
          </w:p>
        </w:tc>
        <w:tc>
          <w:tcPr>
            <w:tcW w:w="0" w:type="auto"/>
          </w:tcPr>
          <w:p w:rsidR="00DC0008" w:rsidRPr="003E7E2B" w:rsidRDefault="00DC0008" w:rsidP="00497AD7">
            <w:pPr>
              <w:keepNext/>
              <w:keepLines/>
              <w:jc w:val="center"/>
              <w:rPr>
                <w:rFonts w:ascii="Arial Narrow" w:hAnsi="Arial Narrow"/>
                <w:sz w:val="20"/>
                <w:szCs w:val="22"/>
                <w:lang w:eastAsia="en-US"/>
              </w:rPr>
            </w:pPr>
            <w:r w:rsidRPr="003E7E2B">
              <w:rPr>
                <w:rFonts w:ascii="Arial Narrow" w:hAnsi="Arial Narrow"/>
                <w:sz w:val="20"/>
                <w:szCs w:val="22"/>
                <w:lang w:eastAsia="en-US"/>
              </w:rPr>
              <w:t>120 mg</w:t>
            </w:r>
          </w:p>
        </w:tc>
        <w:tc>
          <w:tcPr>
            <w:tcW w:w="924" w:type="dxa"/>
          </w:tcPr>
          <w:p w:rsidR="00DC0008" w:rsidRPr="003E7E2B" w:rsidRDefault="00DC0008" w:rsidP="00497AD7">
            <w:pPr>
              <w:keepNext/>
              <w:keepLines/>
              <w:jc w:val="center"/>
              <w:rPr>
                <w:rFonts w:ascii="Arial Narrow" w:hAnsi="Arial Narrow"/>
                <w:sz w:val="20"/>
                <w:szCs w:val="22"/>
                <w:lang w:eastAsia="en-US"/>
              </w:rPr>
            </w:pPr>
            <w:r w:rsidRPr="003E7E2B">
              <w:rPr>
                <w:rFonts w:ascii="Arial Narrow" w:hAnsi="Arial Narrow"/>
                <w:sz w:val="20"/>
                <w:szCs w:val="22"/>
                <w:lang w:eastAsia="en-US"/>
              </w:rPr>
              <w:t>3</w:t>
            </w:r>
          </w:p>
        </w:tc>
        <w:tc>
          <w:tcPr>
            <w:tcW w:w="2268" w:type="dxa"/>
          </w:tcPr>
          <w:p w:rsidR="00DC0008" w:rsidRPr="003E7E2B" w:rsidRDefault="00DC0008" w:rsidP="00497AD7">
            <w:pPr>
              <w:keepNext/>
              <w:keepLines/>
              <w:rPr>
                <w:rFonts w:ascii="Arial Narrow" w:hAnsi="Arial Narrow"/>
                <w:sz w:val="20"/>
                <w:szCs w:val="22"/>
                <w:highlight w:val="yellow"/>
                <w:lang w:eastAsia="en-US"/>
              </w:rPr>
            </w:pPr>
            <w:r w:rsidRPr="003E7E2B">
              <w:rPr>
                <w:rFonts w:ascii="Arial Narrow" w:hAnsi="Arial Narrow"/>
                <w:sz w:val="20"/>
                <w:szCs w:val="22"/>
                <w:lang w:eastAsia="en-US"/>
              </w:rPr>
              <w:t>$17,849.89 published price</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Effective prices:</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Public: $</w:t>
            </w:r>
            <w:r w:rsidR="00B76982">
              <w:rPr>
                <w:rFonts w:ascii="Arial Narrow" w:hAnsi="Arial Narrow"/>
                <w:noProof/>
                <w:color w:val="000000"/>
                <w:sz w:val="20"/>
                <w:szCs w:val="22"/>
                <w:highlight w:val="black"/>
                <w:lang w:eastAsia="en-US"/>
              </w:rPr>
              <w:t>''''''''''''''''''''''</w:t>
            </w:r>
            <w:r w:rsidRPr="003E7E2B">
              <w:rPr>
                <w:rFonts w:ascii="Arial Narrow" w:hAnsi="Arial Narrow"/>
                <w:sz w:val="20"/>
                <w:szCs w:val="22"/>
                <w:lang w:eastAsia="en-US"/>
              </w:rPr>
              <w:t xml:space="preserve"> </w:t>
            </w:r>
          </w:p>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Private: $</w:t>
            </w:r>
            <w:r w:rsidR="00B76982">
              <w:rPr>
                <w:rFonts w:ascii="Arial Narrow" w:hAnsi="Arial Narrow"/>
                <w:noProof/>
                <w:color w:val="000000"/>
                <w:sz w:val="20"/>
                <w:szCs w:val="22"/>
                <w:highlight w:val="black"/>
                <w:lang w:eastAsia="en-US"/>
              </w:rPr>
              <w:t>''''''''''''''''''''''</w:t>
            </w:r>
          </w:p>
        </w:tc>
        <w:tc>
          <w:tcPr>
            <w:tcW w:w="1701" w:type="dxa"/>
          </w:tcPr>
          <w:p w:rsidR="00DC0008" w:rsidRPr="003E7E2B" w:rsidRDefault="00DC0008" w:rsidP="00497AD7">
            <w:pPr>
              <w:keepNext/>
              <w:keepLines/>
              <w:rPr>
                <w:rFonts w:ascii="Arial Narrow" w:hAnsi="Arial Narrow"/>
                <w:sz w:val="20"/>
                <w:szCs w:val="22"/>
                <w:lang w:eastAsia="en-US"/>
              </w:rPr>
            </w:pPr>
            <w:r w:rsidRPr="003E7E2B">
              <w:rPr>
                <w:rFonts w:ascii="Arial Narrow" w:hAnsi="Arial Narrow"/>
                <w:sz w:val="20"/>
                <w:szCs w:val="22"/>
                <w:lang w:eastAsia="en-US"/>
              </w:rPr>
              <w:t>YERVOY Bristol-Myers Squibb Australia Pty Ltd</w:t>
            </w:r>
          </w:p>
        </w:tc>
      </w:tr>
    </w:tbl>
    <w:p w:rsidR="00DC0008" w:rsidRPr="003E7E2B" w:rsidRDefault="00DC0008" w:rsidP="00DC0008">
      <w:pPr>
        <w:rPr>
          <w:rFonts w:ascii="Arial Narrow" w:hAnsi="Arial Narrow"/>
          <w:b/>
          <w:sz w:val="20"/>
          <w:szCs w:val="16"/>
          <w:lang w:eastAsia="en-US"/>
        </w:rPr>
      </w:pPr>
    </w:p>
    <w:tbl>
      <w:tblPr>
        <w:tblW w:w="9072" w:type="dxa"/>
        <w:tblInd w:w="108" w:type="dxa"/>
        <w:tblLayout w:type="fixed"/>
        <w:tblLook w:val="0000" w:firstRow="0" w:lastRow="0" w:firstColumn="0" w:lastColumn="0" w:noHBand="0" w:noVBand="0"/>
      </w:tblPr>
      <w:tblGrid>
        <w:gridCol w:w="1843"/>
        <w:gridCol w:w="7229"/>
      </w:tblGrid>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Category/Program</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Section 100 - Efficient funding of Chemotherapy</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Prescriber type</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Medical Practitioners</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Severity:</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Stage IV</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Condition:</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Clear cell variant renal cell carcinoma (RCC)</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PBS Indication:</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Stage IV clear cell variant renal cell carcinoma (RCC)</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b/>
                <w:sz w:val="20"/>
                <w:szCs w:val="22"/>
                <w:lang w:eastAsia="en-US"/>
              </w:rPr>
              <w:t>Treatment phase:</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1F3475" w:rsidP="001F3475">
            <w:pPr>
              <w:rPr>
                <w:rFonts w:ascii="Arial Narrow" w:hAnsi="Arial Narrow"/>
                <w:sz w:val="20"/>
                <w:szCs w:val="22"/>
                <w:lang w:eastAsia="en-US"/>
              </w:rPr>
            </w:pPr>
            <w:r w:rsidRPr="001F3475">
              <w:rPr>
                <w:rFonts w:ascii="Arial Narrow" w:hAnsi="Arial Narrow"/>
                <w:sz w:val="20"/>
                <w:szCs w:val="22"/>
                <w:lang w:eastAsia="en-US"/>
              </w:rPr>
              <w:t>Induction (combination) treatment</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b/>
                <w:sz w:val="20"/>
                <w:szCs w:val="22"/>
                <w:lang w:eastAsia="en-US"/>
              </w:rPr>
              <w:t>Restriction:</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ED5AEF">
              <w:rPr>
                <w:rFonts w:ascii="Arial Narrow" w:hAnsi="Arial Narrow"/>
                <w:sz w:val="20"/>
                <w:szCs w:val="22"/>
                <w:lang w:eastAsia="en-US"/>
              </w:rPr>
              <w:fldChar w:fldCharType="begin">
                <w:ffData>
                  <w:name w:val="Check5"/>
                  <w:enabled/>
                  <w:calcOnExit w:val="0"/>
                  <w:checkBox>
                    <w:sizeAuto/>
                    <w:default w:val="1"/>
                  </w:checkBox>
                </w:ffData>
              </w:fldChar>
            </w:r>
            <w:r w:rsidRPr="003E7E2B">
              <w:rPr>
                <w:rFonts w:ascii="Arial Narrow" w:hAnsi="Arial Narrow"/>
                <w:sz w:val="20"/>
                <w:szCs w:val="22"/>
                <w:lang w:eastAsia="en-US"/>
              </w:rPr>
              <w:instrText xml:space="preserve"> FORMCHECKBOX </w:instrText>
            </w:r>
            <w:r w:rsidR="004473C8">
              <w:rPr>
                <w:rFonts w:ascii="Arial Narrow" w:hAnsi="Arial Narrow"/>
                <w:sz w:val="20"/>
                <w:szCs w:val="22"/>
                <w:lang w:eastAsia="en-US"/>
              </w:rPr>
            </w:r>
            <w:r w:rsidR="004473C8">
              <w:rPr>
                <w:rFonts w:ascii="Arial Narrow" w:hAnsi="Arial Narrow"/>
                <w:sz w:val="20"/>
                <w:szCs w:val="22"/>
                <w:lang w:eastAsia="en-US"/>
              </w:rPr>
              <w:fldChar w:fldCharType="separate"/>
            </w:r>
            <w:r w:rsidRPr="00ED5AEF">
              <w:rPr>
                <w:rFonts w:ascii="Arial Narrow" w:hAnsi="Arial Narrow"/>
                <w:sz w:val="20"/>
                <w:szCs w:val="22"/>
                <w:lang w:eastAsia="en-US"/>
              </w:rPr>
              <w:fldChar w:fldCharType="end"/>
            </w:r>
            <w:r w:rsidRPr="003E7E2B">
              <w:rPr>
                <w:rFonts w:ascii="Arial Narrow" w:hAnsi="Arial Narrow"/>
                <w:sz w:val="20"/>
                <w:szCs w:val="22"/>
                <w:lang w:eastAsia="en-US"/>
              </w:rPr>
              <w:t>Streamlined</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C81E5A" w:rsidP="00497AD7">
            <w:pPr>
              <w:rPr>
                <w:rFonts w:ascii="Arial Narrow" w:hAnsi="Arial Narrow"/>
                <w:b/>
                <w:sz w:val="20"/>
                <w:szCs w:val="22"/>
                <w:lang w:eastAsia="en-US"/>
              </w:rPr>
            </w:pPr>
            <w:r>
              <w:rPr>
                <w:rFonts w:ascii="Arial Narrow" w:hAnsi="Arial Narrow"/>
                <w:b/>
                <w:sz w:val="20"/>
                <w:szCs w:val="22"/>
                <w:lang w:eastAsia="en-US"/>
              </w:rPr>
              <w:t>Clinical</w:t>
            </w:r>
            <w:r w:rsidR="00DC0008" w:rsidRPr="003E7E2B">
              <w:rPr>
                <w:rFonts w:ascii="Arial Narrow" w:hAnsi="Arial Narrow"/>
                <w:b/>
                <w:sz w:val="20"/>
                <w:szCs w:val="22"/>
                <w:lang w:eastAsia="en-US"/>
              </w:rPr>
              <w:t xml:space="preserve"> criteria:</w:t>
            </w:r>
          </w:p>
          <w:p w:rsidR="00DC0008" w:rsidRPr="003E7E2B" w:rsidRDefault="00DC0008" w:rsidP="00497AD7">
            <w:pPr>
              <w:rPr>
                <w:rFonts w:ascii="Arial Narrow" w:hAnsi="Arial Narrow"/>
                <w:sz w:val="20"/>
                <w:szCs w:val="22"/>
                <w:lang w:eastAsia="en-US"/>
              </w:rPr>
            </w:pP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Patient must meet the International Metastatic Renal Cell Carcinoma Database Consortium (IMDC) intermediate/poor risk group criteria</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AND</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Patient must have a WHO performance status of 2 or less</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AND</w:t>
            </w:r>
          </w:p>
          <w:p w:rsidR="00DC0008" w:rsidRPr="003E7E2B" w:rsidRDefault="00DC0008" w:rsidP="00497AD7">
            <w:pPr>
              <w:rPr>
                <w:rFonts w:ascii="Arial Narrow" w:hAnsi="Arial Narrow"/>
                <w:strike/>
                <w:sz w:val="20"/>
                <w:szCs w:val="22"/>
                <w:lang w:eastAsia="en-US"/>
              </w:rPr>
            </w:pPr>
            <w:r w:rsidRPr="003E7E2B">
              <w:rPr>
                <w:rFonts w:ascii="Arial Narrow" w:hAnsi="Arial Narrow"/>
                <w:strike/>
                <w:sz w:val="20"/>
                <w:szCs w:val="22"/>
                <w:lang w:eastAsia="en-US"/>
              </w:rPr>
              <w:t>Patient must receive this PBS subsidised nivolumab and ipilimumab concomitantly as the first line of treatment for this condition</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 xml:space="preserve">The treatment must be in combination with </w:t>
            </w:r>
            <w:r w:rsidR="007905E9" w:rsidRPr="007905E9">
              <w:rPr>
                <w:rFonts w:ascii="Arial Narrow" w:hAnsi="Arial Narrow"/>
                <w:i/>
                <w:sz w:val="20"/>
                <w:szCs w:val="22"/>
                <w:lang w:eastAsia="en-US"/>
              </w:rPr>
              <w:t xml:space="preserve">PBS-subsidised treatment with </w:t>
            </w:r>
            <w:r w:rsidRPr="003E7E2B">
              <w:rPr>
                <w:rFonts w:ascii="Arial Narrow" w:hAnsi="Arial Narrow"/>
                <w:i/>
                <w:sz w:val="20"/>
                <w:szCs w:val="22"/>
                <w:lang w:eastAsia="en-US"/>
              </w:rPr>
              <w:t>nivolumab</w:t>
            </w:r>
            <w:r w:rsidR="007905E9">
              <w:rPr>
                <w:rFonts w:ascii="Arial Narrow" w:hAnsi="Arial Narrow"/>
                <w:i/>
                <w:sz w:val="20"/>
                <w:szCs w:val="22"/>
                <w:lang w:eastAsia="en-US"/>
              </w:rPr>
              <w:t xml:space="preserve"> </w:t>
            </w:r>
            <w:r w:rsidR="007905E9" w:rsidRPr="007905E9">
              <w:rPr>
                <w:rFonts w:ascii="Arial Narrow" w:hAnsi="Arial Narrow"/>
                <w:i/>
                <w:sz w:val="20"/>
                <w:szCs w:val="22"/>
                <w:lang w:eastAsia="en-US"/>
              </w:rPr>
              <w:t>as induction therapy for this condition</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AND</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 xml:space="preserve">The treatment must be </w:t>
            </w:r>
            <w:r w:rsidR="00C81E5A">
              <w:rPr>
                <w:rFonts w:ascii="Arial Narrow" w:hAnsi="Arial Narrow"/>
                <w:i/>
                <w:sz w:val="20"/>
                <w:szCs w:val="22"/>
                <w:lang w:eastAsia="en-US"/>
              </w:rPr>
              <w:t xml:space="preserve">for </w:t>
            </w:r>
            <w:r w:rsidRPr="003E7E2B">
              <w:rPr>
                <w:rFonts w:ascii="Arial Narrow" w:hAnsi="Arial Narrow"/>
                <w:i/>
                <w:sz w:val="20"/>
                <w:szCs w:val="22"/>
                <w:lang w:eastAsia="en-US"/>
              </w:rPr>
              <w:t>first-line therapy for this condition</w:t>
            </w:r>
          </w:p>
          <w:p w:rsidR="00DC0008" w:rsidRPr="0085312D" w:rsidRDefault="00DC0008" w:rsidP="00497AD7">
            <w:pPr>
              <w:rPr>
                <w:rFonts w:ascii="Arial Narrow" w:hAnsi="Arial Narrow"/>
                <w:i/>
                <w:strike/>
                <w:sz w:val="20"/>
                <w:szCs w:val="22"/>
                <w:lang w:eastAsia="en-US"/>
              </w:rPr>
            </w:pPr>
            <w:r w:rsidRPr="0085312D">
              <w:rPr>
                <w:rFonts w:ascii="Arial Narrow" w:hAnsi="Arial Narrow"/>
                <w:i/>
                <w:strike/>
                <w:sz w:val="20"/>
                <w:szCs w:val="22"/>
                <w:lang w:eastAsia="en-US"/>
              </w:rPr>
              <w:t>AND</w:t>
            </w:r>
          </w:p>
          <w:p w:rsidR="00DC0008" w:rsidRPr="003E7E2B" w:rsidRDefault="00DC0008" w:rsidP="0005293C">
            <w:pPr>
              <w:rPr>
                <w:rFonts w:ascii="Arial Narrow" w:hAnsi="Arial Narrow" w:cs="Arial"/>
                <w:sz w:val="20"/>
                <w:szCs w:val="22"/>
                <w:lang w:eastAsia="en-US"/>
              </w:rPr>
            </w:pPr>
            <w:r w:rsidRPr="003E7E2B">
              <w:rPr>
                <w:rFonts w:ascii="Arial Narrow" w:hAnsi="Arial Narrow"/>
                <w:strike/>
                <w:sz w:val="20"/>
                <w:szCs w:val="22"/>
                <w:lang w:eastAsia="en-US"/>
              </w:rPr>
              <w:t>The treatment with nivolumab must not exceed a total of 4 doses at a maximum dose of 3 mg per kg every 3 weeks</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05293C" w:rsidRDefault="0005293C" w:rsidP="00497AD7">
            <w:pPr>
              <w:rPr>
                <w:rFonts w:ascii="Arial Narrow" w:hAnsi="Arial Narrow"/>
                <w:sz w:val="20"/>
                <w:szCs w:val="22"/>
                <w:lang w:eastAsia="en-US"/>
              </w:rPr>
            </w:pPr>
            <w:r w:rsidRPr="00B763A5">
              <w:rPr>
                <w:rFonts w:ascii="Arial Narrow" w:hAnsi="Arial Narrow"/>
                <w:strike/>
                <w:sz w:val="20"/>
                <w:szCs w:val="22"/>
                <w:lang w:eastAsia="en-US"/>
              </w:rPr>
              <w:t>The</w:t>
            </w:r>
            <w:r w:rsidRPr="003E7E2B">
              <w:rPr>
                <w:rFonts w:ascii="Arial Narrow" w:hAnsi="Arial Narrow"/>
                <w:sz w:val="20"/>
                <w:szCs w:val="22"/>
                <w:lang w:eastAsia="en-US"/>
              </w:rPr>
              <w:t xml:space="preserve"> </w:t>
            </w:r>
            <w:r w:rsidRPr="00AF0145">
              <w:rPr>
                <w:rFonts w:ascii="Arial Narrow" w:hAnsi="Arial Narrow"/>
                <w:i/>
                <w:sz w:val="20"/>
                <w:szCs w:val="22"/>
                <w:lang w:eastAsia="en-US"/>
              </w:rPr>
              <w:t xml:space="preserve">Induction </w:t>
            </w:r>
            <w:r w:rsidRPr="003E7E2B">
              <w:rPr>
                <w:rFonts w:ascii="Arial Narrow" w:hAnsi="Arial Narrow"/>
                <w:sz w:val="20"/>
                <w:szCs w:val="22"/>
                <w:lang w:eastAsia="en-US"/>
              </w:rPr>
              <w:t xml:space="preserve">treatment </w:t>
            </w:r>
            <w:r w:rsidRPr="00B763A5">
              <w:rPr>
                <w:rFonts w:ascii="Arial Narrow" w:hAnsi="Arial Narrow"/>
                <w:sz w:val="20"/>
                <w:szCs w:val="22"/>
                <w:lang w:eastAsia="en-US"/>
              </w:rPr>
              <w:t>with ipilimumab</w:t>
            </w:r>
            <w:r w:rsidRPr="00AF0145">
              <w:rPr>
                <w:rFonts w:ascii="Arial Narrow" w:hAnsi="Arial Narrow"/>
                <w:sz w:val="20"/>
                <w:szCs w:val="22"/>
                <w:lang w:eastAsia="en-US"/>
              </w:rPr>
              <w:t xml:space="preserve"> </w:t>
            </w:r>
            <w:r w:rsidRPr="003E7E2B">
              <w:rPr>
                <w:rFonts w:ascii="Arial Narrow" w:hAnsi="Arial Narrow"/>
                <w:sz w:val="20"/>
                <w:szCs w:val="22"/>
                <w:lang w:eastAsia="en-US"/>
              </w:rPr>
              <w:t>must not exceed a total of 4 doses at a maximum dose of 1 mg per kg every 3 weeks</w:t>
            </w:r>
          </w:p>
          <w:p w:rsidR="0005293C" w:rsidRDefault="0005293C" w:rsidP="00497AD7">
            <w:pPr>
              <w:rPr>
                <w:rFonts w:ascii="Arial Narrow" w:hAnsi="Arial Narrow"/>
                <w:sz w:val="20"/>
                <w:szCs w:val="22"/>
                <w:lang w:eastAsia="en-US"/>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The patient’s body weight must be documented in the patient’s medical records at the time treatment is initiated</w:t>
            </w:r>
          </w:p>
        </w:tc>
      </w:tr>
      <w:tr w:rsidR="00DC0008"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p w:rsidR="00DC0008" w:rsidRPr="003E7E2B" w:rsidRDefault="00DC0008" w:rsidP="00497AD7">
            <w:pPr>
              <w:rPr>
                <w:rFonts w:ascii="Arial Narrow" w:hAnsi="Arial Narrow"/>
                <w:sz w:val="20"/>
                <w:szCs w:val="22"/>
                <w:lang w:eastAsia="en-US"/>
              </w:rPr>
            </w:pP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No increase in the maximum quantity or number of units may be authorised.</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No increase in the maximum number of repeats may be authorised.</w:t>
            </w:r>
          </w:p>
          <w:p w:rsidR="00DC0008" w:rsidRPr="003E7E2B" w:rsidRDefault="00DC0008" w:rsidP="00497AD7">
            <w:pPr>
              <w:rPr>
                <w:rFonts w:ascii="Arial Narrow" w:hAnsi="Arial Narrow"/>
                <w:sz w:val="20"/>
                <w:szCs w:val="22"/>
                <w:lang w:eastAsia="en-US"/>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Special Pricing Arrangements apply.</w:t>
            </w:r>
          </w:p>
        </w:tc>
      </w:tr>
      <w:tr w:rsidR="00ED5AEF" w:rsidRPr="003E7E2B" w:rsidTr="00DC0008">
        <w:trPr>
          <w:cantSplit/>
        </w:trPr>
        <w:tc>
          <w:tcPr>
            <w:tcW w:w="1843" w:type="dxa"/>
            <w:tcBorders>
              <w:top w:val="single" w:sz="4" w:space="0" w:color="auto"/>
              <w:left w:val="single" w:sz="4" w:space="0" w:color="auto"/>
              <w:bottom w:val="single" w:sz="4" w:space="0" w:color="auto"/>
              <w:right w:val="single" w:sz="4" w:space="0" w:color="auto"/>
            </w:tcBorders>
          </w:tcPr>
          <w:p w:rsidR="00ED5AEF" w:rsidRPr="003E7E2B" w:rsidRDefault="00ED5AEF" w:rsidP="00497AD7">
            <w:pPr>
              <w:rPr>
                <w:rFonts w:ascii="Arial Narrow" w:hAnsi="Arial Narrow"/>
                <w:b/>
                <w:sz w:val="20"/>
                <w:szCs w:val="22"/>
                <w:lang w:eastAsia="en-US"/>
              </w:rPr>
            </w:pPr>
            <w:r>
              <w:rPr>
                <w:rFonts w:ascii="Arial Narrow" w:hAnsi="Arial Narrow"/>
                <w:b/>
                <w:sz w:val="20"/>
                <w:szCs w:val="22"/>
                <w:lang w:eastAsia="en-US"/>
              </w:rPr>
              <w:t>Caution</w:t>
            </w:r>
          </w:p>
        </w:tc>
        <w:tc>
          <w:tcPr>
            <w:tcW w:w="7229" w:type="dxa"/>
            <w:tcBorders>
              <w:top w:val="single" w:sz="4" w:space="0" w:color="auto"/>
              <w:left w:val="single" w:sz="4" w:space="0" w:color="auto"/>
              <w:bottom w:val="single" w:sz="4" w:space="0" w:color="auto"/>
              <w:right w:val="single" w:sz="4" w:space="0" w:color="auto"/>
            </w:tcBorders>
          </w:tcPr>
          <w:p w:rsidR="00ED5AEF" w:rsidRPr="003E7E2B" w:rsidRDefault="00ED5AEF" w:rsidP="00941C88">
            <w:pPr>
              <w:rPr>
                <w:rFonts w:ascii="Arial Narrow" w:hAnsi="Arial Narrow"/>
                <w:sz w:val="20"/>
                <w:szCs w:val="22"/>
                <w:lang w:eastAsia="en-US"/>
              </w:rPr>
            </w:pPr>
            <w:r w:rsidRPr="00FB6BC5">
              <w:rPr>
                <w:rFonts w:ascii="Arial Narrow" w:hAnsi="Arial Narrow"/>
                <w:i/>
                <w:sz w:val="20"/>
                <w:szCs w:val="22"/>
                <w:lang w:eastAsia="en-US"/>
              </w:rPr>
              <w:t>Combination treatment with ipilimumab and nivolumab is associated with an increase incidence and severity of im</w:t>
            </w:r>
            <w:r w:rsidR="0075046A">
              <w:rPr>
                <w:rFonts w:ascii="Arial Narrow" w:hAnsi="Arial Narrow"/>
                <w:i/>
                <w:sz w:val="20"/>
                <w:szCs w:val="22"/>
                <w:lang w:eastAsia="en-US"/>
              </w:rPr>
              <w:t xml:space="preserve">mune-related adverse reactions </w:t>
            </w:r>
            <w:r w:rsidR="0075046A" w:rsidRPr="0075046A">
              <w:rPr>
                <w:rFonts w:ascii="Arial Narrow" w:hAnsi="Arial Narrow"/>
                <w:i/>
                <w:sz w:val="20"/>
                <w:szCs w:val="22"/>
                <w:lang w:eastAsia="en-US"/>
              </w:rPr>
              <w:t>compared with</w:t>
            </w:r>
            <w:r w:rsidRPr="00FB6BC5">
              <w:rPr>
                <w:rFonts w:ascii="Arial Narrow" w:hAnsi="Arial Narrow"/>
                <w:i/>
                <w:sz w:val="20"/>
                <w:szCs w:val="22"/>
                <w:lang w:eastAsia="en-US"/>
              </w:rPr>
              <w:t xml:space="preserve"> monotherapy with these agents.  Monitoring at least prior to each dose is recommended.</w:t>
            </w:r>
          </w:p>
        </w:tc>
      </w:tr>
    </w:tbl>
    <w:p w:rsidR="00DC0008" w:rsidRPr="003E7E2B" w:rsidRDefault="00DC0008" w:rsidP="00DC0008">
      <w:pPr>
        <w:widowControl w:val="0"/>
        <w:jc w:val="both"/>
        <w:rPr>
          <w:rFonts w:ascii="Calibri" w:hAnsi="Calibri" w:cs="Arial"/>
          <w:snapToGrid w:val="0"/>
          <w:szCs w:val="22"/>
          <w:lang w:eastAsia="en-US"/>
        </w:rPr>
      </w:pPr>
    </w:p>
    <w:p w:rsidR="00DC0008" w:rsidRPr="003E7E2B" w:rsidRDefault="00DC0008" w:rsidP="00C81E5A">
      <w:pPr>
        <w:keepNext/>
        <w:keepLines/>
        <w:widowControl w:val="0"/>
        <w:jc w:val="both"/>
        <w:rPr>
          <w:rFonts w:ascii="Calibri" w:hAnsi="Calibri" w:cs="Arial"/>
          <w:b/>
          <w:snapToGrid w:val="0"/>
          <w:szCs w:val="22"/>
          <w:lang w:eastAsia="en-US"/>
        </w:rPr>
      </w:pPr>
      <w:r w:rsidRPr="003E7E2B">
        <w:rPr>
          <w:rFonts w:ascii="Calibri" w:hAnsi="Calibri" w:cs="Arial"/>
          <w:b/>
          <w:snapToGrid w:val="0"/>
          <w:szCs w:val="22"/>
          <w:lang w:eastAsia="en-US"/>
        </w:rPr>
        <w:lastRenderedPageBreak/>
        <w:t>Continuing treatment with nivolumab</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1843"/>
        <w:gridCol w:w="1084"/>
        <w:gridCol w:w="1181"/>
        <w:gridCol w:w="2898"/>
        <w:gridCol w:w="2174"/>
      </w:tblGrid>
      <w:tr w:rsidR="00DC0008" w:rsidRPr="003E7E2B" w:rsidTr="00C81E5A">
        <w:tc>
          <w:tcPr>
            <w:tcW w:w="0" w:type="auto"/>
          </w:tcPr>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Continuing phase</w:t>
            </w:r>
          </w:p>
        </w:tc>
        <w:tc>
          <w:tcPr>
            <w:tcW w:w="0" w:type="auto"/>
          </w:tcPr>
          <w:p w:rsidR="00DC0008" w:rsidRPr="003E7E2B" w:rsidRDefault="00DC0008" w:rsidP="00C81E5A">
            <w:pPr>
              <w:keepNext/>
              <w:keepLines/>
              <w:jc w:val="center"/>
              <w:rPr>
                <w:rFonts w:ascii="Arial Narrow" w:hAnsi="Arial Narrow"/>
                <w:sz w:val="20"/>
                <w:szCs w:val="22"/>
                <w:lang w:eastAsia="en-US"/>
              </w:rPr>
            </w:pPr>
          </w:p>
        </w:tc>
        <w:tc>
          <w:tcPr>
            <w:tcW w:w="924" w:type="dxa"/>
          </w:tcPr>
          <w:p w:rsidR="00DC0008" w:rsidRPr="003E7E2B" w:rsidRDefault="00DC0008" w:rsidP="00C81E5A">
            <w:pPr>
              <w:keepNext/>
              <w:keepLines/>
              <w:jc w:val="center"/>
              <w:rPr>
                <w:rFonts w:ascii="Arial Narrow" w:hAnsi="Arial Narrow"/>
                <w:sz w:val="20"/>
                <w:szCs w:val="22"/>
                <w:lang w:eastAsia="en-US"/>
              </w:rPr>
            </w:pPr>
          </w:p>
        </w:tc>
        <w:tc>
          <w:tcPr>
            <w:tcW w:w="2268" w:type="dxa"/>
          </w:tcPr>
          <w:p w:rsidR="00DC0008" w:rsidRPr="003E7E2B" w:rsidRDefault="00DC0008" w:rsidP="00C81E5A">
            <w:pPr>
              <w:keepNext/>
              <w:keepLines/>
              <w:rPr>
                <w:rFonts w:ascii="Arial Narrow" w:hAnsi="Arial Narrow"/>
                <w:sz w:val="20"/>
                <w:szCs w:val="22"/>
                <w:lang w:eastAsia="en-US"/>
              </w:rPr>
            </w:pPr>
          </w:p>
        </w:tc>
        <w:tc>
          <w:tcPr>
            <w:tcW w:w="1701" w:type="dxa"/>
          </w:tcPr>
          <w:p w:rsidR="00DC0008" w:rsidRPr="003E7E2B" w:rsidRDefault="00DC0008" w:rsidP="00C81E5A">
            <w:pPr>
              <w:keepNext/>
              <w:keepLines/>
              <w:rPr>
                <w:rFonts w:ascii="Arial Narrow" w:hAnsi="Arial Narrow"/>
                <w:sz w:val="20"/>
                <w:szCs w:val="22"/>
                <w:lang w:eastAsia="en-US"/>
              </w:rPr>
            </w:pPr>
          </w:p>
        </w:tc>
      </w:tr>
      <w:tr w:rsidR="00DC0008" w:rsidRPr="003E7E2B" w:rsidTr="00C81E5A">
        <w:tc>
          <w:tcPr>
            <w:tcW w:w="0" w:type="auto"/>
          </w:tcPr>
          <w:p w:rsidR="00DC0008" w:rsidRPr="00AF0145" w:rsidRDefault="00DC0008" w:rsidP="00C81E5A">
            <w:pPr>
              <w:keepNext/>
              <w:keepLines/>
              <w:rPr>
                <w:rFonts w:ascii="Arial Narrow" w:hAnsi="Arial Narrow"/>
                <w:sz w:val="20"/>
                <w:szCs w:val="22"/>
                <w:lang w:eastAsia="en-US"/>
              </w:rPr>
            </w:pPr>
            <w:r w:rsidRPr="00AF0145">
              <w:rPr>
                <w:rFonts w:ascii="Arial Narrow" w:hAnsi="Arial Narrow"/>
                <w:sz w:val="20"/>
                <w:szCs w:val="22"/>
                <w:lang w:eastAsia="en-US"/>
              </w:rPr>
              <w:t>NIVOLUMAB</w:t>
            </w:r>
          </w:p>
          <w:p w:rsidR="00DC0008" w:rsidRPr="00AF0145" w:rsidRDefault="00DC0008" w:rsidP="00C81E5A">
            <w:pPr>
              <w:keepNext/>
              <w:keepLines/>
              <w:rPr>
                <w:rFonts w:ascii="Arial Narrow" w:hAnsi="Arial Narrow"/>
                <w:sz w:val="20"/>
                <w:szCs w:val="22"/>
                <w:lang w:eastAsia="en-US"/>
              </w:rPr>
            </w:pPr>
            <w:r w:rsidRPr="00AF0145">
              <w:rPr>
                <w:rFonts w:ascii="Arial Narrow" w:hAnsi="Arial Narrow"/>
                <w:sz w:val="20"/>
                <w:szCs w:val="22"/>
                <w:lang w:eastAsia="en-US"/>
              </w:rPr>
              <w:t>Injection 40 mg/4 mL 1 x 4 mL vial</w:t>
            </w:r>
          </w:p>
          <w:p w:rsidR="00DC0008" w:rsidRPr="003E7E2B" w:rsidRDefault="00DC0008" w:rsidP="00C81E5A">
            <w:pPr>
              <w:keepNext/>
              <w:keepLines/>
              <w:rPr>
                <w:rFonts w:ascii="Arial Narrow" w:hAnsi="Arial Narrow"/>
                <w:sz w:val="20"/>
                <w:szCs w:val="22"/>
                <w:lang w:eastAsia="en-US"/>
              </w:rPr>
            </w:pPr>
            <w:r w:rsidRPr="003E7E2B">
              <w:rPr>
                <w:rFonts w:ascii="Arial Narrow" w:hAnsi="Arial Narrow"/>
                <w:bCs/>
                <w:sz w:val="20"/>
                <w:szCs w:val="22"/>
                <w:lang w:eastAsia="en-US"/>
              </w:rPr>
              <w:t>Injection 100 mg/10 mL 1 x 10 mL vial</w:t>
            </w:r>
          </w:p>
        </w:tc>
        <w:tc>
          <w:tcPr>
            <w:tcW w:w="0" w:type="auto"/>
          </w:tcPr>
          <w:p w:rsidR="00DC0008" w:rsidRPr="003C2660" w:rsidRDefault="00DC0008" w:rsidP="00C81E5A">
            <w:pPr>
              <w:keepNext/>
              <w:keepLines/>
              <w:jc w:val="center"/>
              <w:rPr>
                <w:rFonts w:ascii="Arial Narrow" w:hAnsi="Arial Narrow"/>
                <w:sz w:val="20"/>
                <w:szCs w:val="22"/>
                <w:lang w:eastAsia="en-US"/>
              </w:rPr>
            </w:pPr>
            <w:r w:rsidRPr="003C2660">
              <w:rPr>
                <w:rFonts w:ascii="Arial Narrow" w:hAnsi="Arial Narrow"/>
                <w:sz w:val="20"/>
                <w:szCs w:val="22"/>
                <w:lang w:eastAsia="en-US"/>
              </w:rPr>
              <w:t>360 mg</w:t>
            </w:r>
          </w:p>
        </w:tc>
        <w:tc>
          <w:tcPr>
            <w:tcW w:w="924" w:type="dxa"/>
          </w:tcPr>
          <w:p w:rsidR="00DC0008" w:rsidRPr="003C2660" w:rsidRDefault="00DC0008" w:rsidP="00C81E5A">
            <w:pPr>
              <w:keepNext/>
              <w:keepLines/>
              <w:jc w:val="center"/>
              <w:rPr>
                <w:rFonts w:ascii="Arial Narrow" w:hAnsi="Arial Narrow"/>
                <w:sz w:val="20"/>
                <w:szCs w:val="22"/>
                <w:lang w:eastAsia="en-US"/>
              </w:rPr>
            </w:pPr>
            <w:r w:rsidRPr="003C2660">
              <w:rPr>
                <w:rFonts w:ascii="Arial Narrow" w:hAnsi="Arial Narrow"/>
                <w:sz w:val="20"/>
                <w:szCs w:val="22"/>
                <w:lang w:eastAsia="en-US"/>
              </w:rPr>
              <w:t>11</w:t>
            </w:r>
          </w:p>
        </w:tc>
        <w:tc>
          <w:tcPr>
            <w:tcW w:w="2268" w:type="dxa"/>
          </w:tcPr>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$7,560.13 published price</w:t>
            </w:r>
          </w:p>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Effective prices:</w:t>
            </w:r>
          </w:p>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Public: $</w:t>
            </w:r>
            <w:r w:rsidR="00B76982">
              <w:rPr>
                <w:rFonts w:ascii="Arial Narrow" w:hAnsi="Arial Narrow"/>
                <w:noProof/>
                <w:color w:val="000000"/>
                <w:sz w:val="20"/>
                <w:szCs w:val="22"/>
                <w:highlight w:val="black"/>
                <w:lang w:eastAsia="en-US"/>
              </w:rPr>
              <w:t>'''''''''''''''''''''</w:t>
            </w:r>
            <w:r w:rsidRPr="003E7E2B">
              <w:rPr>
                <w:rFonts w:ascii="Arial Narrow" w:hAnsi="Arial Narrow"/>
                <w:sz w:val="20"/>
                <w:szCs w:val="22"/>
                <w:lang w:eastAsia="en-US"/>
              </w:rPr>
              <w:t xml:space="preserve"> </w:t>
            </w:r>
          </w:p>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Private: $</w:t>
            </w:r>
            <w:r w:rsidR="00B76982">
              <w:rPr>
                <w:rFonts w:ascii="Arial Narrow" w:hAnsi="Arial Narrow"/>
                <w:noProof/>
                <w:color w:val="000000"/>
                <w:sz w:val="20"/>
                <w:szCs w:val="22"/>
                <w:highlight w:val="black"/>
                <w:lang w:eastAsia="en-US"/>
              </w:rPr>
              <w:t>'''''''''''''''''''</w:t>
            </w:r>
          </w:p>
        </w:tc>
        <w:tc>
          <w:tcPr>
            <w:tcW w:w="1701" w:type="dxa"/>
          </w:tcPr>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OPDIVO Bristol-Myers Squibb Australia Pty Ltd</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C81E5A">
            <w:pPr>
              <w:keepNext/>
              <w:keepLines/>
              <w:rPr>
                <w:rFonts w:ascii="Arial Narrow" w:hAnsi="Arial Narrow"/>
                <w:b/>
                <w:sz w:val="20"/>
                <w:szCs w:val="22"/>
                <w:lang w:eastAsia="en-US"/>
              </w:rPr>
            </w:pPr>
            <w:r w:rsidRPr="003E7E2B">
              <w:rPr>
                <w:rFonts w:ascii="Arial Narrow" w:hAnsi="Arial Narrow"/>
                <w:b/>
                <w:sz w:val="20"/>
                <w:szCs w:val="22"/>
                <w:lang w:eastAsia="en-US"/>
              </w:rPr>
              <w:t>Category/ Program</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C81E5A">
            <w:pPr>
              <w:keepNext/>
              <w:keepLines/>
              <w:rPr>
                <w:rFonts w:ascii="Arial Narrow" w:hAnsi="Arial Narrow"/>
                <w:sz w:val="20"/>
                <w:szCs w:val="22"/>
                <w:lang w:eastAsia="en-US"/>
              </w:rPr>
            </w:pPr>
            <w:r w:rsidRPr="003E7E2B">
              <w:rPr>
                <w:rFonts w:ascii="Arial Narrow" w:hAnsi="Arial Narrow"/>
                <w:sz w:val="20"/>
                <w:szCs w:val="22"/>
                <w:lang w:eastAsia="en-US"/>
              </w:rPr>
              <w:t>Section 100 - Efficient funding of Chemotherapy</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Prescriber type</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Medical Practitioners</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Severity:</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Stage IV</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Condition:</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Clear cell variant renal cell carcinoma (RCC)</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PBS Indication:</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Stage IV clear cell variant renal cell carcinoma (RCC)</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b/>
                <w:sz w:val="20"/>
                <w:szCs w:val="22"/>
                <w:lang w:eastAsia="en-US"/>
              </w:rPr>
              <w:t>Treatment phase:</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i/>
                <w:sz w:val="20"/>
                <w:szCs w:val="22"/>
                <w:lang w:eastAsia="en-US"/>
              </w:rPr>
            </w:pPr>
            <w:r w:rsidRPr="003E7E2B">
              <w:rPr>
                <w:rFonts w:ascii="Arial Narrow" w:hAnsi="Arial Narrow"/>
                <w:sz w:val="20"/>
                <w:szCs w:val="22"/>
                <w:lang w:eastAsia="en-US"/>
              </w:rPr>
              <w:t xml:space="preserve">Continuing treatment </w:t>
            </w:r>
            <w:r w:rsidRPr="003E7E2B">
              <w:rPr>
                <w:rFonts w:ascii="Arial Narrow" w:hAnsi="Arial Narrow"/>
                <w:i/>
                <w:sz w:val="20"/>
                <w:szCs w:val="22"/>
                <w:lang w:eastAsia="en-US"/>
              </w:rPr>
              <w:t>with nivolumab monotherapy</w:t>
            </w:r>
            <w:r w:rsidRPr="003E7E2B">
              <w:rPr>
                <w:rFonts w:ascii="Arial Narrow" w:hAnsi="Arial Narrow"/>
                <w:sz w:val="20"/>
                <w:szCs w:val="22"/>
                <w:lang w:eastAsia="en-US"/>
              </w:rPr>
              <w:t xml:space="preserve"> </w:t>
            </w:r>
            <w:r w:rsidRPr="003E7E2B">
              <w:rPr>
                <w:rFonts w:ascii="Arial Narrow" w:hAnsi="Arial Narrow"/>
                <w:i/>
                <w:sz w:val="20"/>
                <w:szCs w:val="22"/>
                <w:lang w:eastAsia="en-US"/>
              </w:rPr>
              <w:t>following first line nivolumab plus ipilimumab induction</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b/>
                <w:sz w:val="20"/>
                <w:szCs w:val="22"/>
                <w:lang w:eastAsia="en-US"/>
              </w:rPr>
              <w:t>Restriction:</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ED5AEF">
              <w:rPr>
                <w:rFonts w:ascii="Arial Narrow" w:hAnsi="Arial Narrow"/>
                <w:sz w:val="20"/>
                <w:szCs w:val="22"/>
                <w:lang w:eastAsia="en-US"/>
              </w:rPr>
              <w:fldChar w:fldCharType="begin">
                <w:ffData>
                  <w:name w:val=""/>
                  <w:enabled/>
                  <w:calcOnExit w:val="0"/>
                  <w:checkBox>
                    <w:sizeAuto/>
                    <w:default w:val="1"/>
                  </w:checkBox>
                </w:ffData>
              </w:fldChar>
            </w:r>
            <w:r w:rsidRPr="003E7E2B">
              <w:rPr>
                <w:rFonts w:ascii="Arial Narrow" w:hAnsi="Arial Narrow"/>
                <w:sz w:val="20"/>
                <w:szCs w:val="22"/>
                <w:lang w:eastAsia="en-US"/>
              </w:rPr>
              <w:instrText xml:space="preserve"> FORMCHECKBOX </w:instrText>
            </w:r>
            <w:r w:rsidR="004473C8">
              <w:rPr>
                <w:rFonts w:ascii="Arial Narrow" w:hAnsi="Arial Narrow"/>
                <w:sz w:val="20"/>
                <w:szCs w:val="22"/>
                <w:lang w:eastAsia="en-US"/>
              </w:rPr>
            </w:r>
            <w:r w:rsidR="004473C8">
              <w:rPr>
                <w:rFonts w:ascii="Arial Narrow" w:hAnsi="Arial Narrow"/>
                <w:sz w:val="20"/>
                <w:szCs w:val="22"/>
                <w:lang w:eastAsia="en-US"/>
              </w:rPr>
              <w:fldChar w:fldCharType="separate"/>
            </w:r>
            <w:r w:rsidRPr="00ED5AEF">
              <w:rPr>
                <w:rFonts w:ascii="Arial Narrow" w:hAnsi="Arial Narrow"/>
                <w:sz w:val="20"/>
                <w:szCs w:val="22"/>
                <w:lang w:eastAsia="en-US"/>
              </w:rPr>
              <w:fldChar w:fldCharType="end"/>
            </w:r>
            <w:r w:rsidRPr="003E7E2B">
              <w:rPr>
                <w:rFonts w:ascii="Arial Narrow" w:hAnsi="Arial Narrow"/>
                <w:sz w:val="20"/>
                <w:szCs w:val="22"/>
                <w:lang w:eastAsia="en-US"/>
              </w:rPr>
              <w:t>Streamlined</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C81E5A" w:rsidP="00497AD7">
            <w:pPr>
              <w:rPr>
                <w:rFonts w:ascii="Arial Narrow" w:hAnsi="Arial Narrow"/>
                <w:b/>
                <w:sz w:val="20"/>
                <w:szCs w:val="22"/>
                <w:lang w:eastAsia="en-US"/>
              </w:rPr>
            </w:pPr>
            <w:r>
              <w:rPr>
                <w:rFonts w:ascii="Arial Narrow" w:hAnsi="Arial Narrow"/>
                <w:b/>
                <w:sz w:val="20"/>
                <w:szCs w:val="22"/>
                <w:lang w:eastAsia="en-US"/>
              </w:rPr>
              <w:t>Clinical</w:t>
            </w:r>
            <w:r w:rsidR="00DC0008" w:rsidRPr="003E7E2B">
              <w:rPr>
                <w:rFonts w:ascii="Arial Narrow" w:hAnsi="Arial Narrow"/>
                <w:b/>
                <w:sz w:val="20"/>
                <w:szCs w:val="22"/>
                <w:lang w:eastAsia="en-US"/>
              </w:rPr>
              <w:t xml:space="preserve"> criteria:</w:t>
            </w:r>
          </w:p>
          <w:p w:rsidR="00DC0008" w:rsidRPr="003E7E2B" w:rsidRDefault="00DC0008" w:rsidP="00497AD7">
            <w:pPr>
              <w:rPr>
                <w:rFonts w:ascii="Arial Narrow" w:hAnsi="Arial Narrow"/>
                <w:sz w:val="20"/>
                <w:szCs w:val="22"/>
                <w:lang w:eastAsia="en-US"/>
              </w:rPr>
            </w:pP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trike/>
                <w:sz w:val="20"/>
                <w:szCs w:val="22"/>
                <w:lang w:eastAsia="en-US"/>
              </w:rPr>
            </w:pPr>
            <w:r w:rsidRPr="00AF0145">
              <w:rPr>
                <w:rFonts w:ascii="Arial Narrow" w:hAnsi="Arial Narrow"/>
                <w:sz w:val="20"/>
                <w:szCs w:val="22"/>
                <w:lang w:eastAsia="en-US"/>
              </w:rPr>
              <w:t xml:space="preserve">Patient must have previously </w:t>
            </w:r>
            <w:r w:rsidR="00F5543B">
              <w:rPr>
                <w:rFonts w:ascii="Arial Narrow" w:hAnsi="Arial Narrow"/>
                <w:sz w:val="20"/>
                <w:szCs w:val="22"/>
                <w:lang w:eastAsia="en-US"/>
              </w:rPr>
              <w:t>r</w:t>
            </w:r>
            <w:r w:rsidR="00F5543B" w:rsidRPr="00F5543B">
              <w:rPr>
                <w:rFonts w:ascii="Arial Narrow" w:hAnsi="Arial Narrow"/>
                <w:i/>
                <w:sz w:val="20"/>
                <w:szCs w:val="22"/>
                <w:lang w:eastAsia="en-US"/>
              </w:rPr>
              <w:t xml:space="preserve">eceived up to </w:t>
            </w:r>
            <w:r w:rsidR="00F5543B">
              <w:rPr>
                <w:rFonts w:ascii="Arial Narrow" w:hAnsi="Arial Narrow"/>
                <w:i/>
                <w:sz w:val="20"/>
                <w:szCs w:val="22"/>
                <w:lang w:eastAsia="en-US"/>
              </w:rPr>
              <w:t xml:space="preserve">a </w:t>
            </w:r>
            <w:r w:rsidR="00F5543B" w:rsidRPr="00F5543B">
              <w:rPr>
                <w:rFonts w:ascii="Arial Narrow" w:hAnsi="Arial Narrow"/>
                <w:i/>
                <w:sz w:val="20"/>
                <w:szCs w:val="22"/>
                <w:lang w:eastAsia="en-US"/>
              </w:rPr>
              <w:t xml:space="preserve">maximum </w:t>
            </w:r>
            <w:r w:rsidR="00F5543B">
              <w:rPr>
                <w:rFonts w:ascii="Arial Narrow" w:hAnsi="Arial Narrow"/>
                <w:i/>
                <w:sz w:val="20"/>
                <w:szCs w:val="22"/>
                <w:lang w:eastAsia="en-US"/>
              </w:rPr>
              <w:t xml:space="preserve">of </w:t>
            </w:r>
            <w:r w:rsidR="00F5543B" w:rsidRPr="00F5543B">
              <w:rPr>
                <w:rFonts w:ascii="Arial Narrow" w:hAnsi="Arial Narrow"/>
                <w:i/>
                <w:sz w:val="20"/>
                <w:szCs w:val="22"/>
                <w:lang w:eastAsia="en-US"/>
              </w:rPr>
              <w:t xml:space="preserve">4 doses of PBS-subsidised combined treatment with </w:t>
            </w:r>
            <w:r w:rsidRPr="00F5543B">
              <w:rPr>
                <w:rFonts w:ascii="Arial Narrow" w:hAnsi="Arial Narrow"/>
                <w:strike/>
                <w:sz w:val="20"/>
                <w:szCs w:val="22"/>
                <w:lang w:eastAsia="en-US"/>
              </w:rPr>
              <w:t>been issued with</w:t>
            </w:r>
            <w:r w:rsidR="00E071CA" w:rsidRPr="00F5543B">
              <w:rPr>
                <w:rFonts w:ascii="Arial Narrow" w:hAnsi="Arial Narrow"/>
                <w:strike/>
                <w:sz w:val="20"/>
                <w:szCs w:val="22"/>
                <w:lang w:eastAsia="en-US"/>
              </w:rPr>
              <w:t xml:space="preserve"> </w:t>
            </w:r>
            <w:r w:rsidR="00E071CA" w:rsidRPr="00F5543B">
              <w:rPr>
                <w:rFonts w:ascii="Arial Narrow" w:hAnsi="Arial Narrow"/>
                <w:i/>
                <w:strike/>
                <w:sz w:val="20"/>
                <w:szCs w:val="22"/>
                <w:lang w:eastAsia="en-US"/>
              </w:rPr>
              <w:t>an</w:t>
            </w:r>
            <w:r w:rsidRPr="00F5543B">
              <w:rPr>
                <w:rFonts w:ascii="Arial Narrow" w:hAnsi="Arial Narrow"/>
                <w:strike/>
                <w:sz w:val="20"/>
                <w:szCs w:val="22"/>
                <w:lang w:eastAsia="en-US"/>
              </w:rPr>
              <w:t xml:space="preserve"> authority prescriptions for</w:t>
            </w:r>
            <w:r w:rsidRPr="00AF0145">
              <w:rPr>
                <w:rFonts w:ascii="Arial Narrow" w:hAnsi="Arial Narrow"/>
                <w:sz w:val="20"/>
                <w:szCs w:val="22"/>
                <w:lang w:eastAsia="en-US"/>
              </w:rPr>
              <w:t xml:space="preserve"> </w:t>
            </w:r>
            <w:r w:rsidRPr="003E7E2B">
              <w:rPr>
                <w:rFonts w:ascii="Arial Narrow" w:hAnsi="Arial Narrow"/>
                <w:strike/>
                <w:sz w:val="20"/>
                <w:szCs w:val="22"/>
                <w:lang w:eastAsia="en-US"/>
              </w:rPr>
              <w:t xml:space="preserve">induction phase </w:t>
            </w:r>
            <w:r w:rsidRPr="00F5543B">
              <w:rPr>
                <w:rFonts w:ascii="Arial Narrow" w:hAnsi="Arial Narrow"/>
                <w:sz w:val="20"/>
                <w:szCs w:val="22"/>
                <w:lang w:eastAsia="en-US"/>
              </w:rPr>
              <w:t>nivolumab and ipilimumab</w:t>
            </w:r>
            <w:r w:rsidR="00F5543B">
              <w:rPr>
                <w:rFonts w:ascii="Arial Narrow" w:hAnsi="Arial Narrow"/>
                <w:sz w:val="20"/>
                <w:szCs w:val="22"/>
                <w:lang w:eastAsia="en-US"/>
              </w:rPr>
              <w:t xml:space="preserve"> </w:t>
            </w:r>
            <w:r w:rsidR="00F5543B">
              <w:rPr>
                <w:rFonts w:ascii="Arial Narrow" w:hAnsi="Arial Narrow"/>
                <w:i/>
                <w:sz w:val="20"/>
                <w:szCs w:val="22"/>
                <w:lang w:eastAsia="en-US"/>
              </w:rPr>
              <w:t xml:space="preserve">as induction </w:t>
            </w:r>
            <w:r w:rsidRPr="003E7E2B">
              <w:rPr>
                <w:rFonts w:ascii="Arial Narrow" w:hAnsi="Arial Narrow"/>
                <w:strike/>
                <w:sz w:val="20"/>
                <w:szCs w:val="22"/>
                <w:lang w:eastAsia="en-US"/>
              </w:rPr>
              <w:t xml:space="preserve"> combination </w:t>
            </w:r>
            <w:r w:rsidRPr="00F5543B">
              <w:rPr>
                <w:rFonts w:ascii="Arial Narrow" w:hAnsi="Arial Narrow"/>
                <w:sz w:val="20"/>
                <w:szCs w:val="22"/>
                <w:lang w:eastAsia="en-US"/>
              </w:rPr>
              <w:t xml:space="preserve">therapy </w:t>
            </w:r>
            <w:r w:rsidRPr="00AF0145">
              <w:rPr>
                <w:rFonts w:ascii="Arial Narrow" w:hAnsi="Arial Narrow"/>
                <w:sz w:val="20"/>
                <w:szCs w:val="22"/>
                <w:lang w:eastAsia="en-US"/>
              </w:rPr>
              <w:t>for this condition</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AND</w:t>
            </w:r>
          </w:p>
          <w:p w:rsidR="00DC0008" w:rsidRPr="003E7E2B" w:rsidRDefault="00DC0008" w:rsidP="00313434">
            <w:pPr>
              <w:rPr>
                <w:rFonts w:ascii="Arial Narrow" w:hAnsi="Arial Narrow"/>
                <w:sz w:val="20"/>
                <w:szCs w:val="22"/>
                <w:lang w:eastAsia="en-US"/>
              </w:rPr>
            </w:pPr>
            <w:r w:rsidRPr="003E7E2B">
              <w:rPr>
                <w:rFonts w:ascii="Arial Narrow" w:hAnsi="Arial Narrow"/>
                <w:strike/>
                <w:sz w:val="20"/>
                <w:szCs w:val="22"/>
                <w:lang w:eastAsia="en-US"/>
              </w:rPr>
              <w:t>This drug</w:t>
            </w:r>
            <w:r w:rsidRPr="003E7E2B">
              <w:rPr>
                <w:rFonts w:ascii="Arial Narrow" w:hAnsi="Arial Narrow"/>
                <w:sz w:val="20"/>
                <w:szCs w:val="22"/>
                <w:lang w:eastAsia="en-US"/>
              </w:rPr>
              <w:t xml:space="preserve"> </w:t>
            </w:r>
            <w:r w:rsidRPr="003E7E2B">
              <w:rPr>
                <w:rFonts w:ascii="Arial Narrow" w:hAnsi="Arial Narrow"/>
                <w:i/>
                <w:sz w:val="20"/>
                <w:szCs w:val="22"/>
                <w:lang w:eastAsia="en-US"/>
              </w:rPr>
              <w:t>The treatment</w:t>
            </w:r>
            <w:r w:rsidRPr="003E7E2B">
              <w:rPr>
                <w:rFonts w:ascii="Arial Narrow" w:hAnsi="Arial Narrow"/>
                <w:sz w:val="20"/>
                <w:szCs w:val="22"/>
                <w:lang w:eastAsia="en-US"/>
              </w:rPr>
              <w:t xml:space="preserve"> must be </w:t>
            </w:r>
            <w:r w:rsidR="00313434" w:rsidRPr="00313434">
              <w:rPr>
                <w:rFonts w:ascii="Arial Narrow" w:hAnsi="Arial Narrow"/>
                <w:i/>
                <w:sz w:val="20"/>
                <w:szCs w:val="22"/>
                <w:lang w:eastAsia="en-US"/>
              </w:rPr>
              <w:t>as monotherapy</w:t>
            </w:r>
            <w:r w:rsidR="00313434" w:rsidRPr="00313434">
              <w:rPr>
                <w:rFonts w:ascii="Arial Narrow" w:hAnsi="Arial Narrow"/>
                <w:sz w:val="20"/>
                <w:szCs w:val="22"/>
                <w:lang w:eastAsia="en-US"/>
              </w:rPr>
              <w:t xml:space="preserve"> </w:t>
            </w:r>
            <w:r w:rsidRPr="00313434">
              <w:rPr>
                <w:rFonts w:ascii="Arial Narrow" w:hAnsi="Arial Narrow"/>
                <w:strike/>
                <w:sz w:val="20"/>
                <w:szCs w:val="22"/>
                <w:lang w:eastAsia="en-US"/>
              </w:rPr>
              <w:t>the sole PBS-subsided</w:t>
            </w:r>
            <w:r w:rsidRPr="003E7E2B">
              <w:rPr>
                <w:rFonts w:ascii="Arial Narrow" w:hAnsi="Arial Narrow"/>
                <w:sz w:val="20"/>
                <w:szCs w:val="22"/>
                <w:lang w:eastAsia="en-US"/>
              </w:rPr>
              <w:t xml:space="preserve"> </w:t>
            </w:r>
            <w:r w:rsidRPr="003E7E2B">
              <w:rPr>
                <w:rFonts w:ascii="Arial Narrow" w:hAnsi="Arial Narrow"/>
                <w:strike/>
                <w:sz w:val="20"/>
                <w:szCs w:val="22"/>
                <w:lang w:eastAsia="en-US"/>
              </w:rPr>
              <w:t>treatment</w:t>
            </w:r>
            <w:r w:rsidRPr="003E7E2B">
              <w:rPr>
                <w:rFonts w:ascii="Arial Narrow" w:hAnsi="Arial Narrow"/>
                <w:sz w:val="20"/>
                <w:szCs w:val="22"/>
                <w:lang w:eastAsia="en-US"/>
              </w:rPr>
              <w:t xml:space="preserve"> for this condition</w:t>
            </w: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AND</w:t>
            </w:r>
          </w:p>
          <w:p w:rsidR="00DC0008" w:rsidRPr="003E7E2B" w:rsidRDefault="00DC0008" w:rsidP="0005293C">
            <w:pPr>
              <w:rPr>
                <w:rFonts w:ascii="Arial Narrow" w:hAnsi="Arial Narrow" w:cs="Arial"/>
                <w:sz w:val="20"/>
                <w:szCs w:val="22"/>
                <w:lang w:eastAsia="en-US"/>
              </w:rPr>
            </w:pPr>
            <w:r w:rsidRPr="003E7E2B">
              <w:rPr>
                <w:rFonts w:ascii="Arial Narrow" w:hAnsi="Arial Narrow"/>
                <w:sz w:val="20"/>
                <w:szCs w:val="22"/>
                <w:lang w:eastAsia="en-US"/>
              </w:rPr>
              <w:t xml:space="preserve">Patient must have stable or responding disease </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Prescriber Instructions:</w:t>
            </w:r>
          </w:p>
        </w:tc>
        <w:tc>
          <w:tcPr>
            <w:tcW w:w="7229" w:type="dxa"/>
            <w:gridSpan w:val="4"/>
            <w:tcBorders>
              <w:top w:val="single" w:sz="4" w:space="0" w:color="auto"/>
              <w:left w:val="single" w:sz="4" w:space="0" w:color="auto"/>
              <w:bottom w:val="single" w:sz="4" w:space="0" w:color="auto"/>
              <w:right w:val="single" w:sz="4" w:space="0" w:color="auto"/>
            </w:tcBorders>
          </w:tcPr>
          <w:p w:rsidR="0005293C" w:rsidRDefault="0005293C" w:rsidP="00497AD7">
            <w:pPr>
              <w:rPr>
                <w:rFonts w:ascii="Arial Narrow" w:hAnsi="Arial Narrow" w:cs="Arial"/>
                <w:sz w:val="20"/>
                <w:szCs w:val="22"/>
                <w:lang w:eastAsia="en-US"/>
              </w:rPr>
            </w:pPr>
            <w:proofErr w:type="spellStart"/>
            <w:r w:rsidRPr="0005293C">
              <w:rPr>
                <w:rFonts w:ascii="Arial Narrow" w:hAnsi="Arial Narrow" w:cs="Arial"/>
                <w:strike/>
                <w:sz w:val="20"/>
                <w:szCs w:val="22"/>
                <w:lang w:eastAsia="en-US"/>
              </w:rPr>
              <w:t>The</w:t>
            </w:r>
            <w:r>
              <w:rPr>
                <w:rFonts w:ascii="Arial Narrow" w:hAnsi="Arial Narrow" w:cs="Arial"/>
                <w:i/>
                <w:sz w:val="20"/>
                <w:szCs w:val="22"/>
                <w:lang w:eastAsia="en-US"/>
              </w:rPr>
              <w:t>Maintenance</w:t>
            </w:r>
            <w:proofErr w:type="spellEnd"/>
            <w:r w:rsidRPr="003E7E2B">
              <w:rPr>
                <w:rFonts w:ascii="Arial Narrow" w:hAnsi="Arial Narrow" w:cs="Arial"/>
                <w:sz w:val="20"/>
                <w:szCs w:val="22"/>
                <w:lang w:eastAsia="en-US"/>
              </w:rPr>
              <w:t xml:space="preserve"> treatment </w:t>
            </w:r>
            <w:r w:rsidRPr="0005293C">
              <w:rPr>
                <w:rFonts w:ascii="Arial Narrow" w:hAnsi="Arial Narrow" w:cs="Arial"/>
                <w:sz w:val="20"/>
                <w:szCs w:val="22"/>
                <w:lang w:eastAsia="en-US"/>
              </w:rPr>
              <w:t>with nivolumab</w:t>
            </w:r>
            <w:r w:rsidRPr="003E7E2B">
              <w:rPr>
                <w:rFonts w:ascii="Arial Narrow" w:hAnsi="Arial Narrow" w:cs="Arial"/>
                <w:sz w:val="20"/>
                <w:szCs w:val="22"/>
                <w:lang w:eastAsia="en-US"/>
              </w:rPr>
              <w:t xml:space="preserve"> must not exceed a maximum dose of 3 mg per kg every 2 weeks.</w:t>
            </w:r>
          </w:p>
          <w:p w:rsidR="0005293C" w:rsidRDefault="0005293C" w:rsidP="00497AD7">
            <w:pPr>
              <w:rPr>
                <w:rFonts w:ascii="Arial Narrow" w:hAnsi="Arial Narrow"/>
                <w:sz w:val="20"/>
                <w:szCs w:val="22"/>
                <w:lang w:eastAsia="en-US"/>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The patient’s body weight must be documented in the patient’s medical records at the time treatment is initiated</w:t>
            </w:r>
          </w:p>
        </w:tc>
      </w:tr>
      <w:tr w:rsidR="00DC0008" w:rsidRPr="003E7E2B" w:rsidTr="00C81E5A">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843"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b/>
                <w:sz w:val="20"/>
                <w:szCs w:val="22"/>
                <w:lang w:eastAsia="en-US"/>
              </w:rPr>
            </w:pPr>
            <w:r w:rsidRPr="003E7E2B">
              <w:rPr>
                <w:rFonts w:ascii="Arial Narrow" w:hAnsi="Arial Narrow"/>
                <w:b/>
                <w:sz w:val="20"/>
                <w:szCs w:val="22"/>
                <w:lang w:eastAsia="en-US"/>
              </w:rPr>
              <w:t>Administrative Advice:</w:t>
            </w:r>
          </w:p>
        </w:tc>
        <w:tc>
          <w:tcPr>
            <w:tcW w:w="7229" w:type="dxa"/>
            <w:gridSpan w:val="4"/>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No increase in the maximum number of repeats may be authorised.</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No increase in the maximum quantity or number of units may be authorised.</w:t>
            </w:r>
          </w:p>
          <w:p w:rsidR="00DC0008" w:rsidRPr="003E7E2B" w:rsidRDefault="00DC0008" w:rsidP="00497AD7">
            <w:pPr>
              <w:rPr>
                <w:rFonts w:ascii="Arial Narrow" w:hAnsi="Arial Narrow"/>
                <w:sz w:val="20"/>
                <w:szCs w:val="22"/>
                <w:lang w:eastAsia="en-US"/>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Special Pricing Arrangements apply.</w:t>
            </w:r>
          </w:p>
        </w:tc>
      </w:tr>
    </w:tbl>
    <w:p w:rsidR="00DC0008" w:rsidRPr="003E7E2B" w:rsidRDefault="00DC0008" w:rsidP="00DC0008">
      <w:pPr>
        <w:rPr>
          <w:szCs w:val="22"/>
        </w:rPr>
      </w:pPr>
    </w:p>
    <w:p w:rsidR="00DC0008" w:rsidRDefault="00DC0008" w:rsidP="00DC0008">
      <w:pPr>
        <w:rPr>
          <w:rFonts w:ascii="Calibri" w:hAnsi="Calibri" w:cs="Arial"/>
          <w:b/>
          <w:snapToGrid w:val="0"/>
          <w:szCs w:val="22"/>
          <w:lang w:eastAsia="en-US"/>
        </w:rPr>
      </w:pPr>
      <w:r w:rsidRPr="003E7E2B">
        <w:rPr>
          <w:rFonts w:ascii="Calibri" w:hAnsi="Calibri" w:cs="Arial"/>
          <w:b/>
          <w:snapToGrid w:val="0"/>
          <w:szCs w:val="22"/>
          <w:lang w:eastAsia="en-US"/>
        </w:rPr>
        <w:t>Grandfathering restriction – nivolumab induction</w:t>
      </w:r>
      <w:r w:rsidR="00ED04F1">
        <w:rPr>
          <w:rFonts w:ascii="Calibri" w:hAnsi="Calibri" w:cs="Arial"/>
          <w:b/>
          <w:snapToGrid w:val="0"/>
          <w:szCs w:val="22"/>
          <w:lang w:eastAsia="en-US"/>
        </w:rPr>
        <w:t xml:space="preserve"> and continuing</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80"/>
        <w:gridCol w:w="1849"/>
        <w:gridCol w:w="1483"/>
        <w:gridCol w:w="875"/>
        <w:gridCol w:w="924"/>
        <w:gridCol w:w="2268"/>
        <w:gridCol w:w="1683"/>
        <w:gridCol w:w="18"/>
      </w:tblGrid>
      <w:tr w:rsidR="00C81E5A" w:rsidRPr="003E7E2B" w:rsidTr="00C81E5A">
        <w:tc>
          <w:tcPr>
            <w:tcW w:w="3412" w:type="dxa"/>
            <w:gridSpan w:val="3"/>
          </w:tcPr>
          <w:p w:rsidR="00C81E5A" w:rsidRPr="00AF0145" w:rsidRDefault="00C81E5A" w:rsidP="007D2CE9">
            <w:pPr>
              <w:keepNext/>
              <w:keepLines/>
              <w:rPr>
                <w:rFonts w:ascii="Arial Narrow" w:hAnsi="Arial Narrow"/>
                <w:i/>
                <w:sz w:val="20"/>
                <w:szCs w:val="22"/>
                <w:lang w:eastAsia="en-US"/>
              </w:rPr>
            </w:pPr>
            <w:r w:rsidRPr="00AF0145">
              <w:rPr>
                <w:rFonts w:ascii="Arial Narrow" w:hAnsi="Arial Narrow"/>
                <w:i/>
                <w:sz w:val="20"/>
                <w:szCs w:val="22"/>
                <w:lang w:eastAsia="en-US"/>
              </w:rPr>
              <w:t>NIVOLUMAB</w:t>
            </w:r>
          </w:p>
          <w:p w:rsidR="00C81E5A" w:rsidRPr="00AF0145" w:rsidRDefault="00C81E5A" w:rsidP="007D2CE9">
            <w:pPr>
              <w:keepNext/>
              <w:keepLines/>
              <w:rPr>
                <w:rFonts w:ascii="Arial Narrow" w:hAnsi="Arial Narrow"/>
                <w:i/>
                <w:sz w:val="20"/>
                <w:szCs w:val="22"/>
                <w:lang w:eastAsia="en-US"/>
              </w:rPr>
            </w:pPr>
            <w:r w:rsidRPr="00AF0145">
              <w:rPr>
                <w:rFonts w:ascii="Arial Narrow" w:hAnsi="Arial Narrow"/>
                <w:i/>
                <w:sz w:val="20"/>
                <w:szCs w:val="22"/>
                <w:lang w:eastAsia="en-US"/>
              </w:rPr>
              <w:t>Injection 40 mg/4 mL 1 x 4 mL vial</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bCs/>
                <w:i/>
                <w:sz w:val="20"/>
                <w:szCs w:val="22"/>
                <w:lang w:eastAsia="en-US"/>
              </w:rPr>
              <w:t>Injection 100 mg/10 mL 1 x 10 mL vial</w:t>
            </w:r>
          </w:p>
        </w:tc>
        <w:tc>
          <w:tcPr>
            <w:tcW w:w="875" w:type="dxa"/>
          </w:tcPr>
          <w:p w:rsidR="00C81E5A" w:rsidRPr="00C81E5A" w:rsidRDefault="00C81E5A" w:rsidP="007D2CE9">
            <w:pPr>
              <w:keepNext/>
              <w:keepLines/>
              <w:jc w:val="center"/>
              <w:rPr>
                <w:rFonts w:ascii="Arial Narrow" w:hAnsi="Arial Narrow"/>
                <w:i/>
                <w:sz w:val="20"/>
                <w:szCs w:val="22"/>
                <w:lang w:eastAsia="en-US"/>
              </w:rPr>
            </w:pPr>
            <w:r w:rsidRPr="00C81E5A">
              <w:rPr>
                <w:rFonts w:ascii="Arial Narrow" w:hAnsi="Arial Narrow"/>
                <w:i/>
                <w:sz w:val="20"/>
                <w:szCs w:val="22"/>
                <w:lang w:eastAsia="en-US"/>
              </w:rPr>
              <w:t>360 mg</w:t>
            </w:r>
          </w:p>
          <w:p w:rsidR="00C81E5A" w:rsidRPr="00C81E5A" w:rsidRDefault="00C81E5A" w:rsidP="007D2CE9">
            <w:pPr>
              <w:keepNext/>
              <w:keepLines/>
              <w:jc w:val="center"/>
              <w:rPr>
                <w:rFonts w:ascii="Arial Narrow" w:hAnsi="Arial Narrow"/>
                <w:i/>
                <w:sz w:val="20"/>
                <w:szCs w:val="22"/>
                <w:lang w:eastAsia="en-US"/>
              </w:rPr>
            </w:pPr>
          </w:p>
        </w:tc>
        <w:tc>
          <w:tcPr>
            <w:tcW w:w="924" w:type="dxa"/>
          </w:tcPr>
          <w:p w:rsidR="00C81E5A" w:rsidRPr="00C81E5A" w:rsidRDefault="00C81E5A" w:rsidP="007D2CE9">
            <w:pPr>
              <w:keepNext/>
              <w:keepLines/>
              <w:jc w:val="center"/>
              <w:rPr>
                <w:rFonts w:ascii="Arial Narrow" w:hAnsi="Arial Narrow"/>
                <w:i/>
                <w:sz w:val="20"/>
                <w:szCs w:val="22"/>
                <w:lang w:eastAsia="en-US"/>
              </w:rPr>
            </w:pPr>
            <w:r>
              <w:rPr>
                <w:rFonts w:ascii="Arial Narrow" w:hAnsi="Arial Narrow"/>
                <w:i/>
                <w:sz w:val="20"/>
                <w:szCs w:val="22"/>
                <w:lang w:eastAsia="en-US"/>
              </w:rPr>
              <w:t>2</w:t>
            </w:r>
          </w:p>
          <w:p w:rsidR="00C81E5A" w:rsidRPr="00C81E5A" w:rsidRDefault="00C81E5A" w:rsidP="007D2CE9">
            <w:pPr>
              <w:keepNext/>
              <w:keepLines/>
              <w:jc w:val="center"/>
              <w:rPr>
                <w:rFonts w:ascii="Arial Narrow" w:hAnsi="Arial Narrow"/>
                <w:i/>
                <w:sz w:val="20"/>
                <w:szCs w:val="22"/>
                <w:lang w:eastAsia="en-US"/>
              </w:rPr>
            </w:pPr>
          </w:p>
        </w:tc>
        <w:tc>
          <w:tcPr>
            <w:tcW w:w="2268" w:type="dxa"/>
          </w:tcPr>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$7,560.13 published price</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Effective prices:</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Public: $</w:t>
            </w:r>
            <w:r w:rsidR="00B76982">
              <w:rPr>
                <w:rFonts w:ascii="Arial Narrow" w:hAnsi="Arial Narrow"/>
                <w:i/>
                <w:noProof/>
                <w:color w:val="000000"/>
                <w:sz w:val="20"/>
                <w:szCs w:val="22"/>
                <w:highlight w:val="black"/>
                <w:lang w:eastAsia="en-US"/>
              </w:rPr>
              <w:t>'''''''''''''''''''''</w:t>
            </w:r>
            <w:r w:rsidRPr="00C81E5A">
              <w:rPr>
                <w:rFonts w:ascii="Arial Narrow" w:hAnsi="Arial Narrow"/>
                <w:i/>
                <w:sz w:val="20"/>
                <w:szCs w:val="22"/>
                <w:lang w:eastAsia="en-US"/>
              </w:rPr>
              <w:t xml:space="preserve"> </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Private: $</w:t>
            </w:r>
            <w:r w:rsidR="00B76982">
              <w:rPr>
                <w:rFonts w:ascii="Arial Narrow" w:hAnsi="Arial Narrow"/>
                <w:i/>
                <w:noProof/>
                <w:color w:val="000000"/>
                <w:sz w:val="20"/>
                <w:szCs w:val="22"/>
                <w:highlight w:val="black"/>
                <w:lang w:eastAsia="en-US"/>
              </w:rPr>
              <w:t>''''''''''''''''''''''</w:t>
            </w:r>
          </w:p>
        </w:tc>
        <w:tc>
          <w:tcPr>
            <w:tcW w:w="1701" w:type="dxa"/>
            <w:gridSpan w:val="2"/>
          </w:tcPr>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OPDIVO Bristol-Myers Squibb Australia Pty Ltd</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 xml:space="preserve">Category / Program </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sz w:val="20"/>
              </w:rPr>
            </w:pPr>
            <w:r w:rsidRPr="003E7E2B">
              <w:rPr>
                <w:rFonts w:ascii="Arial Narrow" w:eastAsia="Calibri" w:hAnsi="Arial Narrow"/>
                <w:sz w:val="20"/>
              </w:rPr>
              <w:t>Section 100 - Efficient funding of Chemotherapy</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Prescriber type</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sz w:val="20"/>
              </w:rPr>
            </w:pPr>
            <w:r w:rsidRPr="003E7E2B">
              <w:rPr>
                <w:rFonts w:ascii="Arial Narrow" w:eastAsia="Calibri" w:hAnsi="Arial Narrow"/>
                <w:sz w:val="20"/>
              </w:rPr>
              <w:t>Medical Practitioners</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Severity:</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sz w:val="20"/>
              </w:rPr>
            </w:pPr>
            <w:r w:rsidRPr="003E7E2B">
              <w:rPr>
                <w:rFonts w:ascii="Arial Narrow" w:eastAsia="Calibri" w:hAnsi="Arial Narrow"/>
                <w:sz w:val="20"/>
              </w:rPr>
              <w:t>Stage IV</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Condition:</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 xml:space="preserve">Clear cell variant renal cell carcinoma (RCC) </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PBS Indication:</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sz w:val="20"/>
              </w:rPr>
              <w:t>Stage IV clear cell variant renal cell carcinoma (RCC)</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Treatment phase:</w:t>
            </w:r>
          </w:p>
        </w:tc>
        <w:tc>
          <w:tcPr>
            <w:tcW w:w="7233" w:type="dxa"/>
            <w:gridSpan w:val="5"/>
            <w:tcBorders>
              <w:top w:val="single" w:sz="4" w:space="0" w:color="auto"/>
              <w:left w:val="single" w:sz="4" w:space="0" w:color="auto"/>
              <w:bottom w:val="single" w:sz="4" w:space="0" w:color="auto"/>
              <w:right w:val="single" w:sz="4" w:space="0" w:color="auto"/>
            </w:tcBorders>
          </w:tcPr>
          <w:p w:rsidR="00EF5F84" w:rsidRDefault="00A1455C" w:rsidP="00497AD7">
            <w:pPr>
              <w:rPr>
                <w:rFonts w:ascii="Arial Narrow" w:eastAsia="Calibri" w:hAnsi="Arial Narrow" w:cs="Arial"/>
                <w:i/>
                <w:sz w:val="20"/>
                <w:szCs w:val="22"/>
              </w:rPr>
            </w:pPr>
            <w:r>
              <w:rPr>
                <w:rFonts w:ascii="Arial Narrow" w:eastAsia="Calibri" w:hAnsi="Arial Narrow" w:cs="Arial"/>
                <w:sz w:val="20"/>
                <w:szCs w:val="22"/>
              </w:rPr>
              <w:t xml:space="preserve"> </w:t>
            </w:r>
            <w:r w:rsidR="00DC0008" w:rsidRPr="003E7E2B">
              <w:rPr>
                <w:rFonts w:ascii="Arial Narrow" w:eastAsia="Calibri" w:hAnsi="Arial Narrow" w:cs="Arial"/>
                <w:sz w:val="20"/>
                <w:szCs w:val="22"/>
              </w:rPr>
              <w:t xml:space="preserve">Grandfather </w:t>
            </w:r>
            <w:r w:rsidR="00DC0008" w:rsidRPr="001F3475">
              <w:rPr>
                <w:rFonts w:ascii="Arial Narrow" w:eastAsia="Calibri" w:hAnsi="Arial Narrow" w:cs="Arial"/>
                <w:strike/>
                <w:sz w:val="20"/>
                <w:szCs w:val="22"/>
              </w:rPr>
              <w:t>treatment</w:t>
            </w:r>
            <w:r>
              <w:rPr>
                <w:rFonts w:ascii="Arial Narrow" w:eastAsia="Calibri" w:hAnsi="Arial Narrow" w:cs="Arial"/>
                <w:strike/>
                <w:sz w:val="20"/>
                <w:szCs w:val="22"/>
              </w:rPr>
              <w:t xml:space="preserve"> </w:t>
            </w:r>
            <w:r w:rsidRPr="001F3475">
              <w:rPr>
                <w:rFonts w:ascii="Arial Narrow" w:eastAsia="Calibri" w:hAnsi="Arial Narrow" w:cs="Arial"/>
                <w:i/>
                <w:sz w:val="20"/>
                <w:szCs w:val="22"/>
              </w:rPr>
              <w:t>patients</w:t>
            </w:r>
            <w:r w:rsidR="00845EDE">
              <w:rPr>
                <w:rFonts w:ascii="Arial Narrow" w:eastAsia="Calibri" w:hAnsi="Arial Narrow" w:cs="Arial"/>
                <w:i/>
                <w:sz w:val="20"/>
                <w:szCs w:val="22"/>
              </w:rPr>
              <w:t xml:space="preserve"> – Induction</w:t>
            </w:r>
          </w:p>
          <w:p w:rsidR="00EF5F84" w:rsidRDefault="00845EDE" w:rsidP="00497AD7">
            <w:pPr>
              <w:rPr>
                <w:rFonts w:ascii="Arial Narrow" w:eastAsia="Calibri" w:hAnsi="Arial Narrow" w:cs="Arial"/>
                <w:i/>
                <w:sz w:val="20"/>
                <w:szCs w:val="22"/>
              </w:rPr>
            </w:pPr>
            <w:r>
              <w:rPr>
                <w:rFonts w:ascii="Arial Narrow" w:eastAsia="Calibri" w:hAnsi="Arial Narrow" w:cs="Arial"/>
                <w:i/>
                <w:sz w:val="20"/>
                <w:szCs w:val="22"/>
              </w:rPr>
              <w:t>OR</w:t>
            </w:r>
          </w:p>
          <w:p w:rsidR="00DC0008" w:rsidRPr="00AF0145" w:rsidRDefault="00EF5F84" w:rsidP="00EF5F84">
            <w:pPr>
              <w:rPr>
                <w:rFonts w:ascii="Arial Narrow" w:eastAsia="Calibri" w:hAnsi="Arial Narrow" w:cs="Arial"/>
                <w:i/>
                <w:sz w:val="20"/>
                <w:szCs w:val="22"/>
              </w:rPr>
            </w:pPr>
            <w:r>
              <w:rPr>
                <w:rFonts w:ascii="Arial Narrow" w:eastAsia="Calibri" w:hAnsi="Arial Narrow" w:cs="Arial"/>
                <w:i/>
                <w:sz w:val="20"/>
                <w:szCs w:val="22"/>
              </w:rPr>
              <w:t xml:space="preserve">Grandfather patients - </w:t>
            </w:r>
            <w:r w:rsidRPr="003E7E2B">
              <w:rPr>
                <w:rFonts w:ascii="Arial Narrow" w:hAnsi="Arial Narrow"/>
                <w:i/>
                <w:sz w:val="20"/>
                <w:szCs w:val="22"/>
                <w:lang w:eastAsia="en-US"/>
              </w:rPr>
              <w:t>Continuing treatment with nivolumab monotherapy following first line nivolumab plus ipilimumab induction</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Restriction Level / Method:</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spacing w:line="300" w:lineRule="auto"/>
              <w:rPr>
                <w:rFonts w:ascii="Arial Narrow" w:eastAsia="Calibri" w:hAnsi="Arial Narrow"/>
                <w:sz w:val="20"/>
              </w:rPr>
            </w:pPr>
            <w:r w:rsidRPr="00ED5AEF">
              <w:rPr>
                <w:rFonts w:ascii="Arial Narrow" w:eastAsia="Calibri" w:hAnsi="Arial Narrow"/>
                <w:sz w:val="20"/>
              </w:rPr>
              <w:fldChar w:fldCharType="begin">
                <w:ffData>
                  <w:name w:val="Check5"/>
                  <w:enabled w:val="0"/>
                  <w:calcOnExit w:val="0"/>
                  <w:checkBox>
                    <w:sizeAuto/>
                    <w:default w:val="1"/>
                  </w:checkBox>
                </w:ffData>
              </w:fldChar>
            </w:r>
            <w:r w:rsidRPr="003E7E2B">
              <w:rPr>
                <w:rFonts w:ascii="Arial Narrow" w:eastAsia="Calibri" w:hAnsi="Arial Narrow"/>
                <w:sz w:val="20"/>
              </w:rPr>
              <w:instrText xml:space="preserve"> FORMCHECKBOX </w:instrText>
            </w:r>
            <w:r w:rsidR="004473C8">
              <w:rPr>
                <w:rFonts w:ascii="Arial Narrow" w:eastAsia="Calibri" w:hAnsi="Arial Narrow"/>
                <w:sz w:val="20"/>
              </w:rPr>
            </w:r>
            <w:r w:rsidR="004473C8">
              <w:rPr>
                <w:rFonts w:ascii="Arial Narrow" w:eastAsia="Calibri" w:hAnsi="Arial Narrow"/>
                <w:sz w:val="20"/>
              </w:rPr>
              <w:fldChar w:fldCharType="separate"/>
            </w:r>
            <w:r w:rsidRPr="00ED5AEF">
              <w:rPr>
                <w:rFonts w:ascii="Arial Narrow" w:eastAsia="Calibri" w:hAnsi="Arial Narrow"/>
                <w:sz w:val="20"/>
              </w:rPr>
              <w:fldChar w:fldCharType="end"/>
            </w:r>
            <w:r w:rsidRPr="003E7E2B">
              <w:rPr>
                <w:rFonts w:ascii="Arial Narrow" w:eastAsia="Calibri" w:hAnsi="Arial Narrow"/>
                <w:sz w:val="20"/>
              </w:rPr>
              <w:t>S</w:t>
            </w:r>
            <w:r w:rsidRPr="003E7E2B">
              <w:rPr>
                <w:rFonts w:ascii="Arial Narrow" w:eastAsia="Calibri" w:hAnsi="Arial Narrow" w:cs="Arial"/>
                <w:sz w:val="20"/>
                <w:szCs w:val="22"/>
              </w:rPr>
              <w:t>treamlined</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Clinical criteria:</w:t>
            </w:r>
          </w:p>
        </w:tc>
        <w:tc>
          <w:tcPr>
            <w:tcW w:w="7233" w:type="dxa"/>
            <w:gridSpan w:val="5"/>
            <w:tcBorders>
              <w:top w:val="single" w:sz="4" w:space="0" w:color="auto"/>
              <w:left w:val="single" w:sz="4" w:space="0" w:color="auto"/>
              <w:bottom w:val="single" w:sz="4" w:space="0" w:color="auto"/>
              <w:right w:val="single" w:sz="4" w:space="0" w:color="auto"/>
            </w:tcBorders>
          </w:tcPr>
          <w:p w:rsidR="00EF5F84" w:rsidRPr="00EF5F84" w:rsidRDefault="00DC0008" w:rsidP="00EF5F84">
            <w:pPr>
              <w:rPr>
                <w:rFonts w:ascii="Arial Narrow" w:hAnsi="Arial Narrow"/>
                <w:i/>
                <w:sz w:val="20"/>
                <w:szCs w:val="22"/>
                <w:lang w:eastAsia="en-US"/>
              </w:rPr>
            </w:pPr>
            <w:r w:rsidRPr="003E7E2B">
              <w:rPr>
                <w:rFonts w:ascii="Arial Narrow" w:eastAsia="Calibri" w:hAnsi="Arial Narrow" w:cs="Arial"/>
                <w:sz w:val="20"/>
                <w:szCs w:val="22"/>
              </w:rPr>
              <w:t xml:space="preserve">Patient must have received </w:t>
            </w:r>
            <w:r w:rsidRPr="00AF0145">
              <w:rPr>
                <w:rFonts w:ascii="Arial Narrow" w:eastAsia="Calibri" w:hAnsi="Arial Narrow" w:cs="Arial"/>
                <w:strike/>
                <w:sz w:val="20"/>
                <w:szCs w:val="22"/>
              </w:rPr>
              <w:t>non-PBS subsidised treatment</w:t>
            </w:r>
            <w:r w:rsidRPr="003E7E2B">
              <w:rPr>
                <w:rFonts w:ascii="Arial Narrow" w:eastAsia="Calibri" w:hAnsi="Arial Narrow" w:cs="Arial"/>
                <w:sz w:val="20"/>
                <w:szCs w:val="22"/>
              </w:rPr>
              <w:t xml:space="preserve"> </w:t>
            </w:r>
            <w:r w:rsidR="00A1455C">
              <w:rPr>
                <w:rFonts w:ascii="Arial Narrow" w:eastAsia="Calibri" w:hAnsi="Arial Narrow" w:cs="Arial"/>
                <w:i/>
                <w:sz w:val="20"/>
                <w:szCs w:val="22"/>
              </w:rPr>
              <w:t xml:space="preserve">combined therapy </w:t>
            </w:r>
            <w:r w:rsidR="00941C88">
              <w:rPr>
                <w:rFonts w:ascii="Arial Narrow" w:eastAsia="Calibri" w:hAnsi="Arial Narrow" w:cs="Arial"/>
                <w:sz w:val="20"/>
                <w:szCs w:val="22"/>
              </w:rPr>
              <w:t>with</w:t>
            </w:r>
            <w:r w:rsidRPr="003E7E2B">
              <w:rPr>
                <w:rFonts w:ascii="Arial Narrow" w:eastAsia="Calibri" w:hAnsi="Arial Narrow" w:cs="Arial"/>
                <w:sz w:val="20"/>
                <w:szCs w:val="22"/>
              </w:rPr>
              <w:t xml:space="preserve"> ipilimumab </w:t>
            </w:r>
            <w:r w:rsidR="00941C88">
              <w:rPr>
                <w:rFonts w:ascii="Arial Narrow" w:eastAsia="Calibri" w:hAnsi="Arial Narrow" w:cs="Arial"/>
                <w:sz w:val="20"/>
                <w:szCs w:val="22"/>
              </w:rPr>
              <w:t xml:space="preserve">and </w:t>
            </w:r>
            <w:r w:rsidR="00941C88" w:rsidRPr="003E7E2B">
              <w:rPr>
                <w:rFonts w:ascii="Arial Narrow" w:eastAsia="Calibri" w:hAnsi="Arial Narrow" w:cs="Arial"/>
                <w:sz w:val="20"/>
                <w:szCs w:val="22"/>
              </w:rPr>
              <w:t xml:space="preserve">nivolumab </w:t>
            </w:r>
            <w:r w:rsidRPr="00AF0145">
              <w:rPr>
                <w:rFonts w:ascii="Arial Narrow" w:eastAsia="Calibri" w:hAnsi="Arial Narrow" w:cs="Arial"/>
                <w:strike/>
                <w:sz w:val="20"/>
                <w:szCs w:val="22"/>
              </w:rPr>
              <w:t>concomitantly</w:t>
            </w:r>
            <w:r w:rsidRPr="003E7E2B">
              <w:rPr>
                <w:rFonts w:ascii="Arial Narrow" w:eastAsia="Calibri" w:hAnsi="Arial Narrow" w:cs="Arial"/>
                <w:sz w:val="20"/>
                <w:szCs w:val="22"/>
              </w:rPr>
              <w:t xml:space="preserve"> as </w:t>
            </w:r>
            <w:r w:rsidRPr="00AF0145">
              <w:rPr>
                <w:rFonts w:ascii="Arial Narrow" w:eastAsia="Calibri" w:hAnsi="Arial Narrow" w:cs="Arial"/>
                <w:strike/>
                <w:sz w:val="20"/>
                <w:szCs w:val="22"/>
              </w:rPr>
              <w:t>first line therapy</w:t>
            </w:r>
            <w:r w:rsidR="00A1455C">
              <w:rPr>
                <w:rFonts w:ascii="Arial Narrow" w:eastAsia="Calibri" w:hAnsi="Arial Narrow" w:cs="Arial"/>
                <w:sz w:val="20"/>
                <w:szCs w:val="22"/>
              </w:rPr>
              <w:t xml:space="preserve"> </w:t>
            </w:r>
            <w:r w:rsidR="0005293C">
              <w:rPr>
                <w:rFonts w:ascii="Arial Narrow" w:eastAsia="Calibri" w:hAnsi="Arial Narrow" w:cs="Arial"/>
                <w:i/>
                <w:sz w:val="20"/>
                <w:szCs w:val="22"/>
              </w:rPr>
              <w:t xml:space="preserve">as </w:t>
            </w:r>
            <w:r w:rsidR="00A1455C">
              <w:rPr>
                <w:rFonts w:ascii="Arial Narrow" w:eastAsia="Calibri" w:hAnsi="Arial Narrow" w:cs="Arial"/>
                <w:i/>
                <w:sz w:val="20"/>
                <w:szCs w:val="22"/>
              </w:rPr>
              <w:t>induction</w:t>
            </w:r>
            <w:r w:rsidRPr="003E7E2B">
              <w:rPr>
                <w:rFonts w:ascii="Arial Narrow" w:eastAsia="Calibri" w:hAnsi="Arial Narrow" w:cs="Arial"/>
                <w:sz w:val="20"/>
                <w:szCs w:val="22"/>
              </w:rPr>
              <w:t xml:space="preserve"> for this condition prior to </w:t>
            </w:r>
            <w:r w:rsidR="00EF5F84">
              <w:rPr>
                <w:rFonts w:ascii="Arial Narrow" w:eastAsia="Calibri" w:hAnsi="Arial Narrow" w:cs="Arial"/>
                <w:sz w:val="20"/>
                <w:szCs w:val="22"/>
              </w:rPr>
              <w:t>&lt;</w:t>
            </w:r>
            <w:r w:rsidRPr="003E7E2B">
              <w:rPr>
                <w:rFonts w:ascii="Arial Narrow" w:eastAsia="Calibri" w:hAnsi="Arial Narrow" w:cs="Arial"/>
                <w:sz w:val="20"/>
                <w:szCs w:val="22"/>
              </w:rPr>
              <w:t>PBS listing date</w:t>
            </w:r>
            <w:r w:rsidR="00EF5F84">
              <w:rPr>
                <w:rFonts w:ascii="Arial Narrow" w:eastAsia="Calibri" w:hAnsi="Arial Narrow" w:cs="Arial"/>
                <w:sz w:val="20"/>
                <w:szCs w:val="22"/>
              </w:rPr>
              <w:t xml:space="preserve">&gt; </w:t>
            </w:r>
            <w:r w:rsidR="00EF5F84" w:rsidRPr="00EF5F84">
              <w:rPr>
                <w:rFonts w:ascii="Arial Narrow" w:hAnsi="Arial Narrow"/>
                <w:i/>
                <w:sz w:val="20"/>
                <w:szCs w:val="22"/>
                <w:lang w:eastAsia="en-US"/>
              </w:rPr>
              <w:t>OR</w:t>
            </w:r>
          </w:p>
          <w:p w:rsidR="00EF5F84" w:rsidRPr="00EF5F84" w:rsidRDefault="00EF5F84" w:rsidP="00EF5F84">
            <w:pPr>
              <w:rPr>
                <w:rFonts w:ascii="Arial Narrow" w:hAnsi="Arial Narrow"/>
                <w:i/>
                <w:sz w:val="20"/>
                <w:szCs w:val="22"/>
                <w:lang w:eastAsia="en-US"/>
              </w:rPr>
            </w:pPr>
            <w:r w:rsidRPr="00EF5F84">
              <w:rPr>
                <w:rFonts w:ascii="Arial Narrow" w:hAnsi="Arial Narrow"/>
                <w:i/>
                <w:sz w:val="20"/>
                <w:szCs w:val="22"/>
                <w:lang w:eastAsia="en-US"/>
              </w:rPr>
              <w:t>Patient must have received monotherapy with nivolumab as maintenance for this condition prior to &lt;</w:t>
            </w:r>
            <w:r>
              <w:rPr>
                <w:rFonts w:ascii="Arial Narrow" w:hAnsi="Arial Narrow"/>
                <w:i/>
                <w:sz w:val="20"/>
                <w:szCs w:val="22"/>
                <w:lang w:eastAsia="en-US"/>
              </w:rPr>
              <w:t xml:space="preserve">PBS </w:t>
            </w:r>
            <w:r w:rsidRPr="00EF5F84">
              <w:rPr>
                <w:rFonts w:ascii="Arial Narrow" w:hAnsi="Arial Narrow"/>
                <w:i/>
                <w:sz w:val="20"/>
                <w:szCs w:val="22"/>
                <w:lang w:eastAsia="en-US"/>
              </w:rPr>
              <w:t>listing date&gt;</w:t>
            </w:r>
          </w:p>
          <w:p w:rsidR="00EF5F84" w:rsidRDefault="00EF5F84" w:rsidP="00EF5F84">
            <w:pPr>
              <w:rPr>
                <w:rFonts w:ascii="Arial Narrow" w:hAnsi="Arial Narrow"/>
                <w:sz w:val="20"/>
                <w:szCs w:val="22"/>
                <w:lang w:eastAsia="en-US"/>
              </w:rPr>
            </w:pPr>
          </w:p>
          <w:p w:rsidR="00EF5F84" w:rsidRDefault="00EF5F84" w:rsidP="00EF5F84">
            <w:pPr>
              <w:rPr>
                <w:rFonts w:ascii="Arial Narrow" w:hAnsi="Arial Narrow"/>
                <w:sz w:val="20"/>
                <w:szCs w:val="22"/>
                <w:lang w:eastAsia="en-US"/>
              </w:rPr>
            </w:pPr>
            <w:r w:rsidRPr="003E7E2B">
              <w:rPr>
                <w:rFonts w:ascii="Arial Narrow" w:hAnsi="Arial Narrow"/>
                <w:sz w:val="20"/>
                <w:szCs w:val="22"/>
                <w:lang w:eastAsia="en-US"/>
              </w:rPr>
              <w:lastRenderedPageBreak/>
              <w:t>AND</w:t>
            </w:r>
          </w:p>
          <w:p w:rsidR="004D7E46"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 xml:space="preserve">Patient must </w:t>
            </w:r>
            <w:r w:rsidR="00941C88">
              <w:rPr>
                <w:rFonts w:ascii="Arial Narrow" w:eastAsia="Calibri" w:hAnsi="Arial Narrow" w:cs="Arial"/>
                <w:i/>
                <w:sz w:val="20"/>
                <w:szCs w:val="22"/>
              </w:rPr>
              <w:t xml:space="preserve">have met </w:t>
            </w:r>
            <w:r w:rsidRPr="00941C88">
              <w:rPr>
                <w:rFonts w:ascii="Arial Narrow" w:eastAsia="Calibri" w:hAnsi="Arial Narrow" w:cs="Arial"/>
                <w:strike/>
                <w:sz w:val="20"/>
                <w:szCs w:val="22"/>
              </w:rPr>
              <w:t xml:space="preserve">meet </w:t>
            </w:r>
            <w:r w:rsidRPr="003E7E2B">
              <w:rPr>
                <w:rFonts w:ascii="Arial Narrow" w:eastAsia="Calibri" w:hAnsi="Arial Narrow" w:cs="Arial"/>
                <w:sz w:val="20"/>
                <w:szCs w:val="22"/>
              </w:rPr>
              <w:t xml:space="preserve">the International Metastatic Renal Cell Carcinoma Database Consortium (IMDC) intermediate to poor risk group criteria prior to </w:t>
            </w:r>
            <w:r w:rsidR="00EF5F84">
              <w:rPr>
                <w:rFonts w:ascii="Arial Narrow" w:eastAsia="Calibri" w:hAnsi="Arial Narrow" w:cs="Arial"/>
                <w:sz w:val="20"/>
                <w:szCs w:val="22"/>
              </w:rPr>
              <w:t xml:space="preserve">initiating </w:t>
            </w:r>
            <w:r w:rsidRPr="003E7E2B">
              <w:rPr>
                <w:rFonts w:ascii="Arial Narrow" w:eastAsia="Calibri" w:hAnsi="Arial Narrow" w:cs="Arial"/>
                <w:sz w:val="20"/>
                <w:szCs w:val="22"/>
              </w:rPr>
              <w:t>non-PBS subsidised treatmen</w:t>
            </w:r>
            <w:r w:rsidR="00845EDE">
              <w:rPr>
                <w:rFonts w:ascii="Arial Narrow" w:eastAsia="Calibri" w:hAnsi="Arial Narrow" w:cs="Arial"/>
                <w:sz w:val="20"/>
                <w:szCs w:val="22"/>
              </w:rPr>
              <w:t>t with nivolumab and ipilimumab</w:t>
            </w:r>
          </w:p>
          <w:p w:rsidR="00DC0008" w:rsidRPr="003C2660" w:rsidRDefault="00DC0008" w:rsidP="00497AD7">
            <w:pPr>
              <w:rPr>
                <w:rFonts w:ascii="Arial Narrow" w:eastAsia="Calibri" w:hAnsi="Arial Narrow" w:cs="Arial"/>
                <w:sz w:val="20"/>
                <w:szCs w:val="22"/>
              </w:rPr>
            </w:pPr>
            <w:r w:rsidRPr="003C2660">
              <w:rPr>
                <w:rFonts w:ascii="Arial Narrow" w:eastAsia="Calibri" w:hAnsi="Arial Narrow" w:cs="Arial"/>
                <w:sz w:val="20"/>
                <w:szCs w:val="22"/>
              </w:rPr>
              <w:t>AND</w:t>
            </w:r>
          </w:p>
          <w:p w:rsidR="004D7E46" w:rsidRPr="003E7E2B" w:rsidRDefault="00DC0008" w:rsidP="004D7E46">
            <w:pPr>
              <w:rPr>
                <w:rFonts w:ascii="Arial Narrow" w:eastAsia="Calibri" w:hAnsi="Arial Narrow" w:cs="Arial"/>
                <w:sz w:val="20"/>
                <w:szCs w:val="22"/>
              </w:rPr>
            </w:pPr>
            <w:r w:rsidRPr="003C2660">
              <w:rPr>
                <w:rFonts w:ascii="Arial Narrow" w:eastAsia="Calibri" w:hAnsi="Arial Narrow" w:cs="Arial"/>
                <w:sz w:val="20"/>
                <w:szCs w:val="22"/>
              </w:rPr>
              <w:t xml:space="preserve">Patient must have had a WHO performance status of 2 or less </w:t>
            </w:r>
            <w:r w:rsidR="004D7E46" w:rsidRPr="003E7E2B">
              <w:rPr>
                <w:rFonts w:ascii="Arial Narrow" w:eastAsia="Calibri" w:hAnsi="Arial Narrow" w:cs="Arial"/>
                <w:i/>
                <w:sz w:val="20"/>
                <w:szCs w:val="22"/>
              </w:rPr>
              <w:t xml:space="preserve">prior to </w:t>
            </w:r>
            <w:r w:rsidR="00941C88" w:rsidRPr="00941C88">
              <w:rPr>
                <w:rFonts w:ascii="Arial Narrow" w:eastAsia="Calibri" w:hAnsi="Arial Narrow" w:cs="Arial"/>
                <w:i/>
                <w:sz w:val="20"/>
                <w:szCs w:val="22"/>
              </w:rPr>
              <w:t>initiating</w:t>
            </w:r>
            <w:r w:rsidR="00941C88">
              <w:rPr>
                <w:rFonts w:ascii="Arial Narrow" w:eastAsia="Calibri" w:hAnsi="Arial Narrow" w:cs="Arial"/>
                <w:i/>
                <w:sz w:val="20"/>
                <w:szCs w:val="22"/>
              </w:rPr>
              <w:t xml:space="preserve"> </w:t>
            </w:r>
            <w:r w:rsidR="00EF5F84" w:rsidRPr="00EF5F84">
              <w:rPr>
                <w:rFonts w:ascii="Arial Narrow" w:eastAsia="Calibri" w:hAnsi="Arial Narrow" w:cs="Arial"/>
                <w:i/>
                <w:sz w:val="20"/>
                <w:szCs w:val="22"/>
              </w:rPr>
              <w:t xml:space="preserve">non-PBS-subsidised </w:t>
            </w:r>
            <w:r w:rsidR="00941C88" w:rsidRPr="00941C88">
              <w:rPr>
                <w:rFonts w:ascii="Arial Narrow" w:eastAsia="Calibri" w:hAnsi="Arial Narrow" w:cs="Arial"/>
                <w:i/>
                <w:sz w:val="20"/>
                <w:szCs w:val="22"/>
              </w:rPr>
              <w:t xml:space="preserve">treatment with </w:t>
            </w:r>
            <w:r w:rsidR="00A5164D" w:rsidRPr="00A5164D">
              <w:rPr>
                <w:rFonts w:ascii="Arial Narrow" w:eastAsia="Calibri" w:hAnsi="Arial Narrow" w:cs="Arial"/>
                <w:i/>
                <w:sz w:val="20"/>
                <w:szCs w:val="22"/>
              </w:rPr>
              <w:t>nivolumab and ipilimumab</w:t>
            </w:r>
          </w:p>
          <w:p w:rsidR="004D7E46" w:rsidRDefault="004D7E46" w:rsidP="004D7E46">
            <w:pPr>
              <w:rPr>
                <w:rFonts w:ascii="Arial Narrow" w:hAnsi="Arial Narrow"/>
                <w:i/>
                <w:sz w:val="20"/>
                <w:szCs w:val="22"/>
                <w:lang w:eastAsia="en-US"/>
              </w:rPr>
            </w:pPr>
            <w:r w:rsidRPr="003E7E2B">
              <w:rPr>
                <w:rFonts w:ascii="Arial Narrow" w:hAnsi="Arial Narrow"/>
                <w:i/>
                <w:sz w:val="20"/>
                <w:szCs w:val="22"/>
                <w:lang w:eastAsia="en-US"/>
              </w:rPr>
              <w:t>AND</w:t>
            </w:r>
          </w:p>
          <w:p w:rsidR="00ED04F1" w:rsidRPr="003E7E2B" w:rsidRDefault="00ED04F1" w:rsidP="00ED04F1">
            <w:pPr>
              <w:rPr>
                <w:rFonts w:ascii="Arial Narrow" w:hAnsi="Arial Narrow"/>
                <w:i/>
                <w:sz w:val="20"/>
                <w:szCs w:val="22"/>
                <w:lang w:eastAsia="en-US"/>
              </w:rPr>
            </w:pPr>
            <w:r w:rsidRPr="003E7E2B">
              <w:rPr>
                <w:rFonts w:ascii="Arial Narrow" w:hAnsi="Arial Narrow"/>
                <w:i/>
                <w:sz w:val="20"/>
                <w:szCs w:val="22"/>
                <w:lang w:eastAsia="en-US"/>
              </w:rPr>
              <w:t xml:space="preserve">The treatment must be </w:t>
            </w:r>
            <w:r>
              <w:rPr>
                <w:rFonts w:ascii="Arial Narrow" w:hAnsi="Arial Narrow"/>
                <w:i/>
                <w:sz w:val="20"/>
                <w:szCs w:val="22"/>
                <w:lang w:eastAsia="en-US"/>
              </w:rPr>
              <w:t xml:space="preserve">for </w:t>
            </w:r>
            <w:r w:rsidRPr="003E7E2B">
              <w:rPr>
                <w:rFonts w:ascii="Arial Narrow" w:hAnsi="Arial Narrow"/>
                <w:i/>
                <w:sz w:val="20"/>
                <w:szCs w:val="22"/>
                <w:lang w:eastAsia="en-US"/>
              </w:rPr>
              <w:t>first-line therapy for this condition</w:t>
            </w:r>
          </w:p>
          <w:p w:rsidR="00ED04F1" w:rsidRPr="003E7E2B" w:rsidRDefault="00ED04F1" w:rsidP="00ED04F1">
            <w:pPr>
              <w:rPr>
                <w:rFonts w:ascii="Arial Narrow" w:hAnsi="Arial Narrow"/>
                <w:i/>
                <w:sz w:val="20"/>
                <w:szCs w:val="22"/>
                <w:lang w:eastAsia="en-US"/>
              </w:rPr>
            </w:pPr>
            <w:r w:rsidRPr="003E7E2B">
              <w:rPr>
                <w:rFonts w:ascii="Arial Narrow" w:hAnsi="Arial Narrow"/>
                <w:i/>
                <w:sz w:val="20"/>
                <w:szCs w:val="22"/>
                <w:lang w:eastAsia="en-US"/>
              </w:rPr>
              <w:t>AND</w:t>
            </w:r>
          </w:p>
          <w:p w:rsidR="00EF5F84" w:rsidRPr="003E7E2B" w:rsidRDefault="00EF5F84" w:rsidP="004D7E46">
            <w:pPr>
              <w:rPr>
                <w:rFonts w:ascii="Arial Narrow" w:hAnsi="Arial Narrow"/>
                <w:i/>
                <w:sz w:val="20"/>
                <w:szCs w:val="22"/>
                <w:lang w:eastAsia="en-US"/>
              </w:rPr>
            </w:pPr>
          </w:p>
          <w:p w:rsidR="00EF5F84" w:rsidRPr="00EF5F84" w:rsidRDefault="004D7E46" w:rsidP="00EF5F84">
            <w:pPr>
              <w:rPr>
                <w:rFonts w:ascii="Arial Narrow" w:hAnsi="Arial Narrow"/>
                <w:i/>
                <w:sz w:val="20"/>
                <w:szCs w:val="22"/>
                <w:lang w:eastAsia="en-US"/>
              </w:rPr>
            </w:pPr>
            <w:r w:rsidRPr="003E7E2B">
              <w:rPr>
                <w:rFonts w:ascii="Arial Narrow" w:hAnsi="Arial Narrow"/>
                <w:i/>
                <w:sz w:val="20"/>
                <w:szCs w:val="22"/>
                <w:lang w:eastAsia="en-US"/>
              </w:rPr>
              <w:t xml:space="preserve">The treatment must be in combination </w:t>
            </w:r>
            <w:r w:rsidR="00941C88" w:rsidRPr="00941C88">
              <w:rPr>
                <w:rFonts w:ascii="Arial Narrow" w:hAnsi="Arial Narrow"/>
                <w:i/>
                <w:sz w:val="20"/>
                <w:szCs w:val="22"/>
                <w:lang w:eastAsia="en-US"/>
              </w:rPr>
              <w:t>with PBS-subsidised treatment with ipilimumab as induction for this condition</w:t>
            </w:r>
            <w:r w:rsidR="00EF5F84">
              <w:rPr>
                <w:rFonts w:ascii="Arial Narrow" w:hAnsi="Arial Narrow"/>
                <w:i/>
                <w:sz w:val="20"/>
                <w:szCs w:val="22"/>
                <w:lang w:eastAsia="en-US"/>
              </w:rPr>
              <w:t xml:space="preserve"> </w:t>
            </w:r>
            <w:r w:rsidR="00845EDE">
              <w:rPr>
                <w:rFonts w:ascii="Arial Narrow" w:hAnsi="Arial Narrow"/>
                <w:i/>
                <w:sz w:val="20"/>
                <w:szCs w:val="22"/>
                <w:lang w:eastAsia="en-US"/>
              </w:rPr>
              <w:t>OR</w:t>
            </w:r>
          </w:p>
          <w:p w:rsidR="004D7E46" w:rsidRPr="003E7E2B" w:rsidRDefault="00EF5F84" w:rsidP="00EF5F84">
            <w:pPr>
              <w:rPr>
                <w:rFonts w:ascii="Arial Narrow" w:hAnsi="Arial Narrow"/>
                <w:i/>
                <w:sz w:val="20"/>
                <w:szCs w:val="22"/>
                <w:lang w:eastAsia="en-US"/>
              </w:rPr>
            </w:pPr>
            <w:r>
              <w:rPr>
                <w:rFonts w:ascii="Arial Narrow" w:hAnsi="Arial Narrow"/>
                <w:i/>
                <w:sz w:val="20"/>
                <w:szCs w:val="22"/>
                <w:lang w:eastAsia="en-US"/>
              </w:rPr>
              <w:t>T</w:t>
            </w:r>
            <w:r w:rsidRPr="00EF5F84">
              <w:rPr>
                <w:rFonts w:ascii="Arial Narrow" w:hAnsi="Arial Narrow"/>
                <w:i/>
                <w:sz w:val="20"/>
                <w:szCs w:val="22"/>
                <w:lang w:eastAsia="en-US"/>
              </w:rPr>
              <w:t xml:space="preserve">he treatment must be </w:t>
            </w:r>
            <w:r w:rsidR="00ED04F1" w:rsidRPr="003E7E2B">
              <w:rPr>
                <w:rFonts w:ascii="Arial Narrow" w:hAnsi="Arial Narrow"/>
                <w:i/>
                <w:sz w:val="20"/>
                <w:szCs w:val="22"/>
                <w:lang w:eastAsia="en-US"/>
              </w:rPr>
              <w:t xml:space="preserve">the sole PBS-subsided therapy </w:t>
            </w:r>
            <w:r w:rsidRPr="00EF5F84">
              <w:rPr>
                <w:rFonts w:ascii="Arial Narrow" w:hAnsi="Arial Narrow"/>
                <w:i/>
                <w:sz w:val="20"/>
                <w:szCs w:val="22"/>
                <w:lang w:eastAsia="en-US"/>
              </w:rPr>
              <w:t>for this condition</w:t>
            </w:r>
          </w:p>
          <w:p w:rsidR="00EF5F84" w:rsidRDefault="00EF5F84" w:rsidP="004D7E46">
            <w:pPr>
              <w:rPr>
                <w:rFonts w:ascii="Arial Narrow" w:hAnsi="Arial Narrow"/>
                <w:i/>
                <w:sz w:val="20"/>
                <w:szCs w:val="22"/>
                <w:lang w:eastAsia="en-US"/>
              </w:rPr>
            </w:pPr>
          </w:p>
          <w:p w:rsidR="00941C88" w:rsidRPr="00F5543B" w:rsidRDefault="00941C88" w:rsidP="00497AD7">
            <w:pPr>
              <w:rPr>
                <w:rFonts w:ascii="Arial Narrow" w:hAnsi="Arial Narrow"/>
                <w:i/>
                <w:sz w:val="20"/>
                <w:szCs w:val="22"/>
                <w:lang w:eastAsia="en-US"/>
              </w:rPr>
            </w:pPr>
            <w:r w:rsidRPr="00F5543B">
              <w:rPr>
                <w:rFonts w:ascii="Arial Narrow" w:hAnsi="Arial Narrow"/>
                <w:i/>
                <w:sz w:val="20"/>
                <w:szCs w:val="22"/>
                <w:lang w:eastAsia="en-US"/>
              </w:rPr>
              <w:t>AND</w:t>
            </w:r>
          </w:p>
          <w:p w:rsidR="001F3475" w:rsidRPr="003E7E2B" w:rsidRDefault="00F5543B" w:rsidP="00ED04F1">
            <w:pPr>
              <w:rPr>
                <w:rFonts w:ascii="Arial Narrow" w:eastAsia="Calibri" w:hAnsi="Arial Narrow" w:cs="Arial"/>
                <w:sz w:val="20"/>
                <w:szCs w:val="22"/>
              </w:rPr>
            </w:pPr>
            <w:r w:rsidRPr="00F5543B">
              <w:rPr>
                <w:rFonts w:ascii="Arial Narrow" w:eastAsia="Calibri" w:hAnsi="Arial Narrow" w:cs="Arial"/>
                <w:i/>
                <w:sz w:val="20"/>
                <w:szCs w:val="22"/>
              </w:rPr>
              <w:t>Patient must have stable or responding disease</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b/>
                <w:sz w:val="20"/>
                <w:szCs w:val="22"/>
              </w:rPr>
              <w:lastRenderedPageBreak/>
              <w:t>Prescriber Instructions</w:t>
            </w:r>
          </w:p>
        </w:tc>
        <w:tc>
          <w:tcPr>
            <w:tcW w:w="7233" w:type="dxa"/>
            <w:gridSpan w:val="5"/>
            <w:tcBorders>
              <w:top w:val="single" w:sz="4" w:space="0" w:color="auto"/>
              <w:left w:val="single" w:sz="4" w:space="0" w:color="auto"/>
              <w:bottom w:val="single" w:sz="4" w:space="0" w:color="auto"/>
              <w:right w:val="single" w:sz="4" w:space="0" w:color="auto"/>
            </w:tcBorders>
          </w:tcPr>
          <w:p w:rsidR="00EF5F84" w:rsidRDefault="00EF5F84" w:rsidP="00EF5F84">
            <w:pPr>
              <w:rPr>
                <w:rFonts w:ascii="Arial Narrow" w:hAnsi="Arial Narrow"/>
                <w:i/>
                <w:sz w:val="20"/>
                <w:szCs w:val="22"/>
                <w:lang w:eastAsia="en-US"/>
              </w:rPr>
            </w:pPr>
            <w:r w:rsidRPr="00941C88">
              <w:rPr>
                <w:rFonts w:ascii="Arial Narrow" w:hAnsi="Arial Narrow"/>
                <w:i/>
                <w:sz w:val="20"/>
                <w:szCs w:val="22"/>
                <w:lang w:eastAsia="en-US"/>
              </w:rPr>
              <w:t xml:space="preserve">Induction treatment with </w:t>
            </w:r>
            <w:r>
              <w:rPr>
                <w:rFonts w:ascii="Arial Narrow" w:hAnsi="Arial Narrow"/>
                <w:i/>
                <w:sz w:val="20"/>
                <w:szCs w:val="22"/>
                <w:lang w:eastAsia="en-US"/>
              </w:rPr>
              <w:t xml:space="preserve">nivolumab </w:t>
            </w:r>
            <w:r w:rsidRPr="003E7E2B">
              <w:rPr>
                <w:rFonts w:ascii="Arial Narrow" w:hAnsi="Arial Narrow"/>
                <w:i/>
                <w:sz w:val="20"/>
                <w:szCs w:val="22"/>
                <w:lang w:eastAsia="en-US"/>
              </w:rPr>
              <w:t>must not exceed a total of 4 doses at a maximum dose of 3 mg per kg every 3 weeks</w:t>
            </w:r>
          </w:p>
          <w:p w:rsidR="00F5543B" w:rsidRDefault="00F5543B" w:rsidP="00EF5F84">
            <w:pPr>
              <w:rPr>
                <w:rFonts w:ascii="Arial Narrow" w:hAnsi="Arial Narrow"/>
                <w:i/>
                <w:sz w:val="20"/>
                <w:szCs w:val="22"/>
                <w:lang w:eastAsia="en-US"/>
              </w:rPr>
            </w:pPr>
          </w:p>
          <w:p w:rsidR="00ED04F1" w:rsidRPr="00ED04F1" w:rsidRDefault="00ED04F1" w:rsidP="00ED04F1">
            <w:pPr>
              <w:rPr>
                <w:rFonts w:ascii="Arial Narrow" w:hAnsi="Arial Narrow" w:cs="Arial"/>
                <w:i/>
                <w:sz w:val="20"/>
                <w:szCs w:val="22"/>
                <w:lang w:eastAsia="en-US"/>
              </w:rPr>
            </w:pPr>
            <w:r w:rsidRPr="00ED04F1">
              <w:rPr>
                <w:rFonts w:ascii="Arial Narrow" w:hAnsi="Arial Narrow" w:cs="Arial"/>
                <w:i/>
                <w:sz w:val="20"/>
                <w:szCs w:val="22"/>
                <w:lang w:eastAsia="en-US"/>
              </w:rPr>
              <w:t>Maintenance treatment with nivolumab must not exceed a maximum dose of 3 mg per kg every 2 weeks.</w:t>
            </w:r>
          </w:p>
          <w:p w:rsidR="00EF5F84" w:rsidRDefault="00EF5F84" w:rsidP="00497AD7">
            <w:pPr>
              <w:rPr>
                <w:rFonts w:ascii="Arial Narrow" w:eastAsia="Calibri" w:hAnsi="Arial Narrow" w:cs="Arial"/>
                <w:sz w:val="20"/>
                <w:szCs w:val="22"/>
              </w:rPr>
            </w:pPr>
          </w:p>
          <w:p w:rsidR="00DC0008" w:rsidRPr="00941C88"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 xml:space="preserve">A patient may qualify for PBS-subsidised treatment under this restriction once only. </w:t>
            </w:r>
            <w:r w:rsidRPr="00941C88">
              <w:rPr>
                <w:rFonts w:ascii="Arial Narrow" w:eastAsia="Calibri" w:hAnsi="Arial Narrow" w:cs="Arial"/>
                <w:sz w:val="20"/>
                <w:szCs w:val="22"/>
              </w:rPr>
              <w:t>For continuing PBS-subsidised treatment, a Grandfathered patient must qualify under the Continuing treatment criteria.</w:t>
            </w:r>
          </w:p>
          <w:p w:rsidR="00ED04F1" w:rsidRDefault="00ED04F1" w:rsidP="00497AD7">
            <w:pPr>
              <w:rPr>
                <w:rFonts w:ascii="Arial Narrow" w:hAnsi="Arial Narrow"/>
                <w:i/>
                <w:sz w:val="20"/>
                <w:szCs w:val="22"/>
                <w:lang w:eastAsia="en-US"/>
              </w:rPr>
            </w:pPr>
          </w:p>
          <w:p w:rsidR="004D7E46" w:rsidRPr="003E7E2B" w:rsidRDefault="004D7E46" w:rsidP="00497AD7">
            <w:pPr>
              <w:rPr>
                <w:rFonts w:ascii="Arial Narrow" w:eastAsia="Calibri" w:hAnsi="Arial Narrow" w:cs="Arial"/>
                <w:i/>
                <w:sz w:val="20"/>
                <w:szCs w:val="22"/>
              </w:rPr>
            </w:pPr>
            <w:r w:rsidRPr="003E7E2B">
              <w:rPr>
                <w:rFonts w:ascii="Arial Narrow" w:hAnsi="Arial Narrow"/>
                <w:i/>
                <w:sz w:val="20"/>
                <w:szCs w:val="22"/>
                <w:lang w:eastAsia="en-US"/>
              </w:rPr>
              <w:t>The patient’s body weight must be documented in the patient’s medical records at the time treatment is initiated</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Administrative Advice</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DC0008" w:rsidRPr="003E7E2B" w:rsidRDefault="00DC0008" w:rsidP="00497AD7">
            <w:pPr>
              <w:rPr>
                <w:rFonts w:ascii="Arial Narrow" w:eastAsia="Calibri" w:hAnsi="Arial Narrow" w:cs="Arial"/>
                <w:sz w:val="20"/>
                <w:szCs w:val="22"/>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No increase in the maximum number of repeats may be authorised.</w:t>
            </w:r>
          </w:p>
          <w:p w:rsidR="00DC0008" w:rsidRPr="003E7E2B" w:rsidRDefault="00DC0008" w:rsidP="00497AD7">
            <w:pPr>
              <w:rPr>
                <w:rFonts w:ascii="Arial Narrow" w:eastAsia="Calibri" w:hAnsi="Arial Narrow" w:cs="Arial"/>
                <w:i/>
                <w:sz w:val="20"/>
                <w:szCs w:val="22"/>
              </w:rPr>
            </w:pPr>
            <w:r w:rsidRPr="003E7E2B">
              <w:rPr>
                <w:rFonts w:ascii="Arial Narrow" w:hAnsi="Arial Narrow"/>
                <w:i/>
                <w:sz w:val="20"/>
                <w:szCs w:val="22"/>
                <w:lang w:eastAsia="en-US"/>
              </w:rPr>
              <w:t>No increase in the maximum quantity or number of units may be authorised.</w:t>
            </w:r>
          </w:p>
          <w:p w:rsidR="00DC0008" w:rsidRPr="003E7E2B" w:rsidRDefault="00DC0008" w:rsidP="00497AD7">
            <w:pPr>
              <w:rPr>
                <w:rFonts w:ascii="Arial Narrow" w:eastAsia="Calibri" w:hAnsi="Arial Narrow" w:cs="Arial"/>
                <w:sz w:val="20"/>
                <w:szCs w:val="22"/>
              </w:rPr>
            </w:pPr>
          </w:p>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Special Pricing Arrangements apply.</w:t>
            </w:r>
          </w:p>
        </w:tc>
      </w:tr>
      <w:tr w:rsidR="00941C88" w:rsidRPr="003E7E2B" w:rsidTr="00ED04F1">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67"/>
        </w:trPr>
        <w:tc>
          <w:tcPr>
            <w:tcW w:w="1849" w:type="dxa"/>
            <w:tcBorders>
              <w:top w:val="single" w:sz="4" w:space="0" w:color="auto"/>
              <w:left w:val="single" w:sz="4" w:space="0" w:color="auto"/>
              <w:bottom w:val="single" w:sz="4" w:space="0" w:color="auto"/>
              <w:right w:val="single" w:sz="4" w:space="0" w:color="auto"/>
            </w:tcBorders>
          </w:tcPr>
          <w:p w:rsidR="00941C88" w:rsidRPr="003E7E2B" w:rsidRDefault="00941C88" w:rsidP="00497AD7">
            <w:pPr>
              <w:rPr>
                <w:rFonts w:ascii="Arial Narrow" w:eastAsia="Calibri" w:hAnsi="Arial Narrow" w:cs="Arial"/>
                <w:b/>
                <w:sz w:val="20"/>
                <w:szCs w:val="22"/>
              </w:rPr>
            </w:pPr>
            <w:r>
              <w:rPr>
                <w:rFonts w:ascii="Arial Narrow" w:eastAsia="Calibri" w:hAnsi="Arial Narrow" w:cs="Arial"/>
                <w:b/>
                <w:sz w:val="20"/>
                <w:szCs w:val="22"/>
              </w:rPr>
              <w:t>Caution</w:t>
            </w:r>
          </w:p>
        </w:tc>
        <w:tc>
          <w:tcPr>
            <w:tcW w:w="7233" w:type="dxa"/>
            <w:gridSpan w:val="5"/>
            <w:tcBorders>
              <w:top w:val="single" w:sz="4" w:space="0" w:color="auto"/>
              <w:left w:val="single" w:sz="4" w:space="0" w:color="auto"/>
              <w:bottom w:val="single" w:sz="4" w:space="0" w:color="auto"/>
              <w:right w:val="single" w:sz="4" w:space="0" w:color="auto"/>
            </w:tcBorders>
          </w:tcPr>
          <w:p w:rsidR="00941C88" w:rsidRPr="003E7E2B" w:rsidRDefault="00941C88" w:rsidP="00497AD7">
            <w:pPr>
              <w:rPr>
                <w:rFonts w:ascii="Arial Narrow" w:eastAsia="Calibri" w:hAnsi="Arial Narrow" w:cs="Arial"/>
                <w:sz w:val="20"/>
                <w:szCs w:val="22"/>
              </w:rPr>
            </w:pPr>
            <w:r w:rsidRPr="00FB6BC5">
              <w:rPr>
                <w:rFonts w:ascii="Arial Narrow" w:hAnsi="Arial Narrow"/>
                <w:i/>
                <w:sz w:val="20"/>
                <w:szCs w:val="22"/>
                <w:lang w:eastAsia="en-US"/>
              </w:rPr>
              <w:t>Combination treatment with ipilimumab and nivolumab is associated with an increase incidence and severity of im</w:t>
            </w:r>
            <w:r>
              <w:rPr>
                <w:rFonts w:ascii="Arial Narrow" w:hAnsi="Arial Narrow"/>
                <w:i/>
                <w:sz w:val="20"/>
                <w:szCs w:val="22"/>
                <w:lang w:eastAsia="en-US"/>
              </w:rPr>
              <w:t xml:space="preserve">mune-related adverse reactions </w:t>
            </w:r>
            <w:r w:rsidRPr="0075046A">
              <w:rPr>
                <w:rFonts w:ascii="Arial Narrow" w:hAnsi="Arial Narrow"/>
                <w:i/>
                <w:sz w:val="20"/>
                <w:szCs w:val="22"/>
                <w:lang w:eastAsia="en-US"/>
              </w:rPr>
              <w:t>compared with</w:t>
            </w:r>
            <w:r w:rsidRPr="00FB6BC5">
              <w:rPr>
                <w:rFonts w:ascii="Arial Narrow" w:hAnsi="Arial Narrow"/>
                <w:i/>
                <w:sz w:val="20"/>
                <w:szCs w:val="22"/>
                <w:lang w:eastAsia="en-US"/>
              </w:rPr>
              <w:t xml:space="preserve"> monotherapy with these agents.  Monitoring at least prior to each dose is recommended.</w:t>
            </w:r>
          </w:p>
        </w:tc>
      </w:tr>
    </w:tbl>
    <w:p w:rsidR="00DC0008" w:rsidRPr="003E7E2B" w:rsidRDefault="00DC0008" w:rsidP="00DC0008">
      <w:pPr>
        <w:rPr>
          <w:szCs w:val="22"/>
        </w:rPr>
      </w:pPr>
    </w:p>
    <w:p w:rsidR="009B3CD1" w:rsidRDefault="009B3CD1">
      <w:pPr>
        <w:rPr>
          <w:rFonts w:ascii="Calibri" w:hAnsi="Calibri" w:cs="Arial"/>
          <w:b/>
          <w:snapToGrid w:val="0"/>
          <w:szCs w:val="22"/>
          <w:lang w:eastAsia="en-US"/>
        </w:rPr>
      </w:pPr>
      <w:r>
        <w:rPr>
          <w:rFonts w:ascii="Calibri" w:hAnsi="Calibri" w:cs="Arial"/>
          <w:b/>
          <w:snapToGrid w:val="0"/>
          <w:szCs w:val="22"/>
          <w:lang w:eastAsia="en-US"/>
        </w:rPr>
        <w:br w:type="page"/>
      </w:r>
    </w:p>
    <w:p w:rsidR="00DC0008" w:rsidRDefault="00DC0008" w:rsidP="00DC0008">
      <w:pPr>
        <w:rPr>
          <w:rFonts w:ascii="Calibri" w:hAnsi="Calibri" w:cs="Arial"/>
          <w:b/>
          <w:snapToGrid w:val="0"/>
          <w:szCs w:val="22"/>
          <w:lang w:eastAsia="en-US"/>
        </w:rPr>
      </w:pPr>
      <w:r w:rsidRPr="003E7E2B">
        <w:rPr>
          <w:rFonts w:ascii="Calibri" w:hAnsi="Calibri" w:cs="Arial"/>
          <w:b/>
          <w:snapToGrid w:val="0"/>
          <w:szCs w:val="22"/>
          <w:lang w:eastAsia="en-US"/>
        </w:rPr>
        <w:lastRenderedPageBreak/>
        <w:t xml:space="preserve">Grandfathering restriction </w:t>
      </w:r>
      <w:r w:rsidR="00714DFB" w:rsidRPr="003E7E2B">
        <w:rPr>
          <w:rFonts w:ascii="Calibri" w:hAnsi="Calibri" w:cs="Arial"/>
          <w:b/>
          <w:snapToGrid w:val="0"/>
          <w:szCs w:val="22"/>
          <w:lang w:eastAsia="en-US"/>
        </w:rPr>
        <w:t>–</w:t>
      </w:r>
      <w:r w:rsidRPr="003E7E2B">
        <w:rPr>
          <w:rFonts w:ascii="Calibri" w:hAnsi="Calibri" w:cs="Arial"/>
          <w:b/>
          <w:snapToGrid w:val="0"/>
          <w:szCs w:val="22"/>
          <w:lang w:eastAsia="en-US"/>
        </w:rPr>
        <w:t xml:space="preserve"> ipilimumab</w:t>
      </w:r>
      <w:r w:rsidR="00714DFB" w:rsidRPr="003E7E2B">
        <w:rPr>
          <w:rFonts w:ascii="Calibri" w:hAnsi="Calibri" w:cs="Arial"/>
          <w:b/>
          <w:snapToGrid w:val="0"/>
          <w:szCs w:val="22"/>
          <w:lang w:eastAsia="en-US"/>
        </w:rPr>
        <w:t xml:space="preserve"> induction</w:t>
      </w:r>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80"/>
        <w:gridCol w:w="1849"/>
        <w:gridCol w:w="1196"/>
        <w:gridCol w:w="1162"/>
        <w:gridCol w:w="924"/>
        <w:gridCol w:w="2268"/>
        <w:gridCol w:w="1683"/>
        <w:gridCol w:w="18"/>
      </w:tblGrid>
      <w:tr w:rsidR="00C81E5A" w:rsidRPr="003E7E2B" w:rsidTr="00C81E5A">
        <w:tc>
          <w:tcPr>
            <w:tcW w:w="3125" w:type="dxa"/>
            <w:gridSpan w:val="3"/>
          </w:tcPr>
          <w:p w:rsidR="00C81E5A" w:rsidRPr="00C81E5A" w:rsidRDefault="00C81E5A" w:rsidP="007D2CE9">
            <w:pPr>
              <w:keepNext/>
              <w:keepLines/>
              <w:widowControl w:val="0"/>
              <w:rPr>
                <w:rFonts w:ascii="Arial Narrow" w:hAnsi="Arial Narrow" w:cs="Arial"/>
                <w:b/>
                <w:i/>
                <w:snapToGrid w:val="0"/>
                <w:sz w:val="20"/>
                <w:szCs w:val="20"/>
                <w:lang w:eastAsia="en-US"/>
              </w:rPr>
            </w:pPr>
            <w:r w:rsidRPr="00C81E5A">
              <w:rPr>
                <w:rFonts w:ascii="Arial Narrow" w:hAnsi="Arial Narrow" w:cs="Arial"/>
                <w:b/>
                <w:i/>
                <w:snapToGrid w:val="0"/>
                <w:sz w:val="20"/>
                <w:szCs w:val="20"/>
                <w:lang w:eastAsia="en-US"/>
              </w:rPr>
              <w:t>Name, restriction, manner of administration, form</w:t>
            </w:r>
          </w:p>
        </w:tc>
        <w:tc>
          <w:tcPr>
            <w:tcW w:w="1162" w:type="dxa"/>
          </w:tcPr>
          <w:p w:rsidR="00C81E5A" w:rsidRPr="00C81E5A" w:rsidRDefault="00C81E5A" w:rsidP="007D2CE9">
            <w:pPr>
              <w:keepNext/>
              <w:keepLines/>
              <w:widowControl w:val="0"/>
              <w:jc w:val="center"/>
              <w:rPr>
                <w:rFonts w:ascii="Arial Narrow" w:hAnsi="Arial Narrow" w:cs="Arial"/>
                <w:b/>
                <w:i/>
                <w:snapToGrid w:val="0"/>
                <w:sz w:val="20"/>
                <w:szCs w:val="20"/>
                <w:lang w:eastAsia="en-US"/>
              </w:rPr>
            </w:pPr>
            <w:r w:rsidRPr="00C81E5A">
              <w:rPr>
                <w:rFonts w:ascii="Arial Narrow" w:hAnsi="Arial Narrow" w:cs="Arial"/>
                <w:b/>
                <w:i/>
                <w:snapToGrid w:val="0"/>
                <w:sz w:val="20"/>
                <w:szCs w:val="20"/>
                <w:lang w:eastAsia="en-US"/>
              </w:rPr>
              <w:t xml:space="preserve">Maximum </w:t>
            </w:r>
            <w:proofErr w:type="spellStart"/>
            <w:r w:rsidRPr="00C81E5A">
              <w:rPr>
                <w:rFonts w:ascii="Arial Narrow" w:hAnsi="Arial Narrow" w:cs="Arial"/>
                <w:b/>
                <w:i/>
                <w:snapToGrid w:val="0"/>
                <w:sz w:val="20"/>
                <w:szCs w:val="20"/>
                <w:lang w:eastAsia="en-US"/>
              </w:rPr>
              <w:t>qty</w:t>
            </w:r>
            <w:proofErr w:type="spellEnd"/>
          </w:p>
        </w:tc>
        <w:tc>
          <w:tcPr>
            <w:tcW w:w="924" w:type="dxa"/>
          </w:tcPr>
          <w:p w:rsidR="00C81E5A" w:rsidRPr="00C81E5A" w:rsidRDefault="00C81E5A" w:rsidP="007D2CE9">
            <w:pPr>
              <w:keepNext/>
              <w:keepLines/>
              <w:widowControl w:val="0"/>
              <w:jc w:val="center"/>
              <w:rPr>
                <w:rFonts w:ascii="Arial Narrow" w:hAnsi="Arial Narrow" w:cs="Arial"/>
                <w:b/>
                <w:i/>
                <w:snapToGrid w:val="0"/>
                <w:sz w:val="20"/>
                <w:szCs w:val="20"/>
                <w:lang w:eastAsia="en-US"/>
              </w:rPr>
            </w:pPr>
            <w:r w:rsidRPr="00C81E5A">
              <w:rPr>
                <w:rFonts w:ascii="Arial Narrow" w:hAnsi="Arial Narrow" w:cs="Arial"/>
                <w:b/>
                <w:i/>
                <w:snapToGrid w:val="0"/>
                <w:sz w:val="20"/>
                <w:szCs w:val="20"/>
                <w:lang w:eastAsia="en-US"/>
              </w:rPr>
              <w:t>No. of repeats</w:t>
            </w:r>
          </w:p>
        </w:tc>
        <w:tc>
          <w:tcPr>
            <w:tcW w:w="2268" w:type="dxa"/>
          </w:tcPr>
          <w:p w:rsidR="00C81E5A" w:rsidRPr="00C81E5A" w:rsidRDefault="00C81E5A" w:rsidP="007D2CE9">
            <w:pPr>
              <w:keepNext/>
              <w:keepLines/>
              <w:widowControl w:val="0"/>
              <w:rPr>
                <w:rFonts w:ascii="Arial Narrow" w:hAnsi="Arial Narrow" w:cs="Arial"/>
                <w:b/>
                <w:i/>
                <w:snapToGrid w:val="0"/>
                <w:sz w:val="20"/>
                <w:szCs w:val="20"/>
                <w:lang w:eastAsia="en-US"/>
              </w:rPr>
            </w:pPr>
            <w:r w:rsidRPr="00C81E5A">
              <w:rPr>
                <w:rFonts w:ascii="Arial Narrow" w:hAnsi="Arial Narrow" w:cs="Arial"/>
                <w:b/>
                <w:i/>
                <w:snapToGrid w:val="0"/>
                <w:sz w:val="20"/>
                <w:szCs w:val="20"/>
                <w:lang w:eastAsia="en-US"/>
              </w:rPr>
              <w:t>Dispensed price for maximum amount</w:t>
            </w:r>
          </w:p>
        </w:tc>
        <w:tc>
          <w:tcPr>
            <w:tcW w:w="1701" w:type="dxa"/>
            <w:gridSpan w:val="2"/>
          </w:tcPr>
          <w:p w:rsidR="00C81E5A" w:rsidRPr="00C81E5A" w:rsidRDefault="00C81E5A" w:rsidP="007D2CE9">
            <w:pPr>
              <w:keepNext/>
              <w:keepLines/>
              <w:widowControl w:val="0"/>
              <w:jc w:val="both"/>
              <w:rPr>
                <w:rFonts w:ascii="Arial Narrow" w:hAnsi="Arial Narrow" w:cs="Arial"/>
                <w:b/>
                <w:i/>
                <w:snapToGrid w:val="0"/>
                <w:sz w:val="20"/>
                <w:szCs w:val="20"/>
                <w:lang w:eastAsia="en-US"/>
              </w:rPr>
            </w:pPr>
            <w:r w:rsidRPr="00C81E5A">
              <w:rPr>
                <w:rFonts w:ascii="Arial Narrow" w:hAnsi="Arial Narrow" w:cs="Arial"/>
                <w:b/>
                <w:i/>
                <w:snapToGrid w:val="0"/>
                <w:sz w:val="20"/>
                <w:szCs w:val="20"/>
                <w:lang w:eastAsia="en-US"/>
              </w:rPr>
              <w:t>Proprietary name and manufacturer</w:t>
            </w:r>
          </w:p>
        </w:tc>
      </w:tr>
      <w:tr w:rsidR="00C81E5A" w:rsidRPr="003E7E2B" w:rsidTr="00C81E5A">
        <w:tc>
          <w:tcPr>
            <w:tcW w:w="3125" w:type="dxa"/>
            <w:gridSpan w:val="3"/>
          </w:tcPr>
          <w:p w:rsidR="00C81E5A" w:rsidRPr="00C81E5A" w:rsidRDefault="00C81E5A" w:rsidP="007D2CE9">
            <w:pPr>
              <w:keepNext/>
              <w:keepLines/>
              <w:rPr>
                <w:rFonts w:ascii="Arial Narrow" w:hAnsi="Arial Narrow"/>
                <w:bCs/>
                <w:i/>
                <w:sz w:val="20"/>
                <w:szCs w:val="22"/>
                <w:lang w:eastAsia="en-US"/>
              </w:rPr>
            </w:pPr>
            <w:r w:rsidRPr="00C81E5A">
              <w:rPr>
                <w:rFonts w:ascii="Arial Narrow" w:hAnsi="Arial Narrow"/>
                <w:bCs/>
                <w:i/>
                <w:sz w:val="20"/>
                <w:szCs w:val="22"/>
                <w:lang w:eastAsia="en-US"/>
              </w:rPr>
              <w:t>IPILIMUMAB</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bCs/>
                <w:i/>
                <w:sz w:val="20"/>
                <w:szCs w:val="22"/>
                <w:lang w:eastAsia="en-US"/>
              </w:rPr>
              <w:t>Injection 50 mg/10 mL 1 x 10 mL vial</w:t>
            </w:r>
            <w:r w:rsidRPr="00C81E5A">
              <w:rPr>
                <w:rFonts w:ascii="Arial Narrow" w:hAnsi="Arial Narrow"/>
                <w:i/>
                <w:sz w:val="20"/>
                <w:szCs w:val="22"/>
                <w:lang w:eastAsia="en-US"/>
              </w:rPr>
              <w:t xml:space="preserve"> </w:t>
            </w:r>
          </w:p>
        </w:tc>
        <w:tc>
          <w:tcPr>
            <w:tcW w:w="1162" w:type="dxa"/>
          </w:tcPr>
          <w:p w:rsidR="00C81E5A" w:rsidRPr="00C81E5A" w:rsidRDefault="00C81E5A" w:rsidP="007D2CE9">
            <w:pPr>
              <w:keepNext/>
              <w:keepLines/>
              <w:jc w:val="center"/>
              <w:rPr>
                <w:rFonts w:ascii="Arial Narrow" w:hAnsi="Arial Narrow"/>
                <w:i/>
                <w:sz w:val="20"/>
                <w:szCs w:val="22"/>
                <w:lang w:eastAsia="en-US"/>
              </w:rPr>
            </w:pPr>
            <w:r w:rsidRPr="00C81E5A">
              <w:rPr>
                <w:rFonts w:ascii="Arial Narrow" w:hAnsi="Arial Narrow"/>
                <w:i/>
                <w:sz w:val="20"/>
                <w:szCs w:val="22"/>
                <w:lang w:eastAsia="en-US"/>
              </w:rPr>
              <w:t>120 mg</w:t>
            </w:r>
          </w:p>
        </w:tc>
        <w:tc>
          <w:tcPr>
            <w:tcW w:w="924" w:type="dxa"/>
          </w:tcPr>
          <w:p w:rsidR="00C81E5A" w:rsidRPr="00C81E5A" w:rsidRDefault="00C81E5A" w:rsidP="007D2CE9">
            <w:pPr>
              <w:keepNext/>
              <w:keepLines/>
              <w:jc w:val="center"/>
              <w:rPr>
                <w:rFonts w:ascii="Arial Narrow" w:hAnsi="Arial Narrow"/>
                <w:i/>
                <w:sz w:val="20"/>
                <w:szCs w:val="22"/>
                <w:lang w:eastAsia="en-US"/>
              </w:rPr>
            </w:pPr>
            <w:r>
              <w:rPr>
                <w:rFonts w:ascii="Arial Narrow" w:hAnsi="Arial Narrow"/>
                <w:i/>
                <w:sz w:val="20"/>
                <w:szCs w:val="22"/>
                <w:lang w:eastAsia="en-US"/>
              </w:rPr>
              <w:t>2</w:t>
            </w:r>
          </w:p>
        </w:tc>
        <w:tc>
          <w:tcPr>
            <w:tcW w:w="2268" w:type="dxa"/>
          </w:tcPr>
          <w:p w:rsidR="00C81E5A" w:rsidRPr="00C81E5A" w:rsidRDefault="00C81E5A" w:rsidP="007D2CE9">
            <w:pPr>
              <w:keepNext/>
              <w:keepLines/>
              <w:rPr>
                <w:rFonts w:ascii="Arial Narrow" w:hAnsi="Arial Narrow"/>
                <w:i/>
                <w:sz w:val="20"/>
                <w:szCs w:val="22"/>
                <w:highlight w:val="yellow"/>
                <w:lang w:eastAsia="en-US"/>
              </w:rPr>
            </w:pPr>
            <w:r w:rsidRPr="00C81E5A">
              <w:rPr>
                <w:rFonts w:ascii="Arial Narrow" w:hAnsi="Arial Narrow"/>
                <w:i/>
                <w:sz w:val="20"/>
                <w:szCs w:val="22"/>
                <w:lang w:eastAsia="en-US"/>
              </w:rPr>
              <w:t>$17,849.89 published price</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Effective prices:</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Public: $</w:t>
            </w:r>
            <w:r w:rsidR="00B76982">
              <w:rPr>
                <w:rFonts w:ascii="Arial Narrow" w:hAnsi="Arial Narrow"/>
                <w:i/>
                <w:noProof/>
                <w:color w:val="000000"/>
                <w:sz w:val="20"/>
                <w:szCs w:val="22"/>
                <w:highlight w:val="black"/>
                <w:lang w:eastAsia="en-US"/>
              </w:rPr>
              <w:t>''''''''''''''''''''''</w:t>
            </w:r>
            <w:r w:rsidRPr="00C81E5A">
              <w:rPr>
                <w:rFonts w:ascii="Arial Narrow" w:hAnsi="Arial Narrow"/>
                <w:i/>
                <w:sz w:val="20"/>
                <w:szCs w:val="22"/>
                <w:lang w:eastAsia="en-US"/>
              </w:rPr>
              <w:t xml:space="preserve"> </w:t>
            </w:r>
          </w:p>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Private: $</w:t>
            </w:r>
            <w:r w:rsidR="00B76982">
              <w:rPr>
                <w:rFonts w:ascii="Arial Narrow" w:hAnsi="Arial Narrow"/>
                <w:i/>
                <w:noProof/>
                <w:color w:val="000000"/>
                <w:sz w:val="20"/>
                <w:szCs w:val="22"/>
                <w:highlight w:val="black"/>
                <w:lang w:eastAsia="en-US"/>
              </w:rPr>
              <w:t>'''''''''''''''''''</w:t>
            </w:r>
          </w:p>
        </w:tc>
        <w:tc>
          <w:tcPr>
            <w:tcW w:w="1701" w:type="dxa"/>
            <w:gridSpan w:val="2"/>
          </w:tcPr>
          <w:p w:rsidR="00C81E5A" w:rsidRPr="00C81E5A" w:rsidRDefault="00C81E5A" w:rsidP="007D2CE9">
            <w:pPr>
              <w:keepNext/>
              <w:keepLines/>
              <w:rPr>
                <w:rFonts w:ascii="Arial Narrow" w:hAnsi="Arial Narrow"/>
                <w:i/>
                <w:sz w:val="20"/>
                <w:szCs w:val="22"/>
                <w:lang w:eastAsia="en-US"/>
              </w:rPr>
            </w:pPr>
            <w:r w:rsidRPr="00C81E5A">
              <w:rPr>
                <w:rFonts w:ascii="Arial Narrow" w:hAnsi="Arial Narrow"/>
                <w:i/>
                <w:sz w:val="20"/>
                <w:szCs w:val="22"/>
                <w:lang w:eastAsia="en-US"/>
              </w:rPr>
              <w:t>YERVOY Bristol-Myers Squibb Australia Pty Ltd</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 xml:space="preserve">Category / Program </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sz w:val="20"/>
              </w:rPr>
            </w:pPr>
            <w:r w:rsidRPr="003E7E2B">
              <w:rPr>
                <w:rFonts w:ascii="Arial Narrow" w:eastAsia="Calibri" w:hAnsi="Arial Narrow"/>
                <w:sz w:val="20"/>
              </w:rPr>
              <w:t>Section 100 - Efficient funding of Chemotherapy</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Prescriber type</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sz w:val="20"/>
              </w:rPr>
            </w:pPr>
            <w:r w:rsidRPr="003E7E2B">
              <w:rPr>
                <w:rFonts w:ascii="Arial Narrow" w:eastAsia="Calibri" w:hAnsi="Arial Narrow"/>
                <w:sz w:val="20"/>
              </w:rPr>
              <w:t>Medical Practitioners</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Severity:</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sz w:val="20"/>
              </w:rPr>
            </w:pPr>
            <w:r w:rsidRPr="003E7E2B">
              <w:rPr>
                <w:rFonts w:ascii="Arial Narrow" w:eastAsia="Calibri" w:hAnsi="Arial Narrow"/>
                <w:sz w:val="20"/>
              </w:rPr>
              <w:t>Stage IV</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Condition:</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 xml:space="preserve">Clear cell variant renal cell carcinoma (RCC) </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PBS Indication:</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sz w:val="20"/>
              </w:rPr>
              <w:t>Stage IV clear cell variant renal cell carcinoma (RCC)</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Treatment phase:</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ED04F1">
            <w:pPr>
              <w:rPr>
                <w:rFonts w:ascii="Arial Narrow" w:eastAsia="Calibri" w:hAnsi="Arial Narrow" w:cs="Arial"/>
                <w:sz w:val="20"/>
                <w:szCs w:val="22"/>
              </w:rPr>
            </w:pPr>
            <w:r w:rsidRPr="003E7E2B">
              <w:rPr>
                <w:rFonts w:ascii="Arial Narrow" w:eastAsia="Calibri" w:hAnsi="Arial Narrow" w:cs="Arial"/>
                <w:sz w:val="20"/>
                <w:szCs w:val="22"/>
              </w:rPr>
              <w:t xml:space="preserve">Grandfather </w:t>
            </w:r>
            <w:r w:rsidR="00ED04F1" w:rsidRPr="001F3475">
              <w:rPr>
                <w:rFonts w:ascii="Arial Narrow" w:eastAsia="Calibri" w:hAnsi="Arial Narrow" w:cs="Arial"/>
                <w:strike/>
                <w:sz w:val="20"/>
                <w:szCs w:val="22"/>
              </w:rPr>
              <w:t>treatment</w:t>
            </w:r>
            <w:r w:rsidR="00ED04F1">
              <w:rPr>
                <w:rFonts w:ascii="Arial Narrow" w:eastAsia="Calibri" w:hAnsi="Arial Narrow" w:cs="Arial"/>
                <w:strike/>
                <w:sz w:val="20"/>
                <w:szCs w:val="22"/>
              </w:rPr>
              <w:t xml:space="preserve"> </w:t>
            </w:r>
            <w:r w:rsidR="00ED04F1" w:rsidRPr="001F3475">
              <w:rPr>
                <w:rFonts w:ascii="Arial Narrow" w:eastAsia="Calibri" w:hAnsi="Arial Narrow" w:cs="Arial"/>
                <w:i/>
                <w:sz w:val="20"/>
                <w:szCs w:val="22"/>
              </w:rPr>
              <w:t>patients</w:t>
            </w:r>
            <w:r w:rsidR="00ED04F1">
              <w:rPr>
                <w:rFonts w:ascii="Arial Narrow" w:eastAsia="Calibri" w:hAnsi="Arial Narrow" w:cs="Arial"/>
                <w:i/>
                <w:sz w:val="20"/>
                <w:szCs w:val="22"/>
              </w:rPr>
              <w:t xml:space="preserve"> – Induction</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Restriction Level / Method:</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C2660" w:rsidRDefault="00DC0008" w:rsidP="00497AD7">
            <w:pPr>
              <w:spacing w:line="300" w:lineRule="auto"/>
              <w:rPr>
                <w:rFonts w:ascii="Arial Narrow" w:eastAsia="Calibri" w:hAnsi="Arial Narrow"/>
                <w:sz w:val="20"/>
              </w:rPr>
            </w:pPr>
            <w:r w:rsidRPr="00ED5AEF">
              <w:rPr>
                <w:rFonts w:ascii="Arial Narrow" w:eastAsia="Calibri" w:hAnsi="Arial Narrow"/>
                <w:sz w:val="20"/>
              </w:rPr>
              <w:fldChar w:fldCharType="begin">
                <w:ffData>
                  <w:name w:val="Check5"/>
                  <w:enabled w:val="0"/>
                  <w:calcOnExit w:val="0"/>
                  <w:checkBox>
                    <w:sizeAuto/>
                    <w:default w:val="1"/>
                  </w:checkBox>
                </w:ffData>
              </w:fldChar>
            </w:r>
            <w:r w:rsidRPr="003E7E2B">
              <w:rPr>
                <w:rFonts w:ascii="Arial Narrow" w:eastAsia="Calibri" w:hAnsi="Arial Narrow"/>
                <w:sz w:val="20"/>
              </w:rPr>
              <w:instrText xml:space="preserve"> FORMCHECKBOX </w:instrText>
            </w:r>
            <w:r w:rsidR="004473C8">
              <w:rPr>
                <w:rFonts w:ascii="Arial Narrow" w:eastAsia="Calibri" w:hAnsi="Arial Narrow"/>
                <w:sz w:val="20"/>
              </w:rPr>
            </w:r>
            <w:r w:rsidR="004473C8">
              <w:rPr>
                <w:rFonts w:ascii="Arial Narrow" w:eastAsia="Calibri" w:hAnsi="Arial Narrow"/>
                <w:sz w:val="20"/>
              </w:rPr>
              <w:fldChar w:fldCharType="separate"/>
            </w:r>
            <w:r w:rsidRPr="00ED5AEF">
              <w:rPr>
                <w:rFonts w:ascii="Arial Narrow" w:eastAsia="Calibri" w:hAnsi="Arial Narrow"/>
                <w:sz w:val="20"/>
              </w:rPr>
              <w:fldChar w:fldCharType="end"/>
            </w:r>
            <w:r w:rsidRPr="003E7E2B">
              <w:rPr>
                <w:rFonts w:ascii="Arial Narrow" w:eastAsia="Calibri" w:hAnsi="Arial Narrow"/>
                <w:sz w:val="20"/>
              </w:rPr>
              <w:t>S</w:t>
            </w:r>
            <w:r w:rsidRPr="003E7E2B">
              <w:rPr>
                <w:rFonts w:ascii="Arial Narrow" w:eastAsia="Calibri" w:hAnsi="Arial Narrow" w:cs="Arial"/>
                <w:sz w:val="20"/>
                <w:szCs w:val="22"/>
              </w:rPr>
              <w:t>treamlined</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Clinical criteria:</w:t>
            </w:r>
          </w:p>
        </w:tc>
        <w:tc>
          <w:tcPr>
            <w:tcW w:w="7233" w:type="dxa"/>
            <w:gridSpan w:val="5"/>
            <w:tcBorders>
              <w:top w:val="single" w:sz="4" w:space="0" w:color="auto"/>
              <w:left w:val="single" w:sz="4" w:space="0" w:color="auto"/>
              <w:bottom w:val="single" w:sz="4" w:space="0" w:color="auto"/>
              <w:right w:val="single" w:sz="4" w:space="0" w:color="auto"/>
            </w:tcBorders>
          </w:tcPr>
          <w:p w:rsidR="00A5164D" w:rsidRDefault="00A5164D" w:rsidP="00497AD7">
            <w:pPr>
              <w:rPr>
                <w:rFonts w:ascii="Arial Narrow" w:eastAsia="Calibri" w:hAnsi="Arial Narrow" w:cs="Arial"/>
                <w:sz w:val="20"/>
                <w:szCs w:val="22"/>
              </w:rPr>
            </w:pPr>
            <w:r w:rsidRPr="003E7E2B">
              <w:rPr>
                <w:rFonts w:ascii="Arial Narrow" w:eastAsia="Calibri" w:hAnsi="Arial Narrow" w:cs="Arial"/>
                <w:sz w:val="20"/>
                <w:szCs w:val="22"/>
              </w:rPr>
              <w:t xml:space="preserve">Patient must have received </w:t>
            </w:r>
            <w:r w:rsidRPr="00AF0145">
              <w:rPr>
                <w:rFonts w:ascii="Arial Narrow" w:eastAsia="Calibri" w:hAnsi="Arial Narrow" w:cs="Arial"/>
                <w:strike/>
                <w:sz w:val="20"/>
                <w:szCs w:val="22"/>
              </w:rPr>
              <w:t>non-PBS subsidised treatment</w:t>
            </w:r>
            <w:r w:rsidRPr="003E7E2B">
              <w:rPr>
                <w:rFonts w:ascii="Arial Narrow" w:eastAsia="Calibri" w:hAnsi="Arial Narrow" w:cs="Arial"/>
                <w:sz w:val="20"/>
                <w:szCs w:val="22"/>
              </w:rPr>
              <w:t xml:space="preserve"> </w:t>
            </w:r>
            <w:r>
              <w:rPr>
                <w:rFonts w:ascii="Arial Narrow" w:eastAsia="Calibri" w:hAnsi="Arial Narrow" w:cs="Arial"/>
                <w:i/>
                <w:sz w:val="20"/>
                <w:szCs w:val="22"/>
              </w:rPr>
              <w:t xml:space="preserve">combined therapy </w:t>
            </w:r>
            <w:r>
              <w:rPr>
                <w:rFonts w:ascii="Arial Narrow" w:eastAsia="Calibri" w:hAnsi="Arial Narrow" w:cs="Arial"/>
                <w:sz w:val="20"/>
                <w:szCs w:val="22"/>
              </w:rPr>
              <w:t>with</w:t>
            </w:r>
            <w:r w:rsidRPr="003E7E2B">
              <w:rPr>
                <w:rFonts w:ascii="Arial Narrow" w:eastAsia="Calibri" w:hAnsi="Arial Narrow" w:cs="Arial"/>
                <w:sz w:val="20"/>
                <w:szCs w:val="22"/>
              </w:rPr>
              <w:t xml:space="preserve"> ipilimumab </w:t>
            </w:r>
            <w:r>
              <w:rPr>
                <w:rFonts w:ascii="Arial Narrow" w:eastAsia="Calibri" w:hAnsi="Arial Narrow" w:cs="Arial"/>
                <w:sz w:val="20"/>
                <w:szCs w:val="22"/>
              </w:rPr>
              <w:t xml:space="preserve">and </w:t>
            </w:r>
            <w:r w:rsidRPr="003E7E2B">
              <w:rPr>
                <w:rFonts w:ascii="Arial Narrow" w:eastAsia="Calibri" w:hAnsi="Arial Narrow" w:cs="Arial"/>
                <w:sz w:val="20"/>
                <w:szCs w:val="22"/>
              </w:rPr>
              <w:t xml:space="preserve">nivolumab </w:t>
            </w:r>
            <w:r w:rsidRPr="00AF0145">
              <w:rPr>
                <w:rFonts w:ascii="Arial Narrow" w:eastAsia="Calibri" w:hAnsi="Arial Narrow" w:cs="Arial"/>
                <w:strike/>
                <w:sz w:val="20"/>
                <w:szCs w:val="22"/>
              </w:rPr>
              <w:t>concomitantly</w:t>
            </w:r>
            <w:r w:rsidRPr="003E7E2B">
              <w:rPr>
                <w:rFonts w:ascii="Arial Narrow" w:eastAsia="Calibri" w:hAnsi="Arial Narrow" w:cs="Arial"/>
                <w:sz w:val="20"/>
                <w:szCs w:val="22"/>
              </w:rPr>
              <w:t xml:space="preserve"> as </w:t>
            </w:r>
            <w:r w:rsidRPr="00AF0145">
              <w:rPr>
                <w:rFonts w:ascii="Arial Narrow" w:eastAsia="Calibri" w:hAnsi="Arial Narrow" w:cs="Arial"/>
                <w:strike/>
                <w:sz w:val="20"/>
                <w:szCs w:val="22"/>
              </w:rPr>
              <w:t>first line therapy</w:t>
            </w:r>
            <w:r>
              <w:rPr>
                <w:rFonts w:ascii="Arial Narrow" w:eastAsia="Calibri" w:hAnsi="Arial Narrow" w:cs="Arial"/>
                <w:sz w:val="20"/>
                <w:szCs w:val="22"/>
              </w:rPr>
              <w:t xml:space="preserve"> </w:t>
            </w:r>
            <w:r>
              <w:rPr>
                <w:rFonts w:ascii="Arial Narrow" w:eastAsia="Calibri" w:hAnsi="Arial Narrow" w:cs="Arial"/>
                <w:i/>
                <w:sz w:val="20"/>
                <w:szCs w:val="22"/>
              </w:rPr>
              <w:t>as induction</w:t>
            </w:r>
            <w:r w:rsidRPr="003E7E2B">
              <w:rPr>
                <w:rFonts w:ascii="Arial Narrow" w:eastAsia="Calibri" w:hAnsi="Arial Narrow" w:cs="Arial"/>
                <w:sz w:val="20"/>
                <w:szCs w:val="22"/>
              </w:rPr>
              <w:t xml:space="preserve"> for this condition prior to </w:t>
            </w:r>
            <w:r>
              <w:rPr>
                <w:rFonts w:ascii="Arial Narrow" w:eastAsia="Calibri" w:hAnsi="Arial Narrow" w:cs="Arial"/>
                <w:sz w:val="20"/>
                <w:szCs w:val="22"/>
              </w:rPr>
              <w:t>&lt;</w:t>
            </w:r>
            <w:r w:rsidRPr="003E7E2B">
              <w:rPr>
                <w:rFonts w:ascii="Arial Narrow" w:eastAsia="Calibri" w:hAnsi="Arial Narrow" w:cs="Arial"/>
                <w:sz w:val="20"/>
                <w:szCs w:val="22"/>
              </w:rPr>
              <w:t>PBS listing date</w:t>
            </w:r>
            <w:r>
              <w:rPr>
                <w:rFonts w:ascii="Arial Narrow" w:eastAsia="Calibri" w:hAnsi="Arial Narrow" w:cs="Arial"/>
                <w:sz w:val="20"/>
                <w:szCs w:val="22"/>
              </w:rPr>
              <w:t>&gt;</w:t>
            </w:r>
          </w:p>
          <w:p w:rsidR="00DC0008"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AND</w:t>
            </w:r>
          </w:p>
          <w:p w:rsidR="00A5164D" w:rsidRPr="003E7E2B" w:rsidRDefault="00A5164D" w:rsidP="00A5164D">
            <w:pPr>
              <w:rPr>
                <w:rFonts w:ascii="Arial Narrow" w:eastAsia="Calibri" w:hAnsi="Arial Narrow" w:cs="Arial"/>
                <w:sz w:val="20"/>
                <w:szCs w:val="22"/>
              </w:rPr>
            </w:pPr>
            <w:r w:rsidRPr="003E7E2B">
              <w:rPr>
                <w:rFonts w:ascii="Arial Narrow" w:eastAsia="Calibri" w:hAnsi="Arial Narrow" w:cs="Arial"/>
                <w:sz w:val="20"/>
                <w:szCs w:val="22"/>
              </w:rPr>
              <w:t xml:space="preserve">Patient must </w:t>
            </w:r>
            <w:r>
              <w:rPr>
                <w:rFonts w:ascii="Arial Narrow" w:eastAsia="Calibri" w:hAnsi="Arial Narrow" w:cs="Arial"/>
                <w:i/>
                <w:sz w:val="20"/>
                <w:szCs w:val="22"/>
              </w:rPr>
              <w:t xml:space="preserve">have met </w:t>
            </w:r>
            <w:r w:rsidRPr="00941C88">
              <w:rPr>
                <w:rFonts w:ascii="Arial Narrow" w:eastAsia="Calibri" w:hAnsi="Arial Narrow" w:cs="Arial"/>
                <w:strike/>
                <w:sz w:val="20"/>
                <w:szCs w:val="22"/>
              </w:rPr>
              <w:t xml:space="preserve">meet </w:t>
            </w:r>
            <w:r w:rsidRPr="003E7E2B">
              <w:rPr>
                <w:rFonts w:ascii="Arial Narrow" w:eastAsia="Calibri" w:hAnsi="Arial Narrow" w:cs="Arial"/>
                <w:sz w:val="20"/>
                <w:szCs w:val="22"/>
              </w:rPr>
              <w:t xml:space="preserve">the International Metastatic Renal Cell Carcinoma Database Consortium (IMDC) intermediate to poor risk group criteria prior to </w:t>
            </w:r>
            <w:r>
              <w:rPr>
                <w:rFonts w:ascii="Arial Narrow" w:eastAsia="Calibri" w:hAnsi="Arial Narrow" w:cs="Arial"/>
                <w:sz w:val="20"/>
                <w:szCs w:val="22"/>
              </w:rPr>
              <w:t xml:space="preserve">initiating </w:t>
            </w:r>
            <w:r w:rsidRPr="003E7E2B">
              <w:rPr>
                <w:rFonts w:ascii="Arial Narrow" w:eastAsia="Calibri" w:hAnsi="Arial Narrow" w:cs="Arial"/>
                <w:sz w:val="20"/>
                <w:szCs w:val="22"/>
              </w:rPr>
              <w:t>non-PBS subsidised treatmen</w:t>
            </w:r>
            <w:r w:rsidR="00845EDE">
              <w:rPr>
                <w:rFonts w:ascii="Arial Narrow" w:eastAsia="Calibri" w:hAnsi="Arial Narrow" w:cs="Arial"/>
                <w:sz w:val="20"/>
                <w:szCs w:val="22"/>
              </w:rPr>
              <w:t>t with nivolumab and ipilimumab</w:t>
            </w:r>
          </w:p>
          <w:p w:rsidR="00A5164D" w:rsidRPr="003C2660" w:rsidRDefault="00A5164D" w:rsidP="00A5164D">
            <w:pPr>
              <w:rPr>
                <w:rFonts w:ascii="Arial Narrow" w:eastAsia="Calibri" w:hAnsi="Arial Narrow" w:cs="Arial"/>
                <w:sz w:val="20"/>
                <w:szCs w:val="22"/>
              </w:rPr>
            </w:pPr>
            <w:r w:rsidRPr="003C2660">
              <w:rPr>
                <w:rFonts w:ascii="Arial Narrow" w:eastAsia="Calibri" w:hAnsi="Arial Narrow" w:cs="Arial"/>
                <w:sz w:val="20"/>
                <w:szCs w:val="22"/>
              </w:rPr>
              <w:t>AND</w:t>
            </w:r>
          </w:p>
          <w:p w:rsidR="00A5164D" w:rsidRPr="003E7E2B" w:rsidRDefault="00A5164D" w:rsidP="00A5164D">
            <w:pPr>
              <w:rPr>
                <w:rFonts w:ascii="Arial Narrow" w:eastAsia="Calibri" w:hAnsi="Arial Narrow" w:cs="Arial"/>
                <w:sz w:val="20"/>
                <w:szCs w:val="22"/>
              </w:rPr>
            </w:pPr>
            <w:r w:rsidRPr="003C2660">
              <w:rPr>
                <w:rFonts w:ascii="Arial Narrow" w:eastAsia="Calibri" w:hAnsi="Arial Narrow" w:cs="Arial"/>
                <w:sz w:val="20"/>
                <w:szCs w:val="22"/>
              </w:rPr>
              <w:t xml:space="preserve">Patient must have had a WHO performance status of 2 or less </w:t>
            </w:r>
            <w:r w:rsidRPr="003E7E2B">
              <w:rPr>
                <w:rFonts w:ascii="Arial Narrow" w:eastAsia="Calibri" w:hAnsi="Arial Narrow" w:cs="Arial"/>
                <w:i/>
                <w:sz w:val="20"/>
                <w:szCs w:val="22"/>
              </w:rPr>
              <w:t xml:space="preserve">prior to </w:t>
            </w:r>
            <w:r w:rsidRPr="00941C88">
              <w:rPr>
                <w:rFonts w:ascii="Arial Narrow" w:eastAsia="Calibri" w:hAnsi="Arial Narrow" w:cs="Arial"/>
                <w:i/>
                <w:sz w:val="20"/>
                <w:szCs w:val="22"/>
              </w:rPr>
              <w:t>initiating</w:t>
            </w:r>
            <w:r>
              <w:rPr>
                <w:rFonts w:ascii="Arial Narrow" w:eastAsia="Calibri" w:hAnsi="Arial Narrow" w:cs="Arial"/>
                <w:i/>
                <w:sz w:val="20"/>
                <w:szCs w:val="22"/>
              </w:rPr>
              <w:t xml:space="preserve"> </w:t>
            </w:r>
            <w:r w:rsidRPr="00EF5F84">
              <w:rPr>
                <w:rFonts w:ascii="Arial Narrow" w:eastAsia="Calibri" w:hAnsi="Arial Narrow" w:cs="Arial"/>
                <w:i/>
                <w:sz w:val="20"/>
                <w:szCs w:val="22"/>
              </w:rPr>
              <w:t xml:space="preserve">non-PBS-subsidised </w:t>
            </w:r>
            <w:r w:rsidRPr="00941C88">
              <w:rPr>
                <w:rFonts w:ascii="Arial Narrow" w:eastAsia="Calibri" w:hAnsi="Arial Narrow" w:cs="Arial"/>
                <w:i/>
                <w:sz w:val="20"/>
                <w:szCs w:val="22"/>
              </w:rPr>
              <w:t xml:space="preserve">treatment with </w:t>
            </w:r>
            <w:r w:rsidRPr="00A5164D">
              <w:rPr>
                <w:rFonts w:ascii="Arial Narrow" w:eastAsia="Calibri" w:hAnsi="Arial Narrow" w:cs="Arial"/>
                <w:i/>
                <w:sz w:val="20"/>
                <w:szCs w:val="22"/>
              </w:rPr>
              <w:t>nivolumab and ipilimumab</w:t>
            </w:r>
          </w:p>
          <w:p w:rsidR="00A5164D" w:rsidRDefault="00A5164D" w:rsidP="00A5164D">
            <w:pPr>
              <w:rPr>
                <w:rFonts w:ascii="Arial Narrow" w:hAnsi="Arial Narrow"/>
                <w:i/>
                <w:sz w:val="20"/>
                <w:szCs w:val="22"/>
                <w:lang w:eastAsia="en-US"/>
              </w:rPr>
            </w:pPr>
            <w:r w:rsidRPr="003E7E2B">
              <w:rPr>
                <w:rFonts w:ascii="Arial Narrow" w:hAnsi="Arial Narrow"/>
                <w:i/>
                <w:sz w:val="20"/>
                <w:szCs w:val="22"/>
                <w:lang w:eastAsia="en-US"/>
              </w:rPr>
              <w:t>AND</w:t>
            </w:r>
          </w:p>
          <w:p w:rsidR="00A5164D" w:rsidRPr="003E7E2B" w:rsidRDefault="00A5164D" w:rsidP="00A5164D">
            <w:pPr>
              <w:rPr>
                <w:rFonts w:ascii="Arial Narrow" w:hAnsi="Arial Narrow"/>
                <w:i/>
                <w:sz w:val="20"/>
                <w:szCs w:val="22"/>
                <w:lang w:eastAsia="en-US"/>
              </w:rPr>
            </w:pPr>
            <w:r w:rsidRPr="003E7E2B">
              <w:rPr>
                <w:rFonts w:ascii="Arial Narrow" w:hAnsi="Arial Narrow"/>
                <w:i/>
                <w:sz w:val="20"/>
                <w:szCs w:val="22"/>
                <w:lang w:eastAsia="en-US"/>
              </w:rPr>
              <w:t xml:space="preserve">The treatment must be </w:t>
            </w:r>
            <w:r>
              <w:rPr>
                <w:rFonts w:ascii="Arial Narrow" w:hAnsi="Arial Narrow"/>
                <w:i/>
                <w:sz w:val="20"/>
                <w:szCs w:val="22"/>
                <w:lang w:eastAsia="en-US"/>
              </w:rPr>
              <w:t xml:space="preserve">for </w:t>
            </w:r>
            <w:r w:rsidRPr="003E7E2B">
              <w:rPr>
                <w:rFonts w:ascii="Arial Narrow" w:hAnsi="Arial Narrow"/>
                <w:i/>
                <w:sz w:val="20"/>
                <w:szCs w:val="22"/>
                <w:lang w:eastAsia="en-US"/>
              </w:rPr>
              <w:t>first-line therapy for this condition</w:t>
            </w:r>
          </w:p>
          <w:p w:rsidR="00A5164D" w:rsidRPr="003E7E2B" w:rsidRDefault="00A5164D" w:rsidP="00A5164D">
            <w:pPr>
              <w:rPr>
                <w:rFonts w:ascii="Arial Narrow" w:hAnsi="Arial Narrow"/>
                <w:i/>
                <w:sz w:val="20"/>
                <w:szCs w:val="22"/>
                <w:lang w:eastAsia="en-US"/>
              </w:rPr>
            </w:pPr>
            <w:r w:rsidRPr="003E7E2B">
              <w:rPr>
                <w:rFonts w:ascii="Arial Narrow" w:hAnsi="Arial Narrow"/>
                <w:i/>
                <w:sz w:val="20"/>
                <w:szCs w:val="22"/>
                <w:lang w:eastAsia="en-US"/>
              </w:rPr>
              <w:t>AND</w:t>
            </w:r>
          </w:p>
          <w:p w:rsidR="00A5164D" w:rsidRPr="003E7E2B" w:rsidRDefault="00A5164D" w:rsidP="00A5164D">
            <w:pPr>
              <w:rPr>
                <w:rFonts w:ascii="Arial Narrow" w:hAnsi="Arial Narrow"/>
                <w:i/>
                <w:sz w:val="20"/>
                <w:szCs w:val="22"/>
                <w:lang w:eastAsia="en-US"/>
              </w:rPr>
            </w:pPr>
            <w:r w:rsidRPr="003E7E2B">
              <w:rPr>
                <w:rFonts w:ascii="Arial Narrow" w:hAnsi="Arial Narrow"/>
                <w:i/>
                <w:sz w:val="20"/>
                <w:szCs w:val="22"/>
                <w:lang w:eastAsia="en-US"/>
              </w:rPr>
              <w:t xml:space="preserve">The treatment must be in combination </w:t>
            </w:r>
            <w:r w:rsidRPr="00941C88">
              <w:rPr>
                <w:rFonts w:ascii="Arial Narrow" w:hAnsi="Arial Narrow"/>
                <w:i/>
                <w:sz w:val="20"/>
                <w:szCs w:val="22"/>
                <w:lang w:eastAsia="en-US"/>
              </w:rPr>
              <w:t>with</w:t>
            </w:r>
            <w:r>
              <w:rPr>
                <w:rFonts w:ascii="Arial Narrow" w:hAnsi="Arial Narrow"/>
                <w:i/>
                <w:sz w:val="20"/>
                <w:szCs w:val="22"/>
                <w:lang w:eastAsia="en-US"/>
              </w:rPr>
              <w:t xml:space="preserve"> PBS-subsidised treatment with nivolum</w:t>
            </w:r>
            <w:r w:rsidRPr="00941C88">
              <w:rPr>
                <w:rFonts w:ascii="Arial Narrow" w:hAnsi="Arial Narrow"/>
                <w:i/>
                <w:sz w:val="20"/>
                <w:szCs w:val="22"/>
                <w:lang w:eastAsia="en-US"/>
              </w:rPr>
              <w:t>ab as induction for this condition</w:t>
            </w:r>
          </w:p>
          <w:p w:rsidR="00F5543B" w:rsidRPr="00F5543B" w:rsidRDefault="00F5543B" w:rsidP="00F5543B">
            <w:pPr>
              <w:rPr>
                <w:rFonts w:ascii="Arial Narrow" w:hAnsi="Arial Narrow"/>
                <w:i/>
                <w:sz w:val="20"/>
                <w:szCs w:val="22"/>
                <w:lang w:eastAsia="en-US"/>
              </w:rPr>
            </w:pPr>
            <w:r w:rsidRPr="00F5543B">
              <w:rPr>
                <w:rFonts w:ascii="Arial Narrow" w:hAnsi="Arial Narrow"/>
                <w:i/>
                <w:sz w:val="20"/>
                <w:szCs w:val="22"/>
                <w:lang w:eastAsia="en-US"/>
              </w:rPr>
              <w:t>AND</w:t>
            </w:r>
          </w:p>
          <w:p w:rsidR="001F3475" w:rsidRPr="003E7E2B" w:rsidRDefault="00F5543B" w:rsidP="00F5543B">
            <w:pPr>
              <w:rPr>
                <w:rFonts w:ascii="Arial Narrow" w:eastAsia="Calibri" w:hAnsi="Arial Narrow" w:cs="Arial"/>
                <w:sz w:val="20"/>
                <w:szCs w:val="22"/>
              </w:rPr>
            </w:pPr>
            <w:r w:rsidRPr="00F5543B">
              <w:rPr>
                <w:rFonts w:ascii="Arial Narrow" w:eastAsia="Calibri" w:hAnsi="Arial Narrow" w:cs="Arial"/>
                <w:i/>
                <w:sz w:val="20"/>
                <w:szCs w:val="22"/>
              </w:rPr>
              <w:t>Patient must have stable or responding disease</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b/>
                <w:sz w:val="20"/>
                <w:szCs w:val="22"/>
              </w:rPr>
              <w:t>Prescriber Instructions</w:t>
            </w:r>
          </w:p>
        </w:tc>
        <w:tc>
          <w:tcPr>
            <w:tcW w:w="7233" w:type="dxa"/>
            <w:gridSpan w:val="5"/>
            <w:tcBorders>
              <w:top w:val="single" w:sz="4" w:space="0" w:color="auto"/>
              <w:left w:val="single" w:sz="4" w:space="0" w:color="auto"/>
              <w:bottom w:val="single" w:sz="4" w:space="0" w:color="auto"/>
              <w:right w:val="single" w:sz="4" w:space="0" w:color="auto"/>
            </w:tcBorders>
          </w:tcPr>
          <w:p w:rsidR="00DC0008" w:rsidRDefault="00DC0008" w:rsidP="00497AD7">
            <w:pPr>
              <w:rPr>
                <w:rFonts w:ascii="Arial Narrow" w:eastAsia="Calibri" w:hAnsi="Arial Narrow" w:cs="Arial"/>
                <w:strike/>
                <w:sz w:val="20"/>
                <w:szCs w:val="22"/>
              </w:rPr>
            </w:pPr>
            <w:r w:rsidRPr="003E7E2B">
              <w:rPr>
                <w:rFonts w:ascii="Arial Narrow" w:eastAsia="Calibri" w:hAnsi="Arial Narrow" w:cs="Arial"/>
                <w:sz w:val="20"/>
                <w:szCs w:val="22"/>
              </w:rPr>
              <w:t xml:space="preserve">A patient may qualify for PBS-subsidised treatment under this restriction once only. </w:t>
            </w:r>
            <w:r w:rsidRPr="003E7E2B">
              <w:rPr>
                <w:rFonts w:ascii="Arial Narrow" w:eastAsia="Calibri" w:hAnsi="Arial Narrow" w:cs="Arial"/>
                <w:strike/>
                <w:sz w:val="20"/>
                <w:szCs w:val="22"/>
              </w:rPr>
              <w:t>For continuing PBS-subsidised treatment, a Grandfathered patient must qualify under the Continuing treatment criteria.</w:t>
            </w:r>
          </w:p>
          <w:p w:rsidR="00F5543B" w:rsidRDefault="00F5543B" w:rsidP="00F5543B">
            <w:pPr>
              <w:rPr>
                <w:rFonts w:ascii="Arial Narrow" w:hAnsi="Arial Narrow"/>
                <w:sz w:val="20"/>
                <w:szCs w:val="22"/>
                <w:lang w:eastAsia="en-US"/>
              </w:rPr>
            </w:pPr>
            <w:r w:rsidRPr="00AF0145">
              <w:rPr>
                <w:rFonts w:ascii="Arial Narrow" w:hAnsi="Arial Narrow"/>
                <w:i/>
                <w:sz w:val="20"/>
                <w:szCs w:val="22"/>
                <w:lang w:eastAsia="en-US"/>
              </w:rPr>
              <w:t xml:space="preserve">Induction </w:t>
            </w:r>
            <w:r w:rsidRPr="003E7E2B">
              <w:rPr>
                <w:rFonts w:ascii="Arial Narrow" w:hAnsi="Arial Narrow"/>
                <w:sz w:val="20"/>
                <w:szCs w:val="22"/>
                <w:lang w:eastAsia="en-US"/>
              </w:rPr>
              <w:t xml:space="preserve">treatment </w:t>
            </w:r>
            <w:r w:rsidRPr="00B763A5">
              <w:rPr>
                <w:rFonts w:ascii="Arial Narrow" w:hAnsi="Arial Narrow"/>
                <w:sz w:val="20"/>
                <w:szCs w:val="22"/>
                <w:lang w:eastAsia="en-US"/>
              </w:rPr>
              <w:t>with ipilimumab</w:t>
            </w:r>
            <w:r w:rsidRPr="00AF0145">
              <w:rPr>
                <w:rFonts w:ascii="Arial Narrow" w:hAnsi="Arial Narrow"/>
                <w:sz w:val="20"/>
                <w:szCs w:val="22"/>
                <w:lang w:eastAsia="en-US"/>
              </w:rPr>
              <w:t xml:space="preserve"> </w:t>
            </w:r>
            <w:r w:rsidRPr="003E7E2B">
              <w:rPr>
                <w:rFonts w:ascii="Arial Narrow" w:hAnsi="Arial Narrow"/>
                <w:sz w:val="20"/>
                <w:szCs w:val="22"/>
                <w:lang w:eastAsia="en-US"/>
              </w:rPr>
              <w:t>must not exceed a total of 4 doses at a maximum dose of 1 mg per kg every 3 weeks</w:t>
            </w:r>
          </w:p>
          <w:p w:rsidR="00F5543B" w:rsidRPr="003E7E2B" w:rsidRDefault="00F5543B" w:rsidP="00497AD7">
            <w:pPr>
              <w:rPr>
                <w:rFonts w:ascii="Arial Narrow" w:eastAsia="Calibri" w:hAnsi="Arial Narrow" w:cs="Arial"/>
                <w:strike/>
                <w:sz w:val="20"/>
                <w:szCs w:val="22"/>
              </w:rPr>
            </w:pPr>
          </w:p>
          <w:p w:rsidR="00714DFB" w:rsidRPr="003E7E2B" w:rsidRDefault="00714DFB" w:rsidP="00497AD7">
            <w:pPr>
              <w:rPr>
                <w:rFonts w:ascii="Arial Narrow" w:eastAsia="Calibri" w:hAnsi="Arial Narrow" w:cs="Arial"/>
                <w:sz w:val="20"/>
                <w:szCs w:val="22"/>
              </w:rPr>
            </w:pPr>
            <w:r w:rsidRPr="003E7E2B">
              <w:rPr>
                <w:rFonts w:ascii="Arial Narrow" w:hAnsi="Arial Narrow"/>
                <w:i/>
                <w:sz w:val="20"/>
                <w:szCs w:val="22"/>
                <w:lang w:eastAsia="en-US"/>
              </w:rPr>
              <w:t>The patient’s body weight must be documented in the patient’s medical records at the time treatment is initiated</w:t>
            </w:r>
          </w:p>
        </w:tc>
      </w:tr>
      <w:tr w:rsidR="00DC0008" w:rsidRPr="003E7E2B" w:rsidTr="00C81E5A">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gridBefore w:val="1"/>
          <w:gridAfter w:val="1"/>
          <w:wBefore w:w="80" w:type="dxa"/>
          <w:wAfter w:w="18" w:type="dxa"/>
          <w:trHeight w:val="20"/>
        </w:trPr>
        <w:tc>
          <w:tcPr>
            <w:tcW w:w="1849" w:type="dxa"/>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b/>
                <w:sz w:val="20"/>
                <w:szCs w:val="22"/>
              </w:rPr>
            </w:pPr>
            <w:r w:rsidRPr="003E7E2B">
              <w:rPr>
                <w:rFonts w:ascii="Arial Narrow" w:eastAsia="Calibri" w:hAnsi="Arial Narrow" w:cs="Arial"/>
                <w:b/>
                <w:sz w:val="20"/>
                <w:szCs w:val="22"/>
              </w:rPr>
              <w:t>Administrative Advice</w:t>
            </w:r>
          </w:p>
        </w:tc>
        <w:tc>
          <w:tcPr>
            <w:tcW w:w="7233" w:type="dxa"/>
            <w:gridSpan w:val="5"/>
            <w:tcBorders>
              <w:top w:val="single" w:sz="4" w:space="0" w:color="auto"/>
              <w:left w:val="single" w:sz="4" w:space="0" w:color="auto"/>
              <w:bottom w:val="single" w:sz="4" w:space="0" w:color="auto"/>
              <w:right w:val="single" w:sz="4" w:space="0" w:color="auto"/>
            </w:tcBorders>
          </w:tcPr>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DC0008" w:rsidRPr="003E7E2B" w:rsidRDefault="00DC0008" w:rsidP="00497AD7">
            <w:pPr>
              <w:rPr>
                <w:rFonts w:ascii="Arial Narrow" w:eastAsia="Calibri" w:hAnsi="Arial Narrow" w:cs="Arial"/>
                <w:sz w:val="20"/>
                <w:szCs w:val="22"/>
              </w:rPr>
            </w:pPr>
          </w:p>
          <w:p w:rsidR="00DC0008" w:rsidRPr="003E7E2B" w:rsidRDefault="00DC0008" w:rsidP="00497AD7">
            <w:pPr>
              <w:rPr>
                <w:rFonts w:ascii="Arial Narrow" w:hAnsi="Arial Narrow"/>
                <w:sz w:val="20"/>
                <w:szCs w:val="22"/>
                <w:lang w:eastAsia="en-US"/>
              </w:rPr>
            </w:pPr>
            <w:r w:rsidRPr="003E7E2B">
              <w:rPr>
                <w:rFonts w:ascii="Arial Narrow" w:hAnsi="Arial Narrow"/>
                <w:sz w:val="20"/>
                <w:szCs w:val="22"/>
                <w:lang w:eastAsia="en-US"/>
              </w:rPr>
              <w:t>No increase in the maximum number of repeats may be authorised.</w:t>
            </w:r>
          </w:p>
          <w:p w:rsidR="00DC0008" w:rsidRPr="003E7E2B" w:rsidRDefault="00DC0008" w:rsidP="00497AD7">
            <w:pPr>
              <w:rPr>
                <w:rFonts w:ascii="Arial Narrow" w:hAnsi="Arial Narrow"/>
                <w:i/>
                <w:sz w:val="20"/>
                <w:szCs w:val="22"/>
                <w:lang w:eastAsia="en-US"/>
              </w:rPr>
            </w:pPr>
            <w:r w:rsidRPr="003E7E2B">
              <w:rPr>
                <w:rFonts w:ascii="Arial Narrow" w:hAnsi="Arial Narrow"/>
                <w:i/>
                <w:sz w:val="20"/>
                <w:szCs w:val="22"/>
                <w:lang w:eastAsia="en-US"/>
              </w:rPr>
              <w:t>No increase in the maximum quantity or number of units may be authorised.</w:t>
            </w:r>
          </w:p>
          <w:p w:rsidR="00DC0008" w:rsidRPr="003E7E2B" w:rsidRDefault="00DC0008" w:rsidP="00497AD7">
            <w:pPr>
              <w:rPr>
                <w:rFonts w:ascii="Arial Narrow" w:eastAsia="Calibri" w:hAnsi="Arial Narrow" w:cs="Arial"/>
                <w:sz w:val="20"/>
                <w:szCs w:val="22"/>
              </w:rPr>
            </w:pPr>
          </w:p>
          <w:p w:rsidR="00DC0008" w:rsidRPr="003E7E2B" w:rsidRDefault="00DC0008" w:rsidP="00497AD7">
            <w:pPr>
              <w:rPr>
                <w:rFonts w:ascii="Arial Narrow" w:eastAsia="Calibri" w:hAnsi="Arial Narrow" w:cs="Arial"/>
                <w:sz w:val="20"/>
                <w:szCs w:val="22"/>
              </w:rPr>
            </w:pPr>
            <w:r w:rsidRPr="003E7E2B">
              <w:rPr>
                <w:rFonts w:ascii="Arial Narrow" w:eastAsia="Calibri" w:hAnsi="Arial Narrow" w:cs="Arial"/>
                <w:sz w:val="20"/>
                <w:szCs w:val="22"/>
              </w:rPr>
              <w:t>Special Pricing Arrangements apply.</w:t>
            </w:r>
          </w:p>
        </w:tc>
      </w:tr>
    </w:tbl>
    <w:p w:rsidR="00DC0008" w:rsidRPr="003E7E2B" w:rsidRDefault="00DC0008" w:rsidP="002D4543">
      <w:pPr>
        <w:rPr>
          <w:szCs w:val="22"/>
        </w:rPr>
      </w:pPr>
    </w:p>
    <w:p w:rsidR="00457DA4" w:rsidRPr="003E7E2B" w:rsidRDefault="00457DA4" w:rsidP="005C3014">
      <w:pPr>
        <w:pStyle w:val="ListParagraph"/>
        <w:widowControl/>
        <w:numPr>
          <w:ilvl w:val="1"/>
          <w:numId w:val="14"/>
        </w:numPr>
        <w:spacing w:after="120"/>
        <w:contextualSpacing w:val="0"/>
        <w:rPr>
          <w:rFonts w:asciiTheme="minorHAnsi" w:eastAsia="Calibri" w:hAnsiTheme="minorHAnsi" w:cstheme="minorHAnsi"/>
          <w:sz w:val="24"/>
          <w:szCs w:val="24"/>
        </w:rPr>
      </w:pPr>
      <w:r w:rsidRPr="003E7E2B">
        <w:rPr>
          <w:rFonts w:asciiTheme="minorHAnsi" w:eastAsia="Calibri" w:hAnsiTheme="minorHAnsi" w:cstheme="minorHAnsi"/>
          <w:sz w:val="24"/>
          <w:szCs w:val="24"/>
        </w:rPr>
        <w:t xml:space="preserve">The PBAC previously </w:t>
      </w:r>
      <w:r w:rsidR="00C80160" w:rsidRPr="003E7E2B">
        <w:rPr>
          <w:rFonts w:asciiTheme="minorHAnsi" w:eastAsia="Calibri" w:hAnsiTheme="minorHAnsi" w:cstheme="minorHAnsi"/>
          <w:sz w:val="24"/>
          <w:szCs w:val="24"/>
        </w:rPr>
        <w:t xml:space="preserve">considered </w:t>
      </w:r>
      <w:r w:rsidRPr="003E7E2B">
        <w:rPr>
          <w:rFonts w:asciiTheme="minorHAnsi" w:eastAsia="Calibri" w:hAnsiTheme="minorHAnsi" w:cstheme="minorHAnsi"/>
          <w:sz w:val="24"/>
          <w:szCs w:val="24"/>
        </w:rPr>
        <w:t xml:space="preserve">that </w:t>
      </w:r>
      <w:r w:rsidR="005C3014" w:rsidRPr="003E7E2B">
        <w:rPr>
          <w:rFonts w:asciiTheme="minorHAnsi" w:eastAsia="Calibri" w:hAnsiTheme="minorHAnsi" w:cstheme="minorHAnsi"/>
          <w:sz w:val="24"/>
          <w:szCs w:val="24"/>
        </w:rPr>
        <w:t xml:space="preserve">the restriction should be based </w:t>
      </w:r>
      <w:r w:rsidRPr="003E7E2B">
        <w:rPr>
          <w:rFonts w:asciiTheme="minorHAnsi" w:eastAsia="Calibri" w:hAnsiTheme="minorHAnsi" w:cstheme="minorHAnsi"/>
          <w:sz w:val="24"/>
          <w:szCs w:val="24"/>
        </w:rPr>
        <w:t xml:space="preserve">on WHO performance status and the </w:t>
      </w:r>
      <w:r w:rsidRPr="003E7E2B">
        <w:rPr>
          <w:rFonts w:asciiTheme="minorHAnsi" w:hAnsiTheme="minorHAnsi" w:cstheme="minorHAnsi"/>
          <w:sz w:val="24"/>
          <w:szCs w:val="24"/>
        </w:rPr>
        <w:t>International Metastatic Renal Cell Carcinoma Database Consortium (IMDC) prognostic criteria, as these both reflect current Australian clinical practice (Paragraph</w:t>
      </w:r>
      <w:r w:rsidR="00C80160" w:rsidRPr="003E7E2B">
        <w:rPr>
          <w:rFonts w:asciiTheme="minorHAnsi" w:hAnsiTheme="minorHAnsi" w:cstheme="minorHAnsi"/>
          <w:sz w:val="24"/>
          <w:szCs w:val="24"/>
        </w:rPr>
        <w:t>s</w:t>
      </w:r>
      <w:r w:rsidRPr="003E7E2B">
        <w:rPr>
          <w:rFonts w:asciiTheme="minorHAnsi" w:hAnsiTheme="minorHAnsi" w:cstheme="minorHAnsi"/>
          <w:sz w:val="24"/>
          <w:szCs w:val="24"/>
        </w:rPr>
        <w:t xml:space="preserve"> 7.3 and 7.4, PBAC </w:t>
      </w:r>
      <w:r w:rsidR="00DD2D76">
        <w:rPr>
          <w:rFonts w:asciiTheme="minorHAnsi" w:hAnsiTheme="minorHAnsi" w:cstheme="minorHAnsi"/>
          <w:sz w:val="24"/>
          <w:szCs w:val="24"/>
        </w:rPr>
        <w:t>Public Summary Document (PSD)</w:t>
      </w:r>
      <w:r w:rsidR="00DD2D76" w:rsidRPr="003E7E2B">
        <w:rPr>
          <w:rFonts w:asciiTheme="minorHAnsi" w:hAnsiTheme="minorHAnsi" w:cstheme="minorHAnsi"/>
          <w:sz w:val="24"/>
          <w:szCs w:val="24"/>
        </w:rPr>
        <w:t xml:space="preserve"> </w:t>
      </w:r>
      <w:r w:rsidRPr="003E7E2B">
        <w:rPr>
          <w:rFonts w:asciiTheme="minorHAnsi" w:hAnsiTheme="minorHAnsi" w:cstheme="minorHAnsi"/>
          <w:sz w:val="24"/>
          <w:szCs w:val="24"/>
        </w:rPr>
        <w:t xml:space="preserve">July 2018). </w:t>
      </w:r>
      <w:r w:rsidR="00C91427" w:rsidRPr="003E7E2B">
        <w:rPr>
          <w:rFonts w:asciiTheme="minorHAnsi" w:hAnsiTheme="minorHAnsi" w:cstheme="minorHAnsi"/>
          <w:sz w:val="24"/>
          <w:szCs w:val="24"/>
        </w:rPr>
        <w:t>Th</w:t>
      </w:r>
      <w:r w:rsidR="005C3014" w:rsidRPr="003E7E2B">
        <w:rPr>
          <w:rFonts w:asciiTheme="minorHAnsi" w:hAnsiTheme="minorHAnsi" w:cstheme="minorHAnsi"/>
          <w:sz w:val="24"/>
          <w:szCs w:val="24"/>
        </w:rPr>
        <w:t>e PBAC noted th</w:t>
      </w:r>
      <w:r w:rsidR="00C91427" w:rsidRPr="003E7E2B">
        <w:rPr>
          <w:rFonts w:asciiTheme="minorHAnsi" w:hAnsiTheme="minorHAnsi" w:cstheme="minorHAnsi"/>
          <w:sz w:val="24"/>
          <w:szCs w:val="24"/>
        </w:rPr>
        <w:t xml:space="preserve">is </w:t>
      </w:r>
      <w:r w:rsidR="005C3014" w:rsidRPr="003E7E2B">
        <w:rPr>
          <w:rFonts w:asciiTheme="minorHAnsi" w:hAnsiTheme="minorHAnsi" w:cstheme="minorHAnsi"/>
          <w:sz w:val="24"/>
          <w:szCs w:val="24"/>
        </w:rPr>
        <w:t>wa</w:t>
      </w:r>
      <w:r w:rsidR="00C91427" w:rsidRPr="003E7E2B">
        <w:rPr>
          <w:rFonts w:asciiTheme="minorHAnsi" w:hAnsiTheme="minorHAnsi" w:cstheme="minorHAnsi"/>
          <w:sz w:val="24"/>
          <w:szCs w:val="24"/>
        </w:rPr>
        <w:t>s appropriately reflect</w:t>
      </w:r>
      <w:r w:rsidR="00845EDE">
        <w:rPr>
          <w:rFonts w:asciiTheme="minorHAnsi" w:hAnsiTheme="minorHAnsi" w:cstheme="minorHAnsi"/>
          <w:sz w:val="24"/>
          <w:szCs w:val="24"/>
        </w:rPr>
        <w:t>ed in the proposed restriction.</w:t>
      </w:r>
    </w:p>
    <w:p w:rsidR="00B32D39" w:rsidRPr="003E7E2B" w:rsidRDefault="00B32D39" w:rsidP="005C3014">
      <w:pPr>
        <w:pStyle w:val="ListParagraph"/>
        <w:widowControl/>
        <w:numPr>
          <w:ilvl w:val="1"/>
          <w:numId w:val="14"/>
        </w:numPr>
        <w:spacing w:after="120"/>
        <w:contextualSpacing w:val="0"/>
        <w:rPr>
          <w:rFonts w:asciiTheme="minorHAnsi" w:eastAsia="Calibri" w:hAnsiTheme="minorHAnsi" w:cstheme="minorHAnsi"/>
          <w:sz w:val="24"/>
          <w:szCs w:val="24"/>
        </w:rPr>
      </w:pPr>
      <w:r w:rsidRPr="003E7E2B">
        <w:rPr>
          <w:rFonts w:asciiTheme="minorHAnsi" w:eastAsia="Calibri" w:hAnsiTheme="minorHAnsi" w:cstheme="minorHAnsi"/>
          <w:sz w:val="24"/>
          <w:szCs w:val="24"/>
        </w:rPr>
        <w:lastRenderedPageBreak/>
        <w:t xml:space="preserve">The </w:t>
      </w:r>
      <w:r w:rsidR="00864AFC" w:rsidRPr="003E7E2B">
        <w:rPr>
          <w:rFonts w:asciiTheme="minorHAnsi" w:eastAsia="Calibri" w:hAnsiTheme="minorHAnsi" w:cstheme="minorHAnsi"/>
          <w:sz w:val="24"/>
          <w:szCs w:val="24"/>
        </w:rPr>
        <w:t xml:space="preserve">resubmission </w:t>
      </w:r>
      <w:r w:rsidRPr="003E7E2B">
        <w:rPr>
          <w:rFonts w:asciiTheme="minorHAnsi" w:eastAsia="Calibri" w:hAnsiTheme="minorHAnsi" w:cstheme="minorHAnsi"/>
          <w:sz w:val="24"/>
          <w:szCs w:val="24"/>
        </w:rPr>
        <w:t xml:space="preserve">proposed </w:t>
      </w:r>
      <w:r w:rsidR="00864AFC" w:rsidRPr="003E7E2B">
        <w:rPr>
          <w:rFonts w:asciiTheme="minorHAnsi" w:eastAsia="Calibri" w:hAnsiTheme="minorHAnsi" w:cstheme="minorHAnsi"/>
          <w:sz w:val="24"/>
          <w:szCs w:val="24"/>
        </w:rPr>
        <w:t xml:space="preserve">that the </w:t>
      </w:r>
      <w:r w:rsidRPr="003E7E2B">
        <w:rPr>
          <w:rFonts w:asciiTheme="minorHAnsi" w:eastAsia="Calibri" w:hAnsiTheme="minorHAnsi" w:cstheme="minorHAnsi"/>
          <w:sz w:val="24"/>
          <w:szCs w:val="24"/>
        </w:rPr>
        <w:t xml:space="preserve">continuing restriction </w:t>
      </w:r>
      <w:r w:rsidR="00864AFC" w:rsidRPr="003E7E2B">
        <w:rPr>
          <w:rFonts w:asciiTheme="minorHAnsi" w:eastAsia="Calibri" w:hAnsiTheme="minorHAnsi" w:cstheme="minorHAnsi"/>
          <w:sz w:val="24"/>
          <w:szCs w:val="24"/>
        </w:rPr>
        <w:t>should state:</w:t>
      </w:r>
      <w:r w:rsidRPr="003E7E2B">
        <w:rPr>
          <w:rFonts w:asciiTheme="minorHAnsi" w:eastAsia="Calibri" w:hAnsiTheme="minorHAnsi" w:cstheme="minorHAnsi"/>
          <w:sz w:val="24"/>
          <w:szCs w:val="24"/>
        </w:rPr>
        <w:t xml:space="preserve"> “</w:t>
      </w:r>
      <w:r w:rsidRPr="003E7E2B">
        <w:rPr>
          <w:rFonts w:asciiTheme="minorHAnsi" w:hAnsiTheme="minorHAnsi" w:cstheme="minorHAnsi"/>
          <w:sz w:val="24"/>
          <w:szCs w:val="24"/>
        </w:rPr>
        <w:t xml:space="preserve">Patient must have stable or responding disease”. </w:t>
      </w:r>
      <w:r w:rsidR="005C3014" w:rsidRPr="003E7E2B">
        <w:rPr>
          <w:rFonts w:asciiTheme="minorHAnsi" w:hAnsiTheme="minorHAnsi" w:cstheme="minorHAnsi"/>
          <w:sz w:val="24"/>
          <w:szCs w:val="24"/>
        </w:rPr>
        <w:t>While</w:t>
      </w:r>
      <w:r w:rsidR="00F54F83" w:rsidRPr="003E7E2B">
        <w:rPr>
          <w:rFonts w:asciiTheme="minorHAnsi" w:eastAsia="Calibri" w:hAnsiTheme="minorHAnsi" w:cstheme="minorHAnsi"/>
          <w:sz w:val="24"/>
          <w:szCs w:val="24"/>
        </w:rPr>
        <w:t xml:space="preserve"> the restriction for the comparator (sunitinib) includes </w:t>
      </w:r>
      <w:r w:rsidR="00E713B7" w:rsidRPr="003E7E2B">
        <w:rPr>
          <w:rFonts w:asciiTheme="minorHAnsi" w:eastAsia="Calibri" w:hAnsiTheme="minorHAnsi" w:cstheme="minorHAnsi"/>
          <w:sz w:val="24"/>
          <w:szCs w:val="24"/>
        </w:rPr>
        <w:t xml:space="preserve">a requirement that this must be according to the Response Evaluation Criteria </w:t>
      </w:r>
      <w:proofErr w:type="gramStart"/>
      <w:r w:rsidR="00E713B7" w:rsidRPr="003E7E2B">
        <w:rPr>
          <w:rFonts w:asciiTheme="minorHAnsi" w:eastAsia="Calibri" w:hAnsiTheme="minorHAnsi" w:cstheme="minorHAnsi"/>
          <w:sz w:val="24"/>
          <w:szCs w:val="24"/>
        </w:rPr>
        <w:t>In</w:t>
      </w:r>
      <w:proofErr w:type="gramEnd"/>
      <w:r w:rsidR="00E713B7" w:rsidRPr="003E7E2B">
        <w:rPr>
          <w:rFonts w:asciiTheme="minorHAnsi" w:eastAsia="Calibri" w:hAnsiTheme="minorHAnsi" w:cstheme="minorHAnsi"/>
          <w:sz w:val="24"/>
          <w:szCs w:val="24"/>
        </w:rPr>
        <w:t xml:space="preserve"> Solid Tumours (RECIST) criteria</w:t>
      </w:r>
      <w:r w:rsidR="005C3014" w:rsidRPr="003E7E2B">
        <w:rPr>
          <w:rFonts w:asciiTheme="minorHAnsi" w:eastAsia="Calibri" w:hAnsiTheme="minorHAnsi" w:cstheme="minorHAnsi"/>
          <w:sz w:val="24"/>
          <w:szCs w:val="24"/>
        </w:rPr>
        <w:t>, the p</w:t>
      </w:r>
      <w:r w:rsidR="007B0FBA" w:rsidRPr="003E7E2B">
        <w:rPr>
          <w:rFonts w:asciiTheme="minorHAnsi" w:eastAsia="Calibri" w:hAnsiTheme="minorHAnsi" w:cstheme="minorHAnsi"/>
          <w:sz w:val="24"/>
          <w:szCs w:val="24"/>
        </w:rPr>
        <w:t xml:space="preserve">re-PBAC response </w:t>
      </w:r>
      <w:r w:rsidR="005C3014" w:rsidRPr="003E7E2B">
        <w:rPr>
          <w:rFonts w:asciiTheme="minorHAnsi" w:eastAsia="Calibri" w:hAnsiTheme="minorHAnsi" w:cstheme="minorHAnsi"/>
          <w:sz w:val="24"/>
          <w:szCs w:val="24"/>
        </w:rPr>
        <w:t>stated</w:t>
      </w:r>
      <w:r w:rsidR="00F54F83" w:rsidRPr="003E7E2B">
        <w:rPr>
          <w:rFonts w:asciiTheme="minorHAnsi" w:eastAsia="Calibri" w:hAnsiTheme="minorHAnsi" w:cstheme="minorHAnsi"/>
          <w:sz w:val="24"/>
          <w:szCs w:val="24"/>
        </w:rPr>
        <w:t xml:space="preserve"> </w:t>
      </w:r>
      <w:r w:rsidR="005C3014" w:rsidRPr="003E7E2B">
        <w:rPr>
          <w:rFonts w:asciiTheme="minorHAnsi" w:eastAsia="Calibri" w:hAnsiTheme="minorHAnsi" w:cstheme="minorHAnsi"/>
          <w:sz w:val="24"/>
          <w:szCs w:val="24"/>
        </w:rPr>
        <w:t xml:space="preserve">that </w:t>
      </w:r>
      <w:r w:rsidR="00F54F83" w:rsidRPr="003E7E2B">
        <w:rPr>
          <w:rFonts w:asciiTheme="minorHAnsi" w:eastAsia="Calibri" w:hAnsiTheme="minorHAnsi" w:cstheme="minorHAnsi"/>
          <w:sz w:val="24"/>
          <w:szCs w:val="24"/>
        </w:rPr>
        <w:t xml:space="preserve">the RECIST criteria </w:t>
      </w:r>
      <w:r w:rsidR="005C3014" w:rsidRPr="003E7E2B">
        <w:rPr>
          <w:rFonts w:asciiTheme="minorHAnsi" w:eastAsia="Calibri" w:hAnsiTheme="minorHAnsi" w:cstheme="minorHAnsi"/>
          <w:sz w:val="24"/>
          <w:szCs w:val="24"/>
        </w:rPr>
        <w:t>should not be included in the nivolumab restriction</w:t>
      </w:r>
      <w:r w:rsidR="00F54F83" w:rsidRPr="003E7E2B">
        <w:rPr>
          <w:rFonts w:asciiTheme="minorHAnsi" w:eastAsia="Calibri" w:hAnsiTheme="minorHAnsi" w:cstheme="minorHAnsi"/>
          <w:sz w:val="24"/>
          <w:szCs w:val="24"/>
        </w:rPr>
        <w:t xml:space="preserve"> </w:t>
      </w:r>
      <w:r w:rsidR="007B0FBA" w:rsidRPr="003E7E2B">
        <w:rPr>
          <w:rFonts w:asciiTheme="minorHAnsi" w:eastAsia="Calibri" w:hAnsiTheme="minorHAnsi" w:cstheme="minorHAnsi"/>
          <w:sz w:val="24"/>
          <w:szCs w:val="24"/>
        </w:rPr>
        <w:t xml:space="preserve">because </w:t>
      </w:r>
      <w:r w:rsidR="005C3014" w:rsidRPr="003E7E2B">
        <w:rPr>
          <w:rFonts w:asciiTheme="minorHAnsi" w:eastAsia="Calibri" w:hAnsiTheme="minorHAnsi" w:cstheme="minorHAnsi"/>
          <w:sz w:val="24"/>
          <w:szCs w:val="24"/>
        </w:rPr>
        <w:t xml:space="preserve">patients </w:t>
      </w:r>
      <w:r w:rsidR="007B0FBA" w:rsidRPr="003E7E2B">
        <w:rPr>
          <w:rFonts w:asciiTheme="minorHAnsi" w:eastAsia="Calibri" w:hAnsiTheme="minorHAnsi" w:cstheme="minorHAnsi"/>
          <w:sz w:val="24"/>
          <w:szCs w:val="24"/>
        </w:rPr>
        <w:t xml:space="preserve">in </w:t>
      </w:r>
      <w:r w:rsidR="005C3014" w:rsidRPr="003E7E2B">
        <w:rPr>
          <w:rFonts w:asciiTheme="minorHAnsi" w:eastAsia="Calibri" w:hAnsiTheme="minorHAnsi" w:cstheme="minorHAnsi"/>
          <w:sz w:val="24"/>
          <w:szCs w:val="24"/>
        </w:rPr>
        <w:t>the key trial (</w:t>
      </w:r>
      <w:r w:rsidR="007B0FBA" w:rsidRPr="003E7E2B">
        <w:rPr>
          <w:rFonts w:asciiTheme="minorHAnsi" w:eastAsia="Calibri" w:hAnsiTheme="minorHAnsi" w:cstheme="minorHAnsi"/>
          <w:sz w:val="24"/>
          <w:szCs w:val="24"/>
        </w:rPr>
        <w:t>CA209-214</w:t>
      </w:r>
      <w:r w:rsidR="005C3014" w:rsidRPr="003E7E2B">
        <w:rPr>
          <w:rFonts w:asciiTheme="minorHAnsi" w:eastAsia="Calibri" w:hAnsiTheme="minorHAnsi" w:cstheme="minorHAnsi"/>
          <w:sz w:val="24"/>
          <w:szCs w:val="24"/>
        </w:rPr>
        <w:t>)</w:t>
      </w:r>
      <w:r w:rsidR="007B0FBA" w:rsidRPr="003E7E2B">
        <w:rPr>
          <w:rFonts w:asciiTheme="minorHAnsi" w:eastAsia="Calibri" w:hAnsiTheme="minorHAnsi" w:cstheme="minorHAnsi"/>
          <w:sz w:val="24"/>
          <w:szCs w:val="24"/>
        </w:rPr>
        <w:t xml:space="preserve"> could </w:t>
      </w:r>
      <w:r w:rsidR="00F54F83" w:rsidRPr="003E7E2B">
        <w:rPr>
          <w:rFonts w:asciiTheme="minorHAnsi" w:eastAsia="Calibri" w:hAnsiTheme="minorHAnsi" w:cstheme="minorHAnsi"/>
          <w:sz w:val="24"/>
          <w:szCs w:val="24"/>
        </w:rPr>
        <w:t xml:space="preserve">receive </w:t>
      </w:r>
      <w:r w:rsidR="005C3014" w:rsidRPr="003E7E2B">
        <w:rPr>
          <w:rFonts w:asciiTheme="minorHAnsi" w:eastAsia="Calibri" w:hAnsiTheme="minorHAnsi" w:cstheme="minorHAnsi"/>
          <w:sz w:val="24"/>
          <w:szCs w:val="24"/>
        </w:rPr>
        <w:t xml:space="preserve">nivolumab </w:t>
      </w:r>
      <w:r w:rsidR="007B0FBA" w:rsidRPr="003E7E2B">
        <w:rPr>
          <w:rFonts w:asciiTheme="minorHAnsi" w:eastAsia="Calibri" w:hAnsiTheme="minorHAnsi" w:cstheme="minorHAnsi"/>
          <w:sz w:val="24"/>
          <w:szCs w:val="24"/>
        </w:rPr>
        <w:t>beyond progression</w:t>
      </w:r>
      <w:r w:rsidR="005772CD" w:rsidRPr="003E7E2B">
        <w:rPr>
          <w:rFonts w:asciiTheme="minorHAnsi" w:eastAsia="Calibri" w:hAnsiTheme="minorHAnsi" w:cstheme="minorHAnsi"/>
          <w:sz w:val="24"/>
          <w:szCs w:val="24"/>
        </w:rPr>
        <w:t xml:space="preserve">. The PBAC also noted that </w:t>
      </w:r>
      <w:r w:rsidR="005C3014" w:rsidRPr="003E7E2B">
        <w:rPr>
          <w:rFonts w:asciiTheme="minorHAnsi" w:eastAsia="Calibri" w:hAnsiTheme="minorHAnsi" w:cstheme="minorHAnsi"/>
          <w:sz w:val="24"/>
          <w:szCs w:val="24"/>
        </w:rPr>
        <w:t>the RECIST criteria are not included in the nivolumab restrictions in other settings</w:t>
      </w:r>
      <w:r w:rsidR="007B0FBA" w:rsidRPr="003E7E2B">
        <w:rPr>
          <w:rFonts w:asciiTheme="minorHAnsi" w:eastAsia="Calibri" w:hAnsiTheme="minorHAnsi" w:cstheme="minorHAnsi"/>
          <w:sz w:val="24"/>
          <w:szCs w:val="24"/>
        </w:rPr>
        <w:t>.</w:t>
      </w:r>
      <w:r w:rsidR="00F54F83" w:rsidRPr="003E7E2B">
        <w:rPr>
          <w:rFonts w:asciiTheme="minorHAnsi" w:eastAsia="Calibri" w:hAnsiTheme="minorHAnsi" w:cstheme="minorHAnsi"/>
          <w:sz w:val="24"/>
          <w:szCs w:val="24"/>
        </w:rPr>
        <w:t xml:space="preserve"> The PBAC agreed that the RECIST criteria should not be included in the continuation restriction, consistent wit</w:t>
      </w:r>
      <w:r w:rsidR="00845EDE">
        <w:rPr>
          <w:rFonts w:asciiTheme="minorHAnsi" w:eastAsia="Calibri" w:hAnsiTheme="minorHAnsi" w:cstheme="minorHAnsi"/>
          <w:sz w:val="24"/>
          <w:szCs w:val="24"/>
        </w:rPr>
        <w:t>h other nivolumab restrictions.</w:t>
      </w:r>
    </w:p>
    <w:p w:rsidR="00F800EE" w:rsidRPr="003E7E2B" w:rsidRDefault="00F800EE" w:rsidP="00F800EE">
      <w:pPr>
        <w:pStyle w:val="ListParagraph"/>
        <w:widowControl/>
        <w:numPr>
          <w:ilvl w:val="1"/>
          <w:numId w:val="14"/>
        </w:numPr>
        <w:spacing w:after="120"/>
        <w:contextualSpacing w:val="0"/>
        <w:rPr>
          <w:rFonts w:asciiTheme="minorHAnsi" w:eastAsia="Calibri" w:hAnsiTheme="minorHAnsi" w:cstheme="minorHAnsi"/>
          <w:sz w:val="24"/>
          <w:szCs w:val="24"/>
        </w:rPr>
      </w:pPr>
      <w:r w:rsidRPr="003E7E2B">
        <w:rPr>
          <w:rFonts w:asciiTheme="minorHAnsi" w:eastAsia="Calibri" w:hAnsiTheme="minorHAnsi" w:cstheme="minorHAnsi"/>
          <w:sz w:val="24"/>
          <w:szCs w:val="24"/>
        </w:rPr>
        <w:t>The PBAC noted that the proposed initial nivolumab restriction allows continuation in patients who have a tumour flare in the first few months after starting immunotherapy, stating that “when progression is suspected, this should be confirmed through a confirmatory scan, taken at least 4 weeks later”. The PBAC considered this was appropriate as it was consistent with the key trial (CA209-214).</w:t>
      </w:r>
    </w:p>
    <w:p w:rsidR="00E713B7" w:rsidRPr="003E7E2B" w:rsidRDefault="00E713B7" w:rsidP="005C3014">
      <w:pPr>
        <w:pStyle w:val="ListParagraph"/>
        <w:widowControl/>
        <w:numPr>
          <w:ilvl w:val="1"/>
          <w:numId w:val="14"/>
        </w:numPr>
        <w:spacing w:after="120"/>
        <w:contextualSpacing w:val="0"/>
        <w:rPr>
          <w:rFonts w:asciiTheme="minorHAnsi" w:eastAsia="Calibri" w:hAnsiTheme="minorHAnsi" w:cstheme="minorHAnsi"/>
          <w:sz w:val="24"/>
          <w:szCs w:val="24"/>
        </w:rPr>
      </w:pPr>
      <w:r w:rsidRPr="003E7E2B">
        <w:rPr>
          <w:rFonts w:asciiTheme="minorHAnsi" w:eastAsia="Calibri" w:hAnsiTheme="minorHAnsi" w:cstheme="minorHAnsi"/>
          <w:sz w:val="24"/>
          <w:szCs w:val="24"/>
        </w:rPr>
        <w:t xml:space="preserve">The </w:t>
      </w:r>
      <w:r w:rsidR="00B1184B" w:rsidRPr="003E7E2B">
        <w:rPr>
          <w:rFonts w:asciiTheme="minorHAnsi" w:eastAsia="Calibri" w:hAnsiTheme="minorHAnsi" w:cstheme="minorHAnsi"/>
          <w:sz w:val="24"/>
          <w:szCs w:val="24"/>
        </w:rPr>
        <w:t xml:space="preserve">PBAC considered that </w:t>
      </w:r>
      <w:r w:rsidRPr="003E7E2B">
        <w:rPr>
          <w:rFonts w:asciiTheme="minorHAnsi" w:eastAsia="Calibri" w:hAnsiTheme="minorHAnsi" w:cstheme="minorHAnsi"/>
          <w:sz w:val="24"/>
          <w:szCs w:val="24"/>
        </w:rPr>
        <w:t>separate restrictions</w:t>
      </w:r>
      <w:r w:rsidR="00B1184B" w:rsidRPr="003E7E2B">
        <w:rPr>
          <w:rFonts w:asciiTheme="minorHAnsi" w:eastAsia="Calibri" w:hAnsiTheme="minorHAnsi" w:cstheme="minorHAnsi"/>
          <w:sz w:val="24"/>
          <w:szCs w:val="24"/>
        </w:rPr>
        <w:t xml:space="preserve"> would be required</w:t>
      </w:r>
      <w:r w:rsidRPr="003E7E2B">
        <w:rPr>
          <w:rFonts w:asciiTheme="minorHAnsi" w:eastAsia="Calibri" w:hAnsiTheme="minorHAnsi" w:cstheme="minorHAnsi"/>
          <w:sz w:val="24"/>
          <w:szCs w:val="24"/>
        </w:rPr>
        <w:t xml:space="preserve"> for nivolumab and ipilimumab</w:t>
      </w:r>
      <w:r w:rsidR="00B34F33" w:rsidRPr="003E7E2B">
        <w:rPr>
          <w:rFonts w:asciiTheme="minorHAnsi" w:eastAsia="Calibri" w:hAnsiTheme="minorHAnsi" w:cstheme="minorHAnsi"/>
          <w:sz w:val="24"/>
          <w:szCs w:val="24"/>
        </w:rPr>
        <w:t xml:space="preserve"> (in both the induction and grandfathering settings)</w:t>
      </w:r>
      <w:r w:rsidR="00845EDE">
        <w:rPr>
          <w:rFonts w:asciiTheme="minorHAnsi" w:eastAsia="Calibri" w:hAnsiTheme="minorHAnsi" w:cstheme="minorHAnsi"/>
          <w:sz w:val="24"/>
          <w:szCs w:val="24"/>
        </w:rPr>
        <w:t>.</w:t>
      </w:r>
    </w:p>
    <w:p w:rsidR="00B34F33" w:rsidRPr="003E7E2B" w:rsidRDefault="00C80160" w:rsidP="005C3014">
      <w:pPr>
        <w:pStyle w:val="ListParagraph"/>
        <w:widowControl/>
        <w:numPr>
          <w:ilvl w:val="1"/>
          <w:numId w:val="14"/>
        </w:numPr>
        <w:spacing w:after="120"/>
        <w:contextualSpacing w:val="0"/>
        <w:rPr>
          <w:rFonts w:asciiTheme="minorHAnsi" w:eastAsia="Calibri" w:hAnsiTheme="minorHAnsi" w:cstheme="minorHAnsi"/>
          <w:sz w:val="24"/>
          <w:szCs w:val="24"/>
        </w:rPr>
      </w:pPr>
      <w:r w:rsidRPr="003E7E2B">
        <w:rPr>
          <w:rFonts w:asciiTheme="minorHAnsi" w:eastAsia="Calibri" w:hAnsiTheme="minorHAnsi" w:cstheme="minorHAnsi"/>
          <w:sz w:val="24"/>
          <w:szCs w:val="24"/>
        </w:rPr>
        <w:t xml:space="preserve">The resubmission stated that it intends to open a Patient Access Program six months prior to PBS listing, and estimated that </w:t>
      </w:r>
      <w:r w:rsidR="00B76982">
        <w:rPr>
          <w:rFonts w:asciiTheme="minorHAnsi" w:eastAsia="Calibri" w:hAnsiTheme="minorHAnsi" w:cstheme="minorHAnsi"/>
          <w:noProof/>
          <w:color w:val="000000"/>
          <w:sz w:val="24"/>
          <w:szCs w:val="24"/>
          <w:highlight w:val="black"/>
        </w:rPr>
        <w:t>''''''''</w:t>
      </w:r>
      <w:r w:rsidRPr="003E7E2B">
        <w:rPr>
          <w:rFonts w:asciiTheme="minorHAnsi" w:eastAsia="Calibri" w:hAnsiTheme="minorHAnsi" w:cstheme="minorHAnsi"/>
          <w:sz w:val="24"/>
          <w:szCs w:val="24"/>
        </w:rPr>
        <w:t xml:space="preserve"> patients will be grandfathered to PBS reimbursement</w:t>
      </w:r>
      <w:r w:rsidR="00175464" w:rsidRPr="003E7E2B">
        <w:rPr>
          <w:rFonts w:asciiTheme="minorHAnsi" w:eastAsia="Calibri" w:hAnsiTheme="minorHAnsi" w:cstheme="minorHAnsi"/>
          <w:sz w:val="24"/>
          <w:szCs w:val="24"/>
        </w:rPr>
        <w:t xml:space="preserve"> (discussed further in ‘Estimated PBS usage and financial implications’)</w:t>
      </w:r>
      <w:r w:rsidRPr="003E7E2B">
        <w:rPr>
          <w:rFonts w:asciiTheme="minorHAnsi" w:eastAsia="Calibri" w:hAnsiTheme="minorHAnsi" w:cstheme="minorHAnsi"/>
          <w:sz w:val="24"/>
          <w:szCs w:val="24"/>
        </w:rPr>
        <w:t xml:space="preserve">. The resubmission further stated that it intended that all patients enrolled in the Patient Access Program would meet the PBS eligibility criteria. </w:t>
      </w:r>
      <w:r w:rsidR="00175464" w:rsidRPr="003E7E2B">
        <w:rPr>
          <w:rFonts w:asciiTheme="minorHAnsi" w:eastAsia="Calibri" w:hAnsiTheme="minorHAnsi" w:cstheme="minorHAnsi"/>
          <w:sz w:val="24"/>
          <w:szCs w:val="24"/>
        </w:rPr>
        <w:t>T</w:t>
      </w:r>
      <w:r w:rsidR="00B34F33" w:rsidRPr="003E7E2B">
        <w:rPr>
          <w:rFonts w:asciiTheme="minorHAnsi" w:eastAsia="Calibri" w:hAnsiTheme="minorHAnsi" w:cstheme="minorHAnsi"/>
          <w:sz w:val="24"/>
          <w:szCs w:val="24"/>
        </w:rPr>
        <w:t>he</w:t>
      </w:r>
      <w:r w:rsidR="00640101" w:rsidRPr="003E7E2B">
        <w:rPr>
          <w:rFonts w:asciiTheme="minorHAnsi" w:eastAsia="Calibri" w:hAnsiTheme="minorHAnsi" w:cstheme="minorHAnsi"/>
          <w:sz w:val="24"/>
          <w:szCs w:val="24"/>
        </w:rPr>
        <w:t xml:space="preserve"> PBAC considered that </w:t>
      </w:r>
      <w:r w:rsidR="00B34F33" w:rsidRPr="003E7E2B">
        <w:rPr>
          <w:rFonts w:asciiTheme="minorHAnsi" w:eastAsia="Calibri" w:hAnsiTheme="minorHAnsi" w:cstheme="minorHAnsi"/>
          <w:sz w:val="24"/>
          <w:szCs w:val="24"/>
        </w:rPr>
        <w:t>grandfathering restriction</w:t>
      </w:r>
      <w:r w:rsidR="00640101" w:rsidRPr="003E7E2B">
        <w:rPr>
          <w:rFonts w:asciiTheme="minorHAnsi" w:eastAsia="Calibri" w:hAnsiTheme="minorHAnsi" w:cstheme="minorHAnsi"/>
          <w:sz w:val="24"/>
          <w:szCs w:val="24"/>
        </w:rPr>
        <w:t>s</w:t>
      </w:r>
      <w:r w:rsidR="00B34F33" w:rsidRPr="003E7E2B">
        <w:rPr>
          <w:rFonts w:asciiTheme="minorHAnsi" w:eastAsia="Calibri" w:hAnsiTheme="minorHAnsi" w:cstheme="minorHAnsi"/>
          <w:sz w:val="24"/>
          <w:szCs w:val="24"/>
        </w:rPr>
        <w:t xml:space="preserve"> </w:t>
      </w:r>
      <w:r w:rsidR="005772CD" w:rsidRPr="003E7E2B">
        <w:rPr>
          <w:rFonts w:asciiTheme="minorHAnsi" w:eastAsia="Calibri" w:hAnsiTheme="minorHAnsi" w:cstheme="minorHAnsi"/>
          <w:sz w:val="24"/>
          <w:szCs w:val="24"/>
        </w:rPr>
        <w:t>would be</w:t>
      </w:r>
      <w:r w:rsidR="00640101" w:rsidRPr="003E7E2B">
        <w:rPr>
          <w:rFonts w:asciiTheme="minorHAnsi" w:eastAsia="Calibri" w:hAnsiTheme="minorHAnsi" w:cstheme="minorHAnsi"/>
          <w:sz w:val="24"/>
          <w:szCs w:val="24"/>
        </w:rPr>
        <w:t xml:space="preserve"> required to allow </w:t>
      </w:r>
      <w:r w:rsidR="00C778AC" w:rsidRPr="003E7E2B">
        <w:rPr>
          <w:rFonts w:asciiTheme="minorHAnsi" w:eastAsia="Calibri" w:hAnsiTheme="minorHAnsi" w:cstheme="minorHAnsi"/>
          <w:sz w:val="24"/>
          <w:szCs w:val="24"/>
        </w:rPr>
        <w:t>patients already commenced on NIVO+IPI to continue therapy under the PBS</w:t>
      </w:r>
      <w:r w:rsidR="005772CD" w:rsidRPr="003E7E2B">
        <w:rPr>
          <w:rFonts w:asciiTheme="minorHAnsi" w:eastAsia="Calibri" w:hAnsiTheme="minorHAnsi" w:cstheme="minorHAnsi"/>
          <w:sz w:val="24"/>
          <w:szCs w:val="24"/>
        </w:rPr>
        <w:t>,</w:t>
      </w:r>
      <w:r w:rsidR="00C778AC" w:rsidRPr="003E7E2B">
        <w:rPr>
          <w:rFonts w:asciiTheme="minorHAnsi" w:eastAsia="Calibri" w:hAnsiTheme="minorHAnsi" w:cstheme="minorHAnsi"/>
          <w:sz w:val="24"/>
          <w:szCs w:val="24"/>
        </w:rPr>
        <w:t xml:space="preserve"> </w:t>
      </w:r>
      <w:r w:rsidR="005772CD" w:rsidRPr="003E7E2B">
        <w:rPr>
          <w:rFonts w:asciiTheme="minorHAnsi" w:eastAsia="Calibri" w:hAnsiTheme="minorHAnsi" w:cstheme="minorHAnsi"/>
          <w:sz w:val="24"/>
          <w:szCs w:val="24"/>
        </w:rPr>
        <w:t>for patients who are</w:t>
      </w:r>
      <w:r w:rsidR="00C778AC" w:rsidRPr="003E7E2B">
        <w:rPr>
          <w:rFonts w:asciiTheme="minorHAnsi" w:eastAsia="Calibri" w:hAnsiTheme="minorHAnsi" w:cstheme="minorHAnsi"/>
          <w:sz w:val="24"/>
          <w:szCs w:val="24"/>
        </w:rPr>
        <w:t xml:space="preserve"> otherwise eligible under the PBS criteria. </w:t>
      </w:r>
      <w:r w:rsidR="00BF57B8" w:rsidRPr="003E7E2B">
        <w:rPr>
          <w:rFonts w:asciiTheme="minorHAnsi" w:eastAsia="Calibri" w:hAnsiTheme="minorHAnsi" w:cstheme="minorHAnsi"/>
          <w:sz w:val="24"/>
          <w:szCs w:val="24"/>
        </w:rPr>
        <w:t>The PBAC considered that it would be appropriate to have grandfathering restrictions for both the induction and continuation phases.</w:t>
      </w:r>
    </w:p>
    <w:p w:rsidR="0010073A" w:rsidRPr="003E7E2B" w:rsidRDefault="0010073A" w:rsidP="0027241C">
      <w:pPr>
        <w:pStyle w:val="Heading2"/>
      </w:pPr>
      <w:r w:rsidRPr="003E7E2B">
        <w:t>Flow</w:t>
      </w:r>
      <w:r w:rsidR="00846DE2" w:rsidRPr="003E7E2B">
        <w:t>-</w:t>
      </w:r>
      <w:r w:rsidRPr="003E7E2B">
        <w:t>on change</w:t>
      </w:r>
      <w:r w:rsidR="00D30338" w:rsidRPr="003E7E2B">
        <w:t xml:space="preserve"> – removal of requirement for prior treatment with TKIs</w:t>
      </w:r>
      <w:r w:rsidR="005772CD" w:rsidRPr="003E7E2B">
        <w:t xml:space="preserve"> to be in first-line</w:t>
      </w:r>
    </w:p>
    <w:p w:rsidR="0010073A" w:rsidRPr="003E7E2B" w:rsidRDefault="0010073A" w:rsidP="005C3014">
      <w:pPr>
        <w:pStyle w:val="ListParagraph"/>
        <w:widowControl/>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 xml:space="preserve">The minor resubmission requested a flow-on change to the restrictions </w:t>
      </w:r>
      <w:r w:rsidR="000F795C" w:rsidRPr="003E7E2B">
        <w:rPr>
          <w:rFonts w:asciiTheme="minorHAnsi" w:hAnsiTheme="minorHAnsi" w:cstheme="minorHAnsi"/>
          <w:sz w:val="24"/>
          <w:szCs w:val="24"/>
        </w:rPr>
        <w:t>for drugs that are currently listed in the second-</w:t>
      </w:r>
      <w:r w:rsidR="00846DE2" w:rsidRPr="003E7E2B">
        <w:rPr>
          <w:rFonts w:asciiTheme="minorHAnsi" w:hAnsiTheme="minorHAnsi" w:cstheme="minorHAnsi"/>
          <w:sz w:val="24"/>
          <w:szCs w:val="24"/>
        </w:rPr>
        <w:t xml:space="preserve"> </w:t>
      </w:r>
      <w:r w:rsidR="000F795C" w:rsidRPr="003E7E2B">
        <w:rPr>
          <w:rFonts w:asciiTheme="minorHAnsi" w:hAnsiTheme="minorHAnsi" w:cstheme="minorHAnsi"/>
          <w:sz w:val="24"/>
          <w:szCs w:val="24"/>
        </w:rPr>
        <w:t xml:space="preserve">and later- line settings (i.e. </w:t>
      </w:r>
      <w:proofErr w:type="spellStart"/>
      <w:r w:rsidRPr="003E7E2B">
        <w:rPr>
          <w:rFonts w:asciiTheme="minorHAnsi" w:hAnsiTheme="minorHAnsi" w:cstheme="minorHAnsi"/>
          <w:sz w:val="24"/>
          <w:szCs w:val="24"/>
        </w:rPr>
        <w:t>axitinib</w:t>
      </w:r>
      <w:proofErr w:type="spellEnd"/>
      <w:r w:rsidRPr="003E7E2B">
        <w:rPr>
          <w:rFonts w:asciiTheme="minorHAnsi" w:hAnsiTheme="minorHAnsi" w:cstheme="minorHAnsi"/>
          <w:sz w:val="24"/>
          <w:szCs w:val="24"/>
        </w:rPr>
        <w:t xml:space="preserve">, </w:t>
      </w:r>
      <w:proofErr w:type="spellStart"/>
      <w:r w:rsidRPr="003E7E2B">
        <w:rPr>
          <w:rFonts w:asciiTheme="minorHAnsi" w:hAnsiTheme="minorHAnsi" w:cstheme="minorHAnsi"/>
          <w:sz w:val="24"/>
          <w:szCs w:val="24"/>
        </w:rPr>
        <w:t>cabozantinib</w:t>
      </w:r>
      <w:proofErr w:type="spellEnd"/>
      <w:r w:rsidRPr="003E7E2B">
        <w:rPr>
          <w:rFonts w:asciiTheme="minorHAnsi" w:hAnsiTheme="minorHAnsi" w:cstheme="minorHAnsi"/>
          <w:sz w:val="24"/>
          <w:szCs w:val="24"/>
        </w:rPr>
        <w:t>, sorafenib, everolimus,</w:t>
      </w:r>
      <w:r w:rsidR="000F795C" w:rsidRPr="003E7E2B">
        <w:rPr>
          <w:rFonts w:asciiTheme="minorHAnsi" w:hAnsiTheme="minorHAnsi" w:cstheme="minorHAnsi"/>
          <w:sz w:val="24"/>
          <w:szCs w:val="24"/>
        </w:rPr>
        <w:t xml:space="preserve"> and</w:t>
      </w:r>
      <w:r w:rsidRPr="003E7E2B">
        <w:rPr>
          <w:rFonts w:asciiTheme="minorHAnsi" w:hAnsiTheme="minorHAnsi" w:cstheme="minorHAnsi"/>
          <w:sz w:val="24"/>
          <w:szCs w:val="24"/>
        </w:rPr>
        <w:t xml:space="preserve"> NIVO monotherapy</w:t>
      </w:r>
      <w:r w:rsidR="000F795C" w:rsidRPr="003E7E2B">
        <w:rPr>
          <w:rFonts w:asciiTheme="minorHAnsi" w:hAnsiTheme="minorHAnsi" w:cstheme="minorHAnsi"/>
          <w:sz w:val="24"/>
          <w:szCs w:val="24"/>
        </w:rPr>
        <w:t>)</w:t>
      </w:r>
      <w:r w:rsidRPr="003E7E2B">
        <w:rPr>
          <w:rFonts w:asciiTheme="minorHAnsi" w:hAnsiTheme="minorHAnsi" w:cstheme="minorHAnsi"/>
          <w:sz w:val="24"/>
          <w:szCs w:val="24"/>
        </w:rPr>
        <w:t>. The PBS restrictions for these drugs currently include the following clinical criteria</w:t>
      </w:r>
      <w:r w:rsidR="000F795C" w:rsidRPr="003E7E2B">
        <w:rPr>
          <w:rFonts w:asciiTheme="minorHAnsi" w:hAnsiTheme="minorHAnsi" w:cstheme="minorHAnsi"/>
          <w:sz w:val="24"/>
          <w:szCs w:val="24"/>
        </w:rPr>
        <w:t xml:space="preserve"> (underlining for emphasis)</w:t>
      </w:r>
      <w:r w:rsidR="00845EDE">
        <w:rPr>
          <w:rFonts w:asciiTheme="minorHAnsi" w:hAnsiTheme="minorHAnsi" w:cstheme="minorHAnsi"/>
          <w:sz w:val="24"/>
          <w:szCs w:val="24"/>
        </w:rPr>
        <w:t>:</w:t>
      </w:r>
    </w:p>
    <w:p w:rsidR="0010073A" w:rsidRPr="003E7E2B" w:rsidRDefault="0010073A" w:rsidP="00C80160">
      <w:pPr>
        <w:pStyle w:val="ListParagraph"/>
        <w:spacing w:after="120"/>
        <w:ind w:left="993"/>
        <w:contextualSpacing w:val="0"/>
        <w:rPr>
          <w:rFonts w:asciiTheme="minorHAnsi" w:hAnsiTheme="minorHAnsi" w:cstheme="minorHAnsi"/>
          <w:sz w:val="24"/>
          <w:szCs w:val="24"/>
        </w:rPr>
      </w:pPr>
      <w:r w:rsidRPr="003E7E2B">
        <w:rPr>
          <w:rFonts w:asciiTheme="minorHAnsi" w:hAnsiTheme="minorHAnsi" w:cstheme="minorHAnsi"/>
          <w:sz w:val="24"/>
          <w:szCs w:val="24"/>
        </w:rPr>
        <w:t xml:space="preserve">Patient must have progressive disease according to the Response Evaluation Criteria </w:t>
      </w:r>
      <w:proofErr w:type="gramStart"/>
      <w:r w:rsidRPr="003E7E2B">
        <w:rPr>
          <w:rFonts w:asciiTheme="minorHAnsi" w:hAnsiTheme="minorHAnsi" w:cstheme="minorHAnsi"/>
          <w:sz w:val="24"/>
          <w:szCs w:val="24"/>
        </w:rPr>
        <w:t>In</w:t>
      </w:r>
      <w:proofErr w:type="gramEnd"/>
      <w:r w:rsidRPr="003E7E2B">
        <w:rPr>
          <w:rFonts w:asciiTheme="minorHAnsi" w:hAnsiTheme="minorHAnsi" w:cstheme="minorHAnsi"/>
          <w:sz w:val="24"/>
          <w:szCs w:val="24"/>
        </w:rPr>
        <w:t xml:space="preserve"> Solid Tumours (RECIST) following </w:t>
      </w:r>
      <w:r w:rsidRPr="003E7E2B">
        <w:rPr>
          <w:rFonts w:asciiTheme="minorHAnsi" w:hAnsiTheme="minorHAnsi" w:cstheme="minorHAnsi"/>
          <w:sz w:val="24"/>
          <w:szCs w:val="24"/>
          <w:u w:val="single"/>
        </w:rPr>
        <w:t>first-line treatment</w:t>
      </w:r>
      <w:r w:rsidRPr="003E7E2B">
        <w:rPr>
          <w:rFonts w:asciiTheme="minorHAnsi" w:hAnsiTheme="minorHAnsi" w:cstheme="minorHAnsi"/>
          <w:sz w:val="24"/>
          <w:szCs w:val="24"/>
        </w:rPr>
        <w:t xml:space="preserve"> with a tyrosine kinase inhibitor</w:t>
      </w:r>
      <w:r w:rsidR="00AE4827" w:rsidRPr="003E7E2B">
        <w:rPr>
          <w:rFonts w:asciiTheme="minorHAnsi" w:hAnsiTheme="minorHAnsi" w:cstheme="minorHAnsi"/>
          <w:sz w:val="24"/>
          <w:szCs w:val="24"/>
        </w:rPr>
        <w:t>.</w:t>
      </w:r>
    </w:p>
    <w:p w:rsidR="002C698A" w:rsidRPr="003E7E2B" w:rsidRDefault="00D470A2" w:rsidP="005C3014">
      <w:pPr>
        <w:pStyle w:val="ListParagraph"/>
        <w:widowControl/>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With</w:t>
      </w:r>
      <w:r w:rsidR="0010073A" w:rsidRPr="003E7E2B">
        <w:rPr>
          <w:rFonts w:asciiTheme="minorHAnsi" w:hAnsiTheme="minorHAnsi" w:cstheme="minorHAnsi"/>
          <w:sz w:val="24"/>
          <w:szCs w:val="24"/>
        </w:rPr>
        <w:t xml:space="preserve"> NIVO+IPI listed first-line, </w:t>
      </w:r>
      <w:r w:rsidR="000F795C" w:rsidRPr="003E7E2B">
        <w:rPr>
          <w:rFonts w:asciiTheme="minorHAnsi" w:hAnsiTheme="minorHAnsi" w:cstheme="minorHAnsi"/>
          <w:sz w:val="24"/>
          <w:szCs w:val="24"/>
        </w:rPr>
        <w:t xml:space="preserve">the treatment algorithm would change and many </w:t>
      </w:r>
      <w:r w:rsidR="0010073A" w:rsidRPr="003E7E2B">
        <w:rPr>
          <w:rFonts w:asciiTheme="minorHAnsi" w:hAnsiTheme="minorHAnsi" w:cstheme="minorHAnsi"/>
          <w:sz w:val="24"/>
          <w:szCs w:val="24"/>
        </w:rPr>
        <w:t>patients w</w:t>
      </w:r>
      <w:r w:rsidR="000F795C" w:rsidRPr="003E7E2B">
        <w:rPr>
          <w:rFonts w:asciiTheme="minorHAnsi" w:hAnsiTheme="minorHAnsi" w:cstheme="minorHAnsi"/>
          <w:sz w:val="24"/>
          <w:szCs w:val="24"/>
        </w:rPr>
        <w:t>ould</w:t>
      </w:r>
      <w:r w:rsidR="0010073A" w:rsidRPr="003E7E2B">
        <w:rPr>
          <w:rFonts w:asciiTheme="minorHAnsi" w:hAnsiTheme="minorHAnsi" w:cstheme="minorHAnsi"/>
          <w:sz w:val="24"/>
          <w:szCs w:val="24"/>
        </w:rPr>
        <w:t xml:space="preserve"> receive TKI therapy</w:t>
      </w:r>
      <w:r w:rsidR="000F795C" w:rsidRPr="003E7E2B">
        <w:rPr>
          <w:rFonts w:asciiTheme="minorHAnsi" w:hAnsiTheme="minorHAnsi" w:cstheme="minorHAnsi"/>
          <w:sz w:val="24"/>
          <w:szCs w:val="24"/>
        </w:rPr>
        <w:t xml:space="preserve"> second-line</w:t>
      </w:r>
      <w:r w:rsidR="00AE4827" w:rsidRPr="003E7E2B">
        <w:rPr>
          <w:rFonts w:asciiTheme="minorHAnsi" w:hAnsiTheme="minorHAnsi" w:cstheme="minorHAnsi"/>
          <w:sz w:val="24"/>
          <w:szCs w:val="24"/>
        </w:rPr>
        <w:t xml:space="preserve"> (rather than first-line)</w:t>
      </w:r>
      <w:r w:rsidR="000F795C" w:rsidRPr="003E7E2B">
        <w:rPr>
          <w:rFonts w:asciiTheme="minorHAnsi" w:hAnsiTheme="minorHAnsi" w:cstheme="minorHAnsi"/>
          <w:sz w:val="24"/>
          <w:szCs w:val="24"/>
        </w:rPr>
        <w:t>.</w:t>
      </w:r>
      <w:r w:rsidR="00846DE2" w:rsidRPr="003E7E2B">
        <w:rPr>
          <w:rFonts w:asciiTheme="minorHAnsi" w:hAnsiTheme="minorHAnsi" w:cstheme="minorHAnsi"/>
          <w:sz w:val="24"/>
          <w:szCs w:val="24"/>
        </w:rPr>
        <w:t xml:space="preserve"> </w:t>
      </w:r>
      <w:r w:rsidR="002C698A" w:rsidRPr="003E7E2B">
        <w:rPr>
          <w:rFonts w:asciiTheme="minorHAnsi" w:hAnsiTheme="minorHAnsi" w:cstheme="minorHAnsi"/>
          <w:sz w:val="24"/>
          <w:szCs w:val="24"/>
        </w:rPr>
        <w:t xml:space="preserve">The resubmission stated this would mean that the existing second- and later- line therapies would not be PBS-subsidised for patients who receive first-line NIVO+IPI. This would reduce the third- and later-line therapies available for patients and would </w:t>
      </w:r>
      <w:r w:rsidR="002C4442" w:rsidRPr="003E7E2B">
        <w:rPr>
          <w:rFonts w:asciiTheme="minorHAnsi" w:hAnsiTheme="minorHAnsi" w:cstheme="minorHAnsi"/>
          <w:sz w:val="24"/>
          <w:szCs w:val="24"/>
        </w:rPr>
        <w:lastRenderedPageBreak/>
        <w:t xml:space="preserve">have flow-on implications for </w:t>
      </w:r>
      <w:r w:rsidR="002C698A" w:rsidRPr="003E7E2B">
        <w:rPr>
          <w:rFonts w:asciiTheme="minorHAnsi" w:hAnsiTheme="minorHAnsi" w:cstheme="minorHAnsi"/>
          <w:sz w:val="24"/>
          <w:szCs w:val="24"/>
        </w:rPr>
        <w:t>the cost of subsequent therapies. The PBAC noted that the resubmission had conducted analyses to demonstrate the potential impact to the economic eval</w:t>
      </w:r>
      <w:r w:rsidR="00845EDE">
        <w:rPr>
          <w:rFonts w:asciiTheme="minorHAnsi" w:hAnsiTheme="minorHAnsi" w:cstheme="minorHAnsi"/>
          <w:sz w:val="24"/>
          <w:szCs w:val="24"/>
        </w:rPr>
        <w:t>uation and financial estimates.</w:t>
      </w:r>
    </w:p>
    <w:p w:rsidR="000F795C" w:rsidRPr="003E7E2B" w:rsidRDefault="00846DE2" w:rsidP="005C3014">
      <w:pPr>
        <w:pStyle w:val="ListParagraph"/>
        <w:widowControl/>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T</w:t>
      </w:r>
      <w:r w:rsidR="002C698A" w:rsidRPr="003E7E2B">
        <w:rPr>
          <w:rFonts w:asciiTheme="minorHAnsi" w:hAnsiTheme="minorHAnsi" w:cstheme="minorHAnsi"/>
          <w:sz w:val="24"/>
          <w:szCs w:val="24"/>
        </w:rPr>
        <w:t>o address this</w:t>
      </w:r>
      <w:r w:rsidRPr="003E7E2B">
        <w:rPr>
          <w:rFonts w:asciiTheme="minorHAnsi" w:hAnsiTheme="minorHAnsi" w:cstheme="minorHAnsi"/>
          <w:sz w:val="24"/>
          <w:szCs w:val="24"/>
        </w:rPr>
        <w:t>, t</w:t>
      </w:r>
      <w:r w:rsidR="000F795C" w:rsidRPr="003E7E2B">
        <w:rPr>
          <w:rFonts w:asciiTheme="minorHAnsi" w:hAnsiTheme="minorHAnsi" w:cstheme="minorHAnsi"/>
          <w:sz w:val="24"/>
          <w:szCs w:val="24"/>
        </w:rPr>
        <w:t>he PBAC consider</w:t>
      </w:r>
      <w:r w:rsidR="00D470A2" w:rsidRPr="003E7E2B">
        <w:rPr>
          <w:rFonts w:asciiTheme="minorHAnsi" w:hAnsiTheme="minorHAnsi" w:cstheme="minorHAnsi"/>
          <w:sz w:val="24"/>
          <w:szCs w:val="24"/>
        </w:rPr>
        <w:t>ed</w:t>
      </w:r>
      <w:r w:rsidR="000F795C" w:rsidRPr="003E7E2B">
        <w:rPr>
          <w:rFonts w:asciiTheme="minorHAnsi" w:hAnsiTheme="minorHAnsi" w:cstheme="minorHAnsi"/>
          <w:sz w:val="24"/>
          <w:szCs w:val="24"/>
        </w:rPr>
        <w:t xml:space="preserve"> </w:t>
      </w:r>
      <w:r w:rsidR="00D470A2" w:rsidRPr="003E7E2B">
        <w:rPr>
          <w:rFonts w:asciiTheme="minorHAnsi" w:hAnsiTheme="minorHAnsi" w:cstheme="minorHAnsi"/>
          <w:sz w:val="24"/>
          <w:szCs w:val="24"/>
        </w:rPr>
        <w:t>that</w:t>
      </w:r>
      <w:r w:rsidR="000F795C" w:rsidRPr="003E7E2B">
        <w:rPr>
          <w:rFonts w:asciiTheme="minorHAnsi" w:hAnsiTheme="minorHAnsi" w:cstheme="minorHAnsi"/>
          <w:sz w:val="24"/>
          <w:szCs w:val="24"/>
        </w:rPr>
        <w:t xml:space="preserve"> the PBS restrictions for </w:t>
      </w:r>
      <w:proofErr w:type="spellStart"/>
      <w:r w:rsidR="003E2A34" w:rsidRPr="003E7E2B">
        <w:rPr>
          <w:rFonts w:asciiTheme="minorHAnsi" w:hAnsiTheme="minorHAnsi" w:cstheme="minorHAnsi"/>
          <w:sz w:val="24"/>
          <w:szCs w:val="24"/>
        </w:rPr>
        <w:t>axitinib</w:t>
      </w:r>
      <w:proofErr w:type="spellEnd"/>
      <w:r w:rsidR="003E2A34" w:rsidRPr="003E7E2B">
        <w:rPr>
          <w:rFonts w:asciiTheme="minorHAnsi" w:hAnsiTheme="minorHAnsi" w:cstheme="minorHAnsi"/>
          <w:sz w:val="24"/>
          <w:szCs w:val="24"/>
        </w:rPr>
        <w:t xml:space="preserve">, </w:t>
      </w:r>
      <w:proofErr w:type="spellStart"/>
      <w:r w:rsidR="003E2A34" w:rsidRPr="003E7E2B">
        <w:rPr>
          <w:rFonts w:asciiTheme="minorHAnsi" w:hAnsiTheme="minorHAnsi" w:cstheme="minorHAnsi"/>
          <w:sz w:val="24"/>
          <w:szCs w:val="24"/>
        </w:rPr>
        <w:t>cabozantinib</w:t>
      </w:r>
      <w:proofErr w:type="spellEnd"/>
      <w:r w:rsidR="003E2A34" w:rsidRPr="003E7E2B">
        <w:rPr>
          <w:rFonts w:asciiTheme="minorHAnsi" w:hAnsiTheme="minorHAnsi" w:cstheme="minorHAnsi"/>
          <w:sz w:val="24"/>
          <w:szCs w:val="24"/>
        </w:rPr>
        <w:t>, sorafenib and everolimus should</w:t>
      </w:r>
      <w:r w:rsidR="00845EDE">
        <w:rPr>
          <w:rFonts w:asciiTheme="minorHAnsi" w:hAnsiTheme="minorHAnsi" w:cstheme="minorHAnsi"/>
          <w:sz w:val="24"/>
          <w:szCs w:val="24"/>
        </w:rPr>
        <w:t xml:space="preserve"> be amended as follows:</w:t>
      </w:r>
    </w:p>
    <w:p w:rsidR="000F795C" w:rsidRPr="003E7E2B" w:rsidRDefault="000F795C" w:rsidP="00C80160">
      <w:pPr>
        <w:pStyle w:val="PBACHeading1"/>
        <w:spacing w:after="120"/>
        <w:ind w:left="993" w:firstLine="0"/>
        <w:jc w:val="both"/>
        <w:outlineLvl w:val="9"/>
        <w:rPr>
          <w:rFonts w:asciiTheme="minorHAnsi" w:eastAsiaTheme="minorHAnsi" w:hAnsiTheme="minorHAnsi" w:cstheme="minorBidi"/>
          <w:b w:val="0"/>
          <w:snapToGrid/>
          <w:sz w:val="24"/>
          <w:szCs w:val="24"/>
        </w:rPr>
      </w:pPr>
      <w:r w:rsidRPr="003E7E2B">
        <w:rPr>
          <w:rFonts w:asciiTheme="minorHAnsi" w:hAnsiTheme="minorHAnsi" w:cstheme="minorHAnsi"/>
          <w:b w:val="0"/>
          <w:sz w:val="24"/>
          <w:szCs w:val="24"/>
        </w:rPr>
        <w:t xml:space="preserve">Patient must have progressive disease according to the Response Evaluation Criteria </w:t>
      </w:r>
      <w:proofErr w:type="gramStart"/>
      <w:r w:rsidRPr="003E7E2B">
        <w:rPr>
          <w:rFonts w:asciiTheme="minorHAnsi" w:hAnsiTheme="minorHAnsi" w:cstheme="minorHAnsi"/>
          <w:b w:val="0"/>
          <w:sz w:val="24"/>
          <w:szCs w:val="24"/>
        </w:rPr>
        <w:t>In</w:t>
      </w:r>
      <w:proofErr w:type="gramEnd"/>
      <w:r w:rsidRPr="003E7E2B">
        <w:rPr>
          <w:rFonts w:asciiTheme="minorHAnsi" w:hAnsiTheme="minorHAnsi" w:cstheme="minorHAnsi"/>
          <w:b w:val="0"/>
          <w:sz w:val="24"/>
          <w:szCs w:val="24"/>
        </w:rPr>
        <w:t xml:space="preserve"> Solid Tumours (RECIST) following </w:t>
      </w:r>
      <w:r w:rsidRPr="003E7E2B">
        <w:rPr>
          <w:rFonts w:asciiTheme="minorHAnsi" w:hAnsiTheme="minorHAnsi" w:cstheme="minorHAnsi"/>
          <w:b w:val="0"/>
          <w:strike/>
          <w:sz w:val="24"/>
          <w:szCs w:val="24"/>
        </w:rPr>
        <w:t>first-line</w:t>
      </w:r>
      <w:r w:rsidRPr="003E7E2B">
        <w:rPr>
          <w:rFonts w:asciiTheme="minorHAnsi" w:hAnsiTheme="minorHAnsi" w:cstheme="minorHAnsi"/>
          <w:b w:val="0"/>
          <w:sz w:val="24"/>
          <w:szCs w:val="24"/>
        </w:rPr>
        <w:t xml:space="preserve"> prior treatment with a </w:t>
      </w:r>
      <w:r w:rsidRPr="003E7E2B">
        <w:rPr>
          <w:rFonts w:asciiTheme="minorHAnsi" w:eastAsiaTheme="minorHAnsi" w:hAnsiTheme="minorHAnsi" w:cstheme="minorBidi"/>
          <w:b w:val="0"/>
          <w:snapToGrid/>
          <w:sz w:val="24"/>
          <w:szCs w:val="24"/>
        </w:rPr>
        <w:t>tyrosine kinase inhibitor</w:t>
      </w:r>
      <w:r w:rsidR="00846DE2" w:rsidRPr="003E7E2B">
        <w:rPr>
          <w:rFonts w:asciiTheme="minorHAnsi" w:eastAsiaTheme="minorHAnsi" w:hAnsiTheme="minorHAnsi" w:cstheme="minorBidi"/>
          <w:b w:val="0"/>
          <w:snapToGrid/>
          <w:sz w:val="24"/>
          <w:szCs w:val="24"/>
        </w:rPr>
        <w:t>.</w:t>
      </w:r>
    </w:p>
    <w:p w:rsidR="00457DA4" w:rsidRPr="003E7E2B" w:rsidRDefault="00D470A2" w:rsidP="005C3014">
      <w:pPr>
        <w:pStyle w:val="ListParagraph"/>
        <w:widowControl/>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 xml:space="preserve">The PBAC noted that </w:t>
      </w:r>
      <w:r w:rsidR="00457DA4" w:rsidRPr="003E7E2B">
        <w:rPr>
          <w:rFonts w:asciiTheme="minorHAnsi" w:hAnsiTheme="minorHAnsi" w:cstheme="minorHAnsi"/>
          <w:sz w:val="24"/>
          <w:szCs w:val="24"/>
        </w:rPr>
        <w:t xml:space="preserve">patients would still be required to have received prior TKI therapy before commencing </w:t>
      </w:r>
      <w:proofErr w:type="spellStart"/>
      <w:r w:rsidR="003E2A34" w:rsidRPr="003E7E2B">
        <w:rPr>
          <w:rFonts w:asciiTheme="minorHAnsi" w:hAnsiTheme="minorHAnsi" w:cstheme="minorHAnsi"/>
          <w:sz w:val="24"/>
          <w:szCs w:val="24"/>
        </w:rPr>
        <w:t>axitinib</w:t>
      </w:r>
      <w:proofErr w:type="spellEnd"/>
      <w:r w:rsidR="003E2A34" w:rsidRPr="003E7E2B">
        <w:rPr>
          <w:rFonts w:asciiTheme="minorHAnsi" w:hAnsiTheme="minorHAnsi" w:cstheme="minorHAnsi"/>
          <w:sz w:val="24"/>
          <w:szCs w:val="24"/>
        </w:rPr>
        <w:t xml:space="preserve">, </w:t>
      </w:r>
      <w:proofErr w:type="spellStart"/>
      <w:r w:rsidR="003E2A34" w:rsidRPr="003E7E2B">
        <w:rPr>
          <w:rFonts w:asciiTheme="minorHAnsi" w:hAnsiTheme="minorHAnsi" w:cstheme="minorHAnsi"/>
          <w:sz w:val="24"/>
          <w:szCs w:val="24"/>
        </w:rPr>
        <w:t>cabozantinib</w:t>
      </w:r>
      <w:proofErr w:type="spellEnd"/>
      <w:r w:rsidR="003E2A34" w:rsidRPr="003E7E2B">
        <w:rPr>
          <w:rFonts w:asciiTheme="minorHAnsi" w:hAnsiTheme="minorHAnsi" w:cstheme="minorHAnsi"/>
          <w:sz w:val="24"/>
          <w:szCs w:val="24"/>
        </w:rPr>
        <w:t xml:space="preserve">, sorafenib and everolimus </w:t>
      </w:r>
      <w:r w:rsidR="005309D0" w:rsidRPr="003E7E2B">
        <w:rPr>
          <w:rFonts w:asciiTheme="minorHAnsi" w:hAnsiTheme="minorHAnsi" w:cstheme="minorHAnsi"/>
          <w:sz w:val="24"/>
          <w:szCs w:val="24"/>
        </w:rPr>
        <w:t>(i.e. the amendment just remove</w:t>
      </w:r>
      <w:r w:rsidR="002C698A" w:rsidRPr="003E7E2B">
        <w:rPr>
          <w:rFonts w:asciiTheme="minorHAnsi" w:hAnsiTheme="minorHAnsi" w:cstheme="minorHAnsi"/>
          <w:sz w:val="24"/>
          <w:szCs w:val="24"/>
        </w:rPr>
        <w:t>s</w:t>
      </w:r>
      <w:r w:rsidR="005309D0" w:rsidRPr="003E7E2B">
        <w:rPr>
          <w:rFonts w:asciiTheme="minorHAnsi" w:hAnsiTheme="minorHAnsi" w:cstheme="minorHAnsi"/>
          <w:sz w:val="24"/>
          <w:szCs w:val="24"/>
        </w:rPr>
        <w:t xml:space="preserve"> the requirement that the prior TKI therapy be in first-line)</w:t>
      </w:r>
      <w:r w:rsidR="00457DA4" w:rsidRPr="003E7E2B">
        <w:rPr>
          <w:rFonts w:asciiTheme="minorHAnsi" w:hAnsiTheme="minorHAnsi" w:cstheme="minorHAnsi"/>
          <w:sz w:val="24"/>
          <w:szCs w:val="24"/>
        </w:rPr>
        <w:t>. Th</w:t>
      </w:r>
      <w:r w:rsidR="005309D0" w:rsidRPr="003E7E2B">
        <w:rPr>
          <w:rFonts w:asciiTheme="minorHAnsi" w:hAnsiTheme="minorHAnsi" w:cstheme="minorHAnsi"/>
          <w:sz w:val="24"/>
          <w:szCs w:val="24"/>
        </w:rPr>
        <w:t xml:space="preserve">is is consistent with the </w:t>
      </w:r>
      <w:r w:rsidR="00457DA4" w:rsidRPr="003E7E2B">
        <w:rPr>
          <w:rFonts w:asciiTheme="minorHAnsi" w:hAnsiTheme="minorHAnsi" w:cstheme="minorHAnsi"/>
          <w:sz w:val="24"/>
          <w:szCs w:val="24"/>
        </w:rPr>
        <w:t>PBAC</w:t>
      </w:r>
      <w:r w:rsidR="005309D0" w:rsidRPr="003E7E2B">
        <w:rPr>
          <w:rFonts w:asciiTheme="minorHAnsi" w:hAnsiTheme="minorHAnsi" w:cstheme="minorHAnsi"/>
          <w:sz w:val="24"/>
          <w:szCs w:val="24"/>
        </w:rPr>
        <w:t>’s</w:t>
      </w:r>
      <w:r w:rsidR="00457DA4" w:rsidRPr="003E7E2B">
        <w:rPr>
          <w:rFonts w:asciiTheme="minorHAnsi" w:hAnsiTheme="minorHAnsi" w:cstheme="minorHAnsi"/>
          <w:sz w:val="24"/>
          <w:szCs w:val="24"/>
        </w:rPr>
        <w:t xml:space="preserve"> previous consider</w:t>
      </w:r>
      <w:r w:rsidR="005309D0" w:rsidRPr="003E7E2B">
        <w:rPr>
          <w:rFonts w:asciiTheme="minorHAnsi" w:hAnsiTheme="minorHAnsi" w:cstheme="minorHAnsi"/>
          <w:sz w:val="24"/>
          <w:szCs w:val="24"/>
        </w:rPr>
        <w:t>ation</w:t>
      </w:r>
      <w:r w:rsidR="00457DA4" w:rsidRPr="003E7E2B">
        <w:rPr>
          <w:rFonts w:asciiTheme="minorHAnsi" w:hAnsiTheme="minorHAnsi" w:cstheme="minorHAnsi"/>
          <w:sz w:val="24"/>
          <w:szCs w:val="24"/>
        </w:rPr>
        <w:t xml:space="preserve"> that </w:t>
      </w:r>
      <w:r w:rsidR="005309D0" w:rsidRPr="003E7E2B">
        <w:rPr>
          <w:rFonts w:asciiTheme="minorHAnsi" w:hAnsiTheme="minorHAnsi" w:cstheme="minorHAnsi"/>
          <w:sz w:val="24"/>
          <w:szCs w:val="24"/>
        </w:rPr>
        <w:t>removal of the requirement for patients to have received prior TKI therapy was not appropriate given that no evidence had been provided to support this change</w:t>
      </w:r>
      <w:r w:rsidR="00457DA4" w:rsidRPr="003E7E2B">
        <w:rPr>
          <w:rFonts w:asciiTheme="minorHAnsi" w:hAnsiTheme="minorHAnsi" w:cstheme="minorHAnsi"/>
          <w:sz w:val="24"/>
          <w:szCs w:val="24"/>
        </w:rPr>
        <w:t xml:space="preserve"> (Paragraph 7.5, PBAC </w:t>
      </w:r>
      <w:r w:rsidR="00DD2D76">
        <w:rPr>
          <w:rFonts w:asciiTheme="minorHAnsi" w:hAnsiTheme="minorHAnsi" w:cstheme="minorHAnsi"/>
          <w:sz w:val="24"/>
          <w:szCs w:val="24"/>
        </w:rPr>
        <w:t>PSD</w:t>
      </w:r>
      <w:r w:rsidR="00DD2D76" w:rsidRPr="003E7E2B">
        <w:rPr>
          <w:rFonts w:asciiTheme="minorHAnsi" w:hAnsiTheme="minorHAnsi" w:cstheme="minorHAnsi"/>
          <w:sz w:val="24"/>
          <w:szCs w:val="24"/>
        </w:rPr>
        <w:t xml:space="preserve"> </w:t>
      </w:r>
      <w:r w:rsidR="00845EDE">
        <w:rPr>
          <w:rFonts w:asciiTheme="minorHAnsi" w:hAnsiTheme="minorHAnsi" w:cstheme="minorHAnsi"/>
          <w:sz w:val="24"/>
          <w:szCs w:val="24"/>
        </w:rPr>
        <w:t>July 2018).</w:t>
      </w:r>
    </w:p>
    <w:p w:rsidR="00CB3B59" w:rsidRPr="003E7E2B" w:rsidRDefault="002C4442" w:rsidP="00640101">
      <w:pPr>
        <w:pStyle w:val="ListParagraph"/>
        <w:widowControl/>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 xml:space="preserve">The PBAC </w:t>
      </w:r>
      <w:r w:rsidR="003E2A34" w:rsidRPr="003E7E2B">
        <w:rPr>
          <w:rFonts w:asciiTheme="minorHAnsi" w:hAnsiTheme="minorHAnsi" w:cstheme="minorHAnsi"/>
          <w:sz w:val="24"/>
          <w:szCs w:val="24"/>
        </w:rPr>
        <w:t>consider</w:t>
      </w:r>
      <w:r w:rsidRPr="003E7E2B">
        <w:rPr>
          <w:rFonts w:asciiTheme="minorHAnsi" w:hAnsiTheme="minorHAnsi" w:cstheme="minorHAnsi"/>
          <w:sz w:val="24"/>
          <w:szCs w:val="24"/>
        </w:rPr>
        <w:t>ed</w:t>
      </w:r>
      <w:r w:rsidR="003E2A34" w:rsidRPr="003E7E2B">
        <w:rPr>
          <w:rFonts w:asciiTheme="minorHAnsi" w:hAnsiTheme="minorHAnsi" w:cstheme="minorHAnsi"/>
          <w:sz w:val="24"/>
          <w:szCs w:val="24"/>
        </w:rPr>
        <w:t xml:space="preserve"> </w:t>
      </w:r>
      <w:r w:rsidR="00487FAA" w:rsidRPr="003E7E2B">
        <w:rPr>
          <w:rFonts w:asciiTheme="minorHAnsi" w:hAnsiTheme="minorHAnsi" w:cstheme="minorHAnsi"/>
          <w:sz w:val="24"/>
          <w:szCs w:val="24"/>
        </w:rPr>
        <w:t xml:space="preserve">that </w:t>
      </w:r>
      <w:r w:rsidR="00CB3B59" w:rsidRPr="003E7E2B">
        <w:rPr>
          <w:rFonts w:asciiTheme="minorHAnsi" w:hAnsiTheme="minorHAnsi" w:cstheme="minorHAnsi"/>
          <w:sz w:val="24"/>
          <w:szCs w:val="24"/>
        </w:rPr>
        <w:t>patient</w:t>
      </w:r>
      <w:r w:rsidR="00487FAA" w:rsidRPr="003E7E2B">
        <w:rPr>
          <w:rFonts w:asciiTheme="minorHAnsi" w:hAnsiTheme="minorHAnsi" w:cstheme="minorHAnsi"/>
          <w:sz w:val="24"/>
          <w:szCs w:val="24"/>
        </w:rPr>
        <w:t>s</w:t>
      </w:r>
      <w:r w:rsidR="00CB3B59" w:rsidRPr="003E7E2B">
        <w:rPr>
          <w:rFonts w:asciiTheme="minorHAnsi" w:hAnsiTheme="minorHAnsi" w:cstheme="minorHAnsi"/>
          <w:sz w:val="24"/>
          <w:szCs w:val="24"/>
        </w:rPr>
        <w:t xml:space="preserve"> who receive first-line NIVO+IPI </w:t>
      </w:r>
      <w:r w:rsidR="00487FAA" w:rsidRPr="003E7E2B">
        <w:rPr>
          <w:rFonts w:asciiTheme="minorHAnsi" w:hAnsiTheme="minorHAnsi" w:cstheme="minorHAnsi"/>
          <w:sz w:val="24"/>
          <w:szCs w:val="24"/>
        </w:rPr>
        <w:t xml:space="preserve">should not </w:t>
      </w:r>
      <w:r w:rsidR="00CB3B59" w:rsidRPr="003E7E2B">
        <w:rPr>
          <w:rFonts w:asciiTheme="minorHAnsi" w:hAnsiTheme="minorHAnsi" w:cstheme="minorHAnsi"/>
          <w:sz w:val="24"/>
          <w:szCs w:val="24"/>
        </w:rPr>
        <w:t xml:space="preserve">subsequently receive nivolumab monotherapy in </w:t>
      </w:r>
      <w:r w:rsidR="00A31990" w:rsidRPr="003E7E2B">
        <w:rPr>
          <w:rFonts w:asciiTheme="minorHAnsi" w:hAnsiTheme="minorHAnsi" w:cstheme="minorHAnsi"/>
          <w:sz w:val="24"/>
          <w:szCs w:val="24"/>
        </w:rPr>
        <w:t xml:space="preserve">a </w:t>
      </w:r>
      <w:r w:rsidR="00CB3B59" w:rsidRPr="003E7E2B">
        <w:rPr>
          <w:rFonts w:asciiTheme="minorHAnsi" w:hAnsiTheme="minorHAnsi" w:cstheme="minorHAnsi"/>
          <w:sz w:val="24"/>
          <w:szCs w:val="24"/>
        </w:rPr>
        <w:t>later line of therapy</w:t>
      </w:r>
      <w:r w:rsidR="00640101" w:rsidRPr="003E7E2B">
        <w:rPr>
          <w:rFonts w:asciiTheme="minorHAnsi" w:hAnsiTheme="minorHAnsi" w:cstheme="minorHAnsi"/>
          <w:sz w:val="24"/>
          <w:szCs w:val="24"/>
        </w:rPr>
        <w:t>, as n</w:t>
      </w:r>
      <w:r w:rsidR="00A31990" w:rsidRPr="003E7E2B">
        <w:rPr>
          <w:rFonts w:asciiTheme="minorHAnsi" w:hAnsiTheme="minorHAnsi" w:cstheme="minorHAnsi"/>
          <w:sz w:val="24"/>
          <w:szCs w:val="24"/>
        </w:rPr>
        <w:t>o evidence has been provided regarding the efficacy of multiple lines of nivolumab.</w:t>
      </w:r>
      <w:r w:rsidR="00CB3B59" w:rsidRPr="003E7E2B">
        <w:rPr>
          <w:rFonts w:asciiTheme="minorHAnsi" w:hAnsiTheme="minorHAnsi" w:cstheme="minorHAnsi"/>
          <w:sz w:val="24"/>
          <w:szCs w:val="24"/>
        </w:rPr>
        <w:t xml:space="preserve"> </w:t>
      </w:r>
      <w:r w:rsidR="00640101" w:rsidRPr="003E7E2B">
        <w:rPr>
          <w:rFonts w:asciiTheme="minorHAnsi" w:hAnsiTheme="minorHAnsi" w:cstheme="minorHAnsi"/>
          <w:sz w:val="24"/>
          <w:szCs w:val="24"/>
        </w:rPr>
        <w:t>As such, t</w:t>
      </w:r>
      <w:r w:rsidR="00487FAA" w:rsidRPr="003E7E2B">
        <w:rPr>
          <w:rFonts w:asciiTheme="minorHAnsi" w:hAnsiTheme="minorHAnsi" w:cstheme="minorHAnsi"/>
          <w:sz w:val="24"/>
          <w:szCs w:val="24"/>
        </w:rPr>
        <w:t>he PBAC considered that the PBS restriction</w:t>
      </w:r>
      <w:r w:rsidR="005014AA" w:rsidRPr="003E7E2B">
        <w:rPr>
          <w:rFonts w:asciiTheme="minorHAnsi" w:hAnsiTheme="minorHAnsi" w:cstheme="minorHAnsi"/>
          <w:sz w:val="24"/>
          <w:szCs w:val="24"/>
        </w:rPr>
        <w:t xml:space="preserve"> for nivolumab monotherapy </w:t>
      </w:r>
      <w:r w:rsidR="00640101" w:rsidRPr="003E7E2B">
        <w:rPr>
          <w:rFonts w:asciiTheme="minorHAnsi" w:hAnsiTheme="minorHAnsi" w:cstheme="minorHAnsi"/>
          <w:sz w:val="24"/>
          <w:szCs w:val="24"/>
        </w:rPr>
        <w:t>should be amended</w:t>
      </w:r>
      <w:r w:rsidR="003E2A34" w:rsidRPr="003E7E2B">
        <w:rPr>
          <w:rFonts w:asciiTheme="minorHAnsi" w:hAnsiTheme="minorHAnsi" w:cstheme="minorHAnsi"/>
          <w:sz w:val="24"/>
          <w:szCs w:val="24"/>
        </w:rPr>
        <w:t xml:space="preserve"> to </w:t>
      </w:r>
      <w:r w:rsidR="00CB3B59" w:rsidRPr="003E7E2B">
        <w:rPr>
          <w:rFonts w:asciiTheme="minorHAnsi" w:hAnsiTheme="minorHAnsi" w:cstheme="minorHAnsi"/>
          <w:sz w:val="24"/>
          <w:szCs w:val="24"/>
        </w:rPr>
        <w:t>inclu</w:t>
      </w:r>
      <w:r w:rsidR="003E2A34" w:rsidRPr="003E7E2B">
        <w:rPr>
          <w:rFonts w:asciiTheme="minorHAnsi" w:hAnsiTheme="minorHAnsi" w:cstheme="minorHAnsi"/>
          <w:sz w:val="24"/>
          <w:szCs w:val="24"/>
        </w:rPr>
        <w:t>de</w:t>
      </w:r>
      <w:r w:rsidR="00CB3B59" w:rsidRPr="003E7E2B">
        <w:rPr>
          <w:rFonts w:asciiTheme="minorHAnsi" w:hAnsiTheme="minorHAnsi" w:cstheme="minorHAnsi"/>
          <w:sz w:val="24"/>
          <w:szCs w:val="24"/>
        </w:rPr>
        <w:t xml:space="preserve"> the following criterion: “Patient must not have received prior treatment with a programmed cell death-1 (PD-1) inhibitor or a programmed cell death ligand-1 (PD-L1) inhibitor for this condition”.</w:t>
      </w:r>
      <w:r w:rsidR="00640101" w:rsidRPr="003E7E2B">
        <w:rPr>
          <w:rFonts w:asciiTheme="minorHAnsi" w:hAnsiTheme="minorHAnsi" w:cstheme="minorHAnsi"/>
          <w:sz w:val="24"/>
          <w:szCs w:val="24"/>
        </w:rPr>
        <w:t xml:space="preserve"> The pre-PBAC response and the PBAC noted this would align with PBS restrictions for nivolumab in other settings. With this amendment incorporated, the PBAC considered it </w:t>
      </w:r>
      <w:r w:rsidR="006A5684">
        <w:rPr>
          <w:rFonts w:asciiTheme="minorHAnsi" w:hAnsiTheme="minorHAnsi" w:cstheme="minorHAnsi"/>
          <w:sz w:val="24"/>
          <w:szCs w:val="24"/>
        </w:rPr>
        <w:t>would</w:t>
      </w:r>
      <w:r w:rsidR="00640101" w:rsidRPr="003E7E2B">
        <w:rPr>
          <w:rFonts w:asciiTheme="minorHAnsi" w:hAnsiTheme="minorHAnsi" w:cstheme="minorHAnsi"/>
          <w:sz w:val="24"/>
          <w:szCs w:val="24"/>
        </w:rPr>
        <w:t xml:space="preserve"> also be appropriate to include the following amendment for consistency</w:t>
      </w:r>
      <w:r w:rsidR="006A5684">
        <w:rPr>
          <w:rFonts w:asciiTheme="minorHAnsi" w:hAnsiTheme="minorHAnsi" w:cstheme="minorHAnsi"/>
          <w:sz w:val="24"/>
          <w:szCs w:val="24"/>
        </w:rPr>
        <w:t>:</w:t>
      </w:r>
      <w:r w:rsidR="00640101" w:rsidRPr="003E7E2B">
        <w:rPr>
          <w:rFonts w:asciiTheme="minorHAnsi" w:hAnsiTheme="minorHAnsi" w:cstheme="minorHAnsi"/>
          <w:sz w:val="24"/>
          <w:szCs w:val="24"/>
        </w:rPr>
        <w:t xml:space="preserve"> “Patient must have progressive disease according to the Response Evaluation Criteria </w:t>
      </w:r>
      <w:proofErr w:type="gramStart"/>
      <w:r w:rsidR="00640101" w:rsidRPr="003E7E2B">
        <w:rPr>
          <w:rFonts w:asciiTheme="minorHAnsi" w:hAnsiTheme="minorHAnsi" w:cstheme="minorHAnsi"/>
          <w:sz w:val="24"/>
          <w:szCs w:val="24"/>
        </w:rPr>
        <w:t>In</w:t>
      </w:r>
      <w:proofErr w:type="gramEnd"/>
      <w:r w:rsidR="00640101" w:rsidRPr="003E7E2B">
        <w:rPr>
          <w:rFonts w:asciiTheme="minorHAnsi" w:hAnsiTheme="minorHAnsi" w:cstheme="minorHAnsi"/>
          <w:sz w:val="24"/>
          <w:szCs w:val="24"/>
        </w:rPr>
        <w:t xml:space="preserve"> Solid Tumours (RECIST) following </w:t>
      </w:r>
      <w:r w:rsidR="00640101" w:rsidRPr="003E7E2B">
        <w:rPr>
          <w:rFonts w:asciiTheme="minorHAnsi" w:hAnsiTheme="minorHAnsi" w:cstheme="minorHAnsi"/>
          <w:strike/>
          <w:sz w:val="24"/>
          <w:szCs w:val="24"/>
        </w:rPr>
        <w:t>first-line</w:t>
      </w:r>
      <w:r w:rsidR="00640101" w:rsidRPr="003E7E2B">
        <w:rPr>
          <w:rFonts w:asciiTheme="minorHAnsi" w:hAnsiTheme="minorHAnsi" w:cstheme="minorHAnsi"/>
          <w:sz w:val="24"/>
          <w:szCs w:val="24"/>
        </w:rPr>
        <w:t xml:space="preserve"> prior treatment wit</w:t>
      </w:r>
      <w:r w:rsidR="00845EDE">
        <w:rPr>
          <w:rFonts w:asciiTheme="minorHAnsi" w:hAnsiTheme="minorHAnsi" w:cstheme="minorHAnsi"/>
          <w:sz w:val="24"/>
          <w:szCs w:val="24"/>
        </w:rPr>
        <w:t>h a tyrosine kinase inhibitor”.</w:t>
      </w:r>
    </w:p>
    <w:p w:rsidR="00D30338" w:rsidRPr="003C2660" w:rsidRDefault="00D30338" w:rsidP="0027241C">
      <w:pPr>
        <w:pStyle w:val="Heading2"/>
      </w:pPr>
      <w:r w:rsidRPr="003C2660">
        <w:t xml:space="preserve">Flow-on change – </w:t>
      </w:r>
      <w:r w:rsidR="00974C5E" w:rsidRPr="003C2660">
        <w:t xml:space="preserve">IMDC prognostic scoring system for sunitinib and </w:t>
      </w:r>
      <w:proofErr w:type="spellStart"/>
      <w:r w:rsidR="00974C5E" w:rsidRPr="003C2660">
        <w:t>pazop</w:t>
      </w:r>
      <w:r w:rsidR="00845EDE">
        <w:t>anib</w:t>
      </w:r>
      <w:proofErr w:type="spellEnd"/>
    </w:p>
    <w:p w:rsidR="00D30338" w:rsidRDefault="00D30338" w:rsidP="005C3014">
      <w:pPr>
        <w:pStyle w:val="ListParagraph"/>
        <w:widowControl/>
        <w:numPr>
          <w:ilvl w:val="1"/>
          <w:numId w:val="14"/>
        </w:numPr>
        <w:spacing w:after="120"/>
        <w:contextualSpacing w:val="0"/>
        <w:rPr>
          <w:rFonts w:asciiTheme="minorHAnsi" w:eastAsia="Calibri" w:hAnsiTheme="minorHAnsi" w:cstheme="minorHAnsi"/>
          <w:sz w:val="24"/>
          <w:szCs w:val="24"/>
        </w:rPr>
      </w:pPr>
      <w:r w:rsidRPr="003C2660">
        <w:rPr>
          <w:rFonts w:asciiTheme="minorHAnsi" w:eastAsia="Calibri" w:hAnsiTheme="minorHAnsi" w:cstheme="minorHAnsi"/>
          <w:sz w:val="24"/>
          <w:szCs w:val="24"/>
        </w:rPr>
        <w:t>NIVO+IPI is proposed for listing in patients categorised as having intermediate/poor prognosis based on the IMDC prognostic scoring system, which was consistent with the key clinical evidence. On the other hand, the Memorial Slo</w:t>
      </w:r>
      <w:r w:rsidRPr="003E7E2B">
        <w:rPr>
          <w:rFonts w:asciiTheme="minorHAnsi" w:eastAsia="Calibri" w:hAnsiTheme="minorHAnsi" w:cstheme="minorHAnsi"/>
          <w:sz w:val="24"/>
          <w:szCs w:val="24"/>
        </w:rPr>
        <w:t xml:space="preserve">an Kettering Cancer </w:t>
      </w:r>
      <w:proofErr w:type="spellStart"/>
      <w:r w:rsidRPr="003E7E2B">
        <w:rPr>
          <w:rFonts w:asciiTheme="minorHAnsi" w:eastAsia="Calibri" w:hAnsiTheme="minorHAnsi" w:cstheme="minorHAnsi"/>
          <w:sz w:val="24"/>
          <w:szCs w:val="24"/>
        </w:rPr>
        <w:t>Center</w:t>
      </w:r>
      <w:proofErr w:type="spellEnd"/>
      <w:r w:rsidRPr="003E7E2B">
        <w:rPr>
          <w:rFonts w:asciiTheme="minorHAnsi" w:eastAsia="Calibri" w:hAnsiTheme="minorHAnsi" w:cstheme="minorHAnsi"/>
          <w:sz w:val="24"/>
          <w:szCs w:val="24"/>
        </w:rPr>
        <w:t xml:space="preserve"> (MSKCC) criteria is the basis for determining risk stratification in the PBS clinical criteria for </w:t>
      </w:r>
      <w:proofErr w:type="spellStart"/>
      <w:r w:rsidRPr="003E7E2B">
        <w:rPr>
          <w:rFonts w:asciiTheme="minorHAnsi" w:eastAsia="Calibri" w:hAnsiTheme="minorHAnsi" w:cstheme="minorHAnsi"/>
          <w:sz w:val="24"/>
          <w:szCs w:val="24"/>
        </w:rPr>
        <w:t>pazopanib</w:t>
      </w:r>
      <w:proofErr w:type="spellEnd"/>
      <w:r w:rsidRPr="003E7E2B">
        <w:rPr>
          <w:rFonts w:asciiTheme="minorHAnsi" w:eastAsia="Calibri" w:hAnsiTheme="minorHAnsi" w:cstheme="minorHAnsi"/>
          <w:sz w:val="24"/>
          <w:szCs w:val="24"/>
        </w:rPr>
        <w:t xml:space="preserve"> and sunitinib (these are PBS-listed for patients who meet the MSKCC low to intermediate risk group criteria). The PBAC </w:t>
      </w:r>
      <w:r w:rsidR="00B1184B" w:rsidRPr="003E7E2B">
        <w:rPr>
          <w:rFonts w:asciiTheme="minorHAnsi" w:eastAsia="Calibri" w:hAnsiTheme="minorHAnsi" w:cstheme="minorHAnsi"/>
          <w:sz w:val="24"/>
          <w:szCs w:val="24"/>
        </w:rPr>
        <w:t xml:space="preserve">re-iterated its </w:t>
      </w:r>
      <w:r w:rsidRPr="003E7E2B">
        <w:rPr>
          <w:rFonts w:asciiTheme="minorHAnsi" w:eastAsia="Calibri" w:hAnsiTheme="minorHAnsi" w:cstheme="minorHAnsi"/>
          <w:sz w:val="24"/>
          <w:szCs w:val="24"/>
        </w:rPr>
        <w:t>previous consider</w:t>
      </w:r>
      <w:r w:rsidR="00B1184B" w:rsidRPr="003E7E2B">
        <w:rPr>
          <w:rFonts w:asciiTheme="minorHAnsi" w:eastAsia="Calibri" w:hAnsiTheme="minorHAnsi" w:cstheme="minorHAnsi"/>
          <w:sz w:val="24"/>
          <w:szCs w:val="24"/>
        </w:rPr>
        <w:t>ation</w:t>
      </w:r>
      <w:r w:rsidRPr="003E7E2B">
        <w:rPr>
          <w:rFonts w:asciiTheme="minorHAnsi" w:eastAsia="Calibri" w:hAnsiTheme="minorHAnsi" w:cstheme="minorHAnsi"/>
          <w:sz w:val="24"/>
          <w:szCs w:val="24"/>
        </w:rPr>
        <w:t xml:space="preserve"> that the restriction for NIVO+IPI should be based on IMDC </w:t>
      </w:r>
      <w:r w:rsidR="00457DA4" w:rsidRPr="003E7E2B">
        <w:rPr>
          <w:rFonts w:asciiTheme="minorHAnsi" w:eastAsia="Calibri" w:hAnsiTheme="minorHAnsi" w:cstheme="minorHAnsi"/>
          <w:sz w:val="24"/>
          <w:szCs w:val="24"/>
        </w:rPr>
        <w:t>“</w:t>
      </w:r>
      <w:r w:rsidRPr="003E7E2B">
        <w:rPr>
          <w:rFonts w:asciiTheme="minorHAnsi" w:eastAsia="Calibri" w:hAnsiTheme="minorHAnsi" w:cstheme="minorHAnsi"/>
          <w:sz w:val="24"/>
          <w:szCs w:val="24"/>
        </w:rPr>
        <w:t>to reflect current clinical practice where IMDC has superseded MSKCC</w:t>
      </w:r>
      <w:r w:rsidR="00457DA4" w:rsidRPr="003E7E2B">
        <w:rPr>
          <w:rFonts w:asciiTheme="minorHAnsi" w:eastAsia="Calibri" w:hAnsiTheme="minorHAnsi" w:cstheme="minorHAnsi"/>
          <w:sz w:val="24"/>
          <w:szCs w:val="24"/>
        </w:rPr>
        <w:t>” and</w:t>
      </w:r>
      <w:r w:rsidRPr="003E7E2B">
        <w:rPr>
          <w:rFonts w:asciiTheme="minorHAnsi" w:eastAsia="Calibri" w:hAnsiTheme="minorHAnsi" w:cstheme="minorHAnsi"/>
          <w:sz w:val="24"/>
          <w:szCs w:val="24"/>
        </w:rPr>
        <w:t xml:space="preserve"> “should NIVO+IPI be listed for RCC in the future, then the restrictions for sunitinib and </w:t>
      </w:r>
      <w:proofErr w:type="spellStart"/>
      <w:r w:rsidRPr="003E7E2B">
        <w:rPr>
          <w:rFonts w:asciiTheme="minorHAnsi" w:eastAsia="Calibri" w:hAnsiTheme="minorHAnsi" w:cstheme="minorHAnsi"/>
          <w:sz w:val="24"/>
          <w:szCs w:val="24"/>
        </w:rPr>
        <w:t>pazopanib</w:t>
      </w:r>
      <w:proofErr w:type="spellEnd"/>
      <w:r w:rsidRPr="003E7E2B">
        <w:rPr>
          <w:rFonts w:asciiTheme="minorHAnsi" w:eastAsia="Calibri" w:hAnsiTheme="minorHAnsi" w:cstheme="minorHAnsi"/>
          <w:sz w:val="24"/>
          <w:szCs w:val="24"/>
        </w:rPr>
        <w:t xml:space="preserve"> could similarly be changed to IMDC for consistency” (Paragraph 7.3, PBAC </w:t>
      </w:r>
      <w:r w:rsidR="00DD2D76">
        <w:rPr>
          <w:rFonts w:asciiTheme="minorHAnsi" w:eastAsia="Calibri" w:hAnsiTheme="minorHAnsi" w:cstheme="minorHAnsi"/>
          <w:sz w:val="24"/>
          <w:szCs w:val="24"/>
        </w:rPr>
        <w:t>PSD</w:t>
      </w:r>
      <w:r w:rsidR="00DD2D76" w:rsidRPr="003E7E2B">
        <w:rPr>
          <w:rFonts w:asciiTheme="minorHAnsi" w:eastAsia="Calibri" w:hAnsiTheme="minorHAnsi" w:cstheme="minorHAnsi"/>
          <w:sz w:val="24"/>
          <w:szCs w:val="24"/>
        </w:rPr>
        <w:t xml:space="preserve"> </w:t>
      </w:r>
      <w:r w:rsidRPr="003E7E2B">
        <w:rPr>
          <w:rFonts w:asciiTheme="minorHAnsi" w:eastAsia="Calibri" w:hAnsiTheme="minorHAnsi" w:cstheme="minorHAnsi"/>
          <w:sz w:val="24"/>
          <w:szCs w:val="24"/>
        </w:rPr>
        <w:t>July 2018).</w:t>
      </w:r>
    </w:p>
    <w:p w:rsidR="00F42553" w:rsidRPr="00F42553" w:rsidRDefault="00F42553" w:rsidP="00F42553">
      <w:pPr>
        <w:pStyle w:val="ListParagraph"/>
        <w:widowControl/>
        <w:numPr>
          <w:ilvl w:val="1"/>
          <w:numId w:val="14"/>
        </w:numPr>
        <w:spacing w:after="120"/>
        <w:contextualSpacing w:val="0"/>
        <w:rPr>
          <w:rFonts w:ascii="Calibri" w:eastAsia="Calibri" w:hAnsi="Calibri" w:cs="Calibri"/>
          <w:szCs w:val="22"/>
        </w:rPr>
      </w:pPr>
      <w:r>
        <w:rPr>
          <w:rFonts w:asciiTheme="minorHAnsi" w:eastAsia="Calibri" w:hAnsiTheme="minorHAnsi" w:cstheme="minorHAnsi"/>
          <w:sz w:val="24"/>
          <w:szCs w:val="24"/>
        </w:rPr>
        <w:lastRenderedPageBreak/>
        <w:t xml:space="preserve">As such, the PBAC considered that the restrictions for </w:t>
      </w:r>
      <w:r w:rsidRPr="00F42553">
        <w:rPr>
          <w:rFonts w:ascii="Calibri" w:eastAsia="Calibri" w:hAnsi="Calibri" w:cs="Calibri"/>
          <w:szCs w:val="22"/>
        </w:rPr>
        <w:t xml:space="preserve">sunitinib and </w:t>
      </w:r>
      <w:proofErr w:type="spellStart"/>
      <w:r w:rsidRPr="00F42553">
        <w:rPr>
          <w:rFonts w:ascii="Calibri" w:eastAsia="Calibri" w:hAnsi="Calibri" w:cs="Calibri"/>
          <w:szCs w:val="22"/>
        </w:rPr>
        <w:t>pazopanib</w:t>
      </w:r>
      <w:proofErr w:type="spellEnd"/>
      <w:r w:rsidRPr="00F42553">
        <w:rPr>
          <w:rFonts w:ascii="Calibri" w:eastAsia="Calibri" w:hAnsi="Calibri" w:cs="Calibri"/>
          <w:szCs w:val="22"/>
        </w:rPr>
        <w:t xml:space="preserve"> </w:t>
      </w:r>
      <w:r>
        <w:rPr>
          <w:rFonts w:ascii="Calibri" w:eastAsia="Calibri" w:hAnsi="Calibri" w:cs="Calibri"/>
          <w:szCs w:val="22"/>
        </w:rPr>
        <w:t xml:space="preserve">for RCC (for the </w:t>
      </w:r>
      <w:r w:rsidR="006A5684">
        <w:rPr>
          <w:rFonts w:asciiTheme="minorHAnsi" w:eastAsia="Calibri" w:hAnsiTheme="minorHAnsi" w:cstheme="minorHAnsi"/>
          <w:sz w:val="24"/>
          <w:szCs w:val="24"/>
        </w:rPr>
        <w:t>listings</w:t>
      </w:r>
      <w:r w:rsidR="006A5684">
        <w:rPr>
          <w:rFonts w:ascii="Calibri" w:eastAsia="Calibri" w:hAnsi="Calibri" w:cs="Calibri"/>
          <w:szCs w:val="22"/>
        </w:rPr>
        <w:t xml:space="preserve"> for </w:t>
      </w:r>
      <w:r>
        <w:rPr>
          <w:rFonts w:ascii="Calibri" w:eastAsia="Calibri" w:hAnsi="Calibri" w:cs="Calibri"/>
          <w:szCs w:val="22"/>
        </w:rPr>
        <w:t xml:space="preserve">treatment phase: </w:t>
      </w:r>
      <w:r>
        <w:rPr>
          <w:rFonts w:asciiTheme="minorHAnsi" w:eastAsia="Calibri" w:hAnsiTheme="minorHAnsi" w:cstheme="minorHAnsi"/>
          <w:sz w:val="24"/>
          <w:szCs w:val="24"/>
        </w:rPr>
        <w:t xml:space="preserve">initial treatment) </w:t>
      </w:r>
      <w:r>
        <w:rPr>
          <w:rFonts w:ascii="Calibri" w:eastAsia="Calibri" w:hAnsi="Calibri" w:cs="Calibri"/>
          <w:szCs w:val="22"/>
        </w:rPr>
        <w:t>should be amended as follow</w:t>
      </w:r>
      <w:r w:rsidRPr="00F42553">
        <w:rPr>
          <w:rFonts w:ascii="Calibri" w:eastAsia="Calibri" w:hAnsi="Calibri" w:cs="Calibri"/>
          <w:szCs w:val="22"/>
        </w:rPr>
        <w:t>s:</w:t>
      </w:r>
    </w:p>
    <w:p w:rsidR="00F42553" w:rsidRPr="003E7E2B" w:rsidRDefault="00F42553" w:rsidP="0027241C">
      <w:pPr>
        <w:spacing w:after="240"/>
        <w:ind w:left="993"/>
        <w:rPr>
          <w:rFonts w:asciiTheme="minorHAnsi" w:eastAsia="Calibri" w:hAnsiTheme="minorHAnsi" w:cstheme="minorHAnsi"/>
        </w:rPr>
      </w:pPr>
      <w:r w:rsidRPr="00F42553">
        <w:rPr>
          <w:rFonts w:ascii="Calibri" w:eastAsia="Calibri" w:hAnsi="Calibri" w:cs="Calibri"/>
          <w:sz w:val="22"/>
          <w:szCs w:val="22"/>
          <w:lang w:eastAsia="en-US"/>
        </w:rPr>
        <w:t xml:space="preserve">Patient must meet the </w:t>
      </w:r>
      <w:r w:rsidRPr="00F42553">
        <w:rPr>
          <w:rFonts w:ascii="Calibri" w:eastAsia="Calibri" w:hAnsi="Calibri" w:cs="Calibri"/>
          <w:strike/>
          <w:sz w:val="22"/>
          <w:szCs w:val="22"/>
          <w:lang w:eastAsia="en-US"/>
        </w:rPr>
        <w:t>Memorial Sloan Kettering Cancer Centre (MSKCC) low to intermediate risk group criteria</w:t>
      </w:r>
      <w:r w:rsidRPr="00F42553">
        <w:rPr>
          <w:rFonts w:ascii="Calibri" w:eastAsia="Calibri" w:hAnsi="Calibri" w:cs="Calibri"/>
          <w:sz w:val="22"/>
          <w:szCs w:val="22"/>
          <w:lang w:eastAsia="en-US"/>
        </w:rPr>
        <w:t xml:space="preserve"> </w:t>
      </w:r>
      <w:r w:rsidRPr="00F42553">
        <w:rPr>
          <w:rFonts w:ascii="Calibri" w:eastAsia="Calibri" w:hAnsi="Calibri" w:cs="Calibri"/>
          <w:i/>
          <w:iCs/>
          <w:sz w:val="22"/>
          <w:szCs w:val="22"/>
          <w:lang w:eastAsia="en-US"/>
        </w:rPr>
        <w:t>International Metastatic Renal Cell Carcinoma Database Consortium (IMDC) favourable to intermediate risk group criteria</w:t>
      </w:r>
      <w:r>
        <w:rPr>
          <w:rFonts w:ascii="Calibri" w:eastAsia="Calibri" w:hAnsi="Calibri" w:cs="Calibri"/>
          <w:i/>
          <w:iCs/>
          <w:sz w:val="22"/>
          <w:szCs w:val="22"/>
          <w:lang w:eastAsia="en-US"/>
        </w:rPr>
        <w:t>.</w:t>
      </w:r>
    </w:p>
    <w:p w:rsidR="005309D0" w:rsidRPr="003E7E2B" w:rsidRDefault="00813207" w:rsidP="0067747D">
      <w:pPr>
        <w:spacing w:after="120"/>
        <w:ind w:left="709"/>
        <w:jc w:val="both"/>
        <w:rPr>
          <w:rFonts w:asciiTheme="minorHAnsi" w:hAnsiTheme="minorHAnsi" w:cs="Arial"/>
          <w:i/>
        </w:rPr>
      </w:pPr>
      <w:r w:rsidRPr="003E7E2B">
        <w:rPr>
          <w:rFonts w:asciiTheme="minorHAnsi" w:hAnsiTheme="minorHAnsi" w:cs="Arial"/>
          <w:i/>
        </w:rPr>
        <w:t>For more detail on PBAC’s view, see section 6 PBAC outcome.</w:t>
      </w:r>
    </w:p>
    <w:p w:rsidR="00C603D4" w:rsidRPr="003E7E2B" w:rsidRDefault="00CE10C4" w:rsidP="00FC41BC">
      <w:pPr>
        <w:pStyle w:val="Heading1"/>
      </w:pPr>
      <w:r w:rsidRPr="003E7E2B">
        <w:t>Background</w:t>
      </w:r>
    </w:p>
    <w:p w:rsidR="006B186F" w:rsidRPr="003E7E2B" w:rsidRDefault="006B186F" w:rsidP="00CC7C9F">
      <w:pPr>
        <w:pStyle w:val="ListParagraph"/>
        <w:numPr>
          <w:ilvl w:val="1"/>
          <w:numId w:val="14"/>
        </w:numPr>
        <w:spacing w:after="120"/>
        <w:contextualSpacing w:val="0"/>
        <w:rPr>
          <w:rFonts w:asciiTheme="minorHAnsi" w:eastAsiaTheme="minorHAnsi" w:hAnsiTheme="minorHAnsi" w:cstheme="minorHAnsi"/>
          <w:snapToGrid/>
          <w:sz w:val="24"/>
          <w:szCs w:val="24"/>
        </w:rPr>
      </w:pPr>
      <w:r w:rsidRPr="003E7E2B">
        <w:rPr>
          <w:rFonts w:asciiTheme="minorHAnsi" w:eastAsiaTheme="minorHAnsi" w:hAnsiTheme="minorHAnsi" w:cstheme="minorHAnsi"/>
          <w:snapToGrid/>
          <w:sz w:val="24"/>
          <w:szCs w:val="24"/>
        </w:rPr>
        <w:t xml:space="preserve">Nivolumab </w:t>
      </w:r>
      <w:r w:rsidR="00476245" w:rsidRPr="003E7E2B">
        <w:rPr>
          <w:rFonts w:asciiTheme="minorHAnsi" w:eastAsiaTheme="minorHAnsi" w:hAnsiTheme="minorHAnsi" w:cstheme="minorHAnsi"/>
          <w:snapToGrid/>
          <w:sz w:val="24"/>
          <w:szCs w:val="24"/>
        </w:rPr>
        <w:t>is TGA registered for</w:t>
      </w:r>
      <w:r w:rsidRPr="003E7E2B">
        <w:rPr>
          <w:rFonts w:asciiTheme="minorHAnsi" w:eastAsiaTheme="minorHAnsi" w:hAnsiTheme="minorHAnsi" w:cstheme="minorHAnsi"/>
          <w:snapToGrid/>
          <w:sz w:val="24"/>
          <w:szCs w:val="24"/>
        </w:rPr>
        <w:t>: “nivolumab, in combination with ipilimumab, is indicated for the treatment of patients with intermediate/poor-risk, previously untreated advanced renal cell carcinoma. Nivolumab, as monotherapy, is indicated for the treatment of patients with advanced clear cell renal cell carcinoma after prior anti-angiogenic therapy”</w:t>
      </w:r>
      <w:r w:rsidR="00CC7C9F">
        <w:rPr>
          <w:rFonts w:asciiTheme="minorHAnsi" w:eastAsiaTheme="minorHAnsi" w:hAnsiTheme="minorHAnsi" w:cstheme="minorHAnsi"/>
          <w:snapToGrid/>
          <w:sz w:val="24"/>
          <w:szCs w:val="24"/>
        </w:rPr>
        <w:t>. I</w:t>
      </w:r>
      <w:r w:rsidR="00CC7C9F" w:rsidRPr="00CC7C9F">
        <w:rPr>
          <w:rFonts w:asciiTheme="minorHAnsi" w:eastAsiaTheme="minorHAnsi" w:hAnsiTheme="minorHAnsi" w:cstheme="minorHAnsi"/>
          <w:snapToGrid/>
          <w:sz w:val="24"/>
          <w:szCs w:val="24"/>
        </w:rPr>
        <w:t xml:space="preserve">pilimumab is TGA registered for: </w:t>
      </w:r>
      <w:r w:rsidR="00CC7C9F" w:rsidRPr="000B65AC">
        <w:rPr>
          <w:rFonts w:asciiTheme="minorHAnsi" w:eastAsiaTheme="minorHAnsi" w:hAnsiTheme="minorHAnsi" w:cstheme="minorHAnsi"/>
          <w:snapToGrid/>
          <w:sz w:val="24"/>
          <w:szCs w:val="24"/>
        </w:rPr>
        <w:t>“</w:t>
      </w:r>
      <w:r w:rsidR="00CC7C9F" w:rsidRPr="003D60D8">
        <w:rPr>
          <w:rFonts w:asciiTheme="minorHAnsi" w:hAnsiTheme="minorHAnsi"/>
          <w:sz w:val="24"/>
          <w:szCs w:val="24"/>
        </w:rPr>
        <w:t>in combination with OPDIVO (nivolumab), is indicated for the treatment of patients with intermediate/poor-risk, previously untreated advanced renal cell carcinoma</w:t>
      </w:r>
      <w:r w:rsidR="00CC7C9F" w:rsidRPr="00CC7C9F">
        <w:rPr>
          <w:rFonts w:asciiTheme="minorHAnsi" w:eastAsiaTheme="minorHAnsi" w:hAnsiTheme="minorHAnsi" w:cstheme="minorHAnsi"/>
          <w:snapToGrid/>
          <w:sz w:val="24"/>
          <w:szCs w:val="24"/>
        </w:rPr>
        <w:t>”</w:t>
      </w:r>
      <w:r w:rsidR="003D60D8">
        <w:rPr>
          <w:rFonts w:asciiTheme="minorHAnsi" w:eastAsiaTheme="minorHAnsi" w:hAnsiTheme="minorHAnsi" w:cstheme="minorHAnsi"/>
          <w:snapToGrid/>
          <w:sz w:val="24"/>
          <w:szCs w:val="24"/>
        </w:rPr>
        <w:t>.</w:t>
      </w:r>
    </w:p>
    <w:p w:rsidR="002C698A" w:rsidRPr="003E7E2B" w:rsidRDefault="002C698A" w:rsidP="00F54F83">
      <w:pPr>
        <w:pStyle w:val="ListParagraph"/>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 xml:space="preserve">The PBAC noted there </w:t>
      </w:r>
      <w:r w:rsidR="006674E5" w:rsidRPr="003E7E2B">
        <w:rPr>
          <w:rFonts w:asciiTheme="minorHAnsi" w:hAnsiTheme="minorHAnsi" w:cstheme="minorHAnsi"/>
          <w:sz w:val="24"/>
          <w:szCs w:val="24"/>
        </w:rPr>
        <w:t>a</w:t>
      </w:r>
      <w:r w:rsidRPr="003E7E2B">
        <w:rPr>
          <w:rFonts w:asciiTheme="minorHAnsi" w:hAnsiTheme="minorHAnsi" w:cstheme="minorHAnsi"/>
          <w:sz w:val="24"/>
          <w:szCs w:val="24"/>
        </w:rPr>
        <w:t xml:space="preserve">re ongoing </w:t>
      </w:r>
      <w:r w:rsidR="00F54F83" w:rsidRPr="003E7E2B">
        <w:rPr>
          <w:rFonts w:asciiTheme="minorHAnsi" w:hAnsiTheme="minorHAnsi" w:cstheme="minorHAnsi"/>
          <w:sz w:val="24"/>
          <w:szCs w:val="24"/>
        </w:rPr>
        <w:t>studies</w:t>
      </w:r>
      <w:r w:rsidRPr="003E7E2B">
        <w:rPr>
          <w:rFonts w:asciiTheme="minorHAnsi" w:hAnsiTheme="minorHAnsi" w:cstheme="minorHAnsi"/>
          <w:sz w:val="24"/>
          <w:szCs w:val="24"/>
        </w:rPr>
        <w:t xml:space="preserve"> </w:t>
      </w:r>
      <w:r w:rsidR="00F54F83" w:rsidRPr="003E7E2B">
        <w:rPr>
          <w:rFonts w:asciiTheme="minorHAnsi" w:hAnsiTheme="minorHAnsi" w:cstheme="minorHAnsi"/>
          <w:sz w:val="24"/>
          <w:szCs w:val="24"/>
        </w:rPr>
        <w:t>o</w:t>
      </w:r>
      <w:r w:rsidRPr="003E7E2B">
        <w:rPr>
          <w:rFonts w:asciiTheme="minorHAnsi" w:hAnsiTheme="minorHAnsi" w:cstheme="minorHAnsi"/>
          <w:sz w:val="24"/>
          <w:szCs w:val="24"/>
        </w:rPr>
        <w:t xml:space="preserve">f other regimens for the first-line treatment of RCC including single-agent pembrolizumab, pembrolizumab in combination with other therapies, avelumab + </w:t>
      </w:r>
      <w:proofErr w:type="spellStart"/>
      <w:r w:rsidRPr="003E7E2B">
        <w:rPr>
          <w:rFonts w:asciiTheme="minorHAnsi" w:hAnsiTheme="minorHAnsi" w:cstheme="minorHAnsi"/>
          <w:sz w:val="24"/>
          <w:szCs w:val="24"/>
        </w:rPr>
        <w:t>axitinib</w:t>
      </w:r>
      <w:proofErr w:type="spellEnd"/>
      <w:r w:rsidRPr="003E7E2B">
        <w:rPr>
          <w:rFonts w:asciiTheme="minorHAnsi" w:hAnsiTheme="minorHAnsi" w:cstheme="minorHAnsi"/>
          <w:sz w:val="24"/>
          <w:szCs w:val="24"/>
        </w:rPr>
        <w:t xml:space="preserve">, </w:t>
      </w:r>
      <w:r w:rsidR="00F54F83" w:rsidRPr="003E7E2B">
        <w:rPr>
          <w:rFonts w:asciiTheme="minorHAnsi" w:hAnsiTheme="minorHAnsi" w:cstheme="minorHAnsi"/>
          <w:sz w:val="24"/>
          <w:szCs w:val="24"/>
        </w:rPr>
        <w:t>n</w:t>
      </w:r>
      <w:r w:rsidRPr="003E7E2B">
        <w:rPr>
          <w:rFonts w:asciiTheme="minorHAnsi" w:hAnsiTheme="minorHAnsi" w:cstheme="minorHAnsi"/>
          <w:sz w:val="24"/>
          <w:szCs w:val="24"/>
        </w:rPr>
        <w:t xml:space="preserve">ivolumab + </w:t>
      </w:r>
      <w:proofErr w:type="spellStart"/>
      <w:r w:rsidRPr="003E7E2B">
        <w:rPr>
          <w:rFonts w:asciiTheme="minorHAnsi" w:hAnsiTheme="minorHAnsi" w:cstheme="minorHAnsi"/>
          <w:sz w:val="24"/>
          <w:szCs w:val="24"/>
        </w:rPr>
        <w:t>cabozantinib</w:t>
      </w:r>
      <w:proofErr w:type="spellEnd"/>
      <w:r w:rsidR="00F54F83" w:rsidRPr="003E7E2B">
        <w:rPr>
          <w:rFonts w:asciiTheme="minorHAnsi" w:hAnsiTheme="minorHAnsi" w:cstheme="minorHAnsi"/>
          <w:sz w:val="24"/>
          <w:szCs w:val="24"/>
        </w:rPr>
        <w:t>,</w:t>
      </w:r>
      <w:r w:rsidRPr="003E7E2B">
        <w:rPr>
          <w:rFonts w:asciiTheme="minorHAnsi" w:hAnsiTheme="minorHAnsi" w:cstheme="minorHAnsi"/>
          <w:sz w:val="24"/>
          <w:szCs w:val="24"/>
        </w:rPr>
        <w:t xml:space="preserve"> </w:t>
      </w:r>
      <w:proofErr w:type="spellStart"/>
      <w:r w:rsidRPr="003E7E2B">
        <w:rPr>
          <w:rFonts w:asciiTheme="minorHAnsi" w:hAnsiTheme="minorHAnsi" w:cstheme="minorHAnsi"/>
          <w:sz w:val="24"/>
          <w:szCs w:val="24"/>
        </w:rPr>
        <w:t>cabozantinib</w:t>
      </w:r>
      <w:proofErr w:type="spellEnd"/>
      <w:r w:rsidR="00F54F83" w:rsidRPr="003E7E2B">
        <w:rPr>
          <w:rFonts w:asciiTheme="minorHAnsi" w:hAnsiTheme="minorHAnsi" w:cstheme="minorHAnsi"/>
          <w:sz w:val="24"/>
          <w:szCs w:val="24"/>
        </w:rPr>
        <w:t>,</w:t>
      </w:r>
      <w:r w:rsidRPr="003E7E2B">
        <w:rPr>
          <w:rFonts w:asciiTheme="minorHAnsi" w:hAnsiTheme="minorHAnsi" w:cstheme="minorHAnsi"/>
          <w:sz w:val="24"/>
          <w:szCs w:val="24"/>
        </w:rPr>
        <w:t xml:space="preserve"> </w:t>
      </w:r>
      <w:r w:rsidR="00F54F83" w:rsidRPr="003E7E2B">
        <w:rPr>
          <w:rFonts w:asciiTheme="minorHAnsi" w:hAnsiTheme="minorHAnsi" w:cstheme="minorHAnsi"/>
          <w:sz w:val="24"/>
          <w:szCs w:val="24"/>
        </w:rPr>
        <w:t>and atezolizumab + bevacizumab.</w:t>
      </w:r>
    </w:p>
    <w:p w:rsidR="00E713B7" w:rsidRPr="003E7E2B" w:rsidRDefault="008116C0" w:rsidP="00951BE4">
      <w:pPr>
        <w:pStyle w:val="ListParagraph"/>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The PBAC previously considered NIVO+IPI for this indication in July 2018. The key outstanding matters of concern were</w:t>
      </w:r>
      <w:r w:rsidR="00E713B7" w:rsidRPr="003E7E2B">
        <w:rPr>
          <w:rFonts w:asciiTheme="minorHAnsi" w:hAnsiTheme="minorHAnsi" w:cstheme="minorHAnsi"/>
          <w:sz w:val="24"/>
          <w:szCs w:val="24"/>
        </w:rPr>
        <w:t xml:space="preserve"> that the incremental survival and quality of life benefits were overestimated in the economic model presented, and that the incremental cost-effectiveness ratio (ICER) was uncertain and unacceptably high. The </w:t>
      </w:r>
      <w:r w:rsidR="002C698A" w:rsidRPr="003E7E2B">
        <w:rPr>
          <w:rFonts w:asciiTheme="minorHAnsi" w:hAnsiTheme="minorHAnsi" w:cstheme="minorHAnsi"/>
          <w:sz w:val="24"/>
          <w:szCs w:val="24"/>
        </w:rPr>
        <w:t xml:space="preserve">July 2018 </w:t>
      </w:r>
      <w:r w:rsidR="00E713B7" w:rsidRPr="003E7E2B">
        <w:rPr>
          <w:rFonts w:asciiTheme="minorHAnsi" w:hAnsiTheme="minorHAnsi" w:cstheme="minorHAnsi"/>
          <w:sz w:val="24"/>
          <w:szCs w:val="24"/>
        </w:rPr>
        <w:t>PBAC considered that a price reduction would be required to bring the estimated</w:t>
      </w:r>
      <w:r w:rsidR="00B01983" w:rsidRPr="003E7E2B">
        <w:rPr>
          <w:rFonts w:asciiTheme="minorHAnsi" w:hAnsiTheme="minorHAnsi" w:cstheme="minorHAnsi"/>
          <w:sz w:val="24"/>
          <w:szCs w:val="24"/>
        </w:rPr>
        <w:t xml:space="preserve"> ICER into an acceptable range (Paragraph 7.1, PBAC </w:t>
      </w:r>
      <w:r w:rsidR="00DD2D76">
        <w:rPr>
          <w:rFonts w:asciiTheme="minorHAnsi" w:hAnsiTheme="minorHAnsi" w:cstheme="minorHAnsi"/>
          <w:sz w:val="24"/>
          <w:szCs w:val="24"/>
        </w:rPr>
        <w:t>PSD</w:t>
      </w:r>
      <w:r w:rsidR="00DD2D76" w:rsidRPr="003E7E2B">
        <w:rPr>
          <w:rFonts w:asciiTheme="minorHAnsi" w:hAnsiTheme="minorHAnsi" w:cstheme="minorHAnsi"/>
          <w:sz w:val="24"/>
          <w:szCs w:val="24"/>
        </w:rPr>
        <w:t xml:space="preserve"> </w:t>
      </w:r>
      <w:r w:rsidR="00B01983" w:rsidRPr="003E7E2B">
        <w:rPr>
          <w:rFonts w:asciiTheme="minorHAnsi" w:hAnsiTheme="minorHAnsi" w:cstheme="minorHAnsi"/>
          <w:sz w:val="24"/>
          <w:szCs w:val="24"/>
        </w:rPr>
        <w:t>July 2018).</w:t>
      </w:r>
    </w:p>
    <w:p w:rsidR="008A1956" w:rsidRPr="003E7E2B" w:rsidRDefault="006A12A5" w:rsidP="00951BE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3E7E2B">
        <w:rPr>
          <w:rFonts w:asciiTheme="minorHAnsi" w:eastAsiaTheme="minorHAnsi" w:hAnsiTheme="minorHAnsi" w:cstheme="minorHAnsi"/>
          <w:snapToGrid/>
          <w:sz w:val="24"/>
          <w:szCs w:val="24"/>
        </w:rPr>
        <w:t>R</w:t>
      </w:r>
      <w:r w:rsidR="00614159" w:rsidRPr="003E7E2B">
        <w:rPr>
          <w:rFonts w:asciiTheme="minorHAnsi" w:eastAsiaTheme="minorHAnsi" w:hAnsiTheme="minorHAnsi" w:cstheme="minorHAnsi"/>
          <w:snapToGrid/>
          <w:sz w:val="24"/>
          <w:szCs w:val="24"/>
        </w:rPr>
        <w:t>elevant detail</w:t>
      </w:r>
      <w:r w:rsidR="008116C0" w:rsidRPr="003E7E2B">
        <w:rPr>
          <w:rFonts w:asciiTheme="minorHAnsi" w:eastAsiaTheme="minorHAnsi" w:hAnsiTheme="minorHAnsi" w:cstheme="minorHAnsi"/>
          <w:snapToGrid/>
          <w:sz w:val="24"/>
          <w:szCs w:val="24"/>
        </w:rPr>
        <w:t>s compared with the previous consideration a</w:t>
      </w:r>
      <w:r w:rsidR="00845EDE">
        <w:rPr>
          <w:rFonts w:asciiTheme="minorHAnsi" w:eastAsiaTheme="minorHAnsi" w:hAnsiTheme="minorHAnsi" w:cstheme="minorHAnsi"/>
          <w:snapToGrid/>
          <w:sz w:val="24"/>
          <w:szCs w:val="24"/>
        </w:rPr>
        <w:t>re provided in the table below.</w:t>
      </w:r>
    </w:p>
    <w:p w:rsidR="008116C0" w:rsidRPr="003E7E2B" w:rsidRDefault="008116C0" w:rsidP="008116C0">
      <w:pPr>
        <w:keepNext/>
        <w:jc w:val="both"/>
        <w:rPr>
          <w:rFonts w:ascii="Arial Narrow" w:hAnsi="Arial Narrow" w:cs="Arial"/>
          <w:b/>
          <w:bCs/>
          <w:snapToGrid w:val="0"/>
          <w:color w:val="000000" w:themeColor="text1"/>
          <w:sz w:val="20"/>
          <w:szCs w:val="18"/>
          <w:lang w:eastAsia="en-US"/>
        </w:rPr>
      </w:pPr>
      <w:r w:rsidRPr="003E7E2B">
        <w:rPr>
          <w:rFonts w:ascii="Arial Narrow" w:hAnsi="Arial Narrow" w:cs="Arial"/>
          <w:b/>
          <w:bCs/>
          <w:snapToGrid w:val="0"/>
          <w:color w:val="000000" w:themeColor="text1"/>
          <w:sz w:val="20"/>
          <w:szCs w:val="18"/>
          <w:lang w:eastAsia="en-US"/>
        </w:rPr>
        <w:t xml:space="preserve">Table </w:t>
      </w:r>
      <w:r w:rsidRPr="00AF0145">
        <w:rPr>
          <w:rFonts w:ascii="Arial Narrow" w:hAnsi="Arial Narrow" w:cs="Arial"/>
          <w:b/>
          <w:bCs/>
          <w:snapToGrid w:val="0"/>
          <w:color w:val="000000" w:themeColor="text1"/>
          <w:sz w:val="20"/>
          <w:szCs w:val="18"/>
          <w:lang w:eastAsia="en-US"/>
        </w:rPr>
        <w:t>1</w:t>
      </w:r>
      <w:r w:rsidRPr="003E7E2B">
        <w:rPr>
          <w:rFonts w:ascii="Arial Narrow" w:hAnsi="Arial Narrow" w:cs="Arial"/>
          <w:b/>
          <w:bCs/>
          <w:snapToGrid w:val="0"/>
          <w:color w:val="000000" w:themeColor="text1"/>
          <w:sz w:val="20"/>
          <w:szCs w:val="18"/>
          <w:lang w:eastAsia="en-US"/>
        </w:rPr>
        <w:t>: Summary of previous submission and the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4"/>
        <w:gridCol w:w="5009"/>
        <w:gridCol w:w="3059"/>
      </w:tblGrid>
      <w:tr w:rsidR="008116C0" w:rsidRPr="003E7E2B" w:rsidTr="00225CBA">
        <w:trPr>
          <w:cantSplit/>
          <w:trHeight w:val="220"/>
          <w:tblHeader/>
        </w:trPr>
        <w:tc>
          <w:tcPr>
            <w:tcW w:w="558" w:type="pct"/>
          </w:tcPr>
          <w:p w:rsidR="008116C0" w:rsidRPr="003C2660" w:rsidRDefault="008116C0" w:rsidP="008116C0">
            <w:pPr>
              <w:keepNext/>
              <w:rPr>
                <w:rFonts w:ascii="Arial Narrow" w:hAnsi="Arial Narrow"/>
                <w:sz w:val="20"/>
                <w:szCs w:val="20"/>
              </w:rPr>
            </w:pPr>
          </w:p>
        </w:tc>
        <w:tc>
          <w:tcPr>
            <w:tcW w:w="2758" w:type="pct"/>
            <w:vAlign w:val="center"/>
          </w:tcPr>
          <w:p w:rsidR="008116C0" w:rsidRPr="003C2660" w:rsidRDefault="008116C0" w:rsidP="008116C0">
            <w:pPr>
              <w:keepNext/>
              <w:jc w:val="center"/>
              <w:rPr>
                <w:rFonts w:ascii="Arial Narrow" w:hAnsi="Arial Narrow"/>
                <w:b/>
                <w:sz w:val="20"/>
                <w:szCs w:val="20"/>
              </w:rPr>
            </w:pPr>
            <w:r w:rsidRPr="003C2660">
              <w:rPr>
                <w:rFonts w:ascii="Arial Narrow" w:hAnsi="Arial Narrow"/>
                <w:b/>
                <w:sz w:val="20"/>
                <w:szCs w:val="20"/>
              </w:rPr>
              <w:t>Previous submission (July 2018)</w:t>
            </w:r>
          </w:p>
        </w:tc>
        <w:tc>
          <w:tcPr>
            <w:tcW w:w="1684" w:type="pct"/>
          </w:tcPr>
          <w:p w:rsidR="008116C0" w:rsidRPr="003E7E2B" w:rsidRDefault="008116C0" w:rsidP="008116C0">
            <w:pPr>
              <w:keepNext/>
              <w:jc w:val="center"/>
              <w:rPr>
                <w:rFonts w:ascii="Arial Narrow" w:hAnsi="Arial Narrow"/>
                <w:b/>
                <w:sz w:val="20"/>
                <w:szCs w:val="20"/>
              </w:rPr>
            </w:pPr>
            <w:r w:rsidRPr="003E7E2B">
              <w:rPr>
                <w:rFonts w:ascii="Arial Narrow" w:hAnsi="Arial Narrow"/>
                <w:b/>
                <w:sz w:val="20"/>
                <w:szCs w:val="20"/>
              </w:rPr>
              <w:t>Current resubmission</w:t>
            </w:r>
          </w:p>
        </w:tc>
      </w:tr>
      <w:tr w:rsidR="008116C0" w:rsidRPr="003E7E2B" w:rsidTr="00225CBA">
        <w:trPr>
          <w:cantSplit/>
          <w:trHeight w:val="694"/>
        </w:trPr>
        <w:tc>
          <w:tcPr>
            <w:tcW w:w="558" w:type="pct"/>
            <w:shd w:val="clear" w:color="auto" w:fill="auto"/>
          </w:tcPr>
          <w:p w:rsidR="008116C0" w:rsidRPr="003E7E2B" w:rsidRDefault="008116C0" w:rsidP="008116C0">
            <w:pPr>
              <w:rPr>
                <w:rFonts w:ascii="Arial Narrow" w:hAnsi="Arial Narrow"/>
                <w:sz w:val="20"/>
                <w:szCs w:val="20"/>
              </w:rPr>
            </w:pPr>
            <w:r w:rsidRPr="003E7E2B">
              <w:rPr>
                <w:rFonts w:ascii="Arial Narrow" w:hAnsi="Arial Narrow"/>
                <w:sz w:val="20"/>
                <w:szCs w:val="20"/>
              </w:rPr>
              <w:t>Requested PBS listing</w:t>
            </w:r>
          </w:p>
        </w:tc>
        <w:tc>
          <w:tcPr>
            <w:tcW w:w="2758" w:type="pct"/>
            <w:shd w:val="clear" w:color="auto" w:fill="auto"/>
          </w:tcPr>
          <w:p w:rsidR="00D35E50" w:rsidRPr="003E7E2B" w:rsidRDefault="00D35E50" w:rsidP="005B098C">
            <w:pPr>
              <w:rPr>
                <w:rFonts w:ascii="Arial Narrow" w:hAnsi="Arial Narrow"/>
                <w:sz w:val="20"/>
                <w:szCs w:val="20"/>
              </w:rPr>
            </w:pPr>
            <w:r w:rsidRPr="003E7E2B">
              <w:rPr>
                <w:rFonts w:ascii="Arial Narrow" w:hAnsi="Arial Narrow"/>
                <w:sz w:val="20"/>
                <w:szCs w:val="20"/>
              </w:rPr>
              <w:t>P</w:t>
            </w:r>
            <w:r w:rsidR="00B64B6B" w:rsidRPr="003E7E2B">
              <w:rPr>
                <w:rFonts w:ascii="Arial Narrow" w:hAnsi="Arial Narrow"/>
                <w:sz w:val="20"/>
                <w:szCs w:val="20"/>
              </w:rPr>
              <w:t>ara 7.3 and 7.4</w:t>
            </w:r>
            <w:r w:rsidR="005B098C">
              <w:rPr>
                <w:rFonts w:ascii="Arial Narrow" w:hAnsi="Arial Narrow"/>
                <w:sz w:val="20"/>
                <w:szCs w:val="20"/>
              </w:rPr>
              <w:t xml:space="preserve"> July 2018 PSD</w:t>
            </w:r>
            <w:r w:rsidRPr="003E7E2B">
              <w:rPr>
                <w:rFonts w:ascii="Arial Narrow" w:hAnsi="Arial Narrow"/>
                <w:sz w:val="20"/>
                <w:szCs w:val="20"/>
              </w:rPr>
              <w:t>: Restriction should be based on IMDC criteria and WHO performance status</w:t>
            </w:r>
            <w:r w:rsidR="00B64B6B" w:rsidRPr="003E7E2B">
              <w:rPr>
                <w:rFonts w:ascii="Arial Narrow" w:hAnsi="Arial Narrow"/>
                <w:sz w:val="20"/>
                <w:szCs w:val="20"/>
              </w:rPr>
              <w:t xml:space="preserve"> (as requested in submission).</w:t>
            </w:r>
          </w:p>
        </w:tc>
        <w:tc>
          <w:tcPr>
            <w:tcW w:w="1684" w:type="pct"/>
          </w:tcPr>
          <w:p w:rsidR="008116C0" w:rsidRPr="003E7E2B" w:rsidRDefault="00B64B6B" w:rsidP="00B64B6B">
            <w:pPr>
              <w:rPr>
                <w:rFonts w:ascii="Arial Narrow" w:hAnsi="Arial Narrow"/>
                <w:sz w:val="20"/>
                <w:szCs w:val="20"/>
              </w:rPr>
            </w:pPr>
            <w:r w:rsidRPr="003E7E2B">
              <w:rPr>
                <w:rFonts w:ascii="Arial Narrow" w:hAnsi="Arial Narrow"/>
                <w:sz w:val="20"/>
                <w:szCs w:val="20"/>
              </w:rPr>
              <w:t>Restriction continues to be based on IMDC criteria and WHO performance status (per PBAC advice).</w:t>
            </w:r>
          </w:p>
        </w:tc>
      </w:tr>
      <w:tr w:rsidR="00D35E50" w:rsidRPr="003E7E2B" w:rsidTr="00225CBA">
        <w:trPr>
          <w:cantSplit/>
          <w:trHeight w:val="694"/>
        </w:trPr>
        <w:tc>
          <w:tcPr>
            <w:tcW w:w="558" w:type="pct"/>
            <w:shd w:val="clear" w:color="auto" w:fill="auto"/>
          </w:tcPr>
          <w:p w:rsidR="00D35E50" w:rsidRPr="003E7E2B" w:rsidRDefault="00D35E50" w:rsidP="00D35E50">
            <w:pPr>
              <w:rPr>
                <w:rFonts w:ascii="Arial Narrow" w:hAnsi="Arial Narrow"/>
                <w:sz w:val="20"/>
                <w:szCs w:val="20"/>
              </w:rPr>
            </w:pPr>
            <w:r w:rsidRPr="003E7E2B">
              <w:rPr>
                <w:rFonts w:ascii="Arial Narrow" w:hAnsi="Arial Narrow"/>
                <w:sz w:val="20"/>
                <w:szCs w:val="20"/>
              </w:rPr>
              <w:t xml:space="preserve">Flow-on changes </w:t>
            </w:r>
          </w:p>
        </w:tc>
        <w:tc>
          <w:tcPr>
            <w:tcW w:w="2758" w:type="pct"/>
            <w:shd w:val="clear" w:color="auto" w:fill="auto"/>
          </w:tcPr>
          <w:p w:rsidR="00D35E50" w:rsidRPr="003E7E2B" w:rsidRDefault="00D35E50" w:rsidP="00D35E50">
            <w:pPr>
              <w:rPr>
                <w:rFonts w:ascii="Arial Narrow" w:hAnsi="Arial Narrow"/>
                <w:sz w:val="20"/>
                <w:szCs w:val="20"/>
              </w:rPr>
            </w:pPr>
            <w:r w:rsidRPr="003E7E2B">
              <w:rPr>
                <w:rFonts w:ascii="Arial Narrow" w:hAnsi="Arial Narrow"/>
                <w:sz w:val="20"/>
                <w:szCs w:val="20"/>
              </w:rPr>
              <w:t xml:space="preserve">Requested a flow-on change to the existing restrictions for second- and later-line RCC therapies: removal of the requirement for patients to have received prior TKI therapy before commencing second-line nivolumab, everolimus, </w:t>
            </w:r>
            <w:proofErr w:type="spellStart"/>
            <w:r w:rsidRPr="003E7E2B">
              <w:rPr>
                <w:rFonts w:ascii="Arial Narrow" w:hAnsi="Arial Narrow"/>
                <w:sz w:val="20"/>
                <w:szCs w:val="20"/>
              </w:rPr>
              <w:t>axitinib</w:t>
            </w:r>
            <w:proofErr w:type="spellEnd"/>
            <w:r w:rsidRPr="003E7E2B">
              <w:rPr>
                <w:rFonts w:ascii="Arial Narrow" w:hAnsi="Arial Narrow"/>
                <w:sz w:val="20"/>
                <w:szCs w:val="20"/>
              </w:rPr>
              <w:t xml:space="preserve">, sorafenib or </w:t>
            </w:r>
            <w:proofErr w:type="spellStart"/>
            <w:r w:rsidRPr="003E7E2B">
              <w:rPr>
                <w:rFonts w:ascii="Arial Narrow" w:hAnsi="Arial Narrow"/>
                <w:sz w:val="20"/>
                <w:szCs w:val="20"/>
              </w:rPr>
              <w:t>cabozantinib</w:t>
            </w:r>
            <w:proofErr w:type="spellEnd"/>
            <w:r w:rsidRPr="003E7E2B">
              <w:rPr>
                <w:rFonts w:ascii="Arial Narrow" w:hAnsi="Arial Narrow"/>
                <w:sz w:val="20"/>
                <w:szCs w:val="20"/>
              </w:rPr>
              <w:t xml:space="preserve">. </w:t>
            </w:r>
          </w:p>
          <w:p w:rsidR="00D35E50" w:rsidRPr="003E7E2B" w:rsidRDefault="00D35E50" w:rsidP="005B098C">
            <w:pPr>
              <w:rPr>
                <w:rFonts w:ascii="Arial Narrow" w:hAnsi="Arial Narrow"/>
                <w:sz w:val="20"/>
                <w:szCs w:val="20"/>
              </w:rPr>
            </w:pPr>
            <w:r w:rsidRPr="003E7E2B">
              <w:rPr>
                <w:rFonts w:ascii="Arial Narrow" w:hAnsi="Arial Narrow"/>
                <w:sz w:val="20"/>
                <w:szCs w:val="20"/>
              </w:rPr>
              <w:t>Para 7.5</w:t>
            </w:r>
            <w:r w:rsidR="005B098C">
              <w:rPr>
                <w:rFonts w:ascii="Arial Narrow" w:hAnsi="Arial Narrow"/>
                <w:sz w:val="20"/>
                <w:szCs w:val="20"/>
              </w:rPr>
              <w:t xml:space="preserve"> July 2018 PSD</w:t>
            </w:r>
            <w:r w:rsidRPr="003E7E2B">
              <w:rPr>
                <w:rFonts w:ascii="Arial Narrow" w:hAnsi="Arial Narrow"/>
                <w:sz w:val="20"/>
                <w:szCs w:val="20"/>
              </w:rPr>
              <w:t>:</w:t>
            </w:r>
            <w:r w:rsidR="0066685F" w:rsidRPr="003E7E2B">
              <w:rPr>
                <w:rFonts w:ascii="Arial Narrow" w:hAnsi="Arial Narrow"/>
                <w:sz w:val="20"/>
                <w:szCs w:val="20"/>
              </w:rPr>
              <w:t xml:space="preserve"> </w:t>
            </w:r>
            <w:r w:rsidRPr="003E7E2B">
              <w:rPr>
                <w:rFonts w:ascii="Arial Narrow" w:hAnsi="Arial Narrow"/>
                <w:sz w:val="20"/>
                <w:szCs w:val="20"/>
              </w:rPr>
              <w:t>The PBAC considered that this was not appropriate given that no evidence had been provided to support this change</w:t>
            </w:r>
          </w:p>
        </w:tc>
        <w:tc>
          <w:tcPr>
            <w:tcW w:w="1684" w:type="pct"/>
          </w:tcPr>
          <w:p w:rsidR="00D35E50" w:rsidRPr="003E7E2B" w:rsidRDefault="00B64B6B" w:rsidP="00974C5E">
            <w:pPr>
              <w:rPr>
                <w:rFonts w:ascii="Arial Narrow" w:hAnsi="Arial Narrow"/>
                <w:sz w:val="20"/>
                <w:szCs w:val="20"/>
              </w:rPr>
            </w:pPr>
            <w:r w:rsidRPr="003E7E2B">
              <w:rPr>
                <w:rFonts w:ascii="Arial Narrow" w:hAnsi="Arial Narrow"/>
                <w:sz w:val="20"/>
                <w:szCs w:val="20"/>
              </w:rPr>
              <w:t xml:space="preserve">Requested a flow-on change to the restrictions for </w:t>
            </w:r>
            <w:r w:rsidR="00974C5E" w:rsidRPr="003E7E2B">
              <w:rPr>
                <w:rFonts w:ascii="Arial Narrow" w:hAnsi="Arial Narrow"/>
                <w:sz w:val="20"/>
                <w:szCs w:val="20"/>
              </w:rPr>
              <w:t>current 2nd</w:t>
            </w:r>
            <w:r w:rsidRPr="003E7E2B">
              <w:rPr>
                <w:rFonts w:ascii="Arial Narrow" w:hAnsi="Arial Narrow"/>
                <w:sz w:val="20"/>
                <w:szCs w:val="20"/>
              </w:rPr>
              <w:t xml:space="preserve">- and later-line RCC therapies: removal of the requirement for patients to have received prior </w:t>
            </w:r>
            <w:r w:rsidRPr="003E7E2B">
              <w:rPr>
                <w:rFonts w:ascii="Arial Narrow" w:hAnsi="Arial Narrow"/>
                <w:sz w:val="20"/>
                <w:szCs w:val="20"/>
                <w:u w:val="single"/>
              </w:rPr>
              <w:t>first-line</w:t>
            </w:r>
            <w:r w:rsidRPr="003E7E2B">
              <w:rPr>
                <w:rFonts w:ascii="Arial Narrow" w:hAnsi="Arial Narrow"/>
                <w:sz w:val="20"/>
                <w:szCs w:val="20"/>
              </w:rPr>
              <w:t xml:space="preserve"> TKI therapy (as </w:t>
            </w:r>
            <w:r w:rsidR="00974C5E" w:rsidRPr="003E7E2B">
              <w:rPr>
                <w:rFonts w:ascii="Arial Narrow" w:hAnsi="Arial Narrow"/>
                <w:sz w:val="20"/>
                <w:szCs w:val="20"/>
              </w:rPr>
              <w:t>TKIs may</w:t>
            </w:r>
            <w:r w:rsidRPr="003E7E2B">
              <w:rPr>
                <w:rFonts w:ascii="Arial Narrow" w:hAnsi="Arial Narrow"/>
                <w:sz w:val="20"/>
                <w:szCs w:val="20"/>
              </w:rPr>
              <w:t xml:space="preserve"> be used </w:t>
            </w:r>
            <w:r w:rsidR="00974C5E" w:rsidRPr="003E7E2B">
              <w:rPr>
                <w:rFonts w:ascii="Arial Narrow" w:hAnsi="Arial Narrow"/>
                <w:sz w:val="20"/>
                <w:szCs w:val="20"/>
              </w:rPr>
              <w:t>2nd</w:t>
            </w:r>
            <w:r w:rsidRPr="003E7E2B">
              <w:rPr>
                <w:rFonts w:ascii="Arial Narrow" w:hAnsi="Arial Narrow"/>
                <w:sz w:val="20"/>
                <w:szCs w:val="20"/>
              </w:rPr>
              <w:t xml:space="preserve">-line if NIVO+IPI is listed </w:t>
            </w:r>
            <w:r w:rsidR="00974C5E" w:rsidRPr="003E7E2B">
              <w:rPr>
                <w:rFonts w:ascii="Arial Narrow" w:hAnsi="Arial Narrow"/>
                <w:sz w:val="20"/>
                <w:szCs w:val="20"/>
              </w:rPr>
              <w:t>1st</w:t>
            </w:r>
            <w:r w:rsidRPr="003E7E2B">
              <w:rPr>
                <w:rFonts w:ascii="Arial Narrow" w:hAnsi="Arial Narrow"/>
                <w:sz w:val="20"/>
                <w:szCs w:val="20"/>
              </w:rPr>
              <w:t>-line).</w:t>
            </w:r>
          </w:p>
        </w:tc>
      </w:tr>
      <w:tr w:rsidR="008116C0" w:rsidRPr="003E7E2B" w:rsidTr="00225CBA">
        <w:trPr>
          <w:cantSplit/>
          <w:trHeight w:val="422"/>
        </w:trPr>
        <w:tc>
          <w:tcPr>
            <w:tcW w:w="558" w:type="pct"/>
          </w:tcPr>
          <w:p w:rsidR="008116C0" w:rsidRPr="003E7E2B" w:rsidRDefault="00B64B6B" w:rsidP="008116C0">
            <w:pPr>
              <w:rPr>
                <w:rFonts w:ascii="Arial Narrow" w:hAnsi="Arial Narrow"/>
                <w:sz w:val="20"/>
                <w:szCs w:val="20"/>
              </w:rPr>
            </w:pPr>
            <w:r w:rsidRPr="003E7E2B">
              <w:rPr>
                <w:rFonts w:ascii="Arial Narrow" w:hAnsi="Arial Narrow"/>
                <w:sz w:val="20"/>
                <w:szCs w:val="20"/>
              </w:rPr>
              <w:t>Requested effective DPMA</w:t>
            </w:r>
          </w:p>
        </w:tc>
        <w:tc>
          <w:tcPr>
            <w:tcW w:w="2758" w:type="pct"/>
          </w:tcPr>
          <w:p w:rsidR="00B64B6B" w:rsidRPr="003E7E2B" w:rsidRDefault="00B64B6B" w:rsidP="008116C0">
            <w:pPr>
              <w:rPr>
                <w:rFonts w:ascii="Arial Narrow" w:hAnsi="Arial Narrow"/>
                <w:sz w:val="20"/>
              </w:rPr>
            </w:pPr>
            <w:r w:rsidRPr="003E7E2B">
              <w:rPr>
                <w:rFonts w:ascii="Arial Narrow" w:hAnsi="Arial Narrow"/>
                <w:sz w:val="20"/>
              </w:rPr>
              <w:t>DPMA per</w:t>
            </w:r>
            <w:r w:rsidR="00737769" w:rsidRPr="003E7E2B">
              <w:rPr>
                <w:rFonts w:ascii="Arial Narrow" w:hAnsi="Arial Narrow"/>
                <w:sz w:val="20"/>
              </w:rPr>
              <w:t xml:space="preserve"> average</w:t>
            </w:r>
            <w:r w:rsidRPr="003E7E2B">
              <w:rPr>
                <w:rFonts w:ascii="Arial Narrow" w:hAnsi="Arial Narrow"/>
                <w:sz w:val="20"/>
              </w:rPr>
              <w:t xml:space="preserve"> infusion</w:t>
            </w:r>
          </w:p>
          <w:p w:rsidR="008116C0" w:rsidRPr="003E7E2B" w:rsidRDefault="00B64B6B" w:rsidP="008116C0">
            <w:pPr>
              <w:rPr>
                <w:rFonts w:ascii="Arial Narrow" w:hAnsi="Arial Narrow"/>
                <w:sz w:val="20"/>
              </w:rPr>
            </w:pPr>
            <w:r w:rsidRPr="003E7E2B">
              <w:rPr>
                <w:rFonts w:ascii="Arial Narrow" w:hAnsi="Arial Narrow"/>
                <w:sz w:val="20"/>
              </w:rPr>
              <w:t>NIVO: $</w:t>
            </w:r>
            <w:r w:rsidR="00B76982">
              <w:rPr>
                <w:rFonts w:ascii="Arial Narrow" w:hAnsi="Arial Narrow"/>
                <w:noProof/>
                <w:color w:val="000000"/>
                <w:sz w:val="20"/>
                <w:highlight w:val="black"/>
              </w:rPr>
              <w:t>'''''''''''''''''''</w:t>
            </w:r>
          </w:p>
          <w:p w:rsidR="00B64B6B" w:rsidRPr="003E7E2B" w:rsidRDefault="00B64B6B" w:rsidP="008116C0">
            <w:pPr>
              <w:rPr>
                <w:rFonts w:ascii="Arial Narrow" w:hAnsi="Arial Narrow"/>
                <w:sz w:val="20"/>
              </w:rPr>
            </w:pPr>
            <w:r w:rsidRPr="003E7E2B">
              <w:rPr>
                <w:rFonts w:ascii="Arial Narrow" w:hAnsi="Arial Narrow"/>
                <w:sz w:val="20"/>
              </w:rPr>
              <w:t>IPI: $</w:t>
            </w:r>
            <w:r w:rsidR="00B76982">
              <w:rPr>
                <w:rFonts w:ascii="Arial Narrow" w:hAnsi="Arial Narrow"/>
                <w:noProof/>
                <w:color w:val="000000"/>
                <w:sz w:val="20"/>
                <w:highlight w:val="black"/>
              </w:rPr>
              <w:t>'''''''''''''''''''''''</w:t>
            </w:r>
          </w:p>
        </w:tc>
        <w:tc>
          <w:tcPr>
            <w:tcW w:w="1684" w:type="pct"/>
          </w:tcPr>
          <w:p w:rsidR="00B64B6B" w:rsidRPr="003E7E2B" w:rsidRDefault="00B64B6B" w:rsidP="00B64B6B">
            <w:pPr>
              <w:rPr>
                <w:rFonts w:ascii="Arial Narrow" w:hAnsi="Arial Narrow"/>
                <w:sz w:val="20"/>
              </w:rPr>
            </w:pPr>
            <w:r w:rsidRPr="003E7E2B">
              <w:rPr>
                <w:rFonts w:ascii="Arial Narrow" w:hAnsi="Arial Narrow"/>
                <w:sz w:val="20"/>
              </w:rPr>
              <w:t xml:space="preserve">DPMA per </w:t>
            </w:r>
            <w:r w:rsidR="00737769" w:rsidRPr="003E7E2B">
              <w:rPr>
                <w:rFonts w:ascii="Arial Narrow" w:hAnsi="Arial Narrow"/>
                <w:sz w:val="20"/>
              </w:rPr>
              <w:t xml:space="preserve">average </w:t>
            </w:r>
            <w:r w:rsidRPr="003E7E2B">
              <w:rPr>
                <w:rFonts w:ascii="Arial Narrow" w:hAnsi="Arial Narrow"/>
                <w:sz w:val="20"/>
              </w:rPr>
              <w:t>infusion</w:t>
            </w:r>
          </w:p>
          <w:p w:rsidR="00B64B6B" w:rsidRPr="003E7E2B" w:rsidRDefault="00B64B6B" w:rsidP="00B64B6B">
            <w:pPr>
              <w:rPr>
                <w:rFonts w:ascii="Arial Narrow" w:hAnsi="Arial Narrow"/>
                <w:sz w:val="20"/>
              </w:rPr>
            </w:pPr>
            <w:r w:rsidRPr="003E7E2B">
              <w:rPr>
                <w:rFonts w:ascii="Arial Narrow" w:hAnsi="Arial Narrow"/>
                <w:sz w:val="20"/>
              </w:rPr>
              <w:t>NIVO: $</w:t>
            </w:r>
            <w:r w:rsidR="00B76982">
              <w:rPr>
                <w:rFonts w:ascii="Arial Narrow" w:hAnsi="Arial Narrow"/>
                <w:noProof/>
                <w:color w:val="000000"/>
                <w:sz w:val="20"/>
                <w:highlight w:val="black"/>
              </w:rPr>
              <w:t>''''''''''''''''''''''</w:t>
            </w:r>
            <w:r w:rsidRPr="003E7E2B">
              <w:rPr>
                <w:rFonts w:ascii="Arial Narrow" w:hAnsi="Arial Narrow"/>
                <w:sz w:val="20"/>
              </w:rPr>
              <w:t xml:space="preserve"> (</w:t>
            </w:r>
            <w:r w:rsidR="00B76982">
              <w:rPr>
                <w:rFonts w:ascii="Arial Narrow" w:hAnsi="Arial Narrow"/>
                <w:noProof/>
                <w:color w:val="000000"/>
                <w:sz w:val="20"/>
                <w:highlight w:val="black"/>
              </w:rPr>
              <w:t>'''''</w:t>
            </w:r>
            <w:r w:rsidRPr="003E7E2B">
              <w:rPr>
                <w:rFonts w:ascii="Arial Narrow" w:hAnsi="Arial Narrow"/>
                <w:sz w:val="20"/>
              </w:rPr>
              <w:t>% reduction)</w:t>
            </w:r>
          </w:p>
          <w:p w:rsidR="008116C0" w:rsidRPr="003E7E2B" w:rsidRDefault="00B64B6B" w:rsidP="00B64B6B">
            <w:pPr>
              <w:rPr>
                <w:rFonts w:ascii="Arial Narrow" w:hAnsi="Arial Narrow"/>
                <w:sz w:val="20"/>
              </w:rPr>
            </w:pPr>
            <w:r w:rsidRPr="003E7E2B">
              <w:rPr>
                <w:rFonts w:ascii="Arial Narrow" w:hAnsi="Arial Narrow"/>
                <w:sz w:val="20"/>
              </w:rPr>
              <w:t>IPI: $</w:t>
            </w:r>
            <w:r w:rsidR="00B76982">
              <w:rPr>
                <w:rFonts w:ascii="Arial Narrow" w:hAnsi="Arial Narrow"/>
                <w:noProof/>
                <w:color w:val="000000"/>
                <w:sz w:val="20"/>
                <w:highlight w:val="black"/>
              </w:rPr>
              <w:t>''''''''''''''''''''''</w:t>
            </w:r>
            <w:r w:rsidRPr="003E7E2B">
              <w:rPr>
                <w:rFonts w:ascii="Arial Narrow" w:hAnsi="Arial Narrow"/>
                <w:sz w:val="20"/>
              </w:rPr>
              <w:t xml:space="preserve"> (</w:t>
            </w:r>
            <w:r w:rsidR="00B76982">
              <w:rPr>
                <w:rFonts w:ascii="Arial Narrow" w:hAnsi="Arial Narrow"/>
                <w:noProof/>
                <w:color w:val="000000"/>
                <w:sz w:val="20"/>
                <w:highlight w:val="black"/>
              </w:rPr>
              <w:t>'''''</w:t>
            </w:r>
            <w:r w:rsidRPr="003E7E2B">
              <w:rPr>
                <w:rFonts w:ascii="Arial Narrow" w:hAnsi="Arial Narrow"/>
                <w:sz w:val="20"/>
              </w:rPr>
              <w:t>% reduction)</w:t>
            </w:r>
          </w:p>
        </w:tc>
      </w:tr>
      <w:tr w:rsidR="008116C0" w:rsidRPr="003E7E2B" w:rsidTr="00F54F83">
        <w:trPr>
          <w:cantSplit/>
          <w:trHeight w:val="70"/>
        </w:trPr>
        <w:tc>
          <w:tcPr>
            <w:tcW w:w="558" w:type="pct"/>
          </w:tcPr>
          <w:p w:rsidR="008116C0" w:rsidRPr="003E7E2B" w:rsidRDefault="008116C0" w:rsidP="008116C0">
            <w:pPr>
              <w:rPr>
                <w:rFonts w:ascii="Arial Narrow" w:hAnsi="Arial Narrow"/>
                <w:sz w:val="20"/>
                <w:szCs w:val="20"/>
              </w:rPr>
            </w:pPr>
            <w:r w:rsidRPr="003E7E2B">
              <w:rPr>
                <w:rFonts w:ascii="Arial Narrow" w:hAnsi="Arial Narrow"/>
                <w:sz w:val="20"/>
                <w:szCs w:val="20"/>
              </w:rPr>
              <w:lastRenderedPageBreak/>
              <w:t>Comparator</w:t>
            </w:r>
          </w:p>
        </w:tc>
        <w:tc>
          <w:tcPr>
            <w:tcW w:w="2758" w:type="pct"/>
          </w:tcPr>
          <w:p w:rsidR="008116C0" w:rsidRPr="003E7E2B" w:rsidRDefault="0066685F" w:rsidP="008116C0">
            <w:pPr>
              <w:rPr>
                <w:rFonts w:ascii="Arial Narrow" w:hAnsi="Arial Narrow"/>
                <w:sz w:val="20"/>
              </w:rPr>
            </w:pPr>
            <w:r w:rsidRPr="003E7E2B">
              <w:rPr>
                <w:rFonts w:ascii="Arial Narrow" w:hAnsi="Arial Narrow"/>
                <w:sz w:val="20"/>
              </w:rPr>
              <w:t>Sunitinib</w:t>
            </w:r>
          </w:p>
          <w:p w:rsidR="0066685F" w:rsidRPr="003E7E2B" w:rsidRDefault="0066685F" w:rsidP="005B098C">
            <w:pPr>
              <w:spacing w:after="160"/>
            </w:pPr>
            <w:r w:rsidRPr="003E7E2B">
              <w:rPr>
                <w:rFonts w:ascii="Arial Narrow" w:hAnsi="Arial Narrow"/>
                <w:sz w:val="20"/>
              </w:rPr>
              <w:t>Para 7.6</w:t>
            </w:r>
            <w:r w:rsidR="005B098C">
              <w:rPr>
                <w:rFonts w:ascii="Arial Narrow" w:hAnsi="Arial Narrow"/>
                <w:sz w:val="20"/>
              </w:rPr>
              <w:t xml:space="preserve"> July 2018 PSD</w:t>
            </w:r>
            <w:r w:rsidRPr="003E7E2B">
              <w:rPr>
                <w:rFonts w:ascii="Arial Narrow" w:hAnsi="Arial Narrow"/>
                <w:sz w:val="20"/>
              </w:rPr>
              <w:t>: Accepted sunitinib</w:t>
            </w:r>
            <w:r w:rsidR="00B64B6B" w:rsidRPr="003E7E2B">
              <w:rPr>
                <w:rFonts w:ascii="Arial Narrow" w:hAnsi="Arial Narrow"/>
                <w:sz w:val="20"/>
              </w:rPr>
              <w:t xml:space="preserve"> as appropriate main comparator</w:t>
            </w:r>
            <w:r w:rsidRPr="003E7E2B">
              <w:rPr>
                <w:rFonts w:ascii="Arial Narrow" w:hAnsi="Arial Narrow"/>
                <w:sz w:val="20"/>
              </w:rPr>
              <w:t xml:space="preserve"> </w:t>
            </w:r>
          </w:p>
        </w:tc>
        <w:tc>
          <w:tcPr>
            <w:tcW w:w="1684" w:type="pct"/>
          </w:tcPr>
          <w:p w:rsidR="008116C0" w:rsidRPr="003E7E2B" w:rsidRDefault="008116C0" w:rsidP="008116C0">
            <w:r w:rsidRPr="003E7E2B">
              <w:rPr>
                <w:rFonts w:ascii="Arial Narrow" w:hAnsi="Arial Narrow"/>
                <w:sz w:val="20"/>
              </w:rPr>
              <w:t>Unchanged</w:t>
            </w:r>
          </w:p>
        </w:tc>
      </w:tr>
      <w:tr w:rsidR="008116C0" w:rsidRPr="003E7E2B" w:rsidTr="00225CBA">
        <w:trPr>
          <w:cantSplit/>
          <w:trHeight w:val="860"/>
        </w:trPr>
        <w:tc>
          <w:tcPr>
            <w:tcW w:w="558" w:type="pct"/>
          </w:tcPr>
          <w:p w:rsidR="008116C0" w:rsidRPr="003E7E2B" w:rsidRDefault="008116C0" w:rsidP="008116C0">
            <w:pPr>
              <w:rPr>
                <w:rFonts w:ascii="Arial Narrow" w:hAnsi="Arial Narrow"/>
                <w:sz w:val="20"/>
                <w:szCs w:val="20"/>
                <w:highlight w:val="yellow"/>
              </w:rPr>
            </w:pPr>
            <w:r w:rsidRPr="003E7E2B">
              <w:rPr>
                <w:rFonts w:ascii="Arial Narrow" w:hAnsi="Arial Narrow"/>
                <w:sz w:val="20"/>
                <w:szCs w:val="20"/>
              </w:rPr>
              <w:t>Key effectiveness data</w:t>
            </w:r>
          </w:p>
        </w:tc>
        <w:tc>
          <w:tcPr>
            <w:tcW w:w="2758" w:type="pct"/>
          </w:tcPr>
          <w:p w:rsidR="00B64B6B" w:rsidRPr="003E7E2B" w:rsidRDefault="00B64B6B" w:rsidP="008116C0">
            <w:pPr>
              <w:rPr>
                <w:rFonts w:ascii="Arial Narrow" w:hAnsi="Arial Narrow"/>
                <w:sz w:val="20"/>
                <w:szCs w:val="20"/>
              </w:rPr>
            </w:pPr>
            <w:r w:rsidRPr="003E7E2B">
              <w:rPr>
                <w:rFonts w:ascii="Arial Narrow" w:hAnsi="Arial Narrow"/>
                <w:sz w:val="20"/>
                <w:szCs w:val="20"/>
              </w:rPr>
              <w:t>CA209</w:t>
            </w:r>
            <w:r w:rsidR="00985E8A" w:rsidRPr="003E7E2B">
              <w:rPr>
                <w:rFonts w:ascii="Arial Narrow" w:hAnsi="Arial Narrow"/>
                <w:sz w:val="20"/>
                <w:szCs w:val="20"/>
              </w:rPr>
              <w:t>-</w:t>
            </w:r>
            <w:r w:rsidRPr="003E7E2B">
              <w:rPr>
                <w:rFonts w:ascii="Arial Narrow" w:hAnsi="Arial Narrow"/>
                <w:sz w:val="20"/>
                <w:szCs w:val="20"/>
              </w:rPr>
              <w:t>214 trial (NIVO+IPI vs sunitinib)</w:t>
            </w:r>
          </w:p>
          <w:p w:rsidR="008116C0" w:rsidRPr="003E7E2B" w:rsidRDefault="00B64B6B" w:rsidP="008116C0">
            <w:pPr>
              <w:rPr>
                <w:rFonts w:ascii="Arial Narrow" w:hAnsi="Arial Narrow"/>
                <w:sz w:val="20"/>
                <w:szCs w:val="20"/>
              </w:rPr>
            </w:pPr>
            <w:r w:rsidRPr="003E7E2B">
              <w:rPr>
                <w:rFonts w:ascii="Arial Narrow" w:hAnsi="Arial Narrow"/>
                <w:sz w:val="20"/>
                <w:szCs w:val="20"/>
              </w:rPr>
              <w:t>HR for OS: 0.63 (</w:t>
            </w:r>
            <w:r w:rsidR="002727EC" w:rsidRPr="003E7E2B">
              <w:rPr>
                <w:rFonts w:ascii="Arial Narrow" w:hAnsi="Arial Narrow"/>
                <w:sz w:val="20"/>
                <w:szCs w:val="20"/>
              </w:rPr>
              <w:t xml:space="preserve">95% CI: </w:t>
            </w:r>
            <w:r w:rsidRPr="003E7E2B">
              <w:rPr>
                <w:rFonts w:ascii="Arial Narrow" w:hAnsi="Arial Narrow"/>
                <w:sz w:val="20"/>
                <w:szCs w:val="20"/>
              </w:rPr>
              <w:t>0.44, 0.89)</w:t>
            </w:r>
          </w:p>
          <w:p w:rsidR="00B64B6B" w:rsidRPr="003E7E2B" w:rsidRDefault="00B64B6B" w:rsidP="008116C0">
            <w:pPr>
              <w:rPr>
                <w:rFonts w:ascii="Arial Narrow" w:hAnsi="Arial Narrow"/>
                <w:sz w:val="20"/>
                <w:szCs w:val="20"/>
              </w:rPr>
            </w:pPr>
            <w:r w:rsidRPr="003E7E2B">
              <w:rPr>
                <w:rFonts w:ascii="Arial Narrow" w:hAnsi="Arial Narrow"/>
                <w:sz w:val="20"/>
                <w:szCs w:val="20"/>
              </w:rPr>
              <w:t>Median OS: Not reached for NIVO+IPI, 26 months for sunitinib</w:t>
            </w:r>
          </w:p>
          <w:p w:rsidR="00B64B6B" w:rsidRPr="003E7E2B" w:rsidRDefault="002727EC" w:rsidP="008116C0">
            <w:pPr>
              <w:rPr>
                <w:rFonts w:ascii="Arial Narrow" w:hAnsi="Arial Narrow"/>
                <w:sz w:val="20"/>
                <w:szCs w:val="20"/>
              </w:rPr>
            </w:pPr>
            <w:r w:rsidRPr="003E7E2B">
              <w:rPr>
                <w:rFonts w:ascii="Arial Narrow" w:hAnsi="Arial Narrow"/>
                <w:sz w:val="20"/>
                <w:szCs w:val="20"/>
              </w:rPr>
              <w:t>18 month survival: 75% (95% CI: 70, 78) for NIVO+IPI; 60% (</w:t>
            </w:r>
            <w:r w:rsidR="00974C5E" w:rsidRPr="003E7E2B">
              <w:rPr>
                <w:rFonts w:ascii="Arial Narrow" w:hAnsi="Arial Narrow"/>
                <w:sz w:val="20"/>
                <w:szCs w:val="20"/>
              </w:rPr>
              <w:t xml:space="preserve">95% CI: </w:t>
            </w:r>
            <w:r w:rsidRPr="003E7E2B">
              <w:rPr>
                <w:rFonts w:ascii="Arial Narrow" w:hAnsi="Arial Narrow"/>
                <w:sz w:val="20"/>
                <w:szCs w:val="20"/>
              </w:rPr>
              <w:t>55, 65%) for sunitinib</w:t>
            </w:r>
          </w:p>
          <w:p w:rsidR="002727EC" w:rsidRPr="003E7E2B" w:rsidRDefault="002727EC" w:rsidP="005B098C">
            <w:pPr>
              <w:rPr>
                <w:rFonts w:ascii="Arial Narrow" w:hAnsi="Arial Narrow"/>
                <w:sz w:val="20"/>
                <w:szCs w:val="20"/>
              </w:rPr>
            </w:pPr>
            <w:r w:rsidRPr="003E7E2B">
              <w:rPr>
                <w:rFonts w:ascii="Arial Narrow" w:hAnsi="Arial Narrow"/>
                <w:sz w:val="20"/>
                <w:szCs w:val="20"/>
              </w:rPr>
              <w:t>Para 7.7 and 7.8</w:t>
            </w:r>
            <w:r w:rsidR="005B098C">
              <w:rPr>
                <w:rFonts w:ascii="Arial Narrow" w:hAnsi="Arial Narrow"/>
                <w:sz w:val="20"/>
                <w:szCs w:val="20"/>
              </w:rPr>
              <w:t xml:space="preserve"> July 2018 PSD</w:t>
            </w:r>
            <w:r w:rsidRPr="003E7E2B">
              <w:rPr>
                <w:rFonts w:ascii="Arial Narrow" w:hAnsi="Arial Narrow"/>
                <w:sz w:val="20"/>
                <w:szCs w:val="20"/>
              </w:rPr>
              <w:t>: Data are indicative of an important improvement in OS. However, the absolute magnitude of the treatment effect could not be reliably estimated because the OS were immature. Trial may have overestimated effectiveness, and underestimated toxicity as the trial population may have been healthier than the likely PBS population.</w:t>
            </w:r>
          </w:p>
        </w:tc>
        <w:tc>
          <w:tcPr>
            <w:tcW w:w="1684" w:type="pct"/>
          </w:tcPr>
          <w:p w:rsidR="008116C0" w:rsidRPr="003E7E2B" w:rsidRDefault="00B64B6B" w:rsidP="008116C0">
            <w:r w:rsidRPr="003E7E2B">
              <w:rPr>
                <w:rFonts w:ascii="Arial Narrow" w:hAnsi="Arial Narrow"/>
                <w:sz w:val="20"/>
              </w:rPr>
              <w:t>Unchanged</w:t>
            </w:r>
          </w:p>
        </w:tc>
      </w:tr>
      <w:tr w:rsidR="008116C0" w:rsidRPr="003E7E2B" w:rsidTr="00225CBA">
        <w:trPr>
          <w:cantSplit/>
          <w:trHeight w:val="860"/>
        </w:trPr>
        <w:tc>
          <w:tcPr>
            <w:tcW w:w="558" w:type="pct"/>
          </w:tcPr>
          <w:p w:rsidR="008116C0" w:rsidRPr="003E7E2B" w:rsidRDefault="008116C0" w:rsidP="008116C0">
            <w:pPr>
              <w:rPr>
                <w:rFonts w:ascii="Arial Narrow" w:hAnsi="Arial Narrow"/>
                <w:sz w:val="20"/>
                <w:szCs w:val="20"/>
              </w:rPr>
            </w:pPr>
            <w:r w:rsidRPr="003E7E2B">
              <w:rPr>
                <w:rFonts w:ascii="Arial Narrow" w:hAnsi="Arial Narrow"/>
                <w:sz w:val="20"/>
                <w:szCs w:val="20"/>
              </w:rPr>
              <w:t>Clinical claim</w:t>
            </w:r>
          </w:p>
        </w:tc>
        <w:tc>
          <w:tcPr>
            <w:tcW w:w="2758" w:type="pct"/>
          </w:tcPr>
          <w:p w:rsidR="008116C0" w:rsidRPr="003E7E2B" w:rsidRDefault="002727EC" w:rsidP="002727EC">
            <w:pPr>
              <w:rPr>
                <w:rFonts w:ascii="Arial Narrow" w:hAnsi="Arial Narrow"/>
                <w:sz w:val="20"/>
                <w:szCs w:val="20"/>
              </w:rPr>
            </w:pPr>
            <w:r w:rsidRPr="003E7E2B">
              <w:rPr>
                <w:rFonts w:ascii="Arial Narrow" w:hAnsi="Arial Narrow"/>
                <w:sz w:val="20"/>
                <w:szCs w:val="20"/>
              </w:rPr>
              <w:t>NIVO+IPI is superior to sunitinib in terms of OS with a clinically acceptable safety profile</w:t>
            </w:r>
          </w:p>
          <w:p w:rsidR="002727EC" w:rsidRPr="003E7E2B" w:rsidRDefault="002727EC" w:rsidP="002727EC">
            <w:pPr>
              <w:rPr>
                <w:rFonts w:ascii="Arial Narrow" w:hAnsi="Arial Narrow"/>
                <w:sz w:val="20"/>
                <w:szCs w:val="20"/>
              </w:rPr>
            </w:pPr>
            <w:r w:rsidRPr="003E7E2B">
              <w:rPr>
                <w:rFonts w:ascii="Arial Narrow" w:hAnsi="Arial Narrow"/>
                <w:sz w:val="20"/>
                <w:szCs w:val="20"/>
              </w:rPr>
              <w:t>Para 6.37</w:t>
            </w:r>
            <w:r w:rsidR="005B098C">
              <w:rPr>
                <w:rFonts w:ascii="Arial Narrow" w:hAnsi="Arial Narrow"/>
                <w:sz w:val="20"/>
                <w:szCs w:val="20"/>
              </w:rPr>
              <w:t xml:space="preserve"> July 2018 PSD</w:t>
            </w:r>
            <w:r w:rsidRPr="003E7E2B">
              <w:rPr>
                <w:rFonts w:ascii="Arial Narrow" w:hAnsi="Arial Narrow"/>
                <w:sz w:val="20"/>
                <w:szCs w:val="20"/>
              </w:rPr>
              <w:t>: claim of clinical superiority of NIVO+IPI versus sunitinib was adequately supported.</w:t>
            </w:r>
          </w:p>
          <w:p w:rsidR="002727EC" w:rsidRPr="003E7E2B" w:rsidRDefault="002727EC" w:rsidP="00974C5E">
            <w:pPr>
              <w:rPr>
                <w:rFonts w:ascii="Arial Narrow" w:hAnsi="Arial Narrow"/>
                <w:sz w:val="20"/>
                <w:szCs w:val="20"/>
              </w:rPr>
            </w:pPr>
            <w:r w:rsidRPr="003E7E2B">
              <w:rPr>
                <w:rFonts w:ascii="Arial Narrow" w:hAnsi="Arial Narrow"/>
                <w:sz w:val="20"/>
                <w:szCs w:val="20"/>
              </w:rPr>
              <w:t>Para</w:t>
            </w:r>
            <w:r w:rsidR="00A53899" w:rsidRPr="003E7E2B">
              <w:rPr>
                <w:rFonts w:ascii="Arial Narrow" w:hAnsi="Arial Narrow"/>
                <w:sz w:val="20"/>
                <w:szCs w:val="20"/>
              </w:rPr>
              <w:t>s</w:t>
            </w:r>
            <w:r w:rsidRPr="003E7E2B">
              <w:rPr>
                <w:rFonts w:ascii="Arial Narrow" w:hAnsi="Arial Narrow"/>
                <w:sz w:val="20"/>
                <w:szCs w:val="20"/>
              </w:rPr>
              <w:t xml:space="preserve"> 7.39, 7.10</w:t>
            </w:r>
            <w:r w:rsidR="005B098C">
              <w:rPr>
                <w:rFonts w:ascii="Arial Narrow" w:hAnsi="Arial Narrow"/>
                <w:sz w:val="20"/>
                <w:szCs w:val="20"/>
              </w:rPr>
              <w:t xml:space="preserve"> July 2018 PSD</w:t>
            </w:r>
            <w:r w:rsidRPr="003E7E2B">
              <w:rPr>
                <w:rFonts w:ascii="Arial Narrow" w:hAnsi="Arial Narrow"/>
                <w:sz w:val="20"/>
                <w:szCs w:val="20"/>
              </w:rPr>
              <w:t xml:space="preserve">: Inferior comparative safety versus sunitinib. Adverse events may be challenging to manage outside major tertiary centres, where there a need for improved access to immune-modulating rescue therapies. </w:t>
            </w:r>
          </w:p>
        </w:tc>
        <w:tc>
          <w:tcPr>
            <w:tcW w:w="1684" w:type="pct"/>
          </w:tcPr>
          <w:p w:rsidR="008116C0" w:rsidRPr="003E7E2B" w:rsidRDefault="00B64B6B" w:rsidP="008116C0">
            <w:r w:rsidRPr="003E7E2B">
              <w:rPr>
                <w:rFonts w:ascii="Arial Narrow" w:hAnsi="Arial Narrow"/>
                <w:sz w:val="20"/>
              </w:rPr>
              <w:t>Unchanged</w:t>
            </w:r>
          </w:p>
        </w:tc>
      </w:tr>
      <w:tr w:rsidR="008116C0" w:rsidRPr="003E7E2B" w:rsidTr="00225CBA">
        <w:trPr>
          <w:cantSplit/>
          <w:trHeight w:val="860"/>
        </w:trPr>
        <w:tc>
          <w:tcPr>
            <w:tcW w:w="558" w:type="pct"/>
          </w:tcPr>
          <w:p w:rsidR="008116C0" w:rsidRPr="003E7E2B" w:rsidRDefault="008116C0" w:rsidP="008116C0">
            <w:pPr>
              <w:rPr>
                <w:rFonts w:ascii="Arial Narrow" w:hAnsi="Arial Narrow"/>
                <w:sz w:val="20"/>
                <w:szCs w:val="20"/>
                <w:highlight w:val="yellow"/>
              </w:rPr>
            </w:pPr>
            <w:r w:rsidRPr="003E7E2B">
              <w:rPr>
                <w:rFonts w:ascii="Arial Narrow" w:hAnsi="Arial Narrow"/>
                <w:sz w:val="20"/>
                <w:szCs w:val="20"/>
              </w:rPr>
              <w:t>Economic evaluation</w:t>
            </w:r>
          </w:p>
        </w:tc>
        <w:tc>
          <w:tcPr>
            <w:tcW w:w="2758" w:type="pct"/>
          </w:tcPr>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Extrapolation: assumed proportional hazards from mean follow-up to 5 years</w:t>
            </w:r>
            <w:r w:rsidR="00974C5E" w:rsidRPr="003E7E2B">
              <w:rPr>
                <w:rFonts w:ascii="Arial Narrow" w:hAnsi="Arial Narrow"/>
                <w:sz w:val="20"/>
              </w:rPr>
              <w:t>;</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 xml:space="preserve">Utilities: based on key trial. PFS: </w:t>
            </w:r>
            <w:r w:rsidR="00B76982">
              <w:rPr>
                <w:rFonts w:ascii="Arial Narrow" w:hAnsi="Arial Narrow"/>
                <w:noProof/>
                <w:color w:val="000000"/>
                <w:sz w:val="20"/>
                <w:highlight w:val="black"/>
              </w:rPr>
              <w:t>'''''''''''</w:t>
            </w:r>
            <w:r w:rsidRPr="007B02C5">
              <w:rPr>
                <w:rFonts w:ascii="Arial Narrow" w:hAnsi="Arial Narrow"/>
                <w:sz w:val="20"/>
              </w:rPr>
              <w:t xml:space="preserve"> </w:t>
            </w:r>
            <w:r w:rsidRPr="003E7E2B">
              <w:rPr>
                <w:rFonts w:ascii="Arial Narrow" w:hAnsi="Arial Narrow"/>
                <w:sz w:val="20"/>
              </w:rPr>
              <w:t xml:space="preserve">for NIVO+IPI, </w:t>
            </w:r>
            <w:r w:rsidR="00B76982">
              <w:rPr>
                <w:rFonts w:ascii="Arial Narrow" w:hAnsi="Arial Narrow"/>
                <w:noProof/>
                <w:color w:val="000000"/>
                <w:sz w:val="20"/>
                <w:highlight w:val="black"/>
              </w:rPr>
              <w:t>''''''''''''</w:t>
            </w:r>
            <w:r w:rsidRPr="007B02C5">
              <w:rPr>
                <w:rFonts w:ascii="Arial Narrow" w:hAnsi="Arial Narrow"/>
                <w:sz w:val="20"/>
              </w:rPr>
              <w:t xml:space="preserve"> </w:t>
            </w:r>
            <w:r w:rsidRPr="003E7E2B">
              <w:rPr>
                <w:rFonts w:ascii="Arial Narrow" w:hAnsi="Arial Narrow"/>
                <w:sz w:val="20"/>
              </w:rPr>
              <w:t>for sunitinib. Progressed</w:t>
            </w:r>
            <w:r w:rsidRPr="007B02C5">
              <w:rPr>
                <w:rFonts w:ascii="Arial Narrow" w:hAnsi="Arial Narrow"/>
                <w:sz w:val="20"/>
              </w:rPr>
              <w:t xml:space="preserve">: </w:t>
            </w:r>
            <w:r w:rsidR="00B76982">
              <w:rPr>
                <w:rFonts w:ascii="Arial Narrow" w:hAnsi="Arial Narrow"/>
                <w:noProof/>
                <w:color w:val="000000"/>
                <w:sz w:val="20"/>
                <w:highlight w:val="black"/>
              </w:rPr>
              <w:t>''''''''''''</w:t>
            </w:r>
            <w:r w:rsidRPr="003E7E2B">
              <w:rPr>
                <w:rFonts w:ascii="Arial Narrow" w:hAnsi="Arial Narrow"/>
                <w:sz w:val="20"/>
              </w:rPr>
              <w:t xml:space="preserve"> for NIVO+IPI, </w:t>
            </w:r>
            <w:r w:rsidR="00B76982">
              <w:rPr>
                <w:rFonts w:ascii="Arial Narrow" w:hAnsi="Arial Narrow"/>
                <w:noProof/>
                <w:color w:val="000000"/>
                <w:sz w:val="20"/>
                <w:highlight w:val="black"/>
              </w:rPr>
              <w:t>'''''''''''</w:t>
            </w:r>
            <w:r w:rsidRPr="003E7E2B">
              <w:rPr>
                <w:rFonts w:ascii="Arial Narrow" w:hAnsi="Arial Narrow"/>
                <w:sz w:val="20"/>
              </w:rPr>
              <w:t xml:space="preserve"> for sunitinib</w:t>
            </w:r>
            <w:r w:rsidR="00974C5E" w:rsidRPr="003E7E2B">
              <w:rPr>
                <w:rFonts w:ascii="Arial Narrow" w:hAnsi="Arial Narrow"/>
                <w:sz w:val="20"/>
              </w:rPr>
              <w:t>;</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 xml:space="preserve">Time horizon: </w:t>
            </w:r>
            <w:r w:rsidR="00B76982">
              <w:rPr>
                <w:rFonts w:ascii="Arial Narrow" w:hAnsi="Arial Narrow"/>
                <w:noProof/>
                <w:color w:val="000000"/>
                <w:sz w:val="20"/>
                <w:highlight w:val="black"/>
              </w:rPr>
              <w:t xml:space="preserve">''''''' </w:t>
            </w:r>
            <w:r w:rsidRPr="003E7E2B">
              <w:rPr>
                <w:rFonts w:ascii="Arial Narrow" w:hAnsi="Arial Narrow"/>
                <w:sz w:val="20"/>
              </w:rPr>
              <w:t>years</w:t>
            </w:r>
            <w:r w:rsidR="00974C5E" w:rsidRPr="003E7E2B">
              <w:rPr>
                <w:rFonts w:ascii="Arial Narrow" w:hAnsi="Arial Narrow"/>
                <w:sz w:val="20"/>
              </w:rPr>
              <w:t>.</w:t>
            </w:r>
          </w:p>
          <w:p w:rsidR="008116C0" w:rsidRPr="003E7E2B" w:rsidRDefault="00905650" w:rsidP="008116C0">
            <w:pPr>
              <w:rPr>
                <w:rFonts w:ascii="Arial Narrow" w:hAnsi="Arial Narrow"/>
                <w:sz w:val="20"/>
                <w:szCs w:val="20"/>
              </w:rPr>
            </w:pPr>
            <w:r w:rsidRPr="003E7E2B">
              <w:rPr>
                <w:rFonts w:ascii="Arial Narrow" w:hAnsi="Arial Narrow"/>
                <w:sz w:val="20"/>
                <w:szCs w:val="20"/>
              </w:rPr>
              <w:t>Para</w:t>
            </w:r>
            <w:r w:rsidR="00A53899" w:rsidRPr="003E7E2B">
              <w:rPr>
                <w:rFonts w:ascii="Arial Narrow" w:hAnsi="Arial Narrow"/>
                <w:sz w:val="20"/>
                <w:szCs w:val="20"/>
              </w:rPr>
              <w:t>s</w:t>
            </w:r>
            <w:r w:rsidRPr="003E7E2B">
              <w:rPr>
                <w:rFonts w:ascii="Arial Narrow" w:hAnsi="Arial Narrow"/>
                <w:sz w:val="20"/>
                <w:szCs w:val="20"/>
              </w:rPr>
              <w:t xml:space="preserve"> 7.12</w:t>
            </w:r>
            <w:r w:rsidR="00A53899" w:rsidRPr="003E7E2B">
              <w:rPr>
                <w:rFonts w:ascii="Arial Narrow" w:hAnsi="Arial Narrow"/>
                <w:sz w:val="20"/>
                <w:szCs w:val="20"/>
              </w:rPr>
              <w:t xml:space="preserve"> and 7.13</w:t>
            </w:r>
            <w:r w:rsidR="00520868">
              <w:rPr>
                <w:rFonts w:ascii="Arial Narrow" w:hAnsi="Arial Narrow"/>
                <w:sz w:val="20"/>
                <w:szCs w:val="20"/>
              </w:rPr>
              <w:t xml:space="preserve"> July 2018 PBAC minutes</w:t>
            </w:r>
            <w:r w:rsidRPr="003E7E2B">
              <w:rPr>
                <w:rFonts w:ascii="Arial Narrow" w:hAnsi="Arial Narrow"/>
                <w:sz w:val="20"/>
                <w:szCs w:val="20"/>
              </w:rPr>
              <w:t xml:space="preserve">: ICER/QALY </w:t>
            </w:r>
            <w:r w:rsidR="00974C5E" w:rsidRPr="003E7E2B">
              <w:rPr>
                <w:rFonts w:ascii="Arial Narrow" w:hAnsi="Arial Narrow"/>
                <w:sz w:val="20"/>
                <w:szCs w:val="20"/>
              </w:rPr>
              <w:t>was</w:t>
            </w:r>
            <w:r w:rsidRPr="003E7E2B">
              <w:rPr>
                <w:rFonts w:ascii="Arial Narrow" w:hAnsi="Arial Narrow"/>
                <w:sz w:val="20"/>
                <w:szCs w:val="20"/>
              </w:rPr>
              <w:t xml:space="preserve"> uncertain and overly optimistic due to:</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 xml:space="preserve">Extrapolation: highly uncertain. More reasonable to assume convergence begins at </w:t>
            </w:r>
            <w:r w:rsidR="00B76982">
              <w:rPr>
                <w:rFonts w:ascii="Arial Narrow" w:hAnsi="Arial Narrow"/>
                <w:noProof/>
                <w:color w:val="000000"/>
                <w:sz w:val="20"/>
                <w:highlight w:val="black"/>
              </w:rPr>
              <w:t xml:space="preserve">'''''' </w:t>
            </w:r>
            <w:r w:rsidR="00845EDE">
              <w:rPr>
                <w:rFonts w:ascii="Arial Narrow" w:hAnsi="Arial Narrow"/>
                <w:sz w:val="20"/>
              </w:rPr>
              <w:t>months;</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Utilities: higher than those in literature and similar to population norms</w:t>
            </w:r>
            <w:r w:rsidR="00974C5E" w:rsidRPr="003E7E2B">
              <w:rPr>
                <w:rFonts w:ascii="Arial Narrow" w:hAnsi="Arial Narrow"/>
                <w:sz w:val="20"/>
              </w:rPr>
              <w:t>.</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 xml:space="preserve">Time horizon: not reasonable. </w:t>
            </w:r>
            <w:r w:rsidR="00B76982">
              <w:rPr>
                <w:rFonts w:ascii="Arial Narrow" w:hAnsi="Arial Narrow"/>
                <w:noProof/>
                <w:color w:val="000000"/>
                <w:sz w:val="20"/>
                <w:highlight w:val="black"/>
              </w:rPr>
              <w:t>''''''''</w:t>
            </w:r>
            <w:r w:rsidRPr="003E7E2B">
              <w:rPr>
                <w:rFonts w:ascii="Arial Narrow" w:hAnsi="Arial Narrow"/>
                <w:sz w:val="20"/>
              </w:rPr>
              <w:t xml:space="preserve"> years would be more realistic</w:t>
            </w:r>
            <w:r w:rsidR="00974C5E" w:rsidRPr="003E7E2B">
              <w:rPr>
                <w:rFonts w:ascii="Arial Narrow" w:hAnsi="Arial Narrow"/>
                <w:sz w:val="20"/>
              </w:rPr>
              <w:t>;</w:t>
            </w:r>
          </w:p>
          <w:p w:rsidR="00905650" w:rsidRPr="003E7E2B" w:rsidRDefault="00974C5E" w:rsidP="009612FB">
            <w:pPr>
              <w:pStyle w:val="ListParagraph"/>
              <w:numPr>
                <w:ilvl w:val="0"/>
                <w:numId w:val="21"/>
              </w:numPr>
              <w:ind w:left="120" w:hanging="120"/>
              <w:rPr>
                <w:rFonts w:ascii="Arial Narrow" w:hAnsi="Arial Narrow"/>
                <w:sz w:val="20"/>
              </w:rPr>
            </w:pPr>
            <w:r w:rsidRPr="003E7E2B">
              <w:rPr>
                <w:rFonts w:ascii="Arial Narrow" w:hAnsi="Arial Narrow"/>
                <w:sz w:val="20"/>
              </w:rPr>
              <w:t>C</w:t>
            </w:r>
            <w:r w:rsidR="00A53899" w:rsidRPr="003E7E2B">
              <w:rPr>
                <w:rFonts w:ascii="Arial Narrow" w:hAnsi="Arial Narrow"/>
                <w:sz w:val="20"/>
              </w:rPr>
              <w:t xml:space="preserve">ost-effective at an </w:t>
            </w:r>
            <w:r w:rsidR="003C2660" w:rsidRPr="003E7E2B">
              <w:rPr>
                <w:rFonts w:ascii="Arial Narrow" w:hAnsi="Arial Narrow"/>
                <w:sz w:val="20"/>
              </w:rPr>
              <w:t xml:space="preserve">ICER </w:t>
            </w:r>
            <w:r w:rsidR="009612FB">
              <w:rPr>
                <w:rFonts w:ascii="Arial Narrow" w:hAnsi="Arial Narrow"/>
                <w:sz w:val="20"/>
              </w:rPr>
              <w:t>less than $45,000/QALY – $75,000/QALY</w:t>
            </w:r>
            <w:r w:rsidRPr="003E7E2B">
              <w:rPr>
                <w:rFonts w:ascii="Arial Narrow" w:hAnsi="Arial Narrow"/>
                <w:sz w:val="20"/>
              </w:rPr>
              <w:t>.</w:t>
            </w:r>
          </w:p>
        </w:tc>
        <w:tc>
          <w:tcPr>
            <w:tcW w:w="1684" w:type="pct"/>
          </w:tcPr>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 xml:space="preserve">Extrapolation: assumed convergence begins at </w:t>
            </w:r>
            <w:r w:rsidR="00B76982">
              <w:rPr>
                <w:rFonts w:ascii="Arial Narrow" w:hAnsi="Arial Narrow"/>
                <w:noProof/>
                <w:color w:val="000000"/>
                <w:sz w:val="20"/>
                <w:highlight w:val="black"/>
              </w:rPr>
              <w:t>''''''</w:t>
            </w:r>
            <w:r w:rsidR="00845EDE">
              <w:rPr>
                <w:rFonts w:ascii="Arial Narrow" w:hAnsi="Arial Narrow"/>
                <w:sz w:val="20"/>
              </w:rPr>
              <w:t xml:space="preserve"> month, as requested;</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 xml:space="preserve">Utilities: PFS: unchanged; progressed disease: </w:t>
            </w:r>
            <w:r w:rsidR="00B76982">
              <w:rPr>
                <w:rFonts w:ascii="Arial Narrow" w:hAnsi="Arial Narrow"/>
                <w:noProof/>
                <w:color w:val="000000"/>
                <w:sz w:val="20"/>
                <w:highlight w:val="black"/>
              </w:rPr>
              <w:t>''''''''''</w:t>
            </w:r>
            <w:r w:rsidR="00845EDE">
              <w:rPr>
                <w:rFonts w:ascii="Arial Narrow" w:hAnsi="Arial Narrow"/>
                <w:sz w:val="20"/>
              </w:rPr>
              <w:t xml:space="preserve"> in both arms.</w:t>
            </w:r>
          </w:p>
          <w:p w:rsidR="00905650" w:rsidRPr="003E7E2B" w:rsidRDefault="00905650" w:rsidP="00905650">
            <w:pPr>
              <w:pStyle w:val="ListParagraph"/>
              <w:numPr>
                <w:ilvl w:val="0"/>
                <w:numId w:val="21"/>
              </w:numPr>
              <w:ind w:left="120" w:hanging="120"/>
              <w:rPr>
                <w:rFonts w:ascii="Arial Narrow" w:hAnsi="Arial Narrow"/>
                <w:sz w:val="20"/>
              </w:rPr>
            </w:pPr>
            <w:r w:rsidRPr="003E7E2B">
              <w:rPr>
                <w:rFonts w:ascii="Arial Narrow" w:hAnsi="Arial Narrow"/>
                <w:sz w:val="20"/>
              </w:rPr>
              <w:t>Time horizon</w:t>
            </w:r>
            <w:r w:rsidRPr="003A355A">
              <w:rPr>
                <w:rFonts w:ascii="Arial Narrow" w:hAnsi="Arial Narrow"/>
                <w:sz w:val="20"/>
              </w:rPr>
              <w:t xml:space="preserve">: </w:t>
            </w:r>
            <w:r w:rsidR="00B76982">
              <w:rPr>
                <w:rFonts w:ascii="Arial Narrow" w:hAnsi="Arial Narrow"/>
                <w:noProof/>
                <w:color w:val="000000"/>
                <w:sz w:val="20"/>
                <w:highlight w:val="black"/>
              </w:rPr>
              <w:t>'''''''''</w:t>
            </w:r>
            <w:r w:rsidRPr="003E7E2B">
              <w:rPr>
                <w:rFonts w:ascii="Arial Narrow" w:hAnsi="Arial Narrow"/>
                <w:sz w:val="20"/>
              </w:rPr>
              <w:t xml:space="preserve"> years, as requested</w:t>
            </w:r>
          </w:p>
          <w:p w:rsidR="008116C0" w:rsidRPr="003E7E2B" w:rsidRDefault="00905650" w:rsidP="00665E88">
            <w:pPr>
              <w:pStyle w:val="ListParagraph"/>
              <w:numPr>
                <w:ilvl w:val="0"/>
                <w:numId w:val="21"/>
              </w:numPr>
              <w:ind w:left="120" w:hanging="120"/>
              <w:rPr>
                <w:rFonts w:ascii="Arial Narrow" w:hAnsi="Arial Narrow"/>
                <w:sz w:val="20"/>
              </w:rPr>
            </w:pPr>
            <w:r w:rsidRPr="003E7E2B">
              <w:rPr>
                <w:rFonts w:ascii="Arial Narrow" w:hAnsi="Arial Narrow"/>
                <w:sz w:val="20"/>
              </w:rPr>
              <w:t xml:space="preserve">ICER: </w:t>
            </w:r>
            <w:r w:rsidR="00C05676">
              <w:rPr>
                <w:rFonts w:ascii="Arial Narrow" w:hAnsi="Arial Narrow"/>
                <w:sz w:val="20"/>
              </w:rPr>
              <w:t>$45,000/QALY – $75,000/QALY</w:t>
            </w:r>
            <w:r w:rsidR="00C05676" w:rsidRPr="003E7E2B" w:rsidDel="00C05676">
              <w:rPr>
                <w:rFonts w:ascii="Arial Narrow" w:hAnsi="Arial Narrow"/>
                <w:sz w:val="20"/>
              </w:rPr>
              <w:t xml:space="preserve"> </w:t>
            </w:r>
            <w:r w:rsidR="00974C5E" w:rsidRPr="003E7E2B">
              <w:rPr>
                <w:rFonts w:ascii="Arial Narrow" w:hAnsi="Arial Narrow"/>
                <w:sz w:val="20"/>
              </w:rPr>
              <w:t>(if restrictions for current 2</w:t>
            </w:r>
            <w:r w:rsidR="00974C5E" w:rsidRPr="003E7E2B">
              <w:rPr>
                <w:rFonts w:ascii="Arial Narrow" w:hAnsi="Arial Narrow"/>
                <w:sz w:val="20"/>
                <w:vertAlign w:val="superscript"/>
              </w:rPr>
              <w:t>nd</w:t>
            </w:r>
            <w:r w:rsidR="00974C5E" w:rsidRPr="003E7E2B">
              <w:rPr>
                <w:rFonts w:ascii="Arial Narrow" w:hAnsi="Arial Narrow"/>
                <w:sz w:val="20"/>
              </w:rPr>
              <w:t>- and later-line therapies are changed to allow prior TKIs to be in 2</w:t>
            </w:r>
            <w:r w:rsidR="00974C5E" w:rsidRPr="003E7E2B">
              <w:rPr>
                <w:rFonts w:ascii="Arial Narrow" w:hAnsi="Arial Narrow"/>
                <w:sz w:val="20"/>
                <w:vertAlign w:val="superscript"/>
              </w:rPr>
              <w:t>nd</w:t>
            </w:r>
            <w:r w:rsidR="00974C5E" w:rsidRPr="003E7E2B">
              <w:rPr>
                <w:rFonts w:ascii="Arial Narrow" w:hAnsi="Arial Narrow"/>
                <w:sz w:val="20"/>
              </w:rPr>
              <w:t>-line)</w:t>
            </w:r>
            <w:r w:rsidRPr="003E7E2B">
              <w:rPr>
                <w:rFonts w:ascii="Arial Narrow" w:hAnsi="Arial Narrow"/>
                <w:sz w:val="20"/>
              </w:rPr>
              <w:t>.</w:t>
            </w:r>
            <w:r w:rsidR="00974C5E" w:rsidRPr="003E7E2B">
              <w:rPr>
                <w:rFonts w:ascii="Arial Narrow" w:hAnsi="Arial Narrow"/>
                <w:sz w:val="20"/>
              </w:rPr>
              <w:t xml:space="preserve"> </w:t>
            </w:r>
          </w:p>
        </w:tc>
      </w:tr>
      <w:tr w:rsidR="008116C0" w:rsidRPr="003E7E2B" w:rsidTr="00225CBA">
        <w:trPr>
          <w:cantSplit/>
          <w:trHeight w:val="416"/>
        </w:trPr>
        <w:tc>
          <w:tcPr>
            <w:tcW w:w="558" w:type="pct"/>
          </w:tcPr>
          <w:p w:rsidR="008116C0" w:rsidRPr="003E7E2B" w:rsidRDefault="008116C0" w:rsidP="008116C0">
            <w:pPr>
              <w:rPr>
                <w:rFonts w:ascii="Arial Narrow" w:hAnsi="Arial Narrow"/>
                <w:sz w:val="20"/>
                <w:szCs w:val="20"/>
                <w:highlight w:val="yellow"/>
              </w:rPr>
            </w:pPr>
            <w:r w:rsidRPr="003E7E2B">
              <w:rPr>
                <w:rFonts w:ascii="Arial Narrow" w:hAnsi="Arial Narrow"/>
                <w:sz w:val="20"/>
                <w:szCs w:val="20"/>
              </w:rPr>
              <w:t xml:space="preserve">Number of </w:t>
            </w:r>
            <w:r w:rsidR="00225CBA" w:rsidRPr="003E7E2B">
              <w:rPr>
                <w:rFonts w:ascii="Arial Narrow" w:hAnsi="Arial Narrow"/>
                <w:sz w:val="20"/>
                <w:szCs w:val="20"/>
              </w:rPr>
              <w:t xml:space="preserve">initiating </w:t>
            </w:r>
            <w:r w:rsidRPr="003E7E2B">
              <w:rPr>
                <w:rFonts w:ascii="Arial Narrow" w:hAnsi="Arial Narrow"/>
                <w:sz w:val="20"/>
                <w:szCs w:val="20"/>
              </w:rPr>
              <w:t>patients</w:t>
            </w:r>
          </w:p>
        </w:tc>
        <w:tc>
          <w:tcPr>
            <w:tcW w:w="2758" w:type="pct"/>
          </w:tcPr>
          <w:p w:rsidR="008116C0" w:rsidRPr="003E7E2B" w:rsidRDefault="00C05676" w:rsidP="008116C0">
            <w:pPr>
              <w:rPr>
                <w:rFonts w:ascii="Arial Narrow" w:hAnsi="Arial Narrow"/>
                <w:sz w:val="20"/>
                <w:szCs w:val="20"/>
              </w:rPr>
            </w:pPr>
            <w:r>
              <w:rPr>
                <w:rFonts w:ascii="Arial Narrow" w:hAnsi="Arial Narrow"/>
                <w:sz w:val="20"/>
                <w:szCs w:val="20"/>
              </w:rPr>
              <w:t>Less than 10,000</w:t>
            </w:r>
            <w:r w:rsidRPr="003E7E2B">
              <w:rPr>
                <w:rFonts w:ascii="Arial Narrow" w:hAnsi="Arial Narrow"/>
                <w:sz w:val="20"/>
                <w:szCs w:val="20"/>
              </w:rPr>
              <w:t xml:space="preserve"> </w:t>
            </w:r>
            <w:r w:rsidR="008116C0" w:rsidRPr="003E7E2B">
              <w:rPr>
                <w:rFonts w:ascii="Arial Narrow" w:hAnsi="Arial Narrow"/>
                <w:sz w:val="20"/>
                <w:szCs w:val="20"/>
              </w:rPr>
              <w:t xml:space="preserve">in Year 1, increasing to </w:t>
            </w:r>
            <w:r>
              <w:rPr>
                <w:rFonts w:ascii="Arial Narrow" w:hAnsi="Arial Narrow"/>
                <w:sz w:val="20"/>
                <w:szCs w:val="20"/>
              </w:rPr>
              <w:t>less than 10,000</w:t>
            </w:r>
            <w:r w:rsidRPr="003E7E2B">
              <w:rPr>
                <w:rFonts w:ascii="Arial Narrow" w:hAnsi="Arial Narrow"/>
                <w:sz w:val="20"/>
                <w:szCs w:val="20"/>
              </w:rPr>
              <w:t xml:space="preserve"> </w:t>
            </w:r>
            <w:r w:rsidR="00225CBA" w:rsidRPr="003E7E2B">
              <w:rPr>
                <w:rFonts w:ascii="Arial Narrow" w:hAnsi="Arial Narrow"/>
                <w:sz w:val="20"/>
                <w:szCs w:val="20"/>
              </w:rPr>
              <w:t>in Year 6.</w:t>
            </w:r>
          </w:p>
          <w:p w:rsidR="00A53899" w:rsidRPr="003E7E2B" w:rsidRDefault="00A53899" w:rsidP="00CB5CEC">
            <w:pPr>
              <w:rPr>
                <w:rFonts w:ascii="Arial Narrow" w:hAnsi="Arial Narrow"/>
                <w:sz w:val="20"/>
                <w:szCs w:val="20"/>
              </w:rPr>
            </w:pPr>
          </w:p>
        </w:tc>
        <w:tc>
          <w:tcPr>
            <w:tcW w:w="1684" w:type="pct"/>
          </w:tcPr>
          <w:p w:rsidR="008116C0" w:rsidRPr="003E7E2B" w:rsidRDefault="00C05676" w:rsidP="008116C0">
            <w:pPr>
              <w:rPr>
                <w:rFonts w:ascii="Arial Narrow" w:hAnsi="Arial Narrow"/>
                <w:sz w:val="20"/>
                <w:szCs w:val="20"/>
              </w:rPr>
            </w:pPr>
            <w:r>
              <w:rPr>
                <w:rFonts w:ascii="Arial Narrow" w:hAnsi="Arial Narrow"/>
                <w:sz w:val="20"/>
                <w:szCs w:val="20"/>
              </w:rPr>
              <w:t>Less tha</w:t>
            </w:r>
            <w:r w:rsidR="0073573D">
              <w:rPr>
                <w:rFonts w:ascii="Arial Narrow" w:hAnsi="Arial Narrow"/>
                <w:sz w:val="20"/>
                <w:szCs w:val="20"/>
              </w:rPr>
              <w:t>n</w:t>
            </w:r>
            <w:r>
              <w:rPr>
                <w:rFonts w:ascii="Arial Narrow" w:hAnsi="Arial Narrow"/>
                <w:sz w:val="20"/>
                <w:szCs w:val="20"/>
              </w:rPr>
              <w:t xml:space="preserve"> 10,000</w:t>
            </w:r>
            <w:r w:rsidRPr="003E7E2B">
              <w:rPr>
                <w:rFonts w:ascii="Arial Narrow" w:hAnsi="Arial Narrow"/>
                <w:sz w:val="20"/>
                <w:szCs w:val="20"/>
              </w:rPr>
              <w:t xml:space="preserve"> </w:t>
            </w:r>
            <w:r w:rsidR="008116C0" w:rsidRPr="003E7E2B">
              <w:rPr>
                <w:rFonts w:ascii="Arial Narrow" w:hAnsi="Arial Narrow"/>
                <w:sz w:val="20"/>
                <w:szCs w:val="20"/>
              </w:rPr>
              <w:t xml:space="preserve">in Year 1, </w:t>
            </w:r>
            <w:r>
              <w:rPr>
                <w:rFonts w:ascii="Arial Narrow" w:hAnsi="Arial Narrow"/>
                <w:sz w:val="20"/>
                <w:szCs w:val="20"/>
              </w:rPr>
              <w:t>less than 10,000</w:t>
            </w:r>
            <w:r w:rsidRPr="003E7E2B">
              <w:rPr>
                <w:rFonts w:ascii="Arial Narrow" w:hAnsi="Arial Narrow"/>
                <w:sz w:val="20"/>
                <w:szCs w:val="20"/>
              </w:rPr>
              <w:t xml:space="preserve"> </w:t>
            </w:r>
            <w:r w:rsidR="00225CBA" w:rsidRPr="003E7E2B">
              <w:rPr>
                <w:rFonts w:ascii="Arial Narrow" w:hAnsi="Arial Narrow"/>
                <w:sz w:val="20"/>
                <w:szCs w:val="20"/>
              </w:rPr>
              <w:t>in Year 6</w:t>
            </w:r>
            <w:r w:rsidR="008116C0" w:rsidRPr="003E7E2B">
              <w:rPr>
                <w:rFonts w:ascii="Arial Narrow" w:hAnsi="Arial Narrow"/>
                <w:sz w:val="20"/>
                <w:szCs w:val="20"/>
              </w:rPr>
              <w:t>.</w:t>
            </w:r>
          </w:p>
          <w:p w:rsidR="008116C0" w:rsidRPr="003E7E2B" w:rsidRDefault="008116C0" w:rsidP="00C05676">
            <w:pPr>
              <w:rPr>
                <w:rFonts w:ascii="Arial Narrow" w:hAnsi="Arial Narrow"/>
                <w:sz w:val="20"/>
                <w:szCs w:val="20"/>
              </w:rPr>
            </w:pPr>
            <w:r w:rsidRPr="003E7E2B">
              <w:rPr>
                <w:rFonts w:ascii="Arial Narrow" w:hAnsi="Arial Narrow"/>
                <w:sz w:val="20"/>
                <w:szCs w:val="20"/>
              </w:rPr>
              <w:t xml:space="preserve">Higher in Year 1 due to </w:t>
            </w:r>
            <w:r w:rsidR="00225CBA" w:rsidRPr="003E7E2B">
              <w:rPr>
                <w:rFonts w:ascii="Arial Narrow" w:hAnsi="Arial Narrow"/>
                <w:sz w:val="20"/>
                <w:szCs w:val="20"/>
              </w:rPr>
              <w:t xml:space="preserve">the inclusion of </w:t>
            </w:r>
            <w:r w:rsidR="00C05676">
              <w:rPr>
                <w:rFonts w:ascii="Arial Narrow" w:hAnsi="Arial Narrow"/>
                <w:sz w:val="20"/>
                <w:szCs w:val="20"/>
              </w:rPr>
              <w:t>less than 10,000</w:t>
            </w:r>
            <w:r w:rsidR="00C05676" w:rsidRPr="003E7E2B">
              <w:rPr>
                <w:rFonts w:ascii="Arial Narrow" w:hAnsi="Arial Narrow"/>
                <w:sz w:val="20"/>
                <w:szCs w:val="20"/>
              </w:rPr>
              <w:t xml:space="preserve"> </w:t>
            </w:r>
            <w:r w:rsidR="00225CBA" w:rsidRPr="003E7E2B">
              <w:rPr>
                <w:rFonts w:ascii="Arial Narrow" w:hAnsi="Arial Narrow"/>
                <w:sz w:val="20"/>
                <w:szCs w:val="20"/>
              </w:rPr>
              <w:t xml:space="preserve">grandfathered patients. </w:t>
            </w:r>
          </w:p>
        </w:tc>
      </w:tr>
      <w:tr w:rsidR="008116C0" w:rsidRPr="003E7E2B" w:rsidTr="00225CBA">
        <w:trPr>
          <w:cantSplit/>
          <w:trHeight w:val="416"/>
        </w:trPr>
        <w:tc>
          <w:tcPr>
            <w:tcW w:w="558" w:type="pct"/>
          </w:tcPr>
          <w:p w:rsidR="008116C0" w:rsidRPr="003E7E2B" w:rsidRDefault="008116C0" w:rsidP="008116C0">
            <w:pPr>
              <w:rPr>
                <w:rFonts w:ascii="Arial Narrow" w:hAnsi="Arial Narrow"/>
                <w:sz w:val="20"/>
                <w:szCs w:val="20"/>
                <w:highlight w:val="yellow"/>
              </w:rPr>
            </w:pPr>
            <w:r w:rsidRPr="003E7E2B">
              <w:rPr>
                <w:rFonts w:ascii="Arial Narrow" w:hAnsi="Arial Narrow"/>
                <w:sz w:val="20"/>
                <w:szCs w:val="20"/>
              </w:rPr>
              <w:t>Estimated net cost to PBS</w:t>
            </w:r>
          </w:p>
        </w:tc>
        <w:tc>
          <w:tcPr>
            <w:tcW w:w="2758" w:type="pct"/>
          </w:tcPr>
          <w:p w:rsidR="004A388E" w:rsidRPr="003E7E2B" w:rsidRDefault="004A388E" w:rsidP="008116C0">
            <w:pPr>
              <w:rPr>
                <w:rFonts w:ascii="Arial Narrow" w:hAnsi="Arial Narrow"/>
                <w:sz w:val="20"/>
                <w:szCs w:val="20"/>
              </w:rPr>
            </w:pPr>
            <w:r w:rsidRPr="003E7E2B">
              <w:rPr>
                <w:rFonts w:ascii="Arial Narrow" w:hAnsi="Arial Narrow"/>
                <w:sz w:val="20"/>
                <w:szCs w:val="20"/>
              </w:rPr>
              <w:t xml:space="preserve">Cost of NIVO+IPI: </w:t>
            </w:r>
            <w:r w:rsidR="00301A4F">
              <w:rPr>
                <w:rFonts w:ascii="Arial Narrow" w:hAnsi="Arial Narrow"/>
                <w:sz w:val="20"/>
                <w:szCs w:val="20"/>
              </w:rPr>
              <w:t>$30 – $60 million</w:t>
            </w:r>
            <w:r w:rsidR="008116C0" w:rsidRPr="003E7E2B">
              <w:rPr>
                <w:rFonts w:ascii="Arial Narrow" w:hAnsi="Arial Narrow"/>
                <w:sz w:val="20"/>
                <w:szCs w:val="20"/>
              </w:rPr>
              <w:t xml:space="preserve"> in Year </w:t>
            </w:r>
            <w:r w:rsidR="00CB5CEC" w:rsidRPr="003E7E2B">
              <w:rPr>
                <w:rFonts w:ascii="Arial Narrow" w:hAnsi="Arial Narrow"/>
                <w:sz w:val="20"/>
                <w:szCs w:val="20"/>
              </w:rPr>
              <w:t>5</w:t>
            </w:r>
            <w:r w:rsidR="008116C0" w:rsidRPr="003E7E2B">
              <w:rPr>
                <w:rFonts w:ascii="Arial Narrow" w:hAnsi="Arial Narrow"/>
                <w:sz w:val="20"/>
                <w:szCs w:val="20"/>
              </w:rPr>
              <w:t xml:space="preserve"> and </w:t>
            </w:r>
            <w:r w:rsidR="00301A4F">
              <w:rPr>
                <w:rFonts w:ascii="Arial Narrow" w:hAnsi="Arial Narrow"/>
                <w:sz w:val="20"/>
                <w:szCs w:val="20"/>
              </w:rPr>
              <w:t>more than $100 million</w:t>
            </w:r>
            <w:r w:rsidR="00845EDE">
              <w:rPr>
                <w:rFonts w:ascii="Arial Narrow" w:hAnsi="Arial Narrow"/>
                <w:sz w:val="20"/>
                <w:szCs w:val="20"/>
              </w:rPr>
              <w:t xml:space="preserve"> over the first 6 years.</w:t>
            </w:r>
          </w:p>
          <w:p w:rsidR="008116C0" w:rsidRPr="003E7E2B" w:rsidRDefault="00CB5CEC" w:rsidP="008116C0">
            <w:pPr>
              <w:rPr>
                <w:rFonts w:ascii="Arial Narrow" w:hAnsi="Arial Narrow"/>
                <w:sz w:val="20"/>
                <w:szCs w:val="20"/>
              </w:rPr>
            </w:pPr>
            <w:r w:rsidRPr="003E7E2B">
              <w:rPr>
                <w:rFonts w:ascii="Arial Narrow" w:hAnsi="Arial Narrow"/>
                <w:sz w:val="20"/>
                <w:szCs w:val="20"/>
              </w:rPr>
              <w:t xml:space="preserve">Including offsets for later-line therapies: </w:t>
            </w:r>
            <w:r w:rsidR="004325F6">
              <w:rPr>
                <w:rFonts w:ascii="Arial Narrow" w:hAnsi="Arial Narrow"/>
                <w:sz w:val="20"/>
                <w:szCs w:val="20"/>
              </w:rPr>
              <w:t>more than $100 million</w:t>
            </w:r>
            <w:r w:rsidRPr="003E7E2B">
              <w:rPr>
                <w:rFonts w:ascii="Arial Narrow" w:hAnsi="Arial Narrow"/>
                <w:sz w:val="20"/>
                <w:szCs w:val="20"/>
              </w:rPr>
              <w:t xml:space="preserve"> over 6 years (based on price proposed in submission, not the lower price proposed in the pre-PBAC response</w:t>
            </w:r>
            <w:r w:rsidR="008116C0" w:rsidRPr="003E7E2B">
              <w:rPr>
                <w:rFonts w:ascii="Arial Narrow" w:hAnsi="Arial Narrow"/>
                <w:sz w:val="20"/>
                <w:szCs w:val="20"/>
              </w:rPr>
              <w:t>).</w:t>
            </w:r>
          </w:p>
          <w:p w:rsidR="008116C0" w:rsidRPr="003E7E2B" w:rsidRDefault="00CB5CEC" w:rsidP="00CB5CEC">
            <w:pPr>
              <w:rPr>
                <w:rFonts w:ascii="Arial Narrow" w:hAnsi="Arial Narrow"/>
                <w:sz w:val="20"/>
                <w:szCs w:val="20"/>
              </w:rPr>
            </w:pPr>
            <w:r w:rsidRPr="003E7E2B">
              <w:rPr>
                <w:rFonts w:ascii="Arial Narrow" w:hAnsi="Arial Narrow"/>
                <w:sz w:val="20"/>
                <w:szCs w:val="20"/>
              </w:rPr>
              <w:t>Para 7.14</w:t>
            </w:r>
            <w:r w:rsidR="00520868">
              <w:rPr>
                <w:rFonts w:ascii="Arial Narrow" w:hAnsi="Arial Narrow"/>
                <w:sz w:val="20"/>
                <w:szCs w:val="20"/>
              </w:rPr>
              <w:t xml:space="preserve"> July 2018 PSD</w:t>
            </w:r>
            <w:r w:rsidRPr="003E7E2B">
              <w:rPr>
                <w:rFonts w:ascii="Arial Narrow" w:hAnsi="Arial Narrow"/>
                <w:sz w:val="20"/>
                <w:szCs w:val="20"/>
              </w:rPr>
              <w:t>: Estimated net cost to the PBS/RPBS was high and potentially underestimated given: potential for a higher rate and duration of use of nivolumab maintenance therapy in clinical practice; estimated financial implications for other PBS medicines (cost offsets), particularly those relating to second- or later-line settings, was likely to have been overestimated due to the high proportion of patients assumed to seek treatment in these settings.</w:t>
            </w:r>
          </w:p>
        </w:tc>
        <w:tc>
          <w:tcPr>
            <w:tcW w:w="1684" w:type="pct"/>
          </w:tcPr>
          <w:p w:rsidR="004A388E" w:rsidRPr="003E7E2B" w:rsidRDefault="004A388E" w:rsidP="004A388E">
            <w:pPr>
              <w:rPr>
                <w:rFonts w:ascii="Arial Narrow" w:hAnsi="Arial Narrow"/>
                <w:sz w:val="20"/>
                <w:szCs w:val="20"/>
              </w:rPr>
            </w:pPr>
            <w:r w:rsidRPr="003E7E2B">
              <w:rPr>
                <w:rFonts w:ascii="Arial Narrow" w:hAnsi="Arial Narrow"/>
                <w:sz w:val="20"/>
                <w:szCs w:val="20"/>
              </w:rPr>
              <w:t xml:space="preserve">Cost of NIVO+IPI: </w:t>
            </w:r>
            <w:r w:rsidR="004325F6">
              <w:rPr>
                <w:rFonts w:ascii="Arial Narrow" w:hAnsi="Arial Narrow"/>
                <w:sz w:val="20"/>
                <w:szCs w:val="20"/>
              </w:rPr>
              <w:t>$30 – $60 million</w:t>
            </w:r>
            <w:r w:rsidRPr="003E7E2B">
              <w:rPr>
                <w:rFonts w:ascii="Arial Narrow" w:hAnsi="Arial Narrow"/>
                <w:sz w:val="20"/>
                <w:szCs w:val="20"/>
              </w:rPr>
              <w:t xml:space="preserve"> in Year 5 and </w:t>
            </w:r>
            <w:r w:rsidR="004325F6">
              <w:rPr>
                <w:rFonts w:ascii="Arial Narrow" w:hAnsi="Arial Narrow"/>
                <w:sz w:val="20"/>
                <w:szCs w:val="20"/>
              </w:rPr>
              <w:t>more than $100</w:t>
            </w:r>
            <w:r w:rsidRPr="003E7E2B">
              <w:rPr>
                <w:rFonts w:ascii="Arial Narrow" w:hAnsi="Arial Narrow"/>
                <w:sz w:val="20"/>
                <w:szCs w:val="20"/>
              </w:rPr>
              <w:t xml:space="preserve"> </w:t>
            </w:r>
            <w:r w:rsidR="00845EDE">
              <w:rPr>
                <w:rFonts w:ascii="Arial Narrow" w:hAnsi="Arial Narrow"/>
                <w:sz w:val="20"/>
                <w:szCs w:val="20"/>
              </w:rPr>
              <w:t>million over the first 6 years.</w:t>
            </w:r>
          </w:p>
          <w:p w:rsidR="004A388E" w:rsidRPr="003E7E2B" w:rsidRDefault="004A388E" w:rsidP="004A388E">
            <w:pPr>
              <w:rPr>
                <w:rFonts w:ascii="Arial Narrow" w:hAnsi="Arial Narrow"/>
                <w:sz w:val="20"/>
                <w:szCs w:val="20"/>
              </w:rPr>
            </w:pPr>
            <w:r w:rsidRPr="003E7E2B">
              <w:rPr>
                <w:rFonts w:ascii="Arial Narrow" w:hAnsi="Arial Narrow"/>
                <w:sz w:val="20"/>
                <w:szCs w:val="20"/>
              </w:rPr>
              <w:t xml:space="preserve">Including offsets for later-line therapies: </w:t>
            </w:r>
            <w:r w:rsidR="00B12E1F">
              <w:rPr>
                <w:rFonts w:ascii="Arial Narrow" w:hAnsi="Arial Narrow"/>
                <w:sz w:val="20"/>
                <w:szCs w:val="20"/>
              </w:rPr>
              <w:t>more than $100 million</w:t>
            </w:r>
            <w:r w:rsidRPr="003E7E2B">
              <w:rPr>
                <w:rFonts w:ascii="Arial Narrow" w:hAnsi="Arial Narrow"/>
                <w:sz w:val="20"/>
                <w:szCs w:val="20"/>
              </w:rPr>
              <w:t xml:space="preserve"> over 6 years</w:t>
            </w:r>
            <w:r w:rsidR="00225CBA" w:rsidRPr="003E7E2B">
              <w:rPr>
                <w:rFonts w:ascii="Arial Narrow" w:hAnsi="Arial Narrow"/>
                <w:sz w:val="20"/>
                <w:szCs w:val="20"/>
              </w:rPr>
              <w:t xml:space="preserve"> (</w:t>
            </w:r>
            <w:r w:rsidR="00974C5E" w:rsidRPr="003E7E2B">
              <w:rPr>
                <w:rFonts w:ascii="Arial Narrow" w:hAnsi="Arial Narrow"/>
                <w:sz w:val="20"/>
                <w:szCs w:val="20"/>
              </w:rPr>
              <w:t>if</w:t>
            </w:r>
            <w:r w:rsidR="00225CBA" w:rsidRPr="003E7E2B">
              <w:rPr>
                <w:rFonts w:ascii="Arial Narrow" w:hAnsi="Arial Narrow"/>
                <w:sz w:val="20"/>
                <w:szCs w:val="20"/>
              </w:rPr>
              <w:t xml:space="preserve"> </w:t>
            </w:r>
            <w:r w:rsidR="00786F22" w:rsidRPr="003E7E2B">
              <w:rPr>
                <w:rFonts w:ascii="Arial Narrow" w:hAnsi="Arial Narrow"/>
                <w:sz w:val="20"/>
                <w:szCs w:val="20"/>
              </w:rPr>
              <w:t>prior TKI therapy can be in the 2</w:t>
            </w:r>
            <w:r w:rsidR="00786F22" w:rsidRPr="003E7E2B">
              <w:rPr>
                <w:rFonts w:ascii="Arial Narrow" w:hAnsi="Arial Narrow"/>
                <w:sz w:val="20"/>
                <w:szCs w:val="20"/>
                <w:vertAlign w:val="superscript"/>
              </w:rPr>
              <w:t>nd</w:t>
            </w:r>
            <w:r w:rsidR="00786F22" w:rsidRPr="003E7E2B">
              <w:rPr>
                <w:rFonts w:ascii="Arial Narrow" w:hAnsi="Arial Narrow"/>
                <w:sz w:val="20"/>
                <w:szCs w:val="20"/>
              </w:rPr>
              <w:t>-line setting).</w:t>
            </w:r>
          </w:p>
          <w:p w:rsidR="00225CBA" w:rsidRPr="003E7E2B" w:rsidRDefault="00225CBA" w:rsidP="004A388E">
            <w:pPr>
              <w:rPr>
                <w:rFonts w:ascii="Arial Narrow" w:hAnsi="Arial Narrow"/>
                <w:sz w:val="20"/>
                <w:szCs w:val="20"/>
              </w:rPr>
            </w:pPr>
            <w:r w:rsidRPr="003E7E2B">
              <w:rPr>
                <w:rFonts w:ascii="Arial Narrow" w:hAnsi="Arial Narrow"/>
                <w:sz w:val="20"/>
                <w:szCs w:val="20"/>
              </w:rPr>
              <w:t>Key changes</w:t>
            </w:r>
            <w:r w:rsidR="00786F22" w:rsidRPr="003E7E2B">
              <w:rPr>
                <w:rFonts w:ascii="Arial Narrow" w:hAnsi="Arial Narrow"/>
                <w:sz w:val="20"/>
                <w:szCs w:val="20"/>
              </w:rPr>
              <w:t xml:space="preserve"> included</w:t>
            </w:r>
            <w:r w:rsidRPr="003E7E2B">
              <w:rPr>
                <w:rFonts w:ascii="Arial Narrow" w:hAnsi="Arial Narrow"/>
                <w:sz w:val="20"/>
                <w:szCs w:val="20"/>
              </w:rPr>
              <w:t>:</w:t>
            </w:r>
          </w:p>
          <w:p w:rsidR="00225CBA" w:rsidRPr="003E7E2B" w:rsidRDefault="00786F22" w:rsidP="00225CBA">
            <w:pPr>
              <w:pStyle w:val="ListParagraph"/>
              <w:numPr>
                <w:ilvl w:val="0"/>
                <w:numId w:val="21"/>
              </w:numPr>
              <w:ind w:left="356" w:hanging="283"/>
              <w:rPr>
                <w:rFonts w:ascii="Arial Narrow" w:hAnsi="Arial Narrow"/>
                <w:sz w:val="20"/>
              </w:rPr>
            </w:pPr>
            <w:r w:rsidRPr="003E7E2B">
              <w:rPr>
                <w:rFonts w:ascii="Arial Narrow" w:hAnsi="Arial Narrow"/>
                <w:sz w:val="20"/>
              </w:rPr>
              <w:t>i</w:t>
            </w:r>
            <w:r w:rsidR="00225CBA" w:rsidRPr="003E7E2B">
              <w:rPr>
                <w:rFonts w:ascii="Arial Narrow" w:hAnsi="Arial Narrow"/>
                <w:sz w:val="20"/>
              </w:rPr>
              <w:t>nclusion of grandfathered patients</w:t>
            </w:r>
            <w:r w:rsidRPr="003E7E2B">
              <w:rPr>
                <w:rFonts w:ascii="Arial Narrow" w:hAnsi="Arial Narrow"/>
                <w:sz w:val="20"/>
              </w:rPr>
              <w:t>;</w:t>
            </w:r>
          </w:p>
          <w:p w:rsidR="00225CBA" w:rsidRPr="003E7E2B" w:rsidRDefault="00786F22" w:rsidP="00225CBA">
            <w:pPr>
              <w:pStyle w:val="ListParagraph"/>
              <w:numPr>
                <w:ilvl w:val="0"/>
                <w:numId w:val="21"/>
              </w:numPr>
              <w:ind w:left="356" w:hanging="283"/>
              <w:rPr>
                <w:rFonts w:ascii="Arial Narrow" w:hAnsi="Arial Narrow"/>
                <w:sz w:val="20"/>
              </w:rPr>
            </w:pPr>
            <w:r w:rsidRPr="003E7E2B">
              <w:rPr>
                <w:rFonts w:ascii="Arial Narrow" w:hAnsi="Arial Narrow"/>
                <w:sz w:val="20"/>
              </w:rPr>
              <w:t>r</w:t>
            </w:r>
            <w:r w:rsidR="00225CBA" w:rsidRPr="003E7E2B">
              <w:rPr>
                <w:rFonts w:ascii="Arial Narrow" w:hAnsi="Arial Narrow"/>
                <w:sz w:val="20"/>
              </w:rPr>
              <w:t>eductions to the proposed AEMP</w:t>
            </w:r>
            <w:r w:rsidRPr="003E7E2B">
              <w:rPr>
                <w:rFonts w:ascii="Arial Narrow" w:hAnsi="Arial Narrow"/>
                <w:sz w:val="20"/>
              </w:rPr>
              <w:t>;</w:t>
            </w:r>
          </w:p>
          <w:p w:rsidR="00225CBA" w:rsidRPr="003E7E2B" w:rsidRDefault="00786F22" w:rsidP="00225CBA">
            <w:pPr>
              <w:pStyle w:val="ListParagraph"/>
              <w:numPr>
                <w:ilvl w:val="0"/>
                <w:numId w:val="21"/>
              </w:numPr>
              <w:ind w:left="356" w:hanging="283"/>
              <w:rPr>
                <w:rFonts w:ascii="Arial Narrow" w:hAnsi="Arial Narrow"/>
                <w:sz w:val="20"/>
              </w:rPr>
            </w:pPr>
            <w:r w:rsidRPr="003E7E2B">
              <w:rPr>
                <w:rFonts w:ascii="Arial Narrow" w:hAnsi="Arial Narrow"/>
                <w:sz w:val="20"/>
              </w:rPr>
              <w:t>i</w:t>
            </w:r>
            <w:r w:rsidR="00225CBA" w:rsidRPr="003E7E2B">
              <w:rPr>
                <w:rFonts w:ascii="Arial Narrow" w:hAnsi="Arial Narrow"/>
                <w:sz w:val="20"/>
              </w:rPr>
              <w:t>ncrease to the average number of NIVO infusions per patient</w:t>
            </w:r>
            <w:r w:rsidRPr="003E7E2B">
              <w:rPr>
                <w:rFonts w:ascii="Arial Narrow" w:hAnsi="Arial Narrow"/>
                <w:sz w:val="20"/>
              </w:rPr>
              <w:t>;</w:t>
            </w:r>
          </w:p>
          <w:p w:rsidR="008116C0" w:rsidRPr="003E7E2B" w:rsidRDefault="00786F22" w:rsidP="00BF0AAE">
            <w:pPr>
              <w:pStyle w:val="ListParagraph"/>
              <w:numPr>
                <w:ilvl w:val="0"/>
                <w:numId w:val="21"/>
              </w:numPr>
              <w:ind w:left="356" w:hanging="283"/>
              <w:rPr>
                <w:rFonts w:ascii="Arial Narrow" w:hAnsi="Arial Narrow"/>
                <w:sz w:val="20"/>
              </w:rPr>
            </w:pPr>
            <w:proofErr w:type="gramStart"/>
            <w:r w:rsidRPr="003E7E2B">
              <w:rPr>
                <w:rFonts w:ascii="Arial Narrow" w:hAnsi="Arial Narrow"/>
                <w:sz w:val="20"/>
              </w:rPr>
              <w:t>c</w:t>
            </w:r>
            <w:r w:rsidR="00225CBA" w:rsidRPr="003E7E2B">
              <w:rPr>
                <w:rFonts w:ascii="Arial Narrow" w:hAnsi="Arial Narrow"/>
                <w:sz w:val="20"/>
              </w:rPr>
              <w:t>ost-offsets</w:t>
            </w:r>
            <w:proofErr w:type="gramEnd"/>
            <w:r w:rsidR="00225CBA" w:rsidRPr="003E7E2B">
              <w:rPr>
                <w:rFonts w:ascii="Arial Narrow" w:hAnsi="Arial Narrow"/>
                <w:sz w:val="20"/>
              </w:rPr>
              <w:t xml:space="preserve"> were phased rather than front-loaded.</w:t>
            </w:r>
          </w:p>
        </w:tc>
      </w:tr>
      <w:tr w:rsidR="008116C0" w:rsidRPr="003E7E2B" w:rsidTr="00225CBA">
        <w:trPr>
          <w:cantSplit/>
          <w:trHeight w:val="416"/>
        </w:trPr>
        <w:tc>
          <w:tcPr>
            <w:tcW w:w="558" w:type="pct"/>
          </w:tcPr>
          <w:p w:rsidR="008116C0" w:rsidRPr="003E7E2B" w:rsidRDefault="008116C0" w:rsidP="008116C0">
            <w:pPr>
              <w:rPr>
                <w:rFonts w:ascii="Arial Narrow" w:hAnsi="Arial Narrow"/>
                <w:sz w:val="20"/>
                <w:szCs w:val="20"/>
              </w:rPr>
            </w:pPr>
            <w:r w:rsidRPr="003E7E2B">
              <w:rPr>
                <w:rFonts w:ascii="Arial Narrow" w:hAnsi="Arial Narrow"/>
                <w:sz w:val="20"/>
                <w:szCs w:val="20"/>
              </w:rPr>
              <w:lastRenderedPageBreak/>
              <w:t>Risk sharing arrangement</w:t>
            </w:r>
          </w:p>
        </w:tc>
        <w:tc>
          <w:tcPr>
            <w:tcW w:w="2758" w:type="pct"/>
          </w:tcPr>
          <w:p w:rsidR="00A53899" w:rsidRPr="003E7E2B" w:rsidRDefault="00A53899" w:rsidP="00A53899">
            <w:pPr>
              <w:rPr>
                <w:rFonts w:ascii="Arial Narrow" w:hAnsi="Arial Narrow"/>
                <w:sz w:val="20"/>
                <w:szCs w:val="20"/>
              </w:rPr>
            </w:pPr>
            <w:r w:rsidRPr="003E7E2B">
              <w:rPr>
                <w:rFonts w:ascii="Arial Narrow" w:hAnsi="Arial Narrow"/>
                <w:sz w:val="20"/>
                <w:szCs w:val="20"/>
              </w:rPr>
              <w:t>100% rebate beyond estimated utilisation</w:t>
            </w:r>
          </w:p>
          <w:p w:rsidR="00A53899" w:rsidRPr="003E7E2B" w:rsidRDefault="00A53899" w:rsidP="00A53899">
            <w:pPr>
              <w:rPr>
                <w:rFonts w:ascii="Arial Narrow" w:hAnsi="Arial Narrow"/>
                <w:sz w:val="20"/>
                <w:szCs w:val="20"/>
              </w:rPr>
            </w:pPr>
            <w:r w:rsidRPr="003E7E2B">
              <w:rPr>
                <w:rFonts w:ascii="Arial Narrow" w:hAnsi="Arial Narrow"/>
                <w:sz w:val="20"/>
                <w:szCs w:val="20"/>
              </w:rPr>
              <w:t>Did not take into account reductions in second-line use of nivolumab in proposed RSA.</w:t>
            </w:r>
          </w:p>
          <w:p w:rsidR="00A53899" w:rsidRPr="003E7E2B" w:rsidRDefault="00A53899" w:rsidP="00A53899">
            <w:pPr>
              <w:rPr>
                <w:rFonts w:ascii="Arial Narrow" w:hAnsi="Arial Narrow"/>
                <w:sz w:val="20"/>
                <w:szCs w:val="20"/>
              </w:rPr>
            </w:pPr>
            <w:r w:rsidRPr="003E7E2B">
              <w:rPr>
                <w:rFonts w:ascii="Arial Narrow" w:hAnsi="Arial Narrow"/>
                <w:sz w:val="20"/>
                <w:szCs w:val="20"/>
              </w:rPr>
              <w:t>Para 7.15</w:t>
            </w:r>
            <w:r w:rsidR="00520868">
              <w:rPr>
                <w:rFonts w:ascii="Arial Narrow" w:hAnsi="Arial Narrow"/>
                <w:sz w:val="20"/>
                <w:szCs w:val="20"/>
              </w:rPr>
              <w:t xml:space="preserve"> July 2018 PBAC minutes</w:t>
            </w:r>
            <w:r w:rsidRPr="003E7E2B">
              <w:rPr>
                <w:rFonts w:ascii="Arial Narrow" w:hAnsi="Arial Narrow"/>
                <w:sz w:val="20"/>
                <w:szCs w:val="20"/>
              </w:rPr>
              <w:t>: a 100% rebate beyond estimated utilisation. Listing in first-line setting would reduce second-line use of nivolumab, and so flow-on changes would be required to the existing RSA for second-line nivolumab.</w:t>
            </w:r>
          </w:p>
        </w:tc>
        <w:tc>
          <w:tcPr>
            <w:tcW w:w="1684" w:type="pct"/>
          </w:tcPr>
          <w:p w:rsidR="008116C0" w:rsidRPr="003E7E2B" w:rsidRDefault="00786F22" w:rsidP="00786F22">
            <w:pPr>
              <w:rPr>
                <w:rFonts w:ascii="Arial Narrow" w:hAnsi="Arial Narrow"/>
                <w:sz w:val="20"/>
                <w:szCs w:val="20"/>
              </w:rPr>
            </w:pPr>
            <w:r w:rsidRPr="003E7E2B">
              <w:rPr>
                <w:rFonts w:ascii="Arial Narrow" w:hAnsi="Arial Narrow"/>
                <w:sz w:val="20"/>
                <w:szCs w:val="20"/>
              </w:rPr>
              <w:t>Proposed RSA with 100% rebate beyond estimated utilisation; sponsor stated it is willing to work with the Department to incorporate flow-on changes to the existing RSA for second-line NIVO</w:t>
            </w:r>
          </w:p>
        </w:tc>
      </w:tr>
      <w:tr w:rsidR="008116C0" w:rsidRPr="003E7E2B" w:rsidTr="00786F22">
        <w:trPr>
          <w:cantSplit/>
          <w:trHeight w:val="467"/>
        </w:trPr>
        <w:tc>
          <w:tcPr>
            <w:tcW w:w="558" w:type="pct"/>
          </w:tcPr>
          <w:p w:rsidR="008116C0" w:rsidRPr="003E7E2B" w:rsidRDefault="008116C0" w:rsidP="008116C0">
            <w:pPr>
              <w:rPr>
                <w:rFonts w:ascii="Arial Narrow" w:hAnsi="Arial Narrow"/>
                <w:sz w:val="20"/>
                <w:szCs w:val="20"/>
                <w:highlight w:val="yellow"/>
              </w:rPr>
            </w:pPr>
            <w:r w:rsidRPr="003E7E2B">
              <w:rPr>
                <w:rFonts w:ascii="Arial Narrow" w:hAnsi="Arial Narrow"/>
                <w:sz w:val="20"/>
                <w:szCs w:val="20"/>
                <w:highlight w:val="yellow"/>
              </w:rPr>
              <w:br w:type="page"/>
            </w:r>
            <w:r w:rsidRPr="003E7E2B">
              <w:rPr>
                <w:rFonts w:ascii="Arial Narrow" w:hAnsi="Arial Narrow"/>
                <w:sz w:val="20"/>
                <w:szCs w:val="20"/>
              </w:rPr>
              <w:t>PBAC decision</w:t>
            </w:r>
          </w:p>
        </w:tc>
        <w:tc>
          <w:tcPr>
            <w:tcW w:w="2758" w:type="pct"/>
          </w:tcPr>
          <w:p w:rsidR="008116C0" w:rsidRPr="003E7E2B" w:rsidRDefault="008116C0" w:rsidP="00A53899">
            <w:pPr>
              <w:rPr>
                <w:rFonts w:ascii="Arial Narrow" w:hAnsi="Arial Narrow"/>
                <w:sz w:val="20"/>
                <w:szCs w:val="20"/>
              </w:rPr>
            </w:pPr>
            <w:r w:rsidRPr="003E7E2B">
              <w:rPr>
                <w:rFonts w:ascii="Arial Narrow" w:hAnsi="Arial Narrow"/>
                <w:bCs/>
                <w:sz w:val="20"/>
                <w:szCs w:val="20"/>
              </w:rPr>
              <w:t xml:space="preserve">Reject.  </w:t>
            </w:r>
          </w:p>
        </w:tc>
        <w:tc>
          <w:tcPr>
            <w:tcW w:w="1684" w:type="pct"/>
          </w:tcPr>
          <w:p w:rsidR="008116C0" w:rsidRPr="003E7E2B" w:rsidRDefault="008116C0" w:rsidP="008116C0">
            <w:pPr>
              <w:rPr>
                <w:rFonts w:ascii="Arial Narrow" w:hAnsi="Arial Narrow"/>
                <w:sz w:val="20"/>
                <w:szCs w:val="20"/>
              </w:rPr>
            </w:pPr>
            <w:r w:rsidRPr="003E7E2B">
              <w:rPr>
                <w:rFonts w:ascii="Arial Narrow" w:hAnsi="Arial Narrow"/>
                <w:sz w:val="20"/>
                <w:szCs w:val="20"/>
              </w:rPr>
              <w:t>-</w:t>
            </w:r>
          </w:p>
        </w:tc>
      </w:tr>
    </w:tbl>
    <w:p w:rsidR="008116C0" w:rsidRPr="003E7E2B" w:rsidRDefault="008116C0" w:rsidP="008116C0">
      <w:pPr>
        <w:jc w:val="both"/>
        <w:rPr>
          <w:rFonts w:ascii="Arial Narrow" w:hAnsi="Arial Narrow" w:cs="Arial"/>
          <w:snapToGrid w:val="0"/>
          <w:sz w:val="18"/>
          <w:szCs w:val="18"/>
          <w:lang w:eastAsia="en-US"/>
        </w:rPr>
      </w:pPr>
      <w:r w:rsidRPr="003E7E2B">
        <w:rPr>
          <w:rFonts w:ascii="Arial Narrow" w:hAnsi="Arial Narrow" w:cs="Arial"/>
          <w:snapToGrid w:val="0"/>
          <w:sz w:val="18"/>
          <w:szCs w:val="20"/>
          <w:lang w:eastAsia="en-US"/>
        </w:rPr>
        <w:t>Source: Compiled during the pre</w:t>
      </w:r>
      <w:r w:rsidR="00845EDE">
        <w:rPr>
          <w:rFonts w:ascii="Arial Narrow" w:hAnsi="Arial Narrow" w:cs="Arial"/>
          <w:snapToGrid w:val="0"/>
          <w:sz w:val="18"/>
          <w:szCs w:val="20"/>
          <w:lang w:eastAsia="en-US"/>
        </w:rPr>
        <w:t>paration of the Minor Overview.</w:t>
      </w:r>
    </w:p>
    <w:p w:rsidR="008116C0" w:rsidRPr="003E7E2B" w:rsidRDefault="008116C0" w:rsidP="008116C0">
      <w:pPr>
        <w:jc w:val="both"/>
        <w:rPr>
          <w:rFonts w:ascii="Arial" w:hAnsi="Arial"/>
          <w:b/>
          <w:sz w:val="18"/>
          <w:szCs w:val="18"/>
        </w:rPr>
      </w:pPr>
      <w:r w:rsidRPr="003E7E2B">
        <w:rPr>
          <w:rFonts w:ascii="Arial Narrow" w:hAnsi="Arial Narrow"/>
          <w:sz w:val="18"/>
          <w:szCs w:val="18"/>
        </w:rPr>
        <w:t>ICER = incremental cost effectiveness ratio</w:t>
      </w:r>
    </w:p>
    <w:p w:rsidR="008116C0" w:rsidRPr="003E7E2B" w:rsidRDefault="008116C0" w:rsidP="0027241C">
      <w:pPr>
        <w:pStyle w:val="TableFooter"/>
        <w:rPr>
          <w:rFonts w:eastAsiaTheme="minorHAnsi"/>
          <w:snapToGrid/>
        </w:rPr>
      </w:pPr>
    </w:p>
    <w:p w:rsidR="004557BF" w:rsidRPr="003E7E2B" w:rsidRDefault="004557BF" w:rsidP="008116C0">
      <w:pPr>
        <w:pStyle w:val="ListParagraph"/>
        <w:widowControl/>
        <w:spacing w:after="120"/>
        <w:contextualSpacing w:val="0"/>
        <w:rPr>
          <w:rFonts w:asciiTheme="minorHAnsi" w:eastAsiaTheme="minorHAnsi" w:hAnsiTheme="minorHAnsi" w:cstheme="minorBidi"/>
          <w:i/>
          <w:snapToGrid/>
          <w:sz w:val="24"/>
          <w:szCs w:val="22"/>
        </w:rPr>
      </w:pPr>
      <w:r w:rsidRPr="003E7E2B">
        <w:rPr>
          <w:rFonts w:asciiTheme="minorHAnsi" w:eastAsiaTheme="minorHAnsi" w:hAnsiTheme="minorHAnsi" w:cstheme="minorBidi"/>
          <w:i/>
          <w:snapToGrid/>
          <w:sz w:val="24"/>
          <w:szCs w:val="22"/>
        </w:rPr>
        <w:t xml:space="preserve">For more detail on PBAC’s view, see section </w:t>
      </w:r>
      <w:r w:rsidR="00813207" w:rsidRPr="003E7E2B">
        <w:rPr>
          <w:rFonts w:asciiTheme="minorHAnsi" w:eastAsiaTheme="minorHAnsi" w:hAnsiTheme="minorHAnsi" w:cstheme="minorBidi"/>
          <w:i/>
          <w:snapToGrid/>
          <w:sz w:val="24"/>
          <w:szCs w:val="22"/>
        </w:rPr>
        <w:t>6</w:t>
      </w:r>
      <w:r w:rsidRPr="003E7E2B">
        <w:rPr>
          <w:rFonts w:asciiTheme="minorHAnsi" w:eastAsiaTheme="minorHAnsi" w:hAnsiTheme="minorHAnsi" w:cstheme="minorBidi"/>
          <w:i/>
          <w:snapToGrid/>
          <w:sz w:val="24"/>
          <w:szCs w:val="22"/>
        </w:rPr>
        <w:t xml:space="preserve"> PBAC outcome.</w:t>
      </w:r>
    </w:p>
    <w:p w:rsidR="005A3173" w:rsidRPr="003E7E2B" w:rsidRDefault="005A3173" w:rsidP="00FC41BC">
      <w:pPr>
        <w:pStyle w:val="Heading1"/>
      </w:pPr>
      <w:r w:rsidRPr="003E7E2B">
        <w:t>Comparator</w:t>
      </w:r>
    </w:p>
    <w:p w:rsidR="00D35E50" w:rsidRPr="003E7E2B" w:rsidRDefault="00D35E50" w:rsidP="00951BE4">
      <w:pPr>
        <w:pStyle w:val="ListParagraph"/>
        <w:widowControl/>
        <w:numPr>
          <w:ilvl w:val="1"/>
          <w:numId w:val="14"/>
        </w:numPr>
        <w:spacing w:after="120"/>
        <w:contextualSpacing w:val="0"/>
        <w:rPr>
          <w:rFonts w:asciiTheme="minorHAnsi" w:eastAsiaTheme="minorHAnsi" w:hAnsiTheme="minorHAnsi" w:cstheme="minorHAnsi"/>
          <w:snapToGrid/>
          <w:sz w:val="24"/>
          <w:szCs w:val="24"/>
        </w:rPr>
      </w:pPr>
      <w:r w:rsidRPr="003E7E2B">
        <w:rPr>
          <w:rFonts w:asciiTheme="minorHAnsi" w:eastAsiaTheme="minorHAnsi" w:hAnsiTheme="minorHAnsi" w:cstheme="minorHAnsi"/>
          <w:snapToGrid/>
          <w:sz w:val="24"/>
          <w:szCs w:val="24"/>
        </w:rPr>
        <w:t>The nomi</w:t>
      </w:r>
      <w:r w:rsidR="00951BE4" w:rsidRPr="003E7E2B">
        <w:rPr>
          <w:rFonts w:asciiTheme="minorHAnsi" w:eastAsiaTheme="minorHAnsi" w:hAnsiTheme="minorHAnsi" w:cstheme="minorHAnsi"/>
          <w:snapToGrid/>
          <w:sz w:val="24"/>
          <w:szCs w:val="24"/>
        </w:rPr>
        <w:t>n</w:t>
      </w:r>
      <w:r w:rsidRPr="003E7E2B">
        <w:rPr>
          <w:rFonts w:asciiTheme="minorHAnsi" w:eastAsiaTheme="minorHAnsi" w:hAnsiTheme="minorHAnsi" w:cstheme="minorHAnsi"/>
          <w:snapToGrid/>
          <w:sz w:val="24"/>
          <w:szCs w:val="24"/>
        </w:rPr>
        <w:t xml:space="preserve">ated comparator, sunitinib, was unchanged from the previous </w:t>
      </w:r>
      <w:r w:rsidR="00FF2801" w:rsidRPr="003E7E2B">
        <w:rPr>
          <w:rFonts w:asciiTheme="minorHAnsi" w:eastAsiaTheme="minorHAnsi" w:hAnsiTheme="minorHAnsi" w:cstheme="minorHAnsi"/>
          <w:snapToGrid/>
          <w:sz w:val="24"/>
          <w:szCs w:val="24"/>
        </w:rPr>
        <w:t>submission</w:t>
      </w:r>
      <w:r w:rsidRPr="003E7E2B">
        <w:rPr>
          <w:rFonts w:asciiTheme="minorHAnsi" w:eastAsiaTheme="minorHAnsi" w:hAnsiTheme="minorHAnsi" w:cstheme="minorHAnsi"/>
          <w:snapToGrid/>
          <w:sz w:val="24"/>
          <w:szCs w:val="24"/>
        </w:rPr>
        <w:t>.</w:t>
      </w:r>
    </w:p>
    <w:p w:rsidR="00FB0075" w:rsidRPr="003C2660" w:rsidRDefault="00FB0075" w:rsidP="00951BE4">
      <w:pPr>
        <w:pStyle w:val="ListParagraph"/>
        <w:widowControl/>
        <w:numPr>
          <w:ilvl w:val="1"/>
          <w:numId w:val="14"/>
        </w:numPr>
        <w:spacing w:after="120"/>
        <w:contextualSpacing w:val="0"/>
        <w:rPr>
          <w:rFonts w:asciiTheme="minorHAnsi" w:hAnsiTheme="minorHAnsi" w:cstheme="minorHAnsi"/>
          <w:sz w:val="24"/>
          <w:szCs w:val="24"/>
        </w:rPr>
      </w:pPr>
      <w:r w:rsidRPr="003E7E2B">
        <w:rPr>
          <w:rFonts w:asciiTheme="minorHAnsi" w:hAnsiTheme="minorHAnsi" w:cstheme="minorHAnsi"/>
          <w:sz w:val="24"/>
          <w:szCs w:val="24"/>
        </w:rPr>
        <w:t xml:space="preserve">The PBAC previously accepted sunitinib as the appropriate main comparator, but </w:t>
      </w:r>
      <w:r w:rsidRPr="00AF0145">
        <w:rPr>
          <w:rFonts w:asciiTheme="minorHAnsi" w:hAnsiTheme="minorHAnsi" w:cstheme="minorHAnsi"/>
          <w:bCs/>
          <w:sz w:val="24"/>
          <w:szCs w:val="24"/>
        </w:rPr>
        <w:t xml:space="preserve">expressed concern that patients at poor prognostic risk are currently being treated with </w:t>
      </w:r>
      <w:r w:rsidRPr="003E7E2B">
        <w:rPr>
          <w:rFonts w:asciiTheme="minorHAnsi" w:hAnsiTheme="minorHAnsi" w:cstheme="minorHAnsi"/>
          <w:sz w:val="24"/>
          <w:szCs w:val="24"/>
        </w:rPr>
        <w:t xml:space="preserve">sunitinib and </w:t>
      </w:r>
      <w:proofErr w:type="spellStart"/>
      <w:r w:rsidRPr="003E7E2B">
        <w:rPr>
          <w:rFonts w:asciiTheme="minorHAnsi" w:hAnsiTheme="minorHAnsi" w:cstheme="minorHAnsi"/>
          <w:sz w:val="24"/>
          <w:szCs w:val="24"/>
        </w:rPr>
        <w:t>pazopanib</w:t>
      </w:r>
      <w:proofErr w:type="spellEnd"/>
      <w:r w:rsidRPr="003E7E2B">
        <w:rPr>
          <w:rFonts w:asciiTheme="minorHAnsi" w:hAnsiTheme="minorHAnsi" w:cstheme="minorHAnsi"/>
          <w:sz w:val="24"/>
          <w:szCs w:val="24"/>
        </w:rPr>
        <w:t>, which are likely to have limited efficacy in this population, but may be associated with significant toxicity (Para</w:t>
      </w:r>
      <w:r w:rsidR="00665E88" w:rsidRPr="003E7E2B">
        <w:rPr>
          <w:rFonts w:asciiTheme="minorHAnsi" w:hAnsiTheme="minorHAnsi" w:cstheme="minorHAnsi"/>
          <w:sz w:val="24"/>
          <w:szCs w:val="24"/>
        </w:rPr>
        <w:t>graph</w:t>
      </w:r>
      <w:r w:rsidRPr="003E7E2B">
        <w:rPr>
          <w:rFonts w:asciiTheme="minorHAnsi" w:hAnsiTheme="minorHAnsi" w:cstheme="minorHAnsi"/>
          <w:sz w:val="24"/>
          <w:szCs w:val="24"/>
        </w:rPr>
        <w:t xml:space="preserve"> 7.6</w:t>
      </w:r>
      <w:r w:rsidR="008E2ADA" w:rsidRPr="003C2660">
        <w:rPr>
          <w:rFonts w:asciiTheme="minorHAnsi" w:hAnsiTheme="minorHAnsi" w:cstheme="minorHAnsi"/>
          <w:sz w:val="24"/>
          <w:szCs w:val="24"/>
        </w:rPr>
        <w:t xml:space="preserve">, PBAC </w:t>
      </w:r>
      <w:r w:rsidR="00DD2D76">
        <w:rPr>
          <w:rFonts w:asciiTheme="minorHAnsi" w:hAnsiTheme="minorHAnsi" w:cstheme="minorHAnsi"/>
          <w:sz w:val="24"/>
          <w:szCs w:val="24"/>
        </w:rPr>
        <w:t>PSD</w:t>
      </w:r>
      <w:r w:rsidR="00DD2D76" w:rsidRPr="003C2660">
        <w:rPr>
          <w:rFonts w:asciiTheme="minorHAnsi" w:hAnsiTheme="minorHAnsi" w:cstheme="minorHAnsi"/>
          <w:sz w:val="24"/>
          <w:szCs w:val="24"/>
        </w:rPr>
        <w:t xml:space="preserve"> </w:t>
      </w:r>
      <w:r w:rsidR="008E2ADA" w:rsidRPr="003C2660">
        <w:rPr>
          <w:rFonts w:asciiTheme="minorHAnsi" w:hAnsiTheme="minorHAnsi" w:cstheme="minorHAnsi"/>
          <w:sz w:val="24"/>
          <w:szCs w:val="24"/>
        </w:rPr>
        <w:t>July 2018).</w:t>
      </w:r>
    </w:p>
    <w:p w:rsidR="00813207" w:rsidRPr="003C2660" w:rsidRDefault="00813207" w:rsidP="00813207">
      <w:pPr>
        <w:pStyle w:val="ListParagraph"/>
        <w:widowControl/>
        <w:spacing w:after="120"/>
        <w:contextualSpacing w:val="0"/>
        <w:rPr>
          <w:rFonts w:asciiTheme="minorHAnsi" w:hAnsiTheme="minorHAnsi" w:cstheme="minorHAnsi"/>
          <w:i/>
          <w:sz w:val="24"/>
          <w:szCs w:val="24"/>
        </w:rPr>
      </w:pPr>
      <w:r w:rsidRPr="003C2660">
        <w:rPr>
          <w:rFonts w:asciiTheme="minorHAnsi" w:hAnsiTheme="minorHAnsi" w:cstheme="minorHAnsi"/>
          <w:i/>
          <w:sz w:val="24"/>
          <w:szCs w:val="24"/>
        </w:rPr>
        <w:t>For more detail on PBAC’s view, see section 6 PBAC outcome.</w:t>
      </w:r>
    </w:p>
    <w:p w:rsidR="000B558D" w:rsidRPr="0027241C" w:rsidRDefault="008D7A41" w:rsidP="0027241C">
      <w:pPr>
        <w:pStyle w:val="Heading1"/>
      </w:pPr>
      <w:r w:rsidRPr="0027241C">
        <w:t>C</w:t>
      </w:r>
      <w:r w:rsidR="00D84934" w:rsidRPr="0027241C">
        <w:t>onsideration of the evidence</w:t>
      </w:r>
    </w:p>
    <w:p w:rsidR="00813207" w:rsidRPr="0027241C" w:rsidRDefault="00813207" w:rsidP="0027241C">
      <w:pPr>
        <w:pStyle w:val="Heading2"/>
      </w:pPr>
      <w:r w:rsidRPr="0027241C">
        <w:t>Sponsor hearing</w:t>
      </w:r>
    </w:p>
    <w:p w:rsidR="007E77A4" w:rsidRPr="003E7E2B" w:rsidRDefault="007E77A4" w:rsidP="007E77A4">
      <w:pPr>
        <w:widowControl w:val="0"/>
        <w:numPr>
          <w:ilvl w:val="1"/>
          <w:numId w:val="5"/>
        </w:numPr>
        <w:spacing w:after="120"/>
        <w:jc w:val="both"/>
        <w:rPr>
          <w:rFonts w:asciiTheme="minorHAnsi" w:hAnsiTheme="minorHAnsi"/>
          <w:bCs/>
        </w:rPr>
      </w:pPr>
      <w:r w:rsidRPr="003E7E2B">
        <w:rPr>
          <w:rFonts w:asciiTheme="minorHAnsi" w:hAnsiTheme="minorHAnsi"/>
          <w:bCs/>
        </w:rPr>
        <w:t>There was no hearing for this item as it was a minor submission.</w:t>
      </w:r>
    </w:p>
    <w:p w:rsidR="00813207" w:rsidRPr="003E7E2B" w:rsidRDefault="00813207" w:rsidP="0027241C">
      <w:pPr>
        <w:pStyle w:val="Heading2"/>
      </w:pPr>
      <w:r w:rsidRPr="003E7E2B">
        <w:t>Consumer comments</w:t>
      </w:r>
    </w:p>
    <w:p w:rsidR="00813207" w:rsidRPr="003E7E2B" w:rsidRDefault="00813207" w:rsidP="00813207">
      <w:pPr>
        <w:widowControl w:val="0"/>
        <w:numPr>
          <w:ilvl w:val="1"/>
          <w:numId w:val="5"/>
        </w:numPr>
        <w:spacing w:after="120"/>
        <w:jc w:val="both"/>
        <w:rPr>
          <w:rFonts w:asciiTheme="minorHAnsi" w:hAnsiTheme="minorHAnsi"/>
          <w:bCs/>
        </w:rPr>
      </w:pPr>
      <w:r w:rsidRPr="003E7E2B">
        <w:rPr>
          <w:rFonts w:asciiTheme="minorHAnsi" w:hAnsiTheme="minorHAnsi"/>
          <w:bCs/>
        </w:rPr>
        <w:t xml:space="preserve">The PBAC noted and welcomed the input from individuals (two) and health professionals (four) via the Consumer Comments facility on the PBS website. The comments described the </w:t>
      </w:r>
      <w:r w:rsidR="007E77A4" w:rsidRPr="003E7E2B">
        <w:rPr>
          <w:rFonts w:asciiTheme="minorHAnsi" w:hAnsiTheme="minorHAnsi"/>
          <w:bCs/>
        </w:rPr>
        <w:t xml:space="preserve">rates of complete remission achieved with NIVO+IPI, the potential for more durable responses and the potential for cure. The comments also noted the positive impact of NIVO+IPI </w:t>
      </w:r>
      <w:r w:rsidRPr="003E7E2B">
        <w:rPr>
          <w:rFonts w:asciiTheme="minorHAnsi" w:hAnsiTheme="minorHAnsi"/>
          <w:bCs/>
        </w:rPr>
        <w:t>on quality of life,</w:t>
      </w:r>
      <w:r w:rsidR="007E77A4" w:rsidRPr="003E7E2B">
        <w:rPr>
          <w:rFonts w:asciiTheme="minorHAnsi" w:hAnsiTheme="minorHAnsi"/>
          <w:bCs/>
        </w:rPr>
        <w:t xml:space="preserve"> and that </w:t>
      </w:r>
      <w:r w:rsidR="00A32481" w:rsidRPr="003E7E2B">
        <w:rPr>
          <w:rFonts w:asciiTheme="minorHAnsi" w:hAnsiTheme="minorHAnsi"/>
          <w:bCs/>
        </w:rPr>
        <w:t xml:space="preserve">the </w:t>
      </w:r>
      <w:r w:rsidR="007E77A4" w:rsidRPr="003E7E2B">
        <w:rPr>
          <w:rFonts w:asciiTheme="minorHAnsi" w:hAnsiTheme="minorHAnsi"/>
          <w:bCs/>
        </w:rPr>
        <w:t xml:space="preserve">adverse events with immunotherapies </w:t>
      </w:r>
      <w:r w:rsidR="00A32481" w:rsidRPr="003E7E2B">
        <w:rPr>
          <w:rFonts w:asciiTheme="minorHAnsi" w:hAnsiTheme="minorHAnsi"/>
          <w:bCs/>
        </w:rPr>
        <w:t>are manageable</w:t>
      </w:r>
      <w:r w:rsidR="007E77A4" w:rsidRPr="003E7E2B">
        <w:rPr>
          <w:rFonts w:asciiTheme="minorHAnsi" w:hAnsiTheme="minorHAnsi"/>
          <w:bCs/>
        </w:rPr>
        <w:t>.</w:t>
      </w:r>
    </w:p>
    <w:p w:rsidR="007E77A4" w:rsidRPr="003E7E2B" w:rsidRDefault="007E77A4" w:rsidP="007E77A4">
      <w:pPr>
        <w:numPr>
          <w:ilvl w:val="1"/>
          <w:numId w:val="5"/>
        </w:numPr>
        <w:spacing w:after="120"/>
        <w:jc w:val="both"/>
        <w:rPr>
          <w:rFonts w:asciiTheme="minorHAnsi" w:hAnsiTheme="minorHAnsi"/>
          <w:bCs/>
        </w:rPr>
      </w:pPr>
      <w:r w:rsidRPr="003E7E2B">
        <w:rPr>
          <w:rFonts w:asciiTheme="minorHAnsi" w:hAnsiTheme="minorHAnsi"/>
          <w:bCs/>
        </w:rPr>
        <w:t xml:space="preserve">The Medical Oncology Group of Australia (MOGA) also expressed its strong support for the NIVO+IPI for RCC submission, categorising it as one of the therapies of “highest priority for PBS listing” on the basis of the CA209214 trial. The PBAC noted that the MOGA was unable to calculate the European Society for Medical Oncology Magnitude of Clinical Benefit Scale (ESMO-MCBS) score for NIVO+IPI for RCC, as the </w:t>
      </w:r>
      <w:r w:rsidRPr="003E7E2B">
        <w:rPr>
          <w:rFonts w:asciiTheme="minorHAnsi" w:hAnsiTheme="minorHAnsi"/>
          <w:bCs/>
        </w:rPr>
        <w:lastRenderedPageBreak/>
        <w:t>data were immature and the median survival time for the NIVO+IPI arm had not been reached.</w:t>
      </w:r>
      <w:r w:rsidRPr="003E7E2B">
        <w:rPr>
          <w:rFonts w:asciiTheme="minorHAnsi" w:hAnsiTheme="minorHAnsi"/>
          <w:bCs/>
          <w:vertAlign w:val="superscript"/>
        </w:rPr>
        <w:footnoteReference w:id="1"/>
      </w:r>
    </w:p>
    <w:p w:rsidR="00D84934" w:rsidRPr="0027241C" w:rsidRDefault="00D84934" w:rsidP="0027241C">
      <w:pPr>
        <w:pStyle w:val="Heading2"/>
        <w:rPr>
          <w:rFonts w:eastAsiaTheme="majorEastAsia"/>
        </w:rPr>
      </w:pPr>
      <w:r w:rsidRPr="0027241C">
        <w:rPr>
          <w:rFonts w:eastAsiaTheme="majorEastAsia"/>
        </w:rPr>
        <w:t>Clinical trials</w:t>
      </w:r>
    </w:p>
    <w:p w:rsidR="0076420C" w:rsidRPr="003E7E2B" w:rsidRDefault="00E164E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C2660">
        <w:rPr>
          <w:rFonts w:asciiTheme="minorHAnsi" w:eastAsiaTheme="minorHAnsi" w:hAnsiTheme="minorHAnsi" w:cstheme="minorBidi"/>
          <w:snapToGrid/>
          <w:sz w:val="24"/>
          <w:szCs w:val="22"/>
        </w:rPr>
        <w:t>N</w:t>
      </w:r>
      <w:r w:rsidR="0076420C" w:rsidRPr="003E7E2B">
        <w:rPr>
          <w:rFonts w:asciiTheme="minorHAnsi" w:eastAsiaTheme="minorHAnsi" w:hAnsiTheme="minorHAnsi" w:cstheme="minorBidi"/>
          <w:snapToGrid/>
          <w:sz w:val="24"/>
          <w:szCs w:val="22"/>
        </w:rPr>
        <w:t xml:space="preserve">o clinical trials </w:t>
      </w:r>
      <w:r w:rsidR="00FF2801" w:rsidRPr="003E7E2B">
        <w:rPr>
          <w:rFonts w:asciiTheme="minorHAnsi" w:eastAsiaTheme="minorHAnsi" w:hAnsiTheme="minorHAnsi" w:cstheme="minorBidi"/>
          <w:snapToGrid/>
          <w:sz w:val="24"/>
          <w:szCs w:val="22"/>
        </w:rPr>
        <w:t>were</w:t>
      </w:r>
      <w:r w:rsidR="00FB0075" w:rsidRPr="003E7E2B">
        <w:rPr>
          <w:rFonts w:asciiTheme="minorHAnsi" w:eastAsiaTheme="minorHAnsi" w:hAnsiTheme="minorHAnsi" w:cstheme="minorBidi"/>
          <w:snapToGrid/>
          <w:sz w:val="24"/>
          <w:szCs w:val="22"/>
        </w:rPr>
        <w:t xml:space="preserve"> presented in the </w:t>
      </w:r>
      <w:r w:rsidRPr="003E7E2B">
        <w:rPr>
          <w:rFonts w:asciiTheme="minorHAnsi" w:eastAsiaTheme="minorHAnsi" w:hAnsiTheme="minorHAnsi" w:cstheme="minorBidi"/>
          <w:snapToGrid/>
          <w:sz w:val="24"/>
          <w:szCs w:val="22"/>
        </w:rPr>
        <w:t xml:space="preserve">minor </w:t>
      </w:r>
      <w:r w:rsidR="00FB0075" w:rsidRPr="003E7E2B">
        <w:rPr>
          <w:rFonts w:asciiTheme="minorHAnsi" w:eastAsiaTheme="minorHAnsi" w:hAnsiTheme="minorHAnsi" w:cstheme="minorBidi"/>
          <w:snapToGrid/>
          <w:sz w:val="24"/>
          <w:szCs w:val="22"/>
        </w:rPr>
        <w:t>re</w:t>
      </w:r>
      <w:r w:rsidR="0076420C" w:rsidRPr="003E7E2B">
        <w:rPr>
          <w:rFonts w:asciiTheme="minorHAnsi" w:eastAsiaTheme="minorHAnsi" w:hAnsiTheme="minorHAnsi" w:cstheme="minorBidi"/>
          <w:snapToGrid/>
          <w:sz w:val="24"/>
          <w:szCs w:val="22"/>
        </w:rPr>
        <w:t>submission.</w:t>
      </w:r>
    </w:p>
    <w:p w:rsidR="003C2FB5" w:rsidRPr="003E7E2B" w:rsidRDefault="005A3173" w:rsidP="0027241C">
      <w:pPr>
        <w:pStyle w:val="Heading2"/>
        <w:rPr>
          <w:rFonts w:eastAsiaTheme="majorEastAsia"/>
          <w:lang w:eastAsia="en-US"/>
        </w:rPr>
      </w:pPr>
      <w:r w:rsidRPr="003E7E2B">
        <w:rPr>
          <w:rFonts w:eastAsiaTheme="majorEastAsia"/>
          <w:lang w:eastAsia="en-US"/>
        </w:rPr>
        <w:t>Clinical claim</w:t>
      </w:r>
    </w:p>
    <w:p w:rsidR="00E164E2" w:rsidRPr="003E7E2B" w:rsidRDefault="00E164E2" w:rsidP="00E164E2">
      <w:pPr>
        <w:pStyle w:val="ListParagraph"/>
        <w:numPr>
          <w:ilvl w:val="1"/>
          <w:numId w:val="14"/>
        </w:numPr>
        <w:spacing w:after="120"/>
        <w:contextualSpacing w:val="0"/>
        <w:rPr>
          <w:rFonts w:asciiTheme="minorHAnsi" w:eastAsiaTheme="minorHAnsi" w:hAnsiTheme="minorHAnsi" w:cstheme="minorBidi"/>
          <w:snapToGrid/>
          <w:sz w:val="24"/>
          <w:szCs w:val="24"/>
        </w:rPr>
      </w:pPr>
      <w:r w:rsidRPr="003E7E2B">
        <w:rPr>
          <w:rFonts w:asciiTheme="minorHAnsi" w:eastAsiaTheme="minorHAnsi" w:hAnsiTheme="minorHAnsi" w:cstheme="minorBidi"/>
          <w:snapToGrid/>
          <w:sz w:val="24"/>
          <w:szCs w:val="24"/>
        </w:rPr>
        <w:t>The minor resubmission did not present any new informatio</w:t>
      </w:r>
      <w:r w:rsidR="00845EDE">
        <w:rPr>
          <w:rFonts w:asciiTheme="minorHAnsi" w:eastAsiaTheme="minorHAnsi" w:hAnsiTheme="minorHAnsi" w:cstheme="minorBidi"/>
          <w:snapToGrid/>
          <w:sz w:val="24"/>
          <w:szCs w:val="24"/>
        </w:rPr>
        <w:t>n regarding the clinical claim.</w:t>
      </w:r>
    </w:p>
    <w:p w:rsidR="00E164E2" w:rsidRPr="003E7E2B" w:rsidRDefault="00E164E2" w:rsidP="00E164E2">
      <w:pPr>
        <w:pStyle w:val="ListParagraph"/>
        <w:numPr>
          <w:ilvl w:val="1"/>
          <w:numId w:val="14"/>
        </w:numPr>
        <w:spacing w:after="120"/>
        <w:contextualSpacing w:val="0"/>
        <w:rPr>
          <w:rFonts w:asciiTheme="minorHAnsi" w:eastAsiaTheme="minorHAnsi" w:hAnsiTheme="minorHAnsi" w:cstheme="minorBidi"/>
          <w:snapToGrid/>
          <w:sz w:val="24"/>
          <w:szCs w:val="24"/>
        </w:rPr>
      </w:pPr>
      <w:r w:rsidRPr="003E7E2B">
        <w:rPr>
          <w:rFonts w:asciiTheme="minorHAnsi" w:eastAsiaTheme="minorHAnsi" w:hAnsiTheme="minorHAnsi" w:cstheme="minorBidi"/>
          <w:snapToGrid/>
          <w:sz w:val="24"/>
          <w:szCs w:val="24"/>
        </w:rPr>
        <w:t>In its previous consideration, the PBAC considered that the claim of clinical superiority of NIVO+IPI versus sunitinib was adequately supported given the statistically significant improvement in OS observed in the pivotal trial, but considered that the magnitude of the benefit was difficult to quantify given the immaturity of the data. The PBAC also considered that the trial population may be healthier than the likely PBS population, and thus the trial may have overestimated the incremental effectiveness of NIVO+IPI versus sunitinib (Paragraph 6.37</w:t>
      </w:r>
      <w:r w:rsidR="008E2ADA" w:rsidRPr="003E7E2B">
        <w:rPr>
          <w:rFonts w:asciiTheme="minorHAnsi" w:eastAsiaTheme="minorHAnsi" w:hAnsiTheme="minorHAnsi" w:cstheme="minorBidi"/>
          <w:snapToGrid/>
          <w:sz w:val="24"/>
          <w:szCs w:val="24"/>
        </w:rPr>
        <w:t>,</w:t>
      </w:r>
      <w:r w:rsidR="008E2ADA" w:rsidRPr="003E7E2B">
        <w:rPr>
          <w:rFonts w:asciiTheme="minorHAnsi" w:hAnsiTheme="minorHAnsi" w:cstheme="minorHAnsi"/>
          <w:sz w:val="24"/>
          <w:szCs w:val="24"/>
        </w:rPr>
        <w:t xml:space="preserve"> PBAC </w:t>
      </w:r>
      <w:r w:rsidR="00DD2D76">
        <w:rPr>
          <w:rFonts w:asciiTheme="minorHAnsi" w:hAnsiTheme="minorHAnsi" w:cstheme="minorHAnsi"/>
          <w:sz w:val="24"/>
          <w:szCs w:val="24"/>
        </w:rPr>
        <w:t>PSD</w:t>
      </w:r>
      <w:r w:rsidR="00DD2D76" w:rsidRPr="003E7E2B">
        <w:rPr>
          <w:rFonts w:asciiTheme="minorHAnsi" w:hAnsiTheme="minorHAnsi" w:cstheme="minorHAnsi"/>
          <w:sz w:val="24"/>
          <w:szCs w:val="24"/>
        </w:rPr>
        <w:t xml:space="preserve"> </w:t>
      </w:r>
      <w:r w:rsidR="008E2ADA" w:rsidRPr="003E7E2B">
        <w:rPr>
          <w:rFonts w:asciiTheme="minorHAnsi" w:hAnsiTheme="minorHAnsi" w:cstheme="minorHAnsi"/>
          <w:sz w:val="24"/>
          <w:szCs w:val="24"/>
        </w:rPr>
        <w:t>July 2018).</w:t>
      </w:r>
    </w:p>
    <w:p w:rsidR="00E164E2" w:rsidRPr="003E7E2B" w:rsidRDefault="00E164E2" w:rsidP="00E164E2">
      <w:pPr>
        <w:pStyle w:val="ListParagraph"/>
        <w:widowControl/>
        <w:numPr>
          <w:ilvl w:val="1"/>
          <w:numId w:val="14"/>
        </w:numPr>
        <w:spacing w:after="120"/>
        <w:contextualSpacing w:val="0"/>
        <w:rPr>
          <w:rFonts w:asciiTheme="minorHAnsi" w:hAnsiTheme="minorHAnsi"/>
          <w:sz w:val="24"/>
          <w:szCs w:val="24"/>
        </w:rPr>
      </w:pPr>
      <w:r w:rsidRPr="003E7E2B">
        <w:rPr>
          <w:rFonts w:asciiTheme="minorHAnsi" w:hAnsiTheme="minorHAnsi"/>
          <w:sz w:val="24"/>
          <w:szCs w:val="24"/>
        </w:rPr>
        <w:t>The PBAC previously considered that NIVO+IPI was associated with inferior comparative safety versus sunitinib, given NIVO+IPI was associated with a higher rate of serious adverse events and adverse events requiring treatment discontinuation (Paragraph 7.9</w:t>
      </w:r>
      <w:r w:rsidR="008E2ADA" w:rsidRPr="003E7E2B">
        <w:rPr>
          <w:rFonts w:asciiTheme="minorHAnsi" w:hAnsiTheme="minorHAnsi"/>
          <w:sz w:val="24"/>
          <w:szCs w:val="24"/>
        </w:rPr>
        <w:t xml:space="preserve">, </w:t>
      </w:r>
      <w:r w:rsidR="008E2ADA" w:rsidRPr="003E7E2B">
        <w:rPr>
          <w:rFonts w:asciiTheme="minorHAnsi" w:hAnsiTheme="minorHAnsi" w:cstheme="minorHAnsi"/>
          <w:sz w:val="24"/>
          <w:szCs w:val="24"/>
        </w:rPr>
        <w:t xml:space="preserve">PBAC </w:t>
      </w:r>
      <w:r w:rsidR="00DD2D76">
        <w:rPr>
          <w:rFonts w:asciiTheme="minorHAnsi" w:hAnsiTheme="minorHAnsi" w:cstheme="minorHAnsi"/>
          <w:sz w:val="24"/>
          <w:szCs w:val="24"/>
        </w:rPr>
        <w:t>PSD</w:t>
      </w:r>
      <w:r w:rsidR="00DD2D76" w:rsidRPr="003E7E2B">
        <w:rPr>
          <w:rFonts w:asciiTheme="minorHAnsi" w:hAnsiTheme="minorHAnsi" w:cstheme="minorHAnsi"/>
          <w:sz w:val="24"/>
          <w:szCs w:val="24"/>
        </w:rPr>
        <w:t xml:space="preserve"> </w:t>
      </w:r>
      <w:r w:rsidR="008E2ADA" w:rsidRPr="003E7E2B">
        <w:rPr>
          <w:rFonts w:asciiTheme="minorHAnsi" w:hAnsiTheme="minorHAnsi" w:cstheme="minorHAnsi"/>
          <w:sz w:val="24"/>
          <w:szCs w:val="24"/>
        </w:rPr>
        <w:t>July 2018</w:t>
      </w:r>
      <w:r w:rsidR="00845EDE">
        <w:rPr>
          <w:rFonts w:asciiTheme="minorHAnsi" w:hAnsiTheme="minorHAnsi"/>
          <w:sz w:val="24"/>
          <w:szCs w:val="24"/>
        </w:rPr>
        <w:t>).</w:t>
      </w:r>
    </w:p>
    <w:p w:rsidR="005A3173" w:rsidRPr="003E7E2B" w:rsidRDefault="005A3173" w:rsidP="0027241C">
      <w:pPr>
        <w:pStyle w:val="Heading2"/>
        <w:rPr>
          <w:rFonts w:eastAsiaTheme="majorEastAsia"/>
          <w:lang w:eastAsia="en-US"/>
        </w:rPr>
      </w:pPr>
      <w:r w:rsidRPr="003E7E2B">
        <w:rPr>
          <w:rFonts w:eastAsiaTheme="majorEastAsia"/>
          <w:lang w:eastAsia="en-US"/>
        </w:rPr>
        <w:t>Economic analysis</w:t>
      </w:r>
    </w:p>
    <w:p w:rsidR="00FB0075" w:rsidRPr="003E7E2B" w:rsidRDefault="00FB0075" w:rsidP="00FB0075">
      <w:pPr>
        <w:pStyle w:val="ListParagraph"/>
        <w:numPr>
          <w:ilvl w:val="1"/>
          <w:numId w:val="14"/>
        </w:numPr>
        <w:spacing w:after="120"/>
        <w:rPr>
          <w:rFonts w:asciiTheme="minorHAnsi" w:eastAsiaTheme="minorHAnsi" w:hAnsiTheme="minorHAnsi" w:cstheme="minorBidi"/>
          <w:snapToGrid/>
          <w:sz w:val="24"/>
          <w:szCs w:val="24"/>
        </w:rPr>
      </w:pPr>
      <w:r w:rsidRPr="003E7E2B">
        <w:rPr>
          <w:rFonts w:asciiTheme="minorHAnsi" w:eastAsiaTheme="minorHAnsi" w:hAnsiTheme="minorHAnsi" w:cstheme="minorBidi"/>
          <w:snapToGrid/>
          <w:sz w:val="24"/>
          <w:szCs w:val="24"/>
        </w:rPr>
        <w:t>The PBAC previously considered that the ICER/QALY was uncertain and overly optimistic due to</w:t>
      </w:r>
      <w:r w:rsidR="00652605" w:rsidRPr="003E7E2B">
        <w:rPr>
          <w:rFonts w:asciiTheme="minorHAnsi" w:eastAsiaTheme="minorHAnsi" w:hAnsiTheme="minorHAnsi" w:cstheme="minorBidi"/>
          <w:snapToGrid/>
          <w:sz w:val="24"/>
          <w:szCs w:val="24"/>
        </w:rPr>
        <w:t xml:space="preserve"> the extrapolation method, time horizon and utility values applied. These issues and how they </w:t>
      </w:r>
      <w:r w:rsidR="003C0B4A" w:rsidRPr="003E7E2B">
        <w:rPr>
          <w:rFonts w:asciiTheme="minorHAnsi" w:eastAsiaTheme="minorHAnsi" w:hAnsiTheme="minorHAnsi" w:cstheme="minorBidi"/>
          <w:snapToGrid/>
          <w:sz w:val="24"/>
          <w:szCs w:val="24"/>
        </w:rPr>
        <w:t>we</w:t>
      </w:r>
      <w:r w:rsidR="00652605" w:rsidRPr="003E7E2B">
        <w:rPr>
          <w:rFonts w:asciiTheme="minorHAnsi" w:eastAsiaTheme="minorHAnsi" w:hAnsiTheme="minorHAnsi" w:cstheme="minorBidi"/>
          <w:snapToGrid/>
          <w:sz w:val="24"/>
          <w:szCs w:val="24"/>
        </w:rPr>
        <w:t>re addressed in the resubmission a</w:t>
      </w:r>
      <w:r w:rsidR="00845EDE">
        <w:rPr>
          <w:rFonts w:asciiTheme="minorHAnsi" w:eastAsiaTheme="minorHAnsi" w:hAnsiTheme="minorHAnsi" w:cstheme="minorBidi"/>
          <w:snapToGrid/>
          <w:sz w:val="24"/>
          <w:szCs w:val="24"/>
        </w:rPr>
        <w:t>re outlined in the table below.</w:t>
      </w:r>
    </w:p>
    <w:p w:rsidR="000B2ED5" w:rsidRPr="003E7E2B" w:rsidRDefault="000B2ED5" w:rsidP="001642E7">
      <w:pPr>
        <w:pStyle w:val="Caption"/>
        <w:keepNext/>
        <w:keepLines/>
        <w:rPr>
          <w:rFonts w:ascii="Arial Narrow" w:hAnsi="Arial Narrow"/>
        </w:rPr>
      </w:pPr>
      <w:bookmarkStart w:id="1" w:name="_Ref522193371"/>
      <w:r w:rsidRPr="003E7E2B">
        <w:rPr>
          <w:rFonts w:ascii="Arial Narrow" w:hAnsi="Arial Narrow"/>
        </w:rPr>
        <w:lastRenderedPageBreak/>
        <w:t>Table</w:t>
      </w:r>
      <w:bookmarkEnd w:id="1"/>
      <w:r w:rsidR="00E05FA2" w:rsidRPr="003E7E2B">
        <w:rPr>
          <w:rFonts w:ascii="Arial Narrow" w:hAnsi="Arial Narrow"/>
        </w:rPr>
        <w:t xml:space="preserve"> </w:t>
      </w:r>
      <w:r w:rsidR="00786F22" w:rsidRPr="003E7E2B">
        <w:rPr>
          <w:rFonts w:ascii="Arial Narrow" w:hAnsi="Arial Narrow"/>
        </w:rPr>
        <w:t>2</w:t>
      </w:r>
      <w:r w:rsidRPr="003E7E2B">
        <w:rPr>
          <w:rFonts w:ascii="Arial Narrow" w:hAnsi="Arial Narrow"/>
        </w:rPr>
        <w:t>:</w:t>
      </w:r>
      <w:r w:rsidR="00B36885" w:rsidRPr="003E7E2B">
        <w:rPr>
          <w:rFonts w:ascii="Arial Narrow" w:hAnsi="Arial Narrow"/>
        </w:rPr>
        <w:t xml:space="preserve"> Changes to the economic evaluation</w:t>
      </w:r>
    </w:p>
    <w:tbl>
      <w:tblPr>
        <w:tblStyle w:val="TableGrid"/>
        <w:tblW w:w="5000" w:type="pct"/>
        <w:tblCellMar>
          <w:left w:w="28" w:type="dxa"/>
          <w:right w:w="28" w:type="dxa"/>
        </w:tblCellMar>
        <w:tblLook w:val="04A0" w:firstRow="1" w:lastRow="0" w:firstColumn="1" w:lastColumn="0" w:noHBand="0" w:noVBand="1"/>
        <w:tblCaption w:val="Changes to the economic evaluation"/>
      </w:tblPr>
      <w:tblGrid>
        <w:gridCol w:w="2437"/>
        <w:gridCol w:w="4454"/>
        <w:gridCol w:w="2191"/>
      </w:tblGrid>
      <w:tr w:rsidR="002A0273" w:rsidRPr="003E7E2B" w:rsidTr="00564001">
        <w:trPr>
          <w:cantSplit/>
          <w:trHeight w:val="70"/>
          <w:tblHeader/>
        </w:trPr>
        <w:tc>
          <w:tcPr>
            <w:tcW w:w="1342" w:type="pct"/>
            <w:tcBorders>
              <w:top w:val="single" w:sz="4" w:space="0" w:color="auto"/>
              <w:left w:val="single" w:sz="4" w:space="0" w:color="auto"/>
              <w:bottom w:val="single" w:sz="4" w:space="0" w:color="auto"/>
              <w:right w:val="single" w:sz="4" w:space="0" w:color="auto"/>
            </w:tcBorders>
          </w:tcPr>
          <w:p w:rsidR="002A0273" w:rsidRPr="003E7E2B" w:rsidRDefault="002A0273" w:rsidP="001642E7">
            <w:pPr>
              <w:pStyle w:val="TableText0"/>
              <w:keepNext/>
              <w:keepLines/>
              <w:spacing w:before="0" w:after="0"/>
              <w:rPr>
                <w:rFonts w:ascii="Arial Narrow" w:hAnsi="Arial Narrow" w:cstheme="minorHAnsi"/>
                <w:b/>
              </w:rPr>
            </w:pPr>
            <w:r w:rsidRPr="003E7E2B">
              <w:rPr>
                <w:rFonts w:ascii="Arial Narrow" w:hAnsi="Arial Narrow" w:cstheme="minorHAnsi"/>
                <w:b/>
              </w:rPr>
              <w:t>Previous submission (July 2018</w:t>
            </w:r>
            <w:r w:rsidR="00A62B73" w:rsidRPr="003E7E2B">
              <w:rPr>
                <w:rFonts w:ascii="Arial Narrow" w:hAnsi="Arial Narrow" w:cstheme="minorHAnsi"/>
                <w:b/>
              </w:rPr>
              <w:t xml:space="preserve"> Pre-PBAC response</w:t>
            </w:r>
            <w:r w:rsidRPr="003E7E2B">
              <w:rPr>
                <w:rFonts w:ascii="Arial Narrow" w:hAnsi="Arial Narrow" w:cstheme="minorHAnsi"/>
                <w:b/>
              </w:rPr>
              <w:t>)</w:t>
            </w:r>
          </w:p>
        </w:tc>
        <w:tc>
          <w:tcPr>
            <w:tcW w:w="2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0273" w:rsidRPr="003E7E2B" w:rsidRDefault="002A0273" w:rsidP="00DD2D76">
            <w:pPr>
              <w:pStyle w:val="TableText0"/>
              <w:keepNext/>
              <w:keepLines/>
              <w:spacing w:before="0" w:after="0"/>
              <w:rPr>
                <w:rFonts w:ascii="Arial Narrow" w:hAnsi="Arial Narrow" w:cstheme="minorHAnsi"/>
                <w:b/>
              </w:rPr>
            </w:pPr>
            <w:r w:rsidRPr="003E7E2B">
              <w:rPr>
                <w:rFonts w:ascii="Arial Narrow" w:hAnsi="Arial Narrow" w:cstheme="minorHAnsi"/>
                <w:b/>
              </w:rPr>
              <w:t>PBAC Minutes July 2018</w:t>
            </w:r>
            <w:r w:rsidR="00786F22" w:rsidRPr="003E7E2B">
              <w:rPr>
                <w:rFonts w:ascii="Arial Narrow" w:hAnsi="Arial Narrow" w:cstheme="minorHAnsi"/>
                <w:b/>
              </w:rPr>
              <w:t>, P</w:t>
            </w:r>
            <w:r w:rsidRPr="003E7E2B">
              <w:rPr>
                <w:rFonts w:ascii="Arial Narrow" w:hAnsi="Arial Narrow" w:cstheme="minorHAnsi"/>
                <w:b/>
              </w:rPr>
              <w:t>ara</w:t>
            </w:r>
            <w:r w:rsidR="00786F22" w:rsidRPr="003E7E2B">
              <w:rPr>
                <w:rFonts w:ascii="Arial Narrow" w:hAnsi="Arial Narrow" w:cstheme="minorHAnsi"/>
                <w:b/>
              </w:rPr>
              <w:t>graph</w:t>
            </w:r>
            <w:r w:rsidRPr="003E7E2B">
              <w:rPr>
                <w:rFonts w:ascii="Arial Narrow" w:hAnsi="Arial Narrow" w:cstheme="minorHAnsi"/>
                <w:b/>
              </w:rPr>
              <w:t>s 7.12 and 7.13</w:t>
            </w:r>
          </w:p>
        </w:tc>
        <w:tc>
          <w:tcPr>
            <w:tcW w:w="1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0273" w:rsidRPr="003E7E2B" w:rsidRDefault="002A0273" w:rsidP="001642E7">
            <w:pPr>
              <w:pStyle w:val="TableText0"/>
              <w:keepNext/>
              <w:keepLines/>
              <w:spacing w:before="0" w:after="0"/>
              <w:jc w:val="center"/>
              <w:rPr>
                <w:rFonts w:ascii="Arial Narrow" w:hAnsi="Arial Narrow" w:cstheme="minorHAnsi"/>
                <w:b/>
              </w:rPr>
            </w:pPr>
            <w:r w:rsidRPr="003E7E2B">
              <w:rPr>
                <w:rFonts w:ascii="Arial Narrow" w:hAnsi="Arial Narrow" w:cstheme="minorHAnsi"/>
                <w:b/>
              </w:rPr>
              <w:t>November 2018 resubmission</w:t>
            </w:r>
          </w:p>
        </w:tc>
      </w:tr>
      <w:tr w:rsidR="002A0273" w:rsidRPr="003E7E2B" w:rsidTr="00652605">
        <w:trPr>
          <w:cantSplit/>
          <w:trHeight w:val="70"/>
        </w:trPr>
        <w:tc>
          <w:tcPr>
            <w:tcW w:w="1342" w:type="pct"/>
            <w:tcBorders>
              <w:top w:val="single" w:sz="4" w:space="0" w:color="auto"/>
              <w:left w:val="single" w:sz="4" w:space="0" w:color="auto"/>
              <w:bottom w:val="single" w:sz="4" w:space="0" w:color="auto"/>
              <w:right w:val="single" w:sz="4" w:space="0" w:color="auto"/>
            </w:tcBorders>
          </w:tcPr>
          <w:p w:rsidR="002A0273" w:rsidRPr="003E7E2B" w:rsidRDefault="002A02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Assumed proportional hazards from the mean duration of follow-up (</w:t>
            </w:r>
            <w:r w:rsidR="00B76982">
              <w:rPr>
                <w:rFonts w:ascii="Arial Narrow" w:hAnsi="Arial Narrow" w:cstheme="minorHAnsi"/>
                <w:noProof/>
                <w:szCs w:val="20"/>
                <w:highlight w:val="black"/>
              </w:rPr>
              <w:t>''''''''''</w:t>
            </w:r>
            <w:r w:rsidRPr="003E7E2B">
              <w:rPr>
                <w:rFonts w:ascii="Arial Narrow" w:hAnsi="Arial Narrow" w:cstheme="minorHAnsi"/>
                <w:szCs w:val="20"/>
              </w:rPr>
              <w:t xml:space="preserve"> months) to </w:t>
            </w:r>
            <w:r w:rsidR="00B76982">
              <w:rPr>
                <w:rFonts w:ascii="Arial Narrow" w:hAnsi="Arial Narrow" w:cstheme="minorHAnsi"/>
                <w:noProof/>
                <w:szCs w:val="20"/>
                <w:highlight w:val="black"/>
              </w:rPr>
              <w:t xml:space="preserve">''' </w:t>
            </w:r>
            <w:r w:rsidRPr="003E7E2B">
              <w:rPr>
                <w:rFonts w:ascii="Arial Narrow" w:hAnsi="Arial Narrow" w:cstheme="minorHAnsi"/>
                <w:szCs w:val="20"/>
              </w:rPr>
              <w:t xml:space="preserve">years. </w:t>
            </w:r>
          </w:p>
        </w:tc>
        <w:tc>
          <w:tcPr>
            <w:tcW w:w="2452" w:type="pct"/>
            <w:tcBorders>
              <w:top w:val="single" w:sz="4" w:space="0" w:color="auto"/>
              <w:left w:val="single" w:sz="4" w:space="0" w:color="auto"/>
              <w:bottom w:val="single" w:sz="4" w:space="0" w:color="auto"/>
              <w:right w:val="single" w:sz="4" w:space="0" w:color="auto"/>
            </w:tcBorders>
          </w:tcPr>
          <w:p w:rsidR="002A0273" w:rsidRPr="003E7E2B" w:rsidRDefault="002A02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 xml:space="preserve">More reasonable to assume that convergence of OS (and PFS) curves begins at </w:t>
            </w:r>
            <w:r w:rsidR="00B76982">
              <w:rPr>
                <w:rFonts w:ascii="Arial Narrow" w:hAnsi="Arial Narrow" w:cstheme="minorHAnsi"/>
                <w:noProof/>
                <w:szCs w:val="20"/>
                <w:highlight w:val="black"/>
              </w:rPr>
              <w:t xml:space="preserve">''''''' </w:t>
            </w:r>
            <w:r w:rsidRPr="003E7E2B">
              <w:rPr>
                <w:rFonts w:ascii="Arial Narrow" w:hAnsi="Arial Narrow" w:cstheme="minorHAnsi"/>
                <w:szCs w:val="20"/>
              </w:rPr>
              <w:t>months</w:t>
            </w:r>
          </w:p>
        </w:tc>
        <w:tc>
          <w:tcPr>
            <w:tcW w:w="1206" w:type="pct"/>
            <w:tcBorders>
              <w:top w:val="single" w:sz="4" w:space="0" w:color="auto"/>
              <w:left w:val="single" w:sz="4" w:space="0" w:color="auto"/>
              <w:bottom w:val="single" w:sz="4" w:space="0" w:color="auto"/>
              <w:right w:val="single" w:sz="4" w:space="0" w:color="auto"/>
            </w:tcBorders>
            <w:hideMark/>
          </w:tcPr>
          <w:p w:rsidR="002A0273" w:rsidRPr="003E7E2B" w:rsidRDefault="00652605" w:rsidP="001642E7">
            <w:pPr>
              <w:pStyle w:val="TableText0"/>
              <w:keepNext/>
              <w:keepLines/>
              <w:spacing w:before="0" w:after="0"/>
              <w:rPr>
                <w:rFonts w:ascii="Arial Narrow" w:hAnsi="Arial Narrow" w:cstheme="minorHAnsi"/>
                <w:szCs w:val="20"/>
                <w:vertAlign w:val="superscript"/>
              </w:rPr>
            </w:pPr>
            <w:r w:rsidRPr="003E7E2B">
              <w:rPr>
                <w:rFonts w:ascii="Arial Narrow" w:hAnsi="Arial Narrow" w:cstheme="minorHAnsi"/>
                <w:szCs w:val="20"/>
              </w:rPr>
              <w:t>Appropriately addressed as requested by PBAC.</w:t>
            </w:r>
          </w:p>
        </w:tc>
      </w:tr>
      <w:tr w:rsidR="002A0273" w:rsidRPr="003E7E2B" w:rsidTr="00652605">
        <w:trPr>
          <w:cantSplit/>
        </w:trPr>
        <w:tc>
          <w:tcPr>
            <w:tcW w:w="1342" w:type="pct"/>
            <w:tcBorders>
              <w:top w:val="single" w:sz="4" w:space="0" w:color="auto"/>
              <w:left w:val="single" w:sz="4" w:space="0" w:color="auto"/>
              <w:bottom w:val="single" w:sz="4" w:space="0" w:color="auto"/>
              <w:right w:val="single" w:sz="4" w:space="0" w:color="auto"/>
            </w:tcBorders>
          </w:tcPr>
          <w:p w:rsidR="002A0273" w:rsidRPr="003E7E2B" w:rsidRDefault="00837FCB"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Utilities were based on the EQ-5D data from Study CA209</w:t>
            </w:r>
            <w:r w:rsidR="00985E8A" w:rsidRPr="003E7E2B">
              <w:rPr>
                <w:rFonts w:ascii="Arial Narrow" w:hAnsi="Arial Narrow" w:cstheme="minorHAnsi"/>
                <w:szCs w:val="20"/>
              </w:rPr>
              <w:t>-</w:t>
            </w:r>
            <w:r w:rsidRPr="003E7E2B">
              <w:rPr>
                <w:rFonts w:ascii="Arial Narrow" w:hAnsi="Arial Narrow" w:cstheme="minorHAnsi"/>
                <w:szCs w:val="20"/>
              </w:rPr>
              <w:t>214.</w:t>
            </w:r>
          </w:p>
          <w:p w:rsidR="00837FCB" w:rsidRPr="003E7E2B" w:rsidRDefault="00837FCB" w:rsidP="001642E7">
            <w:pPr>
              <w:pStyle w:val="TableText0"/>
              <w:keepNext/>
              <w:keepLines/>
              <w:spacing w:before="0" w:after="0"/>
              <w:rPr>
                <w:rFonts w:ascii="Arial Narrow" w:hAnsi="Arial Narrow" w:cstheme="minorHAnsi"/>
                <w:szCs w:val="20"/>
                <w:u w:val="single"/>
              </w:rPr>
            </w:pPr>
            <w:r w:rsidRPr="003E7E2B">
              <w:rPr>
                <w:rFonts w:ascii="Arial Narrow" w:hAnsi="Arial Narrow" w:cstheme="minorHAnsi"/>
                <w:szCs w:val="20"/>
                <w:u w:val="single"/>
              </w:rPr>
              <w:t>Progression free:</w:t>
            </w:r>
          </w:p>
          <w:p w:rsidR="00837FCB" w:rsidRPr="006A772D" w:rsidRDefault="00B76982" w:rsidP="001642E7">
            <w:pPr>
              <w:pStyle w:val="TableText0"/>
              <w:keepNext/>
              <w:keepLines/>
              <w:spacing w:before="0" w:after="0"/>
              <w:rPr>
                <w:rFonts w:ascii="Arial Narrow" w:hAnsi="Arial Narrow" w:cstheme="minorHAnsi"/>
                <w:szCs w:val="20"/>
              </w:rPr>
            </w:pPr>
            <w:r>
              <w:rPr>
                <w:rFonts w:ascii="Arial Narrow" w:hAnsi="Arial Narrow" w:cstheme="minorHAnsi"/>
                <w:noProof/>
                <w:szCs w:val="20"/>
                <w:highlight w:val="black"/>
              </w:rPr>
              <w:t>'''''''''''</w:t>
            </w:r>
            <w:r w:rsidR="00837FCB" w:rsidRPr="006A772D">
              <w:rPr>
                <w:rFonts w:ascii="Arial Narrow" w:hAnsi="Arial Narrow" w:cstheme="minorHAnsi"/>
                <w:szCs w:val="20"/>
              </w:rPr>
              <w:t xml:space="preserve"> for NIVO+IPI; </w:t>
            </w:r>
            <w:r>
              <w:rPr>
                <w:rFonts w:ascii="Arial Narrow" w:hAnsi="Arial Narrow" w:cstheme="minorHAnsi"/>
                <w:noProof/>
                <w:szCs w:val="20"/>
                <w:highlight w:val="black"/>
              </w:rPr>
              <w:t>''''''''''</w:t>
            </w:r>
            <w:r w:rsidR="00837FCB" w:rsidRPr="006A772D">
              <w:rPr>
                <w:rFonts w:ascii="Arial Narrow" w:hAnsi="Arial Narrow" w:cstheme="minorHAnsi"/>
                <w:szCs w:val="20"/>
              </w:rPr>
              <w:t xml:space="preserve"> for </w:t>
            </w:r>
            <w:r w:rsidR="00FA40C5" w:rsidRPr="006A772D">
              <w:rPr>
                <w:rFonts w:ascii="Arial Narrow" w:hAnsi="Arial Narrow" w:cstheme="minorHAnsi"/>
                <w:szCs w:val="20"/>
              </w:rPr>
              <w:t>SUNI</w:t>
            </w:r>
            <w:r w:rsidR="00837FCB" w:rsidRPr="006A772D">
              <w:rPr>
                <w:rFonts w:ascii="Arial Narrow" w:hAnsi="Arial Narrow" w:cstheme="minorHAnsi"/>
                <w:szCs w:val="20"/>
              </w:rPr>
              <w:t>;</w:t>
            </w:r>
          </w:p>
          <w:p w:rsidR="00837FCB" w:rsidRPr="006A772D" w:rsidRDefault="00837FCB" w:rsidP="001642E7">
            <w:pPr>
              <w:pStyle w:val="TableText0"/>
              <w:keepNext/>
              <w:keepLines/>
              <w:spacing w:before="0" w:after="0"/>
              <w:rPr>
                <w:rFonts w:ascii="Arial Narrow" w:hAnsi="Arial Narrow" w:cstheme="minorHAnsi"/>
                <w:szCs w:val="20"/>
                <w:u w:val="single"/>
              </w:rPr>
            </w:pPr>
            <w:r w:rsidRPr="006A772D">
              <w:rPr>
                <w:rFonts w:ascii="Arial Narrow" w:hAnsi="Arial Narrow" w:cstheme="minorHAnsi"/>
                <w:szCs w:val="20"/>
                <w:u w:val="single"/>
              </w:rPr>
              <w:t>Progressed disease:</w:t>
            </w:r>
          </w:p>
          <w:p w:rsidR="00837FCB" w:rsidRPr="003E7E2B" w:rsidRDefault="00B76982" w:rsidP="001642E7">
            <w:pPr>
              <w:pStyle w:val="TableText0"/>
              <w:keepNext/>
              <w:keepLines/>
              <w:spacing w:before="0" w:after="0"/>
              <w:rPr>
                <w:rFonts w:ascii="Arial Narrow" w:hAnsi="Arial Narrow" w:cstheme="minorHAnsi"/>
                <w:szCs w:val="20"/>
              </w:rPr>
            </w:pPr>
            <w:r>
              <w:rPr>
                <w:rFonts w:ascii="Arial Narrow" w:hAnsi="Arial Narrow" w:cstheme="minorHAnsi"/>
                <w:noProof/>
                <w:szCs w:val="20"/>
                <w:highlight w:val="black"/>
              </w:rPr>
              <w:t>'''''''''''</w:t>
            </w:r>
            <w:r w:rsidR="00837FCB" w:rsidRPr="006A772D">
              <w:rPr>
                <w:rFonts w:ascii="Arial Narrow" w:hAnsi="Arial Narrow" w:cstheme="minorHAnsi"/>
                <w:szCs w:val="20"/>
              </w:rPr>
              <w:t xml:space="preserve"> for NIVO+IPI; </w:t>
            </w:r>
            <w:r>
              <w:rPr>
                <w:rFonts w:ascii="Arial Narrow" w:hAnsi="Arial Narrow" w:cstheme="minorHAnsi"/>
                <w:noProof/>
                <w:szCs w:val="20"/>
                <w:highlight w:val="black"/>
              </w:rPr>
              <w:t>''''''''''</w:t>
            </w:r>
            <w:r w:rsidR="00837FCB" w:rsidRPr="006A772D">
              <w:rPr>
                <w:rFonts w:ascii="Arial Narrow" w:hAnsi="Arial Narrow" w:cstheme="minorHAnsi"/>
                <w:szCs w:val="20"/>
              </w:rPr>
              <w:t xml:space="preserve"> for </w:t>
            </w:r>
            <w:r w:rsidR="00FA40C5" w:rsidRPr="006A772D">
              <w:rPr>
                <w:rFonts w:ascii="Arial Narrow" w:hAnsi="Arial Narrow" w:cstheme="minorHAnsi"/>
                <w:szCs w:val="20"/>
              </w:rPr>
              <w:t>SUNI</w:t>
            </w:r>
          </w:p>
        </w:tc>
        <w:tc>
          <w:tcPr>
            <w:tcW w:w="2452" w:type="pct"/>
            <w:tcBorders>
              <w:top w:val="single" w:sz="4" w:space="0" w:color="auto"/>
              <w:left w:val="single" w:sz="4" w:space="0" w:color="auto"/>
              <w:bottom w:val="single" w:sz="4" w:space="0" w:color="auto"/>
              <w:right w:val="single" w:sz="4" w:space="0" w:color="auto"/>
            </w:tcBorders>
          </w:tcPr>
          <w:p w:rsidR="00837FCB" w:rsidRPr="003E7E2B" w:rsidRDefault="00837FCB"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Utilities were similar to population norms and considerably higher than those sourced from the literature.</w:t>
            </w:r>
          </w:p>
          <w:p w:rsidR="00837FCB" w:rsidRPr="003E7E2B" w:rsidRDefault="00837FCB"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 xml:space="preserve">Utility </w:t>
            </w:r>
            <w:r w:rsidRPr="006A772D">
              <w:rPr>
                <w:rFonts w:ascii="Arial Narrow" w:hAnsi="Arial Narrow" w:cstheme="minorHAnsi"/>
                <w:szCs w:val="20"/>
              </w:rPr>
              <w:t xml:space="preserve">value of </w:t>
            </w:r>
            <w:r w:rsidR="00B76982">
              <w:rPr>
                <w:rFonts w:ascii="Arial Narrow" w:hAnsi="Arial Narrow" w:cstheme="minorHAnsi"/>
                <w:noProof/>
                <w:szCs w:val="20"/>
                <w:highlight w:val="black"/>
              </w:rPr>
              <w:t>''''''''''</w:t>
            </w:r>
            <w:r w:rsidRPr="006A772D">
              <w:rPr>
                <w:rFonts w:ascii="Arial Narrow" w:hAnsi="Arial Narrow" w:cstheme="minorHAnsi"/>
                <w:szCs w:val="20"/>
              </w:rPr>
              <w:t xml:space="preserve"> in</w:t>
            </w:r>
            <w:r w:rsidRPr="003E7E2B">
              <w:rPr>
                <w:rFonts w:ascii="Arial Narrow" w:hAnsi="Arial Narrow" w:cstheme="minorHAnsi"/>
                <w:szCs w:val="20"/>
              </w:rPr>
              <w:t xml:space="preserve"> the progressed disease health state: unlikely that patients would experience such a high utility consistently over the time horizon of the model.</w:t>
            </w:r>
          </w:p>
          <w:p w:rsidR="003700E5" w:rsidRPr="003E7E2B" w:rsidRDefault="00837FCB"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M</w:t>
            </w:r>
            <w:r w:rsidR="002A0273" w:rsidRPr="003E7E2B">
              <w:rPr>
                <w:rFonts w:ascii="Arial Narrow" w:hAnsi="Arial Narrow" w:cstheme="minorHAnsi"/>
                <w:szCs w:val="20"/>
              </w:rPr>
              <w:t xml:space="preserve">ore reasonable to assume that utilities would be consistent with the average utilities from the </w:t>
            </w:r>
            <w:r w:rsidR="00845EDE">
              <w:rPr>
                <w:rFonts w:ascii="Arial Narrow" w:hAnsi="Arial Narrow" w:cstheme="minorHAnsi"/>
                <w:szCs w:val="20"/>
              </w:rPr>
              <w:t>literature</w:t>
            </w:r>
          </w:p>
          <w:p w:rsidR="002A0273" w:rsidRPr="003E7E2B" w:rsidRDefault="002A02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(P</w:t>
            </w:r>
            <w:r w:rsidR="003700E5" w:rsidRPr="003E7E2B">
              <w:rPr>
                <w:rFonts w:ascii="Arial Narrow" w:hAnsi="Arial Narrow" w:cstheme="minorHAnsi"/>
                <w:szCs w:val="20"/>
              </w:rPr>
              <w:t>rogression free</w:t>
            </w:r>
            <w:r w:rsidRPr="003E7E2B">
              <w:rPr>
                <w:rFonts w:ascii="Arial Narrow" w:hAnsi="Arial Narrow" w:cstheme="minorHAnsi"/>
                <w:szCs w:val="20"/>
              </w:rPr>
              <w:t xml:space="preserve"> = </w:t>
            </w:r>
            <w:r w:rsidR="00B76982">
              <w:rPr>
                <w:rFonts w:ascii="Arial Narrow" w:hAnsi="Arial Narrow" w:cstheme="minorHAnsi"/>
                <w:noProof/>
                <w:szCs w:val="20"/>
                <w:highlight w:val="black"/>
              </w:rPr>
              <w:t>'''''''''''</w:t>
            </w:r>
            <w:r w:rsidRPr="00DC58CE">
              <w:rPr>
                <w:rFonts w:ascii="Arial Narrow" w:hAnsi="Arial Narrow" w:cstheme="minorHAnsi"/>
                <w:szCs w:val="20"/>
              </w:rPr>
              <w:t>, P</w:t>
            </w:r>
            <w:r w:rsidR="003700E5" w:rsidRPr="00DC58CE">
              <w:rPr>
                <w:rFonts w:ascii="Arial Narrow" w:hAnsi="Arial Narrow" w:cstheme="minorHAnsi"/>
                <w:szCs w:val="20"/>
              </w:rPr>
              <w:t>rogressed disease</w:t>
            </w:r>
            <w:r w:rsidRPr="00DC58CE">
              <w:rPr>
                <w:rFonts w:ascii="Arial Narrow" w:hAnsi="Arial Narrow" w:cstheme="minorHAnsi"/>
                <w:szCs w:val="20"/>
              </w:rPr>
              <w:t xml:space="preserve"> = </w:t>
            </w:r>
            <w:r w:rsidR="00B76982">
              <w:rPr>
                <w:rFonts w:ascii="Arial Narrow" w:hAnsi="Arial Narrow" w:cstheme="minorHAnsi"/>
                <w:noProof/>
                <w:szCs w:val="20"/>
                <w:highlight w:val="black"/>
              </w:rPr>
              <w:t>''''''''''</w:t>
            </w:r>
            <w:r w:rsidRPr="00DC58CE">
              <w:rPr>
                <w:rFonts w:ascii="Arial Narrow" w:hAnsi="Arial Narrow" w:cstheme="minorHAnsi"/>
                <w:szCs w:val="20"/>
              </w:rPr>
              <w:t>)</w:t>
            </w:r>
          </w:p>
        </w:tc>
        <w:tc>
          <w:tcPr>
            <w:tcW w:w="1206" w:type="pct"/>
            <w:tcBorders>
              <w:top w:val="single" w:sz="4" w:space="0" w:color="auto"/>
              <w:left w:val="single" w:sz="4" w:space="0" w:color="auto"/>
              <w:bottom w:val="single" w:sz="4" w:space="0" w:color="auto"/>
              <w:right w:val="single" w:sz="4" w:space="0" w:color="auto"/>
            </w:tcBorders>
            <w:hideMark/>
          </w:tcPr>
          <w:p w:rsidR="00261CD7" w:rsidRPr="003E7E2B" w:rsidRDefault="00F43E61"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u w:val="single"/>
              </w:rPr>
              <w:t>Progression free</w:t>
            </w:r>
            <w:r w:rsidR="00845EDE">
              <w:rPr>
                <w:rFonts w:ascii="Arial Narrow" w:hAnsi="Arial Narrow" w:cstheme="minorHAnsi"/>
                <w:szCs w:val="20"/>
              </w:rPr>
              <w:t>:</w:t>
            </w:r>
          </w:p>
          <w:p w:rsidR="00261CD7" w:rsidRPr="003E7E2B" w:rsidRDefault="00B76982" w:rsidP="001642E7">
            <w:pPr>
              <w:pStyle w:val="TableText0"/>
              <w:keepNext/>
              <w:keepLines/>
              <w:spacing w:before="0" w:after="0"/>
              <w:rPr>
                <w:rFonts w:ascii="Arial Narrow" w:hAnsi="Arial Narrow" w:cstheme="minorHAnsi"/>
                <w:szCs w:val="20"/>
              </w:rPr>
            </w:pPr>
            <w:r>
              <w:rPr>
                <w:rFonts w:ascii="Arial Narrow" w:hAnsi="Arial Narrow" w:cstheme="minorHAnsi"/>
                <w:noProof/>
                <w:szCs w:val="20"/>
                <w:highlight w:val="black"/>
              </w:rPr>
              <w:t>''''''''''</w:t>
            </w:r>
            <w:r w:rsidR="00FA40C5" w:rsidRPr="00DC58CE">
              <w:rPr>
                <w:rFonts w:ascii="Arial Narrow" w:hAnsi="Arial Narrow" w:cstheme="minorHAnsi"/>
                <w:szCs w:val="20"/>
              </w:rPr>
              <w:t xml:space="preserve"> </w:t>
            </w:r>
            <w:proofErr w:type="gramStart"/>
            <w:r w:rsidR="00FA40C5" w:rsidRPr="00DC58CE">
              <w:rPr>
                <w:rFonts w:ascii="Arial Narrow" w:hAnsi="Arial Narrow" w:cstheme="minorHAnsi"/>
                <w:szCs w:val="20"/>
              </w:rPr>
              <w:t>for</w:t>
            </w:r>
            <w:proofErr w:type="gramEnd"/>
            <w:r w:rsidR="00FA40C5" w:rsidRPr="00DC58CE">
              <w:rPr>
                <w:rFonts w:ascii="Arial Narrow" w:hAnsi="Arial Narrow" w:cstheme="minorHAnsi"/>
                <w:szCs w:val="20"/>
              </w:rPr>
              <w:t xml:space="preserve"> NIVO+IPI; </w:t>
            </w:r>
            <w:r>
              <w:rPr>
                <w:rFonts w:ascii="Arial Narrow" w:hAnsi="Arial Narrow" w:cstheme="minorHAnsi"/>
                <w:noProof/>
                <w:szCs w:val="20"/>
                <w:highlight w:val="black"/>
              </w:rPr>
              <w:t>'''''''''''</w:t>
            </w:r>
            <w:r w:rsidR="00FA40C5" w:rsidRPr="00DC58CE">
              <w:rPr>
                <w:rFonts w:ascii="Arial Narrow" w:hAnsi="Arial Narrow" w:cstheme="minorHAnsi"/>
                <w:szCs w:val="20"/>
              </w:rPr>
              <w:t xml:space="preserve"> for</w:t>
            </w:r>
            <w:r w:rsidR="00FA40C5" w:rsidRPr="003E7E2B">
              <w:rPr>
                <w:rFonts w:ascii="Arial Narrow" w:hAnsi="Arial Narrow" w:cstheme="minorHAnsi"/>
                <w:szCs w:val="20"/>
              </w:rPr>
              <w:t xml:space="preserve"> SUNI.</w:t>
            </w:r>
            <w:r w:rsidR="004C60FF" w:rsidRPr="003E7E2B">
              <w:rPr>
                <w:rFonts w:ascii="Arial Narrow" w:hAnsi="Arial Narrow" w:cstheme="minorHAnsi"/>
                <w:szCs w:val="20"/>
              </w:rPr>
              <w:t xml:space="preserve"> Unchanged, based on CA209</w:t>
            </w:r>
            <w:r w:rsidR="00985E8A" w:rsidRPr="003E7E2B">
              <w:rPr>
                <w:rFonts w:ascii="Arial Narrow" w:hAnsi="Arial Narrow" w:cstheme="minorHAnsi"/>
                <w:szCs w:val="20"/>
              </w:rPr>
              <w:t>-</w:t>
            </w:r>
            <w:r w:rsidR="004C60FF" w:rsidRPr="003E7E2B">
              <w:rPr>
                <w:rFonts w:ascii="Arial Narrow" w:hAnsi="Arial Narrow" w:cstheme="minorHAnsi"/>
                <w:szCs w:val="20"/>
              </w:rPr>
              <w:t>214.</w:t>
            </w:r>
          </w:p>
          <w:p w:rsidR="00261CD7" w:rsidRPr="003E7E2B" w:rsidRDefault="00261CD7" w:rsidP="001642E7">
            <w:pPr>
              <w:pStyle w:val="TableText0"/>
              <w:keepNext/>
              <w:keepLines/>
              <w:spacing w:before="0" w:after="0"/>
              <w:rPr>
                <w:rFonts w:ascii="Arial Narrow" w:hAnsi="Arial Narrow" w:cstheme="minorHAnsi"/>
                <w:szCs w:val="20"/>
                <w:u w:val="single"/>
              </w:rPr>
            </w:pPr>
            <w:r w:rsidRPr="003E7E2B">
              <w:rPr>
                <w:rFonts w:ascii="Arial Narrow" w:hAnsi="Arial Narrow" w:cstheme="minorHAnsi"/>
                <w:szCs w:val="20"/>
                <w:u w:val="single"/>
              </w:rPr>
              <w:t>Progressed disease:</w:t>
            </w:r>
          </w:p>
          <w:p w:rsidR="002A0273" w:rsidRPr="003E7E2B" w:rsidRDefault="00B76982" w:rsidP="001642E7">
            <w:pPr>
              <w:pStyle w:val="TableText0"/>
              <w:keepNext/>
              <w:keepLines/>
              <w:spacing w:before="0" w:after="0"/>
              <w:rPr>
                <w:rFonts w:ascii="Arial Narrow" w:hAnsi="Arial Narrow" w:cstheme="minorHAnsi"/>
                <w:szCs w:val="20"/>
              </w:rPr>
            </w:pPr>
            <w:r>
              <w:rPr>
                <w:rFonts w:ascii="Arial Narrow" w:hAnsi="Arial Narrow" w:cstheme="minorHAnsi"/>
                <w:noProof/>
                <w:szCs w:val="20"/>
                <w:highlight w:val="black"/>
              </w:rPr>
              <w:t>''''''''''</w:t>
            </w:r>
            <w:r w:rsidR="00261CD7" w:rsidRPr="003E7E2B">
              <w:rPr>
                <w:rFonts w:ascii="Arial Narrow" w:hAnsi="Arial Narrow" w:cstheme="minorHAnsi"/>
                <w:szCs w:val="20"/>
              </w:rPr>
              <w:t xml:space="preserve"> for </w:t>
            </w:r>
            <w:r w:rsidR="00AC4804" w:rsidRPr="003E7E2B">
              <w:rPr>
                <w:rFonts w:ascii="Arial Narrow" w:hAnsi="Arial Narrow" w:cstheme="minorHAnsi"/>
                <w:szCs w:val="20"/>
              </w:rPr>
              <w:t>both arms</w:t>
            </w:r>
            <w:r w:rsidR="004C60FF" w:rsidRPr="003E7E2B">
              <w:rPr>
                <w:rFonts w:ascii="Arial Narrow" w:hAnsi="Arial Narrow" w:cstheme="minorHAnsi"/>
                <w:szCs w:val="20"/>
              </w:rPr>
              <w:t xml:space="preserve">. Reduced by </w:t>
            </w:r>
            <w:r>
              <w:rPr>
                <w:rFonts w:ascii="Arial Narrow" w:hAnsi="Arial Narrow" w:cstheme="minorHAnsi"/>
                <w:noProof/>
                <w:szCs w:val="20"/>
                <w:highlight w:val="black"/>
              </w:rPr>
              <w:t>'''''''''''</w:t>
            </w:r>
            <w:r w:rsidR="004C60FF" w:rsidRPr="003E7E2B">
              <w:rPr>
                <w:rFonts w:ascii="Arial Narrow" w:hAnsi="Arial Narrow" w:cstheme="minorHAnsi"/>
                <w:szCs w:val="20"/>
              </w:rPr>
              <w:t xml:space="preserve"> (or </w:t>
            </w:r>
            <w:r>
              <w:rPr>
                <w:rFonts w:ascii="Arial Narrow" w:hAnsi="Arial Narrow" w:cstheme="minorHAnsi"/>
                <w:noProof/>
                <w:szCs w:val="20"/>
                <w:highlight w:val="black"/>
              </w:rPr>
              <w:t>''''''''''</w:t>
            </w:r>
            <w:r w:rsidR="004C60FF" w:rsidRPr="003E7E2B">
              <w:rPr>
                <w:rFonts w:ascii="Arial Narrow" w:hAnsi="Arial Narrow" w:cstheme="minorHAnsi"/>
                <w:szCs w:val="20"/>
              </w:rPr>
              <w:t>), b</w:t>
            </w:r>
            <w:r w:rsidR="00261CD7" w:rsidRPr="003E7E2B">
              <w:rPr>
                <w:rFonts w:ascii="Arial Narrow" w:hAnsi="Arial Narrow" w:cstheme="minorHAnsi"/>
                <w:szCs w:val="20"/>
              </w:rPr>
              <w:t xml:space="preserve">ased on </w:t>
            </w:r>
            <w:r w:rsidR="001D689D" w:rsidRPr="003E7E2B">
              <w:rPr>
                <w:rFonts w:ascii="Arial Narrow" w:hAnsi="Arial Narrow" w:cstheme="minorHAnsi"/>
                <w:szCs w:val="20"/>
              </w:rPr>
              <w:t xml:space="preserve">study of RCC in a </w:t>
            </w:r>
            <w:r w:rsidR="00261CD7" w:rsidRPr="003E7E2B">
              <w:rPr>
                <w:rFonts w:ascii="Arial Narrow" w:hAnsi="Arial Narrow" w:cstheme="minorHAnsi"/>
                <w:szCs w:val="20"/>
              </w:rPr>
              <w:t xml:space="preserve">later-line </w:t>
            </w:r>
            <w:r w:rsidR="001D689D" w:rsidRPr="003E7E2B">
              <w:rPr>
                <w:rFonts w:ascii="Arial Narrow" w:hAnsi="Arial Narrow" w:cstheme="minorHAnsi"/>
                <w:szCs w:val="20"/>
              </w:rPr>
              <w:t>setting</w:t>
            </w:r>
            <w:r w:rsidR="004C60FF" w:rsidRPr="003E7E2B">
              <w:rPr>
                <w:rFonts w:ascii="Arial Narrow" w:hAnsi="Arial Narrow" w:cstheme="minorHAnsi"/>
                <w:szCs w:val="20"/>
              </w:rPr>
              <w:t>.</w:t>
            </w:r>
          </w:p>
        </w:tc>
      </w:tr>
      <w:tr w:rsidR="002A0273" w:rsidRPr="003E7E2B" w:rsidTr="00652605">
        <w:trPr>
          <w:cantSplit/>
        </w:trPr>
        <w:tc>
          <w:tcPr>
            <w:tcW w:w="1342" w:type="pct"/>
            <w:tcBorders>
              <w:top w:val="single" w:sz="4" w:space="0" w:color="auto"/>
              <w:left w:val="single" w:sz="4" w:space="0" w:color="auto"/>
              <w:bottom w:val="single" w:sz="4" w:space="0" w:color="auto"/>
              <w:right w:val="single" w:sz="4" w:space="0" w:color="auto"/>
            </w:tcBorders>
          </w:tcPr>
          <w:p w:rsidR="002A0273" w:rsidRPr="003E7E2B" w:rsidRDefault="00837FCB"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T</w:t>
            </w:r>
            <w:r w:rsidR="002A0273" w:rsidRPr="003E7E2B">
              <w:rPr>
                <w:rFonts w:ascii="Arial Narrow" w:hAnsi="Arial Narrow" w:cstheme="minorHAnsi"/>
                <w:szCs w:val="20"/>
              </w:rPr>
              <w:t xml:space="preserve">ime horizon of </w:t>
            </w:r>
            <w:r w:rsidR="00B76982">
              <w:rPr>
                <w:rFonts w:ascii="Arial Narrow" w:hAnsi="Arial Narrow" w:cstheme="minorHAnsi"/>
                <w:noProof/>
                <w:szCs w:val="20"/>
                <w:highlight w:val="black"/>
              </w:rPr>
              <w:t>'''''</w:t>
            </w:r>
            <w:r w:rsidR="002A0273" w:rsidRPr="003E7E2B">
              <w:rPr>
                <w:rFonts w:ascii="Arial Narrow" w:hAnsi="Arial Narrow" w:cstheme="minorHAnsi"/>
                <w:szCs w:val="20"/>
              </w:rPr>
              <w:t xml:space="preserve"> years</w:t>
            </w:r>
          </w:p>
        </w:tc>
        <w:tc>
          <w:tcPr>
            <w:tcW w:w="2452" w:type="pct"/>
            <w:tcBorders>
              <w:top w:val="single" w:sz="4" w:space="0" w:color="auto"/>
              <w:left w:val="single" w:sz="4" w:space="0" w:color="auto"/>
              <w:bottom w:val="single" w:sz="4" w:space="0" w:color="auto"/>
              <w:right w:val="single" w:sz="4" w:space="0" w:color="auto"/>
            </w:tcBorders>
          </w:tcPr>
          <w:p w:rsidR="002A0273" w:rsidRPr="003E7E2B" w:rsidRDefault="002A02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 xml:space="preserve">A time horizon of </w:t>
            </w:r>
            <w:r w:rsidR="00B76982">
              <w:rPr>
                <w:rFonts w:ascii="Arial Narrow" w:hAnsi="Arial Narrow" w:cstheme="minorHAnsi"/>
                <w:noProof/>
                <w:szCs w:val="20"/>
                <w:highlight w:val="black"/>
              </w:rPr>
              <w:t>'''''''</w:t>
            </w:r>
            <w:r w:rsidRPr="003A355A">
              <w:rPr>
                <w:rFonts w:ascii="Arial Narrow" w:hAnsi="Arial Narrow" w:cstheme="minorHAnsi"/>
                <w:szCs w:val="20"/>
              </w:rPr>
              <w:t xml:space="preserve"> </w:t>
            </w:r>
            <w:r w:rsidRPr="003E7E2B">
              <w:rPr>
                <w:rFonts w:ascii="Arial Narrow" w:hAnsi="Arial Narrow" w:cstheme="minorHAnsi"/>
                <w:szCs w:val="20"/>
              </w:rPr>
              <w:t>years would be more realistic</w:t>
            </w:r>
            <w:r w:rsidR="00AA617C" w:rsidRPr="003E7E2B">
              <w:rPr>
                <w:rFonts w:ascii="Arial Narrow" w:hAnsi="Arial Narrow" w:cstheme="minorHAnsi"/>
                <w:szCs w:val="20"/>
              </w:rPr>
              <w:t xml:space="preserve"> given the population group, the short duration of follow-up in the trial, and the uncertainties with the extrapolation.</w:t>
            </w:r>
          </w:p>
        </w:tc>
        <w:tc>
          <w:tcPr>
            <w:tcW w:w="1206" w:type="pct"/>
            <w:tcBorders>
              <w:top w:val="single" w:sz="4" w:space="0" w:color="auto"/>
              <w:left w:val="single" w:sz="4" w:space="0" w:color="auto"/>
              <w:bottom w:val="single" w:sz="4" w:space="0" w:color="auto"/>
              <w:right w:val="single" w:sz="4" w:space="0" w:color="auto"/>
            </w:tcBorders>
            <w:hideMark/>
          </w:tcPr>
          <w:p w:rsidR="002A0273" w:rsidRPr="003E7E2B" w:rsidRDefault="00652605"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Appropriately addressed as requested by PBAC.</w:t>
            </w:r>
          </w:p>
        </w:tc>
      </w:tr>
      <w:tr w:rsidR="00837FCB" w:rsidRPr="003E7E2B" w:rsidTr="00652605">
        <w:trPr>
          <w:cantSplit/>
        </w:trPr>
        <w:tc>
          <w:tcPr>
            <w:tcW w:w="1342" w:type="pct"/>
            <w:tcBorders>
              <w:top w:val="single" w:sz="4" w:space="0" w:color="auto"/>
              <w:left w:val="single" w:sz="4" w:space="0" w:color="auto"/>
              <w:bottom w:val="single" w:sz="4" w:space="0" w:color="auto"/>
              <w:right w:val="single" w:sz="4" w:space="0" w:color="auto"/>
            </w:tcBorders>
          </w:tcPr>
          <w:p w:rsidR="00837FCB" w:rsidRPr="003E7E2B" w:rsidRDefault="00837FCB"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Drug cost</w:t>
            </w:r>
            <w:r w:rsidR="00845EDE">
              <w:rPr>
                <w:rFonts w:ascii="Arial Narrow" w:hAnsi="Arial Narrow" w:cstheme="minorHAnsi"/>
                <w:szCs w:val="20"/>
              </w:rPr>
              <w:t>:</w:t>
            </w:r>
          </w:p>
          <w:p w:rsidR="00A62B73" w:rsidRPr="003E7E2B" w:rsidRDefault="00A62B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 xml:space="preserve">DPMA per </w:t>
            </w:r>
            <w:r w:rsidR="00655510" w:rsidRPr="003E7E2B">
              <w:rPr>
                <w:rFonts w:ascii="Arial Narrow" w:hAnsi="Arial Narrow" w:cstheme="minorHAnsi"/>
                <w:szCs w:val="20"/>
              </w:rPr>
              <w:t xml:space="preserve">average </w:t>
            </w:r>
            <w:r w:rsidRPr="003E7E2B">
              <w:rPr>
                <w:rFonts w:ascii="Arial Narrow" w:hAnsi="Arial Narrow" w:cstheme="minorHAnsi"/>
                <w:szCs w:val="20"/>
              </w:rPr>
              <w:t>infusion</w:t>
            </w:r>
          </w:p>
          <w:p w:rsidR="00A62B73" w:rsidRPr="003E7E2B" w:rsidRDefault="00A62B73" w:rsidP="001642E7">
            <w:pPr>
              <w:pStyle w:val="TableText0"/>
              <w:keepNext/>
              <w:keepLines/>
              <w:spacing w:before="0" w:after="0"/>
              <w:rPr>
                <w:rFonts w:ascii="Arial Narrow" w:hAnsi="Arial Narrow" w:cstheme="minorHAnsi"/>
                <w:szCs w:val="20"/>
              </w:rPr>
            </w:pPr>
            <w:proofErr w:type="spellStart"/>
            <w:r w:rsidRPr="003E7E2B">
              <w:rPr>
                <w:rFonts w:ascii="Arial Narrow" w:hAnsi="Arial Narrow" w:cstheme="minorHAnsi"/>
                <w:szCs w:val="20"/>
              </w:rPr>
              <w:t>Nivo</w:t>
            </w:r>
            <w:proofErr w:type="spellEnd"/>
            <w:r w:rsidRPr="003E7E2B">
              <w:rPr>
                <w:rFonts w:ascii="Arial Narrow" w:hAnsi="Arial Narrow" w:cstheme="minorHAnsi"/>
                <w:szCs w:val="20"/>
              </w:rPr>
              <w:t>: $</w:t>
            </w:r>
            <w:r w:rsidR="00B76982">
              <w:rPr>
                <w:rFonts w:ascii="Arial Narrow" w:hAnsi="Arial Narrow" w:cstheme="minorHAnsi"/>
                <w:noProof/>
                <w:szCs w:val="20"/>
                <w:highlight w:val="black"/>
              </w:rPr>
              <w:t>''''''''''''''</w:t>
            </w:r>
          </w:p>
          <w:p w:rsidR="0026179F" w:rsidRPr="003E7E2B" w:rsidRDefault="00A62B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Ipi: $</w:t>
            </w:r>
            <w:r w:rsidR="00B76982">
              <w:rPr>
                <w:rFonts w:ascii="Arial Narrow" w:hAnsi="Arial Narrow" w:cstheme="minorHAnsi"/>
                <w:noProof/>
                <w:szCs w:val="20"/>
                <w:highlight w:val="black"/>
              </w:rPr>
              <w:t>'''''''''''''</w:t>
            </w:r>
          </w:p>
        </w:tc>
        <w:tc>
          <w:tcPr>
            <w:tcW w:w="2452" w:type="pct"/>
            <w:tcBorders>
              <w:top w:val="single" w:sz="4" w:space="0" w:color="auto"/>
              <w:left w:val="single" w:sz="4" w:space="0" w:color="auto"/>
              <w:bottom w:val="single" w:sz="4" w:space="0" w:color="auto"/>
              <w:right w:val="single" w:sz="4" w:space="0" w:color="auto"/>
            </w:tcBorders>
          </w:tcPr>
          <w:p w:rsidR="00837FCB" w:rsidRPr="003E7E2B" w:rsidRDefault="00837FCB" w:rsidP="001642E7">
            <w:pPr>
              <w:pStyle w:val="TableText0"/>
              <w:keepNext/>
              <w:keepLines/>
              <w:spacing w:before="0" w:after="0"/>
              <w:rPr>
                <w:rFonts w:ascii="Arial Narrow" w:hAnsi="Arial Narrow" w:cstheme="minorHAnsi"/>
                <w:szCs w:val="20"/>
              </w:rPr>
            </w:pPr>
          </w:p>
        </w:tc>
        <w:tc>
          <w:tcPr>
            <w:tcW w:w="1206" w:type="pct"/>
            <w:tcBorders>
              <w:top w:val="single" w:sz="4" w:space="0" w:color="auto"/>
              <w:left w:val="single" w:sz="4" w:space="0" w:color="auto"/>
              <w:bottom w:val="single" w:sz="4" w:space="0" w:color="auto"/>
              <w:right w:val="single" w:sz="4" w:space="0" w:color="auto"/>
            </w:tcBorders>
          </w:tcPr>
          <w:p w:rsidR="0026179F" w:rsidRPr="003E7E2B" w:rsidRDefault="0026179F"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DPMA per</w:t>
            </w:r>
            <w:r w:rsidR="00655510" w:rsidRPr="003E7E2B">
              <w:rPr>
                <w:rFonts w:ascii="Arial Narrow" w:hAnsi="Arial Narrow" w:cstheme="minorHAnsi"/>
                <w:szCs w:val="20"/>
              </w:rPr>
              <w:t xml:space="preserve"> average</w:t>
            </w:r>
            <w:r w:rsidRPr="003E7E2B">
              <w:rPr>
                <w:rFonts w:ascii="Arial Narrow" w:hAnsi="Arial Narrow" w:cstheme="minorHAnsi"/>
                <w:szCs w:val="20"/>
              </w:rPr>
              <w:t xml:space="preserve"> infusion</w:t>
            </w:r>
          </w:p>
          <w:p w:rsidR="00837FCB" w:rsidRPr="006A772D" w:rsidRDefault="0026179F" w:rsidP="001642E7">
            <w:pPr>
              <w:pStyle w:val="TableText0"/>
              <w:keepNext/>
              <w:keepLines/>
              <w:spacing w:before="0" w:after="0"/>
              <w:rPr>
                <w:rFonts w:ascii="Arial Narrow" w:hAnsi="Arial Narrow" w:cstheme="minorHAnsi"/>
                <w:szCs w:val="20"/>
              </w:rPr>
            </w:pPr>
            <w:proofErr w:type="spellStart"/>
            <w:r w:rsidRPr="003E7E2B">
              <w:rPr>
                <w:rFonts w:ascii="Arial Narrow" w:hAnsi="Arial Narrow" w:cstheme="minorHAnsi"/>
                <w:szCs w:val="20"/>
              </w:rPr>
              <w:t>Nivo</w:t>
            </w:r>
            <w:proofErr w:type="spellEnd"/>
            <w:r w:rsidRPr="003E7E2B">
              <w:rPr>
                <w:rFonts w:ascii="Arial Narrow" w:hAnsi="Arial Narrow" w:cstheme="minorHAnsi"/>
                <w:szCs w:val="20"/>
              </w:rPr>
              <w:t>: $</w:t>
            </w:r>
            <w:r w:rsidR="00B76982">
              <w:rPr>
                <w:rFonts w:ascii="Arial Narrow" w:hAnsi="Arial Narrow" w:cstheme="minorHAnsi"/>
                <w:noProof/>
                <w:szCs w:val="20"/>
                <w:highlight w:val="black"/>
              </w:rPr>
              <w:t>''''''''''''</w:t>
            </w:r>
            <w:r w:rsidR="00A62B73" w:rsidRPr="003E7E2B">
              <w:rPr>
                <w:rFonts w:ascii="Arial Narrow" w:hAnsi="Arial Narrow" w:cstheme="minorHAnsi"/>
                <w:szCs w:val="20"/>
              </w:rPr>
              <w:t xml:space="preserve"> </w:t>
            </w:r>
            <w:r w:rsidR="00A62B73" w:rsidRPr="006A772D">
              <w:rPr>
                <w:rFonts w:ascii="Arial Narrow" w:hAnsi="Arial Narrow" w:cstheme="minorHAnsi"/>
                <w:szCs w:val="20"/>
              </w:rPr>
              <w:t>(</w:t>
            </w:r>
            <w:r w:rsidR="00B76982">
              <w:rPr>
                <w:rFonts w:ascii="Arial Narrow" w:hAnsi="Arial Narrow" w:cstheme="minorHAnsi"/>
                <w:noProof/>
                <w:szCs w:val="20"/>
                <w:highlight w:val="black"/>
              </w:rPr>
              <w:t>''''''</w:t>
            </w:r>
            <w:r w:rsidR="00A62B73" w:rsidRPr="006A772D">
              <w:rPr>
                <w:rFonts w:ascii="Arial Narrow" w:hAnsi="Arial Narrow" w:cstheme="minorHAnsi"/>
                <w:szCs w:val="20"/>
              </w:rPr>
              <w:t>% lower)</w:t>
            </w:r>
          </w:p>
          <w:p w:rsidR="0026179F" w:rsidRPr="003E7E2B" w:rsidRDefault="0026179F" w:rsidP="001642E7">
            <w:pPr>
              <w:pStyle w:val="TableText0"/>
              <w:keepNext/>
              <w:keepLines/>
              <w:spacing w:before="0" w:after="0"/>
              <w:rPr>
                <w:rFonts w:ascii="Arial Narrow" w:hAnsi="Arial Narrow" w:cstheme="minorHAnsi"/>
                <w:szCs w:val="20"/>
              </w:rPr>
            </w:pPr>
            <w:r w:rsidRPr="006A772D">
              <w:rPr>
                <w:rFonts w:ascii="Arial Narrow" w:hAnsi="Arial Narrow" w:cstheme="minorHAnsi"/>
                <w:szCs w:val="20"/>
              </w:rPr>
              <w:t>Ipi: $</w:t>
            </w:r>
            <w:r w:rsidR="00B76982">
              <w:rPr>
                <w:rFonts w:ascii="Arial Narrow" w:hAnsi="Arial Narrow" w:cstheme="minorHAnsi"/>
                <w:noProof/>
                <w:szCs w:val="20"/>
                <w:highlight w:val="black"/>
              </w:rPr>
              <w:t>'''''''''''''</w:t>
            </w:r>
            <w:r w:rsidR="00A62B73" w:rsidRPr="006A772D">
              <w:rPr>
                <w:rFonts w:ascii="Arial Narrow" w:hAnsi="Arial Narrow" w:cstheme="minorHAnsi"/>
                <w:szCs w:val="20"/>
              </w:rPr>
              <w:t xml:space="preserve"> (</w:t>
            </w:r>
            <w:r w:rsidR="00B76982">
              <w:rPr>
                <w:rFonts w:ascii="Arial Narrow" w:hAnsi="Arial Narrow" w:cstheme="minorHAnsi"/>
                <w:noProof/>
                <w:szCs w:val="20"/>
                <w:highlight w:val="black"/>
              </w:rPr>
              <w:t>'''''''</w:t>
            </w:r>
            <w:r w:rsidR="00A62B73" w:rsidRPr="006A772D">
              <w:rPr>
                <w:rFonts w:ascii="Arial Narrow" w:hAnsi="Arial Narrow" w:cstheme="minorHAnsi"/>
                <w:szCs w:val="20"/>
              </w:rPr>
              <w:t>% lower</w:t>
            </w:r>
            <w:r w:rsidR="00A62B73" w:rsidRPr="003E7E2B">
              <w:rPr>
                <w:rFonts w:ascii="Arial Narrow" w:hAnsi="Arial Narrow" w:cstheme="minorHAnsi"/>
                <w:szCs w:val="20"/>
              </w:rPr>
              <w:t>)</w:t>
            </w:r>
          </w:p>
        </w:tc>
      </w:tr>
      <w:tr w:rsidR="002A0273" w:rsidRPr="003E7E2B" w:rsidTr="00652605">
        <w:trPr>
          <w:cantSplit/>
        </w:trPr>
        <w:tc>
          <w:tcPr>
            <w:tcW w:w="1342" w:type="pct"/>
            <w:tcBorders>
              <w:top w:val="single" w:sz="4" w:space="0" w:color="auto"/>
              <w:left w:val="single" w:sz="4" w:space="0" w:color="auto"/>
              <w:bottom w:val="single" w:sz="4" w:space="0" w:color="auto"/>
              <w:right w:val="single" w:sz="4" w:space="0" w:color="auto"/>
            </w:tcBorders>
          </w:tcPr>
          <w:p w:rsidR="002A0273" w:rsidRPr="003E7E2B" w:rsidRDefault="00837FCB" w:rsidP="005B098C">
            <w:pPr>
              <w:pStyle w:val="TableText0"/>
              <w:keepNext/>
              <w:keepLines/>
              <w:spacing w:before="0" w:after="0"/>
              <w:rPr>
                <w:rFonts w:ascii="Arial Narrow" w:hAnsi="Arial Narrow" w:cstheme="minorHAnsi"/>
                <w:szCs w:val="20"/>
              </w:rPr>
            </w:pPr>
            <w:r w:rsidRPr="003E7E2B">
              <w:rPr>
                <w:rFonts w:ascii="Arial Narrow" w:hAnsi="Arial Narrow" w:cstheme="minorHAnsi"/>
                <w:szCs w:val="20"/>
              </w:rPr>
              <w:t xml:space="preserve">Base case ICER of </w:t>
            </w:r>
            <w:r w:rsidR="008C603B">
              <w:rPr>
                <w:rFonts w:ascii="Arial Narrow" w:hAnsi="Arial Narrow" w:cstheme="minorHAnsi"/>
                <w:szCs w:val="20"/>
              </w:rPr>
              <w:t>$45,000/QALY – $75,000/QALY</w:t>
            </w:r>
          </w:p>
        </w:tc>
        <w:tc>
          <w:tcPr>
            <w:tcW w:w="2452" w:type="pct"/>
            <w:tcBorders>
              <w:top w:val="single" w:sz="4" w:space="0" w:color="auto"/>
              <w:left w:val="single" w:sz="4" w:space="0" w:color="auto"/>
              <w:bottom w:val="single" w:sz="4" w:space="0" w:color="auto"/>
              <w:right w:val="single" w:sz="4" w:space="0" w:color="auto"/>
            </w:tcBorders>
          </w:tcPr>
          <w:p w:rsidR="002A0273" w:rsidRPr="003E7E2B" w:rsidRDefault="002A0273" w:rsidP="001642E7">
            <w:pPr>
              <w:pStyle w:val="TableText0"/>
              <w:keepNext/>
              <w:keepLines/>
              <w:spacing w:before="0" w:after="0"/>
              <w:rPr>
                <w:rFonts w:ascii="Arial Narrow" w:hAnsi="Arial Narrow" w:cstheme="minorHAnsi"/>
                <w:szCs w:val="20"/>
              </w:rPr>
            </w:pPr>
            <w:r w:rsidRPr="003E7E2B">
              <w:rPr>
                <w:rFonts w:ascii="Arial Narrow" w:hAnsi="Arial Narrow" w:cstheme="minorHAnsi"/>
                <w:szCs w:val="20"/>
              </w:rPr>
              <w:t xml:space="preserve">NIVO+IPI would be cost-effective at an ICER of less than </w:t>
            </w:r>
            <w:r w:rsidR="00230D21">
              <w:rPr>
                <w:rFonts w:ascii="Arial Narrow" w:hAnsi="Arial Narrow" w:cstheme="minorHAnsi"/>
                <w:szCs w:val="20"/>
              </w:rPr>
              <w:t>$45,000/QALY – $75,000/QALY</w:t>
            </w:r>
            <w:r w:rsidRPr="003E7E2B">
              <w:rPr>
                <w:rFonts w:ascii="Arial Narrow" w:hAnsi="Arial Narrow" w:cstheme="minorHAnsi"/>
                <w:szCs w:val="20"/>
              </w:rPr>
              <w:t>, using the updated model parameters outlined above</w:t>
            </w:r>
          </w:p>
        </w:tc>
        <w:tc>
          <w:tcPr>
            <w:tcW w:w="1206" w:type="pct"/>
            <w:tcBorders>
              <w:top w:val="single" w:sz="4" w:space="0" w:color="auto"/>
              <w:left w:val="single" w:sz="4" w:space="0" w:color="auto"/>
              <w:bottom w:val="single" w:sz="4" w:space="0" w:color="auto"/>
              <w:right w:val="single" w:sz="4" w:space="0" w:color="auto"/>
            </w:tcBorders>
          </w:tcPr>
          <w:p w:rsidR="002A0273" w:rsidRPr="003E7E2B" w:rsidRDefault="00AD04B9" w:rsidP="001642E7">
            <w:pPr>
              <w:pStyle w:val="TableText0"/>
              <w:keepNext/>
              <w:keepLines/>
              <w:spacing w:before="0" w:after="0"/>
              <w:rPr>
                <w:rFonts w:ascii="Arial Narrow" w:hAnsi="Arial Narrow" w:cstheme="minorHAnsi"/>
                <w:szCs w:val="20"/>
              </w:rPr>
            </w:pPr>
            <w:r>
              <w:rPr>
                <w:rFonts w:ascii="Arial Narrow" w:hAnsi="Arial Narrow" w:cstheme="minorHAnsi"/>
                <w:szCs w:val="20"/>
              </w:rPr>
              <w:t>$45,000/QALY – $75,000/QALY</w:t>
            </w:r>
            <w:r w:rsidRPr="003E7E2B" w:rsidDel="00AD04B9">
              <w:rPr>
                <w:rFonts w:ascii="Arial Narrow" w:hAnsi="Arial Narrow" w:cstheme="minorHAnsi"/>
                <w:szCs w:val="20"/>
              </w:rPr>
              <w:t xml:space="preserve"> </w:t>
            </w:r>
            <w:r w:rsidR="00ED0D78" w:rsidRPr="003E7E2B">
              <w:rPr>
                <w:rFonts w:ascii="Arial Narrow" w:hAnsi="Arial Narrow" w:cstheme="minorHAnsi"/>
                <w:szCs w:val="20"/>
              </w:rPr>
              <w:t>if restrictions for current 2</w:t>
            </w:r>
            <w:r w:rsidR="00ED0D78" w:rsidRPr="003E7E2B">
              <w:rPr>
                <w:rFonts w:ascii="Arial Narrow" w:hAnsi="Arial Narrow" w:cstheme="minorHAnsi"/>
                <w:szCs w:val="20"/>
                <w:vertAlign w:val="superscript"/>
              </w:rPr>
              <w:t>nd</w:t>
            </w:r>
            <w:r w:rsidR="00ED0D78" w:rsidRPr="003E7E2B">
              <w:rPr>
                <w:rFonts w:ascii="Arial Narrow" w:hAnsi="Arial Narrow" w:cstheme="minorHAnsi"/>
                <w:szCs w:val="20"/>
              </w:rPr>
              <w:t xml:space="preserve"> line drugs are amended (</w:t>
            </w:r>
            <w:r w:rsidR="00442A6D" w:rsidRPr="003E7E2B">
              <w:rPr>
                <w:rFonts w:ascii="Arial Narrow" w:hAnsi="Arial Narrow" w:cstheme="minorHAnsi"/>
                <w:szCs w:val="20"/>
              </w:rPr>
              <w:t xml:space="preserve">or </w:t>
            </w:r>
            <w:r w:rsidR="0010122C">
              <w:rPr>
                <w:rFonts w:ascii="Arial Narrow" w:hAnsi="Arial Narrow" w:cstheme="minorHAnsi"/>
                <w:szCs w:val="20"/>
              </w:rPr>
              <w:t>$45,000/QALY – $75,000/QALY</w:t>
            </w:r>
            <w:r w:rsidR="0010122C" w:rsidRPr="003E7E2B" w:rsidDel="0010122C">
              <w:rPr>
                <w:rFonts w:ascii="Arial Narrow" w:hAnsi="Arial Narrow" w:cstheme="minorHAnsi"/>
                <w:szCs w:val="20"/>
              </w:rPr>
              <w:t xml:space="preserve"> </w:t>
            </w:r>
            <w:r w:rsidR="00ED0D78" w:rsidRPr="003E7E2B">
              <w:rPr>
                <w:rFonts w:ascii="Arial Narrow" w:hAnsi="Arial Narrow" w:cstheme="minorHAnsi"/>
                <w:szCs w:val="20"/>
              </w:rPr>
              <w:t>if restrictions are</w:t>
            </w:r>
            <w:r w:rsidR="00442A6D" w:rsidRPr="003E7E2B">
              <w:rPr>
                <w:rFonts w:ascii="Arial Narrow" w:hAnsi="Arial Narrow" w:cstheme="minorHAnsi"/>
                <w:szCs w:val="20"/>
              </w:rPr>
              <w:t xml:space="preserve"> not</w:t>
            </w:r>
            <w:r w:rsidR="00ED0D78" w:rsidRPr="003E7E2B">
              <w:rPr>
                <w:rFonts w:ascii="Arial Narrow" w:hAnsi="Arial Narrow" w:cstheme="minorHAnsi"/>
                <w:szCs w:val="20"/>
              </w:rPr>
              <w:t xml:space="preserve"> amended)</w:t>
            </w:r>
          </w:p>
        </w:tc>
      </w:tr>
    </w:tbl>
    <w:p w:rsidR="00837FCB" w:rsidRPr="003E7E2B" w:rsidRDefault="00837FCB" w:rsidP="001642E7">
      <w:pPr>
        <w:keepNext/>
        <w:keepLines/>
        <w:rPr>
          <w:rFonts w:ascii="Arial Narrow" w:hAnsi="Arial Narrow"/>
          <w:sz w:val="18"/>
        </w:rPr>
      </w:pPr>
      <w:r w:rsidRPr="003E7E2B">
        <w:rPr>
          <w:rFonts w:ascii="Arial Narrow" w:hAnsi="Arial Narrow"/>
          <w:sz w:val="18"/>
        </w:rPr>
        <w:t>Source: Table 1, p 1 of the minor resubmi</w:t>
      </w:r>
      <w:r w:rsidR="00845EDE">
        <w:rPr>
          <w:rFonts w:ascii="Arial Narrow" w:hAnsi="Arial Narrow"/>
          <w:sz w:val="18"/>
        </w:rPr>
        <w:t>ssion; PBAC Minutes July 2018.</w:t>
      </w:r>
    </w:p>
    <w:p w:rsidR="000B2ED5" w:rsidRPr="003E7E2B" w:rsidRDefault="00837FCB" w:rsidP="001642E7">
      <w:pPr>
        <w:keepNext/>
        <w:keepLines/>
        <w:rPr>
          <w:rFonts w:ascii="Arial Narrow" w:hAnsi="Arial Narrow" w:cstheme="minorBidi"/>
          <w:sz w:val="18"/>
          <w:szCs w:val="22"/>
          <w:lang w:eastAsia="en-US"/>
        </w:rPr>
      </w:pPr>
      <w:r w:rsidRPr="003E7E2B">
        <w:rPr>
          <w:rFonts w:ascii="Arial Narrow" w:hAnsi="Arial Narrow"/>
          <w:sz w:val="18"/>
        </w:rPr>
        <w:t xml:space="preserve">IPI = ipilimumab; NIVO = nivolumab; OS = overall survival; PFS = progression free survival; QALY = quality-adjusted life year; SUNI = sunitinib. </w:t>
      </w:r>
      <w:r w:rsidR="000B2ED5" w:rsidRPr="003E7E2B">
        <w:rPr>
          <w:rFonts w:ascii="Arial Narrow" w:hAnsi="Arial Narrow"/>
          <w:sz w:val="18"/>
        </w:rPr>
        <w:t>OS = overall survival; PD = progressive disease; PF = progression free; PFS = progression free survival</w:t>
      </w:r>
      <w:r w:rsidR="000B2ED5" w:rsidRPr="003E7E2B">
        <w:rPr>
          <w:rFonts w:ascii="Arial Narrow" w:hAnsi="Arial Narrow"/>
          <w:sz w:val="18"/>
        </w:rPr>
        <w:br/>
      </w:r>
    </w:p>
    <w:p w:rsidR="003700E5" w:rsidRPr="003E7E2B" w:rsidRDefault="00652605" w:rsidP="003700E5">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 xml:space="preserve">The resubmission </w:t>
      </w:r>
      <w:r w:rsidR="003700E5" w:rsidRPr="003E7E2B">
        <w:rPr>
          <w:rFonts w:asciiTheme="minorHAnsi" w:hAnsiTheme="minorHAnsi"/>
          <w:sz w:val="24"/>
          <w:szCs w:val="24"/>
        </w:rPr>
        <w:t>appropriately addressed two of the issues raised by the PBAC in its previous consideration:</w:t>
      </w:r>
    </w:p>
    <w:p w:rsidR="00652605" w:rsidRPr="003E7E2B" w:rsidRDefault="003979C2" w:rsidP="00DE11A9">
      <w:pPr>
        <w:pStyle w:val="ListParagraph"/>
        <w:numPr>
          <w:ilvl w:val="0"/>
          <w:numId w:val="22"/>
        </w:numPr>
        <w:spacing w:after="120"/>
        <w:ind w:left="1276" w:hanging="283"/>
        <w:contextualSpacing w:val="0"/>
        <w:rPr>
          <w:rFonts w:asciiTheme="minorHAnsi" w:hAnsiTheme="minorHAnsi"/>
          <w:sz w:val="24"/>
          <w:szCs w:val="24"/>
        </w:rPr>
      </w:pPr>
      <w:r w:rsidRPr="003E7E2B">
        <w:rPr>
          <w:rFonts w:asciiTheme="minorHAnsi" w:hAnsiTheme="minorHAnsi"/>
          <w:sz w:val="24"/>
          <w:szCs w:val="24"/>
        </w:rPr>
        <w:t>T</w:t>
      </w:r>
      <w:r w:rsidR="00652605" w:rsidRPr="003E7E2B">
        <w:rPr>
          <w:rFonts w:asciiTheme="minorHAnsi" w:hAnsiTheme="minorHAnsi"/>
          <w:sz w:val="24"/>
          <w:szCs w:val="24"/>
        </w:rPr>
        <w:t>he assumption of proportional hazards from the mean duration of follow-up to five years</w:t>
      </w:r>
      <w:r w:rsidR="003700E5" w:rsidRPr="003E7E2B">
        <w:rPr>
          <w:rFonts w:asciiTheme="minorHAnsi" w:hAnsiTheme="minorHAnsi"/>
          <w:sz w:val="24"/>
          <w:szCs w:val="24"/>
        </w:rPr>
        <w:t>, which the PBAC</w:t>
      </w:r>
      <w:r w:rsidR="00A32481" w:rsidRPr="003E7E2B">
        <w:rPr>
          <w:rFonts w:asciiTheme="minorHAnsi" w:hAnsiTheme="minorHAnsi"/>
          <w:sz w:val="24"/>
          <w:szCs w:val="24"/>
        </w:rPr>
        <w:t xml:space="preserve"> previously</w:t>
      </w:r>
      <w:r w:rsidR="003700E5" w:rsidRPr="003E7E2B">
        <w:rPr>
          <w:rFonts w:asciiTheme="minorHAnsi" w:hAnsiTheme="minorHAnsi"/>
          <w:sz w:val="24"/>
          <w:szCs w:val="24"/>
        </w:rPr>
        <w:t xml:space="preserve"> considered was highly uncertain given that median OS had not yet been reached in the NIVO+IPI arm</w:t>
      </w:r>
      <w:r w:rsidR="00652605" w:rsidRPr="003E7E2B">
        <w:rPr>
          <w:rFonts w:asciiTheme="minorHAnsi" w:hAnsiTheme="minorHAnsi"/>
          <w:sz w:val="24"/>
          <w:szCs w:val="24"/>
        </w:rPr>
        <w:t xml:space="preserve">. </w:t>
      </w:r>
      <w:r w:rsidR="003700E5" w:rsidRPr="003E7E2B">
        <w:rPr>
          <w:rFonts w:asciiTheme="minorHAnsi" w:hAnsiTheme="minorHAnsi"/>
          <w:sz w:val="24"/>
          <w:szCs w:val="24"/>
        </w:rPr>
        <w:t>As requested by t</w:t>
      </w:r>
      <w:r w:rsidR="00652605" w:rsidRPr="003E7E2B">
        <w:rPr>
          <w:rFonts w:asciiTheme="minorHAnsi" w:hAnsiTheme="minorHAnsi"/>
          <w:sz w:val="24"/>
          <w:szCs w:val="24"/>
        </w:rPr>
        <w:t xml:space="preserve">he </w:t>
      </w:r>
      <w:r w:rsidR="00A32481" w:rsidRPr="003E7E2B">
        <w:rPr>
          <w:rFonts w:asciiTheme="minorHAnsi" w:hAnsiTheme="minorHAnsi"/>
          <w:sz w:val="24"/>
          <w:szCs w:val="24"/>
        </w:rPr>
        <w:t xml:space="preserve">July 2018 </w:t>
      </w:r>
      <w:r w:rsidR="00652605" w:rsidRPr="003E7E2B">
        <w:rPr>
          <w:rFonts w:asciiTheme="minorHAnsi" w:hAnsiTheme="minorHAnsi"/>
          <w:sz w:val="24"/>
          <w:szCs w:val="24"/>
        </w:rPr>
        <w:t>PBAC</w:t>
      </w:r>
      <w:r w:rsidR="003700E5" w:rsidRPr="003E7E2B">
        <w:rPr>
          <w:rFonts w:asciiTheme="minorHAnsi" w:hAnsiTheme="minorHAnsi"/>
          <w:sz w:val="24"/>
          <w:szCs w:val="24"/>
        </w:rPr>
        <w:t xml:space="preserve">, the resubmission </w:t>
      </w:r>
      <w:r w:rsidR="00652605" w:rsidRPr="003E7E2B">
        <w:rPr>
          <w:rFonts w:asciiTheme="minorHAnsi" w:hAnsiTheme="minorHAnsi"/>
          <w:sz w:val="24"/>
          <w:szCs w:val="24"/>
        </w:rPr>
        <w:t>assume</w:t>
      </w:r>
      <w:r w:rsidR="003700E5" w:rsidRPr="003E7E2B">
        <w:rPr>
          <w:rFonts w:asciiTheme="minorHAnsi" w:hAnsiTheme="minorHAnsi"/>
          <w:sz w:val="24"/>
          <w:szCs w:val="24"/>
        </w:rPr>
        <w:t>d</w:t>
      </w:r>
      <w:r w:rsidR="00652605" w:rsidRPr="003E7E2B">
        <w:rPr>
          <w:rFonts w:asciiTheme="minorHAnsi" w:hAnsiTheme="minorHAnsi"/>
          <w:sz w:val="24"/>
          <w:szCs w:val="24"/>
        </w:rPr>
        <w:t xml:space="preserve"> that convergence of the OS (and PFS) curves begins at </w:t>
      </w:r>
      <w:r w:rsidR="00B76982">
        <w:rPr>
          <w:rFonts w:asciiTheme="minorHAnsi" w:hAnsiTheme="minorHAnsi"/>
          <w:noProof/>
          <w:color w:val="000000"/>
          <w:sz w:val="24"/>
          <w:szCs w:val="24"/>
          <w:highlight w:val="black"/>
        </w:rPr>
        <w:t>'''''</w:t>
      </w:r>
      <w:r w:rsidR="00652605" w:rsidRPr="002806AC">
        <w:rPr>
          <w:rFonts w:asciiTheme="minorHAnsi" w:hAnsiTheme="minorHAnsi"/>
          <w:sz w:val="24"/>
          <w:szCs w:val="24"/>
        </w:rPr>
        <w:t xml:space="preserve"> </w:t>
      </w:r>
      <w:r w:rsidR="00652605" w:rsidRPr="0073573D">
        <w:rPr>
          <w:rFonts w:asciiTheme="minorHAnsi" w:hAnsiTheme="minorHAnsi"/>
          <w:sz w:val="24"/>
          <w:szCs w:val="24"/>
        </w:rPr>
        <w:t>months</w:t>
      </w:r>
      <w:r w:rsidR="00844246" w:rsidRPr="0073573D">
        <w:rPr>
          <w:rFonts w:asciiTheme="minorHAnsi" w:hAnsiTheme="minorHAnsi"/>
          <w:sz w:val="24"/>
          <w:szCs w:val="24"/>
        </w:rPr>
        <w:t>,</w:t>
      </w:r>
      <w:r w:rsidR="00844246" w:rsidRPr="003E7E2B">
        <w:rPr>
          <w:rFonts w:asciiTheme="minorHAnsi" w:hAnsiTheme="minorHAnsi"/>
          <w:sz w:val="24"/>
          <w:szCs w:val="24"/>
        </w:rPr>
        <w:t xml:space="preserve"> as shown in the figure below</w:t>
      </w:r>
      <w:r w:rsidR="00652605" w:rsidRPr="003E7E2B">
        <w:rPr>
          <w:rFonts w:asciiTheme="minorHAnsi" w:hAnsiTheme="minorHAnsi"/>
          <w:sz w:val="24"/>
          <w:szCs w:val="24"/>
        </w:rPr>
        <w:t>;</w:t>
      </w:r>
    </w:p>
    <w:p w:rsidR="00652605" w:rsidRPr="003E7E2B" w:rsidRDefault="003979C2" w:rsidP="003700E5">
      <w:pPr>
        <w:pStyle w:val="ListParagraph"/>
        <w:numPr>
          <w:ilvl w:val="0"/>
          <w:numId w:val="22"/>
        </w:numPr>
        <w:spacing w:after="120"/>
        <w:ind w:left="1276" w:hanging="283"/>
        <w:contextualSpacing w:val="0"/>
        <w:rPr>
          <w:rFonts w:asciiTheme="minorHAnsi" w:hAnsiTheme="minorHAnsi"/>
          <w:sz w:val="24"/>
          <w:szCs w:val="24"/>
        </w:rPr>
      </w:pPr>
      <w:r w:rsidRPr="003E7E2B">
        <w:rPr>
          <w:rFonts w:asciiTheme="minorHAnsi" w:hAnsiTheme="minorHAnsi"/>
          <w:sz w:val="24"/>
          <w:szCs w:val="24"/>
        </w:rPr>
        <w:t>T</w:t>
      </w:r>
      <w:r w:rsidR="00652605" w:rsidRPr="003E7E2B">
        <w:rPr>
          <w:rFonts w:asciiTheme="minorHAnsi" w:hAnsiTheme="minorHAnsi"/>
          <w:sz w:val="24"/>
          <w:szCs w:val="24"/>
        </w:rPr>
        <w:t xml:space="preserve">he time horizon of </w:t>
      </w:r>
      <w:r w:rsidR="00B76982">
        <w:rPr>
          <w:rFonts w:asciiTheme="minorHAnsi" w:hAnsiTheme="minorHAnsi"/>
          <w:noProof/>
          <w:color w:val="000000"/>
          <w:sz w:val="24"/>
          <w:szCs w:val="24"/>
          <w:highlight w:val="black"/>
        </w:rPr>
        <w:t>''''''</w:t>
      </w:r>
      <w:r w:rsidR="00652605" w:rsidRPr="002806AC">
        <w:rPr>
          <w:rFonts w:asciiTheme="minorHAnsi" w:hAnsiTheme="minorHAnsi"/>
          <w:sz w:val="24"/>
          <w:szCs w:val="24"/>
        </w:rPr>
        <w:t xml:space="preserve"> years</w:t>
      </w:r>
      <w:r w:rsidR="003700E5" w:rsidRPr="003E7E2B">
        <w:rPr>
          <w:rFonts w:asciiTheme="minorHAnsi" w:hAnsiTheme="minorHAnsi"/>
          <w:sz w:val="24"/>
          <w:szCs w:val="24"/>
        </w:rPr>
        <w:t xml:space="preserve">, which the PBAC </w:t>
      </w:r>
      <w:r w:rsidR="00A32481" w:rsidRPr="003E7E2B">
        <w:rPr>
          <w:rFonts w:asciiTheme="minorHAnsi" w:hAnsiTheme="minorHAnsi"/>
          <w:sz w:val="24"/>
          <w:szCs w:val="24"/>
        </w:rPr>
        <w:t xml:space="preserve">previously </w:t>
      </w:r>
      <w:r w:rsidR="003700E5" w:rsidRPr="003E7E2B">
        <w:rPr>
          <w:rFonts w:asciiTheme="minorHAnsi" w:hAnsiTheme="minorHAnsi"/>
          <w:sz w:val="24"/>
          <w:szCs w:val="24"/>
        </w:rPr>
        <w:t>considered</w:t>
      </w:r>
      <w:r w:rsidR="00652605" w:rsidRPr="003E7E2B">
        <w:rPr>
          <w:rFonts w:asciiTheme="minorHAnsi" w:hAnsiTheme="minorHAnsi"/>
          <w:sz w:val="24"/>
          <w:szCs w:val="24"/>
        </w:rPr>
        <w:t xml:space="preserve"> was not reasonable given the </w:t>
      </w:r>
      <w:r w:rsidR="003700E5" w:rsidRPr="003E7E2B">
        <w:rPr>
          <w:rFonts w:asciiTheme="minorHAnsi" w:hAnsiTheme="minorHAnsi"/>
          <w:sz w:val="24"/>
          <w:szCs w:val="24"/>
        </w:rPr>
        <w:t xml:space="preserve">population group, the </w:t>
      </w:r>
      <w:r w:rsidR="00652605" w:rsidRPr="003E7E2B">
        <w:rPr>
          <w:rFonts w:asciiTheme="minorHAnsi" w:hAnsiTheme="minorHAnsi"/>
          <w:sz w:val="24"/>
          <w:szCs w:val="24"/>
        </w:rPr>
        <w:t>short duration of follow-up in the trial and the uncertainties with the extrapolation</w:t>
      </w:r>
      <w:r w:rsidR="003700E5" w:rsidRPr="003E7E2B">
        <w:rPr>
          <w:rFonts w:asciiTheme="minorHAnsi" w:hAnsiTheme="minorHAnsi"/>
          <w:sz w:val="24"/>
          <w:szCs w:val="24"/>
        </w:rPr>
        <w:t xml:space="preserve">. As requested by the </w:t>
      </w:r>
      <w:r w:rsidR="00A32481" w:rsidRPr="003E7E2B">
        <w:rPr>
          <w:rFonts w:asciiTheme="minorHAnsi" w:hAnsiTheme="minorHAnsi"/>
          <w:sz w:val="24"/>
          <w:szCs w:val="24"/>
        </w:rPr>
        <w:t xml:space="preserve">July 2018 </w:t>
      </w:r>
      <w:r w:rsidR="003700E5" w:rsidRPr="003E7E2B">
        <w:rPr>
          <w:rFonts w:asciiTheme="minorHAnsi" w:hAnsiTheme="minorHAnsi"/>
          <w:sz w:val="24"/>
          <w:szCs w:val="24"/>
        </w:rPr>
        <w:t xml:space="preserve">PBAC, the resubmission assumed </w:t>
      </w:r>
      <w:r w:rsidR="00652605" w:rsidRPr="003E7E2B">
        <w:rPr>
          <w:rFonts w:asciiTheme="minorHAnsi" w:hAnsiTheme="minorHAnsi"/>
          <w:sz w:val="24"/>
          <w:szCs w:val="24"/>
        </w:rPr>
        <w:t xml:space="preserve">a time horizon of </w:t>
      </w:r>
      <w:r w:rsidR="00B76982">
        <w:rPr>
          <w:rFonts w:asciiTheme="minorHAnsi" w:hAnsiTheme="minorHAnsi"/>
          <w:noProof/>
          <w:color w:val="000000"/>
          <w:sz w:val="24"/>
          <w:szCs w:val="24"/>
          <w:highlight w:val="black"/>
        </w:rPr>
        <w:t>''''''</w:t>
      </w:r>
      <w:r w:rsidR="00652605" w:rsidRPr="002806AC">
        <w:rPr>
          <w:rFonts w:asciiTheme="minorHAnsi" w:hAnsiTheme="minorHAnsi"/>
          <w:sz w:val="24"/>
          <w:szCs w:val="24"/>
        </w:rPr>
        <w:t xml:space="preserve"> years</w:t>
      </w:r>
      <w:r w:rsidR="00652605" w:rsidRPr="003E7E2B">
        <w:rPr>
          <w:rFonts w:asciiTheme="minorHAnsi" w:hAnsiTheme="minorHAnsi"/>
          <w:sz w:val="24"/>
          <w:szCs w:val="24"/>
        </w:rPr>
        <w:t xml:space="preserve"> (Paragraph 7.12, PBAC Minutes July 2018).</w:t>
      </w:r>
    </w:p>
    <w:p w:rsidR="00844246" w:rsidRPr="003E7E2B" w:rsidRDefault="00981384" w:rsidP="00B3301C">
      <w:pPr>
        <w:keepNext/>
        <w:keepLines/>
        <w:spacing w:after="120"/>
        <w:rPr>
          <w:rFonts w:asciiTheme="minorHAnsi" w:hAnsiTheme="minorHAnsi"/>
        </w:rPr>
      </w:pPr>
      <w:r w:rsidRPr="003E7E2B">
        <w:rPr>
          <w:rFonts w:ascii="Arial Narrow" w:hAnsi="Arial Narrow" w:cs="Arial"/>
          <w:b/>
          <w:snapToGrid w:val="0"/>
          <w:sz w:val="20"/>
          <w:szCs w:val="16"/>
          <w:lang w:eastAsia="en-US"/>
        </w:rPr>
        <w:lastRenderedPageBreak/>
        <w:t xml:space="preserve">Figure </w:t>
      </w:r>
      <w:r w:rsidR="00E64AC7" w:rsidRPr="003E7E2B">
        <w:rPr>
          <w:rFonts w:ascii="Arial Narrow" w:hAnsi="Arial Narrow" w:cs="Arial"/>
          <w:b/>
          <w:snapToGrid w:val="0"/>
          <w:sz w:val="20"/>
          <w:szCs w:val="16"/>
          <w:lang w:eastAsia="en-US"/>
        </w:rPr>
        <w:t>1</w:t>
      </w:r>
      <w:r w:rsidRPr="003E7E2B">
        <w:rPr>
          <w:rFonts w:ascii="Arial Narrow" w:hAnsi="Arial Narrow" w:cs="Arial"/>
          <w:b/>
          <w:snapToGrid w:val="0"/>
          <w:sz w:val="20"/>
          <w:szCs w:val="16"/>
          <w:lang w:eastAsia="en-US"/>
        </w:rPr>
        <w:t xml:space="preserve">: Model traces for the OS, PFS and TTD curves: current resubmission </w:t>
      </w:r>
      <w:r w:rsidR="008021E6" w:rsidRPr="003E7E2B">
        <w:rPr>
          <w:rFonts w:ascii="Arial Narrow" w:hAnsi="Arial Narrow" w:cs="Arial"/>
          <w:b/>
          <w:snapToGrid w:val="0"/>
          <w:sz w:val="20"/>
          <w:szCs w:val="16"/>
          <w:lang w:eastAsia="en-US"/>
        </w:rPr>
        <w:t xml:space="preserve">(solid lines) </w:t>
      </w:r>
      <w:r w:rsidRPr="003E7E2B">
        <w:rPr>
          <w:rFonts w:ascii="Arial Narrow" w:hAnsi="Arial Narrow" w:cs="Arial"/>
          <w:b/>
          <w:snapToGrid w:val="0"/>
          <w:sz w:val="20"/>
          <w:szCs w:val="16"/>
          <w:lang w:eastAsia="en-US"/>
        </w:rPr>
        <w:t>versus previous model</w:t>
      </w:r>
      <w:r w:rsidR="00A70ECA" w:rsidRPr="003E7E2B">
        <w:rPr>
          <w:rFonts w:ascii="Arial Narrow" w:hAnsi="Arial Narrow" w:cs="Arial"/>
          <w:b/>
          <w:snapToGrid w:val="0"/>
          <w:sz w:val="20"/>
          <w:szCs w:val="16"/>
          <w:lang w:eastAsia="en-US"/>
        </w:rPr>
        <w:t xml:space="preserve"> (</w:t>
      </w:r>
      <w:r w:rsidR="008021E6" w:rsidRPr="003E7E2B">
        <w:rPr>
          <w:rFonts w:ascii="Arial Narrow" w:hAnsi="Arial Narrow" w:cs="Arial"/>
          <w:b/>
          <w:snapToGrid w:val="0"/>
          <w:sz w:val="20"/>
          <w:szCs w:val="16"/>
          <w:lang w:eastAsia="en-US"/>
        </w:rPr>
        <w:t xml:space="preserve">dotted lines, </w:t>
      </w:r>
      <w:r w:rsidR="00A70ECA" w:rsidRPr="003E7E2B">
        <w:rPr>
          <w:rFonts w:ascii="Arial Narrow" w:hAnsi="Arial Narrow" w:cs="Arial"/>
          <w:b/>
          <w:snapToGrid w:val="0"/>
          <w:sz w:val="20"/>
          <w:szCs w:val="16"/>
          <w:lang w:eastAsia="en-US"/>
        </w:rPr>
        <w:t>July 2018 Pre-PBAC Response)</w:t>
      </w:r>
    </w:p>
    <w:p w:rsidR="00844246" w:rsidRPr="003E7E2B" w:rsidRDefault="00B76982" w:rsidP="00B3301C">
      <w:pPr>
        <w:keepNext/>
        <w:keepLines/>
        <w:spacing w:after="120"/>
        <w:rPr>
          <w:rFonts w:asciiTheme="minorHAnsi" w:hAnsiTheme="minorHAnsi"/>
        </w:rPr>
      </w:pPr>
      <w:r>
        <w:rPr>
          <w:rFonts w:asciiTheme="minorHAnsi" w:hAnsiTheme="minorHAnsi"/>
          <w:noProof/>
        </w:rPr>
        <w:drawing>
          <wp:inline distT="0" distB="0" distL="0" distR="0">
            <wp:extent cx="5011420" cy="31146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11420" cy="3114675"/>
                    </a:xfrm>
                    <a:prstGeom prst="rect">
                      <a:avLst/>
                    </a:prstGeom>
                  </pic:spPr>
                </pic:pic>
              </a:graphicData>
            </a:graphic>
          </wp:inline>
        </w:drawing>
      </w:r>
    </w:p>
    <w:p w:rsidR="00844246" w:rsidRPr="003C2660" w:rsidRDefault="00A70ECA" w:rsidP="00B3301C">
      <w:pPr>
        <w:keepNext/>
        <w:keepLines/>
        <w:spacing w:after="120"/>
        <w:contextualSpacing/>
        <w:rPr>
          <w:rFonts w:ascii="Arial Narrow" w:hAnsi="Arial Narrow"/>
          <w:sz w:val="18"/>
          <w:szCs w:val="18"/>
        </w:rPr>
      </w:pPr>
      <w:r w:rsidRPr="003C2660">
        <w:rPr>
          <w:rFonts w:ascii="Arial Narrow" w:hAnsi="Arial Narrow"/>
          <w:sz w:val="18"/>
          <w:szCs w:val="18"/>
        </w:rPr>
        <w:t>Source: ‘Active traces’ of App_CEA_NIVO+IPI1LRCC_Aug18.xlsx</w:t>
      </w:r>
    </w:p>
    <w:p w:rsidR="00A70ECA" w:rsidRPr="003E7E2B" w:rsidRDefault="00B3301C" w:rsidP="00B3301C">
      <w:pPr>
        <w:keepNext/>
        <w:keepLines/>
        <w:rPr>
          <w:rFonts w:ascii="Arial Narrow" w:hAnsi="Arial Narrow"/>
          <w:sz w:val="18"/>
          <w:szCs w:val="18"/>
        </w:rPr>
      </w:pPr>
      <w:r w:rsidRPr="003C2660">
        <w:rPr>
          <w:rFonts w:ascii="Arial Narrow" w:hAnsi="Arial Narrow"/>
          <w:sz w:val="18"/>
          <w:szCs w:val="18"/>
        </w:rPr>
        <w:t>Figure 1</w:t>
      </w:r>
      <w:r w:rsidR="00A70ECA" w:rsidRPr="003E7E2B">
        <w:rPr>
          <w:rFonts w:ascii="Arial Narrow" w:hAnsi="Arial Narrow"/>
          <w:sz w:val="18"/>
          <w:szCs w:val="18"/>
        </w:rPr>
        <w:t xml:space="preserve"> is based on</w:t>
      </w:r>
      <w:r w:rsidR="00442A6D" w:rsidRPr="003E7E2B">
        <w:rPr>
          <w:rFonts w:ascii="Arial Narrow" w:hAnsi="Arial Narrow"/>
          <w:sz w:val="18"/>
          <w:szCs w:val="18"/>
        </w:rPr>
        <w:t xml:space="preserve"> the “</w:t>
      </w:r>
      <w:r w:rsidR="00A70ECA" w:rsidRPr="003E7E2B">
        <w:rPr>
          <w:rFonts w:ascii="Arial Narrow" w:hAnsi="Arial Narrow" w:cstheme="minorBidi"/>
          <w:sz w:val="18"/>
          <w:szCs w:val="22"/>
          <w:lang w:eastAsia="en-US"/>
        </w:rPr>
        <w:t>leakage scenario”, wherein PBS usage of current second- and later-line therapies for RCC is assumed to occur in the third- and later-line settings, which would require the restriction to be updated to remove the requirement for TKIs to be used</w:t>
      </w:r>
      <w:r w:rsidR="00442A6D" w:rsidRPr="003E7E2B">
        <w:rPr>
          <w:rFonts w:ascii="Arial Narrow" w:hAnsi="Arial Narrow" w:cstheme="minorBidi"/>
          <w:sz w:val="18"/>
          <w:szCs w:val="22"/>
          <w:lang w:eastAsia="en-US"/>
        </w:rPr>
        <w:t xml:space="preserve"> in the </w:t>
      </w:r>
      <w:r w:rsidR="00A70ECA" w:rsidRPr="003E7E2B">
        <w:rPr>
          <w:rFonts w:ascii="Arial Narrow" w:hAnsi="Arial Narrow" w:cstheme="minorBidi"/>
          <w:sz w:val="18"/>
          <w:szCs w:val="22"/>
          <w:lang w:eastAsia="en-US"/>
        </w:rPr>
        <w:t>first-line</w:t>
      </w:r>
      <w:r w:rsidR="00442A6D" w:rsidRPr="003E7E2B">
        <w:rPr>
          <w:rFonts w:ascii="Arial Narrow" w:hAnsi="Arial Narrow" w:cstheme="minorBidi"/>
          <w:sz w:val="18"/>
          <w:szCs w:val="22"/>
          <w:lang w:eastAsia="en-US"/>
        </w:rPr>
        <w:t xml:space="preserve"> setting</w:t>
      </w:r>
      <w:r w:rsidR="00A70ECA" w:rsidRPr="003E7E2B">
        <w:rPr>
          <w:rFonts w:ascii="Arial Narrow" w:hAnsi="Arial Narrow" w:cstheme="minorBidi"/>
          <w:sz w:val="18"/>
          <w:szCs w:val="22"/>
          <w:lang w:eastAsia="en-US"/>
        </w:rPr>
        <w:t>.</w:t>
      </w:r>
    </w:p>
    <w:p w:rsidR="00A70ECA" w:rsidRPr="003E7E2B" w:rsidRDefault="00A70ECA" w:rsidP="0027241C">
      <w:pPr>
        <w:pStyle w:val="TableFooter"/>
      </w:pPr>
    </w:p>
    <w:p w:rsidR="00505C00" w:rsidRPr="003E7E2B" w:rsidRDefault="00505C00" w:rsidP="00505C00">
      <w:pPr>
        <w:pStyle w:val="ListParagraph"/>
        <w:widowControl/>
        <w:numPr>
          <w:ilvl w:val="1"/>
          <w:numId w:val="5"/>
        </w:numPr>
        <w:spacing w:after="120"/>
        <w:contextualSpacing w:val="0"/>
        <w:rPr>
          <w:rFonts w:asciiTheme="minorHAnsi" w:hAnsiTheme="minorHAnsi"/>
          <w:sz w:val="24"/>
          <w:szCs w:val="24"/>
        </w:rPr>
      </w:pPr>
      <w:r w:rsidRPr="003E7E2B">
        <w:rPr>
          <w:rFonts w:asciiTheme="minorHAnsi" w:hAnsiTheme="minorHAnsi" w:cstheme="minorHAnsi"/>
          <w:sz w:val="24"/>
          <w:szCs w:val="24"/>
        </w:rPr>
        <w:t xml:space="preserve">Figure 1 also shows that the Time to Treatment Discontinuation curve for NIVO+IPI begins to converge at </w:t>
      </w:r>
      <w:r w:rsidR="00B76982">
        <w:rPr>
          <w:rFonts w:asciiTheme="minorHAnsi" w:hAnsiTheme="minorHAnsi" w:cstheme="minorHAnsi"/>
          <w:noProof/>
          <w:color w:val="000000"/>
          <w:sz w:val="24"/>
          <w:szCs w:val="24"/>
          <w:highlight w:val="black"/>
        </w:rPr>
        <w:t>'''''</w:t>
      </w:r>
      <w:r w:rsidRPr="002806AC">
        <w:rPr>
          <w:rFonts w:asciiTheme="minorHAnsi" w:hAnsiTheme="minorHAnsi" w:cstheme="minorHAnsi"/>
          <w:sz w:val="24"/>
          <w:szCs w:val="24"/>
        </w:rPr>
        <w:t xml:space="preserve"> months</w:t>
      </w:r>
      <w:r w:rsidRPr="003E7E2B">
        <w:rPr>
          <w:rFonts w:asciiTheme="minorHAnsi" w:hAnsiTheme="minorHAnsi" w:cstheme="minorHAnsi"/>
          <w:sz w:val="24"/>
          <w:szCs w:val="24"/>
        </w:rPr>
        <w:t xml:space="preserve"> (solid green line), </w:t>
      </w:r>
      <w:r w:rsidR="00E13A09" w:rsidRPr="003E7E2B">
        <w:rPr>
          <w:rFonts w:asciiTheme="minorHAnsi" w:hAnsiTheme="minorHAnsi" w:cstheme="minorHAnsi"/>
          <w:sz w:val="24"/>
          <w:szCs w:val="24"/>
        </w:rPr>
        <w:t>but converges at a faster rate than in the previous submission</w:t>
      </w:r>
      <w:r w:rsidRPr="003E7E2B">
        <w:rPr>
          <w:rFonts w:asciiTheme="minorHAnsi" w:hAnsiTheme="minorHAnsi" w:cstheme="minorHAnsi"/>
          <w:sz w:val="24"/>
          <w:szCs w:val="24"/>
        </w:rPr>
        <w:t xml:space="preserve"> (dotted green line)</w:t>
      </w:r>
      <w:r w:rsidR="00E13A09" w:rsidRPr="003E7E2B">
        <w:rPr>
          <w:rFonts w:asciiTheme="minorHAnsi" w:hAnsiTheme="minorHAnsi" w:cstheme="minorHAnsi"/>
          <w:sz w:val="24"/>
          <w:szCs w:val="24"/>
        </w:rPr>
        <w:t xml:space="preserve"> as it is now assumed to converge within the shorter modelled time horizon</w:t>
      </w:r>
      <w:r w:rsidRPr="003E7E2B">
        <w:rPr>
          <w:rFonts w:asciiTheme="minorHAnsi" w:hAnsiTheme="minorHAnsi" w:cstheme="minorHAnsi"/>
          <w:sz w:val="24"/>
          <w:szCs w:val="24"/>
        </w:rPr>
        <w:t xml:space="preserve">. Thus, drug costs were reduced in the NIVO+IPI arm (this change alone reduced the average number of nivolumab doses per patient from </w:t>
      </w:r>
      <w:r w:rsidR="00B76982">
        <w:rPr>
          <w:rFonts w:asciiTheme="minorHAnsi" w:hAnsiTheme="minorHAnsi" w:cstheme="minorHAnsi"/>
          <w:noProof/>
          <w:color w:val="000000"/>
          <w:sz w:val="24"/>
          <w:szCs w:val="24"/>
          <w:highlight w:val="black"/>
        </w:rPr>
        <w:t>'''''''''</w:t>
      </w:r>
      <w:r w:rsidRPr="002806AC">
        <w:rPr>
          <w:rFonts w:asciiTheme="minorHAnsi" w:hAnsiTheme="minorHAnsi" w:cstheme="minorHAnsi"/>
          <w:sz w:val="24"/>
          <w:szCs w:val="24"/>
        </w:rPr>
        <w:t xml:space="preserve"> to </w:t>
      </w:r>
      <w:r w:rsidR="00B76982">
        <w:rPr>
          <w:rFonts w:asciiTheme="minorHAnsi" w:hAnsiTheme="minorHAnsi" w:cstheme="minorHAnsi"/>
          <w:noProof/>
          <w:color w:val="000000"/>
          <w:sz w:val="24"/>
          <w:szCs w:val="24"/>
          <w:highlight w:val="black"/>
        </w:rPr>
        <w:t>''''''''</w:t>
      </w:r>
      <w:r w:rsidRPr="003E7E2B">
        <w:rPr>
          <w:rFonts w:asciiTheme="minorHAnsi" w:hAnsiTheme="minorHAnsi" w:cstheme="minorHAnsi"/>
          <w:sz w:val="24"/>
          <w:szCs w:val="24"/>
        </w:rPr>
        <w:t xml:space="preserve">). </w:t>
      </w:r>
      <w:r w:rsidRPr="003E7E2B">
        <w:rPr>
          <w:rFonts w:asciiTheme="minorHAnsi" w:hAnsiTheme="minorHAnsi"/>
          <w:sz w:val="24"/>
          <w:szCs w:val="24"/>
        </w:rPr>
        <w:t>The change to the extrapolation of the Time to Treatment Discontinuation curve was tested in sensitivity analyses conducted during pre</w:t>
      </w:r>
      <w:r w:rsidR="00845EDE">
        <w:rPr>
          <w:rFonts w:asciiTheme="minorHAnsi" w:hAnsiTheme="minorHAnsi"/>
          <w:sz w:val="24"/>
          <w:szCs w:val="24"/>
        </w:rPr>
        <w:t>paration of the Minor Overview.</w:t>
      </w:r>
    </w:p>
    <w:p w:rsidR="00652605" w:rsidRPr="00AF0145" w:rsidRDefault="00652605" w:rsidP="008021E6">
      <w:pPr>
        <w:keepNext/>
        <w:keepLines/>
        <w:spacing w:after="120"/>
        <w:jc w:val="both"/>
        <w:rPr>
          <w:rFonts w:asciiTheme="minorHAnsi" w:hAnsiTheme="minorHAnsi"/>
          <w:bCs/>
          <w:u w:val="single"/>
        </w:rPr>
      </w:pPr>
      <w:r w:rsidRPr="00AF0145">
        <w:rPr>
          <w:rFonts w:asciiTheme="minorHAnsi" w:hAnsiTheme="minorHAnsi"/>
          <w:bCs/>
          <w:u w:val="single"/>
        </w:rPr>
        <w:lastRenderedPageBreak/>
        <w:t>Utilities</w:t>
      </w:r>
    </w:p>
    <w:p w:rsidR="001D689D" w:rsidRPr="003E7E2B" w:rsidRDefault="00ED0D78" w:rsidP="008021E6">
      <w:pPr>
        <w:pStyle w:val="ListParagraph"/>
        <w:keepNext/>
        <w:keepLines/>
        <w:widowControl/>
        <w:numPr>
          <w:ilvl w:val="1"/>
          <w:numId w:val="14"/>
        </w:numPr>
        <w:spacing w:after="120"/>
        <w:contextualSpacing w:val="0"/>
        <w:rPr>
          <w:rFonts w:asciiTheme="minorHAnsi" w:hAnsiTheme="minorHAnsi"/>
          <w:sz w:val="24"/>
          <w:szCs w:val="24"/>
        </w:rPr>
      </w:pPr>
      <w:r w:rsidRPr="003E7E2B">
        <w:rPr>
          <w:rFonts w:asciiTheme="minorHAnsi" w:hAnsiTheme="minorHAnsi"/>
          <w:sz w:val="24"/>
          <w:szCs w:val="24"/>
        </w:rPr>
        <w:t>In its July 2018 consideration, t</w:t>
      </w:r>
      <w:r w:rsidR="001D689D" w:rsidRPr="003E7E2B">
        <w:rPr>
          <w:rFonts w:asciiTheme="minorHAnsi" w:hAnsiTheme="minorHAnsi"/>
          <w:sz w:val="24"/>
          <w:szCs w:val="24"/>
        </w:rPr>
        <w:t xml:space="preserve">he PBAC considered that </w:t>
      </w:r>
      <w:r w:rsidR="00652605" w:rsidRPr="003E7E2B">
        <w:rPr>
          <w:rFonts w:asciiTheme="minorHAnsi" w:hAnsiTheme="minorHAnsi"/>
          <w:sz w:val="24"/>
          <w:szCs w:val="24"/>
        </w:rPr>
        <w:t xml:space="preserve">the utility estimates were similar to population norms and were considerably higher than those sourced from the literature. The PBAC </w:t>
      </w:r>
      <w:r w:rsidRPr="003C2660">
        <w:rPr>
          <w:rFonts w:asciiTheme="minorHAnsi" w:hAnsiTheme="minorHAnsi"/>
          <w:sz w:val="24"/>
          <w:szCs w:val="24"/>
        </w:rPr>
        <w:t xml:space="preserve">had </w:t>
      </w:r>
      <w:r w:rsidR="00652605" w:rsidRPr="003C2660">
        <w:rPr>
          <w:rFonts w:asciiTheme="minorHAnsi" w:hAnsiTheme="minorHAnsi"/>
          <w:sz w:val="24"/>
          <w:szCs w:val="24"/>
        </w:rPr>
        <w:t xml:space="preserve">noted that the utility value applied in the progressed disease health state was </w:t>
      </w:r>
      <w:r w:rsidR="00B76982">
        <w:rPr>
          <w:rFonts w:asciiTheme="minorHAnsi" w:hAnsiTheme="minorHAnsi"/>
          <w:noProof/>
          <w:color w:val="000000"/>
          <w:sz w:val="24"/>
          <w:szCs w:val="24"/>
          <w:highlight w:val="black"/>
        </w:rPr>
        <w:t>'''''''''</w:t>
      </w:r>
      <w:r w:rsidR="00652605" w:rsidRPr="00DE70F3">
        <w:rPr>
          <w:rFonts w:asciiTheme="minorHAnsi" w:hAnsiTheme="minorHAnsi"/>
          <w:sz w:val="24"/>
          <w:szCs w:val="24"/>
        </w:rPr>
        <w:t xml:space="preserve"> </w:t>
      </w:r>
      <w:r w:rsidR="00652605" w:rsidRPr="003C2660">
        <w:rPr>
          <w:rFonts w:asciiTheme="minorHAnsi" w:hAnsiTheme="minorHAnsi"/>
          <w:sz w:val="24"/>
          <w:szCs w:val="24"/>
        </w:rPr>
        <w:t>in the NIVO+IPI arm (</w:t>
      </w:r>
      <w:r w:rsidR="00B76982">
        <w:rPr>
          <w:rFonts w:asciiTheme="minorHAnsi" w:hAnsiTheme="minorHAnsi"/>
          <w:noProof/>
          <w:color w:val="000000"/>
          <w:sz w:val="24"/>
          <w:szCs w:val="24"/>
          <w:highlight w:val="black"/>
        </w:rPr>
        <w:t>'''''''''</w:t>
      </w:r>
      <w:r w:rsidR="00652605" w:rsidRPr="00DE70F3">
        <w:rPr>
          <w:rFonts w:asciiTheme="minorHAnsi" w:hAnsiTheme="minorHAnsi"/>
          <w:sz w:val="24"/>
          <w:szCs w:val="24"/>
        </w:rPr>
        <w:t xml:space="preserve"> </w:t>
      </w:r>
      <w:r w:rsidR="00652605" w:rsidRPr="003C2660">
        <w:rPr>
          <w:rFonts w:asciiTheme="minorHAnsi" w:hAnsiTheme="minorHAnsi"/>
          <w:sz w:val="24"/>
          <w:szCs w:val="24"/>
        </w:rPr>
        <w:t xml:space="preserve">in the sunitinib arm), and considered it was unlikely that patients would experience such a high utility consistently over the time horizon of the model. The PBAC considered that it </w:t>
      </w:r>
      <w:r w:rsidR="00497AD7" w:rsidRPr="003E7E2B">
        <w:rPr>
          <w:rFonts w:asciiTheme="minorHAnsi" w:hAnsiTheme="minorHAnsi"/>
          <w:sz w:val="24"/>
          <w:szCs w:val="24"/>
        </w:rPr>
        <w:t>may</w:t>
      </w:r>
      <w:r w:rsidR="00652605" w:rsidRPr="003E7E2B">
        <w:rPr>
          <w:rFonts w:asciiTheme="minorHAnsi" w:hAnsiTheme="minorHAnsi"/>
          <w:sz w:val="24"/>
          <w:szCs w:val="24"/>
        </w:rPr>
        <w:t xml:space="preserve"> be more reasonable to assume that the utilities would be consistent with the average utilities from the literature</w:t>
      </w:r>
      <w:r w:rsidR="001D689D" w:rsidRPr="003E7E2B">
        <w:rPr>
          <w:rFonts w:asciiTheme="minorHAnsi" w:hAnsiTheme="minorHAnsi"/>
          <w:sz w:val="24"/>
          <w:szCs w:val="24"/>
        </w:rPr>
        <w:t xml:space="preserve">, which were noted to be: </w:t>
      </w:r>
      <w:r w:rsidR="00652605" w:rsidRPr="003E7E2B">
        <w:rPr>
          <w:rFonts w:asciiTheme="minorHAnsi" w:hAnsiTheme="minorHAnsi"/>
          <w:sz w:val="24"/>
          <w:szCs w:val="24"/>
        </w:rPr>
        <w:t xml:space="preserve">progression free health state utility = </w:t>
      </w:r>
      <w:r w:rsidR="00B76982">
        <w:rPr>
          <w:rFonts w:asciiTheme="minorHAnsi" w:hAnsiTheme="minorHAnsi"/>
          <w:noProof/>
          <w:color w:val="000000"/>
          <w:sz w:val="24"/>
          <w:szCs w:val="24"/>
          <w:highlight w:val="black"/>
        </w:rPr>
        <w:t>'''''''''''</w:t>
      </w:r>
      <w:r w:rsidR="00652605" w:rsidRPr="003E7E2B">
        <w:rPr>
          <w:rFonts w:asciiTheme="minorHAnsi" w:hAnsiTheme="minorHAnsi"/>
          <w:sz w:val="24"/>
          <w:szCs w:val="24"/>
        </w:rPr>
        <w:t xml:space="preserve">, progressed disease health state utility = </w:t>
      </w:r>
      <w:r w:rsidR="00B76982">
        <w:rPr>
          <w:rFonts w:asciiTheme="minorHAnsi" w:hAnsiTheme="minorHAnsi"/>
          <w:noProof/>
          <w:color w:val="000000"/>
          <w:sz w:val="24"/>
          <w:szCs w:val="24"/>
          <w:highlight w:val="black"/>
        </w:rPr>
        <w:t xml:space="preserve">'''''''''' </w:t>
      </w:r>
      <w:r w:rsidR="001D689D" w:rsidRPr="003E7E2B">
        <w:rPr>
          <w:rFonts w:asciiTheme="minorHAnsi" w:hAnsiTheme="minorHAnsi"/>
          <w:sz w:val="24"/>
          <w:szCs w:val="24"/>
        </w:rPr>
        <w:t>(Paragraph 7.12, PBAC Minutes July 2018).</w:t>
      </w:r>
    </w:p>
    <w:p w:rsidR="005963BB" w:rsidRPr="003E7E2B" w:rsidRDefault="00AA617C" w:rsidP="00AA617C">
      <w:pPr>
        <w:pStyle w:val="ListParagraph"/>
        <w:widowControl/>
        <w:numPr>
          <w:ilvl w:val="1"/>
          <w:numId w:val="14"/>
        </w:numPr>
        <w:spacing w:after="120"/>
        <w:contextualSpacing w:val="0"/>
        <w:rPr>
          <w:rFonts w:asciiTheme="minorHAnsi" w:hAnsiTheme="minorHAnsi"/>
          <w:sz w:val="24"/>
          <w:szCs w:val="24"/>
        </w:rPr>
      </w:pPr>
      <w:r w:rsidRPr="003E7E2B">
        <w:rPr>
          <w:rFonts w:asciiTheme="minorHAnsi" w:hAnsiTheme="minorHAnsi"/>
          <w:sz w:val="24"/>
          <w:szCs w:val="24"/>
        </w:rPr>
        <w:t xml:space="preserve">The resubmission claimed that there were applicability issues with the utility values </w:t>
      </w:r>
      <w:r w:rsidR="00ED0D78" w:rsidRPr="003E7E2B">
        <w:rPr>
          <w:rFonts w:asciiTheme="minorHAnsi" w:hAnsiTheme="minorHAnsi"/>
          <w:sz w:val="24"/>
          <w:szCs w:val="24"/>
        </w:rPr>
        <w:t xml:space="preserve">sourced </w:t>
      </w:r>
      <w:r w:rsidRPr="003E7E2B">
        <w:rPr>
          <w:rFonts w:asciiTheme="minorHAnsi" w:hAnsiTheme="minorHAnsi"/>
          <w:sz w:val="24"/>
          <w:szCs w:val="24"/>
        </w:rPr>
        <w:t xml:space="preserve">from the literature because they were from studies conducted over </w:t>
      </w:r>
      <w:r w:rsidRPr="002806AC">
        <w:rPr>
          <w:rFonts w:asciiTheme="minorHAnsi" w:hAnsiTheme="minorHAnsi"/>
          <w:sz w:val="24"/>
          <w:szCs w:val="24"/>
        </w:rPr>
        <w:t>10 years</w:t>
      </w:r>
      <w:r w:rsidRPr="003E7E2B">
        <w:rPr>
          <w:rFonts w:asciiTheme="minorHAnsi" w:hAnsiTheme="minorHAnsi"/>
          <w:sz w:val="24"/>
          <w:szCs w:val="24"/>
        </w:rPr>
        <w:t xml:space="preserve"> ago (early TKI studies)</w:t>
      </w:r>
      <w:r w:rsidR="00652605" w:rsidRPr="003E7E2B">
        <w:rPr>
          <w:rFonts w:asciiTheme="minorHAnsi" w:hAnsiTheme="minorHAnsi"/>
          <w:sz w:val="24"/>
          <w:szCs w:val="24"/>
        </w:rPr>
        <w:t xml:space="preserve">, with </w:t>
      </w:r>
      <w:r w:rsidRPr="003E7E2B">
        <w:rPr>
          <w:rFonts w:asciiTheme="minorHAnsi" w:hAnsiTheme="minorHAnsi"/>
          <w:sz w:val="24"/>
          <w:szCs w:val="24"/>
        </w:rPr>
        <w:t>management of th</w:t>
      </w:r>
      <w:r w:rsidR="00652605" w:rsidRPr="003E7E2B">
        <w:rPr>
          <w:rFonts w:asciiTheme="minorHAnsi" w:hAnsiTheme="minorHAnsi"/>
          <w:sz w:val="24"/>
          <w:szCs w:val="24"/>
        </w:rPr>
        <w:t xml:space="preserve">e </w:t>
      </w:r>
      <w:r w:rsidRPr="003E7E2B">
        <w:rPr>
          <w:rFonts w:asciiTheme="minorHAnsi" w:hAnsiTheme="minorHAnsi"/>
          <w:sz w:val="24"/>
          <w:szCs w:val="24"/>
        </w:rPr>
        <w:t>condition ha</w:t>
      </w:r>
      <w:r w:rsidR="00652605" w:rsidRPr="003E7E2B">
        <w:rPr>
          <w:rFonts w:asciiTheme="minorHAnsi" w:hAnsiTheme="minorHAnsi"/>
          <w:sz w:val="24"/>
          <w:szCs w:val="24"/>
        </w:rPr>
        <w:t>ving</w:t>
      </w:r>
      <w:r w:rsidRPr="003E7E2B">
        <w:rPr>
          <w:rFonts w:asciiTheme="minorHAnsi" w:hAnsiTheme="minorHAnsi"/>
          <w:sz w:val="24"/>
          <w:szCs w:val="24"/>
        </w:rPr>
        <w:t xml:space="preserve"> changed in this timeframe. Further, the resubmission claimed that some of the studies may have been confounded by cross-over or may have used treatment sequences that do not reflect current clinical practice (e.g. </w:t>
      </w:r>
      <w:r w:rsidR="0060736A" w:rsidRPr="003E7E2B">
        <w:rPr>
          <w:rFonts w:asciiTheme="minorHAnsi" w:hAnsiTheme="minorHAnsi"/>
          <w:sz w:val="24"/>
          <w:szCs w:val="24"/>
        </w:rPr>
        <w:t>one of the</w:t>
      </w:r>
      <w:r w:rsidRPr="003E7E2B">
        <w:rPr>
          <w:rFonts w:asciiTheme="minorHAnsi" w:hAnsiTheme="minorHAnsi"/>
          <w:sz w:val="24"/>
          <w:szCs w:val="24"/>
        </w:rPr>
        <w:t xml:space="preserve"> trial</w:t>
      </w:r>
      <w:r w:rsidR="0060736A" w:rsidRPr="003E7E2B">
        <w:rPr>
          <w:rFonts w:asciiTheme="minorHAnsi" w:hAnsiTheme="minorHAnsi"/>
          <w:sz w:val="24"/>
          <w:szCs w:val="24"/>
        </w:rPr>
        <w:t>s</w:t>
      </w:r>
      <w:r w:rsidRPr="003E7E2B">
        <w:rPr>
          <w:rFonts w:asciiTheme="minorHAnsi" w:hAnsiTheme="minorHAnsi"/>
          <w:sz w:val="24"/>
          <w:szCs w:val="24"/>
        </w:rPr>
        <w:t xml:space="preserve"> investigated switching between </w:t>
      </w:r>
      <w:proofErr w:type="spellStart"/>
      <w:r w:rsidRPr="003E7E2B">
        <w:rPr>
          <w:rFonts w:asciiTheme="minorHAnsi" w:hAnsiTheme="minorHAnsi"/>
          <w:sz w:val="24"/>
          <w:szCs w:val="24"/>
        </w:rPr>
        <w:t>pazopanib</w:t>
      </w:r>
      <w:proofErr w:type="spellEnd"/>
      <w:r w:rsidRPr="003E7E2B">
        <w:rPr>
          <w:rFonts w:asciiTheme="minorHAnsi" w:hAnsiTheme="minorHAnsi"/>
          <w:sz w:val="24"/>
          <w:szCs w:val="24"/>
        </w:rPr>
        <w:t xml:space="preserve"> and sunitinib</w:t>
      </w:r>
      <w:r w:rsidR="0060736A" w:rsidRPr="003E7E2B">
        <w:rPr>
          <w:rFonts w:asciiTheme="minorHAnsi" w:hAnsiTheme="minorHAnsi"/>
          <w:sz w:val="24"/>
          <w:szCs w:val="24"/>
        </w:rPr>
        <w:t>)</w:t>
      </w:r>
      <w:r w:rsidR="00845EDE">
        <w:rPr>
          <w:rFonts w:asciiTheme="minorHAnsi" w:hAnsiTheme="minorHAnsi"/>
          <w:sz w:val="24"/>
          <w:szCs w:val="24"/>
        </w:rPr>
        <w:t>.</w:t>
      </w:r>
    </w:p>
    <w:p w:rsidR="00AA617C" w:rsidRPr="003E7E2B" w:rsidRDefault="009C357E" w:rsidP="00A42FEC">
      <w:pPr>
        <w:pStyle w:val="ListParagraph"/>
        <w:widowControl/>
        <w:numPr>
          <w:ilvl w:val="1"/>
          <w:numId w:val="14"/>
        </w:numPr>
        <w:spacing w:after="120"/>
        <w:contextualSpacing w:val="0"/>
        <w:rPr>
          <w:rFonts w:asciiTheme="minorHAnsi" w:hAnsiTheme="minorHAnsi"/>
          <w:sz w:val="24"/>
          <w:szCs w:val="24"/>
        </w:rPr>
      </w:pPr>
      <w:r w:rsidRPr="003E7E2B">
        <w:rPr>
          <w:rFonts w:asciiTheme="minorHAnsi" w:hAnsiTheme="minorHAnsi"/>
          <w:sz w:val="24"/>
          <w:szCs w:val="24"/>
        </w:rPr>
        <w:t>For the progress</w:t>
      </w:r>
      <w:r w:rsidR="00F43E61" w:rsidRPr="003E7E2B">
        <w:rPr>
          <w:rFonts w:asciiTheme="minorHAnsi" w:hAnsiTheme="minorHAnsi"/>
          <w:sz w:val="24"/>
          <w:szCs w:val="24"/>
        </w:rPr>
        <w:t>ed</w:t>
      </w:r>
      <w:r w:rsidRPr="003E7E2B">
        <w:rPr>
          <w:rFonts w:asciiTheme="minorHAnsi" w:hAnsiTheme="minorHAnsi"/>
          <w:sz w:val="24"/>
          <w:szCs w:val="24"/>
        </w:rPr>
        <w:t xml:space="preserve"> disease health state, the resubmission applied the utility values </w:t>
      </w:r>
      <w:r w:rsidR="00F43E61" w:rsidRPr="003E7E2B">
        <w:rPr>
          <w:rFonts w:asciiTheme="minorHAnsi" w:hAnsiTheme="minorHAnsi"/>
          <w:sz w:val="24"/>
          <w:szCs w:val="24"/>
        </w:rPr>
        <w:t xml:space="preserve">that were used in the March 2017 submission for </w:t>
      </w:r>
      <w:r w:rsidRPr="003E7E2B">
        <w:rPr>
          <w:rFonts w:asciiTheme="minorHAnsi" w:hAnsiTheme="minorHAnsi"/>
          <w:sz w:val="24"/>
          <w:szCs w:val="24"/>
        </w:rPr>
        <w:t xml:space="preserve">NIVO </w:t>
      </w:r>
      <w:r w:rsidR="00F43E61" w:rsidRPr="003E7E2B">
        <w:rPr>
          <w:rFonts w:asciiTheme="minorHAnsi" w:hAnsiTheme="minorHAnsi"/>
          <w:sz w:val="24"/>
          <w:szCs w:val="24"/>
        </w:rPr>
        <w:t>in the second-line RCC setting</w:t>
      </w:r>
      <w:r w:rsidR="0060736A" w:rsidRPr="003E7E2B">
        <w:rPr>
          <w:rFonts w:asciiTheme="minorHAnsi" w:hAnsiTheme="minorHAnsi"/>
          <w:sz w:val="24"/>
          <w:szCs w:val="24"/>
        </w:rPr>
        <w:t>, which were</w:t>
      </w:r>
      <w:r w:rsidRPr="003E7E2B">
        <w:rPr>
          <w:rFonts w:asciiTheme="minorHAnsi" w:hAnsiTheme="minorHAnsi"/>
          <w:sz w:val="24"/>
          <w:szCs w:val="24"/>
        </w:rPr>
        <w:t xml:space="preserve"> NIVO = </w:t>
      </w:r>
      <w:r w:rsidR="00B76982">
        <w:rPr>
          <w:rFonts w:asciiTheme="minorHAnsi" w:hAnsiTheme="minorHAnsi"/>
          <w:noProof/>
          <w:color w:val="000000"/>
          <w:sz w:val="24"/>
          <w:szCs w:val="24"/>
          <w:highlight w:val="black"/>
        </w:rPr>
        <w:t>''''''''</w:t>
      </w:r>
      <w:r w:rsidRPr="003E7E2B">
        <w:rPr>
          <w:rFonts w:asciiTheme="minorHAnsi" w:hAnsiTheme="minorHAnsi"/>
          <w:sz w:val="24"/>
          <w:szCs w:val="24"/>
        </w:rPr>
        <w:t xml:space="preserve">, everolimus = </w:t>
      </w:r>
      <w:r w:rsidR="00B76982">
        <w:rPr>
          <w:rFonts w:asciiTheme="minorHAnsi" w:hAnsiTheme="minorHAnsi"/>
          <w:noProof/>
          <w:color w:val="000000"/>
          <w:sz w:val="24"/>
          <w:szCs w:val="24"/>
          <w:highlight w:val="black"/>
        </w:rPr>
        <w:t>'''''''''</w:t>
      </w:r>
      <w:r w:rsidR="009605A9" w:rsidRPr="003E7E2B">
        <w:rPr>
          <w:rFonts w:asciiTheme="minorHAnsi" w:hAnsiTheme="minorHAnsi"/>
          <w:sz w:val="24"/>
          <w:szCs w:val="24"/>
        </w:rPr>
        <w:t>. These were</w:t>
      </w:r>
      <w:r w:rsidR="00F43E61" w:rsidRPr="003E7E2B">
        <w:rPr>
          <w:rFonts w:asciiTheme="minorHAnsi" w:hAnsiTheme="minorHAnsi"/>
          <w:sz w:val="24"/>
          <w:szCs w:val="24"/>
        </w:rPr>
        <w:t xml:space="preserve"> trial based utilities from CA209</w:t>
      </w:r>
      <w:r w:rsidR="00985E8A" w:rsidRPr="003E7E2B">
        <w:rPr>
          <w:rFonts w:asciiTheme="minorHAnsi" w:hAnsiTheme="minorHAnsi"/>
          <w:sz w:val="24"/>
          <w:szCs w:val="24"/>
        </w:rPr>
        <w:t>-</w:t>
      </w:r>
      <w:r w:rsidR="00F43E61" w:rsidRPr="003E7E2B">
        <w:rPr>
          <w:rFonts w:asciiTheme="minorHAnsi" w:hAnsiTheme="minorHAnsi"/>
          <w:sz w:val="24"/>
          <w:szCs w:val="24"/>
        </w:rPr>
        <w:t>025 (</w:t>
      </w:r>
      <w:r w:rsidR="00314108" w:rsidRPr="003E7E2B">
        <w:rPr>
          <w:rFonts w:asciiTheme="minorHAnsi" w:hAnsiTheme="minorHAnsi"/>
          <w:sz w:val="24"/>
          <w:szCs w:val="24"/>
        </w:rPr>
        <w:t xml:space="preserve">a randomised, open label study of </w:t>
      </w:r>
      <w:r w:rsidR="00F43E61" w:rsidRPr="003E7E2B">
        <w:rPr>
          <w:rFonts w:asciiTheme="minorHAnsi" w:hAnsiTheme="minorHAnsi"/>
          <w:sz w:val="24"/>
          <w:szCs w:val="24"/>
        </w:rPr>
        <w:t xml:space="preserve">NIVO versus everolimus, in </w:t>
      </w:r>
      <w:r w:rsidR="00314108" w:rsidRPr="003E7E2B">
        <w:rPr>
          <w:rFonts w:asciiTheme="minorHAnsi" w:hAnsiTheme="minorHAnsi"/>
          <w:sz w:val="24"/>
          <w:szCs w:val="24"/>
        </w:rPr>
        <w:t>patients who had progressed following prior treatment with a TKI</w:t>
      </w:r>
      <w:r w:rsidR="00F43E61" w:rsidRPr="003E7E2B">
        <w:rPr>
          <w:rFonts w:asciiTheme="minorHAnsi" w:hAnsiTheme="minorHAnsi"/>
          <w:sz w:val="24"/>
          <w:szCs w:val="24"/>
        </w:rPr>
        <w:t>)</w:t>
      </w:r>
      <w:r w:rsidR="00A42FEC" w:rsidRPr="003E7E2B">
        <w:rPr>
          <w:rFonts w:asciiTheme="minorHAnsi" w:hAnsiTheme="minorHAnsi"/>
          <w:sz w:val="24"/>
          <w:szCs w:val="24"/>
        </w:rPr>
        <w:t xml:space="preserve"> derive</w:t>
      </w:r>
      <w:r w:rsidR="009962FB" w:rsidRPr="003E7E2B">
        <w:rPr>
          <w:rFonts w:asciiTheme="minorHAnsi" w:hAnsiTheme="minorHAnsi"/>
          <w:sz w:val="24"/>
          <w:szCs w:val="24"/>
        </w:rPr>
        <w:t>d based on</w:t>
      </w:r>
      <w:r w:rsidR="00A42FEC" w:rsidRPr="003E7E2B">
        <w:rPr>
          <w:rFonts w:asciiTheme="minorHAnsi" w:hAnsiTheme="minorHAnsi"/>
          <w:sz w:val="24"/>
          <w:szCs w:val="24"/>
        </w:rPr>
        <w:t xml:space="preserve"> EQ-5D </w:t>
      </w:r>
      <w:r w:rsidR="009962FB" w:rsidRPr="003E7E2B">
        <w:rPr>
          <w:rFonts w:asciiTheme="minorHAnsi" w:hAnsiTheme="minorHAnsi"/>
          <w:sz w:val="24"/>
          <w:szCs w:val="24"/>
        </w:rPr>
        <w:t>and adjusted using</w:t>
      </w:r>
      <w:r w:rsidR="00A42FEC" w:rsidRPr="003E7E2B">
        <w:rPr>
          <w:rFonts w:asciiTheme="minorHAnsi" w:hAnsiTheme="minorHAnsi"/>
          <w:sz w:val="24"/>
          <w:szCs w:val="24"/>
        </w:rPr>
        <w:t xml:space="preserve"> Australian preference weights</w:t>
      </w:r>
      <w:r w:rsidR="00F43E61" w:rsidRPr="003E7E2B">
        <w:rPr>
          <w:rFonts w:asciiTheme="minorHAnsi" w:hAnsiTheme="minorHAnsi"/>
          <w:sz w:val="24"/>
          <w:szCs w:val="24"/>
        </w:rPr>
        <w:t>.</w:t>
      </w:r>
      <w:r w:rsidR="009605A9" w:rsidRPr="003E7E2B">
        <w:rPr>
          <w:rFonts w:asciiTheme="minorHAnsi" w:hAnsiTheme="minorHAnsi"/>
          <w:sz w:val="24"/>
          <w:szCs w:val="24"/>
        </w:rPr>
        <w:t xml:space="preserve"> The minor resubmission </w:t>
      </w:r>
      <w:r w:rsidR="0060736A" w:rsidRPr="003E7E2B">
        <w:rPr>
          <w:rFonts w:asciiTheme="minorHAnsi" w:hAnsiTheme="minorHAnsi"/>
          <w:sz w:val="24"/>
          <w:szCs w:val="24"/>
        </w:rPr>
        <w:t>appeared to apply</w:t>
      </w:r>
      <w:r w:rsidR="009605A9" w:rsidRPr="003E7E2B">
        <w:rPr>
          <w:rFonts w:asciiTheme="minorHAnsi" w:hAnsiTheme="minorHAnsi"/>
          <w:sz w:val="24"/>
          <w:szCs w:val="24"/>
        </w:rPr>
        <w:t xml:space="preserve"> the mid-point between the utility for NIVO and everolimus (rounded </w:t>
      </w:r>
      <w:r w:rsidR="009605A9" w:rsidRPr="00DE70F3">
        <w:rPr>
          <w:rFonts w:asciiTheme="minorHAnsi" w:hAnsiTheme="minorHAnsi"/>
          <w:sz w:val="24"/>
          <w:szCs w:val="24"/>
        </w:rPr>
        <w:t xml:space="preserve">to </w:t>
      </w:r>
      <w:r w:rsidR="00B76982">
        <w:rPr>
          <w:rFonts w:asciiTheme="minorHAnsi" w:hAnsiTheme="minorHAnsi"/>
          <w:noProof/>
          <w:color w:val="000000"/>
          <w:sz w:val="24"/>
          <w:szCs w:val="24"/>
          <w:highlight w:val="black"/>
        </w:rPr>
        <w:t>'''''''''</w:t>
      </w:r>
      <w:r w:rsidR="009605A9" w:rsidRPr="003E7E2B">
        <w:rPr>
          <w:rFonts w:asciiTheme="minorHAnsi" w:hAnsiTheme="minorHAnsi"/>
          <w:sz w:val="24"/>
          <w:szCs w:val="24"/>
        </w:rPr>
        <w:t>) in the progressed disease health state.</w:t>
      </w:r>
    </w:p>
    <w:p w:rsidR="001D689D" w:rsidRPr="003E7E2B" w:rsidRDefault="00A42FEC" w:rsidP="001D689D">
      <w:pPr>
        <w:pStyle w:val="ListParagraph"/>
        <w:widowControl/>
        <w:numPr>
          <w:ilvl w:val="1"/>
          <w:numId w:val="14"/>
        </w:numPr>
        <w:spacing w:after="120"/>
        <w:contextualSpacing w:val="0"/>
        <w:rPr>
          <w:rFonts w:asciiTheme="minorHAnsi" w:hAnsiTheme="minorHAnsi"/>
          <w:sz w:val="24"/>
          <w:szCs w:val="24"/>
        </w:rPr>
      </w:pPr>
      <w:r w:rsidRPr="003E7E2B">
        <w:rPr>
          <w:rFonts w:asciiTheme="minorHAnsi" w:hAnsiTheme="minorHAnsi"/>
          <w:sz w:val="24"/>
          <w:szCs w:val="24"/>
        </w:rPr>
        <w:t>The h</w:t>
      </w:r>
      <w:r w:rsidR="00342780" w:rsidRPr="003E7E2B">
        <w:rPr>
          <w:rFonts w:asciiTheme="minorHAnsi" w:hAnsiTheme="minorHAnsi"/>
          <w:sz w:val="24"/>
          <w:szCs w:val="24"/>
        </w:rPr>
        <w:t xml:space="preserve">ealth state utilities </w:t>
      </w:r>
      <w:r w:rsidR="00985E8A" w:rsidRPr="003E7E2B">
        <w:rPr>
          <w:rFonts w:asciiTheme="minorHAnsi" w:hAnsiTheme="minorHAnsi"/>
          <w:sz w:val="24"/>
          <w:szCs w:val="24"/>
        </w:rPr>
        <w:t xml:space="preserve">from the relevant studies, and those </w:t>
      </w:r>
      <w:r w:rsidR="00342780" w:rsidRPr="003E7E2B">
        <w:rPr>
          <w:rFonts w:asciiTheme="minorHAnsi" w:hAnsiTheme="minorHAnsi"/>
          <w:sz w:val="24"/>
          <w:szCs w:val="24"/>
        </w:rPr>
        <w:t>applied in the economic model are summarised in the table below.</w:t>
      </w:r>
      <w:r w:rsidR="001D689D" w:rsidRPr="003E7E2B">
        <w:rPr>
          <w:rFonts w:asciiTheme="minorHAnsi" w:hAnsiTheme="minorHAnsi"/>
          <w:sz w:val="24"/>
          <w:szCs w:val="24"/>
        </w:rPr>
        <w:t xml:space="preserve"> </w:t>
      </w:r>
      <w:r w:rsidR="00DE11A9" w:rsidRPr="003E7E2B">
        <w:rPr>
          <w:rFonts w:asciiTheme="minorHAnsi" w:hAnsiTheme="minorHAnsi"/>
          <w:sz w:val="24"/>
          <w:szCs w:val="24"/>
        </w:rPr>
        <w:t>T</w:t>
      </w:r>
      <w:r w:rsidR="001D689D" w:rsidRPr="003E7E2B">
        <w:rPr>
          <w:rFonts w:asciiTheme="minorHAnsi" w:hAnsiTheme="minorHAnsi"/>
          <w:sz w:val="24"/>
          <w:szCs w:val="24"/>
        </w:rPr>
        <w:t>he only change</w:t>
      </w:r>
      <w:r w:rsidR="00DE11A9" w:rsidRPr="003E7E2B">
        <w:rPr>
          <w:rFonts w:asciiTheme="minorHAnsi" w:hAnsiTheme="minorHAnsi"/>
          <w:sz w:val="24"/>
          <w:szCs w:val="24"/>
        </w:rPr>
        <w:t xml:space="preserve"> from the previous submission </w:t>
      </w:r>
      <w:r w:rsidR="001D689D" w:rsidRPr="003E7E2B">
        <w:rPr>
          <w:rFonts w:asciiTheme="minorHAnsi" w:hAnsiTheme="minorHAnsi"/>
          <w:sz w:val="24"/>
          <w:szCs w:val="24"/>
        </w:rPr>
        <w:t>was</w:t>
      </w:r>
      <w:r w:rsidR="00DE11A9" w:rsidRPr="003E7E2B">
        <w:rPr>
          <w:rFonts w:asciiTheme="minorHAnsi" w:hAnsiTheme="minorHAnsi"/>
          <w:sz w:val="24"/>
          <w:szCs w:val="24"/>
        </w:rPr>
        <w:t xml:space="preserve"> that the utility value was </w:t>
      </w:r>
      <w:r w:rsidR="00B3301C" w:rsidRPr="003E7E2B">
        <w:rPr>
          <w:rFonts w:asciiTheme="minorHAnsi" w:hAnsiTheme="minorHAnsi"/>
          <w:sz w:val="24"/>
          <w:szCs w:val="24"/>
        </w:rPr>
        <w:t xml:space="preserve">reduced by </w:t>
      </w:r>
      <w:r w:rsidR="00B76982">
        <w:rPr>
          <w:rFonts w:asciiTheme="minorHAnsi" w:hAnsiTheme="minorHAnsi"/>
          <w:noProof/>
          <w:color w:val="000000"/>
          <w:sz w:val="24"/>
          <w:szCs w:val="24"/>
          <w:highlight w:val="black"/>
        </w:rPr>
        <w:t>'''''''''</w:t>
      </w:r>
      <w:r w:rsidR="00DE11A9" w:rsidRPr="00DE70F3">
        <w:rPr>
          <w:rFonts w:asciiTheme="minorHAnsi" w:hAnsiTheme="minorHAnsi"/>
          <w:sz w:val="24"/>
          <w:szCs w:val="24"/>
        </w:rPr>
        <w:t xml:space="preserve"> (</w:t>
      </w:r>
      <w:r w:rsidR="00B76982">
        <w:rPr>
          <w:rFonts w:asciiTheme="minorHAnsi" w:hAnsiTheme="minorHAnsi"/>
          <w:noProof/>
          <w:color w:val="000000"/>
          <w:sz w:val="24"/>
          <w:szCs w:val="24"/>
          <w:highlight w:val="black"/>
        </w:rPr>
        <w:t>''''''''</w:t>
      </w:r>
      <w:r w:rsidR="00DE11A9" w:rsidRPr="003E7E2B">
        <w:rPr>
          <w:rFonts w:asciiTheme="minorHAnsi" w:hAnsiTheme="minorHAnsi"/>
          <w:sz w:val="24"/>
          <w:szCs w:val="24"/>
        </w:rPr>
        <w:t xml:space="preserve"> lower for the sunitinib arm)</w:t>
      </w:r>
      <w:r w:rsidR="001D689D" w:rsidRPr="003E7E2B">
        <w:rPr>
          <w:rFonts w:asciiTheme="minorHAnsi" w:hAnsiTheme="minorHAnsi"/>
          <w:sz w:val="24"/>
          <w:szCs w:val="24"/>
        </w:rPr>
        <w:t xml:space="preserve"> in the progressed disease health state.</w:t>
      </w:r>
    </w:p>
    <w:p w:rsidR="00342780" w:rsidRPr="00AF0145" w:rsidRDefault="00342780" w:rsidP="00342780">
      <w:pPr>
        <w:keepNext/>
        <w:keepLines/>
        <w:rPr>
          <w:rStyle w:val="CommentReference"/>
          <w:rFonts w:ascii="Arial Narrow" w:hAnsi="Arial Narrow"/>
          <w:b/>
          <w:sz w:val="20"/>
          <w:szCs w:val="20"/>
        </w:rPr>
      </w:pPr>
      <w:r w:rsidRPr="003E7E2B">
        <w:rPr>
          <w:rStyle w:val="CommentReference"/>
          <w:rFonts w:ascii="Arial Narrow" w:hAnsi="Arial Narrow"/>
          <w:b/>
          <w:sz w:val="20"/>
          <w:szCs w:val="20"/>
        </w:rPr>
        <w:t xml:space="preserve">Table </w:t>
      </w:r>
      <w:r w:rsidR="00786F22" w:rsidRPr="003E7E2B">
        <w:rPr>
          <w:rStyle w:val="CommentReference"/>
          <w:rFonts w:ascii="Arial Narrow" w:hAnsi="Arial Narrow"/>
          <w:b/>
          <w:sz w:val="20"/>
          <w:szCs w:val="20"/>
        </w:rPr>
        <w:t>3</w:t>
      </w:r>
      <w:r w:rsidRPr="003E7E2B">
        <w:rPr>
          <w:rStyle w:val="CommentReference"/>
          <w:rFonts w:ascii="Arial Narrow" w:hAnsi="Arial Narrow"/>
          <w:b/>
          <w:sz w:val="20"/>
          <w:szCs w:val="20"/>
        </w:rPr>
        <w:t xml:space="preserve">: Utility values </w:t>
      </w:r>
      <w:r w:rsidR="0011549B" w:rsidRPr="003E7E2B">
        <w:rPr>
          <w:rStyle w:val="CommentReference"/>
          <w:rFonts w:ascii="Arial Narrow" w:hAnsi="Arial Narrow"/>
          <w:b/>
          <w:sz w:val="20"/>
          <w:szCs w:val="20"/>
        </w:rPr>
        <w:t>from studies of NIVO and those applied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914"/>
        <w:gridCol w:w="689"/>
        <w:gridCol w:w="1490"/>
        <w:gridCol w:w="1028"/>
        <w:gridCol w:w="1312"/>
        <w:gridCol w:w="1455"/>
        <w:gridCol w:w="1262"/>
      </w:tblGrid>
      <w:tr w:rsidR="00EE6B6F" w:rsidRPr="003E7E2B" w:rsidTr="00EE6B6F">
        <w:trPr>
          <w:trHeight w:val="469"/>
          <w:tblHeader/>
        </w:trPr>
        <w:tc>
          <w:tcPr>
            <w:tcW w:w="591" w:type="pct"/>
            <w:tcBorders>
              <w:top w:val="single" w:sz="4" w:space="0" w:color="auto"/>
              <w:left w:val="single" w:sz="4" w:space="0" w:color="auto"/>
              <w:right w:val="double" w:sz="4" w:space="0" w:color="auto"/>
            </w:tcBorders>
            <w:vAlign w:val="center"/>
          </w:tcPr>
          <w:p w:rsidR="00EE6B6F" w:rsidRPr="003E7E2B" w:rsidRDefault="00EE6B6F" w:rsidP="0060736A">
            <w:pPr>
              <w:pStyle w:val="Tabletext"/>
              <w:keepNext/>
              <w:keepLines/>
              <w:spacing w:after="0"/>
              <w:rPr>
                <w:rFonts w:ascii="Arial Narrow" w:hAnsi="Arial Narrow"/>
                <w:b/>
              </w:rPr>
            </w:pPr>
          </w:p>
        </w:tc>
        <w:tc>
          <w:tcPr>
            <w:tcW w:w="867" w:type="pct"/>
            <w:gridSpan w:val="2"/>
            <w:tcBorders>
              <w:top w:val="single" w:sz="4" w:space="0" w:color="auto"/>
              <w:left w:val="double" w:sz="4" w:space="0" w:color="auto"/>
              <w:right w:val="double" w:sz="4" w:space="0" w:color="auto"/>
            </w:tcBorders>
            <w:vAlign w:val="center"/>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Previous submission</w:t>
            </w:r>
          </w:p>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 xml:space="preserve">CA209-214 </w:t>
            </w:r>
            <w:r w:rsidRPr="003E7E2B">
              <w:rPr>
                <w:rFonts w:ascii="Arial Narrow" w:hAnsi="Arial Narrow"/>
                <w:b/>
                <w:vertAlign w:val="superscript"/>
              </w:rPr>
              <w:t>a</w:t>
            </w:r>
          </w:p>
        </w:tc>
        <w:tc>
          <w:tcPr>
            <w:tcW w:w="806" w:type="pct"/>
            <w:tcBorders>
              <w:top w:val="single" w:sz="4" w:space="0" w:color="auto"/>
              <w:left w:val="double" w:sz="4" w:space="0" w:color="auto"/>
              <w:right w:val="double" w:sz="4" w:space="0" w:color="auto"/>
            </w:tcBorders>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Average values from literature</w:t>
            </w:r>
          </w:p>
        </w:tc>
        <w:tc>
          <w:tcPr>
            <w:tcW w:w="1266" w:type="pct"/>
            <w:gridSpan w:val="2"/>
            <w:tcBorders>
              <w:top w:val="single" w:sz="4" w:space="0" w:color="auto"/>
              <w:left w:val="double" w:sz="4" w:space="0" w:color="auto"/>
              <w:right w:val="double" w:sz="4" w:space="0" w:color="auto"/>
            </w:tcBorders>
            <w:vAlign w:val="center"/>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March 2017 NIVO monotherapy</w:t>
            </w:r>
          </w:p>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CA209-025</w:t>
            </w:r>
          </w:p>
        </w:tc>
        <w:tc>
          <w:tcPr>
            <w:tcW w:w="1470" w:type="pct"/>
            <w:gridSpan w:val="2"/>
            <w:tcBorders>
              <w:top w:val="single" w:sz="4" w:space="0" w:color="auto"/>
              <w:left w:val="double" w:sz="4" w:space="0" w:color="auto"/>
              <w:right w:val="single" w:sz="4" w:space="0" w:color="auto"/>
            </w:tcBorders>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Used in model</w:t>
            </w:r>
          </w:p>
        </w:tc>
      </w:tr>
      <w:tr w:rsidR="00EE6B6F" w:rsidRPr="003E7E2B" w:rsidTr="00EE6B6F">
        <w:trPr>
          <w:trHeight w:val="507"/>
          <w:tblHeader/>
        </w:trPr>
        <w:tc>
          <w:tcPr>
            <w:tcW w:w="591" w:type="pct"/>
            <w:tcBorders>
              <w:top w:val="double" w:sz="4" w:space="0" w:color="auto"/>
              <w:left w:val="single" w:sz="4" w:space="0" w:color="auto"/>
              <w:bottom w:val="single" w:sz="4" w:space="0" w:color="auto"/>
              <w:right w:val="double" w:sz="4" w:space="0" w:color="auto"/>
            </w:tcBorders>
            <w:vAlign w:val="center"/>
            <w:hideMark/>
          </w:tcPr>
          <w:p w:rsidR="00EE6B6F" w:rsidRPr="003E7E2B" w:rsidRDefault="00EE6B6F" w:rsidP="0060736A">
            <w:pPr>
              <w:pStyle w:val="Tabletext"/>
              <w:keepNext/>
              <w:keepLines/>
              <w:spacing w:after="0"/>
              <w:rPr>
                <w:rFonts w:ascii="Arial Narrow" w:hAnsi="Arial Narrow"/>
                <w:b/>
              </w:rPr>
            </w:pPr>
            <w:r w:rsidRPr="003E7E2B">
              <w:rPr>
                <w:rFonts w:ascii="Arial Narrow" w:hAnsi="Arial Narrow"/>
                <w:b/>
              </w:rPr>
              <w:t>Health state</w:t>
            </w:r>
          </w:p>
        </w:tc>
        <w:tc>
          <w:tcPr>
            <w:tcW w:w="494" w:type="pct"/>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Utility NIVO+IPI</w:t>
            </w:r>
          </w:p>
        </w:tc>
        <w:tc>
          <w:tcPr>
            <w:tcW w:w="373" w:type="pct"/>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rsidR="00EE6B6F" w:rsidRPr="003E7E2B" w:rsidRDefault="00EE6B6F" w:rsidP="0011549B">
            <w:pPr>
              <w:pStyle w:val="Tabletext"/>
              <w:keepNext/>
              <w:keepLines/>
              <w:spacing w:after="0"/>
              <w:jc w:val="center"/>
              <w:rPr>
                <w:rFonts w:ascii="Arial Narrow" w:hAnsi="Arial Narrow"/>
                <w:b/>
              </w:rPr>
            </w:pPr>
            <w:r w:rsidRPr="003E7E2B">
              <w:rPr>
                <w:rFonts w:ascii="Arial Narrow" w:hAnsi="Arial Narrow"/>
                <w:b/>
              </w:rPr>
              <w:t>Utility SUNI</w:t>
            </w:r>
          </w:p>
        </w:tc>
        <w:tc>
          <w:tcPr>
            <w:tcW w:w="806" w:type="pct"/>
            <w:tcBorders>
              <w:top w:val="double" w:sz="4" w:space="0" w:color="auto"/>
              <w:left w:val="double" w:sz="4" w:space="0" w:color="auto"/>
              <w:right w:val="double" w:sz="4" w:space="0" w:color="auto"/>
            </w:tcBorders>
            <w:shd w:val="clear" w:color="auto" w:fill="FFFFFF" w:themeFill="background1"/>
            <w:vAlign w:val="center"/>
          </w:tcPr>
          <w:p w:rsidR="00EE6B6F" w:rsidRPr="003E7E2B" w:rsidRDefault="00EE6B6F" w:rsidP="00EE6B6F">
            <w:pPr>
              <w:pStyle w:val="Tabletext"/>
              <w:keepNext/>
              <w:keepLines/>
              <w:spacing w:after="0"/>
              <w:jc w:val="center"/>
              <w:rPr>
                <w:rFonts w:ascii="Arial Narrow" w:hAnsi="Arial Narrow"/>
                <w:b/>
              </w:rPr>
            </w:pPr>
            <w:r w:rsidRPr="003E7E2B">
              <w:rPr>
                <w:rFonts w:ascii="Arial Narrow" w:hAnsi="Arial Narrow"/>
                <w:b/>
              </w:rPr>
              <w:t>Both arms</w:t>
            </w:r>
          </w:p>
        </w:tc>
        <w:tc>
          <w:tcPr>
            <w:tcW w:w="556" w:type="pct"/>
            <w:tcBorders>
              <w:top w:val="double" w:sz="4" w:space="0" w:color="auto"/>
              <w:left w:val="double" w:sz="4" w:space="0" w:color="auto"/>
              <w:right w:val="single" w:sz="4" w:space="0" w:color="auto"/>
            </w:tcBorders>
            <w:shd w:val="clear" w:color="auto" w:fill="FFFFFF" w:themeFill="background1"/>
            <w:vAlign w:val="center"/>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Utility NIVO</w:t>
            </w:r>
          </w:p>
        </w:tc>
        <w:tc>
          <w:tcPr>
            <w:tcW w:w="710" w:type="pct"/>
            <w:tcBorders>
              <w:top w:val="double" w:sz="4" w:space="0" w:color="auto"/>
              <w:left w:val="single" w:sz="4" w:space="0" w:color="auto"/>
              <w:right w:val="double" w:sz="4" w:space="0" w:color="auto"/>
            </w:tcBorders>
            <w:shd w:val="clear" w:color="auto" w:fill="FFFFFF" w:themeFill="background1"/>
            <w:vAlign w:val="center"/>
          </w:tcPr>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Utility of comparator</w:t>
            </w:r>
          </w:p>
          <w:p w:rsidR="00EE6B6F" w:rsidRPr="003E7E2B" w:rsidRDefault="00EE6B6F" w:rsidP="0060736A">
            <w:pPr>
              <w:pStyle w:val="Tabletext"/>
              <w:keepNext/>
              <w:keepLines/>
              <w:spacing w:after="0"/>
              <w:jc w:val="center"/>
              <w:rPr>
                <w:rFonts w:ascii="Arial Narrow" w:hAnsi="Arial Narrow"/>
                <w:b/>
              </w:rPr>
            </w:pPr>
            <w:r w:rsidRPr="003E7E2B">
              <w:rPr>
                <w:rFonts w:ascii="Arial Narrow" w:hAnsi="Arial Narrow"/>
                <w:b/>
              </w:rPr>
              <w:t>(everolimus)</w:t>
            </w:r>
          </w:p>
        </w:tc>
        <w:tc>
          <w:tcPr>
            <w:tcW w:w="787" w:type="pct"/>
            <w:tcBorders>
              <w:top w:val="double" w:sz="4" w:space="0" w:color="auto"/>
              <w:left w:val="double" w:sz="4" w:space="0" w:color="auto"/>
              <w:right w:val="single" w:sz="4" w:space="0" w:color="auto"/>
            </w:tcBorders>
            <w:shd w:val="clear" w:color="auto" w:fill="FFFFFF" w:themeFill="background1"/>
            <w:vAlign w:val="center"/>
          </w:tcPr>
          <w:p w:rsidR="00EE6B6F" w:rsidRPr="003E7E2B" w:rsidRDefault="00EE6B6F" w:rsidP="00660A57">
            <w:pPr>
              <w:pStyle w:val="Tabletext"/>
              <w:keepNext/>
              <w:keepLines/>
              <w:spacing w:after="0"/>
              <w:jc w:val="center"/>
              <w:rPr>
                <w:rFonts w:ascii="Arial Narrow" w:hAnsi="Arial Narrow"/>
                <w:b/>
              </w:rPr>
            </w:pPr>
            <w:r w:rsidRPr="003E7E2B">
              <w:rPr>
                <w:rFonts w:ascii="Arial Narrow" w:hAnsi="Arial Narrow"/>
                <w:b/>
              </w:rPr>
              <w:t>Utility NIVO+IPI</w:t>
            </w:r>
          </w:p>
        </w:tc>
        <w:tc>
          <w:tcPr>
            <w:tcW w:w="683" w:type="pct"/>
            <w:tcBorders>
              <w:top w:val="double" w:sz="4" w:space="0" w:color="auto"/>
              <w:left w:val="single" w:sz="4" w:space="0" w:color="auto"/>
              <w:right w:val="single" w:sz="4" w:space="0" w:color="auto"/>
            </w:tcBorders>
            <w:vAlign w:val="center"/>
          </w:tcPr>
          <w:p w:rsidR="00EE6B6F" w:rsidRPr="003E7E2B" w:rsidRDefault="00EE6B6F" w:rsidP="0011549B">
            <w:pPr>
              <w:pStyle w:val="Tabletext"/>
              <w:keepNext/>
              <w:keepLines/>
              <w:spacing w:after="0"/>
              <w:jc w:val="center"/>
              <w:rPr>
                <w:rFonts w:ascii="Arial Narrow" w:hAnsi="Arial Narrow"/>
                <w:b/>
              </w:rPr>
            </w:pPr>
            <w:r w:rsidRPr="003E7E2B">
              <w:rPr>
                <w:rFonts w:ascii="Arial Narrow" w:hAnsi="Arial Narrow"/>
                <w:b/>
              </w:rPr>
              <w:t>Utility SUNI</w:t>
            </w:r>
          </w:p>
        </w:tc>
      </w:tr>
      <w:tr w:rsidR="00EE6B6F" w:rsidRPr="003E7E2B" w:rsidTr="00771272">
        <w:trPr>
          <w:trHeight w:val="345"/>
        </w:trPr>
        <w:tc>
          <w:tcPr>
            <w:tcW w:w="591" w:type="pct"/>
            <w:vMerge w:val="restart"/>
            <w:tcBorders>
              <w:top w:val="single" w:sz="4" w:space="0" w:color="auto"/>
              <w:left w:val="single" w:sz="4" w:space="0" w:color="auto"/>
              <w:right w:val="double" w:sz="4" w:space="0" w:color="auto"/>
            </w:tcBorders>
            <w:vAlign w:val="center"/>
            <w:hideMark/>
          </w:tcPr>
          <w:p w:rsidR="00EE6B6F" w:rsidRPr="003E7E2B" w:rsidRDefault="00EE6B6F" w:rsidP="0060736A">
            <w:pPr>
              <w:pStyle w:val="Tabletext"/>
              <w:keepNext/>
              <w:keepLines/>
              <w:spacing w:after="0"/>
              <w:rPr>
                <w:rFonts w:ascii="Arial Narrow" w:hAnsi="Arial Narrow"/>
              </w:rPr>
            </w:pPr>
            <w:r w:rsidRPr="003E7E2B">
              <w:rPr>
                <w:rFonts w:ascii="Arial Narrow" w:hAnsi="Arial Narrow"/>
              </w:rPr>
              <w:t>Progression free</w:t>
            </w:r>
          </w:p>
        </w:tc>
        <w:tc>
          <w:tcPr>
            <w:tcW w:w="494" w:type="pct"/>
            <w:vMerge w:val="restart"/>
            <w:tcBorders>
              <w:top w:val="single" w:sz="4" w:space="0" w:color="auto"/>
              <w:left w:val="double" w:sz="4" w:space="0" w:color="auto"/>
              <w:right w:val="single" w:sz="4" w:space="0" w:color="auto"/>
            </w:tcBorders>
            <w:shd w:val="clear" w:color="auto" w:fill="FFFFFF" w:themeFill="background1"/>
            <w:vAlign w:val="center"/>
            <w:hideMark/>
          </w:tcPr>
          <w:p w:rsidR="00EE6B6F" w:rsidRPr="00B76982" w:rsidRDefault="00B76982" w:rsidP="00DE11A9">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373" w:type="pct"/>
            <w:vMerge w:val="restart"/>
            <w:tcBorders>
              <w:top w:val="single" w:sz="4" w:space="0" w:color="auto"/>
              <w:left w:val="single" w:sz="4" w:space="0" w:color="auto"/>
              <w:right w:val="double" w:sz="4" w:space="0" w:color="auto"/>
            </w:tcBorders>
            <w:shd w:val="clear" w:color="auto" w:fill="FFFFFF" w:themeFill="background1"/>
            <w:vAlign w:val="center"/>
            <w:hideMark/>
          </w:tcPr>
          <w:p w:rsidR="00EE6B6F" w:rsidRPr="00B76982" w:rsidRDefault="00B76982" w:rsidP="00DE11A9">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806" w:type="pct"/>
            <w:vMerge w:val="restart"/>
            <w:tcBorders>
              <w:top w:val="single" w:sz="4" w:space="0" w:color="auto"/>
              <w:left w:val="double" w:sz="4" w:space="0" w:color="auto"/>
              <w:right w:val="double" w:sz="4" w:space="0" w:color="auto"/>
            </w:tcBorders>
            <w:shd w:val="clear" w:color="auto" w:fill="FFFFFF" w:themeFill="background1"/>
            <w:vAlign w:val="center"/>
          </w:tcPr>
          <w:p w:rsidR="00EE6B6F" w:rsidRPr="00B76982" w:rsidRDefault="00B76982" w:rsidP="00EE6B6F">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56" w:type="pct"/>
            <w:vMerge w:val="restart"/>
            <w:tcBorders>
              <w:top w:val="single" w:sz="4" w:space="0" w:color="auto"/>
              <w:left w:val="double" w:sz="4" w:space="0" w:color="auto"/>
              <w:right w:val="single" w:sz="4" w:space="0" w:color="auto"/>
            </w:tcBorders>
            <w:shd w:val="clear" w:color="auto" w:fill="FFFFFF" w:themeFill="background1"/>
            <w:vAlign w:val="center"/>
          </w:tcPr>
          <w:p w:rsidR="00EE6B6F" w:rsidRPr="00B76982" w:rsidRDefault="00B76982" w:rsidP="00DE11A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0" w:type="pct"/>
            <w:vMerge w:val="restart"/>
            <w:tcBorders>
              <w:top w:val="single" w:sz="4" w:space="0" w:color="auto"/>
              <w:left w:val="single" w:sz="4" w:space="0" w:color="auto"/>
              <w:right w:val="double" w:sz="4" w:space="0" w:color="auto"/>
            </w:tcBorders>
            <w:shd w:val="clear" w:color="auto" w:fill="FFFFFF" w:themeFill="background1"/>
            <w:vAlign w:val="center"/>
          </w:tcPr>
          <w:p w:rsidR="00EE6B6F" w:rsidRPr="00B76982" w:rsidRDefault="00B76982" w:rsidP="00DE11A9">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87" w:type="pct"/>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EE6B6F" w:rsidRPr="00B76982" w:rsidRDefault="00B76982" w:rsidP="00EE6B6F">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683" w:type="pct"/>
            <w:tcBorders>
              <w:top w:val="single" w:sz="4" w:space="0" w:color="auto"/>
              <w:left w:val="single" w:sz="4" w:space="0" w:color="auto"/>
              <w:right w:val="single" w:sz="4" w:space="0" w:color="auto"/>
            </w:tcBorders>
            <w:vAlign w:val="center"/>
          </w:tcPr>
          <w:p w:rsidR="00EE6B6F" w:rsidRPr="00B76982" w:rsidRDefault="00B76982" w:rsidP="00EE6B6F">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r>
      <w:tr w:rsidR="00EE6B6F" w:rsidRPr="003E7E2B" w:rsidTr="00EE6B6F">
        <w:trPr>
          <w:trHeight w:val="345"/>
        </w:trPr>
        <w:tc>
          <w:tcPr>
            <w:tcW w:w="591" w:type="pct"/>
            <w:vMerge/>
            <w:tcBorders>
              <w:left w:val="single" w:sz="4" w:space="0" w:color="auto"/>
              <w:bottom w:val="single" w:sz="4" w:space="0" w:color="auto"/>
              <w:right w:val="double" w:sz="4" w:space="0" w:color="auto"/>
            </w:tcBorders>
            <w:vAlign w:val="center"/>
          </w:tcPr>
          <w:p w:rsidR="00EE6B6F" w:rsidRPr="003E7E2B" w:rsidRDefault="00EE6B6F" w:rsidP="0060736A">
            <w:pPr>
              <w:pStyle w:val="Tabletext"/>
              <w:keepNext/>
              <w:keepLines/>
              <w:spacing w:after="0"/>
              <w:rPr>
                <w:rFonts w:ascii="Arial Narrow" w:hAnsi="Arial Narrow"/>
              </w:rPr>
            </w:pPr>
          </w:p>
        </w:tc>
        <w:tc>
          <w:tcPr>
            <w:tcW w:w="494" w:type="pct"/>
            <w:vMerge/>
            <w:tcBorders>
              <w:left w:val="double" w:sz="4" w:space="0" w:color="auto"/>
              <w:bottom w:val="single" w:sz="4" w:space="0" w:color="auto"/>
              <w:right w:val="single" w:sz="4" w:space="0" w:color="auto"/>
            </w:tcBorders>
            <w:shd w:val="clear" w:color="auto" w:fill="FFFFFF" w:themeFill="background1"/>
            <w:vAlign w:val="center"/>
          </w:tcPr>
          <w:p w:rsidR="00EE6B6F" w:rsidRPr="00DE70F3" w:rsidRDefault="00EE6B6F" w:rsidP="00DE11A9">
            <w:pPr>
              <w:pStyle w:val="Tabletext"/>
              <w:keepNext/>
              <w:keepLines/>
              <w:spacing w:after="0"/>
              <w:jc w:val="center"/>
              <w:rPr>
                <w:rFonts w:ascii="Arial Narrow" w:hAnsi="Arial Narrow"/>
              </w:rPr>
            </w:pPr>
          </w:p>
        </w:tc>
        <w:tc>
          <w:tcPr>
            <w:tcW w:w="373" w:type="pct"/>
            <w:vMerge/>
            <w:tcBorders>
              <w:left w:val="single" w:sz="4" w:space="0" w:color="auto"/>
              <w:bottom w:val="single" w:sz="4" w:space="0" w:color="auto"/>
              <w:right w:val="double" w:sz="4" w:space="0" w:color="auto"/>
            </w:tcBorders>
            <w:shd w:val="clear" w:color="auto" w:fill="FFFFFF" w:themeFill="background1"/>
            <w:vAlign w:val="center"/>
          </w:tcPr>
          <w:p w:rsidR="00EE6B6F" w:rsidRPr="00DE70F3" w:rsidRDefault="00EE6B6F" w:rsidP="00DE11A9">
            <w:pPr>
              <w:pStyle w:val="Tabletext"/>
              <w:keepNext/>
              <w:keepLines/>
              <w:spacing w:after="0"/>
              <w:jc w:val="center"/>
              <w:rPr>
                <w:rFonts w:ascii="Arial Narrow" w:hAnsi="Arial Narrow"/>
              </w:rPr>
            </w:pPr>
          </w:p>
        </w:tc>
        <w:tc>
          <w:tcPr>
            <w:tcW w:w="806" w:type="pct"/>
            <w:vMerge/>
            <w:tcBorders>
              <w:left w:val="double" w:sz="4" w:space="0" w:color="auto"/>
              <w:bottom w:val="single" w:sz="4" w:space="0" w:color="auto"/>
              <w:right w:val="double" w:sz="4" w:space="0" w:color="auto"/>
            </w:tcBorders>
            <w:shd w:val="clear" w:color="auto" w:fill="FFFFFF" w:themeFill="background1"/>
            <w:vAlign w:val="center"/>
          </w:tcPr>
          <w:p w:rsidR="00EE6B6F" w:rsidRPr="00DE70F3" w:rsidRDefault="00EE6B6F" w:rsidP="00EE6B6F">
            <w:pPr>
              <w:jc w:val="center"/>
              <w:rPr>
                <w:rFonts w:ascii="Arial Narrow" w:hAnsi="Arial Narrow"/>
                <w:sz w:val="20"/>
                <w:szCs w:val="20"/>
              </w:rPr>
            </w:pPr>
          </w:p>
        </w:tc>
        <w:tc>
          <w:tcPr>
            <w:tcW w:w="556" w:type="pct"/>
            <w:vMerge/>
            <w:tcBorders>
              <w:left w:val="double" w:sz="4" w:space="0" w:color="auto"/>
              <w:bottom w:val="single" w:sz="4" w:space="0" w:color="auto"/>
              <w:right w:val="single" w:sz="4" w:space="0" w:color="auto"/>
            </w:tcBorders>
            <w:shd w:val="clear" w:color="auto" w:fill="FFFFFF" w:themeFill="background1"/>
            <w:vAlign w:val="center"/>
          </w:tcPr>
          <w:p w:rsidR="00EE6B6F" w:rsidRPr="00DE70F3" w:rsidRDefault="00EE6B6F" w:rsidP="00DE11A9">
            <w:pPr>
              <w:jc w:val="center"/>
              <w:rPr>
                <w:rFonts w:ascii="Arial Narrow" w:hAnsi="Arial Narrow"/>
                <w:sz w:val="20"/>
                <w:szCs w:val="20"/>
              </w:rPr>
            </w:pPr>
          </w:p>
        </w:tc>
        <w:tc>
          <w:tcPr>
            <w:tcW w:w="710" w:type="pct"/>
            <w:vMerge/>
            <w:tcBorders>
              <w:left w:val="single" w:sz="4" w:space="0" w:color="auto"/>
              <w:bottom w:val="single" w:sz="4" w:space="0" w:color="auto"/>
              <w:right w:val="double" w:sz="4" w:space="0" w:color="auto"/>
            </w:tcBorders>
            <w:shd w:val="clear" w:color="auto" w:fill="FFFFFF" w:themeFill="background1"/>
            <w:vAlign w:val="center"/>
          </w:tcPr>
          <w:p w:rsidR="00EE6B6F" w:rsidRPr="00DE70F3" w:rsidRDefault="00EE6B6F" w:rsidP="00DE11A9">
            <w:pPr>
              <w:jc w:val="center"/>
              <w:rPr>
                <w:rFonts w:ascii="Arial Narrow" w:hAnsi="Arial Narrow"/>
                <w:sz w:val="20"/>
                <w:szCs w:val="20"/>
              </w:rPr>
            </w:pPr>
          </w:p>
        </w:tc>
        <w:tc>
          <w:tcPr>
            <w:tcW w:w="1470" w:type="pct"/>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EE6B6F" w:rsidRPr="00DE70F3" w:rsidRDefault="00EE6B6F" w:rsidP="00DE11A9">
            <w:pPr>
              <w:pStyle w:val="Tabletext"/>
              <w:keepNext/>
              <w:keepLines/>
              <w:spacing w:after="0"/>
              <w:jc w:val="center"/>
              <w:rPr>
                <w:rFonts w:ascii="Arial Narrow" w:hAnsi="Arial Narrow"/>
              </w:rPr>
            </w:pPr>
            <w:r w:rsidRPr="00DE70F3">
              <w:rPr>
                <w:rFonts w:ascii="Arial Narrow" w:hAnsi="Arial Narrow"/>
              </w:rPr>
              <w:t>Source: CA209-214</w:t>
            </w:r>
          </w:p>
        </w:tc>
      </w:tr>
      <w:tr w:rsidR="00EE6B6F" w:rsidRPr="003E7E2B" w:rsidTr="00EE6B6F">
        <w:tc>
          <w:tcPr>
            <w:tcW w:w="591" w:type="pct"/>
            <w:tcBorders>
              <w:top w:val="single" w:sz="4" w:space="0" w:color="auto"/>
              <w:left w:val="single" w:sz="4" w:space="0" w:color="auto"/>
              <w:bottom w:val="single" w:sz="4" w:space="0" w:color="auto"/>
              <w:right w:val="double" w:sz="4" w:space="0" w:color="auto"/>
            </w:tcBorders>
            <w:vAlign w:val="center"/>
            <w:hideMark/>
          </w:tcPr>
          <w:p w:rsidR="00EE6B6F" w:rsidRPr="003E7E2B" w:rsidRDefault="00EE6B6F" w:rsidP="0060736A">
            <w:pPr>
              <w:pStyle w:val="Tabletext"/>
              <w:keepNext/>
              <w:keepLines/>
              <w:spacing w:after="0"/>
              <w:rPr>
                <w:rFonts w:ascii="Arial Narrow" w:hAnsi="Arial Narrow"/>
              </w:rPr>
            </w:pPr>
            <w:r w:rsidRPr="003E7E2B">
              <w:rPr>
                <w:rFonts w:ascii="Arial Narrow" w:hAnsi="Arial Narrow"/>
              </w:rPr>
              <w:t>Progressed disease</w:t>
            </w:r>
          </w:p>
        </w:tc>
        <w:tc>
          <w:tcPr>
            <w:tcW w:w="494" w:type="pct"/>
            <w:tcBorders>
              <w:top w:val="single" w:sz="4" w:space="0" w:color="auto"/>
              <w:left w:val="double" w:sz="4" w:space="0" w:color="auto"/>
              <w:bottom w:val="single" w:sz="4" w:space="0" w:color="auto"/>
              <w:right w:val="single" w:sz="4" w:space="0" w:color="auto"/>
            </w:tcBorders>
            <w:shd w:val="clear" w:color="auto" w:fill="FFFFFF" w:themeFill="background1"/>
            <w:vAlign w:val="center"/>
            <w:hideMark/>
          </w:tcPr>
          <w:p w:rsidR="00EE6B6F" w:rsidRPr="00B76982" w:rsidRDefault="00B76982" w:rsidP="00DE11A9">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373"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EE6B6F" w:rsidRPr="00B76982" w:rsidRDefault="00B76982" w:rsidP="00DE11A9">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tc>
        <w:tc>
          <w:tcPr>
            <w:tcW w:w="806" w:type="pct"/>
            <w:tcBorders>
              <w:top w:val="single" w:sz="4" w:space="0" w:color="auto"/>
              <w:left w:val="double" w:sz="4" w:space="0" w:color="auto"/>
              <w:bottom w:val="single" w:sz="4" w:space="0" w:color="auto"/>
              <w:right w:val="double" w:sz="4" w:space="0" w:color="auto"/>
            </w:tcBorders>
            <w:shd w:val="clear" w:color="auto" w:fill="FFFFFF" w:themeFill="background1"/>
            <w:vAlign w:val="center"/>
          </w:tcPr>
          <w:p w:rsidR="00EE6B6F" w:rsidRPr="00B76982" w:rsidRDefault="00B76982" w:rsidP="00EE6B6F">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56" w:type="pct"/>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EE6B6F" w:rsidRPr="00B76982" w:rsidRDefault="00B76982" w:rsidP="00DE11A9">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710" w:type="pct"/>
            <w:tcBorders>
              <w:top w:val="single" w:sz="4" w:space="0" w:color="auto"/>
              <w:left w:val="single" w:sz="4" w:space="0" w:color="auto"/>
              <w:bottom w:val="single" w:sz="4" w:space="0" w:color="auto"/>
              <w:right w:val="double" w:sz="4" w:space="0" w:color="auto"/>
            </w:tcBorders>
            <w:shd w:val="clear" w:color="auto" w:fill="FFFFFF" w:themeFill="background1"/>
            <w:vAlign w:val="center"/>
          </w:tcPr>
          <w:p w:rsidR="00EE6B6F" w:rsidRPr="00B76982" w:rsidRDefault="00B76982" w:rsidP="00DE11A9">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1470" w:type="pct"/>
            <w:gridSpan w:val="2"/>
            <w:tcBorders>
              <w:top w:val="single" w:sz="4" w:space="0" w:color="auto"/>
              <w:left w:val="double" w:sz="4" w:space="0" w:color="auto"/>
              <w:bottom w:val="single" w:sz="4" w:space="0" w:color="auto"/>
              <w:right w:val="single" w:sz="4" w:space="0" w:color="auto"/>
            </w:tcBorders>
            <w:shd w:val="clear" w:color="auto" w:fill="FFFFFF" w:themeFill="background1"/>
          </w:tcPr>
          <w:p w:rsidR="00EE6B6F" w:rsidRPr="00B76982" w:rsidRDefault="00B76982" w:rsidP="00DE11A9">
            <w:pPr>
              <w:pStyle w:val="Tabletext"/>
              <w:keepNext/>
              <w:keepLines/>
              <w:spacing w:after="0"/>
              <w:jc w:val="center"/>
              <w:rPr>
                <w:rFonts w:ascii="Arial Narrow" w:hAnsi="Arial Narrow"/>
                <w:highlight w:val="black"/>
              </w:rPr>
            </w:pPr>
            <w:r>
              <w:rPr>
                <w:rFonts w:ascii="Arial Narrow" w:hAnsi="Arial Narrow"/>
                <w:noProof/>
                <w:color w:val="000000"/>
                <w:highlight w:val="black"/>
              </w:rPr>
              <w:t>''''''''''</w:t>
            </w:r>
          </w:p>
          <w:p w:rsidR="00EE6B6F" w:rsidRPr="00DE70F3" w:rsidRDefault="00EE6B6F" w:rsidP="00DE11A9">
            <w:pPr>
              <w:pStyle w:val="Tabletext"/>
              <w:keepNext/>
              <w:keepLines/>
              <w:spacing w:after="0"/>
              <w:jc w:val="center"/>
              <w:rPr>
                <w:rFonts w:ascii="Arial Narrow" w:hAnsi="Arial Narrow"/>
              </w:rPr>
            </w:pPr>
            <w:r w:rsidRPr="00DE70F3">
              <w:rPr>
                <w:rFonts w:ascii="Arial Narrow" w:hAnsi="Arial Narrow"/>
              </w:rPr>
              <w:t>Source: average of CA209-025.</w:t>
            </w:r>
          </w:p>
        </w:tc>
      </w:tr>
    </w:tbl>
    <w:p w:rsidR="00342780" w:rsidRPr="003E7E2B" w:rsidRDefault="00B3301C" w:rsidP="00342780">
      <w:pPr>
        <w:pStyle w:val="TableFooter"/>
        <w:keepNext/>
        <w:keepLines/>
        <w:rPr>
          <w:vertAlign w:val="superscript"/>
        </w:rPr>
      </w:pPr>
      <w:r w:rsidRPr="003E7E2B">
        <w:t xml:space="preserve">Source: Table 89, p160 Section 3 of the submission, Average application in the model taken from ‘Att_12_CEA_NIVO+IPI_1LRCC.xlsx’. </w:t>
      </w:r>
      <w:r w:rsidR="00342780" w:rsidRPr="003E7E2B">
        <w:t xml:space="preserve">PD = progressed disease; PF = progression free; NIVO = nivolumab; IPI = ipilimumab; </w:t>
      </w:r>
    </w:p>
    <w:p w:rsidR="00342780" w:rsidRPr="003E7E2B" w:rsidRDefault="00342780" w:rsidP="00342780">
      <w:pPr>
        <w:pStyle w:val="TableFooter"/>
        <w:keepNext/>
        <w:keepLines/>
      </w:pPr>
      <w:proofErr w:type="spellStart"/>
      <w:proofErr w:type="gramStart"/>
      <w:r w:rsidRPr="003E7E2B">
        <w:rPr>
          <w:vertAlign w:val="superscript"/>
        </w:rPr>
        <w:t>a</w:t>
      </w:r>
      <w:proofErr w:type="spellEnd"/>
      <w:proofErr w:type="gramEnd"/>
      <w:r w:rsidRPr="003E7E2B">
        <w:rPr>
          <w:vertAlign w:val="superscript"/>
        </w:rPr>
        <w:t xml:space="preserve"> </w:t>
      </w:r>
      <w:r w:rsidRPr="003E7E2B">
        <w:t>intermediate/poor risk subpopulation</w:t>
      </w:r>
    </w:p>
    <w:p w:rsidR="00094DC0" w:rsidRPr="00AF0145" w:rsidRDefault="00094DC0" w:rsidP="00094DC0">
      <w:pPr>
        <w:rPr>
          <w:rStyle w:val="CommentReference"/>
        </w:rPr>
      </w:pPr>
    </w:p>
    <w:p w:rsidR="00652605" w:rsidRPr="003E7E2B" w:rsidRDefault="003700E5" w:rsidP="001642E7">
      <w:pPr>
        <w:keepNext/>
        <w:keepLines/>
        <w:snapToGrid w:val="0"/>
        <w:spacing w:after="160"/>
        <w:rPr>
          <w:rFonts w:asciiTheme="minorHAnsi" w:hAnsiTheme="minorHAnsi"/>
          <w:u w:val="single"/>
        </w:rPr>
      </w:pPr>
      <w:r w:rsidRPr="00AF0145">
        <w:rPr>
          <w:rFonts w:asciiTheme="minorHAnsi" w:hAnsiTheme="minorHAnsi"/>
          <w:u w:val="single"/>
        </w:rPr>
        <w:lastRenderedPageBreak/>
        <w:t>Results of economic evaluation</w:t>
      </w:r>
    </w:p>
    <w:p w:rsidR="009962FB" w:rsidRPr="003E7E2B" w:rsidRDefault="009962FB" w:rsidP="001642E7">
      <w:pPr>
        <w:pStyle w:val="ListParagraph"/>
        <w:keepNext/>
        <w:keepLines/>
        <w:widowControl/>
        <w:numPr>
          <w:ilvl w:val="1"/>
          <w:numId w:val="14"/>
        </w:numPr>
        <w:snapToGrid w:val="0"/>
        <w:spacing w:after="160"/>
        <w:contextualSpacing w:val="0"/>
        <w:rPr>
          <w:rFonts w:asciiTheme="minorHAnsi" w:hAnsiTheme="minorHAnsi"/>
          <w:sz w:val="24"/>
          <w:szCs w:val="24"/>
        </w:rPr>
      </w:pPr>
      <w:r w:rsidRPr="003E7E2B">
        <w:rPr>
          <w:rFonts w:asciiTheme="minorHAnsi" w:hAnsiTheme="minorHAnsi"/>
          <w:sz w:val="24"/>
          <w:szCs w:val="24"/>
        </w:rPr>
        <w:t>The results of the economic evaluation are summarised in the table below, with each change presented as a separate step.</w:t>
      </w:r>
      <w:r w:rsidR="00094DC0" w:rsidRPr="003E7E2B">
        <w:rPr>
          <w:rFonts w:asciiTheme="minorHAnsi" w:hAnsiTheme="minorHAnsi"/>
          <w:sz w:val="24"/>
          <w:szCs w:val="24"/>
        </w:rPr>
        <w:t xml:space="preserve"> This is based on the scenario in which the restrictions for drugs that are currently listed in the second- and later- line settings (i.e. </w:t>
      </w:r>
      <w:proofErr w:type="spellStart"/>
      <w:r w:rsidR="00094DC0" w:rsidRPr="003E7E2B">
        <w:rPr>
          <w:rFonts w:asciiTheme="minorHAnsi" w:hAnsiTheme="minorHAnsi"/>
          <w:sz w:val="24"/>
          <w:szCs w:val="24"/>
        </w:rPr>
        <w:t>axitinib</w:t>
      </w:r>
      <w:proofErr w:type="spellEnd"/>
      <w:r w:rsidR="00094DC0" w:rsidRPr="003E7E2B">
        <w:rPr>
          <w:rFonts w:asciiTheme="minorHAnsi" w:hAnsiTheme="minorHAnsi"/>
          <w:sz w:val="24"/>
          <w:szCs w:val="24"/>
        </w:rPr>
        <w:t xml:space="preserve">, </w:t>
      </w:r>
      <w:proofErr w:type="spellStart"/>
      <w:r w:rsidR="00094DC0" w:rsidRPr="003E7E2B">
        <w:rPr>
          <w:rFonts w:asciiTheme="minorHAnsi" w:hAnsiTheme="minorHAnsi"/>
          <w:sz w:val="24"/>
          <w:szCs w:val="24"/>
        </w:rPr>
        <w:t>cabozantinib</w:t>
      </w:r>
      <w:proofErr w:type="spellEnd"/>
      <w:r w:rsidR="00094DC0" w:rsidRPr="003E7E2B">
        <w:rPr>
          <w:rFonts w:asciiTheme="minorHAnsi" w:hAnsiTheme="minorHAnsi"/>
          <w:sz w:val="24"/>
          <w:szCs w:val="24"/>
        </w:rPr>
        <w:t>, sorafenib, everolimus</w:t>
      </w:r>
      <w:r w:rsidR="00837CA8" w:rsidRPr="003E7E2B">
        <w:rPr>
          <w:rFonts w:asciiTheme="minorHAnsi" w:hAnsiTheme="minorHAnsi"/>
          <w:sz w:val="24"/>
          <w:szCs w:val="24"/>
        </w:rPr>
        <w:t xml:space="preserve"> and nivolumab monotherapy</w:t>
      </w:r>
      <w:r w:rsidR="00094DC0" w:rsidRPr="003E7E2B">
        <w:rPr>
          <w:rFonts w:asciiTheme="minorHAnsi" w:hAnsiTheme="minorHAnsi"/>
          <w:sz w:val="24"/>
          <w:szCs w:val="24"/>
        </w:rPr>
        <w:t>) are changed to enable use following prior TKI therapy, irrespective of the line of treatment in which the TKI was used.</w:t>
      </w:r>
    </w:p>
    <w:p w:rsidR="00094DC0" w:rsidRPr="00AF0145" w:rsidRDefault="00094DC0" w:rsidP="00293B5A">
      <w:pPr>
        <w:pStyle w:val="PBACHeading1"/>
        <w:keepNext/>
        <w:keepLines/>
        <w:ind w:left="0" w:firstLine="0"/>
        <w:outlineLvl w:val="9"/>
        <w:rPr>
          <w:rStyle w:val="CommentReference"/>
          <w:rFonts w:ascii="Arial Narrow" w:hAnsi="Arial Narrow"/>
          <w:sz w:val="20"/>
          <w:szCs w:val="20"/>
        </w:rPr>
      </w:pPr>
      <w:r w:rsidRPr="003E7E2B">
        <w:rPr>
          <w:rStyle w:val="CommentReference"/>
          <w:rFonts w:ascii="Arial Narrow" w:hAnsi="Arial Narrow"/>
          <w:sz w:val="20"/>
          <w:szCs w:val="20"/>
        </w:rPr>
        <w:t xml:space="preserve">Table </w:t>
      </w:r>
      <w:r w:rsidR="00786F22" w:rsidRPr="003E7E2B">
        <w:rPr>
          <w:rStyle w:val="CommentReference"/>
          <w:rFonts w:ascii="Arial Narrow" w:hAnsi="Arial Narrow"/>
          <w:sz w:val="20"/>
          <w:szCs w:val="20"/>
        </w:rPr>
        <w:t>4</w:t>
      </w:r>
      <w:r w:rsidRPr="003E7E2B">
        <w:rPr>
          <w:rStyle w:val="CommentReference"/>
          <w:rFonts w:ascii="Arial Narrow" w:hAnsi="Arial Narrow"/>
          <w:sz w:val="20"/>
          <w:szCs w:val="20"/>
        </w:rPr>
        <w:t>: Results of the economic evaluation</w:t>
      </w:r>
      <w:r w:rsidR="005D5BBD" w:rsidRPr="003E7E2B">
        <w:rPr>
          <w:rStyle w:val="CommentReference"/>
          <w:rFonts w:ascii="Arial Narrow" w:hAnsi="Arial Narrow"/>
          <w:sz w:val="20"/>
          <w:szCs w:val="20"/>
        </w:rPr>
        <w:t xml:space="preserve"> (if restrictions are changed for existing second-line therapies)</w:t>
      </w:r>
    </w:p>
    <w:tbl>
      <w:tblPr>
        <w:tblStyle w:val="TableGridbeth5"/>
        <w:tblW w:w="5000" w:type="pct"/>
        <w:tblInd w:w="0" w:type="dxa"/>
        <w:tblLayout w:type="fixed"/>
        <w:tblCellMar>
          <w:left w:w="28" w:type="dxa"/>
          <w:right w:w="28" w:type="dxa"/>
        </w:tblCellMar>
        <w:tblLook w:val="04A0" w:firstRow="1" w:lastRow="0" w:firstColumn="1" w:lastColumn="0" w:noHBand="0" w:noVBand="1"/>
        <w:tblCaption w:val="Results of the economic evaluation (if restrictions are changed for existing second-line therapies)"/>
      </w:tblPr>
      <w:tblGrid>
        <w:gridCol w:w="3289"/>
        <w:gridCol w:w="865"/>
        <w:gridCol w:w="892"/>
        <w:gridCol w:w="779"/>
        <w:gridCol w:w="906"/>
        <w:gridCol w:w="667"/>
        <w:gridCol w:w="569"/>
        <w:gridCol w:w="1115"/>
      </w:tblGrid>
      <w:tr w:rsidR="00342780" w:rsidRPr="003E7E2B" w:rsidTr="00B3301C">
        <w:trPr>
          <w:trHeight w:val="20"/>
          <w:tblHeader/>
        </w:trPr>
        <w:tc>
          <w:tcPr>
            <w:tcW w:w="1811" w:type="pct"/>
            <w:vMerge w:val="restart"/>
            <w:tcBorders>
              <w:top w:val="single" w:sz="4" w:space="0" w:color="auto"/>
              <w:left w:val="single" w:sz="4" w:space="0" w:color="auto"/>
              <w:right w:val="single" w:sz="4" w:space="0" w:color="auto"/>
            </w:tcBorders>
            <w:vAlign w:val="center"/>
          </w:tcPr>
          <w:p w:rsidR="00342780" w:rsidRPr="003E7E2B" w:rsidRDefault="00342780" w:rsidP="00293B5A">
            <w:pPr>
              <w:pStyle w:val="Tabletext"/>
              <w:keepNext/>
              <w:keepLines/>
              <w:spacing w:after="0" w:line="240" w:lineRule="auto"/>
              <w:jc w:val="center"/>
              <w:rPr>
                <w:rFonts w:ascii="Arial Narrow" w:hAnsi="Arial Narrow"/>
                <w:b/>
              </w:rPr>
            </w:pPr>
          </w:p>
        </w:tc>
        <w:tc>
          <w:tcPr>
            <w:tcW w:w="1396" w:type="pct"/>
            <w:gridSpan w:val="3"/>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Costs</w:t>
            </w:r>
          </w:p>
        </w:tc>
        <w:tc>
          <w:tcPr>
            <w:tcW w:w="1179" w:type="pct"/>
            <w:gridSpan w:val="3"/>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Outcomes</w:t>
            </w:r>
          </w:p>
        </w:tc>
        <w:tc>
          <w:tcPr>
            <w:tcW w:w="614" w:type="pct"/>
            <w:vMerge w:val="restar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ICER</w:t>
            </w:r>
            <w:r w:rsidR="001E02B0" w:rsidRPr="003E7E2B">
              <w:rPr>
                <w:rFonts w:ascii="Arial Narrow" w:hAnsi="Arial Narrow"/>
                <w:b/>
              </w:rPr>
              <w:t>/QALY</w:t>
            </w:r>
          </w:p>
        </w:tc>
      </w:tr>
      <w:tr w:rsidR="00342780" w:rsidRPr="003E7E2B" w:rsidTr="00B3301C">
        <w:trPr>
          <w:trHeight w:val="20"/>
          <w:tblHeader/>
        </w:trPr>
        <w:tc>
          <w:tcPr>
            <w:tcW w:w="1811" w:type="pct"/>
            <w:vMerge/>
            <w:tcBorders>
              <w:left w:val="single" w:sz="4" w:space="0" w:color="auto"/>
              <w:bottom w:val="single" w:sz="4" w:space="0" w:color="auto"/>
              <w:right w:val="single" w:sz="4" w:space="0" w:color="auto"/>
            </w:tcBorders>
            <w:vAlign w:val="center"/>
          </w:tcPr>
          <w:p w:rsidR="00342780" w:rsidRPr="003E7E2B" w:rsidRDefault="00342780" w:rsidP="00293B5A">
            <w:pPr>
              <w:keepNext/>
              <w:keepLines/>
              <w:spacing w:line="240" w:lineRule="auto"/>
              <w:jc w:val="left"/>
              <w:rPr>
                <w:rFonts w:ascii="Arial Narrow" w:hAnsi="Arial Narrow"/>
                <w:b/>
                <w:sz w:val="20"/>
                <w:szCs w:val="20"/>
                <w:lang w:eastAsia="en-US"/>
              </w:rPr>
            </w:pPr>
          </w:p>
        </w:tc>
        <w:tc>
          <w:tcPr>
            <w:tcW w:w="476"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NIVO+IPI</w:t>
            </w:r>
          </w:p>
        </w:tc>
        <w:tc>
          <w:tcPr>
            <w:tcW w:w="491"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SUNI</w:t>
            </w:r>
          </w:p>
        </w:tc>
        <w:tc>
          <w:tcPr>
            <w:tcW w:w="429"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w:t>
            </w:r>
          </w:p>
        </w:tc>
        <w:tc>
          <w:tcPr>
            <w:tcW w:w="499"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NIVO+IPI</w:t>
            </w:r>
          </w:p>
        </w:tc>
        <w:tc>
          <w:tcPr>
            <w:tcW w:w="367"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SUNI</w:t>
            </w:r>
          </w:p>
        </w:tc>
        <w:tc>
          <w:tcPr>
            <w:tcW w:w="313"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b/>
              </w:rPr>
            </w:pPr>
            <w:r w:rsidRPr="003E7E2B">
              <w:rPr>
                <w:rFonts w:ascii="Arial Narrow" w:hAnsi="Arial Narrow"/>
                <w:b/>
              </w:rPr>
              <w:t>∆</w:t>
            </w:r>
          </w:p>
        </w:tc>
        <w:tc>
          <w:tcPr>
            <w:tcW w:w="614" w:type="pct"/>
            <w:vMerge/>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keepNext/>
              <w:keepLines/>
              <w:spacing w:line="240" w:lineRule="auto"/>
              <w:jc w:val="left"/>
              <w:rPr>
                <w:rFonts w:ascii="Arial Narrow" w:hAnsi="Arial Narrow"/>
                <w:b/>
                <w:sz w:val="20"/>
                <w:szCs w:val="20"/>
                <w:lang w:eastAsia="en-US"/>
              </w:rPr>
            </w:pPr>
          </w:p>
        </w:tc>
      </w:tr>
      <w:tr w:rsidR="00342780" w:rsidRPr="003E7E2B" w:rsidTr="00B3301C">
        <w:trPr>
          <w:trHeight w:val="20"/>
          <w:tblHeader/>
        </w:trPr>
        <w:tc>
          <w:tcPr>
            <w:tcW w:w="1811" w:type="pct"/>
            <w:tcBorders>
              <w:top w:val="single" w:sz="4" w:space="0" w:color="auto"/>
              <w:left w:val="single" w:sz="4" w:space="0" w:color="auto"/>
              <w:bottom w:val="single" w:sz="4" w:space="0" w:color="auto"/>
              <w:right w:val="single" w:sz="4" w:space="0" w:color="auto"/>
            </w:tcBorders>
            <w:vAlign w:val="center"/>
          </w:tcPr>
          <w:p w:rsidR="00342780" w:rsidRPr="003E7E2B" w:rsidRDefault="00342780" w:rsidP="00293B5A">
            <w:pPr>
              <w:pStyle w:val="Tabletext"/>
              <w:keepNext/>
              <w:keepLines/>
              <w:spacing w:after="0" w:line="240" w:lineRule="auto"/>
              <w:jc w:val="left"/>
              <w:rPr>
                <w:rFonts w:ascii="Arial Narrow" w:hAnsi="Arial Narrow"/>
              </w:rPr>
            </w:pPr>
            <w:r w:rsidRPr="003E7E2B">
              <w:rPr>
                <w:rFonts w:ascii="Arial Narrow" w:hAnsi="Arial Narrow"/>
              </w:rPr>
              <w:t>Previous submission (pre-PBAC response)</w:t>
            </w:r>
          </w:p>
        </w:tc>
        <w:tc>
          <w:tcPr>
            <w:tcW w:w="476"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491"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429"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hideMark/>
          </w:tcPr>
          <w:p w:rsidR="0034278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367" w:type="pct"/>
            <w:tcBorders>
              <w:top w:val="single" w:sz="4" w:space="0" w:color="auto"/>
              <w:left w:val="single" w:sz="4" w:space="0" w:color="auto"/>
              <w:bottom w:val="single" w:sz="4" w:space="0" w:color="auto"/>
              <w:right w:val="single" w:sz="4" w:space="0" w:color="auto"/>
            </w:tcBorders>
            <w:vAlign w:val="center"/>
            <w:hideMark/>
          </w:tcPr>
          <w:p w:rsidR="0034278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313" w:type="pct"/>
            <w:tcBorders>
              <w:top w:val="single" w:sz="4" w:space="0" w:color="auto"/>
              <w:left w:val="single" w:sz="4" w:space="0" w:color="auto"/>
              <w:bottom w:val="single" w:sz="4" w:space="0" w:color="auto"/>
              <w:right w:val="single" w:sz="4" w:space="0" w:color="auto"/>
            </w:tcBorders>
            <w:vAlign w:val="center"/>
            <w:hideMark/>
          </w:tcPr>
          <w:p w:rsidR="0034278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vAlign w:val="center"/>
            <w:hideMark/>
          </w:tcPr>
          <w:p w:rsidR="00342780" w:rsidRPr="003E7E2B" w:rsidRDefault="0034278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r>
      <w:tr w:rsidR="00342780" w:rsidRPr="003E7E2B" w:rsidTr="00B3301C">
        <w:trPr>
          <w:trHeight w:val="20"/>
          <w:tblHeader/>
        </w:trPr>
        <w:tc>
          <w:tcPr>
            <w:tcW w:w="1811" w:type="pct"/>
            <w:tcBorders>
              <w:top w:val="single" w:sz="4" w:space="0" w:color="auto"/>
              <w:left w:val="single" w:sz="4" w:space="0" w:color="auto"/>
              <w:bottom w:val="single" w:sz="4" w:space="0" w:color="auto"/>
              <w:right w:val="single" w:sz="4" w:space="0" w:color="auto"/>
            </w:tcBorders>
            <w:vAlign w:val="center"/>
          </w:tcPr>
          <w:p w:rsidR="00342780" w:rsidRPr="003E7E2B" w:rsidRDefault="009B7820" w:rsidP="00293B5A">
            <w:pPr>
              <w:pStyle w:val="Tabletext"/>
              <w:keepNext/>
              <w:keepLines/>
              <w:spacing w:after="0" w:line="240" w:lineRule="auto"/>
              <w:rPr>
                <w:rFonts w:ascii="Arial Narrow" w:hAnsi="Arial Narrow"/>
                <w:vertAlign w:val="superscript"/>
              </w:rPr>
            </w:pPr>
            <w:r w:rsidRPr="003E7E2B">
              <w:rPr>
                <w:rFonts w:ascii="Arial Narrow" w:hAnsi="Arial Narrow"/>
              </w:rPr>
              <w:t xml:space="preserve">Step 1: </w:t>
            </w:r>
            <w:r w:rsidR="00342780" w:rsidRPr="003E7E2B">
              <w:rPr>
                <w:rFonts w:ascii="Arial Narrow" w:hAnsi="Arial Narrow"/>
              </w:rPr>
              <w:t xml:space="preserve">Convergence </w:t>
            </w:r>
            <w:r w:rsidRPr="003E7E2B">
              <w:rPr>
                <w:rFonts w:ascii="Arial Narrow" w:hAnsi="Arial Narrow"/>
              </w:rPr>
              <w:t xml:space="preserve">commencing at </w:t>
            </w:r>
            <w:r w:rsidR="00B76982">
              <w:rPr>
                <w:rFonts w:ascii="Arial Narrow" w:hAnsi="Arial Narrow"/>
                <w:noProof/>
                <w:color w:val="000000"/>
                <w:highlight w:val="black"/>
              </w:rPr>
              <w:t xml:space="preserve">'''''' </w:t>
            </w:r>
            <w:r w:rsidRPr="003E7E2B">
              <w:rPr>
                <w:rFonts w:ascii="Arial Narrow" w:hAnsi="Arial Narrow"/>
              </w:rPr>
              <w:t xml:space="preserve">months, per PBAC request </w:t>
            </w:r>
            <w:r w:rsidR="00342780" w:rsidRPr="003E7E2B">
              <w:rPr>
                <w:rFonts w:ascii="Arial Narrow" w:hAnsi="Arial Narrow"/>
                <w:vertAlign w:val="superscript"/>
              </w:rPr>
              <w:t>a</w:t>
            </w:r>
          </w:p>
        </w:tc>
        <w:tc>
          <w:tcPr>
            <w:tcW w:w="476" w:type="pct"/>
            <w:tcBorders>
              <w:top w:val="single" w:sz="4" w:space="0" w:color="auto"/>
              <w:left w:val="single" w:sz="4" w:space="0" w:color="auto"/>
              <w:bottom w:val="single" w:sz="4" w:space="0" w:color="auto"/>
              <w:right w:val="single" w:sz="4" w:space="0" w:color="auto"/>
            </w:tcBorders>
            <w:vAlign w:val="center"/>
          </w:tcPr>
          <w:p w:rsidR="00342780" w:rsidRPr="003E7E2B" w:rsidRDefault="001E02B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91" w:type="pct"/>
            <w:tcBorders>
              <w:top w:val="single" w:sz="4" w:space="0" w:color="auto"/>
              <w:left w:val="single" w:sz="4" w:space="0" w:color="auto"/>
              <w:bottom w:val="single" w:sz="4" w:space="0" w:color="auto"/>
              <w:right w:val="single" w:sz="4" w:space="0" w:color="auto"/>
            </w:tcBorders>
            <w:vAlign w:val="center"/>
          </w:tcPr>
          <w:p w:rsidR="00342780" w:rsidRPr="003E7E2B" w:rsidRDefault="00323DAD"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29" w:type="pct"/>
            <w:tcBorders>
              <w:top w:val="single" w:sz="4" w:space="0" w:color="auto"/>
              <w:left w:val="single" w:sz="4" w:space="0" w:color="auto"/>
              <w:bottom w:val="single" w:sz="4" w:space="0" w:color="auto"/>
              <w:right w:val="single" w:sz="4" w:space="0" w:color="auto"/>
            </w:tcBorders>
            <w:vAlign w:val="center"/>
          </w:tcPr>
          <w:p w:rsidR="00342780" w:rsidRPr="003E7E2B" w:rsidRDefault="001E02B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367"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313"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614" w:type="pct"/>
            <w:tcBorders>
              <w:top w:val="single" w:sz="4" w:space="0" w:color="auto"/>
              <w:left w:val="single" w:sz="4" w:space="0" w:color="auto"/>
              <w:bottom w:val="single" w:sz="4" w:space="0" w:color="auto"/>
              <w:right w:val="single" w:sz="4" w:space="0" w:color="auto"/>
            </w:tcBorders>
            <w:vAlign w:val="center"/>
          </w:tcPr>
          <w:p w:rsidR="00342780" w:rsidRPr="003E7E2B" w:rsidRDefault="00323DAD"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r>
      <w:tr w:rsidR="009B7820" w:rsidRPr="003E7E2B" w:rsidTr="00B3301C">
        <w:trPr>
          <w:trHeight w:val="20"/>
          <w:tblHeader/>
        </w:trPr>
        <w:tc>
          <w:tcPr>
            <w:tcW w:w="1811" w:type="pct"/>
            <w:tcBorders>
              <w:top w:val="single" w:sz="4" w:space="0" w:color="auto"/>
              <w:left w:val="single" w:sz="4" w:space="0" w:color="auto"/>
              <w:bottom w:val="single" w:sz="4" w:space="0" w:color="auto"/>
              <w:right w:val="single" w:sz="4" w:space="0" w:color="auto"/>
            </w:tcBorders>
            <w:vAlign w:val="center"/>
          </w:tcPr>
          <w:p w:rsidR="009B7820" w:rsidRPr="003E7E2B" w:rsidRDefault="009B7820" w:rsidP="00ED0D78">
            <w:pPr>
              <w:pStyle w:val="Tabletext"/>
              <w:keepNext/>
              <w:keepLines/>
              <w:spacing w:after="0" w:line="240" w:lineRule="auto"/>
              <w:rPr>
                <w:rFonts w:ascii="Arial Narrow" w:hAnsi="Arial Narrow"/>
              </w:rPr>
            </w:pPr>
            <w:r w:rsidRPr="003E7E2B">
              <w:rPr>
                <w:rFonts w:ascii="Arial Narrow" w:hAnsi="Arial Narrow"/>
              </w:rPr>
              <w:t xml:space="preserve">Step 2: Utilities </w:t>
            </w:r>
            <w:r w:rsidR="00ED0D78" w:rsidRPr="003E7E2B">
              <w:rPr>
                <w:rFonts w:ascii="Arial Narrow" w:hAnsi="Arial Narrow"/>
              </w:rPr>
              <w:t xml:space="preserve">(outlined in </w:t>
            </w:r>
            <w:r w:rsidRPr="003E7E2B">
              <w:rPr>
                <w:rFonts w:ascii="Arial Narrow" w:hAnsi="Arial Narrow"/>
              </w:rPr>
              <w:t>table above</w:t>
            </w:r>
            <w:r w:rsidR="00ED0D78" w:rsidRPr="003E7E2B">
              <w:rPr>
                <w:rFonts w:ascii="Arial Narrow" w:hAnsi="Arial Narrow"/>
              </w:rPr>
              <w:t>)</w:t>
            </w:r>
          </w:p>
        </w:tc>
        <w:tc>
          <w:tcPr>
            <w:tcW w:w="476" w:type="pct"/>
            <w:tcBorders>
              <w:top w:val="single" w:sz="4" w:space="0" w:color="auto"/>
              <w:left w:val="single" w:sz="4" w:space="0" w:color="auto"/>
              <w:bottom w:val="single" w:sz="4" w:space="0" w:color="auto"/>
              <w:right w:val="single" w:sz="4" w:space="0" w:color="auto"/>
            </w:tcBorders>
            <w:vAlign w:val="center"/>
          </w:tcPr>
          <w:p w:rsidR="009B7820" w:rsidRPr="003E7E2B" w:rsidRDefault="009B782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91" w:type="pct"/>
            <w:tcBorders>
              <w:top w:val="single" w:sz="4" w:space="0" w:color="auto"/>
              <w:left w:val="single" w:sz="4" w:space="0" w:color="auto"/>
              <w:bottom w:val="single" w:sz="4" w:space="0" w:color="auto"/>
              <w:right w:val="single" w:sz="4" w:space="0" w:color="auto"/>
            </w:tcBorders>
            <w:vAlign w:val="center"/>
          </w:tcPr>
          <w:p w:rsidR="009B7820" w:rsidRPr="003E7E2B" w:rsidRDefault="009B782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29" w:type="pct"/>
            <w:tcBorders>
              <w:top w:val="single" w:sz="4" w:space="0" w:color="auto"/>
              <w:left w:val="single" w:sz="4" w:space="0" w:color="auto"/>
              <w:bottom w:val="single" w:sz="4" w:space="0" w:color="auto"/>
              <w:right w:val="single" w:sz="4" w:space="0" w:color="auto"/>
            </w:tcBorders>
            <w:vAlign w:val="center"/>
          </w:tcPr>
          <w:p w:rsidR="009B7820" w:rsidRPr="003E7E2B" w:rsidRDefault="009B782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9B782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367" w:type="pct"/>
            <w:tcBorders>
              <w:top w:val="single" w:sz="4" w:space="0" w:color="auto"/>
              <w:left w:val="single" w:sz="4" w:space="0" w:color="auto"/>
              <w:bottom w:val="single" w:sz="4" w:space="0" w:color="auto"/>
              <w:right w:val="single" w:sz="4" w:space="0" w:color="auto"/>
            </w:tcBorders>
            <w:vAlign w:val="center"/>
          </w:tcPr>
          <w:p w:rsidR="009B782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313" w:type="pct"/>
            <w:tcBorders>
              <w:top w:val="single" w:sz="4" w:space="0" w:color="auto"/>
              <w:left w:val="single" w:sz="4" w:space="0" w:color="auto"/>
              <w:bottom w:val="single" w:sz="4" w:space="0" w:color="auto"/>
              <w:right w:val="single" w:sz="4" w:space="0" w:color="auto"/>
            </w:tcBorders>
            <w:vAlign w:val="center"/>
          </w:tcPr>
          <w:p w:rsidR="009B782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vAlign w:val="center"/>
          </w:tcPr>
          <w:p w:rsidR="009B7820" w:rsidRPr="003E7E2B" w:rsidRDefault="009B782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r>
      <w:tr w:rsidR="00342780" w:rsidRPr="003E7E2B" w:rsidTr="00B3301C">
        <w:trPr>
          <w:trHeight w:val="20"/>
          <w:tblHeader/>
        </w:trPr>
        <w:tc>
          <w:tcPr>
            <w:tcW w:w="1811" w:type="pct"/>
            <w:tcBorders>
              <w:top w:val="single" w:sz="4" w:space="0" w:color="auto"/>
              <w:left w:val="single" w:sz="4" w:space="0" w:color="auto"/>
              <w:bottom w:val="single" w:sz="4" w:space="0" w:color="auto"/>
              <w:right w:val="single" w:sz="4" w:space="0" w:color="auto"/>
            </w:tcBorders>
            <w:vAlign w:val="center"/>
          </w:tcPr>
          <w:p w:rsidR="00342780" w:rsidRPr="003E7E2B" w:rsidRDefault="009B7820" w:rsidP="00293B5A">
            <w:pPr>
              <w:pStyle w:val="Tabletext"/>
              <w:keepNext/>
              <w:keepLines/>
              <w:spacing w:after="0" w:line="240" w:lineRule="auto"/>
              <w:rPr>
                <w:rFonts w:ascii="Arial Narrow" w:hAnsi="Arial Narrow"/>
              </w:rPr>
            </w:pPr>
            <w:r w:rsidRPr="003E7E2B">
              <w:rPr>
                <w:rFonts w:ascii="Arial Narrow" w:hAnsi="Arial Narrow"/>
              </w:rPr>
              <w:t xml:space="preserve">Step 3: </w:t>
            </w:r>
            <w:r w:rsidR="00342780" w:rsidRPr="003E7E2B">
              <w:rPr>
                <w:rFonts w:ascii="Arial Narrow" w:hAnsi="Arial Narrow"/>
              </w:rPr>
              <w:t>Time horizon</w:t>
            </w:r>
            <w:r w:rsidRPr="003E7E2B">
              <w:rPr>
                <w:rFonts w:ascii="Arial Narrow" w:hAnsi="Arial Narrow"/>
              </w:rPr>
              <w:t xml:space="preserve"> reduced to </w:t>
            </w:r>
            <w:r w:rsidR="00B76982">
              <w:rPr>
                <w:rFonts w:ascii="Arial Narrow" w:hAnsi="Arial Narrow"/>
                <w:noProof/>
                <w:color w:val="000000"/>
                <w:highlight w:val="black"/>
              </w:rPr>
              <w:t>'''''''''</w:t>
            </w:r>
            <w:r w:rsidRPr="003E7E2B">
              <w:rPr>
                <w:rFonts w:ascii="Arial Narrow" w:hAnsi="Arial Narrow"/>
              </w:rPr>
              <w:t xml:space="preserve"> years</w:t>
            </w:r>
          </w:p>
        </w:tc>
        <w:tc>
          <w:tcPr>
            <w:tcW w:w="476" w:type="pct"/>
            <w:tcBorders>
              <w:top w:val="single" w:sz="4" w:space="0" w:color="auto"/>
              <w:left w:val="single" w:sz="4" w:space="0" w:color="auto"/>
              <w:bottom w:val="single" w:sz="4" w:space="0" w:color="auto"/>
              <w:right w:val="single" w:sz="4" w:space="0" w:color="auto"/>
            </w:tcBorders>
            <w:vAlign w:val="center"/>
          </w:tcPr>
          <w:p w:rsidR="00342780" w:rsidRPr="003E7E2B" w:rsidRDefault="001E02B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491" w:type="pct"/>
            <w:tcBorders>
              <w:top w:val="single" w:sz="4" w:space="0" w:color="auto"/>
              <w:left w:val="single" w:sz="4" w:space="0" w:color="auto"/>
              <w:bottom w:val="single" w:sz="4" w:space="0" w:color="auto"/>
              <w:right w:val="single" w:sz="4" w:space="0" w:color="auto"/>
            </w:tcBorders>
            <w:vAlign w:val="center"/>
          </w:tcPr>
          <w:p w:rsidR="00342780" w:rsidRPr="003E7E2B" w:rsidRDefault="001E02B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429" w:type="pct"/>
            <w:tcBorders>
              <w:top w:val="single" w:sz="4" w:space="0" w:color="auto"/>
              <w:left w:val="single" w:sz="4" w:space="0" w:color="auto"/>
              <w:bottom w:val="single" w:sz="4" w:space="0" w:color="auto"/>
              <w:right w:val="single" w:sz="4" w:space="0" w:color="auto"/>
            </w:tcBorders>
            <w:vAlign w:val="center"/>
          </w:tcPr>
          <w:p w:rsidR="00342780" w:rsidRPr="003E7E2B" w:rsidRDefault="001E02B0"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367"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313"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vAlign w:val="center"/>
          </w:tcPr>
          <w:p w:rsidR="00342780" w:rsidRPr="003E7E2B" w:rsidRDefault="00323DAD" w:rsidP="00293B5A">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r>
      <w:tr w:rsidR="00342780" w:rsidRPr="003E7E2B" w:rsidTr="00B3301C">
        <w:trPr>
          <w:trHeight w:val="20"/>
          <w:tblHeader/>
        </w:trPr>
        <w:tc>
          <w:tcPr>
            <w:tcW w:w="1811" w:type="pct"/>
            <w:tcBorders>
              <w:top w:val="single" w:sz="4" w:space="0" w:color="auto"/>
              <w:left w:val="single" w:sz="4" w:space="0" w:color="auto"/>
              <w:bottom w:val="single" w:sz="4" w:space="0" w:color="auto"/>
              <w:right w:val="single" w:sz="4" w:space="0" w:color="auto"/>
            </w:tcBorders>
            <w:vAlign w:val="center"/>
          </w:tcPr>
          <w:p w:rsidR="00FA40C5" w:rsidRPr="003E7E2B" w:rsidRDefault="00FA40C5" w:rsidP="00B3301C">
            <w:pPr>
              <w:pStyle w:val="Tabletext"/>
              <w:keepNext/>
              <w:keepLines/>
              <w:spacing w:after="0" w:line="240" w:lineRule="auto"/>
              <w:rPr>
                <w:rFonts w:ascii="Arial Narrow" w:hAnsi="Arial Narrow"/>
                <w:b/>
              </w:rPr>
            </w:pPr>
            <w:r w:rsidRPr="003E7E2B">
              <w:rPr>
                <w:rFonts w:ascii="Arial Narrow" w:hAnsi="Arial Narrow"/>
              </w:rPr>
              <w:t xml:space="preserve">Step 4: </w:t>
            </w:r>
            <w:r w:rsidR="00F16161" w:rsidRPr="003E7E2B">
              <w:rPr>
                <w:rFonts w:ascii="Arial Narrow" w:hAnsi="Arial Narrow"/>
              </w:rPr>
              <w:t>Drug cost for NIVO and IPI reduced</w:t>
            </w:r>
          </w:p>
        </w:tc>
        <w:tc>
          <w:tcPr>
            <w:tcW w:w="476" w:type="pct"/>
            <w:tcBorders>
              <w:top w:val="single" w:sz="4" w:space="0" w:color="auto"/>
              <w:left w:val="single" w:sz="4" w:space="0" w:color="auto"/>
              <w:bottom w:val="single" w:sz="4" w:space="0" w:color="auto"/>
              <w:right w:val="single" w:sz="4" w:space="0" w:color="auto"/>
            </w:tcBorders>
            <w:vAlign w:val="center"/>
          </w:tcPr>
          <w:p w:rsidR="00342780" w:rsidRPr="003E7E2B" w:rsidRDefault="0034278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91" w:type="pct"/>
            <w:tcBorders>
              <w:top w:val="single" w:sz="4" w:space="0" w:color="auto"/>
              <w:left w:val="single" w:sz="4" w:space="0" w:color="auto"/>
              <w:bottom w:val="single" w:sz="4" w:space="0" w:color="auto"/>
              <w:right w:val="single" w:sz="4" w:space="0" w:color="auto"/>
            </w:tcBorders>
            <w:vAlign w:val="center"/>
          </w:tcPr>
          <w:p w:rsidR="00342780" w:rsidRPr="003E7E2B" w:rsidRDefault="0034278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29" w:type="pct"/>
            <w:tcBorders>
              <w:top w:val="single" w:sz="4" w:space="0" w:color="auto"/>
              <w:left w:val="single" w:sz="4" w:space="0" w:color="auto"/>
              <w:bottom w:val="single" w:sz="4" w:space="0" w:color="auto"/>
              <w:right w:val="single" w:sz="4" w:space="0" w:color="auto"/>
            </w:tcBorders>
            <w:vAlign w:val="center"/>
          </w:tcPr>
          <w:p w:rsidR="00342780" w:rsidRPr="003E7E2B" w:rsidRDefault="00342780" w:rsidP="00293B5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99"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367"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313" w:type="pct"/>
            <w:tcBorders>
              <w:top w:val="single" w:sz="4" w:space="0" w:color="auto"/>
              <w:left w:val="single" w:sz="4" w:space="0" w:color="auto"/>
              <w:bottom w:val="single" w:sz="4" w:space="0" w:color="auto"/>
              <w:right w:val="single" w:sz="4" w:space="0" w:color="auto"/>
            </w:tcBorders>
            <w:vAlign w:val="center"/>
          </w:tcPr>
          <w:p w:rsidR="00342780" w:rsidRPr="00B76982" w:rsidRDefault="00B76982" w:rsidP="00293B5A">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614" w:type="pct"/>
            <w:tcBorders>
              <w:top w:val="single" w:sz="4" w:space="0" w:color="auto"/>
              <w:left w:val="single" w:sz="4" w:space="0" w:color="auto"/>
              <w:bottom w:val="single" w:sz="4" w:space="0" w:color="auto"/>
              <w:right w:val="single" w:sz="4" w:space="0" w:color="auto"/>
            </w:tcBorders>
            <w:vAlign w:val="center"/>
          </w:tcPr>
          <w:p w:rsidR="00342780" w:rsidRPr="003E7E2B" w:rsidRDefault="00342780" w:rsidP="00293B5A">
            <w:pPr>
              <w:keepNext/>
              <w:keepLines/>
              <w:spacing w:line="240" w:lineRule="auto"/>
              <w:jc w:val="center"/>
              <w:rPr>
                <w:rFonts w:ascii="Arial Narrow" w:hAnsi="Arial Narrow" w:cstheme="minorHAnsi"/>
                <w:bCs/>
                <w:sz w:val="20"/>
                <w:szCs w:val="20"/>
                <w:vertAlign w:val="superscript"/>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r w:rsidR="00B3301C" w:rsidRPr="003E7E2B">
              <w:rPr>
                <w:rFonts w:ascii="Arial Narrow" w:hAnsi="Arial Narrow" w:cstheme="minorHAnsi"/>
                <w:bCs/>
                <w:sz w:val="20"/>
                <w:szCs w:val="20"/>
              </w:rPr>
              <w:t xml:space="preserve"> </w:t>
            </w:r>
            <w:r w:rsidR="00B3301C" w:rsidRPr="003E7E2B">
              <w:rPr>
                <w:rFonts w:ascii="Arial Narrow" w:hAnsi="Arial Narrow" w:cstheme="minorHAnsi"/>
                <w:bCs/>
                <w:sz w:val="20"/>
                <w:szCs w:val="20"/>
                <w:vertAlign w:val="superscript"/>
              </w:rPr>
              <w:t>b</w:t>
            </w:r>
          </w:p>
        </w:tc>
      </w:tr>
    </w:tbl>
    <w:p w:rsidR="00FA40C5" w:rsidRPr="00AF0145" w:rsidRDefault="00FA40C5" w:rsidP="00293B5A">
      <w:pPr>
        <w:pStyle w:val="TableFooter"/>
        <w:keepNext/>
        <w:keepLines/>
        <w:rPr>
          <w:rStyle w:val="CommentReference"/>
          <w:sz w:val="18"/>
          <w:szCs w:val="18"/>
        </w:rPr>
      </w:pPr>
      <w:r w:rsidRPr="003E7E2B">
        <w:rPr>
          <w:rStyle w:val="CommentReference"/>
          <w:sz w:val="18"/>
          <w:szCs w:val="18"/>
        </w:rPr>
        <w:t>Source: Table 12, PBAC Minutes July 2018; Table 5, p 7 Minor Resubmission; “App_CEA_NIVO+IPI_RCC_Aug18.xlsx” spreadsheet.</w:t>
      </w:r>
    </w:p>
    <w:p w:rsidR="00342780" w:rsidRPr="003E7E2B" w:rsidRDefault="00342780" w:rsidP="00293B5A">
      <w:pPr>
        <w:pStyle w:val="TableFooter"/>
        <w:keepNext/>
        <w:keepLines/>
        <w:rPr>
          <w:rStyle w:val="CommentReference"/>
          <w:sz w:val="18"/>
          <w:szCs w:val="18"/>
        </w:rPr>
      </w:pPr>
      <w:r w:rsidRPr="00AF0145">
        <w:rPr>
          <w:szCs w:val="18"/>
        </w:rPr>
        <w:t xml:space="preserve">IPI = ipilimumab; NIVO = nivolumab; OS = overall survival; PFS = progression free survival; QALY = quality-adjusted life year; SUNI = sunitinib. </w:t>
      </w:r>
    </w:p>
    <w:p w:rsidR="00342780" w:rsidRPr="003E7E2B" w:rsidRDefault="00342780" w:rsidP="00293B5A">
      <w:pPr>
        <w:pStyle w:val="TableFooter"/>
        <w:keepNext/>
        <w:keepLines/>
        <w:rPr>
          <w:rStyle w:val="CommentReference"/>
          <w:sz w:val="18"/>
          <w:szCs w:val="18"/>
        </w:rPr>
      </w:pPr>
      <w:proofErr w:type="gramStart"/>
      <w:r w:rsidRPr="003E7E2B">
        <w:rPr>
          <w:rStyle w:val="CommentReference"/>
          <w:sz w:val="18"/>
          <w:szCs w:val="18"/>
          <w:vertAlign w:val="superscript"/>
        </w:rPr>
        <w:t>a</w:t>
      </w:r>
      <w:proofErr w:type="gramEnd"/>
      <w:r w:rsidRPr="003E7E2B">
        <w:rPr>
          <w:rStyle w:val="CommentReference"/>
          <w:sz w:val="18"/>
          <w:szCs w:val="18"/>
        </w:rPr>
        <w:t xml:space="preserve"> Convergence of OS, PFS </w:t>
      </w:r>
      <w:r w:rsidR="00293B5A" w:rsidRPr="003E7E2B">
        <w:rPr>
          <w:rStyle w:val="CommentReference"/>
          <w:sz w:val="18"/>
          <w:szCs w:val="18"/>
        </w:rPr>
        <w:t xml:space="preserve">began at </w:t>
      </w:r>
      <w:r w:rsidR="00B76982">
        <w:rPr>
          <w:rStyle w:val="CommentReference"/>
          <w:noProof/>
          <w:color w:val="000000"/>
          <w:sz w:val="18"/>
          <w:szCs w:val="18"/>
          <w:highlight w:val="black"/>
        </w:rPr>
        <w:t xml:space="preserve">''''''' </w:t>
      </w:r>
      <w:r w:rsidR="00F16161" w:rsidRPr="003E7E2B">
        <w:rPr>
          <w:rStyle w:val="CommentReference"/>
          <w:sz w:val="18"/>
          <w:szCs w:val="18"/>
        </w:rPr>
        <w:t>months</w:t>
      </w:r>
      <w:r w:rsidR="00293B5A" w:rsidRPr="003E7E2B">
        <w:rPr>
          <w:rStyle w:val="CommentReference"/>
          <w:sz w:val="18"/>
          <w:szCs w:val="18"/>
        </w:rPr>
        <w:t xml:space="preserve">, rather than </w:t>
      </w:r>
      <w:r w:rsidR="00B76982">
        <w:rPr>
          <w:rStyle w:val="CommentReference"/>
          <w:noProof/>
          <w:color w:val="000000"/>
          <w:sz w:val="18"/>
          <w:szCs w:val="18"/>
          <w:highlight w:val="black"/>
        </w:rPr>
        <w:t>''''''</w:t>
      </w:r>
      <w:r w:rsidR="00293B5A" w:rsidRPr="003E7E2B">
        <w:rPr>
          <w:rStyle w:val="CommentReference"/>
          <w:sz w:val="18"/>
          <w:szCs w:val="18"/>
        </w:rPr>
        <w:t xml:space="preserve"> </w:t>
      </w:r>
      <w:r w:rsidR="00F16161" w:rsidRPr="003E7E2B">
        <w:rPr>
          <w:rStyle w:val="CommentReference"/>
          <w:sz w:val="18"/>
          <w:szCs w:val="18"/>
        </w:rPr>
        <w:t>months</w:t>
      </w:r>
      <w:r w:rsidR="00293B5A" w:rsidRPr="003E7E2B">
        <w:rPr>
          <w:rStyle w:val="CommentReference"/>
          <w:sz w:val="18"/>
          <w:szCs w:val="18"/>
        </w:rPr>
        <w:t xml:space="preserve">. Convergence of Duration of Therapy began at </w:t>
      </w:r>
      <w:r w:rsidR="00B76982">
        <w:rPr>
          <w:rStyle w:val="CommentReference"/>
          <w:noProof/>
          <w:color w:val="000000"/>
          <w:sz w:val="18"/>
          <w:szCs w:val="18"/>
          <w:highlight w:val="black"/>
        </w:rPr>
        <w:t>'''''''</w:t>
      </w:r>
      <w:r w:rsidR="00293B5A" w:rsidRPr="003E7E2B">
        <w:rPr>
          <w:rStyle w:val="CommentReference"/>
          <w:sz w:val="18"/>
          <w:szCs w:val="18"/>
        </w:rPr>
        <w:t xml:space="preserve"> months</w:t>
      </w:r>
      <w:r w:rsidR="006954E9" w:rsidRPr="003E7E2B">
        <w:rPr>
          <w:rStyle w:val="CommentReference"/>
          <w:sz w:val="18"/>
          <w:szCs w:val="18"/>
        </w:rPr>
        <w:t xml:space="preserve">, rather than </w:t>
      </w:r>
      <w:r w:rsidR="00B76982">
        <w:rPr>
          <w:rStyle w:val="CommentReference"/>
          <w:noProof/>
          <w:color w:val="000000"/>
          <w:sz w:val="18"/>
          <w:szCs w:val="18"/>
          <w:highlight w:val="black"/>
        </w:rPr>
        <w:t xml:space="preserve">'''''' </w:t>
      </w:r>
      <w:r w:rsidR="006954E9" w:rsidRPr="003E7E2B">
        <w:rPr>
          <w:rStyle w:val="CommentReference"/>
          <w:sz w:val="18"/>
          <w:szCs w:val="18"/>
        </w:rPr>
        <w:t>months.</w:t>
      </w:r>
    </w:p>
    <w:p w:rsidR="00B3301C" w:rsidRPr="003E7E2B" w:rsidRDefault="00B3301C" w:rsidP="00B3301C">
      <w:pPr>
        <w:pStyle w:val="TableFooter"/>
        <w:keepNext/>
        <w:keepLines/>
        <w:rPr>
          <w:szCs w:val="18"/>
        </w:rPr>
      </w:pPr>
      <w:r w:rsidRPr="003E7E2B">
        <w:rPr>
          <w:rStyle w:val="CommentReference"/>
          <w:sz w:val="18"/>
          <w:szCs w:val="18"/>
          <w:vertAlign w:val="superscript"/>
        </w:rPr>
        <w:t xml:space="preserve"> </w:t>
      </w:r>
      <w:proofErr w:type="gramStart"/>
      <w:r w:rsidRPr="003E7E2B">
        <w:rPr>
          <w:rFonts w:cstheme="minorBidi"/>
          <w:szCs w:val="18"/>
          <w:vertAlign w:val="superscript"/>
        </w:rPr>
        <w:t>b</w:t>
      </w:r>
      <w:proofErr w:type="gramEnd"/>
      <w:r w:rsidRPr="003E7E2B">
        <w:rPr>
          <w:rFonts w:cstheme="minorBidi"/>
          <w:szCs w:val="18"/>
        </w:rPr>
        <w:t xml:space="preserve"> Note that the ICER is </w:t>
      </w:r>
      <w:r w:rsidR="00725FD1">
        <w:rPr>
          <w:rFonts w:cstheme="minorBidi"/>
          <w:szCs w:val="18"/>
        </w:rPr>
        <w:t>$45,000/QALY – $75,000/QALY</w:t>
      </w:r>
      <w:r w:rsidRPr="003E7E2B">
        <w:rPr>
          <w:rFonts w:cstheme="minorBidi"/>
          <w:szCs w:val="18"/>
        </w:rPr>
        <w:t xml:space="preserve"> in the scenario in which the restrictions are not amended, which was </w:t>
      </w:r>
      <w:r w:rsidR="00442A6D" w:rsidRPr="003E7E2B">
        <w:rPr>
          <w:rFonts w:cstheme="minorBidi"/>
          <w:szCs w:val="18"/>
        </w:rPr>
        <w:t xml:space="preserve">also </w:t>
      </w:r>
      <w:r w:rsidRPr="003E7E2B">
        <w:rPr>
          <w:rFonts w:cstheme="minorBidi"/>
          <w:szCs w:val="18"/>
        </w:rPr>
        <w:t xml:space="preserve">presented as </w:t>
      </w:r>
      <w:r w:rsidR="00442A6D" w:rsidRPr="003E7E2B">
        <w:rPr>
          <w:rFonts w:cstheme="minorBidi"/>
          <w:szCs w:val="18"/>
        </w:rPr>
        <w:t xml:space="preserve">part of </w:t>
      </w:r>
      <w:r w:rsidRPr="003E7E2B">
        <w:rPr>
          <w:rFonts w:cstheme="minorBidi"/>
          <w:szCs w:val="18"/>
        </w:rPr>
        <w:t>the base case in the resubmission</w:t>
      </w:r>
    </w:p>
    <w:p w:rsidR="006B7584" w:rsidRDefault="006B7584" w:rsidP="001E1CFA">
      <w:pPr>
        <w:pStyle w:val="TableFooter"/>
        <w:rPr>
          <w:rStyle w:val="CommentReference"/>
        </w:rPr>
      </w:pPr>
    </w:p>
    <w:p w:rsidR="00BD67F2" w:rsidRPr="0073573D" w:rsidRDefault="00A7412D" w:rsidP="001E1CFA">
      <w:pPr>
        <w:pStyle w:val="TableFooter"/>
        <w:rPr>
          <w:rStyle w:val="CommentReference"/>
          <w:rFonts w:asciiTheme="minorHAnsi" w:hAnsiTheme="minorHAnsi" w:cstheme="minorHAnsi"/>
          <w:i/>
          <w:sz w:val="24"/>
          <w:szCs w:val="24"/>
        </w:rPr>
      </w:pPr>
      <w:r>
        <w:rPr>
          <w:rStyle w:val="CommentReference"/>
          <w:rFonts w:asciiTheme="minorHAnsi" w:hAnsiTheme="minorHAnsi" w:cstheme="minorHAnsi"/>
          <w:i/>
          <w:sz w:val="24"/>
          <w:szCs w:val="24"/>
        </w:rPr>
        <w:t xml:space="preserve">The redacted table shows ICERs in the range of $45,000/QALY – $75,000/QALY </w:t>
      </w:r>
      <w:r w:rsidR="00D80D9D">
        <w:rPr>
          <w:rStyle w:val="CommentReference"/>
          <w:rFonts w:asciiTheme="minorHAnsi" w:hAnsiTheme="minorHAnsi" w:cstheme="minorHAnsi"/>
          <w:i/>
          <w:sz w:val="24"/>
          <w:szCs w:val="24"/>
        </w:rPr>
        <w:t>to $105,000/QALY – $200,000/QALY.</w:t>
      </w:r>
    </w:p>
    <w:p w:rsidR="00BD67F2" w:rsidRPr="003E7E2B" w:rsidRDefault="00BD67F2" w:rsidP="001E1CFA">
      <w:pPr>
        <w:pStyle w:val="TableFooter"/>
        <w:rPr>
          <w:rStyle w:val="CommentReference"/>
        </w:rPr>
      </w:pPr>
    </w:p>
    <w:p w:rsidR="00D97C32" w:rsidRPr="003E7E2B" w:rsidRDefault="00442A6D" w:rsidP="00442A6D">
      <w:pPr>
        <w:pStyle w:val="ListParagraph"/>
        <w:widowControl/>
        <w:numPr>
          <w:ilvl w:val="1"/>
          <w:numId w:val="14"/>
        </w:numPr>
        <w:spacing w:after="160"/>
        <w:contextualSpacing w:val="0"/>
        <w:rPr>
          <w:rFonts w:asciiTheme="minorHAnsi" w:hAnsiTheme="minorHAnsi"/>
          <w:sz w:val="24"/>
          <w:szCs w:val="24"/>
        </w:rPr>
      </w:pPr>
      <w:r w:rsidRPr="003E7E2B">
        <w:rPr>
          <w:rFonts w:asciiTheme="minorHAnsi" w:hAnsiTheme="minorHAnsi"/>
          <w:sz w:val="24"/>
          <w:szCs w:val="24"/>
        </w:rPr>
        <w:t xml:space="preserve">The resubmission estimated an ICER of </w:t>
      </w:r>
      <w:r w:rsidR="00041675">
        <w:rPr>
          <w:rFonts w:asciiTheme="minorHAnsi" w:hAnsiTheme="minorHAnsi"/>
          <w:sz w:val="24"/>
          <w:szCs w:val="24"/>
        </w:rPr>
        <w:t>$45,000/QALY – $75,000/QALY</w:t>
      </w:r>
      <w:r w:rsidRPr="003E7E2B">
        <w:rPr>
          <w:rFonts w:asciiTheme="minorHAnsi" w:hAnsiTheme="minorHAnsi"/>
          <w:sz w:val="24"/>
          <w:szCs w:val="24"/>
        </w:rPr>
        <w:t xml:space="preserve"> if the restrictions for drugs that are currently listed in the se</w:t>
      </w:r>
      <w:r w:rsidR="00837CA8" w:rsidRPr="003E7E2B">
        <w:rPr>
          <w:rFonts w:asciiTheme="minorHAnsi" w:hAnsiTheme="minorHAnsi"/>
          <w:sz w:val="24"/>
          <w:szCs w:val="24"/>
        </w:rPr>
        <w:t xml:space="preserve">cond- and later- line settings </w:t>
      </w:r>
      <w:r w:rsidRPr="003E7E2B">
        <w:rPr>
          <w:rFonts w:asciiTheme="minorHAnsi" w:hAnsiTheme="minorHAnsi"/>
          <w:sz w:val="24"/>
          <w:szCs w:val="24"/>
        </w:rPr>
        <w:t xml:space="preserve">are changed. The resubmission presented an alternative scenario wherein the restriction for current second-line therapies remains unchanged (which would significantly limit the use of </w:t>
      </w:r>
      <w:proofErr w:type="spellStart"/>
      <w:r w:rsidRPr="003E7E2B">
        <w:rPr>
          <w:rFonts w:asciiTheme="minorHAnsi" w:hAnsiTheme="minorHAnsi"/>
          <w:sz w:val="24"/>
          <w:szCs w:val="24"/>
        </w:rPr>
        <w:t>axitinib</w:t>
      </w:r>
      <w:proofErr w:type="spellEnd"/>
      <w:r w:rsidRPr="003E7E2B">
        <w:rPr>
          <w:rFonts w:asciiTheme="minorHAnsi" w:hAnsiTheme="minorHAnsi"/>
          <w:sz w:val="24"/>
          <w:szCs w:val="24"/>
        </w:rPr>
        <w:t xml:space="preserve">, </w:t>
      </w:r>
      <w:proofErr w:type="spellStart"/>
      <w:r w:rsidRPr="003E7E2B">
        <w:rPr>
          <w:rFonts w:asciiTheme="minorHAnsi" w:hAnsiTheme="minorHAnsi"/>
          <w:sz w:val="24"/>
          <w:szCs w:val="24"/>
        </w:rPr>
        <w:t>cabozantinib</w:t>
      </w:r>
      <w:proofErr w:type="spellEnd"/>
      <w:r w:rsidRPr="003E7E2B">
        <w:rPr>
          <w:rFonts w:asciiTheme="minorHAnsi" w:hAnsiTheme="minorHAnsi"/>
          <w:sz w:val="24"/>
          <w:szCs w:val="24"/>
        </w:rPr>
        <w:t xml:space="preserve">, sorafenib, everolimus), which resulted in an ICER of </w:t>
      </w:r>
      <w:r w:rsidR="00324D40">
        <w:rPr>
          <w:rFonts w:asciiTheme="minorHAnsi" w:hAnsiTheme="minorHAnsi"/>
          <w:sz w:val="24"/>
          <w:szCs w:val="24"/>
        </w:rPr>
        <w:t>$45,000/QALY – $75,000/QALY</w:t>
      </w:r>
      <w:r w:rsidR="00845EDE">
        <w:rPr>
          <w:rFonts w:asciiTheme="minorHAnsi" w:hAnsiTheme="minorHAnsi"/>
          <w:sz w:val="24"/>
          <w:szCs w:val="24"/>
        </w:rPr>
        <w:t>.</w:t>
      </w:r>
    </w:p>
    <w:p w:rsidR="00442A6D" w:rsidRPr="003E7E2B" w:rsidRDefault="00442A6D" w:rsidP="00EC213D">
      <w:pPr>
        <w:pStyle w:val="ListParagraph"/>
        <w:widowControl/>
        <w:numPr>
          <w:ilvl w:val="1"/>
          <w:numId w:val="14"/>
        </w:numPr>
        <w:spacing w:after="160"/>
        <w:contextualSpacing w:val="0"/>
        <w:rPr>
          <w:rFonts w:asciiTheme="minorHAnsi" w:hAnsiTheme="minorHAnsi"/>
          <w:sz w:val="24"/>
          <w:szCs w:val="24"/>
        </w:rPr>
      </w:pPr>
      <w:r w:rsidRPr="003E7E2B">
        <w:rPr>
          <w:rFonts w:asciiTheme="minorHAnsi" w:hAnsiTheme="minorHAnsi"/>
          <w:sz w:val="24"/>
          <w:szCs w:val="24"/>
        </w:rPr>
        <w:t>The resubmission stated that these ICERs were below the “indicative thresholds most recently considered by the PBAC for RCC (</w:t>
      </w:r>
      <w:r w:rsidRPr="00964C3A">
        <w:rPr>
          <w:rFonts w:asciiTheme="minorHAnsi" w:hAnsiTheme="minorHAnsi"/>
          <w:sz w:val="24"/>
          <w:szCs w:val="24"/>
        </w:rPr>
        <w:t>2L: $</w:t>
      </w:r>
      <w:r w:rsidR="00B76982">
        <w:rPr>
          <w:rFonts w:asciiTheme="minorHAnsi" w:hAnsiTheme="minorHAnsi"/>
          <w:noProof/>
          <w:color w:val="000000"/>
          <w:sz w:val="24"/>
          <w:szCs w:val="24"/>
          <w:highlight w:val="black"/>
        </w:rPr>
        <w:t>''''''''''''''</w:t>
      </w:r>
      <w:r w:rsidRPr="00964C3A">
        <w:rPr>
          <w:rFonts w:asciiTheme="minorHAnsi" w:hAnsiTheme="minorHAnsi"/>
          <w:sz w:val="24"/>
          <w:szCs w:val="24"/>
        </w:rPr>
        <w:t xml:space="preserve">; 1L: </w:t>
      </w:r>
      <w:r w:rsidR="00B76982">
        <w:rPr>
          <w:rFonts w:asciiTheme="minorHAnsi" w:hAnsiTheme="minorHAnsi"/>
          <w:noProof/>
          <w:color w:val="000000"/>
          <w:sz w:val="24"/>
          <w:szCs w:val="24"/>
          <w:highlight w:val="black"/>
        </w:rPr>
        <w:t>''''''''''''''</w:t>
      </w:r>
      <w:r w:rsidRPr="00964C3A">
        <w:rPr>
          <w:rFonts w:asciiTheme="minorHAnsi" w:hAnsiTheme="minorHAnsi"/>
          <w:sz w:val="24"/>
          <w:szCs w:val="24"/>
        </w:rPr>
        <w:t xml:space="preserve">)”. </w:t>
      </w:r>
      <w:r w:rsidR="00D97C32" w:rsidRPr="00964C3A">
        <w:rPr>
          <w:rFonts w:asciiTheme="minorHAnsi" w:hAnsiTheme="minorHAnsi"/>
          <w:sz w:val="24"/>
          <w:szCs w:val="24"/>
        </w:rPr>
        <w:t xml:space="preserve">However, it is noted that </w:t>
      </w:r>
      <w:r w:rsidR="00EC213D" w:rsidRPr="00964C3A">
        <w:rPr>
          <w:rFonts w:asciiTheme="minorHAnsi" w:hAnsiTheme="minorHAnsi"/>
          <w:sz w:val="24"/>
          <w:szCs w:val="24"/>
        </w:rPr>
        <w:t xml:space="preserve">the ICER for </w:t>
      </w:r>
      <w:r w:rsidR="00837CA8" w:rsidRPr="00964C3A">
        <w:rPr>
          <w:rFonts w:asciiTheme="minorHAnsi" w:hAnsiTheme="minorHAnsi"/>
          <w:sz w:val="24"/>
          <w:szCs w:val="24"/>
        </w:rPr>
        <w:t>second-line</w:t>
      </w:r>
      <w:r w:rsidR="00EC213D" w:rsidRPr="00964C3A">
        <w:rPr>
          <w:rFonts w:asciiTheme="minorHAnsi" w:hAnsiTheme="minorHAnsi"/>
          <w:sz w:val="24"/>
          <w:szCs w:val="24"/>
        </w:rPr>
        <w:t xml:space="preserve"> treatment reflects a reduced</w:t>
      </w:r>
      <w:r w:rsidR="00EC213D" w:rsidRPr="003E7E2B">
        <w:rPr>
          <w:rFonts w:asciiTheme="minorHAnsi" w:hAnsiTheme="minorHAnsi"/>
          <w:sz w:val="24"/>
          <w:szCs w:val="24"/>
        </w:rPr>
        <w:t xml:space="preserve"> cost per patient and </w:t>
      </w:r>
      <w:r w:rsidR="002B7842" w:rsidRPr="003E7E2B">
        <w:rPr>
          <w:rFonts w:asciiTheme="minorHAnsi" w:hAnsiTheme="minorHAnsi"/>
          <w:sz w:val="24"/>
          <w:szCs w:val="24"/>
        </w:rPr>
        <w:t>different level of</w:t>
      </w:r>
      <w:r w:rsidR="00EC213D" w:rsidRPr="003E7E2B">
        <w:rPr>
          <w:rFonts w:asciiTheme="minorHAnsi" w:hAnsiTheme="minorHAnsi"/>
          <w:sz w:val="24"/>
          <w:szCs w:val="24"/>
        </w:rPr>
        <w:t xml:space="preserve"> incremental benefit. </w:t>
      </w:r>
      <w:r w:rsidR="002B7842" w:rsidRPr="003E7E2B">
        <w:rPr>
          <w:rFonts w:asciiTheme="minorHAnsi" w:hAnsiTheme="minorHAnsi"/>
          <w:sz w:val="24"/>
          <w:szCs w:val="24"/>
        </w:rPr>
        <w:t xml:space="preserve">A comparison of the </w:t>
      </w:r>
      <w:r w:rsidR="00EC213D" w:rsidRPr="003E7E2B">
        <w:rPr>
          <w:rFonts w:asciiTheme="minorHAnsi" w:hAnsiTheme="minorHAnsi"/>
          <w:sz w:val="24"/>
          <w:szCs w:val="24"/>
        </w:rPr>
        <w:t>requested</w:t>
      </w:r>
      <w:r w:rsidR="00053E56" w:rsidRPr="003E7E2B">
        <w:rPr>
          <w:rFonts w:asciiTheme="minorHAnsi" w:hAnsiTheme="minorHAnsi"/>
          <w:sz w:val="24"/>
          <w:szCs w:val="24"/>
        </w:rPr>
        <w:t>/accepted</w:t>
      </w:r>
      <w:r w:rsidR="00EC213D" w:rsidRPr="003E7E2B">
        <w:rPr>
          <w:rFonts w:asciiTheme="minorHAnsi" w:hAnsiTheme="minorHAnsi"/>
          <w:sz w:val="24"/>
          <w:szCs w:val="24"/>
        </w:rPr>
        <w:t xml:space="preserve"> price per dose </w:t>
      </w:r>
      <w:r w:rsidR="00053E56" w:rsidRPr="003E7E2B">
        <w:rPr>
          <w:rFonts w:asciiTheme="minorHAnsi" w:hAnsiTheme="minorHAnsi"/>
          <w:sz w:val="24"/>
          <w:szCs w:val="24"/>
        </w:rPr>
        <w:t xml:space="preserve">in the two settings </w:t>
      </w:r>
      <w:r w:rsidR="00EC213D" w:rsidRPr="003E7E2B">
        <w:rPr>
          <w:rFonts w:asciiTheme="minorHAnsi" w:hAnsiTheme="minorHAnsi"/>
          <w:sz w:val="24"/>
          <w:szCs w:val="24"/>
        </w:rPr>
        <w:t>i</w:t>
      </w:r>
      <w:r w:rsidR="00845EDE">
        <w:rPr>
          <w:rFonts w:asciiTheme="minorHAnsi" w:hAnsiTheme="minorHAnsi"/>
          <w:sz w:val="24"/>
          <w:szCs w:val="24"/>
        </w:rPr>
        <w:t>s presented in the table below.</w:t>
      </w:r>
    </w:p>
    <w:p w:rsidR="00EC213D" w:rsidRPr="00AF0145" w:rsidRDefault="00EC213D" w:rsidP="00EC213D">
      <w:pPr>
        <w:pStyle w:val="PBACHeading1"/>
        <w:keepNext/>
        <w:keepLines/>
        <w:ind w:left="0" w:firstLine="0"/>
        <w:outlineLvl w:val="9"/>
        <w:rPr>
          <w:rStyle w:val="CommentReference"/>
          <w:rFonts w:ascii="Arial Narrow" w:hAnsi="Arial Narrow"/>
          <w:sz w:val="20"/>
          <w:szCs w:val="20"/>
        </w:rPr>
      </w:pPr>
      <w:r w:rsidRPr="003E7E2B">
        <w:rPr>
          <w:rStyle w:val="CommentReference"/>
          <w:rFonts w:ascii="Arial Narrow" w:hAnsi="Arial Narrow"/>
          <w:sz w:val="20"/>
          <w:szCs w:val="20"/>
        </w:rPr>
        <w:lastRenderedPageBreak/>
        <w:t>Table 5: Comparison of price in the first- versus second (and later) line RCC setting for nivolumab</w:t>
      </w:r>
    </w:p>
    <w:tbl>
      <w:tblPr>
        <w:tblStyle w:val="TableGridbeth5"/>
        <w:tblW w:w="5000" w:type="pct"/>
        <w:tblInd w:w="0" w:type="dxa"/>
        <w:tblLayout w:type="fixed"/>
        <w:tblCellMar>
          <w:left w:w="28" w:type="dxa"/>
          <w:right w:w="28" w:type="dxa"/>
        </w:tblCellMar>
        <w:tblLook w:val="04A0" w:firstRow="1" w:lastRow="0" w:firstColumn="1" w:lastColumn="0" w:noHBand="0" w:noVBand="1"/>
        <w:tblCaption w:val="Comparison of price in the first- versus second (and later) line RCC setting for nivolumab"/>
      </w:tblPr>
      <w:tblGrid>
        <w:gridCol w:w="1874"/>
        <w:gridCol w:w="850"/>
        <w:gridCol w:w="850"/>
        <w:gridCol w:w="1275"/>
        <w:gridCol w:w="990"/>
        <w:gridCol w:w="1419"/>
        <w:gridCol w:w="1824"/>
      </w:tblGrid>
      <w:tr w:rsidR="002B7842" w:rsidRPr="003E7E2B" w:rsidTr="001642E7">
        <w:trPr>
          <w:trHeight w:val="20"/>
          <w:tblHeader/>
        </w:trPr>
        <w:tc>
          <w:tcPr>
            <w:tcW w:w="1032" w:type="pct"/>
            <w:vMerge w:val="restart"/>
            <w:tcBorders>
              <w:top w:val="single" w:sz="4" w:space="0" w:color="auto"/>
              <w:left w:val="single" w:sz="4" w:space="0" w:color="auto"/>
              <w:right w:val="single" w:sz="4" w:space="0" w:color="auto"/>
            </w:tcBorders>
            <w:vAlign w:val="center"/>
          </w:tcPr>
          <w:p w:rsidR="002B7842" w:rsidRPr="003E7E2B" w:rsidRDefault="002B7842" w:rsidP="00EC213D">
            <w:pPr>
              <w:pStyle w:val="Tabletext"/>
              <w:keepNext/>
              <w:keepLines/>
              <w:spacing w:after="0"/>
              <w:rPr>
                <w:rFonts w:ascii="Arial Narrow" w:hAnsi="Arial Narrow"/>
              </w:rPr>
            </w:pPr>
          </w:p>
        </w:tc>
        <w:tc>
          <w:tcPr>
            <w:tcW w:w="936" w:type="pct"/>
            <w:gridSpan w:val="2"/>
            <w:tcBorders>
              <w:top w:val="single" w:sz="4" w:space="0" w:color="auto"/>
              <w:left w:val="single" w:sz="4" w:space="0" w:color="auto"/>
              <w:bottom w:val="single" w:sz="4" w:space="0" w:color="auto"/>
              <w:right w:val="single" w:sz="4" w:space="0" w:color="auto"/>
            </w:tcBorders>
            <w:vAlign w:val="center"/>
          </w:tcPr>
          <w:p w:rsidR="002B7842" w:rsidRPr="003E7E2B" w:rsidRDefault="002B7842" w:rsidP="001642E7">
            <w:pPr>
              <w:pStyle w:val="Tabletext"/>
              <w:keepNext/>
              <w:keepLines/>
              <w:spacing w:after="0"/>
              <w:jc w:val="center"/>
              <w:rPr>
                <w:rFonts w:ascii="Arial Narrow" w:hAnsi="Arial Narrow"/>
              </w:rPr>
            </w:pPr>
            <w:r w:rsidRPr="003E7E2B">
              <w:rPr>
                <w:rFonts w:ascii="Arial Narrow" w:hAnsi="Arial Narrow"/>
              </w:rPr>
              <w:t>Effective AEMP</w:t>
            </w:r>
          </w:p>
        </w:tc>
        <w:tc>
          <w:tcPr>
            <w:tcW w:w="702" w:type="pct"/>
            <w:vMerge w:val="restart"/>
            <w:tcBorders>
              <w:top w:val="single" w:sz="4" w:space="0" w:color="auto"/>
              <w:left w:val="single" w:sz="4" w:space="0" w:color="auto"/>
              <w:right w:val="single" w:sz="4" w:space="0" w:color="auto"/>
            </w:tcBorders>
            <w:vAlign w:val="center"/>
          </w:tcPr>
          <w:p w:rsidR="002B7842" w:rsidRPr="003E7E2B" w:rsidRDefault="002B7842" w:rsidP="00EC213D">
            <w:pPr>
              <w:pStyle w:val="Tabletext"/>
              <w:keepNext/>
              <w:keepLines/>
              <w:spacing w:after="0" w:line="240" w:lineRule="auto"/>
              <w:jc w:val="center"/>
              <w:rPr>
                <w:rFonts w:ascii="Arial Narrow" w:hAnsi="Arial Narrow"/>
              </w:rPr>
            </w:pPr>
            <w:r w:rsidRPr="003E7E2B">
              <w:rPr>
                <w:rFonts w:ascii="Arial Narrow" w:hAnsi="Arial Narrow"/>
              </w:rPr>
              <w:t>Estimated avg. dose (PI dose)</w:t>
            </w:r>
          </w:p>
        </w:tc>
        <w:tc>
          <w:tcPr>
            <w:tcW w:w="545" w:type="pct"/>
            <w:vMerge w:val="restart"/>
            <w:tcBorders>
              <w:top w:val="single" w:sz="4" w:space="0" w:color="auto"/>
              <w:left w:val="single" w:sz="4" w:space="0" w:color="auto"/>
              <w:right w:val="single" w:sz="4" w:space="0" w:color="auto"/>
            </w:tcBorders>
            <w:vAlign w:val="center"/>
          </w:tcPr>
          <w:p w:rsidR="002B7842" w:rsidRPr="003E7E2B" w:rsidRDefault="002B7842" w:rsidP="00B26CD2">
            <w:pPr>
              <w:pStyle w:val="Tabletext"/>
              <w:keepNext/>
              <w:keepLines/>
              <w:spacing w:after="0" w:line="240" w:lineRule="auto"/>
              <w:jc w:val="center"/>
              <w:rPr>
                <w:rFonts w:ascii="Arial Narrow" w:hAnsi="Arial Narrow"/>
              </w:rPr>
            </w:pPr>
            <w:r w:rsidRPr="003E7E2B">
              <w:rPr>
                <w:rFonts w:ascii="Arial Narrow" w:hAnsi="Arial Narrow"/>
              </w:rPr>
              <w:t xml:space="preserve">DPMA for </w:t>
            </w:r>
            <w:proofErr w:type="spellStart"/>
            <w:r w:rsidRPr="003E7E2B">
              <w:rPr>
                <w:rFonts w:ascii="Arial Narrow" w:hAnsi="Arial Narrow"/>
              </w:rPr>
              <w:t>avg</w:t>
            </w:r>
            <w:proofErr w:type="spellEnd"/>
            <w:r w:rsidRPr="003E7E2B">
              <w:rPr>
                <w:rFonts w:ascii="Arial Narrow" w:hAnsi="Arial Narrow"/>
              </w:rPr>
              <w:t xml:space="preserve"> dose</w:t>
            </w:r>
          </w:p>
        </w:tc>
        <w:tc>
          <w:tcPr>
            <w:tcW w:w="781" w:type="pct"/>
            <w:vMerge w:val="restart"/>
            <w:tcBorders>
              <w:top w:val="single" w:sz="4" w:space="0" w:color="auto"/>
              <w:left w:val="single" w:sz="4" w:space="0" w:color="auto"/>
              <w:right w:val="single" w:sz="4" w:space="0" w:color="auto"/>
            </w:tcBorders>
            <w:vAlign w:val="center"/>
          </w:tcPr>
          <w:p w:rsidR="002B7842" w:rsidRPr="003E7E2B" w:rsidRDefault="002B7842" w:rsidP="002B7842">
            <w:pPr>
              <w:pStyle w:val="Tabletext"/>
              <w:keepNext/>
              <w:keepLines/>
              <w:spacing w:after="0" w:line="240" w:lineRule="auto"/>
              <w:jc w:val="center"/>
              <w:rPr>
                <w:rFonts w:ascii="Arial Narrow" w:hAnsi="Arial Narrow"/>
                <w:vertAlign w:val="superscript"/>
              </w:rPr>
            </w:pPr>
            <w:proofErr w:type="spellStart"/>
            <w:r w:rsidRPr="003E7E2B">
              <w:rPr>
                <w:rFonts w:ascii="Arial Narrow" w:hAnsi="Arial Narrow"/>
              </w:rPr>
              <w:t>Avg</w:t>
            </w:r>
            <w:proofErr w:type="spellEnd"/>
            <w:r w:rsidRPr="003E7E2B">
              <w:rPr>
                <w:rFonts w:ascii="Arial Narrow" w:hAnsi="Arial Narrow"/>
              </w:rPr>
              <w:t xml:space="preserve"> number of doses per course</w:t>
            </w:r>
            <w:r w:rsidR="00120F94" w:rsidRPr="003E7E2B">
              <w:rPr>
                <w:rFonts w:ascii="Arial Narrow" w:hAnsi="Arial Narrow"/>
              </w:rPr>
              <w:t xml:space="preserve"> </w:t>
            </w:r>
            <w:r w:rsidR="00120F94" w:rsidRPr="003E7E2B">
              <w:rPr>
                <w:rFonts w:ascii="Arial Narrow" w:hAnsi="Arial Narrow"/>
                <w:vertAlign w:val="superscript"/>
              </w:rPr>
              <w:t>c</w:t>
            </w:r>
          </w:p>
        </w:tc>
        <w:tc>
          <w:tcPr>
            <w:tcW w:w="1004" w:type="pct"/>
            <w:vMerge w:val="restart"/>
            <w:tcBorders>
              <w:top w:val="single" w:sz="4" w:space="0" w:color="auto"/>
              <w:left w:val="single" w:sz="4" w:space="0" w:color="auto"/>
              <w:right w:val="single" w:sz="4" w:space="0" w:color="auto"/>
            </w:tcBorders>
            <w:vAlign w:val="center"/>
          </w:tcPr>
          <w:p w:rsidR="002B7842" w:rsidRPr="003E7E2B" w:rsidRDefault="002B7842" w:rsidP="00120F94">
            <w:pPr>
              <w:pStyle w:val="Tabletext"/>
              <w:keepNext/>
              <w:keepLines/>
              <w:spacing w:after="0" w:line="240" w:lineRule="auto"/>
              <w:jc w:val="center"/>
              <w:rPr>
                <w:rFonts w:ascii="Arial Narrow" w:hAnsi="Arial Narrow"/>
                <w:vertAlign w:val="superscript"/>
              </w:rPr>
            </w:pPr>
            <w:r w:rsidRPr="003E7E2B">
              <w:rPr>
                <w:rFonts w:ascii="Arial Narrow" w:hAnsi="Arial Narrow"/>
              </w:rPr>
              <w:t xml:space="preserve">Frequency of administration </w:t>
            </w:r>
            <w:r w:rsidR="00120F94" w:rsidRPr="003E7E2B">
              <w:rPr>
                <w:rFonts w:ascii="Arial Narrow" w:hAnsi="Arial Narrow"/>
                <w:vertAlign w:val="superscript"/>
              </w:rPr>
              <w:t>d</w:t>
            </w:r>
          </w:p>
        </w:tc>
      </w:tr>
      <w:tr w:rsidR="002B7842" w:rsidRPr="003E7E2B" w:rsidTr="001642E7">
        <w:trPr>
          <w:trHeight w:val="20"/>
          <w:tblHeader/>
        </w:trPr>
        <w:tc>
          <w:tcPr>
            <w:tcW w:w="1032" w:type="pct"/>
            <w:vMerge/>
            <w:tcBorders>
              <w:left w:val="single" w:sz="4" w:space="0" w:color="auto"/>
              <w:bottom w:val="single" w:sz="4" w:space="0" w:color="auto"/>
              <w:right w:val="single" w:sz="4" w:space="0" w:color="auto"/>
            </w:tcBorders>
            <w:vAlign w:val="center"/>
          </w:tcPr>
          <w:p w:rsidR="002B7842" w:rsidRPr="003E7E2B" w:rsidRDefault="002B7842" w:rsidP="00EC213D">
            <w:pPr>
              <w:pStyle w:val="Tabletext"/>
              <w:keepNext/>
              <w:keepLines/>
              <w:spacing w:after="0" w:line="240" w:lineRule="auto"/>
              <w:jc w:val="left"/>
              <w:rPr>
                <w:rFonts w:ascii="Arial Narrow" w:hAnsi="Arial Narrow"/>
              </w:rPr>
            </w:pPr>
          </w:p>
        </w:tc>
        <w:tc>
          <w:tcPr>
            <w:tcW w:w="468" w:type="pct"/>
            <w:tcBorders>
              <w:top w:val="single" w:sz="4" w:space="0" w:color="auto"/>
              <w:left w:val="single" w:sz="4" w:space="0" w:color="auto"/>
              <w:bottom w:val="single" w:sz="4" w:space="0" w:color="auto"/>
              <w:right w:val="single" w:sz="4" w:space="0" w:color="auto"/>
            </w:tcBorders>
            <w:vAlign w:val="center"/>
          </w:tcPr>
          <w:p w:rsidR="002B7842" w:rsidRPr="003E7E2B" w:rsidRDefault="002B7842" w:rsidP="001642E7">
            <w:pPr>
              <w:pStyle w:val="Tabletext"/>
              <w:keepNext/>
              <w:keepLines/>
              <w:spacing w:after="0"/>
              <w:jc w:val="center"/>
              <w:rPr>
                <w:rFonts w:ascii="Arial Narrow" w:hAnsi="Arial Narrow"/>
              </w:rPr>
            </w:pPr>
            <w:r w:rsidRPr="003E7E2B">
              <w:rPr>
                <w:rFonts w:ascii="Arial Narrow" w:hAnsi="Arial Narrow"/>
              </w:rPr>
              <w:t>100mg vial</w:t>
            </w:r>
          </w:p>
        </w:tc>
        <w:tc>
          <w:tcPr>
            <w:tcW w:w="468" w:type="pct"/>
            <w:tcBorders>
              <w:top w:val="single" w:sz="4" w:space="0" w:color="auto"/>
              <w:left w:val="single" w:sz="4" w:space="0" w:color="auto"/>
              <w:bottom w:val="single" w:sz="4" w:space="0" w:color="auto"/>
              <w:right w:val="single" w:sz="4" w:space="0" w:color="auto"/>
            </w:tcBorders>
            <w:vAlign w:val="center"/>
          </w:tcPr>
          <w:p w:rsidR="002B7842" w:rsidRPr="003E7E2B" w:rsidRDefault="002B7842" w:rsidP="001642E7">
            <w:pPr>
              <w:pStyle w:val="Tabletext"/>
              <w:keepNext/>
              <w:keepLines/>
              <w:spacing w:after="0"/>
              <w:jc w:val="center"/>
              <w:rPr>
                <w:rFonts w:ascii="Arial Narrow" w:hAnsi="Arial Narrow"/>
              </w:rPr>
            </w:pPr>
            <w:r w:rsidRPr="003E7E2B">
              <w:rPr>
                <w:rFonts w:ascii="Arial Narrow" w:hAnsi="Arial Narrow"/>
              </w:rPr>
              <w:t>40 mg vial</w:t>
            </w:r>
          </w:p>
        </w:tc>
        <w:tc>
          <w:tcPr>
            <w:tcW w:w="702" w:type="pct"/>
            <w:vMerge/>
            <w:tcBorders>
              <w:left w:val="single" w:sz="4" w:space="0" w:color="auto"/>
              <w:bottom w:val="single" w:sz="4" w:space="0" w:color="auto"/>
              <w:right w:val="single" w:sz="4" w:space="0" w:color="auto"/>
            </w:tcBorders>
            <w:vAlign w:val="center"/>
          </w:tcPr>
          <w:p w:rsidR="002B7842" w:rsidRPr="003E7E2B" w:rsidRDefault="002B7842" w:rsidP="00EC213D">
            <w:pPr>
              <w:pStyle w:val="Tabletext"/>
              <w:keepNext/>
              <w:keepLines/>
              <w:spacing w:after="0" w:line="240" w:lineRule="auto"/>
              <w:jc w:val="center"/>
              <w:rPr>
                <w:rFonts w:ascii="Arial Narrow" w:hAnsi="Arial Narrow"/>
              </w:rPr>
            </w:pPr>
          </w:p>
        </w:tc>
        <w:tc>
          <w:tcPr>
            <w:tcW w:w="545" w:type="pct"/>
            <w:vMerge/>
            <w:tcBorders>
              <w:left w:val="single" w:sz="4" w:space="0" w:color="auto"/>
              <w:bottom w:val="single" w:sz="4" w:space="0" w:color="auto"/>
              <w:right w:val="single" w:sz="4" w:space="0" w:color="auto"/>
            </w:tcBorders>
            <w:vAlign w:val="center"/>
          </w:tcPr>
          <w:p w:rsidR="002B7842" w:rsidRPr="003E7E2B" w:rsidRDefault="002B7842" w:rsidP="001642E7">
            <w:pPr>
              <w:pStyle w:val="Tabletext"/>
              <w:keepNext/>
              <w:keepLines/>
              <w:spacing w:after="0" w:line="240" w:lineRule="auto"/>
              <w:jc w:val="center"/>
              <w:rPr>
                <w:rFonts w:ascii="Arial Narrow" w:hAnsi="Arial Narrow"/>
              </w:rPr>
            </w:pPr>
          </w:p>
        </w:tc>
        <w:tc>
          <w:tcPr>
            <w:tcW w:w="781" w:type="pct"/>
            <w:vMerge/>
            <w:tcBorders>
              <w:left w:val="single" w:sz="4" w:space="0" w:color="auto"/>
              <w:bottom w:val="single" w:sz="4" w:space="0" w:color="auto"/>
              <w:right w:val="single" w:sz="4" w:space="0" w:color="auto"/>
            </w:tcBorders>
            <w:vAlign w:val="center"/>
          </w:tcPr>
          <w:p w:rsidR="002B7842" w:rsidRPr="003E7E2B" w:rsidRDefault="002B7842" w:rsidP="00EC213D">
            <w:pPr>
              <w:pStyle w:val="Tabletext"/>
              <w:keepNext/>
              <w:keepLines/>
              <w:spacing w:after="0" w:line="240" w:lineRule="auto"/>
              <w:jc w:val="center"/>
              <w:rPr>
                <w:rFonts w:ascii="Arial Narrow" w:hAnsi="Arial Narrow"/>
              </w:rPr>
            </w:pPr>
          </w:p>
        </w:tc>
        <w:tc>
          <w:tcPr>
            <w:tcW w:w="1004" w:type="pct"/>
            <w:vMerge/>
            <w:tcBorders>
              <w:left w:val="single" w:sz="4" w:space="0" w:color="auto"/>
              <w:bottom w:val="single" w:sz="4" w:space="0" w:color="auto"/>
              <w:right w:val="single" w:sz="4" w:space="0" w:color="auto"/>
            </w:tcBorders>
            <w:vAlign w:val="center"/>
          </w:tcPr>
          <w:p w:rsidR="002B7842" w:rsidRPr="003E7E2B" w:rsidRDefault="002B7842" w:rsidP="001642E7">
            <w:pPr>
              <w:pStyle w:val="Tabletext"/>
              <w:keepNext/>
              <w:keepLines/>
              <w:spacing w:after="0" w:line="240" w:lineRule="auto"/>
              <w:jc w:val="left"/>
              <w:rPr>
                <w:rFonts w:ascii="Arial Narrow" w:hAnsi="Arial Narrow"/>
              </w:rPr>
            </w:pPr>
          </w:p>
        </w:tc>
      </w:tr>
      <w:tr w:rsidR="002B7842" w:rsidRPr="0073573D" w:rsidTr="001642E7">
        <w:trPr>
          <w:trHeight w:val="20"/>
          <w:tblHeader/>
        </w:trPr>
        <w:tc>
          <w:tcPr>
            <w:tcW w:w="1032"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pStyle w:val="Tabletext"/>
              <w:keepNext/>
              <w:keepLines/>
              <w:spacing w:after="0" w:line="240" w:lineRule="auto"/>
              <w:jc w:val="left"/>
              <w:rPr>
                <w:rFonts w:ascii="Arial Narrow" w:hAnsi="Arial Narrow"/>
              </w:rPr>
            </w:pPr>
            <w:r w:rsidRPr="0073573D">
              <w:rPr>
                <w:rFonts w:ascii="Arial Narrow" w:hAnsi="Arial Narrow"/>
              </w:rPr>
              <w:t>Nivolumab first-line: requested</w:t>
            </w:r>
          </w:p>
        </w:tc>
        <w:tc>
          <w:tcPr>
            <w:tcW w:w="468"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jc w:val="center"/>
              <w:rPr>
                <w:rFonts w:ascii="Arial Narrow" w:hAnsi="Arial Narrow" w:cstheme="minorHAnsi"/>
                <w:bCs/>
                <w:sz w:val="20"/>
                <w:szCs w:val="20"/>
              </w:rPr>
            </w:pPr>
            <w:r w:rsidRPr="0073573D">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468"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jc w:val="center"/>
              <w:rPr>
                <w:rFonts w:ascii="Arial Narrow" w:hAnsi="Arial Narrow" w:cstheme="minorHAnsi"/>
                <w:bCs/>
                <w:sz w:val="20"/>
                <w:szCs w:val="20"/>
              </w:rPr>
            </w:pPr>
            <w:r w:rsidRPr="0073573D">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702"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2B7842">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240 mg (3mg/kg)</w:t>
            </w:r>
          </w:p>
        </w:tc>
        <w:tc>
          <w:tcPr>
            <w:tcW w:w="545"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781"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32.8</w:t>
            </w:r>
          </w:p>
        </w:tc>
        <w:tc>
          <w:tcPr>
            <w:tcW w:w="1004"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Q3w for 4 doses, q2w thereafter</w:t>
            </w:r>
          </w:p>
        </w:tc>
      </w:tr>
      <w:tr w:rsidR="002B7842" w:rsidRPr="0073573D" w:rsidTr="001642E7">
        <w:trPr>
          <w:trHeight w:val="20"/>
          <w:tblHeader/>
        </w:trPr>
        <w:tc>
          <w:tcPr>
            <w:tcW w:w="1032"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pStyle w:val="Tabletext"/>
              <w:keepNext/>
              <w:keepLines/>
              <w:spacing w:after="0" w:line="240" w:lineRule="auto"/>
              <w:jc w:val="left"/>
              <w:rPr>
                <w:rFonts w:ascii="Arial Narrow" w:hAnsi="Arial Narrow"/>
              </w:rPr>
            </w:pPr>
            <w:r w:rsidRPr="0073573D">
              <w:rPr>
                <w:rFonts w:ascii="Arial Narrow" w:hAnsi="Arial Narrow"/>
              </w:rPr>
              <w:t xml:space="preserve">Nivolumab second-line: effective </w:t>
            </w:r>
          </w:p>
        </w:tc>
        <w:tc>
          <w:tcPr>
            <w:tcW w:w="468"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jc w:val="center"/>
              <w:rPr>
                <w:rFonts w:ascii="Arial Narrow" w:hAnsi="Arial Narrow" w:cstheme="minorHAnsi"/>
                <w:bCs/>
                <w:sz w:val="20"/>
                <w:szCs w:val="20"/>
                <w:vertAlign w:val="superscript"/>
              </w:rPr>
            </w:pPr>
            <w:r w:rsidRPr="0073573D">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r w:rsidRPr="0073573D">
              <w:rPr>
                <w:rFonts w:ascii="Arial Narrow" w:hAnsi="Arial Narrow" w:cstheme="minorHAnsi"/>
                <w:bCs/>
                <w:sz w:val="20"/>
                <w:szCs w:val="20"/>
              </w:rPr>
              <w:t xml:space="preserve"> </w:t>
            </w:r>
            <w:r w:rsidRPr="0073573D">
              <w:rPr>
                <w:rFonts w:ascii="Arial Narrow" w:hAnsi="Arial Narrow" w:cstheme="minorHAnsi"/>
                <w:bCs/>
                <w:sz w:val="20"/>
                <w:szCs w:val="20"/>
                <w:vertAlign w:val="superscript"/>
              </w:rPr>
              <w:t>a</w:t>
            </w:r>
          </w:p>
        </w:tc>
        <w:tc>
          <w:tcPr>
            <w:tcW w:w="468"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jc w:val="center"/>
              <w:rPr>
                <w:rFonts w:ascii="Arial Narrow" w:hAnsi="Arial Narrow" w:cstheme="minorHAnsi"/>
                <w:bCs/>
                <w:sz w:val="20"/>
                <w:szCs w:val="20"/>
              </w:rPr>
            </w:pPr>
            <w:r w:rsidRPr="0073573D">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r w:rsidRPr="0073573D">
              <w:rPr>
                <w:rFonts w:ascii="Arial Narrow" w:hAnsi="Arial Narrow" w:cstheme="minorHAnsi"/>
                <w:bCs/>
                <w:sz w:val="20"/>
                <w:szCs w:val="20"/>
              </w:rPr>
              <w:t xml:space="preserve"> </w:t>
            </w:r>
            <w:r w:rsidRPr="0073573D">
              <w:rPr>
                <w:rFonts w:ascii="Arial Narrow" w:hAnsi="Arial Narrow" w:cstheme="minorHAnsi"/>
                <w:bCs/>
                <w:sz w:val="20"/>
                <w:szCs w:val="20"/>
                <w:vertAlign w:val="superscript"/>
              </w:rPr>
              <w:t>a</w:t>
            </w:r>
          </w:p>
        </w:tc>
        <w:tc>
          <w:tcPr>
            <w:tcW w:w="702"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2B7842">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240 mg (3mg/kg)</w:t>
            </w:r>
          </w:p>
        </w:tc>
        <w:tc>
          <w:tcPr>
            <w:tcW w:w="545"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r w:rsidRPr="0073573D">
              <w:rPr>
                <w:rFonts w:ascii="Arial Narrow" w:hAnsi="Arial Narrow" w:cstheme="minorHAnsi"/>
                <w:bCs/>
                <w:sz w:val="20"/>
                <w:szCs w:val="20"/>
              </w:rPr>
              <w:t xml:space="preserve"> </w:t>
            </w:r>
            <w:r w:rsidRPr="0073573D">
              <w:rPr>
                <w:rFonts w:ascii="Arial Narrow" w:hAnsi="Arial Narrow" w:cstheme="minorHAnsi"/>
                <w:bCs/>
                <w:sz w:val="20"/>
                <w:szCs w:val="20"/>
                <w:vertAlign w:val="superscript"/>
              </w:rPr>
              <w:t>a</w:t>
            </w:r>
          </w:p>
        </w:tc>
        <w:tc>
          <w:tcPr>
            <w:tcW w:w="781"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keepNext/>
              <w:keepLines/>
              <w:spacing w:line="240" w:lineRule="auto"/>
              <w:jc w:val="center"/>
              <w:rPr>
                <w:rFonts w:ascii="Arial Narrow" w:hAnsi="Arial Narrow" w:cstheme="minorHAnsi"/>
                <w:bCs/>
                <w:sz w:val="20"/>
                <w:szCs w:val="20"/>
              </w:rPr>
            </w:pPr>
            <w:r w:rsidRPr="0073573D">
              <w:rPr>
                <w:rFonts w:ascii="Arial Narrow" w:hAnsi="Arial Narrow" w:cstheme="minorHAnsi"/>
                <w:bCs/>
                <w:sz w:val="20"/>
                <w:szCs w:val="20"/>
              </w:rPr>
              <w:t xml:space="preserve">20.7 </w:t>
            </w:r>
            <w:r w:rsidRPr="0073573D">
              <w:rPr>
                <w:rFonts w:ascii="Arial Narrow" w:hAnsi="Arial Narrow" w:cstheme="minorHAnsi"/>
                <w:bCs/>
                <w:sz w:val="20"/>
                <w:szCs w:val="20"/>
                <w:vertAlign w:val="superscript"/>
              </w:rPr>
              <w:t>b</w:t>
            </w:r>
          </w:p>
        </w:tc>
        <w:tc>
          <w:tcPr>
            <w:tcW w:w="1004" w:type="pct"/>
            <w:tcBorders>
              <w:top w:val="single" w:sz="4" w:space="0" w:color="auto"/>
              <w:left w:val="single" w:sz="4" w:space="0" w:color="auto"/>
              <w:bottom w:val="single" w:sz="4" w:space="0" w:color="auto"/>
              <w:right w:val="single" w:sz="4" w:space="0" w:color="auto"/>
            </w:tcBorders>
            <w:vAlign w:val="center"/>
          </w:tcPr>
          <w:p w:rsidR="00B26CD2" w:rsidRPr="0073573D" w:rsidRDefault="00B26CD2" w:rsidP="001642E7">
            <w:pPr>
              <w:pStyle w:val="Tabletext"/>
              <w:keepNext/>
              <w:keepLines/>
              <w:spacing w:after="0" w:line="240" w:lineRule="auto"/>
              <w:jc w:val="center"/>
              <w:rPr>
                <w:rFonts w:ascii="Arial Narrow" w:hAnsi="Arial Narrow"/>
              </w:rPr>
            </w:pPr>
            <w:r w:rsidRPr="0073573D">
              <w:rPr>
                <w:rFonts w:ascii="Arial Narrow" w:hAnsi="Arial Narrow"/>
              </w:rPr>
              <w:t>Q2w</w:t>
            </w:r>
          </w:p>
        </w:tc>
      </w:tr>
    </w:tbl>
    <w:p w:rsidR="00B26CD2" w:rsidRPr="00AF0145" w:rsidRDefault="00EC213D" w:rsidP="001642E7">
      <w:pPr>
        <w:pStyle w:val="TableFooter"/>
        <w:keepNext/>
        <w:keepLines/>
        <w:rPr>
          <w:rStyle w:val="CommentReference"/>
          <w:sz w:val="18"/>
          <w:szCs w:val="18"/>
        </w:rPr>
      </w:pPr>
      <w:r w:rsidRPr="0073573D">
        <w:rPr>
          <w:rStyle w:val="CommentReference"/>
          <w:sz w:val="18"/>
          <w:szCs w:val="18"/>
        </w:rPr>
        <w:t>Source:</w:t>
      </w:r>
      <w:r w:rsidR="00B26CD2" w:rsidRPr="0073573D">
        <w:rPr>
          <w:rStyle w:val="CommentReference"/>
          <w:sz w:val="18"/>
          <w:szCs w:val="18"/>
        </w:rPr>
        <w:t xml:space="preserve"> Constructed during preparation of the Minor Overview based on</w:t>
      </w:r>
      <w:r w:rsidRPr="0073573D">
        <w:rPr>
          <w:rStyle w:val="CommentReference"/>
          <w:sz w:val="18"/>
          <w:szCs w:val="18"/>
        </w:rPr>
        <w:t xml:space="preserve"> “App_BIM_NIVO</w:t>
      </w:r>
      <w:r w:rsidRPr="003E7E2B">
        <w:rPr>
          <w:rStyle w:val="CommentReference"/>
          <w:sz w:val="18"/>
          <w:szCs w:val="18"/>
        </w:rPr>
        <w:t>+IPI_1LRCC_Minor resubmission.xlsx” spreadsheet.</w:t>
      </w:r>
    </w:p>
    <w:p w:rsidR="00EC213D" w:rsidRPr="003E7E2B" w:rsidRDefault="00B26CD2" w:rsidP="001642E7">
      <w:pPr>
        <w:pStyle w:val="TableFooter"/>
        <w:keepNext/>
        <w:keepLines/>
        <w:rPr>
          <w:szCs w:val="18"/>
        </w:rPr>
      </w:pPr>
      <w:proofErr w:type="spellStart"/>
      <w:r w:rsidRPr="003E7E2B">
        <w:rPr>
          <w:szCs w:val="18"/>
        </w:rPr>
        <w:t>Avg</w:t>
      </w:r>
      <w:proofErr w:type="spellEnd"/>
      <w:r w:rsidRPr="003E7E2B">
        <w:rPr>
          <w:szCs w:val="18"/>
        </w:rPr>
        <w:t xml:space="preserve"> = average; </w:t>
      </w:r>
      <w:r w:rsidR="00EC213D" w:rsidRPr="003E7E2B">
        <w:rPr>
          <w:szCs w:val="18"/>
        </w:rPr>
        <w:t xml:space="preserve">IPI = ipilimumab; NIVO = nivolumab; </w:t>
      </w:r>
      <w:r w:rsidRPr="003E7E2B">
        <w:rPr>
          <w:szCs w:val="18"/>
        </w:rPr>
        <w:t>PI = Product Information</w:t>
      </w:r>
      <w:r w:rsidR="002B7842" w:rsidRPr="003E7E2B">
        <w:rPr>
          <w:szCs w:val="18"/>
        </w:rPr>
        <w:t>; q2w = every 2 weeks</w:t>
      </w:r>
    </w:p>
    <w:p w:rsidR="00B26CD2" w:rsidRPr="003E7E2B" w:rsidRDefault="00B26CD2" w:rsidP="001642E7">
      <w:pPr>
        <w:pStyle w:val="TableFooter"/>
        <w:keepNext/>
        <w:keepLines/>
      </w:pPr>
      <w:proofErr w:type="gramStart"/>
      <w:r w:rsidRPr="003E7E2B">
        <w:rPr>
          <w:szCs w:val="18"/>
          <w:vertAlign w:val="superscript"/>
        </w:rPr>
        <w:t>a</w:t>
      </w:r>
      <w:proofErr w:type="gramEnd"/>
      <w:r w:rsidRPr="003E7E2B">
        <w:rPr>
          <w:szCs w:val="18"/>
          <w:vertAlign w:val="superscript"/>
        </w:rPr>
        <w:t xml:space="preserve"> </w:t>
      </w:r>
      <w:r w:rsidRPr="003E7E2B">
        <w:t>Source: ‘4c. Displaced – EFF’ Rows 100 to 118</w:t>
      </w:r>
    </w:p>
    <w:p w:rsidR="00B26CD2" w:rsidRPr="003E7E2B" w:rsidRDefault="00B26CD2" w:rsidP="00B26CD2">
      <w:pPr>
        <w:pStyle w:val="TableFooter"/>
        <w:keepNext/>
        <w:keepLines/>
      </w:pPr>
      <w:proofErr w:type="gramStart"/>
      <w:r w:rsidRPr="003E7E2B">
        <w:rPr>
          <w:vertAlign w:val="superscript"/>
        </w:rPr>
        <w:t>b</w:t>
      </w:r>
      <w:proofErr w:type="gramEnd"/>
      <w:r w:rsidRPr="003E7E2B">
        <w:t xml:space="preserve"> Source: ‘4a. Volumes – displaced’ Cell D163 and G163</w:t>
      </w:r>
    </w:p>
    <w:p w:rsidR="00120F94" w:rsidRPr="003E7E2B" w:rsidRDefault="00120F94" w:rsidP="001642E7">
      <w:pPr>
        <w:pStyle w:val="TableFooter"/>
        <w:keepNext/>
        <w:keepLines/>
      </w:pPr>
      <w:proofErr w:type="gramStart"/>
      <w:r w:rsidRPr="003E7E2B">
        <w:rPr>
          <w:vertAlign w:val="superscript"/>
        </w:rPr>
        <w:t>c</w:t>
      </w:r>
      <w:proofErr w:type="gramEnd"/>
      <w:r w:rsidRPr="003E7E2B">
        <w:t xml:space="preserve"> As estimated in each submission</w:t>
      </w:r>
    </w:p>
    <w:p w:rsidR="00B26CD2" w:rsidRDefault="00120F94" w:rsidP="001642E7">
      <w:pPr>
        <w:pStyle w:val="TableFooter"/>
        <w:keepNext/>
        <w:keepLines/>
      </w:pPr>
      <w:proofErr w:type="gramStart"/>
      <w:r w:rsidRPr="003E7E2B">
        <w:rPr>
          <w:vertAlign w:val="superscript"/>
        </w:rPr>
        <w:t>d</w:t>
      </w:r>
      <w:proofErr w:type="gramEnd"/>
      <w:r w:rsidR="002B7842" w:rsidRPr="003E7E2B">
        <w:t xml:space="preserve"> Source: Nivolumab Product Information</w:t>
      </w:r>
    </w:p>
    <w:p w:rsidR="0027241C" w:rsidRPr="003E7E2B" w:rsidRDefault="0027241C" w:rsidP="001642E7">
      <w:pPr>
        <w:pStyle w:val="TableFooter"/>
        <w:keepNext/>
        <w:keepLines/>
        <w:rPr>
          <w:szCs w:val="18"/>
        </w:rPr>
      </w:pPr>
    </w:p>
    <w:p w:rsidR="00503A12" w:rsidRPr="003E7E2B" w:rsidRDefault="00503A12" w:rsidP="00503A12">
      <w:pPr>
        <w:pStyle w:val="ListParagraph"/>
        <w:widowControl/>
        <w:numPr>
          <w:ilvl w:val="1"/>
          <w:numId w:val="14"/>
        </w:numPr>
        <w:spacing w:after="160"/>
        <w:contextualSpacing w:val="0"/>
        <w:rPr>
          <w:rFonts w:asciiTheme="minorHAnsi" w:hAnsiTheme="minorHAnsi"/>
          <w:sz w:val="24"/>
          <w:szCs w:val="24"/>
        </w:rPr>
      </w:pPr>
      <w:r w:rsidRPr="003E7E2B">
        <w:rPr>
          <w:rFonts w:asciiTheme="minorHAnsi" w:hAnsiTheme="minorHAnsi"/>
          <w:sz w:val="24"/>
          <w:szCs w:val="24"/>
        </w:rPr>
        <w:t>The pre-PBAC response stated “The Sponsor notes that the confidential Special Pricing Arrangement for first-line comparator therapies has not yet been included in the economic model and that once this is accounted for, net pricing for the NIVO+IPI combination will be adjusted accordingly.”</w:t>
      </w:r>
    </w:p>
    <w:p w:rsidR="007416DA" w:rsidRPr="003E7E2B" w:rsidRDefault="001F61C9" w:rsidP="007416DA">
      <w:pPr>
        <w:pStyle w:val="ListParagraph"/>
        <w:widowControl/>
        <w:numPr>
          <w:ilvl w:val="1"/>
          <w:numId w:val="14"/>
        </w:numPr>
        <w:spacing w:after="160"/>
        <w:contextualSpacing w:val="0"/>
        <w:rPr>
          <w:rFonts w:asciiTheme="minorHAnsi" w:hAnsiTheme="minorHAnsi"/>
          <w:sz w:val="24"/>
          <w:szCs w:val="24"/>
        </w:rPr>
      </w:pPr>
      <w:r w:rsidRPr="003E7E2B">
        <w:rPr>
          <w:rFonts w:asciiTheme="minorHAnsi" w:hAnsiTheme="minorHAnsi"/>
          <w:sz w:val="24"/>
          <w:szCs w:val="24"/>
        </w:rPr>
        <w:t xml:space="preserve">The results of </w:t>
      </w:r>
      <w:r w:rsidR="00151EE4" w:rsidRPr="003E7E2B">
        <w:rPr>
          <w:rFonts w:asciiTheme="minorHAnsi" w:hAnsiTheme="minorHAnsi"/>
          <w:sz w:val="24"/>
          <w:szCs w:val="24"/>
        </w:rPr>
        <w:t>sensitivity analyses</w:t>
      </w:r>
      <w:r w:rsidRPr="003E7E2B">
        <w:rPr>
          <w:rFonts w:asciiTheme="minorHAnsi" w:hAnsiTheme="minorHAnsi"/>
          <w:sz w:val="24"/>
          <w:szCs w:val="24"/>
        </w:rPr>
        <w:t xml:space="preserve"> are presented in the table below</w:t>
      </w:r>
      <w:r w:rsidR="00845EDE">
        <w:rPr>
          <w:rFonts w:asciiTheme="minorHAnsi" w:hAnsiTheme="minorHAnsi"/>
          <w:sz w:val="24"/>
          <w:szCs w:val="24"/>
        </w:rPr>
        <w:t>.</w:t>
      </w:r>
    </w:p>
    <w:p w:rsidR="007416DA" w:rsidRPr="003E7E2B" w:rsidRDefault="007416DA" w:rsidP="003700E5">
      <w:pPr>
        <w:pStyle w:val="ListParagraph"/>
        <w:keepNext/>
        <w:keepLines/>
        <w:widowControl/>
        <w:ind w:left="0"/>
        <w:contextualSpacing w:val="0"/>
        <w:rPr>
          <w:rFonts w:ascii="Arial Narrow" w:hAnsi="Arial Narrow"/>
          <w:b/>
          <w:sz w:val="20"/>
        </w:rPr>
      </w:pPr>
      <w:r w:rsidRPr="003E7E2B">
        <w:rPr>
          <w:rFonts w:ascii="Arial Narrow" w:hAnsi="Arial Narrow"/>
          <w:b/>
          <w:sz w:val="20"/>
        </w:rPr>
        <w:t xml:space="preserve">Table </w:t>
      </w:r>
      <w:r w:rsidR="002B7842" w:rsidRPr="003E7E2B">
        <w:rPr>
          <w:rFonts w:ascii="Arial Narrow" w:hAnsi="Arial Narrow"/>
          <w:b/>
          <w:sz w:val="20"/>
        </w:rPr>
        <w:t>6</w:t>
      </w:r>
      <w:r w:rsidRPr="003E7E2B">
        <w:rPr>
          <w:rFonts w:ascii="Arial Narrow" w:hAnsi="Arial Narrow"/>
          <w:b/>
          <w:sz w:val="20"/>
        </w:rPr>
        <w:t xml:space="preserve">: </w:t>
      </w:r>
      <w:r w:rsidR="00094DC0" w:rsidRPr="003E7E2B">
        <w:rPr>
          <w:rFonts w:ascii="Arial Narrow" w:hAnsi="Arial Narrow"/>
          <w:b/>
          <w:sz w:val="20"/>
        </w:rPr>
        <w:t xml:space="preserve">Sensitivity and </w:t>
      </w:r>
      <w:r w:rsidR="001F61C9" w:rsidRPr="003E7E2B">
        <w:rPr>
          <w:rFonts w:ascii="Arial Narrow" w:hAnsi="Arial Narrow"/>
          <w:b/>
          <w:sz w:val="20"/>
        </w:rPr>
        <w:t xml:space="preserve">scenario </w:t>
      </w:r>
      <w:r w:rsidR="00845EDE">
        <w:rPr>
          <w:rFonts w:ascii="Arial Narrow" w:hAnsi="Arial Narrow"/>
          <w:b/>
          <w:sz w:val="20"/>
        </w:rPr>
        <w:t>analyses</w:t>
      </w:r>
    </w:p>
    <w:tbl>
      <w:tblPr>
        <w:tblStyle w:val="TableGridbeth5"/>
        <w:tblW w:w="5000" w:type="pct"/>
        <w:tblInd w:w="0" w:type="dxa"/>
        <w:tblLayout w:type="fixed"/>
        <w:tblCellMar>
          <w:left w:w="28" w:type="dxa"/>
          <w:right w:w="28" w:type="dxa"/>
        </w:tblCellMar>
        <w:tblLook w:val="04A0" w:firstRow="1" w:lastRow="0" w:firstColumn="1" w:lastColumn="0" w:noHBand="0" w:noVBand="1"/>
        <w:tblCaption w:val="Sensitivity and scenario analyses"/>
      </w:tblPr>
      <w:tblGrid>
        <w:gridCol w:w="6125"/>
        <w:gridCol w:w="852"/>
        <w:gridCol w:w="1133"/>
        <w:gridCol w:w="972"/>
      </w:tblGrid>
      <w:tr w:rsidR="007416DA" w:rsidRPr="003E7E2B" w:rsidTr="00DC3743">
        <w:trPr>
          <w:trHeight w:val="118"/>
          <w:tblHeader/>
        </w:trPr>
        <w:tc>
          <w:tcPr>
            <w:tcW w:w="3372" w:type="pct"/>
            <w:tcBorders>
              <w:top w:val="single" w:sz="4" w:space="0" w:color="auto"/>
              <w:left w:val="single" w:sz="4" w:space="0" w:color="auto"/>
              <w:right w:val="single" w:sz="4" w:space="0" w:color="auto"/>
            </w:tcBorders>
            <w:vAlign w:val="center"/>
          </w:tcPr>
          <w:p w:rsidR="007416DA" w:rsidRPr="003E7E2B" w:rsidRDefault="007416DA" w:rsidP="003700E5">
            <w:pPr>
              <w:pStyle w:val="Tabletext"/>
              <w:keepNext/>
              <w:keepLines/>
              <w:spacing w:after="0" w:line="240" w:lineRule="auto"/>
              <w:jc w:val="center"/>
              <w:rPr>
                <w:rFonts w:ascii="Arial Narrow" w:hAnsi="Arial Narrow"/>
                <w:b/>
              </w:rPr>
            </w:pPr>
          </w:p>
        </w:tc>
        <w:tc>
          <w:tcPr>
            <w:tcW w:w="469" w:type="pct"/>
            <w:tcBorders>
              <w:top w:val="single" w:sz="4" w:space="0" w:color="auto"/>
              <w:left w:val="single" w:sz="4" w:space="0" w:color="auto"/>
              <w:right w:val="single" w:sz="4" w:space="0" w:color="auto"/>
            </w:tcBorders>
            <w:vAlign w:val="center"/>
            <w:hideMark/>
          </w:tcPr>
          <w:p w:rsidR="007416DA" w:rsidRPr="003E7E2B" w:rsidRDefault="001F61C9" w:rsidP="003700E5">
            <w:pPr>
              <w:pStyle w:val="Tabletext"/>
              <w:keepNext/>
              <w:keepLines/>
              <w:spacing w:after="0" w:line="240" w:lineRule="auto"/>
              <w:jc w:val="center"/>
              <w:rPr>
                <w:rFonts w:ascii="Arial Narrow" w:hAnsi="Arial Narrow"/>
                <w:b/>
              </w:rPr>
            </w:pPr>
            <w:r w:rsidRPr="003E7E2B">
              <w:rPr>
                <w:rFonts w:ascii="Arial Narrow" w:hAnsi="Arial Narrow"/>
                <w:b/>
              </w:rPr>
              <w:t>∆</w:t>
            </w:r>
            <w:r w:rsidR="007416DA" w:rsidRPr="003E7E2B">
              <w:rPr>
                <w:rFonts w:ascii="Arial Narrow" w:hAnsi="Arial Narrow"/>
                <w:b/>
              </w:rPr>
              <w:t xml:space="preserve"> Costs</w:t>
            </w:r>
          </w:p>
        </w:tc>
        <w:tc>
          <w:tcPr>
            <w:tcW w:w="624" w:type="pct"/>
            <w:tcBorders>
              <w:top w:val="single" w:sz="4" w:space="0" w:color="auto"/>
              <w:left w:val="single" w:sz="4" w:space="0" w:color="auto"/>
              <w:right w:val="single" w:sz="4" w:space="0" w:color="auto"/>
            </w:tcBorders>
            <w:vAlign w:val="center"/>
            <w:hideMark/>
          </w:tcPr>
          <w:p w:rsidR="007416DA" w:rsidRPr="003E7E2B" w:rsidRDefault="001F61C9" w:rsidP="003700E5">
            <w:pPr>
              <w:pStyle w:val="Tabletext"/>
              <w:keepNext/>
              <w:keepLines/>
              <w:spacing w:after="0" w:line="240" w:lineRule="auto"/>
              <w:jc w:val="center"/>
              <w:rPr>
                <w:rFonts w:ascii="Arial Narrow" w:hAnsi="Arial Narrow"/>
                <w:b/>
              </w:rPr>
            </w:pPr>
            <w:r w:rsidRPr="003E7E2B">
              <w:rPr>
                <w:rFonts w:ascii="Arial Narrow" w:hAnsi="Arial Narrow"/>
                <w:b/>
              </w:rPr>
              <w:t>∆</w:t>
            </w:r>
            <w:r w:rsidR="007416DA" w:rsidRPr="003E7E2B">
              <w:rPr>
                <w:rFonts w:ascii="Arial Narrow" w:hAnsi="Arial Narrow"/>
                <w:b/>
              </w:rPr>
              <w:t xml:space="preserve"> Outcomes</w:t>
            </w:r>
          </w:p>
        </w:tc>
        <w:tc>
          <w:tcPr>
            <w:tcW w:w="535" w:type="pct"/>
            <w:tcBorders>
              <w:top w:val="single" w:sz="4" w:space="0" w:color="auto"/>
              <w:left w:val="single" w:sz="4" w:space="0" w:color="auto"/>
              <w:bottom w:val="single" w:sz="4" w:space="0" w:color="auto"/>
              <w:right w:val="single" w:sz="4" w:space="0" w:color="auto"/>
            </w:tcBorders>
            <w:vAlign w:val="center"/>
            <w:hideMark/>
          </w:tcPr>
          <w:p w:rsidR="007416DA" w:rsidRPr="003E7E2B" w:rsidRDefault="007416DA" w:rsidP="003700E5">
            <w:pPr>
              <w:pStyle w:val="Tabletext"/>
              <w:keepNext/>
              <w:keepLines/>
              <w:spacing w:after="0" w:line="240" w:lineRule="auto"/>
              <w:jc w:val="center"/>
              <w:rPr>
                <w:rFonts w:ascii="Arial Narrow" w:hAnsi="Arial Narrow"/>
                <w:b/>
              </w:rPr>
            </w:pPr>
            <w:r w:rsidRPr="003E7E2B">
              <w:rPr>
                <w:rFonts w:ascii="Arial Narrow" w:hAnsi="Arial Narrow"/>
                <w:b/>
              </w:rPr>
              <w:t>ICER/QALY</w:t>
            </w:r>
          </w:p>
        </w:tc>
      </w:tr>
      <w:tr w:rsidR="007416DA" w:rsidRPr="003E7E2B" w:rsidTr="00DC3743">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7416DA" w:rsidRPr="003E7E2B" w:rsidRDefault="007416DA" w:rsidP="003700E5">
            <w:pPr>
              <w:pStyle w:val="Tabletext"/>
              <w:keepNext/>
              <w:keepLines/>
              <w:spacing w:after="0" w:line="240" w:lineRule="auto"/>
              <w:jc w:val="left"/>
              <w:rPr>
                <w:rFonts w:ascii="Arial Narrow" w:hAnsi="Arial Narrow"/>
              </w:rPr>
            </w:pPr>
            <w:r w:rsidRPr="003E7E2B">
              <w:rPr>
                <w:rFonts w:ascii="Arial Narrow" w:hAnsi="Arial Narrow"/>
                <w:b/>
              </w:rPr>
              <w:t>Base case</w:t>
            </w:r>
            <w:r w:rsidR="00E16F8A" w:rsidRPr="003E7E2B">
              <w:rPr>
                <w:rFonts w:ascii="Arial Narrow" w:hAnsi="Arial Narrow"/>
                <w:b/>
              </w:rPr>
              <w:t xml:space="preserve"> (if restrictions are changed for existing second-line therapies)</w:t>
            </w:r>
          </w:p>
        </w:tc>
        <w:tc>
          <w:tcPr>
            <w:tcW w:w="469" w:type="pct"/>
            <w:tcBorders>
              <w:top w:val="single" w:sz="4" w:space="0" w:color="auto"/>
              <w:left w:val="single" w:sz="4" w:space="0" w:color="auto"/>
              <w:bottom w:val="single" w:sz="4" w:space="0" w:color="auto"/>
              <w:right w:val="single" w:sz="4" w:space="0" w:color="auto"/>
            </w:tcBorders>
            <w:vAlign w:val="center"/>
          </w:tcPr>
          <w:p w:rsidR="007416DA" w:rsidRPr="003E7E2B" w:rsidRDefault="007416DA" w:rsidP="003700E5">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7416DA" w:rsidRPr="00B76982" w:rsidRDefault="00B76982" w:rsidP="003700E5">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7416DA" w:rsidRPr="003E7E2B" w:rsidRDefault="007416DA" w:rsidP="003700E5">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r>
      <w:tr w:rsidR="001F61C9" w:rsidRPr="003E7E2B" w:rsidTr="00DC3743">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1F61C9" w:rsidRPr="003E7E2B" w:rsidRDefault="001F61C9" w:rsidP="006954E9">
            <w:pPr>
              <w:pStyle w:val="Tabletext"/>
              <w:keepNext/>
              <w:keepLines/>
              <w:spacing w:after="0" w:line="240" w:lineRule="auto"/>
              <w:jc w:val="left"/>
              <w:rPr>
                <w:rFonts w:ascii="Arial Narrow" w:hAnsi="Arial Narrow"/>
                <w:vertAlign w:val="superscript"/>
              </w:rPr>
            </w:pPr>
            <w:r w:rsidRPr="003E7E2B">
              <w:rPr>
                <w:rFonts w:ascii="Arial Narrow" w:hAnsi="Arial Narrow"/>
                <w:u w:val="single"/>
              </w:rPr>
              <w:t>Resubmission alternative scenario:</w:t>
            </w:r>
            <w:r w:rsidRPr="003E7E2B">
              <w:rPr>
                <w:rFonts w:ascii="Arial Narrow" w:hAnsi="Arial Narrow"/>
              </w:rPr>
              <w:t xml:space="preserve"> No change to restriction for current 2</w:t>
            </w:r>
            <w:r w:rsidRPr="003E7E2B">
              <w:rPr>
                <w:rFonts w:ascii="Arial Narrow" w:hAnsi="Arial Narrow"/>
                <w:vertAlign w:val="superscript"/>
              </w:rPr>
              <w:t>nd</w:t>
            </w:r>
            <w:r w:rsidRPr="003E7E2B">
              <w:rPr>
                <w:rFonts w:ascii="Arial Narrow" w:hAnsi="Arial Narrow"/>
              </w:rPr>
              <w:t>-line therapies (i.e. can only use current 2</w:t>
            </w:r>
            <w:r w:rsidRPr="003E7E2B">
              <w:rPr>
                <w:rFonts w:ascii="Arial Narrow" w:hAnsi="Arial Narrow"/>
                <w:vertAlign w:val="superscript"/>
              </w:rPr>
              <w:t>nd</w:t>
            </w:r>
            <w:r w:rsidRPr="003E7E2B">
              <w:rPr>
                <w:rFonts w:ascii="Arial Narrow" w:hAnsi="Arial Narrow"/>
              </w:rPr>
              <w:t xml:space="preserve">-line therapies if TKIs were used 1st-line) </w:t>
            </w:r>
            <w:r w:rsidRPr="003E7E2B">
              <w:rPr>
                <w:rFonts w:ascii="Arial Narrow" w:hAnsi="Arial Narrow"/>
                <w:vertAlign w:val="superscript"/>
              </w:rPr>
              <w:t>a</w:t>
            </w:r>
          </w:p>
        </w:tc>
        <w:tc>
          <w:tcPr>
            <w:tcW w:w="469" w:type="pct"/>
            <w:tcBorders>
              <w:top w:val="single" w:sz="4" w:space="0" w:color="auto"/>
              <w:left w:val="single" w:sz="4" w:space="0" w:color="auto"/>
              <w:bottom w:val="single" w:sz="4" w:space="0" w:color="auto"/>
              <w:right w:val="single" w:sz="4" w:space="0" w:color="auto"/>
            </w:tcBorders>
            <w:vAlign w:val="center"/>
          </w:tcPr>
          <w:p w:rsidR="001F61C9" w:rsidRPr="003E7E2B" w:rsidRDefault="001F61C9" w:rsidP="006954E9">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F61C9" w:rsidRPr="00B76982" w:rsidRDefault="00B76982" w:rsidP="006954E9">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1F61C9" w:rsidRPr="003E7E2B" w:rsidRDefault="001F61C9" w:rsidP="006954E9">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r>
      <w:tr w:rsidR="00B3301C" w:rsidRPr="003E7E2B" w:rsidTr="00DC3743">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B3301C" w:rsidRPr="003E7E2B" w:rsidRDefault="00B3301C" w:rsidP="006D5980">
            <w:pPr>
              <w:pStyle w:val="Tabletext"/>
              <w:keepNext/>
              <w:keepLines/>
              <w:spacing w:after="0" w:line="240" w:lineRule="auto"/>
              <w:rPr>
                <w:rFonts w:ascii="Arial Narrow" w:hAnsi="Arial Narrow"/>
              </w:rPr>
            </w:pPr>
            <w:r w:rsidRPr="003E7E2B">
              <w:rPr>
                <w:rFonts w:ascii="Arial Narrow" w:hAnsi="Arial Narrow"/>
              </w:rPr>
              <w:t xml:space="preserve">Use of later-line </w:t>
            </w:r>
            <w:r w:rsidR="00DC3743" w:rsidRPr="003E7E2B">
              <w:rPr>
                <w:rFonts w:ascii="Arial Narrow" w:hAnsi="Arial Narrow"/>
              </w:rPr>
              <w:t>NIVO</w:t>
            </w:r>
            <w:r w:rsidRPr="003E7E2B">
              <w:rPr>
                <w:rFonts w:ascii="Arial Narrow" w:hAnsi="Arial Narrow"/>
              </w:rPr>
              <w:t xml:space="preserve"> monotherapy</w:t>
            </w:r>
            <w:r w:rsidR="00E62469" w:rsidRPr="003E7E2B">
              <w:rPr>
                <w:rFonts w:ascii="Arial Narrow" w:hAnsi="Arial Narrow"/>
              </w:rPr>
              <w:t>: (base case: permitted</w:t>
            </w:r>
            <w:r w:rsidR="006D5980" w:rsidRPr="003E7E2B">
              <w:rPr>
                <w:rFonts w:ascii="Arial Narrow" w:hAnsi="Arial Narrow"/>
              </w:rPr>
              <w:t xml:space="preserve"> post NIVO+IPI</w:t>
            </w:r>
            <w:r w:rsidR="00E62469" w:rsidRPr="003E7E2B">
              <w:rPr>
                <w:rFonts w:ascii="Arial Narrow" w:hAnsi="Arial Narrow"/>
              </w:rPr>
              <w:t>)</w:t>
            </w:r>
          </w:p>
          <w:p w:rsidR="00E62469" w:rsidRPr="003E7E2B" w:rsidRDefault="006D5980" w:rsidP="005014AA">
            <w:pPr>
              <w:pStyle w:val="Tabletext"/>
              <w:keepNext/>
              <w:keepLines/>
              <w:numPr>
                <w:ilvl w:val="0"/>
                <w:numId w:val="21"/>
              </w:numPr>
              <w:spacing w:after="0" w:line="240" w:lineRule="auto"/>
              <w:ind w:left="426" w:hanging="142"/>
              <w:rPr>
                <w:rFonts w:ascii="Arial Narrow" w:hAnsi="Arial Narrow"/>
              </w:rPr>
            </w:pPr>
            <w:r w:rsidRPr="003E7E2B">
              <w:rPr>
                <w:rFonts w:ascii="Arial Narrow" w:hAnsi="Arial Narrow"/>
              </w:rPr>
              <w:t xml:space="preserve">Not permitted following prior NIVO+IPI therapy </w:t>
            </w:r>
            <w:r w:rsidRPr="003E7E2B">
              <w:rPr>
                <w:rFonts w:ascii="Arial Narrow" w:hAnsi="Arial Narrow"/>
                <w:vertAlign w:val="superscript"/>
              </w:rPr>
              <w:t>b</w:t>
            </w:r>
          </w:p>
          <w:p w:rsidR="000532D3" w:rsidRPr="003E7E2B" w:rsidRDefault="00490947" w:rsidP="00490947">
            <w:pPr>
              <w:pStyle w:val="Tabletext"/>
              <w:keepNext/>
              <w:keepLines/>
              <w:numPr>
                <w:ilvl w:val="0"/>
                <w:numId w:val="21"/>
              </w:numPr>
              <w:spacing w:after="0" w:line="240" w:lineRule="auto"/>
              <w:rPr>
                <w:rFonts w:ascii="Arial Narrow" w:hAnsi="Arial Narrow"/>
                <w:vertAlign w:val="superscript"/>
              </w:rPr>
            </w:pPr>
            <w:r w:rsidRPr="003E7E2B">
              <w:rPr>
                <w:rFonts w:ascii="Arial Narrow" w:hAnsi="Arial Narrow"/>
              </w:rPr>
              <w:t xml:space="preserve">Assume patients </w:t>
            </w:r>
            <w:r w:rsidR="000532D3" w:rsidRPr="003E7E2B">
              <w:rPr>
                <w:rFonts w:ascii="Arial Narrow" w:hAnsi="Arial Narrow"/>
              </w:rPr>
              <w:t>receive no therapy (rather than NIVO monotherapy)</w:t>
            </w:r>
          </w:p>
          <w:p w:rsidR="00490947" w:rsidRPr="003E7E2B" w:rsidRDefault="000532D3" w:rsidP="000532D3">
            <w:pPr>
              <w:pStyle w:val="Tabletext"/>
              <w:keepNext/>
              <w:keepLines/>
              <w:numPr>
                <w:ilvl w:val="0"/>
                <w:numId w:val="21"/>
              </w:numPr>
              <w:spacing w:after="0" w:line="240" w:lineRule="auto"/>
              <w:rPr>
                <w:rFonts w:ascii="Arial Narrow" w:hAnsi="Arial Narrow"/>
              </w:rPr>
            </w:pPr>
            <w:r w:rsidRPr="003E7E2B">
              <w:rPr>
                <w:rFonts w:ascii="Arial Narrow" w:hAnsi="Arial Narrow"/>
              </w:rPr>
              <w:t xml:space="preserve">Assume patients receive </w:t>
            </w:r>
            <w:proofErr w:type="spellStart"/>
            <w:r w:rsidRPr="003E7E2B">
              <w:rPr>
                <w:rFonts w:ascii="Arial Narrow" w:hAnsi="Arial Narrow"/>
              </w:rPr>
              <w:t>pazopanib</w:t>
            </w:r>
            <w:proofErr w:type="spellEnd"/>
            <w:r w:rsidRPr="003E7E2B">
              <w:rPr>
                <w:rFonts w:ascii="Arial Narrow" w:hAnsi="Arial Narrow"/>
              </w:rPr>
              <w:t xml:space="preserve"> (rather than NIVO monotherapy) </w:t>
            </w:r>
            <w:r w:rsidRPr="003E7E2B">
              <w:rPr>
                <w:rFonts w:ascii="Arial Narrow" w:hAnsi="Arial Narrow"/>
                <w:vertAlign w:val="superscript"/>
              </w:rPr>
              <w:t>c</w:t>
            </w:r>
          </w:p>
        </w:tc>
        <w:tc>
          <w:tcPr>
            <w:tcW w:w="469" w:type="pct"/>
            <w:tcBorders>
              <w:top w:val="single" w:sz="4" w:space="0" w:color="auto"/>
              <w:left w:val="single" w:sz="4" w:space="0" w:color="auto"/>
              <w:bottom w:val="single" w:sz="4" w:space="0" w:color="auto"/>
              <w:right w:val="single" w:sz="4" w:space="0" w:color="auto"/>
            </w:tcBorders>
            <w:vAlign w:val="center"/>
          </w:tcPr>
          <w:p w:rsidR="000532D3" w:rsidRPr="003E7E2B" w:rsidRDefault="000532D3" w:rsidP="000532D3">
            <w:pPr>
              <w:keepNext/>
              <w:keepLines/>
              <w:spacing w:line="240" w:lineRule="auto"/>
              <w:jc w:val="center"/>
              <w:rPr>
                <w:rFonts w:ascii="Arial Narrow" w:hAnsi="Arial Narrow" w:cstheme="minorHAnsi"/>
                <w:bCs/>
                <w:sz w:val="20"/>
                <w:szCs w:val="20"/>
              </w:rPr>
            </w:pPr>
          </w:p>
          <w:p w:rsidR="000532D3" w:rsidRPr="003E7E2B" w:rsidRDefault="000532D3" w:rsidP="000532D3">
            <w:pPr>
              <w:keepNext/>
              <w:keepLines/>
              <w:spacing w:line="240" w:lineRule="auto"/>
              <w:jc w:val="center"/>
              <w:rPr>
                <w:rFonts w:ascii="Arial Narrow" w:hAnsi="Arial Narrow" w:cstheme="minorHAnsi"/>
                <w:bCs/>
                <w:sz w:val="20"/>
                <w:szCs w:val="20"/>
              </w:rPr>
            </w:pPr>
          </w:p>
          <w:p w:rsidR="00B3301C" w:rsidRPr="003E7E2B" w:rsidRDefault="009842CC" w:rsidP="000532D3">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p w:rsidR="000532D3" w:rsidRPr="003E7E2B" w:rsidRDefault="000532D3" w:rsidP="000532D3">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0532D3" w:rsidRPr="001E774F" w:rsidRDefault="000532D3" w:rsidP="000532D3">
            <w:pPr>
              <w:keepNext/>
              <w:keepLines/>
              <w:spacing w:line="240" w:lineRule="auto"/>
              <w:jc w:val="center"/>
              <w:rPr>
                <w:rFonts w:ascii="Arial Narrow" w:hAnsi="Arial Narrow" w:cstheme="minorHAnsi"/>
                <w:bCs/>
                <w:sz w:val="20"/>
                <w:szCs w:val="20"/>
              </w:rPr>
            </w:pPr>
          </w:p>
          <w:p w:rsidR="000532D3" w:rsidRPr="001E774F" w:rsidRDefault="000532D3" w:rsidP="000532D3">
            <w:pPr>
              <w:keepNext/>
              <w:keepLines/>
              <w:spacing w:line="240" w:lineRule="auto"/>
              <w:jc w:val="center"/>
              <w:rPr>
                <w:rFonts w:ascii="Arial Narrow" w:hAnsi="Arial Narrow" w:cstheme="minorHAnsi"/>
                <w:bCs/>
                <w:sz w:val="20"/>
                <w:szCs w:val="20"/>
              </w:rPr>
            </w:pPr>
          </w:p>
          <w:p w:rsidR="00B3301C" w:rsidRPr="00B76982" w:rsidRDefault="00B76982" w:rsidP="000532D3">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p w:rsidR="000532D3" w:rsidRPr="00B76982" w:rsidRDefault="00B76982" w:rsidP="000532D3">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0532D3" w:rsidRPr="003E7E2B" w:rsidRDefault="000532D3" w:rsidP="000532D3">
            <w:pPr>
              <w:keepNext/>
              <w:keepLines/>
              <w:spacing w:line="240" w:lineRule="auto"/>
              <w:jc w:val="center"/>
              <w:rPr>
                <w:rFonts w:ascii="Arial Narrow" w:hAnsi="Arial Narrow" w:cstheme="minorHAnsi"/>
                <w:bCs/>
                <w:sz w:val="20"/>
                <w:szCs w:val="20"/>
              </w:rPr>
            </w:pPr>
          </w:p>
          <w:p w:rsidR="000532D3" w:rsidRPr="003E7E2B" w:rsidRDefault="000532D3" w:rsidP="000532D3">
            <w:pPr>
              <w:keepNext/>
              <w:keepLines/>
              <w:spacing w:line="240" w:lineRule="auto"/>
              <w:jc w:val="center"/>
              <w:rPr>
                <w:rFonts w:ascii="Arial Narrow" w:hAnsi="Arial Narrow" w:cstheme="minorHAnsi"/>
                <w:bCs/>
                <w:sz w:val="20"/>
                <w:szCs w:val="20"/>
              </w:rPr>
            </w:pPr>
          </w:p>
          <w:p w:rsidR="00B3301C" w:rsidRPr="003E7E2B" w:rsidRDefault="009842CC" w:rsidP="000532D3">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p w:rsidR="000532D3" w:rsidRPr="003E7E2B" w:rsidRDefault="000532D3" w:rsidP="000532D3">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r>
      <w:tr w:rsidR="001F61C9" w:rsidRPr="003E7E2B" w:rsidTr="00DC3743">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1F61C9" w:rsidRPr="001E774F" w:rsidRDefault="001F61C9" w:rsidP="006954E9">
            <w:pPr>
              <w:pStyle w:val="Tabletext"/>
              <w:keepNext/>
              <w:keepLines/>
              <w:spacing w:after="0" w:line="240" w:lineRule="auto"/>
              <w:jc w:val="left"/>
              <w:rPr>
                <w:rFonts w:ascii="Arial Narrow" w:hAnsi="Arial Narrow"/>
              </w:rPr>
            </w:pPr>
            <w:r w:rsidRPr="003E7E2B">
              <w:rPr>
                <w:rFonts w:ascii="Arial Narrow" w:hAnsi="Arial Narrow"/>
              </w:rPr>
              <w:t>Utilities:</w:t>
            </w:r>
            <w:r w:rsidR="008E74FE" w:rsidRPr="003E7E2B">
              <w:rPr>
                <w:rFonts w:ascii="Arial Narrow" w:hAnsi="Arial Narrow"/>
              </w:rPr>
              <w:t xml:space="preserve"> Base case Progression </w:t>
            </w:r>
            <w:r w:rsidR="008E74FE" w:rsidRPr="001E774F">
              <w:rPr>
                <w:rFonts w:ascii="Arial Narrow" w:hAnsi="Arial Narrow"/>
              </w:rPr>
              <w:t xml:space="preserve">free: NIVO+IPI: </w:t>
            </w:r>
            <w:r w:rsidR="00B76982">
              <w:rPr>
                <w:rFonts w:ascii="Arial Narrow" w:hAnsi="Arial Narrow"/>
                <w:noProof/>
                <w:color w:val="000000"/>
                <w:highlight w:val="black"/>
              </w:rPr>
              <w:t>'''''''''''</w:t>
            </w:r>
            <w:r w:rsidR="008E74FE" w:rsidRPr="001E774F">
              <w:rPr>
                <w:rFonts w:ascii="Arial Narrow" w:hAnsi="Arial Narrow"/>
              </w:rPr>
              <w:t xml:space="preserve">, SUNI: </w:t>
            </w:r>
            <w:r w:rsidR="00B76982">
              <w:rPr>
                <w:rFonts w:ascii="Arial Narrow" w:hAnsi="Arial Narrow"/>
                <w:noProof/>
                <w:color w:val="000000"/>
                <w:highlight w:val="black"/>
              </w:rPr>
              <w:t>''''''''''</w:t>
            </w:r>
            <w:r w:rsidR="008E74FE" w:rsidRPr="001E774F">
              <w:rPr>
                <w:rFonts w:ascii="Arial Narrow" w:hAnsi="Arial Narrow"/>
              </w:rPr>
              <w:t xml:space="preserve">. Progressed: </w:t>
            </w:r>
            <w:r w:rsidR="00B76982">
              <w:rPr>
                <w:rFonts w:ascii="Arial Narrow" w:hAnsi="Arial Narrow"/>
                <w:noProof/>
                <w:color w:val="000000"/>
                <w:highlight w:val="black"/>
              </w:rPr>
              <w:t>''''''''''</w:t>
            </w:r>
          </w:p>
          <w:p w:rsidR="001F61C9" w:rsidRPr="003E7E2B" w:rsidRDefault="008E74FE" w:rsidP="005014AA">
            <w:pPr>
              <w:pStyle w:val="Tabletext"/>
              <w:keepNext/>
              <w:keepLines/>
              <w:numPr>
                <w:ilvl w:val="0"/>
                <w:numId w:val="21"/>
              </w:numPr>
              <w:spacing w:after="0" w:line="240" w:lineRule="auto"/>
              <w:ind w:left="426" w:hanging="142"/>
              <w:rPr>
                <w:rFonts w:ascii="Arial Narrow" w:hAnsi="Arial Narrow"/>
                <w:u w:val="single"/>
              </w:rPr>
            </w:pPr>
            <w:r w:rsidRPr="001E774F">
              <w:rPr>
                <w:rFonts w:ascii="Arial Narrow" w:hAnsi="Arial Narrow"/>
              </w:rPr>
              <w:t xml:space="preserve">Average from literature PF: </w:t>
            </w:r>
            <w:r w:rsidR="00B76982">
              <w:rPr>
                <w:rFonts w:ascii="Arial Narrow" w:hAnsi="Arial Narrow"/>
                <w:noProof/>
                <w:color w:val="000000"/>
                <w:highlight w:val="black"/>
              </w:rPr>
              <w:t>'''''''''''''</w:t>
            </w:r>
            <w:r w:rsidRPr="001E774F">
              <w:rPr>
                <w:rFonts w:ascii="Arial Narrow" w:hAnsi="Arial Narrow"/>
              </w:rPr>
              <w:t xml:space="preserve">; Progressed: </w:t>
            </w:r>
            <w:r w:rsidR="00B76982">
              <w:rPr>
                <w:rFonts w:ascii="Arial Narrow" w:hAnsi="Arial Narrow"/>
                <w:noProof/>
                <w:color w:val="000000"/>
                <w:highlight w:val="black"/>
              </w:rPr>
              <w:t>''''''''''''''</w:t>
            </w:r>
            <w:r w:rsidRPr="001E774F">
              <w:rPr>
                <w:rFonts w:ascii="Arial Narrow" w:hAnsi="Arial Narrow"/>
              </w:rPr>
              <w:t xml:space="preserve"> (per Table 13, July 2018</w:t>
            </w:r>
            <w:r w:rsidRPr="003E7E2B">
              <w:rPr>
                <w:rFonts w:ascii="Arial Narrow" w:hAnsi="Arial Narrow"/>
              </w:rPr>
              <w:t xml:space="preserve"> PBAC Minutes)</w:t>
            </w:r>
          </w:p>
        </w:tc>
        <w:tc>
          <w:tcPr>
            <w:tcW w:w="469" w:type="pct"/>
            <w:tcBorders>
              <w:top w:val="single" w:sz="4" w:space="0" w:color="auto"/>
              <w:left w:val="single" w:sz="4" w:space="0" w:color="auto"/>
              <w:bottom w:val="single" w:sz="4" w:space="0" w:color="auto"/>
              <w:right w:val="single" w:sz="4" w:space="0" w:color="auto"/>
            </w:tcBorders>
            <w:vAlign w:val="center"/>
          </w:tcPr>
          <w:p w:rsidR="001F61C9" w:rsidRPr="003E7E2B" w:rsidRDefault="004C3311" w:rsidP="006954E9">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F61C9" w:rsidRPr="00B76982" w:rsidRDefault="00B76982" w:rsidP="006954E9">
            <w:pPr>
              <w:keepNext/>
              <w:keepLines/>
              <w:spacing w:line="240" w:lineRule="auto"/>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1F61C9" w:rsidRPr="003E7E2B" w:rsidRDefault="004C3311" w:rsidP="006954E9">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r>
      <w:tr w:rsidR="001E1CFA" w:rsidRPr="003E7E2B" w:rsidTr="00186A08">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1F61C9" w:rsidRPr="003E7E2B" w:rsidRDefault="001F61C9" w:rsidP="006954E9">
            <w:pPr>
              <w:pStyle w:val="Tabletext"/>
              <w:keepNext/>
              <w:keepLines/>
              <w:spacing w:after="0" w:line="240" w:lineRule="auto"/>
              <w:jc w:val="left"/>
              <w:rPr>
                <w:rFonts w:ascii="Arial Narrow" w:hAnsi="Arial Narrow"/>
              </w:rPr>
            </w:pPr>
            <w:r w:rsidRPr="003E7E2B">
              <w:rPr>
                <w:rFonts w:ascii="Arial Narrow" w:hAnsi="Arial Narrow"/>
              </w:rPr>
              <w:t xml:space="preserve">Time horizon: </w:t>
            </w:r>
            <w:r w:rsidR="00B76982">
              <w:rPr>
                <w:rFonts w:ascii="Arial Narrow" w:hAnsi="Arial Narrow"/>
                <w:noProof/>
                <w:color w:val="000000"/>
                <w:highlight w:val="black"/>
              </w:rPr>
              <w:t>'''''''</w:t>
            </w:r>
            <w:r w:rsidRPr="00186A08">
              <w:rPr>
                <w:rFonts w:ascii="Arial Narrow" w:hAnsi="Arial Narrow"/>
              </w:rPr>
              <w:t xml:space="preserve"> </w:t>
            </w:r>
            <w:r w:rsidRPr="003E7E2B">
              <w:rPr>
                <w:rFonts w:ascii="Arial Narrow" w:hAnsi="Arial Narrow"/>
              </w:rPr>
              <w:t>years in base case</w:t>
            </w:r>
          </w:p>
          <w:p w:rsidR="001E1CFA" w:rsidRPr="003E7E2B" w:rsidRDefault="00B76982" w:rsidP="005014AA">
            <w:pPr>
              <w:pStyle w:val="Tabletext"/>
              <w:keepNext/>
              <w:keepLines/>
              <w:numPr>
                <w:ilvl w:val="0"/>
                <w:numId w:val="21"/>
              </w:numPr>
              <w:spacing w:after="0" w:line="240" w:lineRule="auto"/>
              <w:ind w:left="426" w:hanging="142"/>
              <w:rPr>
                <w:rFonts w:ascii="Arial Narrow" w:hAnsi="Arial Narrow"/>
              </w:rPr>
            </w:pPr>
            <w:r>
              <w:rPr>
                <w:rFonts w:ascii="Arial Narrow" w:hAnsi="Arial Narrow"/>
                <w:noProof/>
                <w:color w:val="000000"/>
                <w:highlight w:val="black"/>
              </w:rPr>
              <w:t xml:space="preserve">'''' </w:t>
            </w:r>
            <w:r w:rsidR="001F61C9" w:rsidRPr="003E7E2B">
              <w:rPr>
                <w:rFonts w:ascii="Arial Narrow" w:hAnsi="Arial Narrow"/>
              </w:rPr>
              <w:t xml:space="preserve">years </w:t>
            </w:r>
          </w:p>
        </w:tc>
        <w:tc>
          <w:tcPr>
            <w:tcW w:w="469" w:type="pct"/>
            <w:tcBorders>
              <w:top w:val="single" w:sz="4" w:space="0" w:color="auto"/>
              <w:left w:val="single" w:sz="4" w:space="0" w:color="auto"/>
              <w:bottom w:val="single" w:sz="4" w:space="0" w:color="auto"/>
              <w:right w:val="single" w:sz="4" w:space="0" w:color="auto"/>
            </w:tcBorders>
            <w:vAlign w:val="center"/>
          </w:tcPr>
          <w:p w:rsidR="001E1CFA" w:rsidRPr="003E7E2B" w:rsidRDefault="008E74FE" w:rsidP="006954E9">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1E1CFA" w:rsidRPr="00B76982" w:rsidRDefault="00B76982" w:rsidP="006954E9">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1E1CFA" w:rsidRPr="003E7E2B" w:rsidRDefault="008E74FE" w:rsidP="006954E9">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r>
      <w:tr w:rsidR="006954E9" w:rsidRPr="003E7E2B" w:rsidTr="00DC3743">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6954E9" w:rsidRPr="003E7E2B" w:rsidRDefault="006954E9" w:rsidP="006954E9">
            <w:pPr>
              <w:pStyle w:val="Tabletext"/>
              <w:keepNext/>
              <w:keepLines/>
              <w:spacing w:after="0" w:line="240" w:lineRule="auto"/>
              <w:rPr>
                <w:rFonts w:ascii="Arial Narrow" w:hAnsi="Arial Narrow"/>
              </w:rPr>
            </w:pPr>
            <w:r w:rsidRPr="003E7E2B">
              <w:rPr>
                <w:rFonts w:ascii="Arial Narrow" w:hAnsi="Arial Narrow"/>
              </w:rPr>
              <w:t xml:space="preserve">Convergence of Duration of </w:t>
            </w:r>
            <w:r w:rsidR="00E13A09" w:rsidRPr="003E7E2B">
              <w:rPr>
                <w:rFonts w:ascii="Arial Narrow" w:hAnsi="Arial Narrow"/>
              </w:rPr>
              <w:t>T</w:t>
            </w:r>
            <w:r w:rsidRPr="003E7E2B">
              <w:rPr>
                <w:rFonts w:ascii="Arial Narrow" w:hAnsi="Arial Narrow"/>
              </w:rPr>
              <w:t xml:space="preserve">herapy: </w:t>
            </w:r>
            <w:r w:rsidR="00E13A09" w:rsidRPr="003E7E2B">
              <w:rPr>
                <w:rFonts w:ascii="Arial Narrow" w:hAnsi="Arial Narrow"/>
              </w:rPr>
              <w:t>converges within modelled time horizon</w:t>
            </w:r>
            <w:r w:rsidRPr="003E7E2B">
              <w:rPr>
                <w:rFonts w:ascii="Arial Narrow" w:hAnsi="Arial Narrow"/>
              </w:rPr>
              <w:t xml:space="preserve"> </w:t>
            </w:r>
            <w:r w:rsidR="00E13A09" w:rsidRPr="003E7E2B">
              <w:rPr>
                <w:rFonts w:ascii="Arial Narrow" w:hAnsi="Arial Narrow"/>
              </w:rPr>
              <w:t>(</w:t>
            </w:r>
            <w:r w:rsidR="00B76982">
              <w:rPr>
                <w:rFonts w:ascii="Arial Narrow" w:hAnsi="Arial Narrow"/>
                <w:noProof/>
                <w:color w:val="000000"/>
                <w:highlight w:val="black"/>
              </w:rPr>
              <w:t>'''''''''</w:t>
            </w:r>
            <w:r w:rsidR="00E13A09" w:rsidRPr="003E7E2B">
              <w:rPr>
                <w:rFonts w:ascii="Arial Narrow" w:hAnsi="Arial Narrow"/>
              </w:rPr>
              <w:t xml:space="preserve"> years) </w:t>
            </w:r>
            <w:r w:rsidRPr="003E7E2B">
              <w:rPr>
                <w:rFonts w:ascii="Arial Narrow" w:hAnsi="Arial Narrow"/>
              </w:rPr>
              <w:t>in the base case</w:t>
            </w:r>
          </w:p>
          <w:p w:rsidR="006954E9" w:rsidRPr="003E7E2B" w:rsidRDefault="005014AA" w:rsidP="000532D3">
            <w:pPr>
              <w:pStyle w:val="Tabletext"/>
              <w:keepNext/>
              <w:keepLines/>
              <w:numPr>
                <w:ilvl w:val="0"/>
                <w:numId w:val="21"/>
              </w:numPr>
              <w:spacing w:after="0" w:line="240" w:lineRule="auto"/>
              <w:ind w:left="426" w:hanging="142"/>
              <w:rPr>
                <w:rFonts w:ascii="Arial Narrow" w:hAnsi="Arial Narrow"/>
              </w:rPr>
            </w:pPr>
            <w:r w:rsidRPr="003E7E2B">
              <w:rPr>
                <w:rFonts w:ascii="Arial Narrow" w:hAnsi="Arial Narrow"/>
              </w:rPr>
              <w:t xml:space="preserve">Does not converge within </w:t>
            </w:r>
            <w:r w:rsidR="00B76982">
              <w:rPr>
                <w:rFonts w:ascii="Arial Narrow" w:hAnsi="Arial Narrow"/>
                <w:noProof/>
                <w:color w:val="000000"/>
                <w:highlight w:val="black"/>
              </w:rPr>
              <w:t>''''''''</w:t>
            </w:r>
            <w:r w:rsidRPr="00186A08">
              <w:rPr>
                <w:rFonts w:ascii="Arial Narrow" w:hAnsi="Arial Narrow"/>
              </w:rPr>
              <w:t xml:space="preserve"> </w:t>
            </w:r>
            <w:r w:rsidRPr="003E7E2B">
              <w:rPr>
                <w:rFonts w:ascii="Arial Narrow" w:hAnsi="Arial Narrow"/>
              </w:rPr>
              <w:t>years (using s</w:t>
            </w:r>
            <w:r w:rsidR="00E13A09" w:rsidRPr="003E7E2B">
              <w:rPr>
                <w:rFonts w:ascii="Arial Narrow" w:hAnsi="Arial Narrow"/>
              </w:rPr>
              <w:t>ame extrapolation assumptions as previous</w:t>
            </w:r>
            <w:r w:rsidR="006954E9" w:rsidRPr="003E7E2B">
              <w:rPr>
                <w:rFonts w:ascii="Arial Narrow" w:hAnsi="Arial Narrow"/>
              </w:rPr>
              <w:t xml:space="preserve"> model, refer to green dotted line in Figure 1</w:t>
            </w:r>
            <w:r w:rsidR="000C34B4" w:rsidRPr="003E7E2B">
              <w:rPr>
                <w:rFonts w:ascii="Arial Narrow" w:hAnsi="Arial Narrow"/>
              </w:rPr>
              <w:t xml:space="preserve">) </w:t>
            </w:r>
            <w:r w:rsidR="000532D3" w:rsidRPr="003E7E2B">
              <w:rPr>
                <w:rFonts w:ascii="Arial Narrow" w:hAnsi="Arial Narrow"/>
                <w:vertAlign w:val="superscript"/>
              </w:rPr>
              <w:t>d</w:t>
            </w:r>
          </w:p>
        </w:tc>
        <w:tc>
          <w:tcPr>
            <w:tcW w:w="469" w:type="pct"/>
            <w:tcBorders>
              <w:top w:val="single" w:sz="4" w:space="0" w:color="auto"/>
              <w:left w:val="single" w:sz="4" w:space="0" w:color="auto"/>
              <w:bottom w:val="single" w:sz="4" w:space="0" w:color="auto"/>
              <w:right w:val="single" w:sz="4" w:space="0" w:color="auto"/>
            </w:tcBorders>
            <w:vAlign w:val="center"/>
          </w:tcPr>
          <w:p w:rsidR="006954E9" w:rsidRPr="003E7E2B" w:rsidRDefault="006954E9" w:rsidP="005014AA">
            <w:pPr>
              <w:keepNext/>
              <w:keepLines/>
              <w:spacing w:line="240" w:lineRule="auto"/>
              <w:jc w:val="center"/>
              <w:rPr>
                <w:rFonts w:ascii="Arial Narrow" w:hAnsi="Arial Narrow" w:cstheme="minorHAnsi"/>
                <w:bCs/>
                <w:sz w:val="20"/>
                <w:szCs w:val="20"/>
              </w:rPr>
            </w:pPr>
            <w:r w:rsidRPr="003E7E2B">
              <w:rPr>
                <w:rFonts w:ascii="Arial Narrow" w:hAnsi="Arial Narrow" w:cstheme="minorHAnsi"/>
                <w:bCs/>
                <w:sz w:val="20"/>
                <w:szCs w:val="20"/>
              </w:rPr>
              <w:t>$</w:t>
            </w:r>
            <w:r w:rsidR="00B76982">
              <w:rPr>
                <w:rFonts w:ascii="Arial Narrow" w:hAnsi="Arial Narrow" w:cstheme="minorHAnsi"/>
                <w:bCs/>
                <w:noProof/>
                <w:color w:val="000000"/>
                <w:sz w:val="20"/>
                <w:szCs w:val="2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6954E9" w:rsidRPr="00B76982" w:rsidRDefault="00B76982" w:rsidP="006954E9">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6954E9" w:rsidRPr="003E7E2B" w:rsidRDefault="006954E9" w:rsidP="00E13A09">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r>
      <w:tr w:rsidR="001E1CFA" w:rsidRPr="003E7E2B" w:rsidTr="00DC3743">
        <w:trPr>
          <w:trHeight w:val="20"/>
          <w:tblHeader/>
        </w:trPr>
        <w:tc>
          <w:tcPr>
            <w:tcW w:w="3372" w:type="pct"/>
            <w:tcBorders>
              <w:top w:val="single" w:sz="4" w:space="0" w:color="auto"/>
              <w:left w:val="single" w:sz="4" w:space="0" w:color="auto"/>
              <w:bottom w:val="single" w:sz="4" w:space="0" w:color="auto"/>
              <w:right w:val="single" w:sz="4" w:space="0" w:color="auto"/>
            </w:tcBorders>
            <w:vAlign w:val="center"/>
          </w:tcPr>
          <w:p w:rsidR="001E1CFA" w:rsidRPr="003E7E2B" w:rsidRDefault="001F61C9" w:rsidP="006954E9">
            <w:pPr>
              <w:pStyle w:val="Tabletext"/>
              <w:keepNext/>
              <w:keepLines/>
              <w:spacing w:after="0" w:line="240" w:lineRule="auto"/>
              <w:jc w:val="left"/>
              <w:rPr>
                <w:rFonts w:ascii="Arial Narrow" w:hAnsi="Arial Narrow"/>
              </w:rPr>
            </w:pPr>
            <w:r w:rsidRPr="003E7E2B">
              <w:rPr>
                <w:rFonts w:ascii="Arial Narrow" w:hAnsi="Arial Narrow"/>
              </w:rPr>
              <w:t>Nivolumab drug cost</w:t>
            </w:r>
            <w:r w:rsidR="003D2AEF" w:rsidRPr="003E7E2B">
              <w:rPr>
                <w:rFonts w:ascii="Arial Narrow" w:hAnsi="Arial Narrow"/>
              </w:rPr>
              <w:t>: Base case $</w:t>
            </w:r>
            <w:r w:rsidR="00B76982">
              <w:rPr>
                <w:rFonts w:ascii="Arial Narrow" w:hAnsi="Arial Narrow"/>
                <w:noProof/>
                <w:color w:val="000000"/>
                <w:highlight w:val="black"/>
              </w:rPr>
              <w:t>'''''''''''''''''''''</w:t>
            </w:r>
            <w:r w:rsidR="003D2AEF" w:rsidRPr="003E7E2B">
              <w:rPr>
                <w:rFonts w:ascii="Arial Narrow" w:hAnsi="Arial Narrow"/>
              </w:rPr>
              <w:t xml:space="preserve"> for 100 mg vial (DPMA: $</w:t>
            </w:r>
            <w:r w:rsidR="00B76982">
              <w:rPr>
                <w:rFonts w:ascii="Arial Narrow" w:hAnsi="Arial Narrow"/>
                <w:noProof/>
                <w:color w:val="000000"/>
                <w:highlight w:val="black"/>
              </w:rPr>
              <w:t>'''''''''''''</w:t>
            </w:r>
            <w:r w:rsidR="003D2AEF" w:rsidRPr="003E7E2B">
              <w:rPr>
                <w:rFonts w:ascii="Arial Narrow" w:hAnsi="Arial Narrow"/>
              </w:rPr>
              <w:t>)</w:t>
            </w:r>
          </w:p>
          <w:p w:rsidR="001F61C9" w:rsidRPr="003E7E2B" w:rsidRDefault="003D2AEF" w:rsidP="005014AA">
            <w:pPr>
              <w:pStyle w:val="Tabletext"/>
              <w:keepNext/>
              <w:keepLines/>
              <w:numPr>
                <w:ilvl w:val="0"/>
                <w:numId w:val="21"/>
              </w:numPr>
              <w:spacing w:after="0" w:line="240" w:lineRule="auto"/>
              <w:ind w:left="426" w:hanging="142"/>
              <w:rPr>
                <w:rFonts w:ascii="Arial Narrow" w:hAnsi="Arial Narrow"/>
              </w:rPr>
            </w:pPr>
            <w:r w:rsidRPr="003E7E2B">
              <w:rPr>
                <w:rFonts w:ascii="Arial Narrow" w:hAnsi="Arial Narrow"/>
              </w:rPr>
              <w:t>$</w:t>
            </w:r>
            <w:r w:rsidR="00B76982">
              <w:rPr>
                <w:rFonts w:ascii="Arial Narrow" w:hAnsi="Arial Narrow"/>
                <w:noProof/>
                <w:color w:val="000000"/>
                <w:highlight w:val="black"/>
              </w:rPr>
              <w:t>'''''''''''''''''</w:t>
            </w:r>
            <w:r w:rsidRPr="003E7E2B">
              <w:rPr>
                <w:rFonts w:ascii="Arial Narrow" w:hAnsi="Arial Narrow"/>
              </w:rPr>
              <w:t xml:space="preserve"> for 100 mg vial (DPMA: $</w:t>
            </w:r>
            <w:r w:rsidR="00B76982">
              <w:rPr>
                <w:rFonts w:ascii="Arial Narrow" w:hAnsi="Arial Narrow"/>
                <w:noProof/>
                <w:color w:val="000000"/>
                <w:highlight w:val="black"/>
              </w:rPr>
              <w:t>'''''''''''''''</w:t>
            </w:r>
            <w:r w:rsidRPr="003E7E2B">
              <w:rPr>
                <w:rFonts w:ascii="Arial Narrow" w:hAnsi="Arial Narrow"/>
              </w:rPr>
              <w:t>)</w:t>
            </w:r>
            <w:r w:rsidR="003700E5" w:rsidRPr="003E7E2B">
              <w:rPr>
                <w:rFonts w:ascii="Arial Narrow" w:hAnsi="Arial Narrow"/>
              </w:rPr>
              <w:t>, i.e. a</w:t>
            </w:r>
            <w:r w:rsidRPr="00186A08">
              <w:rPr>
                <w:rFonts w:ascii="Arial Narrow" w:hAnsi="Arial Narrow"/>
              </w:rPr>
              <w:t xml:space="preserve"> </w:t>
            </w:r>
            <w:r w:rsidR="00B76982">
              <w:rPr>
                <w:rFonts w:ascii="Arial Narrow" w:hAnsi="Arial Narrow"/>
                <w:noProof/>
                <w:color w:val="000000"/>
                <w:highlight w:val="black"/>
              </w:rPr>
              <w:t>''''</w:t>
            </w:r>
            <w:r w:rsidRPr="003E7E2B">
              <w:rPr>
                <w:rFonts w:ascii="Arial Narrow" w:hAnsi="Arial Narrow"/>
              </w:rPr>
              <w:t>% reduction in DMPA</w:t>
            </w:r>
          </w:p>
        </w:tc>
        <w:tc>
          <w:tcPr>
            <w:tcW w:w="469" w:type="pct"/>
            <w:tcBorders>
              <w:top w:val="single" w:sz="4" w:space="0" w:color="auto"/>
              <w:left w:val="single" w:sz="4" w:space="0" w:color="auto"/>
              <w:bottom w:val="single" w:sz="4" w:space="0" w:color="auto"/>
              <w:right w:val="single" w:sz="4" w:space="0" w:color="auto"/>
            </w:tcBorders>
            <w:vAlign w:val="center"/>
          </w:tcPr>
          <w:p w:rsidR="001E1CFA" w:rsidRPr="003E7E2B" w:rsidRDefault="003D2AEF" w:rsidP="006954E9">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c>
          <w:tcPr>
            <w:tcW w:w="624" w:type="pct"/>
            <w:tcBorders>
              <w:top w:val="single" w:sz="4" w:space="0" w:color="auto"/>
              <w:left w:val="single" w:sz="4" w:space="0" w:color="auto"/>
              <w:bottom w:val="single" w:sz="4" w:space="0" w:color="auto"/>
              <w:right w:val="single" w:sz="4" w:space="0" w:color="auto"/>
            </w:tcBorders>
            <w:vAlign w:val="center"/>
          </w:tcPr>
          <w:p w:rsidR="001E1CFA" w:rsidRPr="00B76982" w:rsidRDefault="00B76982" w:rsidP="006954E9">
            <w:pPr>
              <w:pStyle w:val="Tabletext"/>
              <w:keepNext/>
              <w:keepLines/>
              <w:spacing w:after="0" w:line="240" w:lineRule="auto"/>
              <w:jc w:val="center"/>
              <w:rPr>
                <w:rFonts w:ascii="Arial Narrow" w:hAnsi="Arial Narrow"/>
                <w:highlight w:val="black"/>
              </w:rPr>
            </w:pPr>
            <w:r>
              <w:rPr>
                <w:rFonts w:ascii="Arial Narrow" w:hAnsi="Arial Narrow"/>
                <w:noProof/>
                <w:color w:val="000000"/>
                <w:highlight w:val="black"/>
              </w:rPr>
              <w:t>'''''''''''</w:t>
            </w:r>
          </w:p>
        </w:tc>
        <w:tc>
          <w:tcPr>
            <w:tcW w:w="535" w:type="pct"/>
            <w:tcBorders>
              <w:top w:val="single" w:sz="4" w:space="0" w:color="auto"/>
              <w:left w:val="single" w:sz="4" w:space="0" w:color="auto"/>
              <w:bottom w:val="single" w:sz="4" w:space="0" w:color="auto"/>
              <w:right w:val="single" w:sz="4" w:space="0" w:color="auto"/>
            </w:tcBorders>
            <w:vAlign w:val="center"/>
          </w:tcPr>
          <w:p w:rsidR="001E1CFA" w:rsidRPr="003E7E2B" w:rsidRDefault="008E74FE" w:rsidP="006954E9">
            <w:pPr>
              <w:pStyle w:val="Tabletext"/>
              <w:keepNext/>
              <w:keepLines/>
              <w:spacing w:after="0" w:line="240" w:lineRule="auto"/>
              <w:jc w:val="center"/>
              <w:rPr>
                <w:rFonts w:ascii="Arial Narrow" w:hAnsi="Arial Narrow"/>
              </w:rPr>
            </w:pPr>
            <w:r w:rsidRPr="003E7E2B">
              <w:rPr>
                <w:rFonts w:ascii="Arial Narrow" w:hAnsi="Arial Narrow"/>
              </w:rPr>
              <w:t>$</w:t>
            </w:r>
            <w:r w:rsidR="00B76982">
              <w:rPr>
                <w:rFonts w:ascii="Arial Narrow" w:hAnsi="Arial Narrow"/>
                <w:noProof/>
                <w:color w:val="000000"/>
                <w:highlight w:val="black"/>
              </w:rPr>
              <w:t>''''''''''''''''</w:t>
            </w:r>
          </w:p>
        </w:tc>
      </w:tr>
    </w:tbl>
    <w:p w:rsidR="001E1CFA" w:rsidRPr="003E7E2B" w:rsidRDefault="001F61C9" w:rsidP="003700E5">
      <w:pPr>
        <w:pStyle w:val="TableFooter"/>
        <w:keepNext/>
        <w:keepLines/>
        <w:rPr>
          <w:szCs w:val="18"/>
        </w:rPr>
      </w:pPr>
      <w:r w:rsidRPr="003E7E2B">
        <w:rPr>
          <w:szCs w:val="18"/>
        </w:rPr>
        <w:t xml:space="preserve">Source: Table 5, minor resubmission; </w:t>
      </w:r>
      <w:r w:rsidR="004C3311" w:rsidRPr="003E7E2B">
        <w:rPr>
          <w:szCs w:val="18"/>
        </w:rPr>
        <w:t>“</w:t>
      </w:r>
      <w:r w:rsidR="004C3311" w:rsidRPr="003E7E2B">
        <w:rPr>
          <w:rStyle w:val="CommentReference"/>
        </w:rPr>
        <w:t xml:space="preserve">App_CEA_NIVO+IPI_RCC_Aug18.xlsx” spreadsheet. Ital = figures in italics were calculated during </w:t>
      </w:r>
      <w:r w:rsidR="003D2AEF" w:rsidRPr="003E7E2B">
        <w:rPr>
          <w:rStyle w:val="CommentReference"/>
        </w:rPr>
        <w:t>preparation</w:t>
      </w:r>
      <w:r w:rsidR="004C3311" w:rsidRPr="003E7E2B">
        <w:rPr>
          <w:rStyle w:val="CommentReference"/>
        </w:rPr>
        <w:t xml:space="preserve"> of the </w:t>
      </w:r>
      <w:r w:rsidR="003D2AEF" w:rsidRPr="003E7E2B">
        <w:rPr>
          <w:rStyle w:val="CommentReference"/>
        </w:rPr>
        <w:t>M</w:t>
      </w:r>
      <w:r w:rsidR="004C3311" w:rsidRPr="003E7E2B">
        <w:rPr>
          <w:rStyle w:val="CommentReference"/>
        </w:rPr>
        <w:t xml:space="preserve">inor </w:t>
      </w:r>
      <w:r w:rsidR="003D2AEF" w:rsidRPr="003E7E2B">
        <w:rPr>
          <w:rStyle w:val="CommentReference"/>
        </w:rPr>
        <w:t>O</w:t>
      </w:r>
      <w:r w:rsidR="004C3311" w:rsidRPr="003E7E2B">
        <w:rPr>
          <w:rStyle w:val="CommentReference"/>
        </w:rPr>
        <w:t>verview.</w:t>
      </w:r>
    </w:p>
    <w:p w:rsidR="001F61C9" w:rsidRPr="003E7E2B" w:rsidRDefault="001F61C9" w:rsidP="003700E5">
      <w:pPr>
        <w:keepNext/>
        <w:keepLines/>
        <w:spacing w:after="120"/>
        <w:contextualSpacing/>
        <w:rPr>
          <w:rFonts w:ascii="Arial Narrow" w:hAnsi="Arial Narrow"/>
          <w:sz w:val="18"/>
          <w:szCs w:val="18"/>
        </w:rPr>
      </w:pPr>
      <w:proofErr w:type="gramStart"/>
      <w:r w:rsidRPr="003E7E2B">
        <w:rPr>
          <w:rFonts w:ascii="Arial Narrow" w:hAnsi="Arial Narrow"/>
          <w:sz w:val="18"/>
          <w:szCs w:val="18"/>
          <w:vertAlign w:val="superscript"/>
        </w:rPr>
        <w:t>a</w:t>
      </w:r>
      <w:proofErr w:type="gramEnd"/>
      <w:r w:rsidRPr="003E7E2B">
        <w:rPr>
          <w:rFonts w:ascii="Arial Narrow" w:hAnsi="Arial Narrow"/>
          <w:sz w:val="18"/>
          <w:szCs w:val="18"/>
          <w:vertAlign w:val="superscript"/>
        </w:rPr>
        <w:t xml:space="preserve"> </w:t>
      </w:r>
      <w:r w:rsidRPr="003E7E2B">
        <w:rPr>
          <w:rFonts w:ascii="Arial Narrow" w:hAnsi="Arial Narrow"/>
          <w:sz w:val="18"/>
          <w:szCs w:val="18"/>
        </w:rPr>
        <w:t>Not evaluated during preparation of the minor overview.</w:t>
      </w:r>
      <w:r w:rsidR="00E16F8A" w:rsidRPr="003E7E2B">
        <w:rPr>
          <w:rFonts w:ascii="Arial Narrow" w:hAnsi="Arial Narrow"/>
          <w:sz w:val="18"/>
          <w:szCs w:val="18"/>
        </w:rPr>
        <w:t xml:space="preserve"> This was presented as </w:t>
      </w:r>
      <w:r w:rsidR="00151EE4" w:rsidRPr="003E7E2B">
        <w:rPr>
          <w:rFonts w:ascii="Arial Narrow" w:hAnsi="Arial Narrow"/>
          <w:sz w:val="18"/>
          <w:szCs w:val="18"/>
        </w:rPr>
        <w:t xml:space="preserve">part of </w:t>
      </w:r>
      <w:r w:rsidR="00E16F8A" w:rsidRPr="003E7E2B">
        <w:rPr>
          <w:rFonts w:ascii="Arial Narrow" w:hAnsi="Arial Narrow"/>
          <w:sz w:val="18"/>
          <w:szCs w:val="18"/>
        </w:rPr>
        <w:t>the base case in the minor resubmission.</w:t>
      </w:r>
    </w:p>
    <w:p w:rsidR="006D5980" w:rsidRPr="003E7E2B" w:rsidRDefault="000C34B4" w:rsidP="003700E5">
      <w:pPr>
        <w:keepNext/>
        <w:keepLines/>
        <w:spacing w:after="120"/>
        <w:contextualSpacing/>
        <w:rPr>
          <w:rFonts w:ascii="Arial Narrow" w:hAnsi="Arial Narrow"/>
          <w:sz w:val="18"/>
          <w:szCs w:val="18"/>
        </w:rPr>
      </w:pPr>
      <w:r w:rsidRPr="003E7E2B">
        <w:rPr>
          <w:rFonts w:ascii="Arial Narrow" w:hAnsi="Arial Narrow"/>
          <w:sz w:val="18"/>
          <w:szCs w:val="18"/>
          <w:vertAlign w:val="superscript"/>
        </w:rPr>
        <w:t>b</w:t>
      </w:r>
      <w:r w:rsidRPr="003E7E2B">
        <w:rPr>
          <w:rFonts w:ascii="Arial Narrow" w:hAnsi="Arial Narrow"/>
          <w:sz w:val="18"/>
          <w:szCs w:val="18"/>
        </w:rPr>
        <w:t xml:space="preserve"> </w:t>
      </w:r>
      <w:proofErr w:type="gramStart"/>
      <w:r w:rsidR="009842CC" w:rsidRPr="003E7E2B">
        <w:rPr>
          <w:rFonts w:ascii="Arial Narrow" w:hAnsi="Arial Narrow"/>
          <w:sz w:val="18"/>
          <w:szCs w:val="18"/>
        </w:rPr>
        <w:t>The</w:t>
      </w:r>
      <w:proofErr w:type="gramEnd"/>
      <w:r w:rsidR="009842CC" w:rsidRPr="003E7E2B">
        <w:rPr>
          <w:rFonts w:ascii="Arial Narrow" w:hAnsi="Arial Narrow"/>
          <w:sz w:val="18"/>
          <w:szCs w:val="18"/>
        </w:rPr>
        <w:t xml:space="preserve"> model assumed </w:t>
      </w:r>
      <w:r w:rsidR="009842CC" w:rsidRPr="00186A08">
        <w:rPr>
          <w:rFonts w:ascii="Arial Narrow" w:hAnsi="Arial Narrow"/>
          <w:sz w:val="18"/>
          <w:szCs w:val="18"/>
        </w:rPr>
        <w:t xml:space="preserve">that </w:t>
      </w:r>
      <w:r w:rsidR="00B76982">
        <w:rPr>
          <w:rFonts w:ascii="Arial Narrow" w:hAnsi="Arial Narrow"/>
          <w:noProof/>
          <w:color w:val="000000"/>
          <w:sz w:val="18"/>
          <w:szCs w:val="18"/>
          <w:highlight w:val="black"/>
        </w:rPr>
        <w:t>''''''''''''' '''''' ''''''''</w:t>
      </w:r>
      <w:r w:rsidR="009842CC" w:rsidRPr="003E7E2B">
        <w:rPr>
          <w:rFonts w:ascii="Arial Narrow" w:hAnsi="Arial Narrow"/>
          <w:sz w:val="18"/>
          <w:szCs w:val="18"/>
        </w:rPr>
        <w:t xml:space="preserve">) of patients in the NIVO+IPI arm would receive subsequent nivolumab monotherapy. This was based on the subsequent therapies used in the pivotal trial (CA209214). </w:t>
      </w:r>
      <w:r w:rsidR="00DA2283" w:rsidRPr="003E7E2B">
        <w:rPr>
          <w:rFonts w:ascii="Arial Narrow" w:hAnsi="Arial Narrow"/>
          <w:sz w:val="18"/>
          <w:szCs w:val="18"/>
        </w:rPr>
        <w:t>This differed to the assumptions used in the financial estimates</w:t>
      </w:r>
      <w:r w:rsidR="00151EE4" w:rsidRPr="003E7E2B">
        <w:rPr>
          <w:rFonts w:ascii="Arial Narrow" w:hAnsi="Arial Narrow"/>
          <w:sz w:val="18"/>
          <w:szCs w:val="18"/>
        </w:rPr>
        <w:t>, which were based on an advisory board</w:t>
      </w:r>
      <w:r w:rsidR="00DA2283" w:rsidRPr="003E7E2B">
        <w:rPr>
          <w:rFonts w:ascii="Arial Narrow" w:hAnsi="Arial Narrow"/>
          <w:sz w:val="18"/>
          <w:szCs w:val="18"/>
        </w:rPr>
        <w:t xml:space="preserve">. </w:t>
      </w:r>
      <w:r w:rsidR="009842CC" w:rsidRPr="003E7E2B">
        <w:rPr>
          <w:rFonts w:ascii="Arial Narrow" w:hAnsi="Arial Narrow"/>
          <w:sz w:val="18"/>
          <w:szCs w:val="18"/>
        </w:rPr>
        <w:t>In this sensitivity analysis, only the costs of subsequent therapy are changed (and not the efficacy, which is based on survival curves from CA209214).</w:t>
      </w:r>
      <w:r w:rsidR="000532D3" w:rsidRPr="003E7E2B">
        <w:rPr>
          <w:rFonts w:ascii="Arial Narrow" w:hAnsi="Arial Narrow"/>
          <w:sz w:val="18"/>
          <w:szCs w:val="18"/>
        </w:rPr>
        <w:t xml:space="preserve"> In the f</w:t>
      </w:r>
      <w:r w:rsidR="00845EDE">
        <w:rPr>
          <w:rFonts w:ascii="Arial Narrow" w:hAnsi="Arial Narrow"/>
          <w:sz w:val="18"/>
          <w:szCs w:val="18"/>
        </w:rPr>
        <w:t>irst sensitivity analysis, cell</w:t>
      </w:r>
    </w:p>
    <w:p w:rsidR="000532D3" w:rsidRPr="003E7E2B" w:rsidRDefault="000532D3" w:rsidP="003700E5">
      <w:pPr>
        <w:keepNext/>
        <w:keepLines/>
        <w:spacing w:after="120"/>
        <w:contextualSpacing/>
        <w:rPr>
          <w:rFonts w:ascii="Arial Narrow" w:hAnsi="Arial Narrow"/>
          <w:sz w:val="18"/>
          <w:szCs w:val="18"/>
        </w:rPr>
      </w:pPr>
      <w:proofErr w:type="gramStart"/>
      <w:r w:rsidRPr="003E7E2B">
        <w:rPr>
          <w:rFonts w:ascii="Arial Narrow" w:hAnsi="Arial Narrow"/>
          <w:sz w:val="18"/>
          <w:szCs w:val="18"/>
          <w:vertAlign w:val="superscript"/>
        </w:rPr>
        <w:t>c</w:t>
      </w:r>
      <w:proofErr w:type="gramEnd"/>
      <w:r w:rsidRPr="003E7E2B">
        <w:rPr>
          <w:rFonts w:ascii="Arial Narrow" w:hAnsi="Arial Narrow"/>
          <w:sz w:val="18"/>
          <w:szCs w:val="18"/>
        </w:rPr>
        <w:t xml:space="preserve"> </w:t>
      </w:r>
      <w:proofErr w:type="spellStart"/>
      <w:r w:rsidRPr="003E7E2B">
        <w:rPr>
          <w:rFonts w:ascii="Arial Narrow" w:hAnsi="Arial Narrow"/>
          <w:sz w:val="18"/>
          <w:szCs w:val="18"/>
        </w:rPr>
        <w:t>Pazopanib</w:t>
      </w:r>
      <w:proofErr w:type="spellEnd"/>
      <w:r w:rsidRPr="003E7E2B">
        <w:rPr>
          <w:rFonts w:ascii="Arial Narrow" w:hAnsi="Arial Narrow"/>
          <w:sz w:val="18"/>
          <w:szCs w:val="18"/>
        </w:rPr>
        <w:t xml:space="preserve"> was selected as this was the most commonly used subsequent therapy in CA209214.</w:t>
      </w:r>
    </w:p>
    <w:p w:rsidR="000C34B4" w:rsidRPr="003E7E2B" w:rsidRDefault="000532D3" w:rsidP="003700E5">
      <w:pPr>
        <w:keepNext/>
        <w:keepLines/>
        <w:spacing w:after="120"/>
        <w:contextualSpacing/>
        <w:rPr>
          <w:rFonts w:ascii="Arial Narrow" w:hAnsi="Arial Narrow"/>
          <w:sz w:val="18"/>
          <w:szCs w:val="18"/>
        </w:rPr>
      </w:pPr>
      <w:r w:rsidRPr="003E7E2B">
        <w:rPr>
          <w:rFonts w:ascii="Arial Narrow" w:hAnsi="Arial Narrow"/>
          <w:sz w:val="18"/>
          <w:szCs w:val="18"/>
          <w:vertAlign w:val="superscript"/>
        </w:rPr>
        <w:t>d</w:t>
      </w:r>
      <w:r w:rsidR="006D5980" w:rsidRPr="003E7E2B">
        <w:rPr>
          <w:rFonts w:ascii="Arial Narrow" w:hAnsi="Arial Narrow"/>
          <w:sz w:val="18"/>
          <w:szCs w:val="18"/>
          <w:vertAlign w:val="superscript"/>
        </w:rPr>
        <w:t xml:space="preserve"> </w:t>
      </w:r>
      <w:proofErr w:type="gramStart"/>
      <w:r w:rsidR="000C34B4" w:rsidRPr="003E7E2B">
        <w:rPr>
          <w:rFonts w:ascii="Arial Narrow" w:hAnsi="Arial Narrow"/>
          <w:sz w:val="18"/>
          <w:szCs w:val="18"/>
        </w:rPr>
        <w:t>This</w:t>
      </w:r>
      <w:proofErr w:type="gramEnd"/>
      <w:r w:rsidR="000C34B4" w:rsidRPr="003E7E2B">
        <w:rPr>
          <w:rFonts w:ascii="Arial Narrow" w:hAnsi="Arial Narrow"/>
          <w:sz w:val="18"/>
          <w:szCs w:val="18"/>
        </w:rPr>
        <w:t xml:space="preserve"> would increase the average number of nivolumab doses per patient from </w:t>
      </w:r>
      <w:r w:rsidR="00B76982">
        <w:rPr>
          <w:rFonts w:ascii="Arial Narrow" w:hAnsi="Arial Narrow"/>
          <w:noProof/>
          <w:color w:val="000000"/>
          <w:sz w:val="18"/>
          <w:szCs w:val="18"/>
          <w:highlight w:val="black"/>
        </w:rPr>
        <w:t>'''''''''''</w:t>
      </w:r>
      <w:r w:rsidR="000C34B4" w:rsidRPr="00186A08">
        <w:rPr>
          <w:rFonts w:ascii="Arial Narrow" w:hAnsi="Arial Narrow"/>
          <w:sz w:val="18"/>
          <w:szCs w:val="18"/>
        </w:rPr>
        <w:t xml:space="preserve"> to </w:t>
      </w:r>
      <w:r w:rsidR="00B76982">
        <w:rPr>
          <w:rFonts w:ascii="Arial Narrow" w:hAnsi="Arial Narrow"/>
          <w:noProof/>
          <w:color w:val="000000"/>
          <w:sz w:val="18"/>
          <w:szCs w:val="18"/>
          <w:highlight w:val="black"/>
        </w:rPr>
        <w:t>'''''''''''</w:t>
      </w:r>
      <w:r w:rsidR="000C34B4" w:rsidRPr="00186A08">
        <w:rPr>
          <w:rFonts w:ascii="Arial Narrow" w:hAnsi="Arial Narrow"/>
          <w:sz w:val="18"/>
          <w:szCs w:val="18"/>
        </w:rPr>
        <w:t>,</w:t>
      </w:r>
      <w:r w:rsidR="000C34B4" w:rsidRPr="003E7E2B">
        <w:rPr>
          <w:rFonts w:ascii="Arial Narrow" w:hAnsi="Arial Narrow"/>
          <w:sz w:val="18"/>
          <w:szCs w:val="18"/>
        </w:rPr>
        <w:t xml:space="preserve"> which would impact the financial estimates.</w:t>
      </w:r>
    </w:p>
    <w:p w:rsidR="00FA719A" w:rsidRDefault="00FA719A">
      <w:pPr>
        <w:rPr>
          <w:rFonts w:asciiTheme="minorHAnsi" w:eastAsiaTheme="majorEastAsia" w:hAnsiTheme="minorHAnsi" w:cstheme="majorBidi"/>
          <w:snapToGrid w:val="0"/>
          <w:lang w:eastAsia="en-US"/>
        </w:rPr>
      </w:pPr>
      <w:r>
        <w:rPr>
          <w:rFonts w:asciiTheme="minorHAnsi" w:eastAsiaTheme="majorEastAsia" w:hAnsiTheme="minorHAnsi" w:cstheme="majorBidi"/>
        </w:rPr>
        <w:br w:type="page"/>
      </w:r>
    </w:p>
    <w:p w:rsidR="004105D9" w:rsidRPr="003E7E2B" w:rsidRDefault="004105D9" w:rsidP="004105D9">
      <w:pPr>
        <w:pStyle w:val="ListParagraph"/>
        <w:numPr>
          <w:ilvl w:val="1"/>
          <w:numId w:val="14"/>
        </w:numPr>
        <w:spacing w:after="120"/>
        <w:contextualSpacing w:val="0"/>
        <w:rPr>
          <w:rFonts w:asciiTheme="minorHAnsi" w:eastAsiaTheme="majorEastAsia" w:hAnsiTheme="minorHAnsi" w:cstheme="majorBidi"/>
          <w:sz w:val="24"/>
          <w:szCs w:val="24"/>
        </w:rPr>
      </w:pPr>
      <w:r w:rsidRPr="003E7E2B">
        <w:rPr>
          <w:rFonts w:asciiTheme="minorHAnsi" w:eastAsiaTheme="majorEastAsia" w:hAnsiTheme="minorHAnsi" w:cstheme="majorBidi"/>
          <w:sz w:val="24"/>
          <w:szCs w:val="24"/>
        </w:rPr>
        <w:lastRenderedPageBreak/>
        <w:t xml:space="preserve">The PBAC noted that the ICER would be </w:t>
      </w:r>
      <w:r w:rsidR="0058664C" w:rsidRPr="003E7E2B">
        <w:rPr>
          <w:rFonts w:asciiTheme="minorHAnsi" w:eastAsiaTheme="majorEastAsia" w:hAnsiTheme="minorHAnsi" w:cstheme="majorBidi"/>
          <w:sz w:val="24"/>
          <w:szCs w:val="24"/>
        </w:rPr>
        <w:t>around</w:t>
      </w:r>
      <w:r w:rsidR="005E0B44" w:rsidRPr="003E7E2B">
        <w:rPr>
          <w:rFonts w:asciiTheme="minorHAnsi" w:eastAsiaTheme="majorEastAsia" w:hAnsiTheme="minorHAnsi" w:cstheme="majorBidi"/>
          <w:sz w:val="24"/>
          <w:szCs w:val="24"/>
        </w:rPr>
        <w:t xml:space="preserve"> </w:t>
      </w:r>
      <w:r w:rsidR="00AC56E6">
        <w:rPr>
          <w:rFonts w:asciiTheme="minorHAnsi" w:eastAsiaTheme="majorEastAsia" w:hAnsiTheme="minorHAnsi" w:cstheme="majorBidi"/>
          <w:sz w:val="24"/>
          <w:szCs w:val="24"/>
        </w:rPr>
        <w:t>$45,000/QALY – $75,000/QALY</w:t>
      </w:r>
      <w:r w:rsidR="005E0B44" w:rsidRPr="003E7E2B">
        <w:rPr>
          <w:rFonts w:asciiTheme="minorHAnsi" w:eastAsiaTheme="majorEastAsia" w:hAnsiTheme="minorHAnsi" w:cstheme="majorBidi"/>
          <w:sz w:val="24"/>
          <w:szCs w:val="24"/>
        </w:rPr>
        <w:t xml:space="preserve"> </w:t>
      </w:r>
      <w:r w:rsidRPr="003E7E2B">
        <w:rPr>
          <w:rFonts w:asciiTheme="minorHAnsi" w:eastAsiaTheme="majorEastAsia" w:hAnsiTheme="minorHAnsi" w:cstheme="majorBidi"/>
          <w:sz w:val="24"/>
          <w:szCs w:val="24"/>
        </w:rPr>
        <w:t xml:space="preserve">if the restrictions for </w:t>
      </w:r>
      <w:proofErr w:type="spellStart"/>
      <w:r w:rsidRPr="003E7E2B">
        <w:rPr>
          <w:rFonts w:asciiTheme="minorHAnsi" w:eastAsiaTheme="majorEastAsia" w:hAnsiTheme="minorHAnsi" w:cstheme="majorBidi"/>
          <w:sz w:val="24"/>
          <w:szCs w:val="24"/>
        </w:rPr>
        <w:t>axitinib</w:t>
      </w:r>
      <w:proofErr w:type="spellEnd"/>
      <w:r w:rsidRPr="003E7E2B">
        <w:rPr>
          <w:rFonts w:asciiTheme="minorHAnsi" w:eastAsiaTheme="majorEastAsia" w:hAnsiTheme="minorHAnsi" w:cstheme="majorBidi"/>
          <w:sz w:val="24"/>
          <w:szCs w:val="24"/>
        </w:rPr>
        <w:t xml:space="preserve">, </w:t>
      </w:r>
      <w:proofErr w:type="spellStart"/>
      <w:r w:rsidRPr="003E7E2B">
        <w:rPr>
          <w:rFonts w:asciiTheme="minorHAnsi" w:eastAsiaTheme="majorEastAsia" w:hAnsiTheme="minorHAnsi" w:cstheme="majorBidi"/>
          <w:sz w:val="24"/>
          <w:szCs w:val="24"/>
        </w:rPr>
        <w:t>cabozantinib</w:t>
      </w:r>
      <w:proofErr w:type="spellEnd"/>
      <w:r w:rsidRPr="003E7E2B">
        <w:rPr>
          <w:rFonts w:asciiTheme="minorHAnsi" w:eastAsiaTheme="majorEastAsia" w:hAnsiTheme="minorHAnsi" w:cstheme="majorBidi"/>
          <w:sz w:val="24"/>
          <w:szCs w:val="24"/>
        </w:rPr>
        <w:t>, sorafenib and everolimus are changed, and nivolumab monotherapy is not subsidised following prior NIVO+IPI</w:t>
      </w:r>
      <w:r w:rsidR="00747110" w:rsidRPr="003E7E2B">
        <w:rPr>
          <w:rFonts w:asciiTheme="minorHAnsi" w:eastAsiaTheme="majorEastAsia" w:hAnsiTheme="minorHAnsi" w:cstheme="majorBidi"/>
          <w:sz w:val="24"/>
          <w:szCs w:val="24"/>
        </w:rPr>
        <w:t xml:space="preserve">. The PBAC noted that this scenario aligned </w:t>
      </w:r>
      <w:r w:rsidRPr="003E7E2B">
        <w:rPr>
          <w:rFonts w:asciiTheme="minorHAnsi" w:eastAsiaTheme="majorEastAsia" w:hAnsiTheme="minorHAnsi" w:cstheme="majorBidi"/>
          <w:sz w:val="24"/>
          <w:szCs w:val="24"/>
        </w:rPr>
        <w:t xml:space="preserve">with the </w:t>
      </w:r>
      <w:r w:rsidR="00747110" w:rsidRPr="003E7E2B">
        <w:rPr>
          <w:rFonts w:asciiTheme="minorHAnsi" w:eastAsiaTheme="majorEastAsia" w:hAnsiTheme="minorHAnsi" w:cstheme="majorBidi"/>
          <w:sz w:val="24"/>
          <w:szCs w:val="24"/>
        </w:rPr>
        <w:t>restriction changes that it consider</w:t>
      </w:r>
      <w:r w:rsidR="00845EDE">
        <w:rPr>
          <w:rFonts w:asciiTheme="minorHAnsi" w:eastAsiaTheme="majorEastAsia" w:hAnsiTheme="minorHAnsi" w:cstheme="majorBidi"/>
          <w:sz w:val="24"/>
          <w:szCs w:val="24"/>
        </w:rPr>
        <w:t>ed would be appropriate.</w:t>
      </w:r>
    </w:p>
    <w:p w:rsidR="003C2FB5" w:rsidRPr="003E7E2B" w:rsidRDefault="00A55FEE" w:rsidP="0027241C">
      <w:pPr>
        <w:pStyle w:val="Heading2"/>
        <w:rPr>
          <w:rFonts w:eastAsiaTheme="majorEastAsia"/>
          <w:lang w:eastAsia="en-US"/>
        </w:rPr>
      </w:pPr>
      <w:r w:rsidRPr="003E7E2B">
        <w:rPr>
          <w:rFonts w:eastAsiaTheme="majorEastAsia"/>
          <w:lang w:eastAsia="en-US"/>
        </w:rPr>
        <w:t>Drug cost/patient/course: $</w:t>
      </w:r>
      <w:r w:rsidR="00B76982">
        <w:rPr>
          <w:rFonts w:eastAsiaTheme="majorEastAsia"/>
          <w:noProof/>
          <w:color w:val="000000"/>
          <w:highlight w:val="black"/>
          <w:lang w:eastAsia="en-US"/>
        </w:rPr>
        <w:t>'''''''''''''</w:t>
      </w:r>
      <w:r w:rsidRPr="003E7E2B">
        <w:rPr>
          <w:rFonts w:eastAsiaTheme="majorEastAsia"/>
          <w:lang w:eastAsia="en-US"/>
        </w:rPr>
        <w:t>.</w:t>
      </w:r>
    </w:p>
    <w:p w:rsidR="00F16161" w:rsidRPr="003E7E2B" w:rsidRDefault="00F16161" w:rsidP="003D2AEF">
      <w:pPr>
        <w:pStyle w:val="ListParagraph"/>
        <w:numPr>
          <w:ilvl w:val="1"/>
          <w:numId w:val="14"/>
        </w:numPr>
        <w:spacing w:after="120"/>
        <w:contextualSpacing w:val="0"/>
        <w:rPr>
          <w:rFonts w:asciiTheme="minorHAnsi" w:eastAsiaTheme="minorHAnsi" w:hAnsiTheme="minorHAnsi" w:cstheme="minorBidi"/>
          <w:snapToGrid/>
          <w:sz w:val="24"/>
          <w:szCs w:val="22"/>
        </w:rPr>
      </w:pPr>
      <w:r w:rsidRPr="003E7E2B">
        <w:rPr>
          <w:rFonts w:asciiTheme="minorHAnsi" w:eastAsiaTheme="minorHAnsi" w:hAnsiTheme="minorHAnsi" w:cstheme="minorBidi"/>
          <w:snapToGrid/>
          <w:sz w:val="24"/>
          <w:szCs w:val="22"/>
        </w:rPr>
        <w:t xml:space="preserve">This consists of a cost per patient per course of </w:t>
      </w:r>
      <w:r w:rsidR="00161B7F" w:rsidRPr="003E7E2B">
        <w:rPr>
          <w:rFonts w:asciiTheme="minorHAnsi" w:eastAsiaTheme="minorHAnsi" w:hAnsiTheme="minorHAnsi" w:cstheme="minorBidi"/>
          <w:snapToGrid/>
          <w:sz w:val="24"/>
          <w:szCs w:val="22"/>
        </w:rPr>
        <w:t>$</w:t>
      </w:r>
      <w:r w:rsidR="00B76982">
        <w:rPr>
          <w:rFonts w:asciiTheme="minorHAnsi" w:eastAsiaTheme="minorHAnsi" w:hAnsiTheme="minorHAnsi" w:cstheme="minorBidi"/>
          <w:noProof/>
          <w:snapToGrid/>
          <w:color w:val="000000"/>
          <w:sz w:val="24"/>
          <w:szCs w:val="22"/>
          <w:highlight w:val="black"/>
        </w:rPr>
        <w:t>'''''''''''''</w:t>
      </w:r>
      <w:r w:rsidR="00161B7F" w:rsidRPr="003E7E2B">
        <w:rPr>
          <w:rFonts w:asciiTheme="minorHAnsi" w:eastAsiaTheme="minorHAnsi" w:hAnsiTheme="minorHAnsi" w:cstheme="minorBidi"/>
          <w:snapToGrid/>
          <w:sz w:val="24"/>
          <w:szCs w:val="22"/>
        </w:rPr>
        <w:t xml:space="preserve"> for NIVO and </w:t>
      </w:r>
      <w:r w:rsidRPr="003E7E2B">
        <w:rPr>
          <w:rFonts w:asciiTheme="minorHAnsi" w:eastAsiaTheme="minorHAnsi" w:hAnsiTheme="minorHAnsi" w:cstheme="minorBidi"/>
          <w:snapToGrid/>
          <w:sz w:val="24"/>
          <w:szCs w:val="22"/>
        </w:rPr>
        <w:t>$</w:t>
      </w:r>
      <w:r w:rsidR="00B76982">
        <w:rPr>
          <w:rFonts w:asciiTheme="minorHAnsi" w:eastAsiaTheme="minorHAnsi" w:hAnsiTheme="minorHAnsi" w:cstheme="minorBidi"/>
          <w:noProof/>
          <w:snapToGrid/>
          <w:color w:val="000000"/>
          <w:sz w:val="24"/>
          <w:szCs w:val="22"/>
          <w:highlight w:val="black"/>
        </w:rPr>
        <w:t>''''''''''''''</w:t>
      </w:r>
      <w:r w:rsidRPr="003E7E2B">
        <w:rPr>
          <w:rFonts w:asciiTheme="minorHAnsi" w:eastAsiaTheme="minorHAnsi" w:hAnsiTheme="minorHAnsi" w:cstheme="minorBidi"/>
          <w:snapToGrid/>
          <w:sz w:val="24"/>
          <w:szCs w:val="22"/>
        </w:rPr>
        <w:t xml:space="preserve"> for </w:t>
      </w:r>
      <w:r w:rsidR="00161B7F" w:rsidRPr="003E7E2B">
        <w:rPr>
          <w:rFonts w:asciiTheme="minorHAnsi" w:eastAsiaTheme="minorHAnsi" w:hAnsiTheme="minorHAnsi" w:cstheme="minorBidi"/>
          <w:snapToGrid/>
          <w:sz w:val="24"/>
          <w:szCs w:val="22"/>
        </w:rPr>
        <w:t>IPI</w:t>
      </w:r>
      <w:r w:rsidRPr="003E7E2B">
        <w:rPr>
          <w:rFonts w:asciiTheme="minorHAnsi" w:eastAsiaTheme="minorHAnsi" w:hAnsiTheme="minorHAnsi" w:cstheme="minorBidi"/>
          <w:snapToGrid/>
          <w:sz w:val="24"/>
          <w:szCs w:val="22"/>
        </w:rPr>
        <w:t>.</w:t>
      </w:r>
    </w:p>
    <w:p w:rsidR="00F16161" w:rsidRPr="003E7E2B" w:rsidRDefault="00F16161" w:rsidP="003D2AEF">
      <w:pPr>
        <w:pStyle w:val="ListParagraph"/>
        <w:numPr>
          <w:ilvl w:val="1"/>
          <w:numId w:val="14"/>
        </w:numPr>
        <w:spacing w:after="120"/>
        <w:contextualSpacing w:val="0"/>
        <w:rPr>
          <w:rFonts w:asciiTheme="minorHAnsi" w:eastAsiaTheme="minorHAnsi" w:hAnsiTheme="minorHAnsi" w:cstheme="minorBidi"/>
          <w:snapToGrid/>
          <w:sz w:val="24"/>
          <w:szCs w:val="22"/>
        </w:rPr>
      </w:pPr>
      <w:r w:rsidRPr="003E7E2B">
        <w:rPr>
          <w:rFonts w:asciiTheme="minorHAnsi" w:eastAsiaTheme="minorHAnsi" w:hAnsiTheme="minorHAnsi" w:cstheme="minorBidi"/>
          <w:snapToGrid/>
          <w:sz w:val="24"/>
          <w:szCs w:val="22"/>
        </w:rPr>
        <w:t xml:space="preserve">For NIVO, this cost was based on: </w:t>
      </w:r>
      <w:r w:rsidR="00161B7F" w:rsidRPr="003E7E2B">
        <w:rPr>
          <w:rFonts w:asciiTheme="minorHAnsi" w:eastAsiaTheme="minorHAnsi" w:hAnsiTheme="minorHAnsi" w:cstheme="minorBidi"/>
          <w:snapToGrid/>
          <w:sz w:val="24"/>
          <w:szCs w:val="22"/>
        </w:rPr>
        <w:t xml:space="preserve">an </w:t>
      </w:r>
      <w:r w:rsidR="005F1CE4" w:rsidRPr="003E7E2B">
        <w:rPr>
          <w:rFonts w:asciiTheme="minorHAnsi" w:eastAsiaTheme="minorHAnsi" w:hAnsiTheme="minorHAnsi" w:cstheme="minorBidi"/>
          <w:snapToGrid/>
          <w:sz w:val="24"/>
          <w:szCs w:val="22"/>
        </w:rPr>
        <w:t xml:space="preserve">average of </w:t>
      </w:r>
      <w:r w:rsidR="00B76982">
        <w:rPr>
          <w:rFonts w:asciiTheme="minorHAnsi" w:eastAsiaTheme="minorHAnsi" w:hAnsiTheme="minorHAnsi" w:cstheme="minorBidi"/>
          <w:noProof/>
          <w:snapToGrid/>
          <w:color w:val="000000"/>
          <w:sz w:val="24"/>
          <w:szCs w:val="22"/>
          <w:highlight w:val="black"/>
        </w:rPr>
        <w:t>'''''''''</w:t>
      </w:r>
      <w:r w:rsidR="005F1CE4" w:rsidRPr="003E7E2B">
        <w:rPr>
          <w:rFonts w:asciiTheme="minorHAnsi" w:eastAsiaTheme="minorHAnsi" w:hAnsiTheme="minorHAnsi" w:cstheme="minorBidi"/>
          <w:snapToGrid/>
          <w:sz w:val="24"/>
          <w:szCs w:val="22"/>
        </w:rPr>
        <w:t xml:space="preserve"> infusions per patient (</w:t>
      </w:r>
      <w:r w:rsidR="003E7E2B">
        <w:rPr>
          <w:rFonts w:asciiTheme="minorHAnsi" w:eastAsiaTheme="minorHAnsi" w:hAnsiTheme="minorHAnsi" w:cstheme="minorBidi"/>
          <w:snapToGrid/>
          <w:sz w:val="24"/>
          <w:szCs w:val="22"/>
        </w:rPr>
        <w:t xml:space="preserve">from </w:t>
      </w:r>
      <w:r w:rsidR="005F1CE4" w:rsidRPr="003E7E2B">
        <w:rPr>
          <w:rFonts w:asciiTheme="minorHAnsi" w:eastAsiaTheme="minorHAnsi" w:hAnsiTheme="minorHAnsi" w:cstheme="minorBidi"/>
          <w:snapToGrid/>
          <w:sz w:val="24"/>
          <w:szCs w:val="22"/>
        </w:rPr>
        <w:t xml:space="preserve">the economic model), and the </w:t>
      </w:r>
      <w:r w:rsidR="00F400AC" w:rsidRPr="003E7E2B">
        <w:rPr>
          <w:rFonts w:asciiTheme="minorHAnsi" w:eastAsiaTheme="minorHAnsi" w:hAnsiTheme="minorHAnsi" w:cstheme="minorBidi"/>
          <w:snapToGrid/>
          <w:sz w:val="24"/>
          <w:szCs w:val="22"/>
        </w:rPr>
        <w:t xml:space="preserve">effective </w:t>
      </w:r>
      <w:r w:rsidR="005F1CE4" w:rsidRPr="003E7E2B">
        <w:rPr>
          <w:rFonts w:asciiTheme="minorHAnsi" w:eastAsiaTheme="minorHAnsi" w:hAnsiTheme="minorHAnsi" w:cstheme="minorBidi"/>
          <w:snapToGrid/>
          <w:sz w:val="24"/>
          <w:szCs w:val="22"/>
        </w:rPr>
        <w:t>DPMA of $</w:t>
      </w:r>
      <w:r w:rsidR="00B76982">
        <w:rPr>
          <w:rFonts w:asciiTheme="minorHAnsi" w:eastAsiaTheme="minorHAnsi" w:hAnsiTheme="minorHAnsi" w:cstheme="minorBidi"/>
          <w:noProof/>
          <w:snapToGrid/>
          <w:color w:val="000000"/>
          <w:sz w:val="24"/>
          <w:szCs w:val="22"/>
          <w:highlight w:val="black"/>
        </w:rPr>
        <w:t>'''''''''''</w:t>
      </w:r>
      <w:r w:rsidR="005F1CE4" w:rsidRPr="003E7E2B">
        <w:rPr>
          <w:rFonts w:asciiTheme="minorHAnsi" w:eastAsiaTheme="minorHAnsi" w:hAnsiTheme="minorHAnsi" w:cstheme="minorBidi"/>
          <w:snapToGrid/>
          <w:sz w:val="24"/>
          <w:szCs w:val="22"/>
        </w:rPr>
        <w:t xml:space="preserve">. </w:t>
      </w:r>
      <w:r w:rsidR="00A832BD" w:rsidRPr="003E7E2B">
        <w:rPr>
          <w:rFonts w:asciiTheme="minorHAnsi" w:eastAsiaTheme="minorHAnsi" w:hAnsiTheme="minorHAnsi" w:cstheme="minorBidi"/>
          <w:snapToGrid/>
          <w:sz w:val="24"/>
          <w:szCs w:val="22"/>
        </w:rPr>
        <w:t xml:space="preserve">This </w:t>
      </w:r>
      <w:r w:rsidR="00A42FEC" w:rsidRPr="003C2660">
        <w:rPr>
          <w:rFonts w:asciiTheme="minorHAnsi" w:eastAsiaTheme="minorHAnsi" w:hAnsiTheme="minorHAnsi" w:cstheme="minorBidi"/>
          <w:snapToGrid/>
          <w:sz w:val="24"/>
          <w:szCs w:val="22"/>
        </w:rPr>
        <w:t>cost ($</w:t>
      </w:r>
      <w:r w:rsidR="00B76982">
        <w:rPr>
          <w:rFonts w:asciiTheme="minorHAnsi" w:eastAsiaTheme="minorHAnsi" w:hAnsiTheme="minorHAnsi" w:cstheme="minorBidi"/>
          <w:noProof/>
          <w:snapToGrid/>
          <w:color w:val="000000"/>
          <w:sz w:val="24"/>
          <w:szCs w:val="22"/>
          <w:highlight w:val="black"/>
        </w:rPr>
        <w:t>''''''''''''</w:t>
      </w:r>
      <w:r w:rsidR="00A42FEC" w:rsidRPr="003C2660">
        <w:rPr>
          <w:rFonts w:asciiTheme="minorHAnsi" w:eastAsiaTheme="minorHAnsi" w:hAnsiTheme="minorHAnsi" w:cstheme="minorBidi"/>
          <w:snapToGrid/>
          <w:sz w:val="24"/>
          <w:szCs w:val="22"/>
        </w:rPr>
        <w:t xml:space="preserve">) </w:t>
      </w:r>
      <w:r w:rsidR="00A832BD" w:rsidRPr="003C2660">
        <w:rPr>
          <w:rFonts w:asciiTheme="minorHAnsi" w:eastAsiaTheme="minorHAnsi" w:hAnsiTheme="minorHAnsi" w:cstheme="minorBidi"/>
          <w:snapToGrid/>
          <w:sz w:val="24"/>
          <w:szCs w:val="22"/>
        </w:rPr>
        <w:t xml:space="preserve">was </w:t>
      </w:r>
      <w:r w:rsidR="00A42FEC" w:rsidRPr="003C2660">
        <w:rPr>
          <w:rFonts w:asciiTheme="minorHAnsi" w:eastAsiaTheme="minorHAnsi" w:hAnsiTheme="minorHAnsi" w:cstheme="minorBidi"/>
          <w:snapToGrid/>
          <w:sz w:val="24"/>
          <w:szCs w:val="22"/>
        </w:rPr>
        <w:t>lower</w:t>
      </w:r>
      <w:r w:rsidR="00A832BD" w:rsidRPr="003C2660">
        <w:rPr>
          <w:rFonts w:asciiTheme="minorHAnsi" w:eastAsiaTheme="minorHAnsi" w:hAnsiTheme="minorHAnsi" w:cstheme="minorBidi"/>
          <w:snapToGrid/>
          <w:sz w:val="24"/>
          <w:szCs w:val="22"/>
        </w:rPr>
        <w:t xml:space="preserve"> than </w:t>
      </w:r>
      <w:r w:rsidR="00A42FEC" w:rsidRPr="003C2660">
        <w:rPr>
          <w:rFonts w:asciiTheme="minorHAnsi" w:eastAsiaTheme="minorHAnsi" w:hAnsiTheme="minorHAnsi" w:cstheme="minorBidi"/>
          <w:snapToGrid/>
          <w:sz w:val="24"/>
          <w:szCs w:val="22"/>
        </w:rPr>
        <w:t>estimated in</w:t>
      </w:r>
      <w:r w:rsidR="00A832BD" w:rsidRPr="003C2660">
        <w:rPr>
          <w:rFonts w:asciiTheme="minorHAnsi" w:eastAsiaTheme="minorHAnsi" w:hAnsiTheme="minorHAnsi" w:cstheme="minorBidi"/>
          <w:snapToGrid/>
          <w:sz w:val="24"/>
          <w:szCs w:val="22"/>
        </w:rPr>
        <w:t xml:space="preserve"> the previous submission ($</w:t>
      </w:r>
      <w:r w:rsidR="00B76982">
        <w:rPr>
          <w:rFonts w:asciiTheme="minorHAnsi" w:eastAsiaTheme="minorHAnsi" w:hAnsiTheme="minorHAnsi" w:cstheme="minorBidi"/>
          <w:noProof/>
          <w:snapToGrid/>
          <w:color w:val="000000"/>
          <w:sz w:val="24"/>
          <w:szCs w:val="22"/>
          <w:highlight w:val="black"/>
        </w:rPr>
        <w:t>''''''''''''''</w:t>
      </w:r>
      <w:r w:rsidR="00A832BD" w:rsidRPr="003C2660">
        <w:rPr>
          <w:rFonts w:asciiTheme="minorHAnsi" w:eastAsiaTheme="minorHAnsi" w:hAnsiTheme="minorHAnsi" w:cstheme="minorBidi"/>
          <w:snapToGrid/>
          <w:sz w:val="24"/>
          <w:szCs w:val="22"/>
        </w:rPr>
        <w:t xml:space="preserve"> per patient) because the estimated number of doses was lower (</w:t>
      </w:r>
      <w:r w:rsidR="00B76982">
        <w:rPr>
          <w:rFonts w:asciiTheme="minorHAnsi" w:eastAsiaTheme="minorHAnsi" w:hAnsiTheme="minorHAnsi" w:cstheme="minorBidi"/>
          <w:noProof/>
          <w:snapToGrid/>
          <w:color w:val="000000"/>
          <w:sz w:val="24"/>
          <w:szCs w:val="22"/>
          <w:highlight w:val="black"/>
        </w:rPr>
        <w:t>'''''''''</w:t>
      </w:r>
      <w:r w:rsidR="00A832BD" w:rsidRPr="00186A08">
        <w:rPr>
          <w:rFonts w:asciiTheme="minorHAnsi" w:eastAsiaTheme="minorHAnsi" w:hAnsiTheme="minorHAnsi" w:cstheme="minorBidi"/>
          <w:snapToGrid/>
          <w:sz w:val="24"/>
          <w:szCs w:val="22"/>
        </w:rPr>
        <w:t xml:space="preserve"> versus </w:t>
      </w:r>
      <w:r w:rsidR="00B76982">
        <w:rPr>
          <w:rFonts w:asciiTheme="minorHAnsi" w:eastAsiaTheme="minorHAnsi" w:hAnsiTheme="minorHAnsi" w:cstheme="minorBidi"/>
          <w:noProof/>
          <w:snapToGrid/>
          <w:color w:val="000000"/>
          <w:sz w:val="24"/>
          <w:szCs w:val="22"/>
          <w:highlight w:val="black"/>
        </w:rPr>
        <w:t>''''''''</w:t>
      </w:r>
      <w:r w:rsidR="00A832BD" w:rsidRPr="003E7E2B">
        <w:rPr>
          <w:rFonts w:asciiTheme="minorHAnsi" w:eastAsiaTheme="minorHAnsi" w:hAnsiTheme="minorHAnsi" w:cstheme="minorBidi"/>
          <w:snapToGrid/>
          <w:sz w:val="24"/>
          <w:szCs w:val="22"/>
        </w:rPr>
        <w:t>) due to the changes to the time horizon</w:t>
      </w:r>
      <w:r w:rsidR="00E16F8A" w:rsidRPr="003E7E2B">
        <w:rPr>
          <w:rFonts w:asciiTheme="minorHAnsi" w:eastAsiaTheme="minorHAnsi" w:hAnsiTheme="minorHAnsi" w:cstheme="minorBidi"/>
          <w:snapToGrid/>
          <w:sz w:val="24"/>
          <w:szCs w:val="22"/>
        </w:rPr>
        <w:t xml:space="preserve"> and</w:t>
      </w:r>
      <w:r w:rsidR="00A832BD" w:rsidRPr="003E7E2B">
        <w:rPr>
          <w:rFonts w:asciiTheme="minorHAnsi" w:eastAsiaTheme="minorHAnsi" w:hAnsiTheme="minorHAnsi" w:cstheme="minorBidi"/>
          <w:snapToGrid/>
          <w:sz w:val="24"/>
          <w:szCs w:val="22"/>
        </w:rPr>
        <w:t xml:space="preserve"> </w:t>
      </w:r>
      <w:r w:rsidR="00E16F8A" w:rsidRPr="003E7E2B">
        <w:rPr>
          <w:rFonts w:asciiTheme="minorHAnsi" w:eastAsiaTheme="minorHAnsi" w:hAnsiTheme="minorHAnsi" w:cstheme="minorBidi"/>
          <w:snapToGrid/>
          <w:sz w:val="24"/>
          <w:szCs w:val="22"/>
        </w:rPr>
        <w:t xml:space="preserve">extrapolation of treatment duration, </w:t>
      </w:r>
      <w:r w:rsidR="00A832BD" w:rsidRPr="003E7E2B">
        <w:rPr>
          <w:rFonts w:asciiTheme="minorHAnsi" w:eastAsiaTheme="minorHAnsi" w:hAnsiTheme="minorHAnsi" w:cstheme="minorBidi"/>
          <w:snapToGrid/>
          <w:sz w:val="24"/>
          <w:szCs w:val="22"/>
        </w:rPr>
        <w:t>and the lower proposed price of NIVO.</w:t>
      </w:r>
    </w:p>
    <w:p w:rsidR="00161B7F" w:rsidRPr="003E7E2B" w:rsidRDefault="005F1CE4" w:rsidP="003D2AEF">
      <w:pPr>
        <w:pStyle w:val="ListParagraph"/>
        <w:numPr>
          <w:ilvl w:val="1"/>
          <w:numId w:val="5"/>
        </w:numPr>
        <w:spacing w:after="120"/>
        <w:contextualSpacing w:val="0"/>
        <w:rPr>
          <w:rFonts w:asciiTheme="minorHAnsi" w:eastAsiaTheme="minorHAnsi" w:hAnsiTheme="minorHAnsi" w:cstheme="minorBidi"/>
          <w:snapToGrid/>
          <w:sz w:val="24"/>
          <w:szCs w:val="22"/>
        </w:rPr>
      </w:pPr>
      <w:r w:rsidRPr="003E7E2B">
        <w:rPr>
          <w:rFonts w:asciiTheme="minorHAnsi" w:eastAsiaTheme="minorHAnsi" w:hAnsiTheme="minorHAnsi" w:cstheme="minorBidi"/>
          <w:snapToGrid/>
          <w:sz w:val="24"/>
          <w:szCs w:val="22"/>
        </w:rPr>
        <w:t xml:space="preserve">For IPI, this cost was based on: </w:t>
      </w:r>
      <w:r w:rsidR="00161B7F" w:rsidRPr="003E7E2B">
        <w:rPr>
          <w:rFonts w:asciiTheme="minorHAnsi" w:eastAsiaTheme="minorHAnsi" w:hAnsiTheme="minorHAnsi" w:cstheme="minorBidi"/>
          <w:snapToGrid/>
          <w:sz w:val="24"/>
          <w:szCs w:val="22"/>
        </w:rPr>
        <w:t xml:space="preserve">an average of </w:t>
      </w:r>
      <w:r w:rsidR="00B76982">
        <w:rPr>
          <w:rFonts w:asciiTheme="minorHAnsi" w:eastAsiaTheme="minorHAnsi" w:hAnsiTheme="minorHAnsi" w:cstheme="minorBidi"/>
          <w:noProof/>
          <w:snapToGrid/>
          <w:color w:val="000000"/>
          <w:sz w:val="24"/>
          <w:szCs w:val="22"/>
          <w:highlight w:val="black"/>
        </w:rPr>
        <w:t>'''''''</w:t>
      </w:r>
      <w:r w:rsidR="00161B7F" w:rsidRPr="003E7E2B">
        <w:rPr>
          <w:rFonts w:asciiTheme="minorHAnsi" w:eastAsiaTheme="minorHAnsi" w:hAnsiTheme="minorHAnsi" w:cstheme="minorBidi"/>
          <w:snapToGrid/>
          <w:sz w:val="24"/>
          <w:szCs w:val="22"/>
        </w:rPr>
        <w:t xml:space="preserve"> infusions per patient (</w:t>
      </w:r>
      <w:r w:rsidR="003E7E2B">
        <w:rPr>
          <w:rFonts w:asciiTheme="minorHAnsi" w:eastAsiaTheme="minorHAnsi" w:hAnsiTheme="minorHAnsi" w:cstheme="minorBidi"/>
          <w:snapToGrid/>
          <w:sz w:val="24"/>
          <w:szCs w:val="22"/>
        </w:rPr>
        <w:t xml:space="preserve">from </w:t>
      </w:r>
      <w:r w:rsidR="00161B7F" w:rsidRPr="003E7E2B">
        <w:rPr>
          <w:rFonts w:asciiTheme="minorHAnsi" w:eastAsiaTheme="minorHAnsi" w:hAnsiTheme="minorHAnsi" w:cstheme="minorBidi"/>
          <w:snapToGrid/>
          <w:sz w:val="24"/>
          <w:szCs w:val="22"/>
        </w:rPr>
        <w:t xml:space="preserve">the economic model), and the </w:t>
      </w:r>
      <w:r w:rsidR="00E16F8A" w:rsidRPr="003E7E2B">
        <w:rPr>
          <w:rFonts w:asciiTheme="minorHAnsi" w:eastAsiaTheme="minorHAnsi" w:hAnsiTheme="minorHAnsi" w:cstheme="minorBidi"/>
          <w:snapToGrid/>
          <w:sz w:val="24"/>
          <w:szCs w:val="22"/>
        </w:rPr>
        <w:t>effective</w:t>
      </w:r>
      <w:r w:rsidR="00161B7F" w:rsidRPr="003E7E2B">
        <w:rPr>
          <w:rFonts w:asciiTheme="minorHAnsi" w:eastAsiaTheme="minorHAnsi" w:hAnsiTheme="minorHAnsi" w:cstheme="minorBidi"/>
          <w:snapToGrid/>
          <w:sz w:val="24"/>
          <w:szCs w:val="22"/>
        </w:rPr>
        <w:t xml:space="preserve"> DPMA of $</w:t>
      </w:r>
      <w:r w:rsidR="00B76982">
        <w:rPr>
          <w:rFonts w:asciiTheme="minorHAnsi" w:eastAsiaTheme="minorHAnsi" w:hAnsiTheme="minorHAnsi" w:cstheme="minorBidi"/>
          <w:noProof/>
          <w:snapToGrid/>
          <w:color w:val="000000"/>
          <w:sz w:val="24"/>
          <w:szCs w:val="22"/>
          <w:highlight w:val="black"/>
        </w:rPr>
        <w:t>'''''''''''</w:t>
      </w:r>
      <w:r w:rsidR="00161B7F" w:rsidRPr="003E7E2B">
        <w:rPr>
          <w:rFonts w:asciiTheme="minorHAnsi" w:eastAsiaTheme="minorHAnsi" w:hAnsiTheme="minorHAnsi" w:cstheme="minorBidi"/>
          <w:snapToGrid/>
          <w:sz w:val="24"/>
          <w:szCs w:val="22"/>
        </w:rPr>
        <w:t xml:space="preserve">. </w:t>
      </w:r>
      <w:r w:rsidR="00A832BD" w:rsidRPr="003E7E2B">
        <w:rPr>
          <w:rFonts w:asciiTheme="minorHAnsi" w:eastAsiaTheme="minorHAnsi" w:hAnsiTheme="minorHAnsi" w:cstheme="minorBidi"/>
          <w:snapToGrid/>
          <w:sz w:val="24"/>
          <w:szCs w:val="22"/>
        </w:rPr>
        <w:t xml:space="preserve">This </w:t>
      </w:r>
      <w:r w:rsidR="003D2AEF" w:rsidRPr="003E7E2B">
        <w:rPr>
          <w:rFonts w:asciiTheme="minorHAnsi" w:eastAsiaTheme="minorHAnsi" w:hAnsiTheme="minorHAnsi" w:cstheme="minorBidi"/>
          <w:snapToGrid/>
          <w:sz w:val="24"/>
          <w:szCs w:val="22"/>
        </w:rPr>
        <w:t>cost ($</w:t>
      </w:r>
      <w:r w:rsidR="00B76982">
        <w:rPr>
          <w:rFonts w:asciiTheme="minorHAnsi" w:eastAsiaTheme="minorHAnsi" w:hAnsiTheme="minorHAnsi" w:cstheme="minorBidi"/>
          <w:noProof/>
          <w:snapToGrid/>
          <w:color w:val="000000"/>
          <w:sz w:val="24"/>
          <w:szCs w:val="22"/>
          <w:highlight w:val="black"/>
        </w:rPr>
        <w:t>'''''''''''''</w:t>
      </w:r>
      <w:r w:rsidR="003D2AEF" w:rsidRPr="003E7E2B">
        <w:rPr>
          <w:rFonts w:asciiTheme="minorHAnsi" w:eastAsiaTheme="minorHAnsi" w:hAnsiTheme="minorHAnsi" w:cstheme="minorBidi"/>
          <w:snapToGrid/>
          <w:sz w:val="24"/>
          <w:szCs w:val="22"/>
        </w:rPr>
        <w:t xml:space="preserve">) </w:t>
      </w:r>
      <w:r w:rsidR="00A832BD" w:rsidRPr="003C2660">
        <w:rPr>
          <w:rFonts w:asciiTheme="minorHAnsi" w:eastAsiaTheme="minorHAnsi" w:hAnsiTheme="minorHAnsi" w:cstheme="minorBidi"/>
          <w:snapToGrid/>
          <w:sz w:val="24"/>
          <w:szCs w:val="22"/>
        </w:rPr>
        <w:t>was l</w:t>
      </w:r>
      <w:r w:rsidR="003D2AEF" w:rsidRPr="003C2660">
        <w:rPr>
          <w:rFonts w:asciiTheme="minorHAnsi" w:eastAsiaTheme="minorHAnsi" w:hAnsiTheme="minorHAnsi" w:cstheme="minorBidi"/>
          <w:snapToGrid/>
          <w:sz w:val="24"/>
          <w:szCs w:val="22"/>
        </w:rPr>
        <w:t>ower</w:t>
      </w:r>
      <w:r w:rsidR="00A832BD" w:rsidRPr="003C2660">
        <w:rPr>
          <w:rFonts w:asciiTheme="minorHAnsi" w:eastAsiaTheme="minorHAnsi" w:hAnsiTheme="minorHAnsi" w:cstheme="minorBidi"/>
          <w:snapToGrid/>
          <w:sz w:val="24"/>
          <w:szCs w:val="22"/>
        </w:rPr>
        <w:t xml:space="preserve"> than the estimated cost of IPI in the previous submission ($</w:t>
      </w:r>
      <w:r w:rsidR="00B76982">
        <w:rPr>
          <w:rFonts w:asciiTheme="minorHAnsi" w:eastAsiaTheme="minorHAnsi" w:hAnsiTheme="minorHAnsi" w:cstheme="minorBidi"/>
          <w:noProof/>
          <w:snapToGrid/>
          <w:color w:val="000000"/>
          <w:sz w:val="24"/>
          <w:szCs w:val="22"/>
          <w:highlight w:val="black"/>
        </w:rPr>
        <w:t>''''''''''''</w:t>
      </w:r>
      <w:r w:rsidR="00A832BD" w:rsidRPr="003C2660">
        <w:rPr>
          <w:rFonts w:asciiTheme="minorHAnsi" w:eastAsiaTheme="minorHAnsi" w:hAnsiTheme="minorHAnsi" w:cstheme="minorBidi"/>
          <w:snapToGrid/>
          <w:sz w:val="24"/>
          <w:szCs w:val="22"/>
        </w:rPr>
        <w:t xml:space="preserve">) due to </w:t>
      </w:r>
      <w:r w:rsidR="00BE1D04" w:rsidRPr="003C2660">
        <w:rPr>
          <w:rFonts w:asciiTheme="minorHAnsi" w:eastAsiaTheme="minorHAnsi" w:hAnsiTheme="minorHAnsi" w:cstheme="minorBidi"/>
          <w:snapToGrid/>
          <w:sz w:val="24"/>
          <w:szCs w:val="22"/>
        </w:rPr>
        <w:t>the</w:t>
      </w:r>
      <w:r w:rsidR="00A832BD" w:rsidRPr="003E7E2B">
        <w:rPr>
          <w:rFonts w:asciiTheme="minorHAnsi" w:eastAsiaTheme="minorHAnsi" w:hAnsiTheme="minorHAnsi" w:cstheme="minorBidi"/>
          <w:snapToGrid/>
          <w:sz w:val="24"/>
          <w:szCs w:val="22"/>
        </w:rPr>
        <w:t xml:space="preserve"> lower proposed price.</w:t>
      </w:r>
    </w:p>
    <w:p w:rsidR="005A3173" w:rsidRPr="003E7E2B" w:rsidRDefault="005A3173" w:rsidP="0027241C">
      <w:pPr>
        <w:pStyle w:val="Heading2"/>
        <w:rPr>
          <w:rFonts w:eastAsiaTheme="majorEastAsia"/>
          <w:lang w:eastAsia="en-US"/>
        </w:rPr>
      </w:pPr>
      <w:r w:rsidRPr="003E7E2B">
        <w:rPr>
          <w:rFonts w:eastAsiaTheme="majorEastAsia"/>
          <w:lang w:eastAsia="en-US"/>
        </w:rPr>
        <w:t>Estimated PBS usage &amp; financial implications</w:t>
      </w:r>
    </w:p>
    <w:p w:rsidR="00841EB4" w:rsidRPr="003E7E2B" w:rsidRDefault="00841EB4" w:rsidP="00841EB4">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 xml:space="preserve">Compared with the previous submission, </w:t>
      </w:r>
      <w:r w:rsidR="00B00FBB" w:rsidRPr="003E7E2B">
        <w:rPr>
          <w:rFonts w:asciiTheme="minorHAnsi" w:hAnsiTheme="minorHAnsi"/>
          <w:sz w:val="24"/>
          <w:szCs w:val="24"/>
        </w:rPr>
        <w:t xml:space="preserve">four key </w:t>
      </w:r>
      <w:r w:rsidRPr="003E7E2B">
        <w:rPr>
          <w:rFonts w:asciiTheme="minorHAnsi" w:hAnsiTheme="minorHAnsi"/>
          <w:sz w:val="24"/>
          <w:szCs w:val="24"/>
        </w:rPr>
        <w:t>changes were mad</w:t>
      </w:r>
      <w:r w:rsidR="00B00FBB" w:rsidRPr="003E7E2B">
        <w:rPr>
          <w:rFonts w:asciiTheme="minorHAnsi" w:hAnsiTheme="minorHAnsi"/>
          <w:sz w:val="24"/>
          <w:szCs w:val="24"/>
        </w:rPr>
        <w:t>e to the financial estimates, and these are outlined below.</w:t>
      </w:r>
    </w:p>
    <w:p w:rsidR="00841EB4" w:rsidRPr="003E7E2B" w:rsidRDefault="000C69B1" w:rsidP="000C69B1">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Firstly, t</w:t>
      </w:r>
      <w:r w:rsidR="003979C2" w:rsidRPr="003E7E2B">
        <w:rPr>
          <w:rFonts w:asciiTheme="minorHAnsi" w:hAnsiTheme="minorHAnsi"/>
          <w:sz w:val="24"/>
          <w:szCs w:val="24"/>
        </w:rPr>
        <w:t>he resubmission assumed a h</w:t>
      </w:r>
      <w:r w:rsidR="00841EB4" w:rsidRPr="003E7E2B">
        <w:rPr>
          <w:rFonts w:asciiTheme="minorHAnsi" w:hAnsiTheme="minorHAnsi"/>
          <w:sz w:val="24"/>
          <w:szCs w:val="24"/>
        </w:rPr>
        <w:t xml:space="preserve">igher </w:t>
      </w:r>
      <w:r w:rsidR="003979C2" w:rsidRPr="003E7E2B">
        <w:rPr>
          <w:rFonts w:asciiTheme="minorHAnsi" w:hAnsiTheme="minorHAnsi"/>
          <w:sz w:val="24"/>
          <w:szCs w:val="24"/>
        </w:rPr>
        <w:t xml:space="preserve">number of </w:t>
      </w:r>
      <w:r w:rsidR="00841EB4" w:rsidRPr="003E7E2B">
        <w:rPr>
          <w:rFonts w:asciiTheme="minorHAnsi" w:hAnsiTheme="minorHAnsi"/>
          <w:sz w:val="24"/>
          <w:szCs w:val="24"/>
        </w:rPr>
        <w:t xml:space="preserve">NIVO maintenance </w:t>
      </w:r>
      <w:r w:rsidR="003979C2" w:rsidRPr="003E7E2B">
        <w:rPr>
          <w:rFonts w:asciiTheme="minorHAnsi" w:hAnsiTheme="minorHAnsi"/>
          <w:sz w:val="24"/>
          <w:szCs w:val="24"/>
        </w:rPr>
        <w:t xml:space="preserve">scripts per patient. This was </w:t>
      </w:r>
      <w:r w:rsidR="00841EB4" w:rsidRPr="003E7E2B">
        <w:rPr>
          <w:rFonts w:asciiTheme="minorHAnsi" w:hAnsiTheme="minorHAnsi"/>
          <w:sz w:val="24"/>
          <w:szCs w:val="24"/>
        </w:rPr>
        <w:t>to address the PBAC’s previous concerns</w:t>
      </w:r>
      <w:r w:rsidR="001C511F" w:rsidRPr="003E7E2B">
        <w:rPr>
          <w:rFonts w:asciiTheme="minorHAnsi" w:hAnsiTheme="minorHAnsi"/>
          <w:sz w:val="24"/>
          <w:szCs w:val="24"/>
        </w:rPr>
        <w:t xml:space="preserve"> that, in clinical practice, patients who experience adverse events during NIVO+IPI induction may go on to receive nivolumab monotherapy, rather than discontinue as was required by the trial protocol (Paragraph 7.14, PBAC </w:t>
      </w:r>
      <w:r w:rsidR="00DD2D76">
        <w:rPr>
          <w:rFonts w:asciiTheme="minorHAnsi" w:hAnsiTheme="minorHAnsi"/>
          <w:sz w:val="24"/>
          <w:szCs w:val="24"/>
        </w:rPr>
        <w:t>PSD</w:t>
      </w:r>
      <w:r w:rsidR="00DD2D76" w:rsidRPr="003E7E2B">
        <w:rPr>
          <w:rFonts w:asciiTheme="minorHAnsi" w:hAnsiTheme="minorHAnsi"/>
          <w:sz w:val="24"/>
          <w:szCs w:val="24"/>
        </w:rPr>
        <w:t xml:space="preserve"> </w:t>
      </w:r>
      <w:r w:rsidR="001C511F" w:rsidRPr="003E7E2B">
        <w:rPr>
          <w:rFonts w:asciiTheme="minorHAnsi" w:hAnsiTheme="minorHAnsi"/>
          <w:sz w:val="24"/>
          <w:szCs w:val="24"/>
        </w:rPr>
        <w:t xml:space="preserve">July 2018). </w:t>
      </w:r>
      <w:r w:rsidR="003979C2" w:rsidRPr="003E7E2B">
        <w:rPr>
          <w:rFonts w:asciiTheme="minorHAnsi" w:hAnsiTheme="minorHAnsi"/>
          <w:sz w:val="24"/>
          <w:szCs w:val="24"/>
        </w:rPr>
        <w:t>The</w:t>
      </w:r>
      <w:r w:rsidR="001C511F" w:rsidRPr="003E7E2B">
        <w:rPr>
          <w:rFonts w:asciiTheme="minorHAnsi" w:hAnsiTheme="minorHAnsi"/>
          <w:sz w:val="24"/>
          <w:szCs w:val="24"/>
        </w:rPr>
        <w:t xml:space="preserve"> </w:t>
      </w:r>
      <w:r w:rsidR="0032350A" w:rsidRPr="003E7E2B">
        <w:rPr>
          <w:rFonts w:asciiTheme="minorHAnsi" w:hAnsiTheme="minorHAnsi"/>
          <w:sz w:val="24"/>
          <w:szCs w:val="24"/>
        </w:rPr>
        <w:t>July 2018 PBAC Minutes</w:t>
      </w:r>
      <w:r w:rsidR="001C511F" w:rsidRPr="003E7E2B">
        <w:rPr>
          <w:rFonts w:asciiTheme="minorHAnsi" w:hAnsiTheme="minorHAnsi"/>
          <w:sz w:val="24"/>
          <w:szCs w:val="24"/>
        </w:rPr>
        <w:t xml:space="preserve"> noted that</w:t>
      </w:r>
      <w:r w:rsidR="00841EB4" w:rsidRPr="003E7E2B">
        <w:rPr>
          <w:rFonts w:asciiTheme="minorHAnsi" w:hAnsiTheme="minorHAnsi"/>
          <w:sz w:val="24"/>
          <w:szCs w:val="24"/>
        </w:rPr>
        <w:t xml:space="preserve"> </w:t>
      </w:r>
      <w:r w:rsidR="00B76982">
        <w:rPr>
          <w:rFonts w:asciiTheme="minorHAnsi" w:hAnsiTheme="minorHAnsi"/>
          <w:noProof/>
          <w:color w:val="000000"/>
          <w:sz w:val="24"/>
          <w:szCs w:val="24"/>
          <w:highlight w:val="black"/>
        </w:rPr>
        <w:t>'''''''''</w:t>
      </w:r>
      <w:r w:rsidR="00841EB4" w:rsidRPr="003E7E2B">
        <w:rPr>
          <w:rFonts w:asciiTheme="minorHAnsi" w:hAnsiTheme="minorHAnsi"/>
          <w:sz w:val="24"/>
          <w:szCs w:val="24"/>
        </w:rPr>
        <w:t xml:space="preserve">% of patients discontinued NIVO+IPI during the induction phase </w:t>
      </w:r>
      <w:r w:rsidR="001C511F" w:rsidRPr="003E7E2B">
        <w:rPr>
          <w:rFonts w:asciiTheme="minorHAnsi" w:hAnsiTheme="minorHAnsi"/>
          <w:sz w:val="24"/>
          <w:szCs w:val="24"/>
        </w:rPr>
        <w:t>in Study CA209-214</w:t>
      </w:r>
      <w:r w:rsidR="0032350A" w:rsidRPr="003E7E2B">
        <w:rPr>
          <w:rFonts w:asciiTheme="minorHAnsi" w:hAnsiTheme="minorHAnsi"/>
          <w:sz w:val="24"/>
          <w:szCs w:val="24"/>
        </w:rPr>
        <w:t xml:space="preserve"> </w:t>
      </w:r>
      <w:r w:rsidR="00841EB4" w:rsidRPr="003E7E2B">
        <w:rPr>
          <w:rFonts w:asciiTheme="minorHAnsi" w:hAnsiTheme="minorHAnsi"/>
          <w:sz w:val="24"/>
          <w:szCs w:val="24"/>
        </w:rPr>
        <w:t xml:space="preserve">due to drug toxicity. </w:t>
      </w:r>
      <w:r w:rsidR="0032350A" w:rsidRPr="003E7E2B">
        <w:rPr>
          <w:rFonts w:asciiTheme="minorHAnsi" w:hAnsiTheme="minorHAnsi"/>
          <w:sz w:val="24"/>
          <w:szCs w:val="24"/>
        </w:rPr>
        <w:t xml:space="preserve">To account for this, the resubmission assumed that </w:t>
      </w:r>
      <w:r w:rsidR="00CD0FA3" w:rsidRPr="003E7E2B">
        <w:rPr>
          <w:rFonts w:asciiTheme="minorHAnsi" w:hAnsiTheme="minorHAnsi"/>
          <w:sz w:val="24"/>
          <w:szCs w:val="24"/>
        </w:rPr>
        <w:t xml:space="preserve">each </w:t>
      </w:r>
      <w:r w:rsidR="0032350A" w:rsidRPr="003E7E2B">
        <w:rPr>
          <w:rFonts w:asciiTheme="minorHAnsi" w:hAnsiTheme="minorHAnsi"/>
          <w:sz w:val="24"/>
          <w:szCs w:val="24"/>
        </w:rPr>
        <w:t xml:space="preserve">patient would require </w:t>
      </w:r>
      <w:r w:rsidR="00B76982">
        <w:rPr>
          <w:rFonts w:asciiTheme="minorHAnsi" w:hAnsiTheme="minorHAnsi"/>
          <w:noProof/>
          <w:color w:val="000000"/>
          <w:sz w:val="24"/>
          <w:szCs w:val="24"/>
          <w:highlight w:val="black"/>
        </w:rPr>
        <w:t>''''''''</w:t>
      </w:r>
      <w:r w:rsidR="0032350A" w:rsidRPr="003E7E2B">
        <w:rPr>
          <w:rFonts w:asciiTheme="minorHAnsi" w:hAnsiTheme="minorHAnsi"/>
          <w:sz w:val="24"/>
          <w:szCs w:val="24"/>
        </w:rPr>
        <w:t xml:space="preserve">% more </w:t>
      </w:r>
      <w:r w:rsidR="0061103A" w:rsidRPr="003E7E2B">
        <w:rPr>
          <w:rFonts w:asciiTheme="minorHAnsi" w:hAnsiTheme="minorHAnsi"/>
          <w:sz w:val="24"/>
          <w:szCs w:val="24"/>
        </w:rPr>
        <w:t>maintenance infusions than observed in the clinical trial</w:t>
      </w:r>
      <w:r w:rsidR="0032350A" w:rsidRPr="003E7E2B">
        <w:rPr>
          <w:rFonts w:asciiTheme="minorHAnsi" w:hAnsiTheme="minorHAnsi"/>
          <w:sz w:val="24"/>
          <w:szCs w:val="24"/>
        </w:rPr>
        <w:t xml:space="preserve"> (i.e.</w:t>
      </w:r>
      <w:r w:rsidR="00CD0FA3" w:rsidRPr="003E7E2B">
        <w:rPr>
          <w:rFonts w:asciiTheme="minorHAnsi" w:hAnsiTheme="minorHAnsi"/>
          <w:sz w:val="24"/>
          <w:szCs w:val="24"/>
        </w:rPr>
        <w:t xml:space="preserve"> this increased</w:t>
      </w:r>
      <w:r w:rsidR="0032350A" w:rsidRPr="003E7E2B">
        <w:rPr>
          <w:rFonts w:asciiTheme="minorHAnsi" w:hAnsiTheme="minorHAnsi"/>
          <w:sz w:val="24"/>
          <w:szCs w:val="24"/>
        </w:rPr>
        <w:t xml:space="preserve"> the average number of infusions per patient from </w:t>
      </w:r>
      <w:r w:rsidR="00B76982">
        <w:rPr>
          <w:rFonts w:asciiTheme="minorHAnsi" w:hAnsiTheme="minorHAnsi"/>
          <w:noProof/>
          <w:color w:val="000000"/>
          <w:sz w:val="24"/>
          <w:szCs w:val="24"/>
          <w:highlight w:val="black"/>
        </w:rPr>
        <w:t>''''''''</w:t>
      </w:r>
      <w:r w:rsidR="0032350A" w:rsidRPr="00186A08">
        <w:rPr>
          <w:rFonts w:asciiTheme="minorHAnsi" w:hAnsiTheme="minorHAnsi"/>
          <w:sz w:val="24"/>
          <w:szCs w:val="24"/>
        </w:rPr>
        <w:t xml:space="preserve"> to </w:t>
      </w:r>
      <w:r w:rsidR="00B76982">
        <w:rPr>
          <w:rFonts w:asciiTheme="minorHAnsi" w:hAnsiTheme="minorHAnsi"/>
          <w:noProof/>
          <w:color w:val="000000"/>
          <w:sz w:val="24"/>
          <w:szCs w:val="24"/>
          <w:highlight w:val="black"/>
        </w:rPr>
        <w:t>''''''''</w:t>
      </w:r>
      <w:r w:rsidR="0032350A" w:rsidRPr="003E7E2B">
        <w:rPr>
          <w:rFonts w:asciiTheme="minorHAnsi" w:hAnsiTheme="minorHAnsi"/>
          <w:sz w:val="24"/>
          <w:szCs w:val="24"/>
        </w:rPr>
        <w:t xml:space="preserve"> infusions</w:t>
      </w:r>
      <w:r w:rsidR="00CD0FA3" w:rsidRPr="003E7E2B">
        <w:rPr>
          <w:rFonts w:asciiTheme="minorHAnsi" w:hAnsiTheme="minorHAnsi"/>
          <w:sz w:val="24"/>
          <w:szCs w:val="24"/>
        </w:rPr>
        <w:t>)</w:t>
      </w:r>
      <w:r w:rsidR="00845EDE">
        <w:rPr>
          <w:rFonts w:asciiTheme="minorHAnsi" w:hAnsiTheme="minorHAnsi"/>
          <w:sz w:val="24"/>
          <w:szCs w:val="24"/>
        </w:rPr>
        <w:t>.</w:t>
      </w:r>
    </w:p>
    <w:p w:rsidR="00BE1322" w:rsidRPr="003E7E2B" w:rsidRDefault="000C69B1" w:rsidP="000C69B1">
      <w:pPr>
        <w:pStyle w:val="ListParagraph"/>
        <w:numPr>
          <w:ilvl w:val="1"/>
          <w:numId w:val="5"/>
        </w:numPr>
        <w:spacing w:after="120"/>
        <w:contextualSpacing w:val="0"/>
        <w:rPr>
          <w:rFonts w:asciiTheme="minorHAnsi" w:hAnsiTheme="minorHAnsi"/>
          <w:sz w:val="24"/>
          <w:szCs w:val="24"/>
        </w:rPr>
      </w:pPr>
      <w:r w:rsidRPr="003C2660">
        <w:rPr>
          <w:rFonts w:asciiTheme="minorHAnsi" w:hAnsiTheme="minorHAnsi"/>
          <w:sz w:val="24"/>
          <w:szCs w:val="24"/>
        </w:rPr>
        <w:t>Secondly, g</w:t>
      </w:r>
      <w:r w:rsidR="008C3246" w:rsidRPr="003C2660">
        <w:rPr>
          <w:rFonts w:asciiTheme="minorHAnsi" w:hAnsiTheme="minorHAnsi"/>
          <w:sz w:val="24"/>
          <w:szCs w:val="24"/>
        </w:rPr>
        <w:t xml:space="preserve">randfathering provisions were requested in the resubmission. The sponsor proposed that a Patient Access Program would be commenced </w:t>
      </w:r>
      <w:r w:rsidR="00B76982">
        <w:rPr>
          <w:rFonts w:asciiTheme="minorHAnsi" w:hAnsiTheme="minorHAnsi"/>
          <w:noProof/>
          <w:color w:val="000000"/>
          <w:sz w:val="24"/>
          <w:szCs w:val="24"/>
          <w:highlight w:val="black"/>
        </w:rPr>
        <w:t xml:space="preserve">''''' </w:t>
      </w:r>
      <w:r w:rsidR="008C3246" w:rsidRPr="003C2660">
        <w:rPr>
          <w:rFonts w:asciiTheme="minorHAnsi" w:hAnsiTheme="minorHAnsi"/>
          <w:sz w:val="24"/>
          <w:szCs w:val="24"/>
        </w:rPr>
        <w:t xml:space="preserve">months prior to PBS listing. Patient numbers for the grandfathering provisions were calculated using the same methodology </w:t>
      </w:r>
      <w:r w:rsidR="00A202C3" w:rsidRPr="003C2660">
        <w:rPr>
          <w:rFonts w:asciiTheme="minorHAnsi" w:hAnsiTheme="minorHAnsi"/>
          <w:sz w:val="24"/>
          <w:szCs w:val="24"/>
        </w:rPr>
        <w:t>as</w:t>
      </w:r>
      <w:r w:rsidR="008C3246" w:rsidRPr="003E7E2B">
        <w:rPr>
          <w:rFonts w:asciiTheme="minorHAnsi" w:hAnsiTheme="minorHAnsi"/>
          <w:sz w:val="24"/>
          <w:szCs w:val="24"/>
        </w:rPr>
        <w:t xml:space="preserve"> </w:t>
      </w:r>
      <w:r w:rsidR="0058664C" w:rsidRPr="003E7E2B">
        <w:rPr>
          <w:rFonts w:asciiTheme="minorHAnsi" w:hAnsiTheme="minorHAnsi"/>
          <w:sz w:val="24"/>
          <w:szCs w:val="24"/>
        </w:rPr>
        <w:t xml:space="preserve">was </w:t>
      </w:r>
      <w:r w:rsidR="008C3246" w:rsidRPr="003E7E2B">
        <w:rPr>
          <w:rFonts w:asciiTheme="minorHAnsi" w:hAnsiTheme="minorHAnsi"/>
          <w:sz w:val="24"/>
          <w:szCs w:val="24"/>
        </w:rPr>
        <w:t xml:space="preserve">used to estimate the PBS population (e.g. </w:t>
      </w:r>
      <w:r w:rsidR="001F3223" w:rsidRPr="00186A08">
        <w:rPr>
          <w:rFonts w:asciiTheme="minorHAnsi" w:hAnsiTheme="minorHAnsi"/>
          <w:sz w:val="24"/>
          <w:szCs w:val="24"/>
        </w:rPr>
        <w:t xml:space="preserve">a </w:t>
      </w:r>
      <w:r w:rsidR="00B76982">
        <w:rPr>
          <w:rFonts w:asciiTheme="minorHAnsi" w:hAnsiTheme="minorHAnsi"/>
          <w:noProof/>
          <w:color w:val="000000"/>
          <w:sz w:val="24"/>
          <w:szCs w:val="24"/>
          <w:highlight w:val="black"/>
        </w:rPr>
        <w:t>''''''''</w:t>
      </w:r>
      <w:r w:rsidR="001F3223" w:rsidRPr="003E7E2B">
        <w:rPr>
          <w:rFonts w:asciiTheme="minorHAnsi" w:hAnsiTheme="minorHAnsi"/>
          <w:sz w:val="24"/>
          <w:szCs w:val="24"/>
        </w:rPr>
        <w:t xml:space="preserve"> market share was assumed even in the first month of the Patient Access Program</w:t>
      </w:r>
      <w:r w:rsidR="0071135B" w:rsidRPr="003E7E2B">
        <w:rPr>
          <w:rFonts w:asciiTheme="minorHAnsi" w:hAnsiTheme="minorHAnsi"/>
          <w:sz w:val="24"/>
          <w:szCs w:val="24"/>
        </w:rPr>
        <w:t>, which significantly overestimated</w:t>
      </w:r>
      <w:r w:rsidR="002B07BA" w:rsidRPr="003E7E2B">
        <w:rPr>
          <w:rFonts w:asciiTheme="minorHAnsi" w:hAnsiTheme="minorHAnsi"/>
          <w:sz w:val="24"/>
          <w:szCs w:val="24"/>
        </w:rPr>
        <w:t xml:space="preserve"> the number of grandfathered patients</w:t>
      </w:r>
      <w:r w:rsidR="008C3246" w:rsidRPr="003E7E2B">
        <w:rPr>
          <w:rFonts w:asciiTheme="minorHAnsi" w:hAnsiTheme="minorHAnsi"/>
          <w:sz w:val="24"/>
          <w:szCs w:val="24"/>
        </w:rPr>
        <w:t>)</w:t>
      </w:r>
      <w:r w:rsidR="001F3223" w:rsidRPr="003E7E2B">
        <w:rPr>
          <w:rFonts w:asciiTheme="minorHAnsi" w:hAnsiTheme="minorHAnsi"/>
          <w:sz w:val="24"/>
          <w:szCs w:val="24"/>
        </w:rPr>
        <w:t>. T</w:t>
      </w:r>
      <w:r w:rsidR="008C3246" w:rsidRPr="003E7E2B">
        <w:rPr>
          <w:rFonts w:asciiTheme="minorHAnsi" w:hAnsiTheme="minorHAnsi"/>
          <w:sz w:val="24"/>
          <w:szCs w:val="24"/>
        </w:rPr>
        <w:t xml:space="preserve">he resubmission estimated that </w:t>
      </w:r>
      <w:r w:rsidR="0011227E">
        <w:rPr>
          <w:rFonts w:asciiTheme="minorHAnsi" w:hAnsiTheme="minorHAnsi"/>
          <w:sz w:val="24"/>
          <w:szCs w:val="24"/>
        </w:rPr>
        <w:t>less than 10,000</w:t>
      </w:r>
      <w:r w:rsidR="0011227E" w:rsidRPr="003E7E2B">
        <w:rPr>
          <w:rFonts w:asciiTheme="minorHAnsi" w:hAnsiTheme="minorHAnsi"/>
          <w:sz w:val="24"/>
          <w:szCs w:val="24"/>
        </w:rPr>
        <w:t xml:space="preserve"> </w:t>
      </w:r>
      <w:r w:rsidR="008C3246" w:rsidRPr="003E7E2B">
        <w:rPr>
          <w:rFonts w:asciiTheme="minorHAnsi" w:hAnsiTheme="minorHAnsi"/>
          <w:sz w:val="24"/>
          <w:szCs w:val="24"/>
        </w:rPr>
        <w:t>patients would be grandfathered to PBS re</w:t>
      </w:r>
      <w:r w:rsidR="00845EDE">
        <w:rPr>
          <w:rFonts w:asciiTheme="minorHAnsi" w:hAnsiTheme="minorHAnsi"/>
          <w:sz w:val="24"/>
          <w:szCs w:val="24"/>
        </w:rPr>
        <w:t>imbursement at time of listing.</w:t>
      </w:r>
    </w:p>
    <w:p w:rsidR="00F009E3" w:rsidRPr="003E7E2B" w:rsidRDefault="00BE1322" w:rsidP="009F33A4">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 xml:space="preserve">As part of its pre-PBAC response, the sponsor was requested to </w:t>
      </w:r>
      <w:r w:rsidR="003E7E2B">
        <w:rPr>
          <w:rFonts w:asciiTheme="minorHAnsi" w:hAnsiTheme="minorHAnsi"/>
          <w:sz w:val="24"/>
          <w:szCs w:val="24"/>
        </w:rPr>
        <w:t xml:space="preserve">identify </w:t>
      </w:r>
      <w:r w:rsidRPr="003E7E2B">
        <w:rPr>
          <w:rFonts w:asciiTheme="minorHAnsi" w:hAnsiTheme="minorHAnsi"/>
          <w:sz w:val="24"/>
          <w:szCs w:val="24"/>
        </w:rPr>
        <w:t xml:space="preserve">the number </w:t>
      </w:r>
      <w:r w:rsidRPr="003E7E2B">
        <w:rPr>
          <w:rFonts w:asciiTheme="minorHAnsi" w:hAnsiTheme="minorHAnsi"/>
          <w:sz w:val="24"/>
          <w:szCs w:val="24"/>
        </w:rPr>
        <w:lastRenderedPageBreak/>
        <w:t xml:space="preserve">of patients enrolled in the Patient Access Program at the time of the PBAC meeting. The </w:t>
      </w:r>
      <w:r w:rsidR="009F33A4" w:rsidRPr="003C2660">
        <w:rPr>
          <w:rFonts w:asciiTheme="minorHAnsi" w:hAnsiTheme="minorHAnsi"/>
          <w:sz w:val="24"/>
          <w:szCs w:val="24"/>
        </w:rPr>
        <w:t xml:space="preserve">PBAC noted that this information was not provided in the </w:t>
      </w:r>
      <w:r w:rsidRPr="003C2660">
        <w:rPr>
          <w:rFonts w:asciiTheme="minorHAnsi" w:hAnsiTheme="minorHAnsi"/>
          <w:sz w:val="24"/>
          <w:szCs w:val="24"/>
        </w:rPr>
        <w:t>pre-PBAC response. The pre-PBAC response reiterated that the sponsor intend</w:t>
      </w:r>
      <w:r w:rsidR="009F33A4" w:rsidRPr="003C2660">
        <w:rPr>
          <w:rFonts w:asciiTheme="minorHAnsi" w:hAnsiTheme="minorHAnsi"/>
          <w:sz w:val="24"/>
          <w:szCs w:val="24"/>
        </w:rPr>
        <w:t>s</w:t>
      </w:r>
      <w:r w:rsidRPr="003C2660">
        <w:rPr>
          <w:rFonts w:asciiTheme="minorHAnsi" w:hAnsiTheme="minorHAnsi"/>
          <w:sz w:val="24"/>
          <w:szCs w:val="24"/>
        </w:rPr>
        <w:t xml:space="preserve"> to open a Patient Access Program </w:t>
      </w:r>
      <w:r w:rsidR="00B76982">
        <w:rPr>
          <w:rFonts w:asciiTheme="minorHAnsi" w:hAnsiTheme="minorHAnsi"/>
          <w:noProof/>
          <w:color w:val="000000"/>
          <w:sz w:val="24"/>
          <w:szCs w:val="24"/>
          <w:highlight w:val="black"/>
        </w:rPr>
        <w:t>'''''</w:t>
      </w:r>
      <w:r w:rsidRPr="003C2660">
        <w:rPr>
          <w:rFonts w:asciiTheme="minorHAnsi" w:hAnsiTheme="minorHAnsi"/>
          <w:sz w:val="24"/>
          <w:szCs w:val="24"/>
        </w:rPr>
        <w:t xml:space="preserve"> months prior to PBS listing </w:t>
      </w:r>
      <w:r w:rsidR="009F33A4" w:rsidRPr="003C2660">
        <w:rPr>
          <w:rFonts w:asciiTheme="minorHAnsi" w:hAnsiTheme="minorHAnsi"/>
          <w:sz w:val="24"/>
          <w:szCs w:val="24"/>
        </w:rPr>
        <w:t xml:space="preserve">and requested the PBAC consider </w:t>
      </w:r>
      <w:r w:rsidR="00A202C3" w:rsidRPr="003E7E2B">
        <w:rPr>
          <w:rFonts w:asciiTheme="minorHAnsi" w:hAnsiTheme="minorHAnsi"/>
          <w:sz w:val="24"/>
          <w:szCs w:val="24"/>
        </w:rPr>
        <w:t>including</w:t>
      </w:r>
      <w:r w:rsidR="009F33A4" w:rsidRPr="003E7E2B">
        <w:rPr>
          <w:rFonts w:asciiTheme="minorHAnsi" w:hAnsiTheme="minorHAnsi"/>
          <w:sz w:val="24"/>
          <w:szCs w:val="24"/>
        </w:rPr>
        <w:t xml:space="preserve"> </w:t>
      </w:r>
      <w:r w:rsidR="009D715F">
        <w:rPr>
          <w:rFonts w:asciiTheme="minorHAnsi" w:hAnsiTheme="minorHAnsi"/>
          <w:sz w:val="24"/>
          <w:szCs w:val="24"/>
        </w:rPr>
        <w:t>less than 10,000</w:t>
      </w:r>
      <w:r w:rsidR="009F33A4" w:rsidRPr="003E7E2B">
        <w:rPr>
          <w:rFonts w:asciiTheme="minorHAnsi" w:hAnsiTheme="minorHAnsi"/>
          <w:sz w:val="24"/>
          <w:szCs w:val="24"/>
        </w:rPr>
        <w:t xml:space="preserve"> grandfathered patients in the subsidisation caps.</w:t>
      </w:r>
    </w:p>
    <w:p w:rsidR="00AD7301" w:rsidRPr="003E7E2B" w:rsidRDefault="000C69B1" w:rsidP="000C69B1">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Thirdly, t</w:t>
      </w:r>
      <w:r w:rsidR="00D800B1" w:rsidRPr="003E7E2B">
        <w:rPr>
          <w:rFonts w:asciiTheme="minorHAnsi" w:hAnsiTheme="minorHAnsi"/>
          <w:sz w:val="24"/>
          <w:szCs w:val="24"/>
        </w:rPr>
        <w:t>he resubmission added assumptions regarding the t</w:t>
      </w:r>
      <w:r w:rsidR="00AD7301" w:rsidRPr="003E7E2B">
        <w:rPr>
          <w:rFonts w:asciiTheme="minorHAnsi" w:hAnsiTheme="minorHAnsi"/>
          <w:sz w:val="24"/>
          <w:szCs w:val="24"/>
        </w:rPr>
        <w:t xml:space="preserve">iming of </w:t>
      </w:r>
      <w:r w:rsidR="000C5FCC" w:rsidRPr="003E7E2B">
        <w:rPr>
          <w:rFonts w:asciiTheme="minorHAnsi" w:hAnsiTheme="minorHAnsi"/>
          <w:sz w:val="24"/>
          <w:szCs w:val="24"/>
        </w:rPr>
        <w:t xml:space="preserve">offsets for reduced use of subsequent therapies. </w:t>
      </w:r>
      <w:r w:rsidR="00AD7301" w:rsidRPr="003C2660">
        <w:rPr>
          <w:rFonts w:asciiTheme="minorHAnsi" w:hAnsiTheme="minorHAnsi"/>
          <w:sz w:val="24"/>
          <w:szCs w:val="24"/>
        </w:rPr>
        <w:t xml:space="preserve">In the </w:t>
      </w:r>
      <w:r w:rsidR="000C5FCC" w:rsidRPr="003C2660">
        <w:rPr>
          <w:rFonts w:asciiTheme="minorHAnsi" w:hAnsiTheme="minorHAnsi"/>
          <w:sz w:val="24"/>
          <w:szCs w:val="24"/>
        </w:rPr>
        <w:t xml:space="preserve">previous </w:t>
      </w:r>
      <w:r w:rsidR="00AD7301" w:rsidRPr="003C2660">
        <w:rPr>
          <w:rFonts w:asciiTheme="minorHAnsi" w:hAnsiTheme="minorHAnsi"/>
          <w:sz w:val="24"/>
          <w:szCs w:val="24"/>
        </w:rPr>
        <w:t>submission</w:t>
      </w:r>
      <w:r w:rsidR="000C5FCC" w:rsidRPr="003C2660">
        <w:rPr>
          <w:rFonts w:asciiTheme="minorHAnsi" w:hAnsiTheme="minorHAnsi"/>
          <w:sz w:val="24"/>
          <w:szCs w:val="24"/>
        </w:rPr>
        <w:t xml:space="preserve">, the costs of </w:t>
      </w:r>
      <w:r w:rsidR="00AD7301" w:rsidRPr="003C2660">
        <w:rPr>
          <w:rFonts w:asciiTheme="minorHAnsi" w:hAnsiTheme="minorHAnsi"/>
          <w:sz w:val="24"/>
          <w:szCs w:val="24"/>
        </w:rPr>
        <w:t>subsequent therapy were ‘front-loaded’</w:t>
      </w:r>
      <w:r w:rsidR="00BF7433" w:rsidRPr="003E7E2B">
        <w:rPr>
          <w:rFonts w:asciiTheme="minorHAnsi" w:hAnsiTheme="minorHAnsi"/>
          <w:sz w:val="24"/>
          <w:szCs w:val="24"/>
        </w:rPr>
        <w:t xml:space="preserve"> (</w:t>
      </w:r>
      <w:r w:rsidR="00AD7301" w:rsidRPr="003E7E2B">
        <w:rPr>
          <w:rFonts w:asciiTheme="minorHAnsi" w:hAnsiTheme="minorHAnsi"/>
          <w:sz w:val="24"/>
          <w:szCs w:val="24"/>
        </w:rPr>
        <w:t xml:space="preserve">all subsequent therapy costs were applied in the same year the patient initiated </w:t>
      </w:r>
      <w:r w:rsidR="000C5FCC" w:rsidRPr="003E7E2B">
        <w:rPr>
          <w:rFonts w:asciiTheme="minorHAnsi" w:hAnsiTheme="minorHAnsi"/>
          <w:sz w:val="24"/>
          <w:szCs w:val="24"/>
        </w:rPr>
        <w:t>first-line</w:t>
      </w:r>
      <w:r w:rsidR="00AD7301" w:rsidRPr="003E7E2B">
        <w:rPr>
          <w:rFonts w:asciiTheme="minorHAnsi" w:hAnsiTheme="minorHAnsi"/>
          <w:sz w:val="24"/>
          <w:szCs w:val="24"/>
        </w:rPr>
        <w:t xml:space="preserve"> therapy</w:t>
      </w:r>
      <w:r w:rsidR="00BF7433" w:rsidRPr="003E7E2B">
        <w:rPr>
          <w:rFonts w:asciiTheme="minorHAnsi" w:hAnsiTheme="minorHAnsi"/>
          <w:sz w:val="24"/>
          <w:szCs w:val="24"/>
        </w:rPr>
        <w:t>)</w:t>
      </w:r>
      <w:r w:rsidR="00AD7301" w:rsidRPr="003E7E2B">
        <w:rPr>
          <w:rFonts w:asciiTheme="minorHAnsi" w:hAnsiTheme="minorHAnsi"/>
          <w:sz w:val="24"/>
          <w:szCs w:val="24"/>
        </w:rPr>
        <w:t>. This overestimat</w:t>
      </w:r>
      <w:r w:rsidR="00BF7433" w:rsidRPr="003E7E2B">
        <w:rPr>
          <w:rFonts w:asciiTheme="minorHAnsi" w:hAnsiTheme="minorHAnsi"/>
          <w:sz w:val="24"/>
          <w:szCs w:val="24"/>
        </w:rPr>
        <w:t>ed</w:t>
      </w:r>
      <w:r w:rsidR="00AD7301" w:rsidRPr="003E7E2B">
        <w:rPr>
          <w:rFonts w:asciiTheme="minorHAnsi" w:hAnsiTheme="minorHAnsi"/>
          <w:sz w:val="24"/>
          <w:szCs w:val="24"/>
        </w:rPr>
        <w:t xml:space="preserve"> subsequent therapy costs </w:t>
      </w:r>
      <w:r w:rsidR="00BF7433" w:rsidRPr="003E7E2B">
        <w:rPr>
          <w:rFonts w:asciiTheme="minorHAnsi" w:hAnsiTheme="minorHAnsi"/>
          <w:sz w:val="24"/>
          <w:szCs w:val="24"/>
        </w:rPr>
        <w:t>(</w:t>
      </w:r>
      <w:r w:rsidR="00AD7301" w:rsidRPr="003E7E2B">
        <w:rPr>
          <w:rFonts w:asciiTheme="minorHAnsi" w:hAnsiTheme="minorHAnsi"/>
          <w:sz w:val="24"/>
          <w:szCs w:val="24"/>
        </w:rPr>
        <w:t>cost</w:t>
      </w:r>
      <w:r w:rsidR="003979C2" w:rsidRPr="003E7E2B">
        <w:rPr>
          <w:rFonts w:asciiTheme="minorHAnsi" w:hAnsiTheme="minorHAnsi"/>
          <w:sz w:val="24"/>
          <w:szCs w:val="24"/>
        </w:rPr>
        <w:t>-</w:t>
      </w:r>
      <w:r w:rsidR="00AD7301" w:rsidRPr="003E7E2B">
        <w:rPr>
          <w:rFonts w:asciiTheme="minorHAnsi" w:hAnsiTheme="minorHAnsi"/>
          <w:sz w:val="24"/>
          <w:szCs w:val="24"/>
        </w:rPr>
        <w:t>offsets</w:t>
      </w:r>
      <w:r w:rsidR="00BF7433" w:rsidRPr="003E7E2B">
        <w:rPr>
          <w:rFonts w:asciiTheme="minorHAnsi" w:hAnsiTheme="minorHAnsi"/>
          <w:sz w:val="24"/>
          <w:szCs w:val="24"/>
        </w:rPr>
        <w:t>)</w:t>
      </w:r>
      <w:r w:rsidR="00AD7301" w:rsidRPr="003E7E2B">
        <w:rPr>
          <w:rFonts w:asciiTheme="minorHAnsi" w:hAnsiTheme="minorHAnsi"/>
          <w:sz w:val="24"/>
          <w:szCs w:val="24"/>
        </w:rPr>
        <w:t xml:space="preserve"> on an annual basis</w:t>
      </w:r>
      <w:r w:rsidR="00D800B1" w:rsidRPr="003E7E2B">
        <w:rPr>
          <w:rFonts w:asciiTheme="minorHAnsi" w:hAnsiTheme="minorHAnsi"/>
          <w:sz w:val="24"/>
          <w:szCs w:val="24"/>
        </w:rPr>
        <w:t>.</w:t>
      </w:r>
      <w:r w:rsidR="00AD7301" w:rsidRPr="003E7E2B">
        <w:rPr>
          <w:rFonts w:asciiTheme="minorHAnsi" w:hAnsiTheme="minorHAnsi"/>
          <w:sz w:val="24"/>
          <w:szCs w:val="24"/>
        </w:rPr>
        <w:t xml:space="preserve"> To address this, the r</w:t>
      </w:r>
      <w:r w:rsidR="005961AA" w:rsidRPr="003E7E2B">
        <w:rPr>
          <w:rFonts w:asciiTheme="minorHAnsi" w:hAnsiTheme="minorHAnsi"/>
          <w:sz w:val="24"/>
          <w:szCs w:val="24"/>
        </w:rPr>
        <w:t>esubmission’s</w:t>
      </w:r>
      <w:r w:rsidR="00AD7301" w:rsidRPr="003E7E2B">
        <w:rPr>
          <w:rFonts w:asciiTheme="minorHAnsi" w:hAnsiTheme="minorHAnsi"/>
          <w:sz w:val="24"/>
          <w:szCs w:val="24"/>
        </w:rPr>
        <w:t xml:space="preserve"> financial estimates ‘phased’ the application of subsequent therapy costs</w:t>
      </w:r>
      <w:r w:rsidR="005961AA" w:rsidRPr="003E7E2B">
        <w:rPr>
          <w:rFonts w:asciiTheme="minorHAnsi" w:hAnsiTheme="minorHAnsi"/>
          <w:sz w:val="24"/>
          <w:szCs w:val="24"/>
        </w:rPr>
        <w:t xml:space="preserve"> b</w:t>
      </w:r>
      <w:r w:rsidR="00F76543" w:rsidRPr="003E7E2B">
        <w:rPr>
          <w:rFonts w:asciiTheme="minorHAnsi" w:hAnsiTheme="minorHAnsi"/>
          <w:sz w:val="24"/>
          <w:szCs w:val="24"/>
        </w:rPr>
        <w:t>ased on t</w:t>
      </w:r>
      <w:r w:rsidR="00AD7301" w:rsidRPr="003E7E2B">
        <w:rPr>
          <w:rFonts w:asciiTheme="minorHAnsi" w:hAnsiTheme="minorHAnsi"/>
          <w:sz w:val="24"/>
          <w:szCs w:val="24"/>
        </w:rPr>
        <w:t>he PFS curve for NIVO+IPI from CA209</w:t>
      </w:r>
      <w:r w:rsidR="00985E8A" w:rsidRPr="003E7E2B">
        <w:rPr>
          <w:rFonts w:asciiTheme="minorHAnsi" w:hAnsiTheme="minorHAnsi"/>
          <w:sz w:val="24"/>
          <w:szCs w:val="24"/>
        </w:rPr>
        <w:t>-</w:t>
      </w:r>
      <w:r w:rsidR="00AD7301" w:rsidRPr="003E7E2B">
        <w:rPr>
          <w:rFonts w:asciiTheme="minorHAnsi" w:hAnsiTheme="minorHAnsi"/>
          <w:sz w:val="24"/>
          <w:szCs w:val="24"/>
        </w:rPr>
        <w:t>214</w:t>
      </w:r>
      <w:r w:rsidR="005961AA" w:rsidRPr="003E7E2B">
        <w:rPr>
          <w:rFonts w:asciiTheme="minorHAnsi" w:hAnsiTheme="minorHAnsi"/>
          <w:sz w:val="24"/>
          <w:szCs w:val="24"/>
        </w:rPr>
        <w:t xml:space="preserve"> (</w:t>
      </w:r>
      <w:r w:rsidR="00F76543" w:rsidRPr="003E7E2B">
        <w:rPr>
          <w:rFonts w:asciiTheme="minorHAnsi" w:hAnsiTheme="minorHAnsi"/>
          <w:sz w:val="24"/>
          <w:szCs w:val="24"/>
        </w:rPr>
        <w:t xml:space="preserve">it </w:t>
      </w:r>
      <w:r w:rsidR="00AD7301" w:rsidRPr="003E7E2B">
        <w:rPr>
          <w:rFonts w:asciiTheme="minorHAnsi" w:hAnsiTheme="minorHAnsi"/>
          <w:sz w:val="24"/>
          <w:szCs w:val="24"/>
        </w:rPr>
        <w:t>estimate</w:t>
      </w:r>
      <w:r w:rsidR="00F76543" w:rsidRPr="003E7E2B">
        <w:rPr>
          <w:rFonts w:asciiTheme="minorHAnsi" w:hAnsiTheme="minorHAnsi"/>
          <w:sz w:val="24"/>
          <w:szCs w:val="24"/>
        </w:rPr>
        <w:t xml:space="preserve">d that </w:t>
      </w:r>
      <w:r w:rsidR="00B76982">
        <w:rPr>
          <w:rFonts w:asciiTheme="minorHAnsi" w:hAnsiTheme="minorHAnsi"/>
          <w:noProof/>
          <w:color w:val="000000"/>
          <w:sz w:val="24"/>
          <w:szCs w:val="24"/>
          <w:highlight w:val="black"/>
        </w:rPr>
        <w:t>''''''''</w:t>
      </w:r>
      <w:r w:rsidR="00F76543" w:rsidRPr="003E7E2B">
        <w:rPr>
          <w:rFonts w:asciiTheme="minorHAnsi" w:hAnsiTheme="minorHAnsi"/>
          <w:sz w:val="24"/>
          <w:szCs w:val="24"/>
        </w:rPr>
        <w:t xml:space="preserve">% of </w:t>
      </w:r>
      <w:r w:rsidR="000C5FCC" w:rsidRPr="003E7E2B">
        <w:rPr>
          <w:rFonts w:asciiTheme="minorHAnsi" w:hAnsiTheme="minorHAnsi"/>
          <w:sz w:val="24"/>
          <w:szCs w:val="24"/>
        </w:rPr>
        <w:t>first-line</w:t>
      </w:r>
      <w:r w:rsidR="00AD7301" w:rsidRPr="003E7E2B">
        <w:rPr>
          <w:rFonts w:asciiTheme="minorHAnsi" w:hAnsiTheme="minorHAnsi"/>
          <w:sz w:val="24"/>
          <w:szCs w:val="24"/>
        </w:rPr>
        <w:t xml:space="preserve"> patients </w:t>
      </w:r>
      <w:r w:rsidR="005961AA" w:rsidRPr="003E7E2B">
        <w:rPr>
          <w:rFonts w:asciiTheme="minorHAnsi" w:hAnsiTheme="minorHAnsi"/>
          <w:sz w:val="24"/>
          <w:szCs w:val="24"/>
        </w:rPr>
        <w:t>progress within 12 months</w:t>
      </w:r>
      <w:r w:rsidR="00AD7301" w:rsidRPr="003E7E2B">
        <w:rPr>
          <w:rFonts w:asciiTheme="minorHAnsi" w:hAnsiTheme="minorHAnsi"/>
          <w:sz w:val="24"/>
          <w:szCs w:val="24"/>
        </w:rPr>
        <w:t xml:space="preserve">, </w:t>
      </w:r>
      <w:r w:rsidR="00F76543" w:rsidRPr="003E7E2B">
        <w:rPr>
          <w:rFonts w:asciiTheme="minorHAnsi" w:hAnsiTheme="minorHAnsi"/>
          <w:sz w:val="24"/>
          <w:szCs w:val="24"/>
        </w:rPr>
        <w:t>with the remaining</w:t>
      </w:r>
      <w:r w:rsidR="00AD7301" w:rsidRPr="003E7E2B">
        <w:rPr>
          <w:rFonts w:asciiTheme="minorHAnsi" w:hAnsiTheme="minorHAnsi"/>
          <w:sz w:val="24"/>
          <w:szCs w:val="24"/>
        </w:rPr>
        <w:t xml:space="preserve"> </w:t>
      </w:r>
      <w:r w:rsidR="00B76982">
        <w:rPr>
          <w:rFonts w:asciiTheme="minorHAnsi" w:hAnsiTheme="minorHAnsi"/>
          <w:noProof/>
          <w:color w:val="000000"/>
          <w:sz w:val="24"/>
          <w:szCs w:val="24"/>
          <w:highlight w:val="black"/>
        </w:rPr>
        <w:t>'''''''''</w:t>
      </w:r>
      <w:r w:rsidR="00AD7301" w:rsidRPr="003E7E2B">
        <w:rPr>
          <w:rFonts w:asciiTheme="minorHAnsi" w:hAnsiTheme="minorHAnsi"/>
          <w:sz w:val="24"/>
          <w:szCs w:val="24"/>
        </w:rPr>
        <w:t xml:space="preserve">% </w:t>
      </w:r>
      <w:r w:rsidR="005961AA" w:rsidRPr="003E7E2B">
        <w:rPr>
          <w:rFonts w:asciiTheme="minorHAnsi" w:hAnsiTheme="minorHAnsi"/>
          <w:sz w:val="24"/>
          <w:szCs w:val="24"/>
        </w:rPr>
        <w:t xml:space="preserve">of second-line therapy costs </w:t>
      </w:r>
      <w:r w:rsidR="00AD7301" w:rsidRPr="003E7E2B">
        <w:rPr>
          <w:rFonts w:asciiTheme="minorHAnsi" w:hAnsiTheme="minorHAnsi"/>
          <w:sz w:val="24"/>
          <w:szCs w:val="24"/>
        </w:rPr>
        <w:t xml:space="preserve">incurred in </w:t>
      </w:r>
      <w:r w:rsidR="005961AA" w:rsidRPr="003E7E2B">
        <w:rPr>
          <w:rFonts w:asciiTheme="minorHAnsi" w:hAnsiTheme="minorHAnsi"/>
          <w:sz w:val="24"/>
          <w:szCs w:val="24"/>
        </w:rPr>
        <w:t>Y</w:t>
      </w:r>
      <w:r w:rsidR="00AD7301" w:rsidRPr="003E7E2B">
        <w:rPr>
          <w:rFonts w:asciiTheme="minorHAnsi" w:hAnsiTheme="minorHAnsi"/>
          <w:sz w:val="24"/>
          <w:szCs w:val="24"/>
        </w:rPr>
        <w:t>ear 2)</w:t>
      </w:r>
      <w:r w:rsidR="00AE1376" w:rsidRPr="003E7E2B">
        <w:rPr>
          <w:rFonts w:asciiTheme="minorHAnsi" w:hAnsiTheme="minorHAnsi"/>
          <w:sz w:val="24"/>
          <w:szCs w:val="24"/>
        </w:rPr>
        <w:t xml:space="preserve">, and the </w:t>
      </w:r>
      <w:r w:rsidR="00AD7301" w:rsidRPr="003E7E2B">
        <w:rPr>
          <w:rFonts w:asciiTheme="minorHAnsi" w:hAnsiTheme="minorHAnsi"/>
          <w:sz w:val="24"/>
          <w:szCs w:val="24"/>
        </w:rPr>
        <w:t xml:space="preserve">PFS curve for NIVO from </w:t>
      </w:r>
      <w:r w:rsidR="00AE1376" w:rsidRPr="003E7E2B">
        <w:rPr>
          <w:rFonts w:asciiTheme="minorHAnsi" w:hAnsiTheme="minorHAnsi"/>
          <w:sz w:val="24"/>
          <w:szCs w:val="24"/>
        </w:rPr>
        <w:t xml:space="preserve">the second-line NIVO monotherapy study, </w:t>
      </w:r>
      <w:r w:rsidR="00AD7301" w:rsidRPr="003E7E2B">
        <w:rPr>
          <w:rFonts w:asciiTheme="minorHAnsi" w:hAnsiTheme="minorHAnsi"/>
          <w:sz w:val="24"/>
          <w:szCs w:val="24"/>
        </w:rPr>
        <w:t>CA209</w:t>
      </w:r>
      <w:r w:rsidR="00985E8A" w:rsidRPr="003E7E2B">
        <w:rPr>
          <w:rFonts w:asciiTheme="minorHAnsi" w:hAnsiTheme="minorHAnsi"/>
          <w:sz w:val="24"/>
          <w:szCs w:val="24"/>
        </w:rPr>
        <w:t>-</w:t>
      </w:r>
      <w:r w:rsidR="00AD7301" w:rsidRPr="003E7E2B">
        <w:rPr>
          <w:rFonts w:asciiTheme="minorHAnsi" w:hAnsiTheme="minorHAnsi"/>
          <w:sz w:val="24"/>
          <w:szCs w:val="24"/>
        </w:rPr>
        <w:t>025</w:t>
      </w:r>
      <w:r w:rsidR="003E3C28" w:rsidRPr="003E7E2B">
        <w:rPr>
          <w:rFonts w:asciiTheme="minorHAnsi" w:hAnsiTheme="minorHAnsi"/>
          <w:sz w:val="24"/>
          <w:szCs w:val="24"/>
        </w:rPr>
        <w:t xml:space="preserve"> (</w:t>
      </w:r>
      <w:r w:rsidR="00AE1376" w:rsidRPr="003E7E2B">
        <w:rPr>
          <w:rFonts w:asciiTheme="minorHAnsi" w:hAnsiTheme="minorHAnsi"/>
          <w:sz w:val="24"/>
          <w:szCs w:val="24"/>
        </w:rPr>
        <w:t xml:space="preserve">it </w:t>
      </w:r>
      <w:r w:rsidR="003E3C28" w:rsidRPr="003E7E2B">
        <w:rPr>
          <w:rFonts w:asciiTheme="minorHAnsi" w:hAnsiTheme="minorHAnsi"/>
          <w:sz w:val="24"/>
          <w:szCs w:val="24"/>
        </w:rPr>
        <w:t>estimate</w:t>
      </w:r>
      <w:r w:rsidR="00AE1376" w:rsidRPr="003E7E2B">
        <w:rPr>
          <w:rFonts w:asciiTheme="minorHAnsi" w:hAnsiTheme="minorHAnsi"/>
          <w:sz w:val="24"/>
          <w:szCs w:val="24"/>
        </w:rPr>
        <w:t>d</w:t>
      </w:r>
      <w:r w:rsidR="003E3C28" w:rsidRPr="003E7E2B">
        <w:rPr>
          <w:rFonts w:asciiTheme="minorHAnsi" w:hAnsiTheme="minorHAnsi"/>
          <w:sz w:val="24"/>
          <w:szCs w:val="24"/>
        </w:rPr>
        <w:t xml:space="preserve"> that </w:t>
      </w:r>
      <w:r w:rsidR="00B76982">
        <w:rPr>
          <w:rFonts w:asciiTheme="minorHAnsi" w:hAnsiTheme="minorHAnsi"/>
          <w:noProof/>
          <w:color w:val="000000"/>
          <w:sz w:val="24"/>
          <w:szCs w:val="24"/>
          <w:highlight w:val="black"/>
        </w:rPr>
        <w:t>'''''''''</w:t>
      </w:r>
      <w:r w:rsidR="003E3C28" w:rsidRPr="003E7E2B">
        <w:rPr>
          <w:rFonts w:asciiTheme="minorHAnsi" w:hAnsiTheme="minorHAnsi"/>
          <w:sz w:val="24"/>
          <w:szCs w:val="24"/>
        </w:rPr>
        <w:t xml:space="preserve">% </w:t>
      </w:r>
      <w:r w:rsidR="003979C2" w:rsidRPr="003E7E2B">
        <w:rPr>
          <w:rFonts w:asciiTheme="minorHAnsi" w:hAnsiTheme="minorHAnsi"/>
          <w:sz w:val="24"/>
          <w:szCs w:val="24"/>
        </w:rPr>
        <w:t xml:space="preserve">second-line </w:t>
      </w:r>
      <w:r w:rsidR="00AE1376" w:rsidRPr="003E7E2B">
        <w:rPr>
          <w:rFonts w:asciiTheme="minorHAnsi" w:hAnsiTheme="minorHAnsi"/>
          <w:sz w:val="24"/>
          <w:szCs w:val="24"/>
        </w:rPr>
        <w:t xml:space="preserve">therapy costs are incurred in Year 2, </w:t>
      </w:r>
      <w:r w:rsidR="003E3C28" w:rsidRPr="003E7E2B">
        <w:rPr>
          <w:rFonts w:asciiTheme="minorHAnsi" w:hAnsiTheme="minorHAnsi"/>
          <w:sz w:val="24"/>
          <w:szCs w:val="24"/>
        </w:rPr>
        <w:t xml:space="preserve">with the remaining </w:t>
      </w:r>
      <w:r w:rsidR="00B76982">
        <w:rPr>
          <w:rFonts w:asciiTheme="minorHAnsi" w:hAnsiTheme="minorHAnsi"/>
          <w:noProof/>
          <w:color w:val="000000"/>
          <w:sz w:val="24"/>
          <w:szCs w:val="24"/>
          <w:highlight w:val="black"/>
        </w:rPr>
        <w:t>''''''''</w:t>
      </w:r>
      <w:r w:rsidR="00AD7301" w:rsidRPr="003E7E2B">
        <w:rPr>
          <w:rFonts w:asciiTheme="minorHAnsi" w:hAnsiTheme="minorHAnsi"/>
          <w:sz w:val="24"/>
          <w:szCs w:val="24"/>
        </w:rPr>
        <w:t xml:space="preserve">% </w:t>
      </w:r>
      <w:r w:rsidR="00BF7433" w:rsidRPr="003E7E2B">
        <w:rPr>
          <w:rFonts w:asciiTheme="minorHAnsi" w:hAnsiTheme="minorHAnsi"/>
          <w:sz w:val="24"/>
          <w:szCs w:val="24"/>
        </w:rPr>
        <w:t xml:space="preserve">incurred in </w:t>
      </w:r>
      <w:r w:rsidR="005961AA" w:rsidRPr="003E7E2B">
        <w:rPr>
          <w:rFonts w:asciiTheme="minorHAnsi" w:hAnsiTheme="minorHAnsi"/>
          <w:sz w:val="24"/>
          <w:szCs w:val="24"/>
        </w:rPr>
        <w:t>Y</w:t>
      </w:r>
      <w:r w:rsidR="00BF7433" w:rsidRPr="003E7E2B">
        <w:rPr>
          <w:rFonts w:asciiTheme="minorHAnsi" w:hAnsiTheme="minorHAnsi"/>
          <w:sz w:val="24"/>
          <w:szCs w:val="24"/>
        </w:rPr>
        <w:t>ear 3</w:t>
      </w:r>
      <w:r w:rsidR="00AE1376" w:rsidRPr="003E7E2B">
        <w:rPr>
          <w:rFonts w:asciiTheme="minorHAnsi" w:hAnsiTheme="minorHAnsi"/>
          <w:sz w:val="24"/>
          <w:szCs w:val="24"/>
        </w:rPr>
        <w:t>)</w:t>
      </w:r>
      <w:r w:rsidR="00845EDE">
        <w:rPr>
          <w:rFonts w:asciiTheme="minorHAnsi" w:hAnsiTheme="minorHAnsi"/>
          <w:sz w:val="24"/>
          <w:szCs w:val="24"/>
        </w:rPr>
        <w:t>.</w:t>
      </w:r>
    </w:p>
    <w:p w:rsidR="00266565" w:rsidRPr="003E7E2B" w:rsidRDefault="000C69B1" w:rsidP="000C69B1">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Fourthly, f</w:t>
      </w:r>
      <w:r w:rsidR="00266565" w:rsidRPr="003E7E2B">
        <w:rPr>
          <w:rFonts w:asciiTheme="minorHAnsi" w:hAnsiTheme="minorHAnsi"/>
          <w:sz w:val="24"/>
          <w:szCs w:val="24"/>
        </w:rPr>
        <w:t>low-on changes from the economic model were</w:t>
      </w:r>
      <w:r w:rsidR="00023635" w:rsidRPr="003E7E2B">
        <w:rPr>
          <w:rFonts w:asciiTheme="minorHAnsi" w:hAnsiTheme="minorHAnsi"/>
          <w:sz w:val="24"/>
          <w:szCs w:val="24"/>
        </w:rPr>
        <w:t xml:space="preserve"> incorporated</w:t>
      </w:r>
      <w:r w:rsidR="009F33A4" w:rsidRPr="003E7E2B">
        <w:rPr>
          <w:rFonts w:asciiTheme="minorHAnsi" w:hAnsiTheme="minorHAnsi"/>
          <w:sz w:val="24"/>
          <w:szCs w:val="24"/>
        </w:rPr>
        <w:t xml:space="preserve">, including changes to the </w:t>
      </w:r>
      <w:r w:rsidR="00266565" w:rsidRPr="003E7E2B">
        <w:rPr>
          <w:rFonts w:asciiTheme="minorHAnsi" w:hAnsiTheme="minorHAnsi"/>
          <w:sz w:val="24"/>
          <w:szCs w:val="24"/>
        </w:rPr>
        <w:t xml:space="preserve">mean number of NIVO infusions per patient </w:t>
      </w:r>
      <w:r w:rsidR="009F33A4" w:rsidRPr="003E7E2B">
        <w:rPr>
          <w:rFonts w:asciiTheme="minorHAnsi" w:hAnsiTheme="minorHAnsi"/>
          <w:sz w:val="24"/>
          <w:szCs w:val="24"/>
        </w:rPr>
        <w:t>(</w:t>
      </w:r>
      <w:r w:rsidR="00266565" w:rsidRPr="003E7E2B">
        <w:rPr>
          <w:rFonts w:asciiTheme="minorHAnsi" w:hAnsiTheme="minorHAnsi"/>
          <w:sz w:val="24"/>
          <w:szCs w:val="24"/>
        </w:rPr>
        <w:t>due to changes to the extrapolation and time horizon</w:t>
      </w:r>
      <w:r w:rsidR="009F33A4" w:rsidRPr="003E7E2B">
        <w:rPr>
          <w:rFonts w:asciiTheme="minorHAnsi" w:hAnsiTheme="minorHAnsi"/>
          <w:sz w:val="24"/>
          <w:szCs w:val="24"/>
        </w:rPr>
        <w:t xml:space="preserve">) and the </w:t>
      </w:r>
      <w:r w:rsidR="00266565" w:rsidRPr="003E7E2B">
        <w:rPr>
          <w:rFonts w:asciiTheme="minorHAnsi" w:hAnsiTheme="minorHAnsi"/>
          <w:sz w:val="24"/>
          <w:szCs w:val="24"/>
        </w:rPr>
        <w:t>requested p</w:t>
      </w:r>
      <w:r w:rsidR="00845EDE">
        <w:rPr>
          <w:rFonts w:asciiTheme="minorHAnsi" w:hAnsiTheme="minorHAnsi"/>
          <w:sz w:val="24"/>
          <w:szCs w:val="24"/>
        </w:rPr>
        <w:t>rice of NIVO + IPI was reduced.</w:t>
      </w:r>
    </w:p>
    <w:p w:rsidR="00D16BD2" w:rsidRPr="00F83EA1" w:rsidRDefault="00D16BD2" w:rsidP="00C51BD1">
      <w:pPr>
        <w:pStyle w:val="ListParagraph"/>
        <w:numPr>
          <w:ilvl w:val="1"/>
          <w:numId w:val="5"/>
        </w:numPr>
        <w:spacing w:after="120"/>
        <w:contextualSpacing w:val="0"/>
        <w:rPr>
          <w:rFonts w:ascii="Calibri" w:hAnsi="Calibri"/>
        </w:rPr>
      </w:pPr>
      <w:r w:rsidRPr="003E7E2B">
        <w:rPr>
          <w:rFonts w:asciiTheme="minorHAnsi" w:hAnsiTheme="minorHAnsi"/>
          <w:sz w:val="24"/>
          <w:szCs w:val="24"/>
        </w:rPr>
        <w:t xml:space="preserve">The resubmission assumed there would be </w:t>
      </w:r>
      <w:r w:rsidR="003E3C28" w:rsidRPr="003E7E2B">
        <w:rPr>
          <w:rFonts w:asciiTheme="minorHAnsi" w:hAnsiTheme="minorHAnsi"/>
          <w:sz w:val="24"/>
          <w:szCs w:val="24"/>
        </w:rPr>
        <w:t xml:space="preserve">PBS </w:t>
      </w:r>
      <w:r w:rsidRPr="003E7E2B">
        <w:rPr>
          <w:rFonts w:asciiTheme="minorHAnsi" w:hAnsiTheme="minorHAnsi"/>
          <w:sz w:val="24"/>
          <w:szCs w:val="24"/>
        </w:rPr>
        <w:t xml:space="preserve">cost-offsets primarily from reduced use of sunitinib and </w:t>
      </w:r>
      <w:proofErr w:type="spellStart"/>
      <w:r w:rsidRPr="003E7E2B">
        <w:rPr>
          <w:rFonts w:asciiTheme="minorHAnsi" w:hAnsiTheme="minorHAnsi"/>
          <w:sz w:val="24"/>
          <w:szCs w:val="24"/>
        </w:rPr>
        <w:t>pazopanib</w:t>
      </w:r>
      <w:proofErr w:type="spellEnd"/>
      <w:r w:rsidRPr="003E7E2B">
        <w:rPr>
          <w:rFonts w:asciiTheme="minorHAnsi" w:hAnsiTheme="minorHAnsi"/>
          <w:sz w:val="24"/>
          <w:szCs w:val="24"/>
        </w:rPr>
        <w:t xml:space="preserve"> in the first-line setting and NIVO monotherapy</w:t>
      </w:r>
      <w:r w:rsidR="00AE1376" w:rsidRPr="003E7E2B">
        <w:rPr>
          <w:rFonts w:asciiTheme="minorHAnsi" w:hAnsiTheme="minorHAnsi"/>
          <w:sz w:val="24"/>
          <w:szCs w:val="24"/>
        </w:rPr>
        <w:t xml:space="preserve"> (and other </w:t>
      </w:r>
      <w:r w:rsidR="005D64CB">
        <w:rPr>
          <w:rFonts w:asciiTheme="minorHAnsi" w:hAnsiTheme="minorHAnsi"/>
          <w:sz w:val="24"/>
          <w:szCs w:val="24"/>
        </w:rPr>
        <w:t xml:space="preserve">subsequent </w:t>
      </w:r>
      <w:r w:rsidR="00AE1376" w:rsidRPr="003E7E2B">
        <w:rPr>
          <w:rFonts w:asciiTheme="minorHAnsi" w:hAnsiTheme="minorHAnsi"/>
          <w:sz w:val="24"/>
          <w:szCs w:val="24"/>
        </w:rPr>
        <w:t>therapies)</w:t>
      </w:r>
      <w:r w:rsidRPr="003E7E2B">
        <w:rPr>
          <w:rFonts w:asciiTheme="minorHAnsi" w:hAnsiTheme="minorHAnsi"/>
          <w:sz w:val="24"/>
          <w:szCs w:val="24"/>
        </w:rPr>
        <w:t xml:space="preserve"> in the second-line </w:t>
      </w:r>
      <w:r w:rsidR="00AE1376" w:rsidRPr="003E7E2B">
        <w:rPr>
          <w:rFonts w:asciiTheme="minorHAnsi" w:hAnsiTheme="minorHAnsi"/>
          <w:sz w:val="24"/>
          <w:szCs w:val="24"/>
        </w:rPr>
        <w:t xml:space="preserve">and third-line </w:t>
      </w:r>
      <w:r w:rsidRPr="003E7E2B">
        <w:rPr>
          <w:rFonts w:asciiTheme="minorHAnsi" w:hAnsiTheme="minorHAnsi"/>
          <w:sz w:val="24"/>
          <w:szCs w:val="24"/>
        </w:rPr>
        <w:t>setting</w:t>
      </w:r>
      <w:r w:rsidR="00AE1376" w:rsidRPr="003E7E2B">
        <w:rPr>
          <w:rFonts w:asciiTheme="minorHAnsi" w:hAnsiTheme="minorHAnsi"/>
          <w:sz w:val="24"/>
          <w:szCs w:val="24"/>
        </w:rPr>
        <w:t>s</w:t>
      </w:r>
      <w:r w:rsidRPr="003E7E2B">
        <w:rPr>
          <w:rFonts w:asciiTheme="minorHAnsi" w:hAnsiTheme="minorHAnsi"/>
          <w:sz w:val="24"/>
          <w:szCs w:val="24"/>
        </w:rPr>
        <w:t>. The</w:t>
      </w:r>
      <w:r w:rsidRPr="003E7E2B">
        <w:rPr>
          <w:rFonts w:ascii="Calibri" w:hAnsi="Calibri" w:cs="Calibri"/>
          <w:sz w:val="24"/>
          <w:szCs w:val="24"/>
        </w:rPr>
        <w:t xml:space="preserve"> resubmission continued to assume tha</w:t>
      </w:r>
      <w:r w:rsidRPr="00964C3A">
        <w:rPr>
          <w:rFonts w:ascii="Calibri" w:hAnsi="Calibri" w:cs="Calibri"/>
          <w:sz w:val="24"/>
          <w:szCs w:val="24"/>
        </w:rPr>
        <w:t xml:space="preserve">t </w:t>
      </w:r>
      <w:r w:rsidR="00B76982">
        <w:rPr>
          <w:rFonts w:ascii="Calibri" w:hAnsi="Calibri" w:cs="Calibri"/>
          <w:noProof/>
          <w:color w:val="000000"/>
          <w:sz w:val="24"/>
          <w:szCs w:val="24"/>
          <w:highlight w:val="black"/>
        </w:rPr>
        <w:t>'''''</w:t>
      </w:r>
      <w:r w:rsidRPr="00964C3A">
        <w:rPr>
          <w:rFonts w:ascii="Calibri" w:hAnsi="Calibri" w:cs="Calibri"/>
          <w:sz w:val="24"/>
          <w:szCs w:val="24"/>
        </w:rPr>
        <w:t xml:space="preserve">% </w:t>
      </w:r>
      <w:r w:rsidRPr="003E7E2B">
        <w:rPr>
          <w:rFonts w:ascii="Calibri" w:hAnsi="Calibri" w:cs="Calibri"/>
          <w:sz w:val="24"/>
          <w:szCs w:val="24"/>
        </w:rPr>
        <w:t xml:space="preserve">of patients receive subsequent second-line therapy, and </w:t>
      </w:r>
      <w:r w:rsidR="00B76982">
        <w:rPr>
          <w:rFonts w:ascii="Calibri" w:hAnsi="Calibri" w:cs="Calibri"/>
          <w:noProof/>
          <w:color w:val="000000"/>
          <w:sz w:val="24"/>
          <w:szCs w:val="24"/>
          <w:highlight w:val="black"/>
        </w:rPr>
        <w:t>'''''</w:t>
      </w:r>
      <w:r w:rsidRPr="003E7E2B">
        <w:rPr>
          <w:rFonts w:ascii="Calibri" w:hAnsi="Calibri" w:cs="Calibri"/>
          <w:sz w:val="24"/>
          <w:szCs w:val="24"/>
        </w:rPr>
        <w:t xml:space="preserve">% receive subsequent third-line therapy (in the scenario in which the restrictions for current second-line therapies are amended to allow prior TKI therapy in second-line settings). This was unchanged from the previous submission and did not address the PBAC’s previous concerns that “it was likely that cost offsets associated </w:t>
      </w:r>
      <w:r w:rsidR="003E7E2B">
        <w:rPr>
          <w:rFonts w:ascii="Calibri" w:hAnsi="Calibri" w:cs="Calibri"/>
          <w:sz w:val="24"/>
          <w:szCs w:val="24"/>
        </w:rPr>
        <w:t xml:space="preserve">with </w:t>
      </w:r>
      <w:r w:rsidRPr="003E7E2B">
        <w:rPr>
          <w:rFonts w:ascii="Calibri" w:hAnsi="Calibri" w:cs="Calibri"/>
          <w:sz w:val="24"/>
          <w:szCs w:val="24"/>
        </w:rPr>
        <w:t xml:space="preserve">substituted 2L and 3L therapies may be overestimated” (Paragraph 6.79, July 2018 PBAC </w:t>
      </w:r>
      <w:r w:rsidR="0037076E">
        <w:rPr>
          <w:rFonts w:ascii="Calibri" w:hAnsi="Calibri" w:cs="Calibri"/>
          <w:sz w:val="24"/>
          <w:szCs w:val="24"/>
        </w:rPr>
        <w:t>PSD</w:t>
      </w:r>
      <w:r w:rsidRPr="003E7E2B">
        <w:rPr>
          <w:rFonts w:ascii="Calibri" w:hAnsi="Calibri" w:cs="Calibri"/>
          <w:sz w:val="24"/>
          <w:szCs w:val="24"/>
        </w:rPr>
        <w:t>). The resubmission</w:t>
      </w:r>
      <w:r w:rsidR="00A708EB" w:rsidRPr="003E7E2B">
        <w:rPr>
          <w:rFonts w:ascii="Calibri" w:hAnsi="Calibri" w:cs="Calibri"/>
          <w:sz w:val="24"/>
          <w:szCs w:val="24"/>
        </w:rPr>
        <w:t xml:space="preserve">’s rationale for not addressing this comment was </w:t>
      </w:r>
      <w:r w:rsidRPr="003C2660">
        <w:rPr>
          <w:rFonts w:ascii="Calibri" w:hAnsi="Calibri" w:cs="Calibri"/>
          <w:sz w:val="24"/>
          <w:szCs w:val="24"/>
        </w:rPr>
        <w:t xml:space="preserve">that the RCC market is evolving with new agents becoming </w:t>
      </w:r>
      <w:r w:rsidRPr="003C2660">
        <w:rPr>
          <w:rFonts w:asciiTheme="minorHAnsi" w:hAnsiTheme="minorHAnsi"/>
          <w:sz w:val="24"/>
          <w:szCs w:val="24"/>
        </w:rPr>
        <w:t xml:space="preserve">available (e.g. nivolumab PBS listed 1 August 2017, and </w:t>
      </w:r>
      <w:proofErr w:type="spellStart"/>
      <w:r w:rsidRPr="003C2660">
        <w:rPr>
          <w:rFonts w:asciiTheme="minorHAnsi" w:hAnsiTheme="minorHAnsi"/>
          <w:sz w:val="24"/>
          <w:szCs w:val="24"/>
        </w:rPr>
        <w:t>cabozantinib</w:t>
      </w:r>
      <w:proofErr w:type="spellEnd"/>
      <w:r w:rsidRPr="003C2660">
        <w:rPr>
          <w:rFonts w:asciiTheme="minorHAnsi" w:hAnsiTheme="minorHAnsi"/>
          <w:sz w:val="24"/>
          <w:szCs w:val="24"/>
        </w:rPr>
        <w:t xml:space="preserve"> PBS listed 1 June 2018), which may increase the number of options available. </w:t>
      </w:r>
      <w:r w:rsidR="00533EE8" w:rsidRPr="003C2660">
        <w:rPr>
          <w:rFonts w:asciiTheme="minorHAnsi" w:hAnsiTheme="minorHAnsi"/>
          <w:sz w:val="24"/>
          <w:szCs w:val="24"/>
        </w:rPr>
        <w:t xml:space="preserve">The PBAC noted that the proportion of patients receiving second- and third-line therapies were consistent with figures previously accepted by PBAC for the listing of </w:t>
      </w:r>
      <w:r w:rsidR="00C51BD1" w:rsidRPr="003E7E2B">
        <w:rPr>
          <w:rFonts w:asciiTheme="minorHAnsi" w:hAnsiTheme="minorHAnsi"/>
          <w:sz w:val="24"/>
          <w:szCs w:val="24"/>
        </w:rPr>
        <w:t>NIVO</w:t>
      </w:r>
      <w:r w:rsidR="00533EE8" w:rsidRPr="003E7E2B">
        <w:rPr>
          <w:rFonts w:asciiTheme="minorHAnsi" w:hAnsiTheme="minorHAnsi"/>
          <w:sz w:val="24"/>
          <w:szCs w:val="24"/>
        </w:rPr>
        <w:t xml:space="preserve"> in second- and later-lines of RCC. In this context, the March 2017 PBAC had considered these were likely overestimat</w:t>
      </w:r>
      <w:r w:rsidR="00C51BD1" w:rsidRPr="003E7E2B">
        <w:rPr>
          <w:rFonts w:asciiTheme="minorHAnsi" w:hAnsiTheme="minorHAnsi"/>
          <w:sz w:val="24"/>
          <w:szCs w:val="24"/>
        </w:rPr>
        <w:t>ed</w:t>
      </w:r>
      <w:r w:rsidR="00533EE8" w:rsidRPr="003E7E2B">
        <w:rPr>
          <w:rFonts w:asciiTheme="minorHAnsi" w:hAnsiTheme="minorHAnsi"/>
          <w:sz w:val="24"/>
          <w:szCs w:val="24"/>
        </w:rPr>
        <w:t xml:space="preserve">, </w:t>
      </w:r>
      <w:r w:rsidR="00C51BD1" w:rsidRPr="003E7E2B">
        <w:rPr>
          <w:rFonts w:asciiTheme="minorHAnsi" w:hAnsiTheme="minorHAnsi"/>
          <w:sz w:val="24"/>
          <w:szCs w:val="24"/>
        </w:rPr>
        <w:t xml:space="preserve">but </w:t>
      </w:r>
      <w:r w:rsidR="00533EE8" w:rsidRPr="003E7E2B">
        <w:rPr>
          <w:rFonts w:asciiTheme="minorHAnsi" w:hAnsiTheme="minorHAnsi"/>
          <w:sz w:val="24"/>
          <w:szCs w:val="24"/>
        </w:rPr>
        <w:t xml:space="preserve">represented a reasonable upper limit for the purposes of calculating risk sharing arrangement caps (Paragraph 6.46, Nivolumab Public Summary Document, </w:t>
      </w:r>
      <w:proofErr w:type="gramStart"/>
      <w:r w:rsidR="00533EE8" w:rsidRPr="003E7E2B">
        <w:rPr>
          <w:rFonts w:asciiTheme="minorHAnsi" w:hAnsiTheme="minorHAnsi"/>
          <w:sz w:val="24"/>
          <w:szCs w:val="24"/>
        </w:rPr>
        <w:t>March</w:t>
      </w:r>
      <w:proofErr w:type="gramEnd"/>
      <w:r w:rsidR="00533EE8" w:rsidRPr="003E7E2B">
        <w:rPr>
          <w:rFonts w:asciiTheme="minorHAnsi" w:hAnsiTheme="minorHAnsi"/>
          <w:sz w:val="24"/>
          <w:szCs w:val="24"/>
        </w:rPr>
        <w:t xml:space="preserve"> 2017).</w:t>
      </w:r>
      <w:r w:rsidR="00C51BD1" w:rsidRPr="003E7E2B">
        <w:rPr>
          <w:rFonts w:asciiTheme="minorHAnsi" w:hAnsiTheme="minorHAnsi"/>
          <w:sz w:val="24"/>
          <w:szCs w:val="24"/>
        </w:rPr>
        <w:t xml:space="preserve"> The PBAC again considered the</w:t>
      </w:r>
      <w:r w:rsidR="00F46C90">
        <w:rPr>
          <w:rFonts w:asciiTheme="minorHAnsi" w:hAnsiTheme="minorHAnsi"/>
          <w:sz w:val="24"/>
          <w:szCs w:val="24"/>
        </w:rPr>
        <w:t>s</w:t>
      </w:r>
      <w:r w:rsidR="00C51BD1" w:rsidRPr="003E7E2B">
        <w:rPr>
          <w:rFonts w:asciiTheme="minorHAnsi" w:hAnsiTheme="minorHAnsi"/>
          <w:sz w:val="24"/>
          <w:szCs w:val="24"/>
        </w:rPr>
        <w:t xml:space="preserve">e were likely reasonable upper limits </w:t>
      </w:r>
      <w:r w:rsidR="00195306">
        <w:rPr>
          <w:rFonts w:asciiTheme="minorHAnsi" w:hAnsiTheme="minorHAnsi"/>
          <w:sz w:val="24"/>
          <w:szCs w:val="24"/>
        </w:rPr>
        <w:t xml:space="preserve">of likely use </w:t>
      </w:r>
      <w:r w:rsidR="00C51BD1" w:rsidRPr="003E7E2B">
        <w:rPr>
          <w:rFonts w:asciiTheme="minorHAnsi" w:hAnsiTheme="minorHAnsi"/>
          <w:sz w:val="24"/>
          <w:szCs w:val="24"/>
        </w:rPr>
        <w:t>in the context of</w:t>
      </w:r>
      <w:r w:rsidR="0058664C" w:rsidRPr="003E7E2B">
        <w:rPr>
          <w:rFonts w:asciiTheme="minorHAnsi" w:hAnsiTheme="minorHAnsi"/>
          <w:sz w:val="24"/>
          <w:szCs w:val="24"/>
        </w:rPr>
        <w:t xml:space="preserve"> estimating</w:t>
      </w:r>
      <w:r w:rsidR="00C51BD1" w:rsidRPr="003E7E2B">
        <w:rPr>
          <w:rFonts w:asciiTheme="minorHAnsi" w:hAnsiTheme="minorHAnsi"/>
          <w:sz w:val="24"/>
          <w:szCs w:val="24"/>
        </w:rPr>
        <w:t xml:space="preserve"> flow-on changes to the existing NIVO</w:t>
      </w:r>
      <w:r w:rsidR="00195306">
        <w:rPr>
          <w:rFonts w:asciiTheme="minorHAnsi" w:hAnsiTheme="minorHAnsi"/>
          <w:sz w:val="24"/>
          <w:szCs w:val="24"/>
        </w:rPr>
        <w:t xml:space="preserve"> market in RCC</w:t>
      </w:r>
      <w:r w:rsidR="003F206C">
        <w:rPr>
          <w:rFonts w:asciiTheme="minorHAnsi" w:hAnsiTheme="minorHAnsi"/>
          <w:sz w:val="24"/>
          <w:szCs w:val="24"/>
        </w:rPr>
        <w:t>.</w:t>
      </w:r>
    </w:p>
    <w:p w:rsidR="00EA1A39" w:rsidRPr="00F83EA1" w:rsidRDefault="00EA1A39" w:rsidP="00F83EA1">
      <w:pPr>
        <w:pStyle w:val="ListParagraph"/>
        <w:numPr>
          <w:ilvl w:val="1"/>
          <w:numId w:val="5"/>
        </w:numPr>
        <w:spacing w:after="120"/>
        <w:contextualSpacing w:val="0"/>
        <w:rPr>
          <w:rFonts w:ascii="Calibri" w:hAnsi="Calibri"/>
        </w:rPr>
      </w:pPr>
      <w:r w:rsidRPr="00F83EA1">
        <w:rPr>
          <w:rFonts w:asciiTheme="minorHAnsi" w:hAnsiTheme="minorHAnsi" w:cstheme="minorHAnsi"/>
          <w:sz w:val="24"/>
          <w:szCs w:val="24"/>
        </w:rPr>
        <w:t>The method for calculating the eligible population was unchanged from the previous submission</w:t>
      </w:r>
      <w:r w:rsidR="00F83EA1" w:rsidRPr="00F83EA1">
        <w:rPr>
          <w:rFonts w:asciiTheme="minorHAnsi" w:hAnsiTheme="minorHAnsi" w:cstheme="minorHAnsi"/>
          <w:sz w:val="24"/>
          <w:szCs w:val="24"/>
        </w:rPr>
        <w:t xml:space="preserve">, and included a step in which the eligible population was increased by </w:t>
      </w:r>
      <w:r w:rsidR="00B76982">
        <w:rPr>
          <w:rFonts w:asciiTheme="minorHAnsi" w:hAnsiTheme="minorHAnsi" w:cstheme="minorHAnsi"/>
          <w:noProof/>
          <w:color w:val="000000"/>
          <w:sz w:val="24"/>
          <w:szCs w:val="24"/>
          <w:highlight w:val="black"/>
        </w:rPr>
        <w:lastRenderedPageBreak/>
        <w:t>'''''</w:t>
      </w:r>
      <w:r w:rsidR="00F83EA1" w:rsidRPr="00F83EA1">
        <w:rPr>
          <w:rFonts w:asciiTheme="minorHAnsi" w:hAnsiTheme="minorHAnsi" w:cstheme="minorHAnsi"/>
          <w:sz w:val="24"/>
          <w:szCs w:val="24"/>
        </w:rPr>
        <w:t>% to account for a high level of clinical trial activity occurring in Australia for first-line RCC</w:t>
      </w:r>
      <w:r w:rsidRPr="00F83EA1">
        <w:rPr>
          <w:rFonts w:asciiTheme="minorHAnsi" w:hAnsiTheme="minorHAnsi" w:cstheme="minorHAnsi"/>
          <w:sz w:val="24"/>
          <w:szCs w:val="24"/>
        </w:rPr>
        <w:t>.</w:t>
      </w:r>
    </w:p>
    <w:p w:rsidR="005E36E2" w:rsidRPr="003E7E2B" w:rsidRDefault="005E36E2" w:rsidP="0058664C">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The estimated utilisation and financial impacts are shown in the table below.</w:t>
      </w:r>
      <w:r w:rsidR="00C51BD1" w:rsidRPr="003E7E2B">
        <w:t xml:space="preserve"> </w:t>
      </w:r>
      <w:r w:rsidR="00C51BD1" w:rsidRPr="003E7E2B">
        <w:rPr>
          <w:rFonts w:asciiTheme="minorHAnsi" w:hAnsiTheme="minorHAnsi"/>
          <w:sz w:val="24"/>
          <w:szCs w:val="24"/>
        </w:rPr>
        <w:t>For the cost-offsets (financial implications for other PBS-listed medicines), the numbers presented assume that the PBS restriction for the current second- and later-line therapies will be amended to remove the requirement for prior TKI use to have been in the first-line setting.</w:t>
      </w:r>
      <w:r w:rsidR="0058664C" w:rsidRPr="003E7E2B">
        <w:rPr>
          <w:rFonts w:asciiTheme="minorHAnsi" w:hAnsiTheme="minorHAnsi"/>
          <w:sz w:val="24"/>
          <w:szCs w:val="24"/>
        </w:rPr>
        <w:t xml:space="preserve"> The PBAC noted the estimates would also need to be upda</w:t>
      </w:r>
      <w:r w:rsidR="0058664C" w:rsidRPr="003C2660">
        <w:rPr>
          <w:rFonts w:asciiTheme="minorHAnsi" w:hAnsiTheme="minorHAnsi"/>
          <w:sz w:val="24"/>
          <w:szCs w:val="24"/>
        </w:rPr>
        <w:t>ted to take</w:t>
      </w:r>
      <w:r w:rsidR="00681F8F" w:rsidRPr="003C2660">
        <w:rPr>
          <w:rFonts w:asciiTheme="minorHAnsi" w:hAnsiTheme="minorHAnsi"/>
          <w:sz w:val="24"/>
          <w:szCs w:val="24"/>
        </w:rPr>
        <w:t xml:space="preserve"> into </w:t>
      </w:r>
      <w:r w:rsidR="0058664C" w:rsidRPr="003C2660">
        <w:rPr>
          <w:rFonts w:asciiTheme="minorHAnsi" w:hAnsiTheme="minorHAnsi"/>
          <w:sz w:val="24"/>
          <w:szCs w:val="24"/>
        </w:rPr>
        <w:t xml:space="preserve">account </w:t>
      </w:r>
      <w:r w:rsidR="00681F8F" w:rsidRPr="003C2660">
        <w:rPr>
          <w:rFonts w:asciiTheme="minorHAnsi" w:hAnsiTheme="minorHAnsi"/>
          <w:sz w:val="24"/>
          <w:szCs w:val="24"/>
        </w:rPr>
        <w:t>the restriction amendment where patients who receive</w:t>
      </w:r>
      <w:r w:rsidR="0058664C" w:rsidRPr="003C2660">
        <w:rPr>
          <w:rFonts w:asciiTheme="minorHAnsi" w:hAnsiTheme="minorHAnsi"/>
          <w:sz w:val="24"/>
          <w:szCs w:val="24"/>
        </w:rPr>
        <w:t xml:space="preserve"> first-line NIVO+I</w:t>
      </w:r>
      <w:r w:rsidR="0058664C" w:rsidRPr="003E7E2B">
        <w:rPr>
          <w:rFonts w:asciiTheme="minorHAnsi" w:hAnsiTheme="minorHAnsi"/>
          <w:sz w:val="24"/>
          <w:szCs w:val="24"/>
        </w:rPr>
        <w:t>PI should not subsequently receive nivolumab monotherapy in a later line of therap</w:t>
      </w:r>
      <w:r w:rsidR="00681F8F" w:rsidRPr="003E7E2B">
        <w:rPr>
          <w:rFonts w:asciiTheme="minorHAnsi" w:hAnsiTheme="minorHAnsi"/>
          <w:sz w:val="24"/>
          <w:szCs w:val="24"/>
        </w:rPr>
        <w:t>y.</w:t>
      </w:r>
    </w:p>
    <w:p w:rsidR="00533EE8" w:rsidRPr="00AF0145" w:rsidRDefault="00533EE8" w:rsidP="00533EE8">
      <w:pPr>
        <w:keepNext/>
        <w:keepLines/>
        <w:rPr>
          <w:rStyle w:val="CommentReference"/>
          <w:rFonts w:ascii="Arial Narrow" w:hAnsi="Arial Narrow"/>
          <w:b/>
          <w:sz w:val="20"/>
          <w:szCs w:val="20"/>
        </w:rPr>
      </w:pPr>
      <w:r w:rsidRPr="003E7E2B">
        <w:rPr>
          <w:rStyle w:val="CommentReference"/>
          <w:rFonts w:ascii="Arial Narrow" w:hAnsi="Arial Narrow"/>
          <w:b/>
          <w:sz w:val="20"/>
          <w:szCs w:val="20"/>
        </w:rPr>
        <w:t xml:space="preserve">Table 7: Estimated use and financial implications: </w:t>
      </w:r>
      <w:r w:rsidR="00811A0A" w:rsidRPr="003E7E2B">
        <w:rPr>
          <w:rStyle w:val="CommentReference"/>
          <w:rFonts w:ascii="Arial Narrow" w:hAnsi="Arial Narrow"/>
          <w:b/>
          <w:sz w:val="20"/>
          <w:szCs w:val="20"/>
        </w:rPr>
        <w:t xml:space="preserve">as presented in the </w:t>
      </w:r>
      <w:r w:rsidRPr="003E7E2B">
        <w:rPr>
          <w:rStyle w:val="CommentReference"/>
          <w:rFonts w:ascii="Arial Narrow" w:hAnsi="Arial Narrow"/>
          <w:b/>
          <w:sz w:val="20"/>
          <w:szCs w:val="20"/>
        </w:rPr>
        <w:t>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106"/>
        <w:gridCol w:w="1108"/>
        <w:gridCol w:w="1106"/>
        <w:gridCol w:w="1108"/>
        <w:gridCol w:w="1106"/>
        <w:gridCol w:w="1110"/>
      </w:tblGrid>
      <w:tr w:rsidR="00533EE8" w:rsidRPr="003E7E2B" w:rsidTr="00931FFE">
        <w:trPr>
          <w:tblHeader/>
        </w:trPr>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p>
        </w:tc>
        <w:tc>
          <w:tcPr>
            <w:tcW w:w="609" w:type="pct"/>
            <w:shd w:val="clear" w:color="auto" w:fill="auto"/>
            <w:vAlign w:val="center"/>
          </w:tcPr>
          <w:p w:rsidR="00533EE8" w:rsidRPr="00931FFE" w:rsidRDefault="00533EE8" w:rsidP="00AF01C2">
            <w:pPr>
              <w:pStyle w:val="Tabletext"/>
              <w:keepNext/>
              <w:keepLines/>
              <w:spacing w:after="0"/>
              <w:jc w:val="center"/>
              <w:rPr>
                <w:rFonts w:ascii="Arial Narrow" w:hAnsi="Arial Narrow"/>
                <w:b/>
              </w:rPr>
            </w:pPr>
            <w:r w:rsidRPr="00931FFE">
              <w:rPr>
                <w:rFonts w:ascii="Arial Narrow" w:hAnsi="Arial Narrow"/>
                <w:b/>
              </w:rPr>
              <w:t>Year 1</w:t>
            </w:r>
          </w:p>
        </w:tc>
        <w:tc>
          <w:tcPr>
            <w:tcW w:w="610" w:type="pct"/>
            <w:shd w:val="clear" w:color="auto" w:fill="auto"/>
            <w:vAlign w:val="center"/>
          </w:tcPr>
          <w:p w:rsidR="00533EE8" w:rsidRPr="00931FFE" w:rsidRDefault="00533EE8" w:rsidP="00AF01C2">
            <w:pPr>
              <w:pStyle w:val="Tabletext"/>
              <w:keepNext/>
              <w:keepLines/>
              <w:spacing w:after="0"/>
              <w:jc w:val="center"/>
              <w:rPr>
                <w:rFonts w:ascii="Arial Narrow" w:hAnsi="Arial Narrow"/>
                <w:b/>
              </w:rPr>
            </w:pPr>
            <w:r w:rsidRPr="00931FFE">
              <w:rPr>
                <w:rFonts w:ascii="Arial Narrow" w:hAnsi="Arial Narrow"/>
                <w:b/>
              </w:rPr>
              <w:t>Year 2</w:t>
            </w:r>
          </w:p>
        </w:tc>
        <w:tc>
          <w:tcPr>
            <w:tcW w:w="609" w:type="pct"/>
            <w:shd w:val="clear" w:color="auto" w:fill="auto"/>
            <w:vAlign w:val="center"/>
          </w:tcPr>
          <w:p w:rsidR="00533EE8" w:rsidRPr="00931FFE" w:rsidRDefault="00533EE8" w:rsidP="00AF01C2">
            <w:pPr>
              <w:pStyle w:val="Tabletext"/>
              <w:keepNext/>
              <w:keepLines/>
              <w:spacing w:after="0"/>
              <w:jc w:val="center"/>
              <w:rPr>
                <w:rFonts w:ascii="Arial Narrow" w:hAnsi="Arial Narrow"/>
                <w:b/>
              </w:rPr>
            </w:pPr>
            <w:r w:rsidRPr="00931FFE">
              <w:rPr>
                <w:rFonts w:ascii="Arial Narrow" w:hAnsi="Arial Narrow"/>
                <w:b/>
              </w:rPr>
              <w:t>Year 3</w:t>
            </w:r>
          </w:p>
        </w:tc>
        <w:tc>
          <w:tcPr>
            <w:tcW w:w="610" w:type="pct"/>
            <w:shd w:val="clear" w:color="auto" w:fill="auto"/>
            <w:vAlign w:val="center"/>
          </w:tcPr>
          <w:p w:rsidR="00533EE8" w:rsidRPr="00931FFE" w:rsidRDefault="00533EE8" w:rsidP="00AF01C2">
            <w:pPr>
              <w:pStyle w:val="Tabletext"/>
              <w:keepNext/>
              <w:keepLines/>
              <w:spacing w:after="0"/>
              <w:jc w:val="center"/>
              <w:rPr>
                <w:rFonts w:ascii="Arial Narrow" w:hAnsi="Arial Narrow"/>
                <w:b/>
              </w:rPr>
            </w:pPr>
            <w:r w:rsidRPr="00931FFE">
              <w:rPr>
                <w:rFonts w:ascii="Arial Narrow" w:hAnsi="Arial Narrow"/>
                <w:b/>
              </w:rPr>
              <w:t>Year 4</w:t>
            </w:r>
          </w:p>
        </w:tc>
        <w:tc>
          <w:tcPr>
            <w:tcW w:w="609" w:type="pct"/>
            <w:shd w:val="clear" w:color="auto" w:fill="auto"/>
            <w:vAlign w:val="center"/>
          </w:tcPr>
          <w:p w:rsidR="00533EE8" w:rsidRPr="00931FFE" w:rsidRDefault="00533EE8" w:rsidP="00AF01C2">
            <w:pPr>
              <w:pStyle w:val="Tabletext"/>
              <w:keepNext/>
              <w:keepLines/>
              <w:spacing w:after="0"/>
              <w:jc w:val="center"/>
              <w:rPr>
                <w:rFonts w:ascii="Arial Narrow" w:hAnsi="Arial Narrow"/>
                <w:b/>
              </w:rPr>
            </w:pPr>
            <w:r w:rsidRPr="00931FFE">
              <w:rPr>
                <w:rFonts w:ascii="Arial Narrow" w:hAnsi="Arial Narrow"/>
                <w:b/>
              </w:rPr>
              <w:t>Year 5</w:t>
            </w:r>
          </w:p>
        </w:tc>
        <w:tc>
          <w:tcPr>
            <w:tcW w:w="611" w:type="pct"/>
          </w:tcPr>
          <w:p w:rsidR="00533EE8" w:rsidRPr="00931FFE" w:rsidRDefault="00533EE8" w:rsidP="00AF01C2">
            <w:pPr>
              <w:pStyle w:val="Tabletext"/>
              <w:keepNext/>
              <w:keepLines/>
              <w:spacing w:after="0"/>
              <w:jc w:val="center"/>
              <w:rPr>
                <w:rFonts w:ascii="Arial Narrow" w:hAnsi="Arial Narrow"/>
                <w:b/>
              </w:rPr>
            </w:pPr>
            <w:r w:rsidRPr="00931FFE">
              <w:rPr>
                <w:rFonts w:ascii="Arial Narrow" w:hAnsi="Arial Narrow"/>
                <w:b/>
              </w:rPr>
              <w:t>Year 6</w:t>
            </w:r>
          </w:p>
        </w:tc>
      </w:tr>
      <w:tr w:rsidR="00533EE8" w:rsidRPr="003E7E2B" w:rsidTr="00AF01C2">
        <w:tc>
          <w:tcPr>
            <w:tcW w:w="5000" w:type="pct"/>
            <w:gridSpan w:val="7"/>
            <w:shd w:val="clear" w:color="auto" w:fill="auto"/>
            <w:vAlign w:val="center"/>
          </w:tcPr>
          <w:p w:rsidR="00533EE8" w:rsidRPr="00931FFE" w:rsidRDefault="00533EE8" w:rsidP="00AF01C2">
            <w:pPr>
              <w:pStyle w:val="Tabletext"/>
              <w:keepNext/>
              <w:keepLines/>
              <w:spacing w:after="0"/>
              <w:rPr>
                <w:rFonts w:ascii="Arial Narrow" w:hAnsi="Arial Narrow"/>
                <w:b/>
                <w:bCs/>
                <w:color w:val="000000"/>
              </w:rPr>
            </w:pPr>
            <w:r w:rsidRPr="00931FFE">
              <w:rPr>
                <w:rFonts w:ascii="Arial Narrow" w:hAnsi="Arial Narrow"/>
                <w:b/>
                <w:bCs/>
                <w:color w:val="000000"/>
              </w:rPr>
              <w:t>Estimated extent of use of NIVO+IPI</w:t>
            </w:r>
          </w:p>
        </w:tc>
      </w:tr>
      <w:tr w:rsidR="00931FFE" w:rsidRPr="003E7E2B" w:rsidTr="004A5D1F">
        <w:tc>
          <w:tcPr>
            <w:tcW w:w="1342" w:type="pct"/>
            <w:shd w:val="clear" w:color="auto" w:fill="auto"/>
            <w:vAlign w:val="center"/>
          </w:tcPr>
          <w:p w:rsidR="00931FFE" w:rsidRPr="00931FFE" w:rsidRDefault="00931FFE" w:rsidP="00AF01C2">
            <w:pPr>
              <w:pStyle w:val="Tabletext"/>
              <w:keepNext/>
              <w:keepLines/>
              <w:spacing w:after="0"/>
              <w:rPr>
                <w:rFonts w:ascii="Arial Narrow" w:hAnsi="Arial Narrow"/>
                <w:vertAlign w:val="superscript"/>
              </w:rPr>
            </w:pPr>
            <w:r>
              <w:rPr>
                <w:rFonts w:ascii="Arial Narrow" w:hAnsi="Arial Narrow"/>
              </w:rPr>
              <w:t xml:space="preserve">Total number of patients treated with 1L RCC therapy </w:t>
            </w:r>
            <w:r>
              <w:rPr>
                <w:rFonts w:ascii="Arial Narrow" w:hAnsi="Arial Narrow"/>
                <w:vertAlign w:val="superscript"/>
              </w:rPr>
              <w:t>a</w:t>
            </w:r>
          </w:p>
        </w:tc>
        <w:tc>
          <w:tcPr>
            <w:tcW w:w="609" w:type="pct"/>
            <w:shd w:val="clear" w:color="auto" w:fill="auto"/>
            <w:vAlign w:val="center"/>
          </w:tcPr>
          <w:p w:rsidR="00931FFE"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931FFE"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931FFE"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931FFE"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931FFE"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1" w:type="pct"/>
            <w:vAlign w:val="center"/>
          </w:tcPr>
          <w:p w:rsidR="00931FFE"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33EE8" w:rsidRPr="003E7E2B" w:rsidTr="004A5D1F">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vertAlign w:val="superscript"/>
              </w:rPr>
            </w:pPr>
            <w:r w:rsidRPr="003E7E2B">
              <w:rPr>
                <w:rFonts w:ascii="Arial Narrow" w:hAnsi="Arial Narrow"/>
              </w:rPr>
              <w:t xml:space="preserve">Number of initiating patients treated </w:t>
            </w:r>
            <w:r w:rsidR="00931FFE">
              <w:rPr>
                <w:rFonts w:ascii="Arial Narrow" w:hAnsi="Arial Narrow"/>
              </w:rPr>
              <w:t>with NIVO+IPI</w:t>
            </w:r>
          </w:p>
        </w:tc>
        <w:tc>
          <w:tcPr>
            <w:tcW w:w="609" w:type="pct"/>
            <w:shd w:val="clear" w:color="auto" w:fill="auto"/>
            <w:vAlign w:val="center"/>
          </w:tcPr>
          <w:p w:rsidR="00533EE8" w:rsidRPr="00B76982" w:rsidRDefault="00B76982" w:rsidP="004A5D1F">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p w:rsidR="00533EE8" w:rsidRPr="00931FFE" w:rsidRDefault="00533EE8" w:rsidP="004A5D1F">
            <w:pPr>
              <w:keepNext/>
              <w:keepLines/>
              <w:jc w:val="center"/>
              <w:rPr>
                <w:rFonts w:ascii="Arial Narrow" w:hAnsi="Arial Narrow"/>
                <w:sz w:val="20"/>
                <w:szCs w:val="20"/>
              </w:rPr>
            </w:pPr>
            <w:r w:rsidRPr="00931FFE">
              <w:rPr>
                <w:rFonts w:ascii="Arial Narrow" w:hAnsi="Arial Narrow"/>
                <w:sz w:val="20"/>
                <w:szCs w:val="20"/>
              </w:rPr>
              <w:t>(</w:t>
            </w:r>
            <w:proofErr w:type="spellStart"/>
            <w:r w:rsidRPr="00931FFE">
              <w:rPr>
                <w:rFonts w:ascii="Arial Narrow" w:hAnsi="Arial Narrow"/>
                <w:sz w:val="20"/>
                <w:szCs w:val="20"/>
              </w:rPr>
              <w:t>inc.</w:t>
            </w:r>
            <w:proofErr w:type="spellEnd"/>
            <w:r w:rsidRPr="00931FFE">
              <w:rPr>
                <w:rFonts w:ascii="Arial Narrow" w:hAnsi="Arial Narrow"/>
                <w:sz w:val="20"/>
                <w:szCs w:val="20"/>
              </w:rPr>
              <w:t xml:space="preserve"> </w:t>
            </w:r>
            <w:r w:rsidR="00B76982">
              <w:rPr>
                <w:rFonts w:ascii="Arial Narrow" w:hAnsi="Arial Narrow"/>
                <w:noProof/>
                <w:color w:val="000000"/>
                <w:sz w:val="20"/>
                <w:szCs w:val="20"/>
                <w:highlight w:val="black"/>
              </w:rPr>
              <w:t>'''''''''</w:t>
            </w:r>
            <w:r w:rsidRPr="00931FFE">
              <w:rPr>
                <w:rFonts w:ascii="Arial Narrow" w:hAnsi="Arial Narrow"/>
                <w:sz w:val="20"/>
                <w:szCs w:val="20"/>
              </w:rPr>
              <w:t xml:space="preserve"> GF)</w:t>
            </w:r>
          </w:p>
        </w:tc>
        <w:tc>
          <w:tcPr>
            <w:tcW w:w="610" w:type="pct"/>
            <w:shd w:val="clear" w:color="auto" w:fill="auto"/>
            <w:vAlign w:val="center"/>
          </w:tcPr>
          <w:p w:rsidR="00533EE8"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533EE8"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533EE8"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533EE8"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1" w:type="pct"/>
            <w:vAlign w:val="center"/>
          </w:tcPr>
          <w:p w:rsidR="00533EE8" w:rsidRPr="00B76982" w:rsidRDefault="00B76982" w:rsidP="004A5D1F">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33EE8" w:rsidRPr="003E7E2B" w:rsidTr="0073573D">
        <w:tc>
          <w:tcPr>
            <w:tcW w:w="1342" w:type="pct"/>
            <w:shd w:val="clear" w:color="auto" w:fill="auto"/>
            <w:vAlign w:val="center"/>
          </w:tcPr>
          <w:p w:rsidR="00533EE8" w:rsidRPr="003E7E2B" w:rsidRDefault="00533EE8" w:rsidP="000077FE">
            <w:pPr>
              <w:pStyle w:val="Tabletext"/>
              <w:keepNext/>
              <w:keepLines/>
              <w:spacing w:after="0"/>
              <w:rPr>
                <w:rFonts w:ascii="Arial Narrow" w:hAnsi="Arial Narrow"/>
              </w:rPr>
            </w:pPr>
            <w:r w:rsidRPr="003E7E2B">
              <w:rPr>
                <w:rFonts w:ascii="Arial Narrow" w:hAnsi="Arial Narrow"/>
              </w:rPr>
              <w:t xml:space="preserve">Previous sub: No. of </w:t>
            </w:r>
            <w:r w:rsidR="000077FE">
              <w:rPr>
                <w:rFonts w:ascii="Arial Narrow" w:hAnsi="Arial Narrow"/>
              </w:rPr>
              <w:t xml:space="preserve">initiating </w:t>
            </w:r>
            <w:r w:rsidRPr="003E7E2B">
              <w:rPr>
                <w:rFonts w:ascii="Arial Narrow" w:hAnsi="Arial Narrow"/>
              </w:rPr>
              <w:t xml:space="preserve">patients </w:t>
            </w:r>
            <w:r w:rsidR="000077FE">
              <w:rPr>
                <w:rFonts w:ascii="Arial Narrow" w:hAnsi="Arial Narrow"/>
              </w:rPr>
              <w:t>treated with NIVO+IPI</w:t>
            </w:r>
          </w:p>
        </w:tc>
        <w:tc>
          <w:tcPr>
            <w:tcW w:w="609" w:type="pct"/>
            <w:shd w:val="clear" w:color="auto" w:fill="auto"/>
            <w:vAlign w:val="center"/>
          </w:tcPr>
          <w:p w:rsidR="00533EE8" w:rsidRPr="00B76982" w:rsidRDefault="00B76982" w:rsidP="00AF01C2">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10" w:type="pct"/>
            <w:shd w:val="clear" w:color="auto" w:fill="auto"/>
            <w:vAlign w:val="center"/>
          </w:tcPr>
          <w:p w:rsidR="00533EE8" w:rsidRPr="00B76982" w:rsidRDefault="00B76982" w:rsidP="00AF01C2">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vAlign w:val="center"/>
          </w:tcPr>
          <w:p w:rsidR="00533EE8" w:rsidRPr="00B76982" w:rsidRDefault="00B76982" w:rsidP="00AF01C2">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10" w:type="pct"/>
            <w:shd w:val="clear" w:color="auto" w:fill="auto"/>
            <w:vAlign w:val="center"/>
          </w:tcPr>
          <w:p w:rsidR="00533EE8" w:rsidRPr="00B76982" w:rsidRDefault="00B76982" w:rsidP="00AF01C2">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09" w:type="pct"/>
            <w:shd w:val="clear" w:color="auto" w:fill="auto"/>
            <w:vAlign w:val="center"/>
          </w:tcPr>
          <w:p w:rsidR="00533EE8" w:rsidRPr="00B76982" w:rsidRDefault="00B76982" w:rsidP="00AF01C2">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c>
          <w:tcPr>
            <w:tcW w:w="611" w:type="pct"/>
            <w:shd w:val="clear" w:color="auto" w:fill="auto"/>
            <w:vAlign w:val="center"/>
          </w:tcPr>
          <w:p w:rsidR="00533EE8" w:rsidRPr="00B76982" w:rsidRDefault="00B76982" w:rsidP="00AF01C2">
            <w:pPr>
              <w:pStyle w:val="Tabletext"/>
              <w:keepNext/>
              <w:keepLines/>
              <w:spacing w:after="0"/>
              <w:jc w:val="center"/>
              <w:rPr>
                <w:rFonts w:ascii="Arial Narrow" w:hAnsi="Arial Narrow"/>
                <w:bCs/>
                <w:color w:val="000000"/>
                <w:highlight w:val="black"/>
              </w:rPr>
            </w:pPr>
            <w:r>
              <w:rPr>
                <w:rFonts w:ascii="Arial Narrow" w:hAnsi="Arial Narrow"/>
                <w:noProof/>
                <w:color w:val="000000"/>
                <w:highlight w:val="black"/>
              </w:rPr>
              <w:t>''''''''''</w:t>
            </w:r>
          </w:p>
        </w:tc>
      </w:tr>
      <w:tr w:rsidR="00533EE8" w:rsidRPr="003E7E2B" w:rsidTr="00931FFE">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Induction infusions/year</w:t>
            </w:r>
          </w:p>
        </w:tc>
        <w:tc>
          <w:tcPr>
            <w:tcW w:w="609"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1" w:type="pct"/>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33EE8" w:rsidRPr="003E7E2B" w:rsidTr="00931FFE">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Maintenance infusions/year</w:t>
            </w:r>
          </w:p>
        </w:tc>
        <w:tc>
          <w:tcPr>
            <w:tcW w:w="609"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0"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09" w:type="pct"/>
            <w:shd w:val="clear" w:color="auto" w:fill="auto"/>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c>
          <w:tcPr>
            <w:tcW w:w="611" w:type="pct"/>
            <w:vAlign w:val="center"/>
          </w:tcPr>
          <w:p w:rsidR="00533EE8" w:rsidRPr="00B76982" w:rsidRDefault="00B76982" w:rsidP="00AF01C2">
            <w:pPr>
              <w:keepNext/>
              <w:keepLines/>
              <w:jc w:val="center"/>
              <w:rPr>
                <w:rFonts w:ascii="Arial Narrow" w:hAnsi="Arial Narrow" w:cs="Arial"/>
                <w:bCs/>
                <w:color w:val="000000"/>
                <w:sz w:val="20"/>
                <w:szCs w:val="20"/>
                <w:highlight w:val="black"/>
              </w:rPr>
            </w:pPr>
            <w:r>
              <w:rPr>
                <w:rFonts w:ascii="Arial Narrow" w:hAnsi="Arial Narrow" w:cs="Arial"/>
                <w:bCs/>
                <w:noProof/>
                <w:color w:val="000000"/>
                <w:sz w:val="20"/>
                <w:szCs w:val="20"/>
                <w:highlight w:val="black"/>
              </w:rPr>
              <w:t>'''''''''''''''''</w:t>
            </w:r>
          </w:p>
        </w:tc>
      </w:tr>
      <w:tr w:rsidR="00533EE8" w:rsidRPr="003E7E2B" w:rsidTr="00AF01C2">
        <w:tc>
          <w:tcPr>
            <w:tcW w:w="5000" w:type="pct"/>
            <w:gridSpan w:val="7"/>
            <w:shd w:val="clear" w:color="auto" w:fill="auto"/>
            <w:vAlign w:val="center"/>
          </w:tcPr>
          <w:p w:rsidR="00533EE8" w:rsidRPr="00931FFE" w:rsidRDefault="00533EE8" w:rsidP="00AF01C2">
            <w:pPr>
              <w:pStyle w:val="Tabletext"/>
              <w:keepNext/>
              <w:keepLines/>
              <w:spacing w:after="0"/>
              <w:rPr>
                <w:rFonts w:ascii="Arial Narrow" w:hAnsi="Arial Narrow"/>
                <w:b/>
                <w:bCs/>
                <w:color w:val="000000"/>
              </w:rPr>
            </w:pPr>
            <w:r w:rsidRPr="00931FFE">
              <w:rPr>
                <w:rFonts w:ascii="Arial Narrow" w:hAnsi="Arial Narrow"/>
                <w:b/>
                <w:bCs/>
                <w:color w:val="000000"/>
              </w:rPr>
              <w:t>Estimated financial implications of NIVO+IPI</w:t>
            </w:r>
          </w:p>
        </w:tc>
      </w:tr>
      <w:tr w:rsidR="00533EE8" w:rsidRPr="003E7E2B" w:rsidTr="00931FFE">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Cost to PBS/RPBS</w:t>
            </w:r>
          </w:p>
        </w:tc>
        <w:tc>
          <w:tcPr>
            <w:tcW w:w="609"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1" w:type="pct"/>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r>
      <w:tr w:rsidR="00533EE8" w:rsidRPr="003E7E2B" w:rsidTr="00931FFE">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Copayments</w:t>
            </w:r>
          </w:p>
        </w:tc>
        <w:tc>
          <w:tcPr>
            <w:tcW w:w="609"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1" w:type="pct"/>
            <w:vAlign w:val="center"/>
          </w:tcPr>
          <w:p w:rsidR="00533EE8" w:rsidRPr="00931FFE" w:rsidRDefault="00533EE8" w:rsidP="00AF01C2">
            <w:pPr>
              <w:keepNext/>
              <w:keepLines/>
              <w:jc w:val="center"/>
              <w:rPr>
                <w:rFonts w:ascii="Arial Narrow" w:hAnsi="Arial Narrow"/>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r>
      <w:tr w:rsidR="00533EE8" w:rsidRPr="003E7E2B" w:rsidTr="00931FFE">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Cost to PBS/RPBS less copayments</w:t>
            </w:r>
          </w:p>
        </w:tc>
        <w:tc>
          <w:tcPr>
            <w:tcW w:w="609" w:type="pct"/>
            <w:shd w:val="clear" w:color="auto" w:fill="auto"/>
            <w:vAlign w:val="center"/>
          </w:tcPr>
          <w:p w:rsidR="00533EE8" w:rsidRPr="00931FFE" w:rsidRDefault="00533EE8" w:rsidP="00AF01C2">
            <w:pPr>
              <w:keepNext/>
              <w:keepLines/>
              <w:jc w:val="center"/>
              <w:rPr>
                <w:rFonts w:ascii="Arial Narrow" w:hAnsi="Arial Narrow"/>
                <w:b/>
                <w:color w:val="000000"/>
                <w:sz w:val="20"/>
                <w:szCs w:val="20"/>
              </w:rPr>
            </w:pPr>
            <w:r w:rsidRPr="00931FFE">
              <w:rPr>
                <w:rFonts w:ascii="Arial Narrow" w:hAnsi="Arial Narrow"/>
                <w:b/>
                <w:color w:val="000000"/>
                <w:sz w:val="20"/>
                <w:szCs w:val="20"/>
              </w:rPr>
              <w:t>$</w:t>
            </w:r>
            <w:r w:rsidR="00B76982">
              <w:rPr>
                <w:rFonts w:ascii="Arial Narrow" w:hAnsi="Arial Narrow"/>
                <w:b/>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b/>
                <w:color w:val="000000"/>
                <w:sz w:val="20"/>
                <w:szCs w:val="20"/>
              </w:rPr>
            </w:pPr>
            <w:r w:rsidRPr="00931FFE">
              <w:rPr>
                <w:rFonts w:ascii="Arial Narrow" w:hAnsi="Arial Narrow"/>
                <w:b/>
                <w:color w:val="000000"/>
                <w:sz w:val="20"/>
                <w:szCs w:val="20"/>
              </w:rPr>
              <w:t>$</w:t>
            </w:r>
            <w:r w:rsidR="00B76982">
              <w:rPr>
                <w:rFonts w:ascii="Arial Narrow" w:hAnsi="Arial Narrow"/>
                <w:b/>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b/>
                <w:color w:val="000000"/>
                <w:sz w:val="20"/>
                <w:szCs w:val="20"/>
              </w:rPr>
            </w:pPr>
            <w:r w:rsidRPr="00931FFE">
              <w:rPr>
                <w:rFonts w:ascii="Arial Narrow" w:hAnsi="Arial Narrow"/>
                <w:b/>
                <w:color w:val="000000"/>
                <w:sz w:val="20"/>
                <w:szCs w:val="20"/>
              </w:rPr>
              <w:t>$</w:t>
            </w:r>
            <w:r w:rsidR="00B76982">
              <w:rPr>
                <w:rFonts w:ascii="Arial Narrow" w:hAnsi="Arial Narrow"/>
                <w:b/>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b/>
                <w:color w:val="000000"/>
                <w:sz w:val="20"/>
                <w:szCs w:val="20"/>
              </w:rPr>
            </w:pPr>
            <w:r w:rsidRPr="00931FFE">
              <w:rPr>
                <w:rFonts w:ascii="Arial Narrow" w:hAnsi="Arial Narrow"/>
                <w:b/>
                <w:color w:val="000000"/>
                <w:sz w:val="20"/>
                <w:szCs w:val="20"/>
              </w:rPr>
              <w:t>$</w:t>
            </w:r>
            <w:r w:rsidR="00B76982">
              <w:rPr>
                <w:rFonts w:ascii="Arial Narrow" w:hAnsi="Arial Narrow"/>
                <w:b/>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b/>
                <w:color w:val="000000"/>
                <w:sz w:val="20"/>
                <w:szCs w:val="20"/>
              </w:rPr>
            </w:pPr>
            <w:r w:rsidRPr="00931FFE">
              <w:rPr>
                <w:rFonts w:ascii="Arial Narrow" w:hAnsi="Arial Narrow"/>
                <w:b/>
                <w:color w:val="000000"/>
                <w:sz w:val="20"/>
                <w:szCs w:val="20"/>
              </w:rPr>
              <w:t>$</w:t>
            </w:r>
            <w:r w:rsidR="00B76982">
              <w:rPr>
                <w:rFonts w:ascii="Arial Narrow" w:hAnsi="Arial Narrow"/>
                <w:b/>
                <w:noProof/>
                <w:color w:val="000000"/>
                <w:sz w:val="20"/>
                <w:szCs w:val="20"/>
                <w:highlight w:val="black"/>
              </w:rPr>
              <w:t>'''''''''''''''''''</w:t>
            </w:r>
          </w:p>
        </w:tc>
        <w:tc>
          <w:tcPr>
            <w:tcW w:w="611" w:type="pct"/>
            <w:vAlign w:val="center"/>
          </w:tcPr>
          <w:p w:rsidR="00533EE8" w:rsidRPr="00931FFE" w:rsidRDefault="00533EE8" w:rsidP="00AF01C2">
            <w:pPr>
              <w:keepNext/>
              <w:keepLines/>
              <w:jc w:val="center"/>
              <w:rPr>
                <w:rFonts w:ascii="Arial Narrow" w:hAnsi="Arial Narrow"/>
                <w:b/>
                <w:color w:val="000000"/>
                <w:sz w:val="20"/>
                <w:szCs w:val="20"/>
              </w:rPr>
            </w:pPr>
            <w:r w:rsidRPr="00931FFE">
              <w:rPr>
                <w:rFonts w:ascii="Arial Narrow" w:hAnsi="Arial Narrow"/>
                <w:b/>
                <w:color w:val="000000"/>
                <w:sz w:val="20"/>
                <w:szCs w:val="20"/>
              </w:rPr>
              <w:t>$</w:t>
            </w:r>
            <w:r w:rsidR="00B76982">
              <w:rPr>
                <w:rFonts w:ascii="Arial Narrow" w:hAnsi="Arial Narrow"/>
                <w:b/>
                <w:noProof/>
                <w:color w:val="000000"/>
                <w:sz w:val="20"/>
                <w:szCs w:val="20"/>
                <w:highlight w:val="black"/>
              </w:rPr>
              <w:t>'''''''''''''''''''''</w:t>
            </w:r>
          </w:p>
        </w:tc>
      </w:tr>
      <w:tr w:rsidR="00533EE8" w:rsidRPr="003E7E2B" w:rsidTr="0073573D">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 xml:space="preserve">Previous sub: </w:t>
            </w:r>
          </w:p>
          <w:p w:rsidR="00533EE8" w:rsidRPr="003E7E2B" w:rsidRDefault="00533EE8" w:rsidP="00AF01C2">
            <w:pPr>
              <w:pStyle w:val="Tabletext"/>
              <w:keepNext/>
              <w:keepLines/>
              <w:spacing w:after="0"/>
              <w:rPr>
                <w:rFonts w:ascii="Arial Narrow" w:hAnsi="Arial Narrow"/>
              </w:rPr>
            </w:pPr>
            <w:r w:rsidRPr="003E7E2B">
              <w:rPr>
                <w:rFonts w:ascii="Arial Narrow" w:hAnsi="Arial Narrow"/>
              </w:rPr>
              <w:t>PBS/RPBS less copayments</w:t>
            </w:r>
          </w:p>
        </w:tc>
        <w:tc>
          <w:tcPr>
            <w:tcW w:w="609" w:type="pct"/>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0" w:type="pct"/>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09" w:type="pct"/>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0" w:type="pct"/>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09" w:type="pct"/>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1" w:type="pct"/>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r>
      <w:tr w:rsidR="00533EE8" w:rsidRPr="003E7E2B" w:rsidTr="00AF01C2">
        <w:tc>
          <w:tcPr>
            <w:tcW w:w="5000" w:type="pct"/>
            <w:gridSpan w:val="7"/>
            <w:shd w:val="clear" w:color="auto" w:fill="auto"/>
            <w:vAlign w:val="center"/>
          </w:tcPr>
          <w:p w:rsidR="00533EE8" w:rsidRPr="00931FFE" w:rsidRDefault="00533EE8" w:rsidP="00AF01C2">
            <w:pPr>
              <w:pStyle w:val="Tabletext"/>
              <w:keepNext/>
              <w:keepLines/>
              <w:spacing w:after="0"/>
              <w:rPr>
                <w:rFonts w:ascii="Arial Narrow" w:hAnsi="Arial Narrow"/>
                <w:bCs/>
                <w:color w:val="000000"/>
              </w:rPr>
            </w:pPr>
            <w:r w:rsidRPr="00931FFE">
              <w:rPr>
                <w:rFonts w:ascii="Arial Narrow" w:hAnsi="Arial Narrow"/>
                <w:b/>
                <w:bCs/>
                <w:color w:val="000000"/>
              </w:rPr>
              <w:t>Estimated financial implications for other PBS medicines (per Sensitivity Analysis 5: subsequent therapies based on original submission, and corrected during preparation of the Minor Overview</w:t>
            </w:r>
            <w:r w:rsidRPr="00931FFE">
              <w:rPr>
                <w:rFonts w:ascii="Arial Narrow" w:hAnsi="Arial Narrow"/>
                <w:b/>
                <w:bCs/>
                <w:color w:val="000000"/>
                <w:vertAlign w:val="superscript"/>
              </w:rPr>
              <w:t xml:space="preserve"> b</w:t>
            </w:r>
            <w:r w:rsidRPr="00931FFE">
              <w:rPr>
                <w:rFonts w:ascii="Arial Narrow" w:hAnsi="Arial Narrow"/>
                <w:b/>
                <w:bCs/>
                <w:color w:val="000000"/>
              </w:rPr>
              <w:t>)</w:t>
            </w:r>
          </w:p>
        </w:tc>
      </w:tr>
      <w:tr w:rsidR="00533EE8" w:rsidRPr="003E7E2B" w:rsidTr="00931FFE">
        <w:tc>
          <w:tcPr>
            <w:tcW w:w="1342" w:type="pct"/>
            <w:tcBorders>
              <w:bottom w:val="single" w:sz="4" w:space="0" w:color="auto"/>
            </w:tcBorders>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Cost to PBS/RPBS less copayments</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sz w:val="20"/>
                <w:szCs w:val="20"/>
              </w:rPr>
            </w:pPr>
            <w:r w:rsidRPr="00931FFE">
              <w:rPr>
                <w:rFonts w:ascii="Arial Narrow" w:hAnsi="Arial Narrow" w:cs="Arial"/>
                <w:sz w:val="20"/>
                <w:szCs w:val="20"/>
              </w:rPr>
              <w:t>-$</w:t>
            </w:r>
            <w:r w:rsidR="00B76982">
              <w:rPr>
                <w:rFonts w:ascii="Arial Narrow" w:hAnsi="Arial Narrow" w:cs="Arial"/>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sz w:val="20"/>
                <w:szCs w:val="20"/>
              </w:rPr>
            </w:pPr>
            <w:r w:rsidRPr="00931FFE">
              <w:rPr>
                <w:rFonts w:ascii="Arial Narrow" w:hAnsi="Arial Narrow" w:cs="Arial"/>
                <w:sz w:val="20"/>
                <w:szCs w:val="20"/>
              </w:rPr>
              <w:t>-$</w:t>
            </w:r>
            <w:r w:rsidR="00B76982">
              <w:rPr>
                <w:rFonts w:ascii="Arial Narrow" w:hAnsi="Arial Narrow" w:cs="Arial"/>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sz w:val="20"/>
                <w:szCs w:val="20"/>
              </w:rPr>
            </w:pPr>
            <w:r w:rsidRPr="00931FFE">
              <w:rPr>
                <w:rFonts w:ascii="Arial Narrow" w:hAnsi="Arial Narrow" w:cs="Arial"/>
                <w:sz w:val="20"/>
                <w:szCs w:val="20"/>
              </w:rPr>
              <w:t>-$</w:t>
            </w:r>
            <w:r w:rsidR="00B76982">
              <w:rPr>
                <w:rFonts w:ascii="Arial Narrow" w:hAnsi="Arial Narrow" w:cs="Arial"/>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sz w:val="20"/>
                <w:szCs w:val="20"/>
              </w:rPr>
            </w:pPr>
            <w:r w:rsidRPr="00931FFE">
              <w:rPr>
                <w:rFonts w:ascii="Arial Narrow" w:hAnsi="Arial Narrow"/>
                <w:sz w:val="20"/>
                <w:szCs w:val="20"/>
              </w:rPr>
              <w:t>-$</w:t>
            </w:r>
            <w:r w:rsidR="00B76982">
              <w:rPr>
                <w:rFonts w:ascii="Arial Narrow" w:hAnsi="Arial Narrow"/>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sz w:val="20"/>
                <w:szCs w:val="20"/>
              </w:rPr>
            </w:pPr>
            <w:r w:rsidRPr="00931FFE">
              <w:rPr>
                <w:rFonts w:ascii="Arial Narrow" w:hAnsi="Arial Narrow"/>
                <w:sz w:val="20"/>
                <w:szCs w:val="20"/>
              </w:rPr>
              <w:t>-$</w:t>
            </w:r>
            <w:r w:rsidR="00B76982">
              <w:rPr>
                <w:rFonts w:ascii="Arial Narrow" w:hAnsi="Arial Narrow"/>
                <w:noProof/>
                <w:color w:val="000000"/>
                <w:sz w:val="20"/>
                <w:szCs w:val="20"/>
                <w:highlight w:val="black"/>
              </w:rPr>
              <w:t>'''''''''''''''''''''''''''</w:t>
            </w:r>
          </w:p>
        </w:tc>
        <w:tc>
          <w:tcPr>
            <w:tcW w:w="611" w:type="pct"/>
            <w:tcBorders>
              <w:bottom w:val="single" w:sz="4" w:space="0" w:color="auto"/>
            </w:tcBorders>
            <w:vAlign w:val="center"/>
          </w:tcPr>
          <w:p w:rsidR="00533EE8" w:rsidRPr="00931FFE" w:rsidRDefault="00533EE8" w:rsidP="00AF01C2">
            <w:pPr>
              <w:keepNext/>
              <w:keepLines/>
              <w:jc w:val="center"/>
              <w:rPr>
                <w:rFonts w:ascii="Arial Narrow" w:hAnsi="Arial Narrow"/>
                <w:sz w:val="20"/>
                <w:szCs w:val="20"/>
              </w:rPr>
            </w:pPr>
            <w:r w:rsidRPr="00931FFE">
              <w:rPr>
                <w:rFonts w:ascii="Arial Narrow" w:hAnsi="Arial Narrow"/>
                <w:sz w:val="20"/>
                <w:szCs w:val="20"/>
              </w:rPr>
              <w:t>-$</w:t>
            </w:r>
            <w:r w:rsidR="00B76982">
              <w:rPr>
                <w:rFonts w:ascii="Arial Narrow" w:hAnsi="Arial Narrow"/>
                <w:noProof/>
                <w:color w:val="000000"/>
                <w:sz w:val="20"/>
                <w:szCs w:val="20"/>
                <w:highlight w:val="black"/>
              </w:rPr>
              <w:t>''''''''''''''''''''''''</w:t>
            </w:r>
          </w:p>
        </w:tc>
      </w:tr>
      <w:tr w:rsidR="00533EE8" w:rsidRPr="003E7E2B" w:rsidTr="00931FFE">
        <w:tc>
          <w:tcPr>
            <w:tcW w:w="1342" w:type="pct"/>
            <w:tcBorders>
              <w:bottom w:val="single" w:sz="4" w:space="0" w:color="auto"/>
            </w:tcBorders>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Of above, cost for NIVO 2</w:t>
            </w:r>
            <w:r w:rsidRPr="003E7E2B">
              <w:rPr>
                <w:rFonts w:ascii="Arial Narrow" w:hAnsi="Arial Narrow"/>
                <w:vertAlign w:val="superscript"/>
              </w:rPr>
              <w:t>nd</w:t>
            </w:r>
            <w:r w:rsidRPr="003E7E2B">
              <w:rPr>
                <w:rFonts w:ascii="Arial Narrow" w:hAnsi="Arial Narrow"/>
              </w:rPr>
              <w:t>-line</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bCs/>
                <w:sz w:val="20"/>
                <w:szCs w:val="20"/>
              </w:rPr>
            </w:pPr>
            <w:r w:rsidRPr="00931FFE">
              <w:rPr>
                <w:rFonts w:ascii="Arial Narrow" w:hAnsi="Arial Narrow" w:cs="Arial"/>
                <w:bCs/>
                <w:sz w:val="20"/>
                <w:szCs w:val="20"/>
              </w:rPr>
              <w:t>-$</w:t>
            </w:r>
            <w:r w:rsidR="00B76982">
              <w:rPr>
                <w:rFonts w:ascii="Arial Narrow" w:hAnsi="Arial Narrow" w:cs="Arial"/>
                <w:bCs/>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bCs/>
                <w:sz w:val="20"/>
                <w:szCs w:val="20"/>
              </w:rPr>
            </w:pPr>
            <w:r w:rsidRPr="00931FFE">
              <w:rPr>
                <w:rFonts w:ascii="Arial Narrow" w:hAnsi="Arial Narrow" w:cs="Arial"/>
                <w:bCs/>
                <w:sz w:val="20"/>
                <w:szCs w:val="20"/>
              </w:rPr>
              <w:t>-$</w:t>
            </w:r>
            <w:r w:rsidR="00B76982">
              <w:rPr>
                <w:rFonts w:ascii="Arial Narrow" w:hAnsi="Arial Narrow" w:cs="Arial"/>
                <w:bCs/>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bCs/>
                <w:sz w:val="20"/>
                <w:szCs w:val="20"/>
              </w:rPr>
            </w:pPr>
            <w:r w:rsidRPr="00931FFE">
              <w:rPr>
                <w:rFonts w:ascii="Arial Narrow" w:hAnsi="Arial Narrow" w:cs="Arial"/>
                <w:bCs/>
                <w:sz w:val="20"/>
                <w:szCs w:val="20"/>
              </w:rPr>
              <w:t>-$</w:t>
            </w:r>
            <w:r w:rsidR="00B76982">
              <w:rPr>
                <w:rFonts w:ascii="Arial Narrow" w:hAnsi="Arial Narrow" w:cs="Arial"/>
                <w:bCs/>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cs="Arial"/>
                <w:bCs/>
                <w:sz w:val="20"/>
                <w:szCs w:val="20"/>
              </w:rPr>
            </w:pPr>
            <w:r w:rsidRPr="00931FFE">
              <w:rPr>
                <w:rFonts w:ascii="Arial Narrow" w:hAnsi="Arial Narrow" w:cs="Arial"/>
                <w:bCs/>
                <w:sz w:val="20"/>
                <w:szCs w:val="20"/>
              </w:rPr>
              <w:t>-$</w:t>
            </w:r>
            <w:r w:rsidR="00B76982">
              <w:rPr>
                <w:rFonts w:ascii="Arial Narrow" w:hAnsi="Arial Narrow" w:cs="Arial"/>
                <w:bCs/>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cs="Arial"/>
                <w:bCs/>
                <w:sz w:val="20"/>
                <w:szCs w:val="20"/>
              </w:rPr>
            </w:pPr>
            <w:r w:rsidRPr="00931FFE">
              <w:rPr>
                <w:rFonts w:ascii="Arial Narrow" w:hAnsi="Arial Narrow" w:cs="Arial"/>
                <w:bCs/>
                <w:sz w:val="20"/>
                <w:szCs w:val="20"/>
              </w:rPr>
              <w:t>-$</w:t>
            </w:r>
            <w:r w:rsidR="00B76982">
              <w:rPr>
                <w:rFonts w:ascii="Arial Narrow" w:hAnsi="Arial Narrow" w:cs="Arial"/>
                <w:bCs/>
                <w:noProof/>
                <w:color w:val="000000"/>
                <w:sz w:val="20"/>
                <w:szCs w:val="20"/>
                <w:highlight w:val="black"/>
              </w:rPr>
              <w:t>'''''''''''''''''''''''''''''</w:t>
            </w:r>
          </w:p>
        </w:tc>
        <w:tc>
          <w:tcPr>
            <w:tcW w:w="611" w:type="pct"/>
            <w:tcBorders>
              <w:bottom w:val="single" w:sz="4" w:space="0" w:color="auto"/>
            </w:tcBorders>
            <w:vAlign w:val="center"/>
          </w:tcPr>
          <w:p w:rsidR="00533EE8" w:rsidRPr="00931FFE" w:rsidRDefault="00533EE8" w:rsidP="00AF01C2">
            <w:pPr>
              <w:keepNext/>
              <w:keepLines/>
              <w:jc w:val="center"/>
              <w:rPr>
                <w:rFonts w:ascii="Arial Narrow" w:hAnsi="Arial Narrow" w:cs="Arial"/>
                <w:bCs/>
                <w:sz w:val="20"/>
                <w:szCs w:val="20"/>
              </w:rPr>
            </w:pPr>
            <w:r w:rsidRPr="00931FFE">
              <w:rPr>
                <w:rFonts w:ascii="Arial Narrow" w:hAnsi="Arial Narrow" w:cs="Arial"/>
                <w:bCs/>
                <w:sz w:val="20"/>
                <w:szCs w:val="20"/>
              </w:rPr>
              <w:t>-$</w:t>
            </w:r>
            <w:r w:rsidR="00B76982">
              <w:rPr>
                <w:rFonts w:ascii="Arial Narrow" w:hAnsi="Arial Narrow" w:cs="Arial"/>
                <w:bCs/>
                <w:noProof/>
                <w:color w:val="000000"/>
                <w:sz w:val="20"/>
                <w:szCs w:val="20"/>
                <w:highlight w:val="black"/>
              </w:rPr>
              <w:t>'''''''''''''''''''''''''</w:t>
            </w:r>
          </w:p>
        </w:tc>
      </w:tr>
      <w:tr w:rsidR="00533EE8" w:rsidRPr="003E7E2B" w:rsidTr="0073573D">
        <w:tc>
          <w:tcPr>
            <w:tcW w:w="1342" w:type="pct"/>
            <w:tcBorders>
              <w:top w:val="single" w:sz="4" w:space="0" w:color="auto"/>
            </w:tcBorders>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 xml:space="preserve">Previous sub: </w:t>
            </w:r>
          </w:p>
          <w:p w:rsidR="00533EE8" w:rsidRPr="003E7E2B" w:rsidRDefault="00533EE8" w:rsidP="00AF01C2">
            <w:pPr>
              <w:pStyle w:val="Tabletext"/>
              <w:keepNext/>
              <w:keepLines/>
              <w:spacing w:after="0"/>
              <w:rPr>
                <w:rFonts w:ascii="Arial Narrow" w:hAnsi="Arial Narrow"/>
                <w:color w:val="000000"/>
              </w:rPr>
            </w:pPr>
            <w:r w:rsidRPr="003E7E2B">
              <w:rPr>
                <w:rFonts w:ascii="Arial Narrow" w:hAnsi="Arial Narrow"/>
              </w:rPr>
              <w:t>PBS/RPBS less copayments</w:t>
            </w:r>
          </w:p>
        </w:tc>
        <w:tc>
          <w:tcPr>
            <w:tcW w:w="609" w:type="pct"/>
            <w:tcBorders>
              <w:top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0" w:type="pct"/>
            <w:tcBorders>
              <w:top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09" w:type="pct"/>
            <w:tcBorders>
              <w:top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0" w:type="pct"/>
            <w:tcBorders>
              <w:top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09" w:type="pct"/>
            <w:tcBorders>
              <w:top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1" w:type="pct"/>
            <w:tcBorders>
              <w:top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r>
      <w:tr w:rsidR="00533EE8" w:rsidRPr="003E7E2B" w:rsidTr="00AF01C2">
        <w:tc>
          <w:tcPr>
            <w:tcW w:w="5000" w:type="pct"/>
            <w:gridSpan w:val="7"/>
            <w:shd w:val="clear" w:color="auto" w:fill="auto"/>
            <w:vAlign w:val="center"/>
          </w:tcPr>
          <w:p w:rsidR="00533EE8" w:rsidRPr="00931FFE" w:rsidRDefault="00533EE8" w:rsidP="00AF01C2">
            <w:pPr>
              <w:pStyle w:val="Tabletext"/>
              <w:keepNext/>
              <w:keepLines/>
              <w:spacing w:after="0"/>
              <w:rPr>
                <w:rFonts w:ascii="Arial Narrow" w:hAnsi="Arial Narrow"/>
                <w:b/>
                <w:bCs/>
                <w:color w:val="000000"/>
              </w:rPr>
            </w:pPr>
            <w:r w:rsidRPr="00931FFE">
              <w:rPr>
                <w:rFonts w:ascii="Arial Narrow" w:hAnsi="Arial Narrow"/>
                <w:b/>
                <w:bCs/>
                <w:color w:val="000000"/>
              </w:rPr>
              <w:t>Net financial implications</w:t>
            </w:r>
          </w:p>
        </w:tc>
      </w:tr>
      <w:tr w:rsidR="00533EE8" w:rsidRPr="003E7E2B" w:rsidTr="00931FFE">
        <w:tc>
          <w:tcPr>
            <w:tcW w:w="1342" w:type="pct"/>
            <w:tcBorders>
              <w:bottom w:val="single" w:sz="4" w:space="0" w:color="auto"/>
            </w:tcBorders>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Net cost to PBS/RPBS</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cs="Arial"/>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cs="Arial"/>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c>
          <w:tcPr>
            <w:tcW w:w="611" w:type="pct"/>
            <w:tcBorders>
              <w:bottom w:val="single" w:sz="4" w:space="0" w:color="auto"/>
            </w:tcBorders>
            <w:vAlign w:val="center"/>
          </w:tcPr>
          <w:p w:rsidR="00533EE8" w:rsidRPr="00931FFE" w:rsidRDefault="00533EE8" w:rsidP="00AF01C2">
            <w:pPr>
              <w:keepNext/>
              <w:keepLines/>
              <w:jc w:val="center"/>
              <w:rPr>
                <w:rFonts w:ascii="Arial Narrow" w:hAnsi="Arial Narrow" w:cs="Arial"/>
                <w:color w:val="000000"/>
                <w:sz w:val="20"/>
                <w:szCs w:val="20"/>
              </w:rPr>
            </w:pPr>
            <w:r w:rsidRPr="00931FFE">
              <w:rPr>
                <w:rFonts w:ascii="Arial Narrow" w:hAnsi="Arial Narrow" w:cs="Arial"/>
                <w:color w:val="000000"/>
                <w:sz w:val="20"/>
                <w:szCs w:val="20"/>
              </w:rPr>
              <w:t>$</w:t>
            </w:r>
            <w:r w:rsidR="00B76982">
              <w:rPr>
                <w:rFonts w:ascii="Arial Narrow" w:hAnsi="Arial Narrow" w:cs="Arial"/>
                <w:noProof/>
                <w:color w:val="000000"/>
                <w:sz w:val="20"/>
                <w:szCs w:val="20"/>
                <w:highlight w:val="black"/>
              </w:rPr>
              <w:t>'''''''''''''''''''''''''''</w:t>
            </w:r>
          </w:p>
        </w:tc>
      </w:tr>
      <w:tr w:rsidR="00533EE8" w:rsidRPr="003E7E2B" w:rsidTr="00931FFE">
        <w:tc>
          <w:tcPr>
            <w:tcW w:w="1342" w:type="pct"/>
            <w:shd w:val="clear" w:color="auto" w:fill="auto"/>
            <w:vAlign w:val="center"/>
          </w:tcPr>
          <w:p w:rsidR="00533EE8" w:rsidRPr="003E7E2B" w:rsidRDefault="00533EE8" w:rsidP="00AF01C2">
            <w:pPr>
              <w:pStyle w:val="Tabletext"/>
              <w:keepNext/>
              <w:keepLines/>
              <w:spacing w:after="0"/>
              <w:rPr>
                <w:rFonts w:ascii="Arial Narrow" w:hAnsi="Arial Narrow"/>
              </w:rPr>
            </w:pPr>
            <w:r w:rsidRPr="003E7E2B">
              <w:rPr>
                <w:rFonts w:ascii="Arial Narrow" w:hAnsi="Arial Narrow"/>
              </w:rPr>
              <w:t>Net cost to MBS</w:t>
            </w:r>
          </w:p>
        </w:tc>
        <w:tc>
          <w:tcPr>
            <w:tcW w:w="609" w:type="pct"/>
            <w:shd w:val="clear" w:color="auto" w:fill="auto"/>
            <w:vAlign w:val="center"/>
          </w:tcPr>
          <w:p w:rsidR="00533EE8" w:rsidRPr="00931FFE" w:rsidRDefault="00533EE8" w:rsidP="00AF01C2">
            <w:pPr>
              <w:jc w:val="center"/>
              <w:rPr>
                <w:rFonts w:ascii="Arial Narrow" w:hAnsi="Arial Narrow" w:cs="Arial"/>
                <w:color w:val="222222"/>
                <w:sz w:val="20"/>
                <w:szCs w:val="20"/>
              </w:rPr>
            </w:pPr>
            <w:r w:rsidRPr="00931FFE">
              <w:rPr>
                <w:rFonts w:ascii="Arial Narrow" w:hAnsi="Arial Narrow" w:cs="Arial"/>
                <w:color w:val="222222"/>
                <w:sz w:val="20"/>
                <w:szCs w:val="20"/>
              </w:rPr>
              <w:t>$</w:t>
            </w:r>
            <w:r w:rsidR="00B76982">
              <w:rPr>
                <w:rFonts w:ascii="Arial Narrow" w:hAnsi="Arial Narrow" w:cs="Arial"/>
                <w:noProof/>
                <w:color w:val="000000"/>
                <w:sz w:val="20"/>
                <w:szCs w:val="20"/>
                <w:highlight w:val="black"/>
              </w:rPr>
              <w:t>''''''''''''''''''''</w:t>
            </w:r>
          </w:p>
        </w:tc>
        <w:tc>
          <w:tcPr>
            <w:tcW w:w="610" w:type="pct"/>
            <w:shd w:val="clear" w:color="auto" w:fill="auto"/>
            <w:vAlign w:val="center"/>
          </w:tcPr>
          <w:p w:rsidR="00533EE8" w:rsidRPr="00931FFE" w:rsidRDefault="00533EE8" w:rsidP="00AF01C2">
            <w:pPr>
              <w:jc w:val="center"/>
              <w:rPr>
                <w:rFonts w:ascii="Arial Narrow" w:hAnsi="Arial Narrow" w:cs="Arial"/>
                <w:color w:val="222222"/>
                <w:sz w:val="20"/>
                <w:szCs w:val="20"/>
              </w:rPr>
            </w:pPr>
            <w:r w:rsidRPr="00931FFE">
              <w:rPr>
                <w:rFonts w:ascii="Arial Narrow" w:hAnsi="Arial Narrow" w:cs="Arial"/>
                <w:color w:val="222222"/>
                <w:sz w:val="20"/>
                <w:szCs w:val="20"/>
              </w:rPr>
              <w:t>$</w:t>
            </w:r>
            <w:r w:rsidR="00B76982">
              <w:rPr>
                <w:rFonts w:ascii="Arial Narrow" w:hAnsi="Arial Narrow" w:cs="Arial"/>
                <w:noProof/>
                <w:color w:val="000000"/>
                <w:sz w:val="20"/>
                <w:szCs w:val="20"/>
                <w:highlight w:val="black"/>
              </w:rPr>
              <w:t>'''''''''''''''''</w:t>
            </w:r>
          </w:p>
        </w:tc>
        <w:tc>
          <w:tcPr>
            <w:tcW w:w="609" w:type="pct"/>
            <w:shd w:val="clear" w:color="auto" w:fill="auto"/>
            <w:vAlign w:val="center"/>
          </w:tcPr>
          <w:p w:rsidR="00533EE8" w:rsidRPr="00931FFE" w:rsidRDefault="00533EE8" w:rsidP="00AF01C2">
            <w:pPr>
              <w:jc w:val="center"/>
              <w:rPr>
                <w:rFonts w:ascii="Arial Narrow" w:hAnsi="Arial Narrow" w:cs="Arial"/>
                <w:color w:val="222222"/>
                <w:sz w:val="20"/>
                <w:szCs w:val="20"/>
              </w:rPr>
            </w:pPr>
            <w:r w:rsidRPr="00931FFE">
              <w:rPr>
                <w:rFonts w:ascii="Arial Narrow" w:hAnsi="Arial Narrow" w:cs="Arial"/>
                <w:color w:val="222222"/>
                <w:sz w:val="20"/>
                <w:szCs w:val="20"/>
              </w:rPr>
              <w:t>$</w:t>
            </w:r>
            <w:r w:rsidR="00B76982">
              <w:rPr>
                <w:rFonts w:ascii="Arial Narrow" w:hAnsi="Arial Narrow" w:cs="Arial"/>
                <w:noProof/>
                <w:color w:val="000000"/>
                <w:sz w:val="20"/>
                <w:szCs w:val="20"/>
                <w:highlight w:val="black"/>
              </w:rPr>
              <w:t>'''''''''''''''''''''</w:t>
            </w:r>
          </w:p>
        </w:tc>
        <w:tc>
          <w:tcPr>
            <w:tcW w:w="610" w:type="pct"/>
            <w:shd w:val="clear" w:color="auto" w:fill="auto"/>
            <w:vAlign w:val="center"/>
          </w:tcPr>
          <w:p w:rsidR="00533EE8" w:rsidRPr="00931FFE" w:rsidRDefault="00533EE8" w:rsidP="00AF01C2">
            <w:pPr>
              <w:keepNext/>
              <w:keepLines/>
              <w:jc w:val="center"/>
              <w:rPr>
                <w:rFonts w:ascii="Arial Narrow" w:hAnsi="Arial Narrow" w:cs="Arial"/>
                <w:color w:val="222222"/>
                <w:sz w:val="20"/>
                <w:szCs w:val="20"/>
              </w:rPr>
            </w:pPr>
            <w:r w:rsidRPr="00931FFE">
              <w:rPr>
                <w:rFonts w:ascii="Arial Narrow" w:hAnsi="Arial Narrow" w:cs="Arial"/>
                <w:color w:val="222222"/>
                <w:sz w:val="20"/>
                <w:szCs w:val="20"/>
              </w:rPr>
              <w:t>$</w:t>
            </w:r>
            <w:r w:rsidR="00B76982">
              <w:rPr>
                <w:rFonts w:ascii="Arial Narrow" w:hAnsi="Arial Narrow" w:cs="Arial"/>
                <w:noProof/>
                <w:color w:val="000000"/>
                <w:sz w:val="20"/>
                <w:szCs w:val="20"/>
                <w:highlight w:val="black"/>
              </w:rPr>
              <w:t>''''''''''''''''''''</w:t>
            </w:r>
          </w:p>
        </w:tc>
        <w:tc>
          <w:tcPr>
            <w:tcW w:w="609" w:type="pct"/>
            <w:shd w:val="clear" w:color="auto" w:fill="auto"/>
            <w:vAlign w:val="center"/>
          </w:tcPr>
          <w:p w:rsidR="00533EE8" w:rsidRPr="00931FFE" w:rsidRDefault="00533EE8" w:rsidP="00AF01C2">
            <w:pPr>
              <w:keepNext/>
              <w:keepLines/>
              <w:jc w:val="center"/>
              <w:rPr>
                <w:rFonts w:ascii="Arial Narrow" w:hAnsi="Arial Narrow" w:cs="Arial"/>
                <w:color w:val="222222"/>
                <w:sz w:val="20"/>
                <w:szCs w:val="20"/>
              </w:rPr>
            </w:pPr>
            <w:r w:rsidRPr="00931FFE">
              <w:rPr>
                <w:rFonts w:ascii="Arial Narrow" w:hAnsi="Arial Narrow" w:cs="Arial"/>
                <w:color w:val="222222"/>
                <w:sz w:val="20"/>
                <w:szCs w:val="20"/>
              </w:rPr>
              <w:t>$</w:t>
            </w:r>
            <w:r w:rsidR="00B76982">
              <w:rPr>
                <w:rFonts w:ascii="Arial Narrow" w:hAnsi="Arial Narrow" w:cs="Arial"/>
                <w:noProof/>
                <w:color w:val="000000"/>
                <w:sz w:val="20"/>
                <w:szCs w:val="20"/>
                <w:highlight w:val="black"/>
              </w:rPr>
              <w:t>''''''''''''''''''''</w:t>
            </w:r>
          </w:p>
        </w:tc>
        <w:tc>
          <w:tcPr>
            <w:tcW w:w="611" w:type="pct"/>
            <w:vAlign w:val="center"/>
          </w:tcPr>
          <w:p w:rsidR="00533EE8" w:rsidRPr="00931FFE" w:rsidRDefault="00533EE8" w:rsidP="00AF01C2">
            <w:pPr>
              <w:keepNext/>
              <w:keepLines/>
              <w:jc w:val="center"/>
              <w:rPr>
                <w:rFonts w:ascii="Arial Narrow" w:hAnsi="Arial Narrow" w:cs="Arial"/>
                <w:color w:val="222222"/>
                <w:sz w:val="20"/>
                <w:szCs w:val="20"/>
              </w:rPr>
            </w:pPr>
            <w:r w:rsidRPr="00931FFE">
              <w:rPr>
                <w:rFonts w:ascii="Arial Narrow" w:hAnsi="Arial Narrow" w:cs="Arial"/>
                <w:color w:val="222222"/>
                <w:sz w:val="20"/>
                <w:szCs w:val="20"/>
              </w:rPr>
              <w:t>$</w:t>
            </w:r>
            <w:r w:rsidR="00B76982">
              <w:rPr>
                <w:rFonts w:ascii="Arial Narrow" w:hAnsi="Arial Narrow" w:cs="Arial"/>
                <w:noProof/>
                <w:color w:val="000000"/>
                <w:sz w:val="20"/>
                <w:szCs w:val="20"/>
                <w:highlight w:val="black"/>
              </w:rPr>
              <w:t>''''''''''''''''''</w:t>
            </w:r>
          </w:p>
        </w:tc>
      </w:tr>
      <w:tr w:rsidR="00533EE8" w:rsidRPr="003E7E2B" w:rsidTr="00931FFE">
        <w:tc>
          <w:tcPr>
            <w:tcW w:w="1342" w:type="pct"/>
            <w:tcBorders>
              <w:bottom w:val="single" w:sz="4" w:space="0" w:color="auto"/>
            </w:tcBorders>
            <w:shd w:val="clear" w:color="auto" w:fill="auto"/>
            <w:vAlign w:val="center"/>
          </w:tcPr>
          <w:p w:rsidR="00533EE8" w:rsidRPr="003E7E2B" w:rsidRDefault="00533EE8" w:rsidP="00AF01C2">
            <w:pPr>
              <w:pStyle w:val="Tabletext"/>
              <w:keepNext/>
              <w:keepLines/>
              <w:spacing w:after="0"/>
              <w:rPr>
                <w:rFonts w:ascii="Arial Narrow" w:hAnsi="Arial Narrow"/>
                <w:b/>
              </w:rPr>
            </w:pPr>
            <w:r w:rsidRPr="003E7E2B">
              <w:rPr>
                <w:rFonts w:ascii="Arial Narrow" w:hAnsi="Arial Narrow"/>
                <w:b/>
              </w:rPr>
              <w:t>Net cost to PBS/RPBS/MBS</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b/>
                <w:color w:val="222222"/>
                <w:sz w:val="20"/>
                <w:szCs w:val="20"/>
              </w:rPr>
            </w:pPr>
            <w:r w:rsidRPr="00931FFE">
              <w:rPr>
                <w:rFonts w:ascii="Arial Narrow" w:hAnsi="Arial Narrow" w:cs="Arial"/>
                <w:b/>
                <w:color w:val="222222"/>
                <w:sz w:val="20"/>
                <w:szCs w:val="20"/>
              </w:rPr>
              <w:t>$</w:t>
            </w:r>
            <w:r w:rsidR="00B76982">
              <w:rPr>
                <w:rFonts w:ascii="Arial Narrow" w:hAnsi="Arial Narrow" w:cs="Arial"/>
                <w:b/>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b/>
                <w:color w:val="222222"/>
                <w:sz w:val="20"/>
                <w:szCs w:val="20"/>
              </w:rPr>
            </w:pPr>
            <w:r w:rsidRPr="00931FFE">
              <w:rPr>
                <w:rFonts w:ascii="Arial Narrow" w:hAnsi="Arial Narrow" w:cs="Arial"/>
                <w:b/>
                <w:color w:val="222222"/>
                <w:sz w:val="20"/>
                <w:szCs w:val="20"/>
              </w:rPr>
              <w:t>$</w:t>
            </w:r>
            <w:r w:rsidR="00B76982">
              <w:rPr>
                <w:rFonts w:ascii="Arial Narrow" w:hAnsi="Arial Narrow" w:cs="Arial"/>
                <w:b/>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jc w:val="center"/>
              <w:rPr>
                <w:rFonts w:ascii="Arial Narrow" w:hAnsi="Arial Narrow" w:cs="Arial"/>
                <w:b/>
                <w:color w:val="222222"/>
                <w:sz w:val="20"/>
                <w:szCs w:val="20"/>
              </w:rPr>
            </w:pPr>
            <w:r w:rsidRPr="00931FFE">
              <w:rPr>
                <w:rFonts w:ascii="Arial Narrow" w:hAnsi="Arial Narrow" w:cs="Arial"/>
                <w:b/>
                <w:color w:val="222222"/>
                <w:sz w:val="20"/>
                <w:szCs w:val="20"/>
              </w:rPr>
              <w:t>$</w:t>
            </w:r>
            <w:r w:rsidR="00B76982">
              <w:rPr>
                <w:rFonts w:ascii="Arial Narrow" w:hAnsi="Arial Narrow" w:cs="Arial"/>
                <w:b/>
                <w:noProof/>
                <w:color w:val="000000"/>
                <w:sz w:val="20"/>
                <w:szCs w:val="20"/>
                <w:highlight w:val="black"/>
              </w:rPr>
              <w:t>'''''''''''''''''''''</w:t>
            </w:r>
          </w:p>
        </w:tc>
        <w:tc>
          <w:tcPr>
            <w:tcW w:w="610"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cs="Arial"/>
                <w:b/>
                <w:color w:val="222222"/>
                <w:sz w:val="20"/>
                <w:szCs w:val="20"/>
              </w:rPr>
            </w:pPr>
            <w:r w:rsidRPr="00931FFE">
              <w:rPr>
                <w:rFonts w:ascii="Arial Narrow" w:hAnsi="Arial Narrow" w:cs="Arial"/>
                <w:b/>
                <w:color w:val="222222"/>
                <w:sz w:val="20"/>
                <w:szCs w:val="20"/>
              </w:rPr>
              <w:t>$</w:t>
            </w:r>
            <w:r w:rsidR="00B76982">
              <w:rPr>
                <w:rFonts w:ascii="Arial Narrow" w:hAnsi="Arial Narrow" w:cs="Arial"/>
                <w:b/>
                <w:noProof/>
                <w:color w:val="000000"/>
                <w:sz w:val="20"/>
                <w:szCs w:val="20"/>
                <w:highlight w:val="black"/>
              </w:rPr>
              <w:t>''''''''''''''''''''''''</w:t>
            </w:r>
          </w:p>
        </w:tc>
        <w:tc>
          <w:tcPr>
            <w:tcW w:w="609" w:type="pct"/>
            <w:tcBorders>
              <w:bottom w:val="single" w:sz="4" w:space="0" w:color="auto"/>
            </w:tcBorders>
            <w:shd w:val="clear" w:color="auto" w:fill="auto"/>
            <w:vAlign w:val="center"/>
          </w:tcPr>
          <w:p w:rsidR="00533EE8" w:rsidRPr="00931FFE" w:rsidRDefault="00533EE8" w:rsidP="00AF01C2">
            <w:pPr>
              <w:keepNext/>
              <w:keepLines/>
              <w:jc w:val="center"/>
              <w:rPr>
                <w:rFonts w:ascii="Arial Narrow" w:hAnsi="Arial Narrow" w:cs="Arial"/>
                <w:b/>
                <w:color w:val="222222"/>
                <w:sz w:val="20"/>
                <w:szCs w:val="20"/>
              </w:rPr>
            </w:pPr>
            <w:r w:rsidRPr="00931FFE">
              <w:rPr>
                <w:rFonts w:ascii="Arial Narrow" w:hAnsi="Arial Narrow" w:cs="Arial"/>
                <w:b/>
                <w:color w:val="222222"/>
                <w:sz w:val="20"/>
                <w:szCs w:val="20"/>
              </w:rPr>
              <w:t>$</w:t>
            </w:r>
            <w:r w:rsidR="00B76982">
              <w:rPr>
                <w:rFonts w:ascii="Arial Narrow" w:hAnsi="Arial Narrow" w:cs="Arial"/>
                <w:b/>
                <w:noProof/>
                <w:color w:val="000000"/>
                <w:sz w:val="20"/>
                <w:szCs w:val="20"/>
                <w:highlight w:val="black"/>
              </w:rPr>
              <w:t>''''''''''''''''''''</w:t>
            </w:r>
          </w:p>
        </w:tc>
        <w:tc>
          <w:tcPr>
            <w:tcW w:w="611" w:type="pct"/>
            <w:tcBorders>
              <w:bottom w:val="single" w:sz="4" w:space="0" w:color="auto"/>
            </w:tcBorders>
            <w:vAlign w:val="center"/>
          </w:tcPr>
          <w:p w:rsidR="00533EE8" w:rsidRPr="00931FFE" w:rsidRDefault="00533EE8" w:rsidP="00AF01C2">
            <w:pPr>
              <w:keepNext/>
              <w:keepLines/>
              <w:jc w:val="center"/>
              <w:rPr>
                <w:rFonts w:ascii="Arial Narrow" w:hAnsi="Arial Narrow" w:cs="Arial"/>
                <w:b/>
                <w:color w:val="222222"/>
                <w:sz w:val="20"/>
                <w:szCs w:val="20"/>
              </w:rPr>
            </w:pPr>
            <w:r w:rsidRPr="00931FFE">
              <w:rPr>
                <w:rFonts w:ascii="Arial Narrow" w:hAnsi="Arial Narrow" w:cs="Arial"/>
                <w:b/>
                <w:color w:val="222222"/>
                <w:sz w:val="20"/>
                <w:szCs w:val="20"/>
              </w:rPr>
              <w:t>$</w:t>
            </w:r>
            <w:r w:rsidR="00B76982">
              <w:rPr>
                <w:rFonts w:ascii="Arial Narrow" w:hAnsi="Arial Narrow" w:cs="Arial"/>
                <w:b/>
                <w:noProof/>
                <w:color w:val="000000"/>
                <w:sz w:val="20"/>
                <w:szCs w:val="20"/>
                <w:highlight w:val="black"/>
              </w:rPr>
              <w:t>''''''''''''''''''''</w:t>
            </w:r>
          </w:p>
        </w:tc>
      </w:tr>
      <w:tr w:rsidR="00533EE8" w:rsidRPr="003E7E2B" w:rsidTr="0073573D">
        <w:tc>
          <w:tcPr>
            <w:tcW w:w="1342" w:type="pct"/>
            <w:tcBorders>
              <w:top w:val="single" w:sz="4" w:space="0" w:color="auto"/>
              <w:bottom w:val="single" w:sz="4" w:space="0" w:color="auto"/>
            </w:tcBorders>
            <w:shd w:val="clear" w:color="auto" w:fill="auto"/>
            <w:vAlign w:val="center"/>
          </w:tcPr>
          <w:p w:rsidR="00533EE8" w:rsidRPr="003E7E2B" w:rsidRDefault="00533EE8" w:rsidP="00AF01C2">
            <w:pPr>
              <w:pStyle w:val="Tabletext"/>
              <w:keepNext/>
              <w:keepLines/>
              <w:spacing w:after="0"/>
              <w:rPr>
                <w:rFonts w:ascii="Arial Narrow" w:hAnsi="Arial Narrow"/>
                <w:color w:val="000000"/>
              </w:rPr>
            </w:pPr>
            <w:r w:rsidRPr="003E7E2B">
              <w:rPr>
                <w:rFonts w:ascii="Arial Narrow" w:hAnsi="Arial Narrow"/>
                <w:color w:val="000000"/>
              </w:rPr>
              <w:t>Previous submission</w:t>
            </w:r>
          </w:p>
        </w:tc>
        <w:tc>
          <w:tcPr>
            <w:tcW w:w="609" w:type="pct"/>
            <w:tcBorders>
              <w:top w:val="single" w:sz="4" w:space="0" w:color="auto"/>
              <w:bottom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0" w:type="pct"/>
            <w:tcBorders>
              <w:top w:val="single" w:sz="4" w:space="0" w:color="auto"/>
              <w:bottom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09" w:type="pct"/>
            <w:tcBorders>
              <w:top w:val="single" w:sz="4" w:space="0" w:color="auto"/>
              <w:bottom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0" w:type="pct"/>
            <w:tcBorders>
              <w:top w:val="single" w:sz="4" w:space="0" w:color="auto"/>
              <w:bottom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09" w:type="pct"/>
            <w:tcBorders>
              <w:top w:val="single" w:sz="4" w:space="0" w:color="auto"/>
              <w:bottom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c>
          <w:tcPr>
            <w:tcW w:w="611" w:type="pct"/>
            <w:tcBorders>
              <w:top w:val="single" w:sz="4" w:space="0" w:color="auto"/>
              <w:bottom w:val="single" w:sz="4" w:space="0" w:color="auto"/>
            </w:tcBorders>
            <w:shd w:val="clear" w:color="auto" w:fill="auto"/>
            <w:vAlign w:val="center"/>
          </w:tcPr>
          <w:p w:rsidR="00533EE8" w:rsidRPr="00931FFE" w:rsidRDefault="00533EE8" w:rsidP="00AF01C2">
            <w:pPr>
              <w:pStyle w:val="Tabletext"/>
              <w:keepNext/>
              <w:keepLines/>
              <w:spacing w:after="0"/>
              <w:ind w:right="123"/>
              <w:jc w:val="center"/>
              <w:rPr>
                <w:rFonts w:ascii="Arial Narrow" w:hAnsi="Arial Narrow"/>
                <w:color w:val="000000"/>
              </w:rPr>
            </w:pPr>
            <w:r w:rsidRPr="00931FFE">
              <w:rPr>
                <w:rFonts w:ascii="Arial Narrow" w:hAnsi="Arial Narrow"/>
                <w:color w:val="000000"/>
              </w:rPr>
              <w:t>$</w:t>
            </w:r>
            <w:r w:rsidR="00B76982">
              <w:rPr>
                <w:rFonts w:ascii="Arial Narrow" w:hAnsi="Arial Narrow"/>
                <w:noProof/>
                <w:color w:val="000000"/>
                <w:highlight w:val="black"/>
              </w:rPr>
              <w:t>''''''''''''''''''''''''''''</w:t>
            </w:r>
          </w:p>
        </w:tc>
      </w:tr>
    </w:tbl>
    <w:p w:rsidR="00533EE8" w:rsidRPr="003E7E2B" w:rsidRDefault="00533EE8" w:rsidP="00533EE8">
      <w:pPr>
        <w:pStyle w:val="TableFooter"/>
        <w:keepNext/>
        <w:keepLines/>
      </w:pPr>
      <w:r w:rsidRPr="003E7E2B">
        <w:t>Source: compiled based on information presented in ‘Item 7.09 Pre-PBAC Response for nivolumab + ipilimumab ATTACHMENT 1.xlsx’</w:t>
      </w:r>
    </w:p>
    <w:p w:rsidR="00533EE8" w:rsidRDefault="00533EE8" w:rsidP="00533EE8">
      <w:pPr>
        <w:pStyle w:val="TableFooter"/>
        <w:keepNext/>
        <w:keepLines/>
      </w:pPr>
      <w:r w:rsidRPr="003E7E2B">
        <w:t>GF = grandfathered</w:t>
      </w:r>
      <w:r w:rsidR="00931FFE">
        <w:t>; 1L = first line</w:t>
      </w:r>
    </w:p>
    <w:p w:rsidR="00931FFE" w:rsidRPr="00931FFE" w:rsidRDefault="00931FFE" w:rsidP="00533EE8">
      <w:pPr>
        <w:pStyle w:val="TableFooter"/>
        <w:keepNext/>
        <w:keepLines/>
      </w:pPr>
      <w:proofErr w:type="spellStart"/>
      <w:proofErr w:type="gramStart"/>
      <w:r>
        <w:rPr>
          <w:vertAlign w:val="superscript"/>
        </w:rPr>
        <w:t>a</w:t>
      </w:r>
      <w:proofErr w:type="spellEnd"/>
      <w:proofErr w:type="gramEnd"/>
      <w:r>
        <w:t xml:space="preserve"> Includes</w:t>
      </w:r>
      <w:r w:rsidR="004A5D1F">
        <w:t>:</w:t>
      </w:r>
      <w:r>
        <w:t xml:space="preserve"> patients with </w:t>
      </w:r>
      <w:r w:rsidR="004A5D1F">
        <w:t xml:space="preserve">a </w:t>
      </w:r>
      <w:r>
        <w:t>favourable prognosis,</w:t>
      </w:r>
      <w:r w:rsidR="004A5D1F">
        <w:t xml:space="preserve"> and patients who are assumed to be treated with sunitinib or </w:t>
      </w:r>
      <w:proofErr w:type="spellStart"/>
      <w:r w:rsidR="004A5D1F">
        <w:t>pazopanib</w:t>
      </w:r>
      <w:proofErr w:type="spellEnd"/>
      <w:r w:rsidR="004A5D1F">
        <w:t xml:space="preserve"> rather than NIVO+IPI. Also includes patients who are assumed to be</w:t>
      </w:r>
      <w:r>
        <w:t xml:space="preserve"> treated in a clinical trial setting</w:t>
      </w:r>
      <w:r w:rsidR="004A5D1F">
        <w:t>.</w:t>
      </w:r>
    </w:p>
    <w:p w:rsidR="005E36E2" w:rsidRPr="003E7E2B" w:rsidRDefault="005E36E2" w:rsidP="0027241C">
      <w:pPr>
        <w:pStyle w:val="TableFooter"/>
      </w:pPr>
    </w:p>
    <w:p w:rsidR="00C00DA7" w:rsidRPr="003E7E2B" w:rsidRDefault="00FF2801" w:rsidP="00841EB4">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 xml:space="preserve">The </w:t>
      </w:r>
      <w:r w:rsidR="00841EB4" w:rsidRPr="003E7E2B">
        <w:rPr>
          <w:rFonts w:asciiTheme="minorHAnsi" w:hAnsiTheme="minorHAnsi"/>
          <w:sz w:val="24"/>
          <w:szCs w:val="24"/>
        </w:rPr>
        <w:t>re</w:t>
      </w:r>
      <w:r w:rsidRPr="003E7E2B">
        <w:rPr>
          <w:rFonts w:asciiTheme="minorHAnsi" w:hAnsiTheme="minorHAnsi"/>
          <w:sz w:val="24"/>
          <w:szCs w:val="24"/>
        </w:rPr>
        <w:t xml:space="preserve">submission </w:t>
      </w:r>
      <w:r w:rsidR="00A70423" w:rsidRPr="003E7E2B">
        <w:rPr>
          <w:rFonts w:asciiTheme="minorHAnsi" w:hAnsiTheme="minorHAnsi"/>
          <w:sz w:val="24"/>
          <w:szCs w:val="24"/>
        </w:rPr>
        <w:t xml:space="preserve">(pre-PBAC </w:t>
      </w:r>
      <w:r w:rsidR="005772CD" w:rsidRPr="003E7E2B">
        <w:rPr>
          <w:rFonts w:asciiTheme="minorHAnsi" w:hAnsiTheme="minorHAnsi"/>
          <w:sz w:val="24"/>
          <w:szCs w:val="24"/>
        </w:rPr>
        <w:t>r</w:t>
      </w:r>
      <w:r w:rsidR="00C51BD1" w:rsidRPr="003E7E2B">
        <w:rPr>
          <w:rFonts w:asciiTheme="minorHAnsi" w:hAnsiTheme="minorHAnsi"/>
          <w:sz w:val="24"/>
          <w:szCs w:val="24"/>
        </w:rPr>
        <w:t xml:space="preserve">esponse) </w:t>
      </w:r>
      <w:r w:rsidRPr="003E7E2B">
        <w:rPr>
          <w:rFonts w:asciiTheme="minorHAnsi" w:hAnsiTheme="minorHAnsi"/>
          <w:sz w:val="24"/>
          <w:szCs w:val="24"/>
        </w:rPr>
        <w:t>estimated</w:t>
      </w:r>
      <w:r w:rsidR="00C00DA7" w:rsidRPr="003E7E2B">
        <w:rPr>
          <w:rFonts w:asciiTheme="minorHAnsi" w:hAnsiTheme="minorHAnsi"/>
          <w:sz w:val="24"/>
          <w:szCs w:val="24"/>
        </w:rPr>
        <w:t xml:space="preserve"> a net cost to the PBS</w:t>
      </w:r>
      <w:r w:rsidR="008657D5" w:rsidRPr="003E7E2B">
        <w:rPr>
          <w:rFonts w:asciiTheme="minorHAnsi" w:hAnsiTheme="minorHAnsi"/>
          <w:sz w:val="24"/>
          <w:szCs w:val="24"/>
        </w:rPr>
        <w:t>/RPBS</w:t>
      </w:r>
      <w:r w:rsidR="00C00DA7" w:rsidRPr="003E7E2B">
        <w:rPr>
          <w:rFonts w:asciiTheme="minorHAnsi" w:hAnsiTheme="minorHAnsi"/>
          <w:sz w:val="24"/>
          <w:szCs w:val="24"/>
        </w:rPr>
        <w:t xml:space="preserve"> of </w:t>
      </w:r>
      <w:r w:rsidR="00B45BE9">
        <w:rPr>
          <w:rFonts w:asciiTheme="minorHAnsi" w:hAnsiTheme="minorHAnsi"/>
          <w:sz w:val="24"/>
          <w:szCs w:val="24"/>
        </w:rPr>
        <w:t>$20 – $30 million</w:t>
      </w:r>
      <w:r w:rsidR="00C00DA7" w:rsidRPr="003E7E2B">
        <w:rPr>
          <w:rFonts w:asciiTheme="minorHAnsi" w:hAnsiTheme="minorHAnsi"/>
          <w:sz w:val="24"/>
          <w:szCs w:val="24"/>
        </w:rPr>
        <w:t xml:space="preserve"> in Year </w:t>
      </w:r>
      <w:r w:rsidR="008657D5" w:rsidRPr="003E7E2B">
        <w:rPr>
          <w:rFonts w:asciiTheme="minorHAnsi" w:hAnsiTheme="minorHAnsi"/>
          <w:sz w:val="24"/>
          <w:szCs w:val="24"/>
        </w:rPr>
        <w:t>6</w:t>
      </w:r>
      <w:r w:rsidR="00C00DA7" w:rsidRPr="003E7E2B">
        <w:rPr>
          <w:rFonts w:asciiTheme="minorHAnsi" w:hAnsiTheme="minorHAnsi"/>
          <w:sz w:val="24"/>
          <w:szCs w:val="24"/>
        </w:rPr>
        <w:t xml:space="preserve"> of listing, with a total net cost to the PBS</w:t>
      </w:r>
      <w:r w:rsidR="008657D5" w:rsidRPr="003E7E2B">
        <w:rPr>
          <w:rFonts w:asciiTheme="minorHAnsi" w:hAnsiTheme="minorHAnsi"/>
          <w:sz w:val="24"/>
          <w:szCs w:val="24"/>
        </w:rPr>
        <w:t>/RPBS</w:t>
      </w:r>
      <w:r w:rsidR="00C00DA7" w:rsidRPr="003E7E2B">
        <w:rPr>
          <w:rFonts w:asciiTheme="minorHAnsi" w:hAnsiTheme="minorHAnsi"/>
          <w:sz w:val="24"/>
          <w:szCs w:val="24"/>
        </w:rPr>
        <w:t xml:space="preserve"> of </w:t>
      </w:r>
      <w:r w:rsidR="00B45BE9">
        <w:rPr>
          <w:rFonts w:asciiTheme="minorHAnsi" w:hAnsiTheme="minorHAnsi"/>
          <w:sz w:val="24"/>
          <w:szCs w:val="24"/>
        </w:rPr>
        <w:t>more than $100 million</w:t>
      </w:r>
      <w:r w:rsidR="00C00DA7" w:rsidRPr="003E7E2B">
        <w:rPr>
          <w:rFonts w:asciiTheme="minorHAnsi" w:hAnsiTheme="minorHAnsi"/>
          <w:sz w:val="24"/>
          <w:szCs w:val="24"/>
        </w:rPr>
        <w:t xml:space="preserve"> over the first </w:t>
      </w:r>
      <w:r w:rsidR="008657D5" w:rsidRPr="003E7E2B">
        <w:rPr>
          <w:rFonts w:asciiTheme="minorHAnsi" w:hAnsiTheme="minorHAnsi"/>
          <w:sz w:val="24"/>
          <w:szCs w:val="24"/>
        </w:rPr>
        <w:t>six</w:t>
      </w:r>
      <w:r w:rsidR="00C00DA7" w:rsidRPr="003E7E2B">
        <w:rPr>
          <w:rFonts w:asciiTheme="minorHAnsi" w:hAnsiTheme="minorHAnsi"/>
          <w:sz w:val="24"/>
          <w:szCs w:val="24"/>
        </w:rPr>
        <w:t xml:space="preserve"> years of listing</w:t>
      </w:r>
      <w:r w:rsidR="000C69B1" w:rsidRPr="003E7E2B">
        <w:rPr>
          <w:rFonts w:asciiTheme="minorHAnsi" w:hAnsiTheme="minorHAnsi"/>
          <w:sz w:val="24"/>
          <w:szCs w:val="24"/>
        </w:rPr>
        <w:t xml:space="preserve"> (if the restrictions for all current second- </w:t>
      </w:r>
      <w:r w:rsidR="000C69B1" w:rsidRPr="003E7E2B">
        <w:rPr>
          <w:rFonts w:asciiTheme="minorHAnsi" w:hAnsiTheme="minorHAnsi"/>
          <w:sz w:val="24"/>
          <w:szCs w:val="24"/>
        </w:rPr>
        <w:lastRenderedPageBreak/>
        <w:t>and later-line therapies are amended)</w:t>
      </w:r>
      <w:r w:rsidR="00845EDE">
        <w:rPr>
          <w:rFonts w:asciiTheme="minorHAnsi" w:hAnsiTheme="minorHAnsi"/>
          <w:sz w:val="24"/>
          <w:szCs w:val="24"/>
        </w:rPr>
        <w:t>.</w:t>
      </w:r>
    </w:p>
    <w:p w:rsidR="00FA719A" w:rsidRDefault="00FA719A">
      <w:pPr>
        <w:rPr>
          <w:rFonts w:asciiTheme="minorHAnsi" w:hAnsiTheme="minorHAnsi" w:cs="Arial"/>
          <w:snapToGrid w:val="0"/>
          <w:lang w:eastAsia="en-US"/>
        </w:rPr>
      </w:pPr>
      <w:r>
        <w:rPr>
          <w:rFonts w:asciiTheme="minorHAnsi" w:hAnsiTheme="minorHAnsi"/>
        </w:rPr>
        <w:br w:type="page"/>
      </w:r>
    </w:p>
    <w:p w:rsidR="00C0702A" w:rsidRPr="003E7E2B" w:rsidRDefault="00C0702A" w:rsidP="00416FB3">
      <w:pPr>
        <w:pStyle w:val="ListParagraph"/>
        <w:numPr>
          <w:ilvl w:val="1"/>
          <w:numId w:val="5"/>
        </w:numPr>
        <w:spacing w:after="120"/>
        <w:contextualSpacing w:val="0"/>
        <w:rPr>
          <w:rFonts w:asciiTheme="minorHAnsi" w:hAnsiTheme="minorHAnsi"/>
          <w:sz w:val="24"/>
          <w:szCs w:val="24"/>
        </w:rPr>
      </w:pPr>
      <w:r>
        <w:rPr>
          <w:rFonts w:asciiTheme="minorHAnsi" w:hAnsiTheme="minorHAnsi"/>
          <w:sz w:val="24"/>
          <w:szCs w:val="24"/>
        </w:rPr>
        <w:lastRenderedPageBreak/>
        <w:t xml:space="preserve">The PBAC noted that the total </w:t>
      </w:r>
      <w:r w:rsidR="005D64CB">
        <w:rPr>
          <w:rFonts w:asciiTheme="minorHAnsi" w:hAnsiTheme="minorHAnsi"/>
          <w:sz w:val="24"/>
          <w:szCs w:val="24"/>
        </w:rPr>
        <w:t xml:space="preserve">number of </w:t>
      </w:r>
      <w:r>
        <w:rPr>
          <w:rFonts w:asciiTheme="minorHAnsi" w:hAnsiTheme="minorHAnsi"/>
          <w:sz w:val="24"/>
          <w:szCs w:val="24"/>
        </w:rPr>
        <w:t>patient</w:t>
      </w:r>
      <w:r w:rsidR="005D64CB">
        <w:rPr>
          <w:rFonts w:asciiTheme="minorHAnsi" w:hAnsiTheme="minorHAnsi"/>
          <w:sz w:val="24"/>
          <w:szCs w:val="24"/>
        </w:rPr>
        <w:t>s</w:t>
      </w:r>
      <w:r>
        <w:rPr>
          <w:rFonts w:asciiTheme="minorHAnsi" w:hAnsiTheme="minorHAnsi"/>
          <w:sz w:val="24"/>
          <w:szCs w:val="24"/>
        </w:rPr>
        <w:t xml:space="preserve"> </w:t>
      </w:r>
      <w:r w:rsidR="005D64CB">
        <w:rPr>
          <w:rFonts w:asciiTheme="minorHAnsi" w:hAnsiTheme="minorHAnsi"/>
          <w:sz w:val="24"/>
          <w:szCs w:val="24"/>
        </w:rPr>
        <w:t xml:space="preserve">estimated </w:t>
      </w:r>
      <w:r>
        <w:rPr>
          <w:rFonts w:asciiTheme="minorHAnsi" w:hAnsiTheme="minorHAnsi"/>
          <w:sz w:val="24"/>
          <w:szCs w:val="24"/>
        </w:rPr>
        <w:t xml:space="preserve">to be treated </w:t>
      </w:r>
      <w:r w:rsidR="005D64CB">
        <w:rPr>
          <w:rFonts w:asciiTheme="minorHAnsi" w:hAnsiTheme="minorHAnsi"/>
          <w:sz w:val="24"/>
          <w:szCs w:val="24"/>
        </w:rPr>
        <w:t>with</w:t>
      </w:r>
      <w:r>
        <w:rPr>
          <w:rFonts w:asciiTheme="minorHAnsi" w:hAnsiTheme="minorHAnsi"/>
          <w:sz w:val="24"/>
          <w:szCs w:val="24"/>
        </w:rPr>
        <w:t xml:space="preserve"> first-line </w:t>
      </w:r>
      <w:r w:rsidR="005D64CB">
        <w:rPr>
          <w:rFonts w:asciiTheme="minorHAnsi" w:hAnsiTheme="minorHAnsi"/>
          <w:sz w:val="24"/>
          <w:szCs w:val="24"/>
        </w:rPr>
        <w:t xml:space="preserve">RCC </w:t>
      </w:r>
      <w:r>
        <w:rPr>
          <w:rFonts w:asciiTheme="minorHAnsi" w:hAnsiTheme="minorHAnsi"/>
          <w:sz w:val="24"/>
          <w:szCs w:val="24"/>
        </w:rPr>
        <w:t>therapy w</w:t>
      </w:r>
      <w:r w:rsidR="00416FB3">
        <w:rPr>
          <w:rFonts w:asciiTheme="minorHAnsi" w:hAnsiTheme="minorHAnsi"/>
          <w:sz w:val="24"/>
          <w:szCs w:val="24"/>
        </w:rPr>
        <w:t>as</w:t>
      </w:r>
      <w:r>
        <w:rPr>
          <w:rFonts w:asciiTheme="minorHAnsi" w:hAnsiTheme="minorHAnsi"/>
          <w:sz w:val="24"/>
          <w:szCs w:val="24"/>
        </w:rPr>
        <w:t xml:space="preserve"> significantly higher than </w:t>
      </w:r>
      <w:r w:rsidR="00416FB3">
        <w:rPr>
          <w:rFonts w:asciiTheme="minorHAnsi" w:hAnsiTheme="minorHAnsi"/>
          <w:sz w:val="24"/>
          <w:szCs w:val="24"/>
        </w:rPr>
        <w:t>was</w:t>
      </w:r>
      <w:r>
        <w:rPr>
          <w:rFonts w:asciiTheme="minorHAnsi" w:hAnsiTheme="minorHAnsi"/>
          <w:sz w:val="24"/>
          <w:szCs w:val="24"/>
        </w:rPr>
        <w:t xml:space="preserve"> accepted in the financial estimates for NIVO monotherapy.</w:t>
      </w:r>
    </w:p>
    <w:p w:rsidR="00BB7EC3" w:rsidRPr="003E7E2B" w:rsidRDefault="00612708" w:rsidP="00612708">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 xml:space="preserve">Offsets from reduced use of NIVO monotherapy in the second- and third-line settings are also shown in the table above, and total </w:t>
      </w:r>
      <w:r w:rsidR="00B45BE9">
        <w:rPr>
          <w:rFonts w:asciiTheme="minorHAnsi" w:hAnsiTheme="minorHAnsi"/>
          <w:sz w:val="24"/>
          <w:szCs w:val="24"/>
        </w:rPr>
        <w:t>$60 – $100 million</w:t>
      </w:r>
      <w:r w:rsidR="00845EDE">
        <w:rPr>
          <w:rFonts w:asciiTheme="minorHAnsi" w:hAnsiTheme="minorHAnsi"/>
          <w:sz w:val="24"/>
          <w:szCs w:val="24"/>
        </w:rPr>
        <w:t xml:space="preserve"> over six years.</w:t>
      </w:r>
    </w:p>
    <w:p w:rsidR="000E5857" w:rsidRPr="003E7E2B" w:rsidRDefault="000E5857" w:rsidP="000E5857">
      <w:pPr>
        <w:pStyle w:val="ListParagraph"/>
        <w:numPr>
          <w:ilvl w:val="1"/>
          <w:numId w:val="5"/>
        </w:numPr>
        <w:spacing w:after="120"/>
        <w:contextualSpacing w:val="0"/>
        <w:rPr>
          <w:rFonts w:asciiTheme="minorHAnsi" w:hAnsiTheme="minorHAnsi"/>
          <w:sz w:val="24"/>
          <w:szCs w:val="24"/>
        </w:rPr>
      </w:pPr>
      <w:r w:rsidRPr="003E7E2B">
        <w:rPr>
          <w:rFonts w:asciiTheme="minorHAnsi" w:hAnsiTheme="minorHAnsi"/>
          <w:sz w:val="24"/>
          <w:szCs w:val="24"/>
        </w:rPr>
        <w:t>Over time, usage of NIVO monotherapy would significantly reduce if NIVO+IPI were listed first-line, with use of NIVO monotherapy likely limited to those patients who either received first-line treatment prior to NIVO+IPI being listed, those who are contraindicated to IPI</w:t>
      </w:r>
      <w:r w:rsidR="00B05137" w:rsidRPr="003E7E2B">
        <w:rPr>
          <w:rFonts w:asciiTheme="minorHAnsi" w:hAnsiTheme="minorHAnsi"/>
          <w:sz w:val="24"/>
          <w:szCs w:val="24"/>
        </w:rPr>
        <w:t xml:space="preserve">, and patients with a </w:t>
      </w:r>
      <w:r w:rsidR="00D85161" w:rsidRPr="003E7E2B">
        <w:rPr>
          <w:rFonts w:asciiTheme="minorHAnsi" w:hAnsiTheme="minorHAnsi"/>
          <w:sz w:val="24"/>
          <w:szCs w:val="24"/>
        </w:rPr>
        <w:t xml:space="preserve">favourable prognosis </w:t>
      </w:r>
      <w:r w:rsidR="00B05137" w:rsidRPr="003E7E2B">
        <w:rPr>
          <w:rFonts w:asciiTheme="minorHAnsi" w:hAnsiTheme="minorHAnsi"/>
          <w:sz w:val="24"/>
          <w:szCs w:val="24"/>
        </w:rPr>
        <w:t>(who would not be eligible for first-line NIVO+IPI).</w:t>
      </w:r>
    </w:p>
    <w:p w:rsidR="00612708" w:rsidRPr="003C2660" w:rsidRDefault="00612708" w:rsidP="0027241C">
      <w:pPr>
        <w:pStyle w:val="Heading2"/>
      </w:pPr>
      <w:bookmarkStart w:id="2" w:name="_Toc371170714"/>
      <w:bookmarkStart w:id="3" w:name="_Toc514248495"/>
      <w:r w:rsidRPr="003C2660">
        <w:t>Financial Management – Risk Sharing Arrangements</w:t>
      </w:r>
      <w:bookmarkEnd w:id="2"/>
      <w:bookmarkEnd w:id="3"/>
    </w:p>
    <w:p w:rsidR="00612708" w:rsidRDefault="00612708" w:rsidP="00272777">
      <w:pPr>
        <w:pStyle w:val="ListParagraph"/>
        <w:widowControl/>
        <w:numPr>
          <w:ilvl w:val="1"/>
          <w:numId w:val="5"/>
        </w:numPr>
        <w:spacing w:after="120"/>
        <w:contextualSpacing w:val="0"/>
        <w:rPr>
          <w:rFonts w:asciiTheme="minorHAnsi" w:hAnsiTheme="minorHAnsi" w:cstheme="minorHAnsi"/>
          <w:sz w:val="24"/>
          <w:szCs w:val="24"/>
        </w:rPr>
      </w:pPr>
      <w:r w:rsidRPr="003C2660">
        <w:rPr>
          <w:rFonts w:asciiTheme="minorHAnsi" w:hAnsiTheme="minorHAnsi" w:cstheme="minorHAnsi"/>
          <w:sz w:val="24"/>
          <w:szCs w:val="24"/>
        </w:rPr>
        <w:t xml:space="preserve">The </w:t>
      </w:r>
      <w:r w:rsidR="00272777" w:rsidRPr="003E7E2B">
        <w:rPr>
          <w:rFonts w:asciiTheme="minorHAnsi" w:hAnsiTheme="minorHAnsi" w:cstheme="minorHAnsi"/>
          <w:sz w:val="24"/>
          <w:szCs w:val="24"/>
        </w:rPr>
        <w:t xml:space="preserve">resubmission proposed a RSA with </w:t>
      </w:r>
      <w:r w:rsidR="00B76982">
        <w:rPr>
          <w:rFonts w:asciiTheme="minorHAnsi" w:hAnsiTheme="minorHAnsi" w:cstheme="minorHAnsi"/>
          <w:noProof/>
          <w:color w:val="000000"/>
          <w:sz w:val="24"/>
          <w:szCs w:val="24"/>
          <w:highlight w:val="black"/>
        </w:rPr>
        <w:t>''''''''</w:t>
      </w:r>
      <w:r w:rsidR="00272777" w:rsidRPr="003E7E2B">
        <w:rPr>
          <w:rFonts w:asciiTheme="minorHAnsi" w:hAnsiTheme="minorHAnsi" w:cstheme="minorHAnsi"/>
          <w:sz w:val="24"/>
          <w:szCs w:val="24"/>
        </w:rPr>
        <w:t xml:space="preserve">% rebate beyond estimated utilisation and stated that it is willing to work with the Department to incorporate flow-on changes to the existing RSA for </w:t>
      </w:r>
      <w:r w:rsidR="003F2F47" w:rsidRPr="003E7E2B">
        <w:rPr>
          <w:rFonts w:asciiTheme="minorHAnsi" w:hAnsiTheme="minorHAnsi" w:cstheme="minorHAnsi"/>
          <w:sz w:val="24"/>
          <w:szCs w:val="24"/>
        </w:rPr>
        <w:t xml:space="preserve">second-line </w:t>
      </w:r>
      <w:r w:rsidR="00272777" w:rsidRPr="003E7E2B">
        <w:rPr>
          <w:rFonts w:asciiTheme="minorHAnsi" w:hAnsiTheme="minorHAnsi" w:cstheme="minorHAnsi"/>
          <w:sz w:val="24"/>
          <w:szCs w:val="24"/>
        </w:rPr>
        <w:t>NIVO</w:t>
      </w:r>
      <w:r w:rsidR="003F2F47" w:rsidRPr="003E7E2B">
        <w:rPr>
          <w:rFonts w:asciiTheme="minorHAnsi" w:hAnsiTheme="minorHAnsi" w:cstheme="minorHAnsi"/>
          <w:sz w:val="24"/>
          <w:szCs w:val="24"/>
        </w:rPr>
        <w:t xml:space="preserve">, which was in line with PBAC’s previous advice </w:t>
      </w:r>
      <w:r w:rsidR="00A552FD" w:rsidRPr="003E7E2B">
        <w:rPr>
          <w:rFonts w:asciiTheme="minorHAnsi" w:hAnsiTheme="minorHAnsi" w:cstheme="minorHAnsi"/>
          <w:sz w:val="24"/>
          <w:szCs w:val="24"/>
        </w:rPr>
        <w:t>(Paragraph 7.15</w:t>
      </w:r>
      <w:r w:rsidR="003F2F47" w:rsidRPr="003E7E2B">
        <w:rPr>
          <w:rFonts w:asciiTheme="minorHAnsi" w:hAnsiTheme="minorHAnsi" w:cstheme="minorHAnsi"/>
          <w:sz w:val="24"/>
          <w:szCs w:val="24"/>
        </w:rPr>
        <w:t>, PBAC Minutes July 2018</w:t>
      </w:r>
      <w:r w:rsidR="00A552FD" w:rsidRPr="003E7E2B">
        <w:rPr>
          <w:rFonts w:asciiTheme="minorHAnsi" w:hAnsiTheme="minorHAnsi" w:cstheme="minorHAnsi"/>
          <w:sz w:val="24"/>
          <w:szCs w:val="24"/>
        </w:rPr>
        <w:t>).</w:t>
      </w:r>
    </w:p>
    <w:p w:rsidR="0040374F" w:rsidRPr="003E7E2B" w:rsidRDefault="0040374F" w:rsidP="00AF0145">
      <w:pPr>
        <w:pStyle w:val="ListParagraph"/>
        <w:numPr>
          <w:ilvl w:val="1"/>
          <w:numId w:val="5"/>
        </w:numPr>
        <w:spacing w:after="120"/>
        <w:rPr>
          <w:rFonts w:asciiTheme="minorHAnsi" w:hAnsiTheme="minorHAnsi" w:cstheme="minorHAnsi"/>
          <w:sz w:val="24"/>
          <w:szCs w:val="24"/>
        </w:rPr>
      </w:pPr>
      <w:r>
        <w:rPr>
          <w:rFonts w:asciiTheme="minorHAnsi" w:hAnsiTheme="minorHAnsi" w:cstheme="minorHAnsi"/>
          <w:sz w:val="24"/>
          <w:szCs w:val="24"/>
        </w:rPr>
        <w:t xml:space="preserve">The resubmission stated </w:t>
      </w:r>
      <w:r w:rsidR="0013151E">
        <w:rPr>
          <w:rFonts w:asciiTheme="minorHAnsi" w:hAnsiTheme="minorHAnsi" w:cstheme="minorHAnsi"/>
          <w:sz w:val="24"/>
          <w:szCs w:val="24"/>
        </w:rPr>
        <w:t xml:space="preserve">that it </w:t>
      </w:r>
      <w:r w:rsidRPr="0040374F">
        <w:rPr>
          <w:rFonts w:asciiTheme="minorHAnsi" w:hAnsiTheme="minorHAnsi" w:cstheme="minorHAnsi"/>
          <w:sz w:val="24"/>
          <w:szCs w:val="24"/>
        </w:rPr>
        <w:t>is willing to consider a deed covering</w:t>
      </w:r>
      <w:r w:rsidR="0013151E">
        <w:rPr>
          <w:rFonts w:asciiTheme="minorHAnsi" w:hAnsiTheme="minorHAnsi" w:cstheme="minorHAnsi"/>
          <w:sz w:val="24"/>
          <w:szCs w:val="24"/>
        </w:rPr>
        <w:t xml:space="preserve"> nivolumab in first- and second-line </w:t>
      </w:r>
      <w:r w:rsidRPr="0040374F">
        <w:rPr>
          <w:rFonts w:asciiTheme="minorHAnsi" w:hAnsiTheme="minorHAnsi" w:cstheme="minorHAnsi"/>
          <w:sz w:val="24"/>
          <w:szCs w:val="24"/>
        </w:rPr>
        <w:t xml:space="preserve">RCC </w:t>
      </w:r>
      <w:r w:rsidR="0013151E">
        <w:rPr>
          <w:rFonts w:asciiTheme="minorHAnsi" w:hAnsiTheme="minorHAnsi" w:cstheme="minorHAnsi"/>
          <w:sz w:val="24"/>
          <w:szCs w:val="24"/>
        </w:rPr>
        <w:t>(</w:t>
      </w:r>
      <w:r w:rsidRPr="0040374F">
        <w:rPr>
          <w:rFonts w:asciiTheme="minorHAnsi" w:hAnsiTheme="minorHAnsi" w:cstheme="minorHAnsi"/>
          <w:sz w:val="24"/>
          <w:szCs w:val="24"/>
        </w:rPr>
        <w:t xml:space="preserve">and </w:t>
      </w:r>
      <w:r w:rsidR="0013151E">
        <w:rPr>
          <w:rFonts w:asciiTheme="minorHAnsi" w:hAnsiTheme="minorHAnsi" w:cstheme="minorHAnsi"/>
          <w:sz w:val="24"/>
          <w:szCs w:val="24"/>
        </w:rPr>
        <w:t>an</w:t>
      </w:r>
      <w:r w:rsidRPr="0040374F">
        <w:rPr>
          <w:rFonts w:asciiTheme="minorHAnsi" w:hAnsiTheme="minorHAnsi" w:cstheme="minorHAnsi"/>
          <w:sz w:val="24"/>
          <w:szCs w:val="24"/>
        </w:rPr>
        <w:t xml:space="preserve"> </w:t>
      </w:r>
      <w:r w:rsidR="0013151E">
        <w:rPr>
          <w:rFonts w:asciiTheme="minorHAnsi" w:hAnsiTheme="minorHAnsi" w:cstheme="minorHAnsi"/>
          <w:sz w:val="24"/>
          <w:szCs w:val="24"/>
        </w:rPr>
        <w:t xml:space="preserve">ipilimumab </w:t>
      </w:r>
      <w:r w:rsidRPr="0040374F">
        <w:rPr>
          <w:rFonts w:asciiTheme="minorHAnsi" w:hAnsiTheme="minorHAnsi" w:cstheme="minorHAnsi"/>
          <w:sz w:val="24"/>
          <w:szCs w:val="24"/>
        </w:rPr>
        <w:t xml:space="preserve">deed covering </w:t>
      </w:r>
      <w:r w:rsidR="0013151E">
        <w:rPr>
          <w:rFonts w:asciiTheme="minorHAnsi" w:hAnsiTheme="minorHAnsi" w:cstheme="minorHAnsi"/>
          <w:sz w:val="24"/>
          <w:szCs w:val="24"/>
        </w:rPr>
        <w:t>first-line</w:t>
      </w:r>
      <w:r w:rsidRPr="0040374F">
        <w:rPr>
          <w:rFonts w:asciiTheme="minorHAnsi" w:hAnsiTheme="minorHAnsi" w:cstheme="minorHAnsi"/>
          <w:sz w:val="24"/>
          <w:szCs w:val="24"/>
        </w:rPr>
        <w:t xml:space="preserve"> RCC</w:t>
      </w:r>
      <w:r w:rsidR="0013151E">
        <w:rPr>
          <w:rFonts w:asciiTheme="minorHAnsi" w:hAnsiTheme="minorHAnsi" w:cstheme="minorHAnsi"/>
          <w:sz w:val="24"/>
          <w:szCs w:val="24"/>
        </w:rPr>
        <w:t xml:space="preserve">). The resubmission stated that </w:t>
      </w:r>
      <w:r w:rsidRPr="0040374F">
        <w:rPr>
          <w:rFonts w:asciiTheme="minorHAnsi" w:hAnsiTheme="minorHAnsi" w:cstheme="minorHAnsi"/>
          <w:sz w:val="24"/>
          <w:szCs w:val="24"/>
        </w:rPr>
        <w:t xml:space="preserve">adjustment to the existing RSA </w:t>
      </w:r>
      <w:r w:rsidR="0013151E">
        <w:rPr>
          <w:rFonts w:asciiTheme="minorHAnsi" w:hAnsiTheme="minorHAnsi" w:cstheme="minorHAnsi"/>
          <w:sz w:val="24"/>
          <w:szCs w:val="24"/>
        </w:rPr>
        <w:t xml:space="preserve">for second-line </w:t>
      </w:r>
      <w:r w:rsidR="0013151E" w:rsidRPr="0040374F">
        <w:rPr>
          <w:rFonts w:asciiTheme="minorHAnsi" w:hAnsiTheme="minorHAnsi" w:cstheme="minorHAnsi"/>
          <w:sz w:val="24"/>
          <w:szCs w:val="24"/>
        </w:rPr>
        <w:t xml:space="preserve">RCC </w:t>
      </w:r>
      <w:r w:rsidRPr="0040374F">
        <w:rPr>
          <w:rFonts w:asciiTheme="minorHAnsi" w:hAnsiTheme="minorHAnsi" w:cstheme="minorHAnsi"/>
          <w:sz w:val="24"/>
          <w:szCs w:val="24"/>
        </w:rPr>
        <w:t xml:space="preserve">should include consideration </w:t>
      </w:r>
      <w:r w:rsidR="0013151E">
        <w:rPr>
          <w:rFonts w:asciiTheme="minorHAnsi" w:hAnsiTheme="minorHAnsi" w:cstheme="minorHAnsi"/>
          <w:sz w:val="24"/>
          <w:szCs w:val="24"/>
        </w:rPr>
        <w:t>of “</w:t>
      </w:r>
      <w:r w:rsidRPr="0040374F">
        <w:rPr>
          <w:rFonts w:asciiTheme="minorHAnsi" w:hAnsiTheme="minorHAnsi" w:cstheme="minorHAnsi"/>
          <w:sz w:val="24"/>
          <w:szCs w:val="24"/>
        </w:rPr>
        <w:t>near term future agents and associated market share implications</w:t>
      </w:r>
      <w:r w:rsidR="0013151E">
        <w:rPr>
          <w:rFonts w:asciiTheme="minorHAnsi" w:hAnsiTheme="minorHAnsi" w:cstheme="minorHAnsi"/>
          <w:sz w:val="24"/>
          <w:szCs w:val="24"/>
        </w:rPr>
        <w:t>”</w:t>
      </w:r>
      <w:r w:rsidRPr="0040374F">
        <w:rPr>
          <w:rFonts w:asciiTheme="minorHAnsi" w:hAnsiTheme="minorHAnsi" w:cstheme="minorHAnsi"/>
          <w:sz w:val="24"/>
          <w:szCs w:val="24"/>
        </w:rPr>
        <w:t xml:space="preserve">. </w:t>
      </w:r>
      <w:r w:rsidR="0013151E">
        <w:rPr>
          <w:rFonts w:asciiTheme="minorHAnsi" w:hAnsiTheme="minorHAnsi" w:cstheme="minorHAnsi"/>
          <w:sz w:val="24"/>
          <w:szCs w:val="24"/>
        </w:rPr>
        <w:t xml:space="preserve">The PBAC noted that </w:t>
      </w:r>
      <w:r w:rsidR="00B62CD4">
        <w:rPr>
          <w:rFonts w:asciiTheme="minorHAnsi" w:hAnsiTheme="minorHAnsi" w:cstheme="minorHAnsi"/>
          <w:sz w:val="24"/>
          <w:szCs w:val="24"/>
        </w:rPr>
        <w:t>this would likely create a high level of uncertainty and may not be appropriate in managing risk around the proposed listing</w:t>
      </w:r>
      <w:r w:rsidR="00845EDE">
        <w:rPr>
          <w:rFonts w:asciiTheme="minorHAnsi" w:hAnsiTheme="minorHAnsi" w:cstheme="minorHAnsi"/>
          <w:sz w:val="24"/>
          <w:szCs w:val="24"/>
        </w:rPr>
        <w:t>.</w:t>
      </w:r>
    </w:p>
    <w:p w:rsidR="00813207" w:rsidRPr="003E7E2B" w:rsidRDefault="00813207" w:rsidP="00813207">
      <w:pPr>
        <w:pStyle w:val="PBACHeading1"/>
        <w:ind w:firstLine="0"/>
        <w:outlineLvl w:val="9"/>
        <w:rPr>
          <w:rFonts w:asciiTheme="minorHAnsi" w:hAnsiTheme="minorHAnsi" w:cstheme="minorHAnsi"/>
          <w:b w:val="0"/>
          <w:i/>
          <w:sz w:val="24"/>
          <w:szCs w:val="24"/>
        </w:rPr>
      </w:pPr>
      <w:r w:rsidRPr="003E7E2B">
        <w:rPr>
          <w:rFonts w:asciiTheme="minorHAnsi" w:hAnsiTheme="minorHAnsi" w:cstheme="minorHAnsi"/>
          <w:b w:val="0"/>
          <w:i/>
          <w:sz w:val="24"/>
          <w:szCs w:val="24"/>
        </w:rPr>
        <w:t>For more detail on PBAC’s view, see section 6 PBAC outcome.</w:t>
      </w:r>
    </w:p>
    <w:p w:rsidR="00813207" w:rsidRPr="003E7E2B" w:rsidRDefault="00813207" w:rsidP="0027241C">
      <w:pPr>
        <w:pStyle w:val="Heading1"/>
      </w:pPr>
      <w:r w:rsidRPr="003E7E2B">
        <w:t>PBAC Outcome</w:t>
      </w:r>
    </w:p>
    <w:p w:rsidR="00E6753B" w:rsidRPr="00AF0145" w:rsidRDefault="00327751" w:rsidP="00B131FD">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 xml:space="preserve">The PBAC recommended </w:t>
      </w:r>
      <w:r w:rsidR="00C36AC5" w:rsidRPr="00AF0145">
        <w:rPr>
          <w:rFonts w:asciiTheme="minorHAnsi" w:hAnsiTheme="minorHAnsi" w:cs="Arial"/>
          <w:bCs/>
          <w:snapToGrid w:val="0"/>
          <w:szCs w:val="22"/>
          <w:lang w:eastAsia="en-US"/>
        </w:rPr>
        <w:t>extending the</w:t>
      </w:r>
      <w:r w:rsidR="00AF01C2" w:rsidRPr="00AF0145">
        <w:rPr>
          <w:rFonts w:asciiTheme="minorHAnsi" w:hAnsiTheme="minorHAnsi" w:cs="Arial"/>
          <w:bCs/>
          <w:snapToGrid w:val="0"/>
          <w:szCs w:val="22"/>
          <w:lang w:eastAsia="en-US"/>
        </w:rPr>
        <w:t xml:space="preserve"> Section 100 (Efficient funding of chemotherapy) Authority Required (STREAMLINED)</w:t>
      </w:r>
      <w:r w:rsidR="002E7494" w:rsidRPr="00AF0145">
        <w:rPr>
          <w:rFonts w:asciiTheme="minorHAnsi" w:hAnsiTheme="minorHAnsi" w:cs="Arial"/>
          <w:bCs/>
          <w:snapToGrid w:val="0"/>
          <w:szCs w:val="22"/>
          <w:lang w:eastAsia="en-US"/>
        </w:rPr>
        <w:t xml:space="preserve"> </w:t>
      </w:r>
      <w:r w:rsidRPr="00AF0145">
        <w:rPr>
          <w:rFonts w:asciiTheme="minorHAnsi" w:hAnsiTheme="minorHAnsi" w:cs="Arial"/>
          <w:bCs/>
          <w:snapToGrid w:val="0"/>
          <w:szCs w:val="22"/>
          <w:lang w:eastAsia="en-US"/>
        </w:rPr>
        <w:t xml:space="preserve">listing </w:t>
      </w:r>
      <w:r w:rsidR="002E7494" w:rsidRPr="00AF0145">
        <w:rPr>
          <w:rFonts w:asciiTheme="minorHAnsi" w:hAnsiTheme="minorHAnsi" w:cs="Arial"/>
          <w:bCs/>
          <w:snapToGrid w:val="0"/>
          <w:szCs w:val="22"/>
          <w:lang w:eastAsia="en-US"/>
        </w:rPr>
        <w:t xml:space="preserve">of </w:t>
      </w:r>
      <w:r w:rsidR="002A0308" w:rsidRPr="00AF0145">
        <w:rPr>
          <w:rFonts w:asciiTheme="minorHAnsi" w:hAnsiTheme="minorHAnsi" w:cs="Arial"/>
          <w:bCs/>
          <w:snapToGrid w:val="0"/>
          <w:szCs w:val="22"/>
          <w:lang w:eastAsia="en-US"/>
        </w:rPr>
        <w:t>NIVO+IPI</w:t>
      </w:r>
      <w:r w:rsidRPr="00AF0145">
        <w:rPr>
          <w:rFonts w:asciiTheme="minorHAnsi" w:hAnsiTheme="minorHAnsi" w:cs="Arial"/>
          <w:bCs/>
          <w:snapToGrid w:val="0"/>
          <w:szCs w:val="22"/>
          <w:lang w:eastAsia="en-US"/>
        </w:rPr>
        <w:t xml:space="preserve"> </w:t>
      </w:r>
      <w:r w:rsidR="00C36AC5" w:rsidRPr="00AF0145">
        <w:rPr>
          <w:rFonts w:asciiTheme="minorHAnsi" w:hAnsiTheme="minorHAnsi" w:cs="Arial"/>
          <w:bCs/>
          <w:snapToGrid w:val="0"/>
          <w:szCs w:val="22"/>
          <w:lang w:eastAsia="en-US"/>
        </w:rPr>
        <w:t>to include</w:t>
      </w:r>
      <w:r w:rsidR="002E7494" w:rsidRPr="00AF0145">
        <w:rPr>
          <w:rFonts w:asciiTheme="minorHAnsi" w:hAnsiTheme="minorHAnsi" w:cs="Arial"/>
          <w:bCs/>
          <w:snapToGrid w:val="0"/>
          <w:szCs w:val="22"/>
          <w:lang w:eastAsia="en-US"/>
        </w:rPr>
        <w:t xml:space="preserve"> the fi</w:t>
      </w:r>
      <w:r w:rsidRPr="00AF0145">
        <w:rPr>
          <w:rFonts w:asciiTheme="minorHAnsi" w:hAnsiTheme="minorHAnsi" w:cs="Arial"/>
          <w:bCs/>
          <w:snapToGrid w:val="0"/>
          <w:szCs w:val="22"/>
          <w:lang w:eastAsia="en-US"/>
        </w:rPr>
        <w:t>rst-line treatment of Stage IV clear cell variant RCC</w:t>
      </w:r>
      <w:r w:rsidR="00E6753B" w:rsidRPr="00AF0145">
        <w:rPr>
          <w:rFonts w:asciiTheme="minorHAnsi" w:hAnsiTheme="minorHAnsi" w:cs="Arial"/>
          <w:bCs/>
          <w:snapToGrid w:val="0"/>
          <w:szCs w:val="22"/>
          <w:lang w:eastAsia="en-US"/>
        </w:rPr>
        <w:t xml:space="preserve"> in patients at intermediate to poor prognostic risk</w:t>
      </w:r>
      <w:r w:rsidRPr="00AF0145">
        <w:rPr>
          <w:rFonts w:asciiTheme="minorHAnsi" w:hAnsiTheme="minorHAnsi" w:cs="Arial"/>
          <w:bCs/>
          <w:snapToGrid w:val="0"/>
          <w:szCs w:val="22"/>
          <w:lang w:eastAsia="en-US"/>
        </w:rPr>
        <w:t xml:space="preserve">. The PBAC considered that the </w:t>
      </w:r>
      <w:r w:rsidR="003868A6" w:rsidRPr="00AF0145">
        <w:rPr>
          <w:rFonts w:asciiTheme="minorHAnsi" w:hAnsiTheme="minorHAnsi" w:cs="Arial"/>
          <w:bCs/>
          <w:snapToGrid w:val="0"/>
          <w:szCs w:val="22"/>
          <w:lang w:eastAsia="en-US"/>
        </w:rPr>
        <w:t xml:space="preserve">resubmission’s </w:t>
      </w:r>
      <w:r w:rsidRPr="00AF0145">
        <w:rPr>
          <w:rFonts w:asciiTheme="minorHAnsi" w:hAnsiTheme="minorHAnsi" w:cs="Arial"/>
          <w:bCs/>
          <w:snapToGrid w:val="0"/>
          <w:szCs w:val="22"/>
          <w:lang w:eastAsia="en-US"/>
        </w:rPr>
        <w:t xml:space="preserve">revised economic model parameters, utilisation estimates and risk-sharing arrangement helped to address many of its previous concerns. However, the PBAC advised that </w:t>
      </w:r>
      <w:r w:rsidR="00B131FD" w:rsidRPr="00B131FD">
        <w:rPr>
          <w:rFonts w:asciiTheme="minorHAnsi" w:hAnsiTheme="minorHAnsi" w:cs="Arial"/>
          <w:bCs/>
          <w:snapToGrid w:val="0"/>
          <w:szCs w:val="22"/>
          <w:lang w:eastAsia="en-US"/>
        </w:rPr>
        <w:t>a price reduction would be required to bring the estimated</w:t>
      </w:r>
      <w:r w:rsidR="00845EDE">
        <w:rPr>
          <w:rFonts w:asciiTheme="minorHAnsi" w:hAnsiTheme="minorHAnsi" w:cs="Arial"/>
          <w:bCs/>
          <w:snapToGrid w:val="0"/>
          <w:szCs w:val="22"/>
          <w:lang w:eastAsia="en-US"/>
        </w:rPr>
        <w:t xml:space="preserve"> ICER into an acceptable range.</w:t>
      </w:r>
    </w:p>
    <w:p w:rsidR="00813207" w:rsidRPr="006A5684" w:rsidRDefault="00813207" w:rsidP="0099761D">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 xml:space="preserve">The PBAC is satisfied that </w:t>
      </w:r>
      <w:r w:rsidR="00E6753B" w:rsidRPr="00AF0145">
        <w:rPr>
          <w:rFonts w:asciiTheme="minorHAnsi" w:hAnsiTheme="minorHAnsi" w:cs="Arial"/>
          <w:bCs/>
          <w:snapToGrid w:val="0"/>
          <w:szCs w:val="22"/>
          <w:lang w:eastAsia="en-US"/>
        </w:rPr>
        <w:t>NIVO+IPI</w:t>
      </w:r>
      <w:r w:rsidRPr="00AF0145">
        <w:rPr>
          <w:rFonts w:asciiTheme="minorHAnsi" w:hAnsiTheme="minorHAnsi" w:cs="Arial"/>
          <w:bCs/>
          <w:snapToGrid w:val="0"/>
          <w:szCs w:val="22"/>
          <w:lang w:eastAsia="en-US"/>
        </w:rPr>
        <w:t xml:space="preserve"> provides, for some patients, a significant improvement in efficacy over </w:t>
      </w:r>
      <w:r w:rsidR="00B14760" w:rsidRPr="00AF0145">
        <w:rPr>
          <w:rFonts w:asciiTheme="minorHAnsi" w:hAnsiTheme="minorHAnsi" w:cs="Arial"/>
          <w:bCs/>
          <w:snapToGrid w:val="0"/>
          <w:szCs w:val="22"/>
          <w:lang w:eastAsia="en-US"/>
        </w:rPr>
        <w:t>sunitinib</w:t>
      </w:r>
      <w:r w:rsidRPr="00AF0145">
        <w:rPr>
          <w:rFonts w:asciiTheme="minorHAnsi" w:hAnsiTheme="minorHAnsi" w:cs="Arial"/>
          <w:bCs/>
          <w:snapToGrid w:val="0"/>
          <w:szCs w:val="22"/>
          <w:lang w:eastAsia="en-US"/>
        </w:rPr>
        <w:t>.</w:t>
      </w:r>
      <w:r w:rsidR="0099761D">
        <w:rPr>
          <w:rFonts w:asciiTheme="minorHAnsi" w:hAnsiTheme="minorHAnsi" w:cs="Arial"/>
          <w:bCs/>
          <w:snapToGrid w:val="0"/>
          <w:szCs w:val="22"/>
          <w:lang w:eastAsia="en-US"/>
        </w:rPr>
        <w:t xml:space="preserve"> However, the PBAC considered that th</w:t>
      </w:r>
      <w:r w:rsidR="0099761D" w:rsidRPr="0099761D">
        <w:rPr>
          <w:rFonts w:asciiTheme="minorHAnsi" w:hAnsiTheme="minorHAnsi" w:cs="Arial"/>
          <w:bCs/>
          <w:snapToGrid w:val="0"/>
          <w:szCs w:val="22"/>
          <w:lang w:eastAsia="en-US"/>
        </w:rPr>
        <w:t>e magnitude of benefit obtained from the addition of ipilimumab to the combination with nivolumab remains uncertain</w:t>
      </w:r>
      <w:r w:rsidR="0099761D">
        <w:rPr>
          <w:rFonts w:asciiTheme="minorHAnsi" w:hAnsiTheme="minorHAnsi" w:cs="Arial"/>
          <w:bCs/>
          <w:snapToGrid w:val="0"/>
          <w:szCs w:val="22"/>
          <w:lang w:eastAsia="en-US"/>
        </w:rPr>
        <w:t>.</w:t>
      </w:r>
    </w:p>
    <w:p w:rsidR="00B14760" w:rsidRDefault="00E6753B" w:rsidP="00B14760">
      <w:pPr>
        <w:pStyle w:val="ListParagraph"/>
        <w:widowControl/>
        <w:numPr>
          <w:ilvl w:val="1"/>
          <w:numId w:val="5"/>
        </w:numPr>
        <w:spacing w:after="160"/>
        <w:contextualSpacing w:val="0"/>
        <w:rPr>
          <w:rFonts w:asciiTheme="minorHAnsi" w:hAnsiTheme="minorHAnsi"/>
          <w:bCs/>
          <w:sz w:val="24"/>
          <w:szCs w:val="22"/>
        </w:rPr>
      </w:pPr>
      <w:r w:rsidRPr="006A5684">
        <w:rPr>
          <w:rFonts w:asciiTheme="minorHAnsi" w:hAnsiTheme="minorHAnsi"/>
          <w:bCs/>
          <w:sz w:val="24"/>
          <w:szCs w:val="22"/>
        </w:rPr>
        <w:t>The PBAC reiterated its previous consideration that there is a high clinical need for effective first-line therapies for RCC, especially in the poor</w:t>
      </w:r>
      <w:r w:rsidR="00195306" w:rsidRPr="00195306">
        <w:rPr>
          <w:rFonts w:asciiTheme="minorHAnsi" w:hAnsiTheme="minorHAnsi"/>
          <w:bCs/>
          <w:szCs w:val="22"/>
        </w:rPr>
        <w:t xml:space="preserve"> </w:t>
      </w:r>
      <w:r w:rsidR="00195306" w:rsidRPr="00C82224">
        <w:rPr>
          <w:rFonts w:asciiTheme="minorHAnsi" w:hAnsiTheme="minorHAnsi"/>
          <w:bCs/>
          <w:szCs w:val="22"/>
        </w:rPr>
        <w:t xml:space="preserve">prognostic </w:t>
      </w:r>
      <w:r w:rsidRPr="006A5684">
        <w:rPr>
          <w:rFonts w:asciiTheme="minorHAnsi" w:hAnsiTheme="minorHAnsi"/>
          <w:bCs/>
          <w:sz w:val="24"/>
          <w:szCs w:val="22"/>
        </w:rPr>
        <w:t xml:space="preserve">risk patient </w:t>
      </w:r>
      <w:r w:rsidRPr="00AF0145">
        <w:rPr>
          <w:rFonts w:asciiTheme="minorHAnsi" w:hAnsiTheme="minorHAnsi"/>
          <w:bCs/>
          <w:sz w:val="24"/>
          <w:szCs w:val="22"/>
        </w:rPr>
        <w:t>population for whom no PBS-subsidised therapies are available.</w:t>
      </w:r>
    </w:p>
    <w:p w:rsidR="007A4C78" w:rsidRPr="00AF0145" w:rsidRDefault="007A4C78" w:rsidP="007A4C78">
      <w:pPr>
        <w:pStyle w:val="ListParagraph"/>
        <w:widowControl/>
        <w:spacing w:after="160"/>
        <w:contextualSpacing w:val="0"/>
        <w:rPr>
          <w:rFonts w:asciiTheme="minorHAnsi" w:hAnsiTheme="minorHAnsi"/>
          <w:bCs/>
          <w:sz w:val="24"/>
          <w:szCs w:val="22"/>
        </w:rPr>
      </w:pPr>
    </w:p>
    <w:p w:rsidR="007A4C78" w:rsidRDefault="007A4C78" w:rsidP="007A4C78">
      <w:pPr>
        <w:pStyle w:val="ListParagraph"/>
        <w:keepNext/>
        <w:numPr>
          <w:ilvl w:val="1"/>
          <w:numId w:val="5"/>
        </w:numPr>
        <w:rPr>
          <w:rFonts w:asciiTheme="minorHAnsi" w:hAnsiTheme="minorHAnsi"/>
          <w:bCs/>
          <w:sz w:val="24"/>
          <w:szCs w:val="24"/>
        </w:rPr>
      </w:pPr>
      <w:r w:rsidRPr="007A4C78">
        <w:rPr>
          <w:rFonts w:asciiTheme="minorHAnsi" w:hAnsiTheme="minorHAnsi"/>
          <w:bCs/>
          <w:sz w:val="24"/>
          <w:szCs w:val="24"/>
        </w:rPr>
        <w:lastRenderedPageBreak/>
        <w:t xml:space="preserve">The PBAC considered that the continuing restriction should state: “Patient must not have developed disease progression while being treated with this drug for this condition”. The criterion should not reference the RECIST criteria, consistent with the pivotal trial (CA209-214) and the nivolumab restrictions in other settings. The PBAC also recommended that flow-on changes be made to other restrictions for nivolumab in different lines of therapy and other indications as well as other PD-1 and PD-L1 inhibitors with similar indications to change the criterion “Patient must have stable or responding disease” to “Patient must not have developed disease progression while being treated with this drug for this condition”. </w:t>
      </w:r>
    </w:p>
    <w:p w:rsidR="007A4C78" w:rsidRPr="007A4C78" w:rsidRDefault="007A4C78" w:rsidP="007A4C78">
      <w:pPr>
        <w:pStyle w:val="ListParagraph"/>
        <w:rPr>
          <w:rFonts w:asciiTheme="minorHAnsi" w:hAnsiTheme="minorHAnsi"/>
          <w:bCs/>
          <w:sz w:val="24"/>
          <w:szCs w:val="24"/>
        </w:rPr>
      </w:pPr>
    </w:p>
    <w:p w:rsidR="00901F33" w:rsidRPr="00AF0145" w:rsidRDefault="00E6185E" w:rsidP="00901F33">
      <w:pPr>
        <w:numPr>
          <w:ilvl w:val="1"/>
          <w:numId w:val="5"/>
        </w:numPr>
        <w:spacing w:after="120"/>
        <w:jc w:val="both"/>
        <w:rPr>
          <w:rFonts w:asciiTheme="minorHAnsi" w:hAnsiTheme="minorHAnsi"/>
          <w:bCs/>
        </w:rPr>
      </w:pPr>
      <w:r w:rsidRPr="00AF0145">
        <w:rPr>
          <w:rFonts w:asciiTheme="minorHAnsi" w:hAnsiTheme="minorHAnsi"/>
          <w:bCs/>
        </w:rPr>
        <w:t xml:space="preserve">The PBAC noted that, with NIVO+IPI available in the first-line setting, </w:t>
      </w:r>
      <w:r w:rsidR="00901F33" w:rsidRPr="003E7E2B">
        <w:rPr>
          <w:rFonts w:asciiTheme="minorHAnsi" w:hAnsiTheme="minorHAnsi" w:cstheme="minorHAnsi"/>
        </w:rPr>
        <w:t>the treatment algorithm would change and many patients would receive TKI therapy second-line (rather than first-line). Thus, the PBAC considered</w:t>
      </w:r>
      <w:r w:rsidRPr="00AF0145">
        <w:rPr>
          <w:rFonts w:asciiTheme="minorHAnsi" w:hAnsiTheme="minorHAnsi"/>
          <w:bCs/>
        </w:rPr>
        <w:t xml:space="preserve"> that the PBS restrictions for </w:t>
      </w:r>
      <w:proofErr w:type="spellStart"/>
      <w:r w:rsidRPr="003E7E2B">
        <w:rPr>
          <w:rFonts w:asciiTheme="minorHAnsi" w:hAnsiTheme="minorHAnsi" w:cstheme="minorHAnsi"/>
        </w:rPr>
        <w:t>axitinib</w:t>
      </w:r>
      <w:proofErr w:type="spellEnd"/>
      <w:r w:rsidRPr="003E7E2B">
        <w:rPr>
          <w:rFonts w:asciiTheme="minorHAnsi" w:hAnsiTheme="minorHAnsi" w:cstheme="minorHAnsi"/>
        </w:rPr>
        <w:t xml:space="preserve">, </w:t>
      </w:r>
      <w:proofErr w:type="spellStart"/>
      <w:r w:rsidRPr="003E7E2B">
        <w:rPr>
          <w:rFonts w:asciiTheme="minorHAnsi" w:hAnsiTheme="minorHAnsi" w:cstheme="minorHAnsi"/>
        </w:rPr>
        <w:t>cabozantinib</w:t>
      </w:r>
      <w:proofErr w:type="spellEnd"/>
      <w:r w:rsidRPr="003E7E2B">
        <w:rPr>
          <w:rFonts w:asciiTheme="minorHAnsi" w:hAnsiTheme="minorHAnsi" w:cstheme="minorHAnsi"/>
        </w:rPr>
        <w:t xml:space="preserve">, sorafenib and everolimus </w:t>
      </w:r>
      <w:r w:rsidR="00901F33" w:rsidRPr="003E7E2B">
        <w:rPr>
          <w:rFonts w:asciiTheme="minorHAnsi" w:hAnsiTheme="minorHAnsi" w:cstheme="minorHAnsi"/>
        </w:rPr>
        <w:t xml:space="preserve">(which are used subsequent to TKIs) </w:t>
      </w:r>
      <w:r w:rsidRPr="003E7E2B">
        <w:rPr>
          <w:rFonts w:asciiTheme="minorHAnsi" w:hAnsiTheme="minorHAnsi" w:cstheme="minorHAnsi"/>
        </w:rPr>
        <w:t>should be amended</w:t>
      </w:r>
      <w:r w:rsidR="00901F33" w:rsidRPr="003E7E2B">
        <w:rPr>
          <w:rFonts w:asciiTheme="minorHAnsi" w:hAnsiTheme="minorHAnsi" w:cstheme="minorHAnsi"/>
        </w:rPr>
        <w:t xml:space="preserve"> to remove the requirement for </w:t>
      </w:r>
      <w:r w:rsidR="003868A6" w:rsidRPr="003C2660">
        <w:rPr>
          <w:rFonts w:asciiTheme="minorHAnsi" w:hAnsiTheme="minorHAnsi" w:cstheme="minorHAnsi"/>
        </w:rPr>
        <w:t xml:space="preserve">the </w:t>
      </w:r>
      <w:r w:rsidR="00901F33" w:rsidRPr="003C2660">
        <w:rPr>
          <w:rFonts w:asciiTheme="minorHAnsi" w:hAnsiTheme="minorHAnsi" w:cstheme="minorHAnsi"/>
        </w:rPr>
        <w:t>prior TKI therapy to have been in the first</w:t>
      </w:r>
      <w:r w:rsidR="003868A6" w:rsidRPr="003C2660">
        <w:rPr>
          <w:rFonts w:asciiTheme="minorHAnsi" w:hAnsiTheme="minorHAnsi" w:cstheme="minorHAnsi"/>
        </w:rPr>
        <w:t>-</w:t>
      </w:r>
      <w:r w:rsidR="00901F33" w:rsidRPr="003E7E2B">
        <w:rPr>
          <w:rFonts w:asciiTheme="minorHAnsi" w:hAnsiTheme="minorHAnsi" w:cstheme="minorHAnsi"/>
        </w:rPr>
        <w:t xml:space="preserve">line setting. </w:t>
      </w:r>
      <w:r w:rsidR="003C2C35">
        <w:rPr>
          <w:rFonts w:asciiTheme="minorHAnsi" w:hAnsiTheme="minorHAnsi" w:cstheme="minorHAnsi"/>
        </w:rPr>
        <w:t xml:space="preserve">The PBAC considered that this amendment should also be made to the existing restriction for nivolumab monotherapy for consistency. </w:t>
      </w:r>
      <w:r w:rsidR="00901F33" w:rsidRPr="003E7E2B">
        <w:rPr>
          <w:rFonts w:asciiTheme="minorHAnsi" w:hAnsiTheme="minorHAnsi" w:cstheme="minorHAnsi"/>
        </w:rPr>
        <w:t xml:space="preserve">The PBAC considered that patients </w:t>
      </w:r>
      <w:r w:rsidR="003868A6" w:rsidRPr="003E7E2B">
        <w:rPr>
          <w:rFonts w:asciiTheme="minorHAnsi" w:hAnsiTheme="minorHAnsi" w:cstheme="minorHAnsi"/>
        </w:rPr>
        <w:t>sh</w:t>
      </w:r>
      <w:r w:rsidR="00901F33" w:rsidRPr="003E7E2B">
        <w:rPr>
          <w:rFonts w:asciiTheme="minorHAnsi" w:hAnsiTheme="minorHAnsi" w:cstheme="minorHAnsi"/>
        </w:rPr>
        <w:t xml:space="preserve">ould still be required to have received prior TKI therapy before commencing </w:t>
      </w:r>
      <w:proofErr w:type="spellStart"/>
      <w:r w:rsidR="00901F33" w:rsidRPr="003E7E2B">
        <w:rPr>
          <w:rFonts w:asciiTheme="minorHAnsi" w:hAnsiTheme="minorHAnsi" w:cstheme="minorHAnsi"/>
        </w:rPr>
        <w:t>axitinib</w:t>
      </w:r>
      <w:proofErr w:type="spellEnd"/>
      <w:r w:rsidR="00901F33" w:rsidRPr="003E7E2B">
        <w:rPr>
          <w:rFonts w:asciiTheme="minorHAnsi" w:hAnsiTheme="minorHAnsi" w:cstheme="minorHAnsi"/>
        </w:rPr>
        <w:t xml:space="preserve">, </w:t>
      </w:r>
      <w:proofErr w:type="spellStart"/>
      <w:r w:rsidR="00901F33" w:rsidRPr="003E7E2B">
        <w:rPr>
          <w:rFonts w:asciiTheme="minorHAnsi" w:hAnsiTheme="minorHAnsi" w:cstheme="minorHAnsi"/>
        </w:rPr>
        <w:t>cabozantinib</w:t>
      </w:r>
      <w:proofErr w:type="spellEnd"/>
      <w:r w:rsidR="00901F33" w:rsidRPr="003E7E2B">
        <w:rPr>
          <w:rFonts w:asciiTheme="minorHAnsi" w:hAnsiTheme="minorHAnsi" w:cstheme="minorHAnsi"/>
        </w:rPr>
        <w:t>, sorafenib</w:t>
      </w:r>
      <w:r w:rsidR="003C2C35">
        <w:rPr>
          <w:rFonts w:asciiTheme="minorHAnsi" w:hAnsiTheme="minorHAnsi" w:cstheme="minorHAnsi"/>
        </w:rPr>
        <w:t>,</w:t>
      </w:r>
      <w:r w:rsidR="00901F33" w:rsidRPr="003E7E2B">
        <w:rPr>
          <w:rFonts w:asciiTheme="minorHAnsi" w:hAnsiTheme="minorHAnsi" w:cstheme="minorHAnsi"/>
        </w:rPr>
        <w:t xml:space="preserve"> everolimus</w:t>
      </w:r>
      <w:r w:rsidR="003C2C35">
        <w:rPr>
          <w:rFonts w:asciiTheme="minorHAnsi" w:hAnsiTheme="minorHAnsi" w:cstheme="minorHAnsi"/>
        </w:rPr>
        <w:t xml:space="preserve"> and nivolumab monotherapy</w:t>
      </w:r>
      <w:r w:rsidRPr="003E7E2B">
        <w:rPr>
          <w:rFonts w:asciiTheme="minorHAnsi" w:hAnsiTheme="minorHAnsi" w:cstheme="minorHAnsi"/>
        </w:rPr>
        <w:t xml:space="preserve"> </w:t>
      </w:r>
      <w:r w:rsidR="00901F33" w:rsidRPr="003E7E2B">
        <w:rPr>
          <w:rFonts w:asciiTheme="minorHAnsi" w:hAnsiTheme="minorHAnsi" w:cstheme="minorHAnsi"/>
        </w:rPr>
        <w:t>(i.e. the amendment just removes the requirement that the prior TKI therapy be in first-line).</w:t>
      </w:r>
    </w:p>
    <w:p w:rsidR="00901F33" w:rsidRPr="00AF0145" w:rsidRDefault="00901F33" w:rsidP="00901F33">
      <w:pPr>
        <w:numPr>
          <w:ilvl w:val="1"/>
          <w:numId w:val="5"/>
        </w:numPr>
        <w:spacing w:after="120"/>
        <w:jc w:val="both"/>
        <w:rPr>
          <w:rFonts w:asciiTheme="minorHAnsi" w:hAnsiTheme="minorHAnsi"/>
          <w:bCs/>
        </w:rPr>
      </w:pPr>
      <w:r w:rsidRPr="003E7E2B">
        <w:rPr>
          <w:rFonts w:asciiTheme="minorHAnsi" w:hAnsiTheme="minorHAnsi" w:cstheme="minorHAnsi"/>
        </w:rPr>
        <w:t>Further, the PBAC considered that patients who receive first-line NIVO+IPI (or other PD-1 or PD-L1 inhibitors) should not subsequently receive nivolumab monotherapy in a later line of therapy, as no evidence has been provided regarding the efficacy of</w:t>
      </w:r>
      <w:r w:rsidR="005E16B0" w:rsidRPr="003C2660">
        <w:rPr>
          <w:rFonts w:asciiTheme="minorHAnsi" w:hAnsiTheme="minorHAnsi" w:cstheme="minorHAnsi"/>
        </w:rPr>
        <w:t xml:space="preserve"> such use</w:t>
      </w:r>
      <w:r w:rsidRPr="003C2660">
        <w:rPr>
          <w:rFonts w:asciiTheme="minorHAnsi" w:hAnsiTheme="minorHAnsi" w:cstheme="minorHAnsi"/>
        </w:rPr>
        <w:t>. The PBAC noted that this would require an amendment to the existing later-line nivolumab monotherapy restriction.</w:t>
      </w:r>
    </w:p>
    <w:p w:rsidR="006674E5" w:rsidRPr="003E7E2B" w:rsidRDefault="006674E5" w:rsidP="0075328F">
      <w:pPr>
        <w:pStyle w:val="ListParagraph"/>
        <w:numPr>
          <w:ilvl w:val="1"/>
          <w:numId w:val="5"/>
        </w:numPr>
        <w:spacing w:after="120"/>
        <w:contextualSpacing w:val="0"/>
        <w:rPr>
          <w:rFonts w:asciiTheme="minorHAnsi" w:hAnsiTheme="minorHAnsi" w:cstheme="minorHAnsi"/>
          <w:snapToGrid/>
          <w:sz w:val="24"/>
          <w:szCs w:val="24"/>
          <w:lang w:eastAsia="en-AU"/>
        </w:rPr>
      </w:pPr>
      <w:r w:rsidRPr="003E7E2B">
        <w:rPr>
          <w:rFonts w:asciiTheme="minorHAnsi" w:hAnsiTheme="minorHAnsi" w:cstheme="minorHAnsi"/>
          <w:snapToGrid/>
          <w:sz w:val="24"/>
          <w:szCs w:val="24"/>
          <w:lang w:eastAsia="en-AU"/>
        </w:rPr>
        <w:t>The PBAC noted that, consistent with its previous advice, the proposed restriction was based on I</w:t>
      </w:r>
      <w:r w:rsidRPr="003C2660">
        <w:rPr>
          <w:rFonts w:asciiTheme="minorHAnsi" w:hAnsiTheme="minorHAnsi" w:cstheme="minorHAnsi"/>
          <w:snapToGrid/>
          <w:sz w:val="24"/>
          <w:szCs w:val="24"/>
          <w:lang w:eastAsia="en-AU"/>
        </w:rPr>
        <w:t>MDC criteria</w:t>
      </w:r>
      <w:r w:rsidR="007443F3" w:rsidRPr="003C2660">
        <w:rPr>
          <w:rFonts w:asciiTheme="minorHAnsi" w:hAnsiTheme="minorHAnsi" w:cstheme="minorHAnsi"/>
          <w:snapToGrid/>
          <w:sz w:val="24"/>
          <w:szCs w:val="24"/>
          <w:lang w:eastAsia="en-AU"/>
        </w:rPr>
        <w:t>,</w:t>
      </w:r>
      <w:r w:rsidRPr="003C2660">
        <w:rPr>
          <w:rFonts w:asciiTheme="minorHAnsi" w:hAnsiTheme="minorHAnsi" w:cstheme="minorHAnsi"/>
          <w:snapToGrid/>
          <w:sz w:val="24"/>
          <w:szCs w:val="24"/>
          <w:lang w:eastAsia="en-AU"/>
        </w:rPr>
        <w:t xml:space="preserve"> which reflects</w:t>
      </w:r>
      <w:r w:rsidR="00B14760" w:rsidRPr="003C2660">
        <w:rPr>
          <w:rFonts w:asciiTheme="minorHAnsi" w:hAnsiTheme="minorHAnsi" w:cstheme="minorHAnsi"/>
          <w:snapToGrid/>
          <w:sz w:val="24"/>
          <w:szCs w:val="24"/>
          <w:lang w:eastAsia="en-AU"/>
        </w:rPr>
        <w:t xml:space="preserve"> </w:t>
      </w:r>
      <w:r w:rsidRPr="003C2660">
        <w:rPr>
          <w:rFonts w:asciiTheme="minorHAnsi" w:hAnsiTheme="minorHAnsi" w:cstheme="minorHAnsi"/>
          <w:snapToGrid/>
          <w:sz w:val="24"/>
          <w:szCs w:val="24"/>
          <w:lang w:eastAsia="en-AU"/>
        </w:rPr>
        <w:t xml:space="preserve">current clinical practice where IMDC has superseded </w:t>
      </w:r>
      <w:r w:rsidR="007443F3" w:rsidRPr="003C2660">
        <w:rPr>
          <w:rFonts w:asciiTheme="minorHAnsi" w:hAnsiTheme="minorHAnsi" w:cstheme="minorHAnsi"/>
          <w:snapToGrid/>
          <w:sz w:val="24"/>
          <w:szCs w:val="24"/>
          <w:lang w:eastAsia="en-AU"/>
        </w:rPr>
        <w:t xml:space="preserve">the </w:t>
      </w:r>
      <w:r w:rsidRPr="003E7E2B">
        <w:rPr>
          <w:rFonts w:asciiTheme="minorHAnsi" w:hAnsiTheme="minorHAnsi" w:cstheme="minorHAnsi"/>
          <w:snapToGrid/>
          <w:sz w:val="24"/>
          <w:szCs w:val="24"/>
          <w:lang w:eastAsia="en-AU"/>
        </w:rPr>
        <w:t>MSKCC</w:t>
      </w:r>
      <w:r w:rsidR="007443F3" w:rsidRPr="003E7E2B">
        <w:rPr>
          <w:rFonts w:asciiTheme="minorHAnsi" w:hAnsiTheme="minorHAnsi" w:cstheme="minorHAnsi"/>
          <w:snapToGrid/>
          <w:sz w:val="24"/>
          <w:szCs w:val="24"/>
          <w:lang w:eastAsia="en-AU"/>
        </w:rPr>
        <w:t xml:space="preserve"> criteria</w:t>
      </w:r>
      <w:r w:rsidRPr="003E7E2B">
        <w:rPr>
          <w:rFonts w:asciiTheme="minorHAnsi" w:hAnsiTheme="minorHAnsi" w:cstheme="minorHAnsi"/>
          <w:snapToGrid/>
          <w:sz w:val="24"/>
          <w:szCs w:val="24"/>
          <w:lang w:eastAsia="en-AU"/>
        </w:rPr>
        <w:t xml:space="preserve">. The PBAC re-iterated its previous consideration that the current restrictions for sunitinib and </w:t>
      </w:r>
      <w:proofErr w:type="spellStart"/>
      <w:r w:rsidRPr="003E7E2B">
        <w:rPr>
          <w:rFonts w:asciiTheme="minorHAnsi" w:hAnsiTheme="minorHAnsi" w:cstheme="minorHAnsi"/>
          <w:snapToGrid/>
          <w:sz w:val="24"/>
          <w:szCs w:val="24"/>
          <w:lang w:eastAsia="en-AU"/>
        </w:rPr>
        <w:t>pazopanib</w:t>
      </w:r>
      <w:proofErr w:type="spellEnd"/>
      <w:r w:rsidRPr="003E7E2B">
        <w:rPr>
          <w:rFonts w:asciiTheme="minorHAnsi" w:hAnsiTheme="minorHAnsi" w:cstheme="minorHAnsi"/>
          <w:snapToGrid/>
          <w:sz w:val="24"/>
          <w:szCs w:val="24"/>
          <w:lang w:eastAsia="en-AU"/>
        </w:rPr>
        <w:t xml:space="preserve"> </w:t>
      </w:r>
      <w:r w:rsidR="00B14760" w:rsidRPr="003E7E2B">
        <w:rPr>
          <w:rFonts w:asciiTheme="minorHAnsi" w:hAnsiTheme="minorHAnsi" w:cstheme="minorHAnsi"/>
          <w:snapToGrid/>
          <w:sz w:val="24"/>
          <w:szCs w:val="24"/>
          <w:lang w:eastAsia="en-AU"/>
        </w:rPr>
        <w:t>sh</w:t>
      </w:r>
      <w:r w:rsidRPr="003E7E2B">
        <w:rPr>
          <w:rFonts w:asciiTheme="minorHAnsi" w:hAnsiTheme="minorHAnsi" w:cstheme="minorHAnsi"/>
          <w:snapToGrid/>
          <w:sz w:val="24"/>
          <w:szCs w:val="24"/>
          <w:lang w:eastAsia="en-AU"/>
        </w:rPr>
        <w:t xml:space="preserve">ould similarly be changed </w:t>
      </w:r>
      <w:r w:rsidR="007443F3" w:rsidRPr="003E7E2B">
        <w:rPr>
          <w:rFonts w:asciiTheme="minorHAnsi" w:hAnsiTheme="minorHAnsi" w:cstheme="minorHAnsi"/>
          <w:snapToGrid/>
          <w:sz w:val="24"/>
          <w:szCs w:val="24"/>
          <w:lang w:eastAsia="en-AU"/>
        </w:rPr>
        <w:t xml:space="preserve">from MSKCC </w:t>
      </w:r>
      <w:r w:rsidR="00845EDE">
        <w:rPr>
          <w:rFonts w:asciiTheme="minorHAnsi" w:hAnsiTheme="minorHAnsi" w:cstheme="minorHAnsi"/>
          <w:snapToGrid/>
          <w:sz w:val="24"/>
          <w:szCs w:val="24"/>
          <w:lang w:eastAsia="en-AU"/>
        </w:rPr>
        <w:t>to IMDC for consistency.</w:t>
      </w:r>
    </w:p>
    <w:p w:rsidR="0075328F" w:rsidRPr="00AF0145" w:rsidRDefault="0075328F" w:rsidP="00E6753B">
      <w:pPr>
        <w:pStyle w:val="ListParagraph"/>
        <w:numPr>
          <w:ilvl w:val="1"/>
          <w:numId w:val="5"/>
        </w:numPr>
        <w:spacing w:after="120"/>
        <w:contextualSpacing w:val="0"/>
        <w:rPr>
          <w:rFonts w:asciiTheme="minorHAnsi" w:eastAsiaTheme="minorHAnsi" w:hAnsiTheme="minorHAnsi" w:cstheme="minorBidi"/>
          <w:bCs/>
          <w:snapToGrid/>
          <w:sz w:val="24"/>
          <w:szCs w:val="22"/>
        </w:rPr>
      </w:pPr>
      <w:r w:rsidRPr="003E7E2B">
        <w:rPr>
          <w:rFonts w:asciiTheme="minorHAnsi" w:eastAsiaTheme="minorHAnsi" w:hAnsiTheme="minorHAnsi" w:cstheme="minorBidi"/>
          <w:snapToGrid/>
          <w:sz w:val="24"/>
          <w:szCs w:val="24"/>
        </w:rPr>
        <w:t>The PBAC recalled that it had previously considered that the claim of clinical superiority of NIVO+IPI versus sunitinib was adequately supported given the statistically significant improvement in OS observed in the pivotal trial, but considered that the magnitude of the benefit was difficult to quantify given the immaturity of the data. Further, t</w:t>
      </w:r>
      <w:r w:rsidRPr="003E7E2B">
        <w:rPr>
          <w:rFonts w:asciiTheme="minorHAnsi" w:hAnsiTheme="minorHAnsi"/>
          <w:sz w:val="24"/>
          <w:szCs w:val="24"/>
        </w:rPr>
        <w:t>he PBAC previously considered that NIVO+IPI was associated with inferior comparative safety versus sunitinib.</w:t>
      </w:r>
    </w:p>
    <w:p w:rsidR="00E6753B" w:rsidRPr="00AE5DA6" w:rsidRDefault="002A0308" w:rsidP="0075328F">
      <w:pPr>
        <w:pStyle w:val="ListParagraph"/>
        <w:numPr>
          <w:ilvl w:val="1"/>
          <w:numId w:val="5"/>
        </w:numPr>
        <w:spacing w:after="120"/>
        <w:contextualSpacing w:val="0"/>
        <w:rPr>
          <w:rFonts w:asciiTheme="minorHAnsi" w:hAnsiTheme="minorHAnsi"/>
          <w:bCs/>
          <w:sz w:val="24"/>
          <w:szCs w:val="22"/>
        </w:rPr>
      </w:pPr>
      <w:r w:rsidRPr="00AF0145">
        <w:rPr>
          <w:rFonts w:asciiTheme="minorHAnsi" w:hAnsiTheme="minorHAnsi"/>
          <w:bCs/>
          <w:sz w:val="24"/>
          <w:szCs w:val="22"/>
        </w:rPr>
        <w:t>T</w:t>
      </w:r>
      <w:r w:rsidR="00E6753B" w:rsidRPr="00AF0145">
        <w:rPr>
          <w:rFonts w:asciiTheme="minorHAnsi" w:hAnsiTheme="minorHAnsi"/>
          <w:bCs/>
          <w:sz w:val="24"/>
          <w:szCs w:val="22"/>
        </w:rPr>
        <w:t xml:space="preserve">he PBAC </w:t>
      </w:r>
      <w:r w:rsidRPr="00AF0145">
        <w:rPr>
          <w:rFonts w:asciiTheme="minorHAnsi" w:hAnsiTheme="minorHAnsi"/>
          <w:bCs/>
          <w:sz w:val="24"/>
          <w:szCs w:val="22"/>
        </w:rPr>
        <w:t>recalled its previous consideration</w:t>
      </w:r>
      <w:r w:rsidR="00E6753B" w:rsidRPr="00AF0145">
        <w:rPr>
          <w:rFonts w:asciiTheme="minorHAnsi" w:hAnsiTheme="minorHAnsi"/>
          <w:bCs/>
          <w:sz w:val="24"/>
          <w:szCs w:val="22"/>
        </w:rPr>
        <w:t xml:space="preserve"> that the adverse events associated with NIVO+IPI may be challenging to manage outside major tertiary centres (e.g. in more rural and remote settings and private hospitals). The </w:t>
      </w:r>
      <w:r w:rsidR="00E6753B" w:rsidRPr="00AE5DA6">
        <w:rPr>
          <w:rFonts w:asciiTheme="minorHAnsi" w:hAnsiTheme="minorHAnsi"/>
          <w:bCs/>
          <w:sz w:val="24"/>
          <w:szCs w:val="22"/>
        </w:rPr>
        <w:t xml:space="preserve">PBAC </w:t>
      </w:r>
      <w:r w:rsidRPr="00AE5DA6">
        <w:rPr>
          <w:rFonts w:asciiTheme="minorHAnsi" w:hAnsiTheme="minorHAnsi"/>
          <w:bCs/>
          <w:sz w:val="24"/>
          <w:szCs w:val="22"/>
        </w:rPr>
        <w:t xml:space="preserve">reiterated its previous </w:t>
      </w:r>
      <w:r w:rsidR="006600EF">
        <w:rPr>
          <w:rFonts w:asciiTheme="minorHAnsi" w:hAnsiTheme="minorHAnsi"/>
          <w:bCs/>
          <w:sz w:val="24"/>
          <w:szCs w:val="22"/>
        </w:rPr>
        <w:t>view</w:t>
      </w:r>
      <w:r w:rsidR="006600EF" w:rsidRPr="00AE5DA6">
        <w:rPr>
          <w:rFonts w:asciiTheme="minorHAnsi" w:hAnsiTheme="minorHAnsi"/>
          <w:bCs/>
          <w:sz w:val="24"/>
          <w:szCs w:val="22"/>
        </w:rPr>
        <w:t xml:space="preserve"> </w:t>
      </w:r>
      <w:r w:rsidR="00E6753B" w:rsidRPr="00AE5DA6">
        <w:rPr>
          <w:rFonts w:asciiTheme="minorHAnsi" w:hAnsiTheme="minorHAnsi"/>
          <w:bCs/>
          <w:sz w:val="24"/>
          <w:szCs w:val="22"/>
        </w:rPr>
        <w:t>that there was a need for access to immune-modulating rescue therapies in these settings, for example infliximab for treatment-induced colitis</w:t>
      </w:r>
      <w:r w:rsidRPr="00AE5DA6">
        <w:rPr>
          <w:rFonts w:asciiTheme="minorHAnsi" w:hAnsiTheme="minorHAnsi"/>
          <w:bCs/>
          <w:sz w:val="24"/>
          <w:szCs w:val="22"/>
        </w:rPr>
        <w:t>,</w:t>
      </w:r>
      <w:r w:rsidR="00E6753B" w:rsidRPr="00AE5DA6">
        <w:rPr>
          <w:rFonts w:asciiTheme="minorHAnsi" w:hAnsiTheme="minorHAnsi"/>
          <w:bCs/>
          <w:sz w:val="24"/>
          <w:szCs w:val="22"/>
        </w:rPr>
        <w:t xml:space="preserve"> which are not currently PBS-funded for this indication nor routinely available on hospital </w:t>
      </w:r>
      <w:r w:rsidR="00E6753B" w:rsidRPr="00AE5DA6">
        <w:rPr>
          <w:rFonts w:asciiTheme="minorHAnsi" w:hAnsiTheme="minorHAnsi"/>
          <w:bCs/>
          <w:sz w:val="24"/>
          <w:szCs w:val="22"/>
        </w:rPr>
        <w:lastRenderedPageBreak/>
        <w:t>formularies.</w:t>
      </w:r>
    </w:p>
    <w:p w:rsidR="007443F3" w:rsidRPr="00AF0145" w:rsidRDefault="007443F3" w:rsidP="00800AB2">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 xml:space="preserve">The PBAC recalled that </w:t>
      </w:r>
      <w:r w:rsidR="00497AD7" w:rsidRPr="00AF0145">
        <w:rPr>
          <w:rFonts w:asciiTheme="minorHAnsi" w:hAnsiTheme="minorHAnsi" w:cs="Arial"/>
          <w:bCs/>
          <w:snapToGrid w:val="0"/>
          <w:szCs w:val="22"/>
          <w:lang w:eastAsia="en-US"/>
        </w:rPr>
        <w:t>it previously</w:t>
      </w:r>
      <w:r w:rsidRPr="00AF0145">
        <w:rPr>
          <w:rFonts w:asciiTheme="minorHAnsi" w:hAnsiTheme="minorHAnsi" w:cs="Arial"/>
          <w:bCs/>
          <w:snapToGrid w:val="0"/>
          <w:szCs w:val="22"/>
          <w:lang w:eastAsia="en-US"/>
        </w:rPr>
        <w:t xml:space="preserve"> considered that the </w:t>
      </w:r>
      <w:r w:rsidR="00800AB2" w:rsidRPr="00AF0145">
        <w:rPr>
          <w:rFonts w:asciiTheme="minorHAnsi" w:hAnsiTheme="minorHAnsi" w:cs="Arial"/>
          <w:bCs/>
          <w:snapToGrid w:val="0"/>
          <w:szCs w:val="22"/>
          <w:lang w:eastAsia="en-US"/>
        </w:rPr>
        <w:t>ICER/QALY was uncertain and overly optimistic due to:</w:t>
      </w:r>
    </w:p>
    <w:p w:rsidR="00800AB2" w:rsidRPr="00AF0145" w:rsidRDefault="00800AB2" w:rsidP="00747110">
      <w:pPr>
        <w:pStyle w:val="ListParagraph"/>
        <w:numPr>
          <w:ilvl w:val="0"/>
          <w:numId w:val="22"/>
        </w:numPr>
        <w:ind w:left="1276" w:hanging="284"/>
        <w:contextualSpacing w:val="0"/>
        <w:rPr>
          <w:rFonts w:asciiTheme="minorHAnsi" w:hAnsiTheme="minorHAnsi"/>
          <w:bCs/>
          <w:sz w:val="24"/>
          <w:szCs w:val="24"/>
        </w:rPr>
      </w:pPr>
      <w:r w:rsidRPr="003E7E2B">
        <w:rPr>
          <w:rFonts w:asciiTheme="minorHAnsi" w:hAnsiTheme="minorHAnsi"/>
          <w:sz w:val="24"/>
          <w:szCs w:val="24"/>
        </w:rPr>
        <w:t>The assumption of proportional hazards from the mean duration of follow-up to five years. As requested by the PBAC</w:t>
      </w:r>
      <w:r w:rsidR="00E61C0C" w:rsidRPr="003E7E2B">
        <w:rPr>
          <w:rFonts w:asciiTheme="minorHAnsi" w:hAnsiTheme="minorHAnsi"/>
          <w:sz w:val="24"/>
          <w:szCs w:val="24"/>
        </w:rPr>
        <w:t xml:space="preserve"> in July 2018</w:t>
      </w:r>
      <w:r w:rsidRPr="003E7E2B">
        <w:rPr>
          <w:rFonts w:asciiTheme="minorHAnsi" w:hAnsiTheme="minorHAnsi"/>
          <w:sz w:val="24"/>
          <w:szCs w:val="24"/>
        </w:rPr>
        <w:t xml:space="preserve">, the resubmission assumed that convergence of the OS (and PFS) curves begins at </w:t>
      </w:r>
      <w:r w:rsidR="00B76982">
        <w:rPr>
          <w:rFonts w:asciiTheme="minorHAnsi" w:hAnsiTheme="minorHAnsi"/>
          <w:noProof/>
          <w:color w:val="000000"/>
          <w:sz w:val="24"/>
          <w:szCs w:val="24"/>
          <w:highlight w:val="black"/>
        </w:rPr>
        <w:t>'''''</w:t>
      </w:r>
      <w:r w:rsidRPr="000F3F2F">
        <w:rPr>
          <w:rFonts w:asciiTheme="minorHAnsi" w:hAnsiTheme="minorHAnsi"/>
          <w:sz w:val="24"/>
          <w:szCs w:val="24"/>
        </w:rPr>
        <w:t xml:space="preserve"> </w:t>
      </w:r>
      <w:r w:rsidRPr="003E7E2B">
        <w:rPr>
          <w:rFonts w:asciiTheme="minorHAnsi" w:hAnsiTheme="minorHAnsi"/>
          <w:sz w:val="24"/>
          <w:szCs w:val="24"/>
        </w:rPr>
        <w:t>months</w:t>
      </w:r>
      <w:r w:rsidR="003E2ECC" w:rsidRPr="003E7E2B">
        <w:rPr>
          <w:rFonts w:asciiTheme="minorHAnsi" w:hAnsiTheme="minorHAnsi"/>
          <w:sz w:val="24"/>
          <w:szCs w:val="24"/>
        </w:rPr>
        <w:t>.</w:t>
      </w:r>
    </w:p>
    <w:p w:rsidR="00800AB2" w:rsidRPr="00AF0145" w:rsidRDefault="00800AB2" w:rsidP="00747110">
      <w:pPr>
        <w:pStyle w:val="ListParagraph"/>
        <w:numPr>
          <w:ilvl w:val="0"/>
          <w:numId w:val="22"/>
        </w:numPr>
        <w:ind w:left="1276" w:hanging="284"/>
        <w:contextualSpacing w:val="0"/>
        <w:rPr>
          <w:rFonts w:asciiTheme="minorHAnsi" w:hAnsiTheme="minorHAnsi"/>
          <w:bCs/>
          <w:sz w:val="24"/>
          <w:szCs w:val="24"/>
        </w:rPr>
      </w:pPr>
      <w:r w:rsidRPr="00AF0145">
        <w:rPr>
          <w:rFonts w:asciiTheme="minorHAnsi" w:hAnsiTheme="minorHAnsi"/>
          <w:bCs/>
          <w:sz w:val="24"/>
          <w:szCs w:val="24"/>
        </w:rPr>
        <w:t xml:space="preserve">The </w:t>
      </w:r>
      <w:r w:rsidR="00497AD7" w:rsidRPr="00AF0145">
        <w:rPr>
          <w:rFonts w:asciiTheme="minorHAnsi" w:hAnsiTheme="minorHAnsi"/>
          <w:bCs/>
          <w:sz w:val="24"/>
          <w:szCs w:val="24"/>
        </w:rPr>
        <w:t xml:space="preserve">use of </w:t>
      </w:r>
      <w:r w:rsidR="00497AD7" w:rsidRPr="000F3F2F">
        <w:rPr>
          <w:rFonts w:asciiTheme="minorHAnsi" w:hAnsiTheme="minorHAnsi"/>
          <w:bCs/>
          <w:sz w:val="24"/>
          <w:szCs w:val="24"/>
        </w:rPr>
        <w:t xml:space="preserve">a </w:t>
      </w:r>
      <w:r w:rsidR="00B76982">
        <w:rPr>
          <w:rFonts w:asciiTheme="minorHAnsi" w:hAnsiTheme="minorHAnsi"/>
          <w:bCs/>
          <w:noProof/>
          <w:color w:val="000000"/>
          <w:sz w:val="24"/>
          <w:szCs w:val="24"/>
          <w:highlight w:val="black"/>
        </w:rPr>
        <w:t>'''''</w:t>
      </w:r>
      <w:r w:rsidRPr="000F3F2F">
        <w:rPr>
          <w:rFonts w:asciiTheme="minorHAnsi" w:hAnsiTheme="minorHAnsi"/>
          <w:bCs/>
          <w:sz w:val="24"/>
          <w:szCs w:val="24"/>
        </w:rPr>
        <w:t xml:space="preserve"> </w:t>
      </w:r>
      <w:r w:rsidRPr="00AF0145">
        <w:rPr>
          <w:rFonts w:asciiTheme="minorHAnsi" w:hAnsiTheme="minorHAnsi"/>
          <w:bCs/>
          <w:sz w:val="24"/>
          <w:szCs w:val="24"/>
        </w:rPr>
        <w:t xml:space="preserve">year time horizon. </w:t>
      </w:r>
      <w:r w:rsidRPr="003E7E2B">
        <w:rPr>
          <w:rFonts w:asciiTheme="minorHAnsi" w:hAnsiTheme="minorHAnsi"/>
          <w:sz w:val="24"/>
          <w:szCs w:val="24"/>
        </w:rPr>
        <w:t>As requested by the PBAC</w:t>
      </w:r>
      <w:r w:rsidR="00E61C0C" w:rsidRPr="003E7E2B">
        <w:rPr>
          <w:rFonts w:asciiTheme="minorHAnsi" w:hAnsiTheme="minorHAnsi"/>
          <w:sz w:val="24"/>
          <w:szCs w:val="24"/>
        </w:rPr>
        <w:t xml:space="preserve"> in July 2018</w:t>
      </w:r>
      <w:r w:rsidRPr="003E7E2B">
        <w:rPr>
          <w:rFonts w:asciiTheme="minorHAnsi" w:hAnsiTheme="minorHAnsi"/>
          <w:sz w:val="24"/>
          <w:szCs w:val="24"/>
        </w:rPr>
        <w:t>, the resubmission a</w:t>
      </w:r>
      <w:r w:rsidR="00747110" w:rsidRPr="003E7E2B">
        <w:rPr>
          <w:rFonts w:asciiTheme="minorHAnsi" w:hAnsiTheme="minorHAnsi"/>
          <w:sz w:val="24"/>
          <w:szCs w:val="24"/>
        </w:rPr>
        <w:t>ppli</w:t>
      </w:r>
      <w:r w:rsidRPr="003E7E2B">
        <w:rPr>
          <w:rFonts w:asciiTheme="minorHAnsi" w:hAnsiTheme="minorHAnsi"/>
          <w:sz w:val="24"/>
          <w:szCs w:val="24"/>
        </w:rPr>
        <w:t xml:space="preserve">ed a time horizon of </w:t>
      </w:r>
      <w:r w:rsidR="00B76982">
        <w:rPr>
          <w:rFonts w:asciiTheme="minorHAnsi" w:hAnsiTheme="minorHAnsi"/>
          <w:noProof/>
          <w:color w:val="000000"/>
          <w:sz w:val="24"/>
          <w:szCs w:val="24"/>
          <w:highlight w:val="black"/>
        </w:rPr>
        <w:t>'''''''</w:t>
      </w:r>
      <w:r w:rsidRPr="000F3F2F">
        <w:rPr>
          <w:rFonts w:asciiTheme="minorHAnsi" w:hAnsiTheme="minorHAnsi"/>
          <w:sz w:val="24"/>
          <w:szCs w:val="24"/>
        </w:rPr>
        <w:t xml:space="preserve"> </w:t>
      </w:r>
      <w:r w:rsidRPr="003E7E2B">
        <w:rPr>
          <w:rFonts w:asciiTheme="minorHAnsi" w:hAnsiTheme="minorHAnsi"/>
          <w:sz w:val="24"/>
          <w:szCs w:val="24"/>
        </w:rPr>
        <w:t>years</w:t>
      </w:r>
      <w:r w:rsidR="003E2ECC" w:rsidRPr="003C2660">
        <w:rPr>
          <w:rFonts w:asciiTheme="minorHAnsi" w:hAnsiTheme="minorHAnsi"/>
          <w:sz w:val="24"/>
          <w:szCs w:val="24"/>
        </w:rPr>
        <w:t>.</w:t>
      </w:r>
    </w:p>
    <w:p w:rsidR="005E16B0" w:rsidRPr="00AF0145" w:rsidRDefault="00747110" w:rsidP="00747110">
      <w:pPr>
        <w:pStyle w:val="ListParagraph"/>
        <w:numPr>
          <w:ilvl w:val="0"/>
          <w:numId w:val="22"/>
        </w:numPr>
        <w:spacing w:after="120"/>
        <w:ind w:left="1276" w:hanging="284"/>
        <w:contextualSpacing w:val="0"/>
        <w:rPr>
          <w:rFonts w:asciiTheme="minorHAnsi" w:hAnsiTheme="minorHAnsi"/>
          <w:bCs/>
          <w:sz w:val="24"/>
          <w:szCs w:val="24"/>
        </w:rPr>
      </w:pPr>
      <w:r w:rsidRPr="00AF0145">
        <w:rPr>
          <w:rFonts w:asciiTheme="minorHAnsi" w:hAnsiTheme="minorHAnsi"/>
          <w:bCs/>
          <w:sz w:val="24"/>
          <w:szCs w:val="24"/>
        </w:rPr>
        <w:t>T</w:t>
      </w:r>
      <w:r w:rsidR="00240282" w:rsidRPr="00AF0145">
        <w:rPr>
          <w:rFonts w:asciiTheme="minorHAnsi" w:hAnsiTheme="minorHAnsi"/>
          <w:bCs/>
          <w:sz w:val="24"/>
          <w:szCs w:val="24"/>
        </w:rPr>
        <w:t xml:space="preserve">he utility estimates were similar to population norms and </w:t>
      </w:r>
      <w:r w:rsidR="00497AD7" w:rsidRPr="00AF0145">
        <w:rPr>
          <w:rFonts w:asciiTheme="minorHAnsi" w:hAnsiTheme="minorHAnsi"/>
          <w:bCs/>
          <w:sz w:val="24"/>
          <w:szCs w:val="24"/>
        </w:rPr>
        <w:t xml:space="preserve">the PBAC </w:t>
      </w:r>
      <w:r w:rsidR="00E61C0C" w:rsidRPr="00AF0145">
        <w:rPr>
          <w:rFonts w:asciiTheme="minorHAnsi" w:hAnsiTheme="minorHAnsi"/>
          <w:bCs/>
          <w:sz w:val="24"/>
          <w:szCs w:val="24"/>
        </w:rPr>
        <w:t xml:space="preserve">(in </w:t>
      </w:r>
      <w:r w:rsidR="00E61C0C" w:rsidRPr="003E7E2B">
        <w:rPr>
          <w:rFonts w:asciiTheme="minorHAnsi" w:hAnsiTheme="minorHAnsi"/>
          <w:sz w:val="24"/>
          <w:szCs w:val="24"/>
        </w:rPr>
        <w:t xml:space="preserve">July 2018) </w:t>
      </w:r>
      <w:r w:rsidR="00E61C0C" w:rsidRPr="00AF0145">
        <w:rPr>
          <w:rFonts w:asciiTheme="minorHAnsi" w:hAnsiTheme="minorHAnsi"/>
          <w:bCs/>
          <w:sz w:val="24"/>
          <w:szCs w:val="24"/>
        </w:rPr>
        <w:t xml:space="preserve">had </w:t>
      </w:r>
      <w:r w:rsidR="00497AD7" w:rsidRPr="00AF0145">
        <w:rPr>
          <w:rFonts w:asciiTheme="minorHAnsi" w:hAnsiTheme="minorHAnsi"/>
          <w:bCs/>
          <w:sz w:val="24"/>
          <w:szCs w:val="24"/>
        </w:rPr>
        <w:t xml:space="preserve">considered it was unlikely that patients in the progressed disease health </w:t>
      </w:r>
      <w:r w:rsidR="00497AD7" w:rsidRPr="008F703F">
        <w:rPr>
          <w:rFonts w:asciiTheme="minorHAnsi" w:hAnsiTheme="minorHAnsi"/>
          <w:bCs/>
          <w:sz w:val="24"/>
          <w:szCs w:val="24"/>
        </w:rPr>
        <w:t xml:space="preserve">state would experience a utility </w:t>
      </w:r>
      <w:r w:rsidR="001C3D12" w:rsidRPr="008F703F">
        <w:rPr>
          <w:rFonts w:asciiTheme="minorHAnsi" w:hAnsiTheme="minorHAnsi"/>
          <w:bCs/>
          <w:sz w:val="24"/>
          <w:szCs w:val="24"/>
        </w:rPr>
        <w:t>of</w:t>
      </w:r>
      <w:r w:rsidR="00497AD7" w:rsidRPr="008F703F">
        <w:rPr>
          <w:rFonts w:asciiTheme="minorHAnsi" w:hAnsiTheme="minorHAnsi"/>
          <w:bCs/>
          <w:sz w:val="24"/>
          <w:szCs w:val="24"/>
        </w:rPr>
        <w:t xml:space="preserve"> </w:t>
      </w:r>
      <w:r w:rsidR="00B76982">
        <w:rPr>
          <w:rFonts w:asciiTheme="minorHAnsi" w:hAnsiTheme="minorHAnsi"/>
          <w:bCs/>
          <w:noProof/>
          <w:color w:val="000000"/>
          <w:sz w:val="24"/>
          <w:szCs w:val="24"/>
          <w:highlight w:val="black"/>
        </w:rPr>
        <w:t xml:space="preserve">'''''''' </w:t>
      </w:r>
      <w:r w:rsidR="00497AD7" w:rsidRPr="008F703F">
        <w:rPr>
          <w:rFonts w:asciiTheme="minorHAnsi" w:hAnsiTheme="minorHAnsi"/>
          <w:bCs/>
          <w:sz w:val="24"/>
          <w:szCs w:val="24"/>
        </w:rPr>
        <w:t xml:space="preserve">consistently over the model time horizon (or </w:t>
      </w:r>
      <w:r w:rsidR="00B76982">
        <w:rPr>
          <w:rFonts w:asciiTheme="minorHAnsi" w:hAnsiTheme="minorHAnsi"/>
          <w:bCs/>
          <w:noProof/>
          <w:color w:val="000000"/>
          <w:sz w:val="24"/>
          <w:szCs w:val="24"/>
          <w:highlight w:val="black"/>
        </w:rPr>
        <w:t>'''''''''</w:t>
      </w:r>
      <w:r w:rsidR="00497AD7" w:rsidRPr="008F703F">
        <w:rPr>
          <w:rFonts w:asciiTheme="minorHAnsi" w:hAnsiTheme="minorHAnsi"/>
          <w:bCs/>
          <w:sz w:val="24"/>
          <w:szCs w:val="24"/>
        </w:rPr>
        <w:t xml:space="preserve"> in the sunitinib arm)</w:t>
      </w:r>
      <w:r w:rsidR="00240282" w:rsidRPr="008F703F">
        <w:rPr>
          <w:rFonts w:asciiTheme="minorHAnsi" w:hAnsiTheme="minorHAnsi"/>
          <w:bCs/>
          <w:sz w:val="24"/>
          <w:szCs w:val="24"/>
        </w:rPr>
        <w:t xml:space="preserve">. </w:t>
      </w:r>
      <w:r w:rsidR="005E16B0" w:rsidRPr="008F703F">
        <w:rPr>
          <w:rFonts w:asciiTheme="minorHAnsi" w:hAnsiTheme="minorHAnsi"/>
          <w:bCs/>
          <w:sz w:val="24"/>
          <w:szCs w:val="24"/>
        </w:rPr>
        <w:t>The PBAC noted that the resubmission had reduced the utility value applied in the progressed disease health state</w:t>
      </w:r>
      <w:r w:rsidR="005E16B0" w:rsidRPr="008F703F">
        <w:rPr>
          <w:rFonts w:asciiTheme="minorHAnsi" w:hAnsiTheme="minorHAnsi"/>
          <w:sz w:val="24"/>
          <w:szCs w:val="24"/>
        </w:rPr>
        <w:t xml:space="preserve"> to </w:t>
      </w:r>
      <w:r w:rsidR="00B76982">
        <w:rPr>
          <w:rFonts w:asciiTheme="minorHAnsi" w:hAnsiTheme="minorHAnsi"/>
          <w:noProof/>
          <w:color w:val="000000"/>
          <w:sz w:val="24"/>
          <w:szCs w:val="24"/>
          <w:highlight w:val="black"/>
        </w:rPr>
        <w:t>'''''''''</w:t>
      </w:r>
      <w:r w:rsidR="005E16B0" w:rsidRPr="008F703F">
        <w:rPr>
          <w:rFonts w:asciiTheme="minorHAnsi" w:hAnsiTheme="minorHAnsi"/>
          <w:sz w:val="24"/>
          <w:szCs w:val="24"/>
        </w:rPr>
        <w:t xml:space="preserve"> based on the utility value from the March 2017 submission for NIVO in the</w:t>
      </w:r>
      <w:r w:rsidR="005E16B0" w:rsidRPr="003E7E2B">
        <w:rPr>
          <w:rFonts w:asciiTheme="minorHAnsi" w:hAnsiTheme="minorHAnsi"/>
          <w:sz w:val="24"/>
          <w:szCs w:val="24"/>
        </w:rPr>
        <w:t xml:space="preserve"> second-line RCC setting</w:t>
      </w:r>
      <w:r w:rsidR="005E16B0" w:rsidRPr="00AF0145">
        <w:rPr>
          <w:rFonts w:asciiTheme="minorHAnsi" w:hAnsiTheme="minorHAnsi"/>
          <w:bCs/>
          <w:sz w:val="24"/>
          <w:szCs w:val="24"/>
        </w:rPr>
        <w:t>.</w:t>
      </w:r>
      <w:r w:rsidR="005E16B0" w:rsidRPr="003E7E2B">
        <w:rPr>
          <w:rFonts w:asciiTheme="minorHAnsi" w:hAnsiTheme="minorHAnsi"/>
          <w:sz w:val="24"/>
          <w:szCs w:val="24"/>
        </w:rPr>
        <w:t xml:space="preserve"> </w:t>
      </w:r>
      <w:r w:rsidR="00915CD5">
        <w:rPr>
          <w:rFonts w:asciiTheme="minorHAnsi" w:hAnsiTheme="minorHAnsi"/>
          <w:bCs/>
          <w:sz w:val="24"/>
          <w:szCs w:val="24"/>
        </w:rPr>
        <w:t>T</w:t>
      </w:r>
      <w:r w:rsidR="00A202C3" w:rsidRPr="00AF0145">
        <w:rPr>
          <w:rFonts w:asciiTheme="minorHAnsi" w:hAnsiTheme="minorHAnsi"/>
          <w:bCs/>
          <w:sz w:val="24"/>
          <w:szCs w:val="24"/>
        </w:rPr>
        <w:t xml:space="preserve">he PBAC considered the utility values applied in </w:t>
      </w:r>
      <w:r w:rsidR="000E66D1">
        <w:rPr>
          <w:rFonts w:asciiTheme="minorHAnsi" w:hAnsiTheme="minorHAnsi"/>
          <w:bCs/>
          <w:sz w:val="24"/>
          <w:szCs w:val="24"/>
        </w:rPr>
        <w:t>the resubmission remained high.</w:t>
      </w:r>
    </w:p>
    <w:p w:rsidR="00747110" w:rsidRPr="003C2660" w:rsidRDefault="00747110" w:rsidP="00747110">
      <w:pPr>
        <w:pStyle w:val="ListParagraph"/>
        <w:numPr>
          <w:ilvl w:val="1"/>
          <w:numId w:val="5"/>
        </w:numPr>
        <w:spacing w:after="120"/>
        <w:contextualSpacing w:val="0"/>
        <w:rPr>
          <w:rFonts w:asciiTheme="minorHAnsi" w:eastAsiaTheme="majorEastAsia" w:hAnsiTheme="minorHAnsi" w:cstheme="minorHAnsi"/>
          <w:sz w:val="24"/>
          <w:szCs w:val="24"/>
        </w:rPr>
      </w:pPr>
      <w:r w:rsidRPr="003E7E2B">
        <w:rPr>
          <w:rFonts w:asciiTheme="minorHAnsi" w:eastAsiaTheme="majorEastAsia" w:hAnsiTheme="minorHAnsi" w:cstheme="majorBidi"/>
          <w:sz w:val="24"/>
          <w:szCs w:val="24"/>
        </w:rPr>
        <w:t xml:space="preserve">The PBAC noted that the ICER would be </w:t>
      </w:r>
      <w:r w:rsidR="00A93C33">
        <w:rPr>
          <w:rFonts w:asciiTheme="minorHAnsi" w:eastAsiaTheme="majorEastAsia" w:hAnsiTheme="minorHAnsi" w:cstheme="majorBidi"/>
          <w:sz w:val="24"/>
          <w:szCs w:val="24"/>
        </w:rPr>
        <w:t>$45,000/QALY – $75,000/QALY</w:t>
      </w:r>
      <w:r w:rsidR="005E0B44" w:rsidRPr="003E7E2B">
        <w:rPr>
          <w:rFonts w:asciiTheme="minorHAnsi" w:eastAsiaTheme="majorEastAsia" w:hAnsiTheme="minorHAnsi" w:cstheme="majorBidi"/>
          <w:sz w:val="24"/>
          <w:szCs w:val="24"/>
        </w:rPr>
        <w:t xml:space="preserve"> </w:t>
      </w:r>
      <w:r w:rsidR="001C3D12" w:rsidRPr="003E7E2B">
        <w:rPr>
          <w:rFonts w:asciiTheme="minorHAnsi" w:eastAsiaTheme="majorEastAsia" w:hAnsiTheme="minorHAnsi" w:cstheme="majorBidi"/>
          <w:sz w:val="24"/>
          <w:szCs w:val="24"/>
        </w:rPr>
        <w:t xml:space="preserve">with </w:t>
      </w:r>
      <w:r w:rsidR="00E61C0C" w:rsidRPr="003E7E2B">
        <w:rPr>
          <w:rFonts w:asciiTheme="minorHAnsi" w:eastAsiaTheme="majorEastAsia" w:hAnsiTheme="minorHAnsi" w:cstheme="majorBidi"/>
          <w:sz w:val="24"/>
          <w:szCs w:val="24"/>
        </w:rPr>
        <w:t xml:space="preserve">the </w:t>
      </w:r>
      <w:r w:rsidR="001C3D12" w:rsidRPr="003E7E2B">
        <w:rPr>
          <w:rFonts w:asciiTheme="minorHAnsi" w:eastAsiaTheme="majorEastAsia" w:hAnsiTheme="minorHAnsi" w:cstheme="majorBidi"/>
          <w:sz w:val="24"/>
          <w:szCs w:val="24"/>
        </w:rPr>
        <w:t xml:space="preserve">restriction changes it had recommended for </w:t>
      </w:r>
      <w:r w:rsidR="001C3D12" w:rsidRPr="003C2660">
        <w:rPr>
          <w:rFonts w:asciiTheme="minorHAnsi" w:eastAsiaTheme="majorEastAsia" w:hAnsiTheme="minorHAnsi" w:cstheme="majorBidi"/>
          <w:sz w:val="24"/>
          <w:szCs w:val="24"/>
        </w:rPr>
        <w:t>subsequent therapies</w:t>
      </w:r>
      <w:r w:rsidRPr="003C2660">
        <w:rPr>
          <w:rFonts w:asciiTheme="minorHAnsi" w:eastAsiaTheme="majorEastAsia" w:hAnsiTheme="minorHAnsi" w:cstheme="majorBidi"/>
          <w:sz w:val="24"/>
          <w:szCs w:val="24"/>
        </w:rPr>
        <w:t xml:space="preserve">. As such, the </w:t>
      </w:r>
      <w:r w:rsidRPr="003C2660">
        <w:rPr>
          <w:rFonts w:asciiTheme="minorHAnsi" w:eastAsiaTheme="majorEastAsia" w:hAnsiTheme="minorHAnsi" w:cstheme="minorHAnsi"/>
          <w:sz w:val="24"/>
          <w:szCs w:val="24"/>
        </w:rPr>
        <w:t xml:space="preserve">PBAC considered this would be </w:t>
      </w:r>
      <w:r w:rsidR="000E66D1">
        <w:rPr>
          <w:rFonts w:asciiTheme="minorHAnsi" w:eastAsiaTheme="majorEastAsia" w:hAnsiTheme="minorHAnsi" w:cstheme="minorHAnsi"/>
          <w:sz w:val="24"/>
          <w:szCs w:val="24"/>
        </w:rPr>
        <w:t>the most appropriate base case.</w:t>
      </w:r>
    </w:p>
    <w:p w:rsidR="00800AB2" w:rsidRPr="00B131FD" w:rsidRDefault="00800AB2" w:rsidP="00DC71CB">
      <w:pPr>
        <w:numPr>
          <w:ilvl w:val="1"/>
          <w:numId w:val="5"/>
        </w:numPr>
        <w:spacing w:after="120"/>
        <w:jc w:val="both"/>
        <w:rPr>
          <w:rFonts w:asciiTheme="minorHAnsi" w:hAnsiTheme="minorHAnsi" w:cstheme="minorHAnsi"/>
          <w:bCs/>
        </w:rPr>
      </w:pPr>
      <w:r w:rsidRPr="00AF0145">
        <w:rPr>
          <w:rFonts w:asciiTheme="minorHAnsi" w:hAnsiTheme="minorHAnsi" w:cstheme="minorHAnsi"/>
          <w:bCs/>
        </w:rPr>
        <w:t xml:space="preserve">The PBAC re-iterated its previous consideration that NIVO+IPI would be cost-effective at an ICER of less </w:t>
      </w:r>
      <w:r w:rsidRPr="00B131FD">
        <w:rPr>
          <w:rFonts w:asciiTheme="minorHAnsi" w:hAnsiTheme="minorHAnsi" w:cstheme="minorHAnsi"/>
          <w:bCs/>
        </w:rPr>
        <w:t xml:space="preserve">than </w:t>
      </w:r>
      <w:r w:rsidR="00C00B0E">
        <w:rPr>
          <w:rFonts w:asciiTheme="minorHAnsi" w:hAnsiTheme="minorHAnsi" w:cstheme="minorHAnsi"/>
          <w:bCs/>
        </w:rPr>
        <w:t xml:space="preserve">$45,000 – $75,000 </w:t>
      </w:r>
      <w:r w:rsidRPr="00B131FD">
        <w:rPr>
          <w:rFonts w:asciiTheme="minorHAnsi" w:hAnsiTheme="minorHAnsi" w:cstheme="minorHAnsi"/>
          <w:bCs/>
        </w:rPr>
        <w:t xml:space="preserve">per QALY, using the base case </w:t>
      </w:r>
      <w:r w:rsidR="003E2ECC" w:rsidRPr="00B131FD">
        <w:rPr>
          <w:rFonts w:asciiTheme="minorHAnsi" w:hAnsiTheme="minorHAnsi" w:cstheme="minorHAnsi"/>
          <w:bCs/>
        </w:rPr>
        <w:t>outlined in the paragraph above</w:t>
      </w:r>
      <w:r w:rsidR="004F19C6" w:rsidRPr="00B131FD">
        <w:rPr>
          <w:rFonts w:asciiTheme="minorHAnsi" w:hAnsiTheme="minorHAnsi" w:cstheme="minorHAnsi"/>
          <w:bCs/>
        </w:rPr>
        <w:t xml:space="preserve"> with the effective sunitinib price applied</w:t>
      </w:r>
      <w:r w:rsidR="003E2ECC" w:rsidRPr="00B131FD">
        <w:rPr>
          <w:rFonts w:asciiTheme="minorHAnsi" w:hAnsiTheme="minorHAnsi" w:cstheme="minorHAnsi"/>
          <w:bCs/>
        </w:rPr>
        <w:t>. The PBAC noted that a price reduction would be required to bring the estimated ICER into an acceptable range</w:t>
      </w:r>
      <w:r w:rsidRPr="00B131FD">
        <w:rPr>
          <w:rFonts w:asciiTheme="minorHAnsi" w:hAnsiTheme="minorHAnsi" w:cstheme="minorHAnsi"/>
          <w:bCs/>
        </w:rPr>
        <w:t xml:space="preserve">. </w:t>
      </w:r>
      <w:r w:rsidR="00AF0145" w:rsidRPr="00B131FD">
        <w:rPr>
          <w:rFonts w:asciiTheme="minorHAnsi" w:hAnsiTheme="minorHAnsi" w:cstheme="minorHAnsi"/>
          <w:bCs/>
        </w:rPr>
        <w:t xml:space="preserve">The PBAC considered that a price reduction to the NIVO component </w:t>
      </w:r>
      <w:r w:rsidR="00637B32">
        <w:rPr>
          <w:rFonts w:asciiTheme="minorHAnsi" w:hAnsiTheme="minorHAnsi" w:cstheme="minorHAnsi"/>
          <w:bCs/>
        </w:rPr>
        <w:t xml:space="preserve">in preference to the IPI component </w:t>
      </w:r>
      <w:r w:rsidR="00AF0145" w:rsidRPr="00B131FD">
        <w:rPr>
          <w:rFonts w:asciiTheme="minorHAnsi" w:hAnsiTheme="minorHAnsi" w:cstheme="minorHAnsi"/>
          <w:bCs/>
        </w:rPr>
        <w:t xml:space="preserve">would provide greater certainty that this ICER </w:t>
      </w:r>
      <w:r w:rsidR="00AF0145" w:rsidRPr="000F3F2F">
        <w:rPr>
          <w:rFonts w:asciiTheme="minorHAnsi" w:hAnsiTheme="minorHAnsi" w:cstheme="minorHAnsi"/>
          <w:bCs/>
        </w:rPr>
        <w:t>would be achieved</w:t>
      </w:r>
      <w:r w:rsidR="00B62CD4" w:rsidRPr="000F3F2F">
        <w:rPr>
          <w:rFonts w:asciiTheme="minorHAnsi" w:hAnsiTheme="minorHAnsi" w:cstheme="minorHAnsi"/>
          <w:bCs/>
        </w:rPr>
        <w:t xml:space="preserve"> in practice</w:t>
      </w:r>
      <w:r w:rsidR="00AF0145" w:rsidRPr="000F3F2F">
        <w:rPr>
          <w:rFonts w:asciiTheme="minorHAnsi" w:hAnsiTheme="minorHAnsi" w:cstheme="minorHAnsi"/>
          <w:bCs/>
        </w:rPr>
        <w:t xml:space="preserve">, given </w:t>
      </w:r>
      <w:r w:rsidR="00B131FD" w:rsidRPr="000F3F2F">
        <w:rPr>
          <w:rFonts w:asciiTheme="minorHAnsi" w:hAnsiTheme="minorHAnsi" w:cstheme="minorHAnsi"/>
          <w:bCs/>
        </w:rPr>
        <w:t>there is p</w:t>
      </w:r>
      <w:r w:rsidR="00DC71CB" w:rsidRPr="000F3F2F">
        <w:rPr>
          <w:rFonts w:asciiTheme="minorHAnsi" w:hAnsiTheme="minorHAnsi" w:cstheme="minorHAnsi"/>
          <w:bCs/>
        </w:rPr>
        <w:t>otential for NIVO to be used</w:t>
      </w:r>
      <w:r w:rsidR="00B131FD" w:rsidRPr="000F3F2F">
        <w:rPr>
          <w:rFonts w:asciiTheme="minorHAnsi" w:hAnsiTheme="minorHAnsi" w:cstheme="minorHAnsi"/>
          <w:bCs/>
        </w:rPr>
        <w:t xml:space="preserve"> for </w:t>
      </w:r>
      <w:r w:rsidR="00DC71CB" w:rsidRPr="000F3F2F">
        <w:rPr>
          <w:rFonts w:asciiTheme="minorHAnsi" w:hAnsiTheme="minorHAnsi" w:cstheme="minorHAnsi"/>
          <w:bCs/>
        </w:rPr>
        <w:t>longer in clinical practice</w:t>
      </w:r>
      <w:r w:rsidR="00B131FD" w:rsidRPr="000F3F2F">
        <w:rPr>
          <w:rFonts w:asciiTheme="minorHAnsi" w:hAnsiTheme="minorHAnsi" w:cstheme="minorHAnsi"/>
          <w:bCs/>
        </w:rPr>
        <w:t xml:space="preserve"> than occurred in the trial (</w:t>
      </w:r>
      <w:r w:rsidR="00DC71CB" w:rsidRPr="000F3F2F">
        <w:rPr>
          <w:rFonts w:asciiTheme="minorHAnsi" w:hAnsiTheme="minorHAnsi" w:cstheme="minorHAnsi"/>
          <w:bCs/>
        </w:rPr>
        <w:t>patients who experience adverse events during NIVO+IPI induction may go on to receive nivolumab monotherapy, rather than discontinue as was required by the trial protocol).</w:t>
      </w:r>
    </w:p>
    <w:p w:rsidR="00B62CD4" w:rsidRPr="00B62CD4" w:rsidRDefault="00B62CD4" w:rsidP="00B62CD4">
      <w:pPr>
        <w:pStyle w:val="ListParagraph"/>
        <w:numPr>
          <w:ilvl w:val="1"/>
          <w:numId w:val="5"/>
        </w:numPr>
        <w:spacing w:after="120"/>
        <w:contextualSpacing w:val="0"/>
        <w:rPr>
          <w:rFonts w:asciiTheme="minorHAnsi" w:hAnsiTheme="minorHAnsi" w:cstheme="minorHAnsi"/>
          <w:sz w:val="24"/>
          <w:szCs w:val="24"/>
        </w:rPr>
      </w:pPr>
      <w:r w:rsidRPr="00B131FD">
        <w:rPr>
          <w:rFonts w:asciiTheme="minorHAnsi" w:hAnsiTheme="minorHAnsi" w:cstheme="minorHAnsi"/>
          <w:sz w:val="24"/>
          <w:szCs w:val="24"/>
        </w:rPr>
        <w:t>The PBAC noted that the NIVO</w:t>
      </w:r>
      <w:r w:rsidRPr="00B62CD4">
        <w:rPr>
          <w:rFonts w:asciiTheme="minorHAnsi" w:hAnsiTheme="minorHAnsi" w:cstheme="minorHAnsi"/>
          <w:sz w:val="24"/>
          <w:szCs w:val="24"/>
        </w:rPr>
        <w:t xml:space="preserve">+IPI submission increased the size of the PBS-treated population by </w:t>
      </w:r>
      <w:r w:rsidR="00B76982">
        <w:rPr>
          <w:rFonts w:asciiTheme="minorHAnsi" w:hAnsiTheme="minorHAnsi" w:cstheme="minorHAnsi"/>
          <w:noProof/>
          <w:color w:val="000000"/>
          <w:sz w:val="24"/>
          <w:szCs w:val="24"/>
          <w:highlight w:val="black"/>
        </w:rPr>
        <w:t>''''''</w:t>
      </w:r>
      <w:r w:rsidRPr="00B62CD4">
        <w:rPr>
          <w:rFonts w:asciiTheme="minorHAnsi" w:hAnsiTheme="minorHAnsi" w:cstheme="minorHAnsi"/>
          <w:sz w:val="24"/>
          <w:szCs w:val="24"/>
        </w:rPr>
        <w:t>% to account for clinical trials occurring in Australia for first-line RCC. The PBAC considered that this assumption was not reasonable</w:t>
      </w:r>
      <w:r w:rsidR="00F83EA1">
        <w:rPr>
          <w:rFonts w:asciiTheme="minorHAnsi" w:hAnsiTheme="minorHAnsi" w:cstheme="minorHAnsi"/>
          <w:sz w:val="24"/>
          <w:szCs w:val="24"/>
        </w:rPr>
        <w:t>, and had overestimated the eligible population,</w:t>
      </w:r>
      <w:r w:rsidRPr="00B62CD4">
        <w:rPr>
          <w:rFonts w:asciiTheme="minorHAnsi" w:hAnsiTheme="minorHAnsi" w:cstheme="minorHAnsi"/>
          <w:sz w:val="24"/>
          <w:szCs w:val="24"/>
        </w:rPr>
        <w:t xml:space="preserve"> because clinical trial activity was likely to continue</w:t>
      </w:r>
      <w:r>
        <w:rPr>
          <w:rFonts w:asciiTheme="minorHAnsi" w:hAnsiTheme="minorHAnsi" w:cstheme="minorHAnsi"/>
          <w:sz w:val="24"/>
          <w:szCs w:val="24"/>
        </w:rPr>
        <w:t xml:space="preserve"> and </w:t>
      </w:r>
      <w:r w:rsidR="00F83EA1">
        <w:rPr>
          <w:rFonts w:asciiTheme="minorHAnsi" w:hAnsiTheme="minorHAnsi" w:cstheme="minorHAnsi"/>
          <w:sz w:val="24"/>
          <w:szCs w:val="24"/>
        </w:rPr>
        <w:t>would</w:t>
      </w:r>
      <w:r>
        <w:rPr>
          <w:rFonts w:asciiTheme="minorHAnsi" w:hAnsiTheme="minorHAnsi" w:cstheme="minorHAnsi"/>
          <w:sz w:val="24"/>
          <w:szCs w:val="24"/>
        </w:rPr>
        <w:t xml:space="preserve"> not change the likely pool of patients available for first-line treatment on the PBS</w:t>
      </w:r>
      <w:r w:rsidRPr="00B62CD4">
        <w:rPr>
          <w:rFonts w:asciiTheme="minorHAnsi" w:hAnsiTheme="minorHAnsi" w:cstheme="minorHAnsi"/>
          <w:sz w:val="24"/>
          <w:szCs w:val="24"/>
        </w:rPr>
        <w:t>.</w:t>
      </w:r>
    </w:p>
    <w:p w:rsidR="00651E86" w:rsidRPr="00D23520" w:rsidRDefault="00651E86" w:rsidP="00811A0A">
      <w:pPr>
        <w:pStyle w:val="ListParagraph"/>
        <w:numPr>
          <w:ilvl w:val="1"/>
          <w:numId w:val="5"/>
        </w:numPr>
        <w:spacing w:after="120"/>
        <w:contextualSpacing w:val="0"/>
        <w:rPr>
          <w:rFonts w:asciiTheme="minorHAnsi" w:hAnsiTheme="minorHAnsi" w:cstheme="minorHAnsi"/>
          <w:sz w:val="24"/>
          <w:szCs w:val="24"/>
        </w:rPr>
      </w:pPr>
      <w:r>
        <w:rPr>
          <w:rFonts w:asciiTheme="minorHAnsi" w:hAnsiTheme="minorHAnsi"/>
          <w:sz w:val="24"/>
          <w:szCs w:val="24"/>
        </w:rPr>
        <w:t xml:space="preserve">The PBAC </w:t>
      </w:r>
      <w:r w:rsidR="004A5D1F">
        <w:rPr>
          <w:rFonts w:asciiTheme="minorHAnsi" w:hAnsiTheme="minorHAnsi"/>
          <w:sz w:val="24"/>
          <w:szCs w:val="24"/>
        </w:rPr>
        <w:t>noted</w:t>
      </w:r>
      <w:r>
        <w:rPr>
          <w:rFonts w:asciiTheme="minorHAnsi" w:hAnsiTheme="minorHAnsi"/>
          <w:sz w:val="24"/>
          <w:szCs w:val="24"/>
        </w:rPr>
        <w:t xml:space="preserve"> that </w:t>
      </w:r>
      <w:r w:rsidR="00080E02">
        <w:rPr>
          <w:rFonts w:asciiTheme="minorHAnsi" w:hAnsiTheme="minorHAnsi"/>
          <w:sz w:val="24"/>
          <w:szCs w:val="24"/>
        </w:rPr>
        <w:t>the</w:t>
      </w:r>
      <w:r>
        <w:rPr>
          <w:rFonts w:asciiTheme="minorHAnsi" w:hAnsiTheme="minorHAnsi"/>
          <w:sz w:val="24"/>
          <w:szCs w:val="24"/>
        </w:rPr>
        <w:t xml:space="preserve"> </w:t>
      </w:r>
      <w:r w:rsidR="00AE5DA6">
        <w:rPr>
          <w:rFonts w:asciiTheme="minorHAnsi" w:hAnsiTheme="minorHAnsi"/>
          <w:sz w:val="24"/>
          <w:szCs w:val="24"/>
        </w:rPr>
        <w:t xml:space="preserve">number of </w:t>
      </w:r>
      <w:r>
        <w:rPr>
          <w:rFonts w:asciiTheme="minorHAnsi" w:hAnsiTheme="minorHAnsi"/>
          <w:sz w:val="24"/>
          <w:szCs w:val="24"/>
        </w:rPr>
        <w:t>patient</w:t>
      </w:r>
      <w:r w:rsidR="00AE5DA6">
        <w:rPr>
          <w:rFonts w:asciiTheme="minorHAnsi" w:hAnsiTheme="minorHAnsi"/>
          <w:sz w:val="24"/>
          <w:szCs w:val="24"/>
        </w:rPr>
        <w:t>s</w:t>
      </w:r>
      <w:r>
        <w:rPr>
          <w:rFonts w:asciiTheme="minorHAnsi" w:hAnsiTheme="minorHAnsi"/>
          <w:sz w:val="24"/>
          <w:szCs w:val="24"/>
        </w:rPr>
        <w:t xml:space="preserve"> </w:t>
      </w:r>
      <w:r w:rsidR="00AE5DA6">
        <w:rPr>
          <w:rFonts w:asciiTheme="minorHAnsi" w:hAnsiTheme="minorHAnsi"/>
          <w:sz w:val="24"/>
          <w:szCs w:val="24"/>
        </w:rPr>
        <w:t xml:space="preserve">estimated to be </w:t>
      </w:r>
      <w:r>
        <w:rPr>
          <w:rFonts w:asciiTheme="minorHAnsi" w:hAnsiTheme="minorHAnsi"/>
          <w:sz w:val="24"/>
          <w:szCs w:val="24"/>
        </w:rPr>
        <w:t>treated with first-line therapy</w:t>
      </w:r>
      <w:r w:rsidR="00AE5DA6">
        <w:rPr>
          <w:rFonts w:asciiTheme="minorHAnsi" w:hAnsiTheme="minorHAnsi"/>
          <w:sz w:val="24"/>
          <w:szCs w:val="24"/>
        </w:rPr>
        <w:t xml:space="preserve"> for RCC did not align with </w:t>
      </w:r>
      <w:r>
        <w:rPr>
          <w:rFonts w:asciiTheme="minorHAnsi" w:hAnsiTheme="minorHAnsi"/>
          <w:sz w:val="24"/>
          <w:szCs w:val="24"/>
        </w:rPr>
        <w:t>the</w:t>
      </w:r>
      <w:r w:rsidR="00576BB9">
        <w:rPr>
          <w:rFonts w:asciiTheme="minorHAnsi" w:hAnsiTheme="minorHAnsi"/>
          <w:sz w:val="24"/>
          <w:szCs w:val="24"/>
        </w:rPr>
        <w:t xml:space="preserve"> previously agreed</w:t>
      </w:r>
      <w:r>
        <w:rPr>
          <w:rFonts w:asciiTheme="minorHAnsi" w:hAnsiTheme="minorHAnsi"/>
          <w:sz w:val="24"/>
          <w:szCs w:val="24"/>
        </w:rPr>
        <w:t xml:space="preserve"> financial estimates for NIVO monotherapy</w:t>
      </w:r>
      <w:r w:rsidR="00080E02">
        <w:rPr>
          <w:rFonts w:asciiTheme="minorHAnsi" w:hAnsiTheme="minorHAnsi"/>
          <w:sz w:val="24"/>
          <w:szCs w:val="24"/>
        </w:rPr>
        <w:t xml:space="preserve"> and </w:t>
      </w:r>
      <w:r w:rsidR="004A5D1F">
        <w:rPr>
          <w:rFonts w:asciiTheme="minorHAnsi" w:hAnsiTheme="minorHAnsi"/>
          <w:sz w:val="24"/>
          <w:szCs w:val="24"/>
        </w:rPr>
        <w:t xml:space="preserve">considered that </w:t>
      </w:r>
      <w:r w:rsidR="00080E02">
        <w:rPr>
          <w:rFonts w:asciiTheme="minorHAnsi" w:hAnsiTheme="minorHAnsi"/>
          <w:sz w:val="24"/>
          <w:szCs w:val="24"/>
        </w:rPr>
        <w:t xml:space="preserve">this created a level of uncertainty around the likely total use of NIVO in both settings. </w:t>
      </w:r>
      <w:r w:rsidR="00D23520">
        <w:rPr>
          <w:rFonts w:asciiTheme="minorHAnsi" w:hAnsiTheme="minorHAnsi"/>
          <w:sz w:val="24"/>
          <w:szCs w:val="24"/>
        </w:rPr>
        <w:t>T</w:t>
      </w:r>
      <w:r w:rsidR="004A5D1F">
        <w:rPr>
          <w:rFonts w:asciiTheme="minorHAnsi" w:hAnsiTheme="minorHAnsi"/>
          <w:sz w:val="24"/>
          <w:szCs w:val="24"/>
        </w:rPr>
        <w:t xml:space="preserve">he </w:t>
      </w:r>
      <w:r w:rsidR="003C2C35">
        <w:rPr>
          <w:rFonts w:asciiTheme="minorHAnsi" w:hAnsiTheme="minorHAnsi"/>
          <w:sz w:val="24"/>
          <w:szCs w:val="24"/>
        </w:rPr>
        <w:t xml:space="preserve">total </w:t>
      </w:r>
      <w:r>
        <w:rPr>
          <w:rFonts w:asciiTheme="minorHAnsi" w:hAnsiTheme="minorHAnsi"/>
          <w:sz w:val="24"/>
          <w:szCs w:val="24"/>
        </w:rPr>
        <w:t xml:space="preserve">number </w:t>
      </w:r>
      <w:r w:rsidR="00080E02">
        <w:rPr>
          <w:rFonts w:asciiTheme="minorHAnsi" w:hAnsiTheme="minorHAnsi"/>
          <w:sz w:val="24"/>
          <w:szCs w:val="24"/>
        </w:rPr>
        <w:t xml:space="preserve">of patients </w:t>
      </w:r>
      <w:r w:rsidR="004A5D1F">
        <w:rPr>
          <w:rFonts w:asciiTheme="minorHAnsi" w:hAnsiTheme="minorHAnsi"/>
          <w:sz w:val="24"/>
          <w:szCs w:val="24"/>
        </w:rPr>
        <w:t xml:space="preserve">treated </w:t>
      </w:r>
      <w:r w:rsidR="00080E02">
        <w:rPr>
          <w:rFonts w:asciiTheme="minorHAnsi" w:hAnsiTheme="minorHAnsi"/>
          <w:sz w:val="24"/>
          <w:szCs w:val="24"/>
        </w:rPr>
        <w:t xml:space="preserve">in first-line </w:t>
      </w:r>
      <w:r w:rsidR="004A5D1F">
        <w:rPr>
          <w:rFonts w:asciiTheme="minorHAnsi" w:hAnsiTheme="minorHAnsi"/>
          <w:sz w:val="24"/>
          <w:szCs w:val="24"/>
        </w:rPr>
        <w:t xml:space="preserve">RCC </w:t>
      </w:r>
      <w:r w:rsidR="00D23520">
        <w:rPr>
          <w:rFonts w:asciiTheme="minorHAnsi" w:hAnsiTheme="minorHAnsi"/>
          <w:sz w:val="24"/>
          <w:szCs w:val="24"/>
        </w:rPr>
        <w:t xml:space="preserve">that was </w:t>
      </w:r>
      <w:r w:rsidR="00080E02">
        <w:rPr>
          <w:rFonts w:asciiTheme="minorHAnsi" w:hAnsiTheme="minorHAnsi"/>
          <w:sz w:val="24"/>
          <w:szCs w:val="24"/>
        </w:rPr>
        <w:t>agreed for the NIVO monotherapy financial estimates</w:t>
      </w:r>
      <w:r>
        <w:rPr>
          <w:rFonts w:asciiTheme="minorHAnsi" w:hAnsiTheme="minorHAnsi"/>
          <w:sz w:val="24"/>
          <w:szCs w:val="24"/>
        </w:rPr>
        <w:t xml:space="preserve"> allowed for additional patients taking up therapy due to the availability of NIVO</w:t>
      </w:r>
      <w:r w:rsidR="00D23520">
        <w:rPr>
          <w:rFonts w:asciiTheme="minorHAnsi" w:hAnsiTheme="minorHAnsi"/>
          <w:sz w:val="24"/>
          <w:szCs w:val="24"/>
        </w:rPr>
        <w:t>. Thus</w:t>
      </w:r>
      <w:r w:rsidR="004A5D1F">
        <w:rPr>
          <w:rFonts w:asciiTheme="minorHAnsi" w:hAnsiTheme="minorHAnsi"/>
          <w:sz w:val="24"/>
          <w:szCs w:val="24"/>
        </w:rPr>
        <w:t>,</w:t>
      </w:r>
      <w:r w:rsidR="00080E02">
        <w:rPr>
          <w:rFonts w:asciiTheme="minorHAnsi" w:hAnsiTheme="minorHAnsi"/>
          <w:sz w:val="24"/>
          <w:szCs w:val="24"/>
        </w:rPr>
        <w:t xml:space="preserve"> the PBAC </w:t>
      </w:r>
      <w:r w:rsidR="004A5D1F">
        <w:rPr>
          <w:rFonts w:asciiTheme="minorHAnsi" w:hAnsiTheme="minorHAnsi"/>
          <w:sz w:val="24"/>
          <w:szCs w:val="24"/>
        </w:rPr>
        <w:t>considered</w:t>
      </w:r>
      <w:r w:rsidR="00080E02">
        <w:rPr>
          <w:rFonts w:asciiTheme="minorHAnsi" w:hAnsiTheme="minorHAnsi"/>
          <w:sz w:val="24"/>
          <w:szCs w:val="24"/>
        </w:rPr>
        <w:t xml:space="preserve"> that the total first-line </w:t>
      </w:r>
      <w:r w:rsidR="004A5D1F">
        <w:rPr>
          <w:rFonts w:asciiTheme="minorHAnsi" w:hAnsiTheme="minorHAnsi"/>
          <w:sz w:val="24"/>
          <w:szCs w:val="24"/>
        </w:rPr>
        <w:t xml:space="preserve">RCC </w:t>
      </w:r>
      <w:r w:rsidR="00080E02">
        <w:rPr>
          <w:rFonts w:asciiTheme="minorHAnsi" w:hAnsiTheme="minorHAnsi"/>
          <w:sz w:val="24"/>
          <w:szCs w:val="24"/>
        </w:rPr>
        <w:t xml:space="preserve">market should not be any higher than that </w:t>
      </w:r>
      <w:r w:rsidR="00080E02">
        <w:rPr>
          <w:rFonts w:asciiTheme="minorHAnsi" w:hAnsiTheme="minorHAnsi"/>
          <w:sz w:val="24"/>
          <w:szCs w:val="24"/>
        </w:rPr>
        <w:lastRenderedPageBreak/>
        <w:t>agreed for NIVO monotherapy</w:t>
      </w:r>
      <w:r>
        <w:rPr>
          <w:rFonts w:asciiTheme="minorHAnsi" w:hAnsiTheme="minorHAnsi"/>
          <w:sz w:val="24"/>
          <w:szCs w:val="24"/>
        </w:rPr>
        <w:t xml:space="preserve">. These numbers allowed for a maximum of </w:t>
      </w:r>
      <w:r w:rsidR="00C41F5E">
        <w:rPr>
          <w:rFonts w:asciiTheme="minorHAnsi" w:hAnsiTheme="minorHAnsi"/>
          <w:sz w:val="24"/>
          <w:szCs w:val="24"/>
        </w:rPr>
        <w:t xml:space="preserve">less than 10,000 </w:t>
      </w:r>
      <w:r>
        <w:rPr>
          <w:rFonts w:asciiTheme="minorHAnsi" w:hAnsiTheme="minorHAnsi"/>
          <w:sz w:val="24"/>
          <w:szCs w:val="24"/>
        </w:rPr>
        <w:t>patients</w:t>
      </w:r>
      <w:r w:rsidR="00B62CD4">
        <w:rPr>
          <w:rFonts w:asciiTheme="minorHAnsi" w:hAnsiTheme="minorHAnsi"/>
          <w:sz w:val="24"/>
          <w:szCs w:val="24"/>
        </w:rPr>
        <w:t xml:space="preserve"> treated</w:t>
      </w:r>
      <w:r>
        <w:rPr>
          <w:rFonts w:asciiTheme="minorHAnsi" w:hAnsiTheme="minorHAnsi"/>
          <w:sz w:val="24"/>
          <w:szCs w:val="24"/>
        </w:rPr>
        <w:t xml:space="preserve"> </w:t>
      </w:r>
      <w:r w:rsidR="00080E02">
        <w:rPr>
          <w:rFonts w:asciiTheme="minorHAnsi" w:hAnsiTheme="minorHAnsi"/>
          <w:sz w:val="24"/>
          <w:szCs w:val="24"/>
        </w:rPr>
        <w:t>in 2020</w:t>
      </w:r>
      <w:r w:rsidR="00B62CD4">
        <w:rPr>
          <w:rFonts w:asciiTheme="minorHAnsi" w:hAnsiTheme="minorHAnsi"/>
          <w:sz w:val="24"/>
          <w:szCs w:val="24"/>
        </w:rPr>
        <w:t xml:space="preserve"> regardless of line of therapy</w:t>
      </w:r>
      <w:r w:rsidR="00576BB9">
        <w:rPr>
          <w:rFonts w:asciiTheme="minorHAnsi" w:hAnsiTheme="minorHAnsi"/>
          <w:sz w:val="24"/>
          <w:szCs w:val="24"/>
        </w:rPr>
        <w:t xml:space="preserve">, increasing by </w:t>
      </w:r>
      <w:r w:rsidR="002D374F">
        <w:rPr>
          <w:rFonts w:asciiTheme="minorHAnsi" w:hAnsiTheme="minorHAnsi"/>
          <w:sz w:val="24"/>
          <w:szCs w:val="24"/>
        </w:rPr>
        <w:t xml:space="preserve">less than 10,000 </w:t>
      </w:r>
      <w:r w:rsidR="00576BB9">
        <w:rPr>
          <w:rFonts w:asciiTheme="minorHAnsi" w:hAnsiTheme="minorHAnsi"/>
          <w:sz w:val="24"/>
          <w:szCs w:val="24"/>
        </w:rPr>
        <w:t>patients per year</w:t>
      </w:r>
      <w:r w:rsidR="00080E02">
        <w:rPr>
          <w:rFonts w:asciiTheme="minorHAnsi" w:hAnsiTheme="minorHAnsi"/>
          <w:sz w:val="24"/>
          <w:szCs w:val="24"/>
        </w:rPr>
        <w:t>.</w:t>
      </w:r>
    </w:p>
    <w:p w:rsidR="0040374F" w:rsidRDefault="00811A0A" w:rsidP="0040374F">
      <w:pPr>
        <w:pStyle w:val="ListParagraph"/>
        <w:numPr>
          <w:ilvl w:val="1"/>
          <w:numId w:val="5"/>
        </w:numPr>
        <w:spacing w:after="120"/>
        <w:contextualSpacing w:val="0"/>
        <w:rPr>
          <w:rFonts w:asciiTheme="minorHAnsi" w:hAnsiTheme="minorHAnsi" w:cstheme="minorHAnsi"/>
          <w:sz w:val="24"/>
          <w:szCs w:val="24"/>
        </w:rPr>
      </w:pPr>
      <w:r w:rsidRPr="00AF0145">
        <w:rPr>
          <w:rFonts w:asciiTheme="minorHAnsi" w:hAnsiTheme="minorHAnsi" w:cstheme="minorHAnsi"/>
          <w:bCs/>
          <w:sz w:val="24"/>
          <w:szCs w:val="24"/>
        </w:rPr>
        <w:t xml:space="preserve">The PBAC noted that the resubmission had estimated </w:t>
      </w:r>
      <w:r w:rsidRPr="003E7E2B">
        <w:rPr>
          <w:rFonts w:asciiTheme="minorHAnsi" w:hAnsiTheme="minorHAnsi" w:cstheme="minorHAnsi"/>
          <w:sz w:val="24"/>
          <w:szCs w:val="24"/>
        </w:rPr>
        <w:t xml:space="preserve">that </w:t>
      </w:r>
      <w:r w:rsidR="001839AB">
        <w:rPr>
          <w:rFonts w:asciiTheme="minorHAnsi" w:hAnsiTheme="minorHAnsi" w:cstheme="minorHAnsi"/>
          <w:sz w:val="24"/>
          <w:szCs w:val="24"/>
        </w:rPr>
        <w:t>less than 10,000</w:t>
      </w:r>
      <w:r w:rsidR="001839AB" w:rsidRPr="003E7E2B">
        <w:rPr>
          <w:rFonts w:asciiTheme="minorHAnsi" w:hAnsiTheme="minorHAnsi" w:cstheme="minorHAnsi"/>
          <w:sz w:val="24"/>
          <w:szCs w:val="24"/>
        </w:rPr>
        <w:t xml:space="preserve"> </w:t>
      </w:r>
      <w:r w:rsidRPr="003E7E2B">
        <w:rPr>
          <w:rFonts w:asciiTheme="minorHAnsi" w:hAnsiTheme="minorHAnsi" w:cstheme="minorHAnsi"/>
          <w:sz w:val="24"/>
          <w:szCs w:val="24"/>
        </w:rPr>
        <w:t>patients would be grandfathered to PBS reimbursement at time of listing (</w:t>
      </w:r>
      <w:r w:rsidR="00284588">
        <w:rPr>
          <w:rFonts w:asciiTheme="minorHAnsi" w:hAnsiTheme="minorHAnsi" w:cstheme="minorHAnsi"/>
          <w:sz w:val="24"/>
          <w:szCs w:val="24"/>
        </w:rPr>
        <w:t>less than 10,000</w:t>
      </w:r>
      <w:r w:rsidR="00C36AC5" w:rsidRPr="003E7E2B">
        <w:rPr>
          <w:rFonts w:asciiTheme="minorHAnsi" w:hAnsiTheme="minorHAnsi" w:cstheme="minorHAnsi"/>
          <w:sz w:val="24"/>
          <w:szCs w:val="24"/>
        </w:rPr>
        <w:t xml:space="preserve"> patients were requested</w:t>
      </w:r>
      <w:r w:rsidRPr="003C2660">
        <w:rPr>
          <w:rFonts w:asciiTheme="minorHAnsi" w:hAnsiTheme="minorHAnsi" w:cstheme="minorHAnsi"/>
          <w:sz w:val="24"/>
          <w:szCs w:val="24"/>
        </w:rPr>
        <w:t xml:space="preserve"> in the pre-PBAC response). </w:t>
      </w:r>
      <w:r w:rsidR="0040374F">
        <w:rPr>
          <w:rFonts w:asciiTheme="minorHAnsi" w:hAnsiTheme="minorHAnsi" w:cstheme="minorHAnsi"/>
          <w:sz w:val="24"/>
          <w:szCs w:val="24"/>
        </w:rPr>
        <w:t>T</w:t>
      </w:r>
      <w:r w:rsidRPr="003C2660">
        <w:rPr>
          <w:rFonts w:asciiTheme="minorHAnsi" w:hAnsiTheme="minorHAnsi" w:cstheme="minorHAnsi"/>
          <w:sz w:val="24"/>
          <w:szCs w:val="24"/>
        </w:rPr>
        <w:t xml:space="preserve">he PBAC noted that the usual practice adopted by the Department has been to subsidise the costs for all </w:t>
      </w:r>
      <w:r w:rsidR="003C2C35">
        <w:rPr>
          <w:rFonts w:asciiTheme="minorHAnsi" w:hAnsiTheme="minorHAnsi" w:cstheme="minorHAnsi"/>
          <w:sz w:val="24"/>
          <w:szCs w:val="24"/>
        </w:rPr>
        <w:t xml:space="preserve">eligible </w:t>
      </w:r>
      <w:r w:rsidRPr="003C2660">
        <w:rPr>
          <w:rFonts w:asciiTheme="minorHAnsi" w:hAnsiTheme="minorHAnsi" w:cstheme="minorHAnsi"/>
          <w:sz w:val="24"/>
          <w:szCs w:val="24"/>
        </w:rPr>
        <w:t>patients who commenced treatment through a Patient Access Program (or similar) prior to the date of the PBAC meeting at which the submission received a positive recommendation. However, the PBAC noted that no estimates had been provided as to the number of patients enrol</w:t>
      </w:r>
      <w:r w:rsidRPr="003E7E2B">
        <w:rPr>
          <w:rFonts w:asciiTheme="minorHAnsi" w:hAnsiTheme="minorHAnsi" w:cstheme="minorHAnsi"/>
          <w:sz w:val="24"/>
          <w:szCs w:val="24"/>
        </w:rPr>
        <w:t xml:space="preserve">led in the Patient Access Program at the time of the PBAC meeting. </w:t>
      </w:r>
      <w:r w:rsidR="0040374F" w:rsidRPr="0040374F">
        <w:rPr>
          <w:rFonts w:asciiTheme="minorHAnsi" w:hAnsiTheme="minorHAnsi" w:cstheme="minorHAnsi"/>
          <w:sz w:val="24"/>
          <w:szCs w:val="24"/>
        </w:rPr>
        <w:t>The PBAC noted that patients enrolled thereafter who are eligible for PBS-subsidised access to therapy should already be accounted for in the financial modelling and hence would be included in any subsidisation caps. The PBAC was therefore of the view that no additional inclusion of grandfathered patients s</w:t>
      </w:r>
      <w:r w:rsidR="000E66D1">
        <w:rPr>
          <w:rFonts w:asciiTheme="minorHAnsi" w:hAnsiTheme="minorHAnsi" w:cstheme="minorHAnsi"/>
          <w:sz w:val="24"/>
          <w:szCs w:val="24"/>
        </w:rPr>
        <w:t>hould need to be accounted for.</w:t>
      </w:r>
    </w:p>
    <w:p w:rsidR="00811A0A" w:rsidRPr="00FB0ED4" w:rsidRDefault="00811A0A" w:rsidP="00FB0ED4">
      <w:pPr>
        <w:widowControl w:val="0"/>
        <w:numPr>
          <w:ilvl w:val="1"/>
          <w:numId w:val="5"/>
        </w:numPr>
        <w:spacing w:after="120"/>
        <w:jc w:val="both"/>
        <w:rPr>
          <w:rFonts w:asciiTheme="minorHAnsi" w:hAnsiTheme="minorHAnsi"/>
          <w:bCs/>
        </w:rPr>
      </w:pPr>
      <w:r w:rsidRPr="00FB0ED4">
        <w:rPr>
          <w:rFonts w:asciiTheme="minorHAnsi" w:hAnsiTheme="minorHAnsi"/>
          <w:bCs/>
        </w:rPr>
        <w:t xml:space="preserve">The PBAC reiterated its previous advice that an RSA with a </w:t>
      </w:r>
      <w:r w:rsidR="00915B49">
        <w:rPr>
          <w:rFonts w:asciiTheme="minorHAnsi" w:hAnsiTheme="minorHAnsi"/>
          <w:bCs/>
          <w:noProof/>
          <w:color w:val="000000"/>
          <w:highlight w:val="black"/>
        </w:rPr>
        <w:t>''''''''</w:t>
      </w:r>
      <w:r w:rsidRPr="00FB0ED4">
        <w:rPr>
          <w:rFonts w:asciiTheme="minorHAnsi" w:hAnsiTheme="minorHAnsi"/>
          <w:bCs/>
        </w:rPr>
        <w:t xml:space="preserve">% rebate beyond estimated utilisation would be required, and flow-on changes would be required to the existing RSA for second-line nivolumab in light of the significantly reduced use of later-line NIVO once NIVO+IPI is listed first-line. </w:t>
      </w:r>
      <w:r w:rsidR="00BF5CFE" w:rsidRPr="00FB0ED4">
        <w:rPr>
          <w:rFonts w:asciiTheme="minorHAnsi" w:hAnsiTheme="minorHAnsi"/>
          <w:bCs/>
        </w:rPr>
        <w:t>The PBAC also considered it may be appropriate to implement a single financial RSA cap across both settings for NIVO as these are likely to be based on the same treated population.</w:t>
      </w:r>
    </w:p>
    <w:p w:rsidR="00813207" w:rsidRPr="00AF0145" w:rsidRDefault="00813207" w:rsidP="00813207">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The PBAC noted th</w:t>
      </w:r>
      <w:r w:rsidR="006674E5" w:rsidRPr="00AF0145">
        <w:rPr>
          <w:rFonts w:asciiTheme="minorHAnsi" w:hAnsiTheme="minorHAnsi" w:cs="Arial"/>
          <w:bCs/>
          <w:snapToGrid w:val="0"/>
          <w:szCs w:val="22"/>
          <w:lang w:eastAsia="en-US"/>
        </w:rPr>
        <w:t>at</w:t>
      </w:r>
      <w:r w:rsidRPr="00AF0145">
        <w:rPr>
          <w:rFonts w:asciiTheme="minorHAnsi" w:hAnsiTheme="minorHAnsi" w:cs="Arial"/>
          <w:bCs/>
          <w:snapToGrid w:val="0"/>
          <w:szCs w:val="22"/>
          <w:lang w:eastAsia="en-US"/>
        </w:rPr>
        <w:t xml:space="preserve"> flow-on restriction changes </w:t>
      </w:r>
      <w:r w:rsidR="001C3D12" w:rsidRPr="00AF0145">
        <w:rPr>
          <w:rFonts w:asciiTheme="minorHAnsi" w:hAnsiTheme="minorHAnsi" w:cs="Arial"/>
          <w:bCs/>
          <w:snapToGrid w:val="0"/>
          <w:szCs w:val="22"/>
          <w:lang w:eastAsia="en-US"/>
        </w:rPr>
        <w:t>would be required to</w:t>
      </w:r>
      <w:r w:rsidR="006674E5" w:rsidRPr="00AF0145">
        <w:rPr>
          <w:rFonts w:asciiTheme="minorHAnsi" w:hAnsiTheme="minorHAnsi" w:cs="Arial"/>
          <w:bCs/>
          <w:snapToGrid w:val="0"/>
          <w:szCs w:val="22"/>
          <w:lang w:eastAsia="en-US"/>
        </w:rPr>
        <w:t xml:space="preserve"> </w:t>
      </w:r>
      <w:r w:rsidR="001C3D12" w:rsidRPr="00AF0145">
        <w:rPr>
          <w:rFonts w:asciiTheme="minorHAnsi" w:hAnsiTheme="minorHAnsi" w:cs="Arial"/>
          <w:bCs/>
          <w:snapToGrid w:val="0"/>
          <w:szCs w:val="22"/>
          <w:lang w:eastAsia="en-US"/>
        </w:rPr>
        <w:t>later-line drugs for RCC</w:t>
      </w:r>
      <w:r w:rsidR="006674E5" w:rsidRPr="00AF0145">
        <w:rPr>
          <w:rFonts w:asciiTheme="minorHAnsi" w:hAnsiTheme="minorHAnsi" w:cs="Arial"/>
          <w:bCs/>
          <w:snapToGrid w:val="0"/>
          <w:szCs w:val="22"/>
          <w:lang w:eastAsia="en-US"/>
        </w:rPr>
        <w:t xml:space="preserve"> as outlined in Paragraphs 6.5 to 6.7. As such, the restriction is considered to be complex.</w:t>
      </w:r>
    </w:p>
    <w:p w:rsidR="006674E5" w:rsidRPr="00AF0145" w:rsidRDefault="006674E5" w:rsidP="006674E5">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The PBAC advised that NIVO+IPI is not suitable for presc</w:t>
      </w:r>
      <w:r w:rsidR="000E66D1">
        <w:rPr>
          <w:rFonts w:asciiTheme="minorHAnsi" w:hAnsiTheme="minorHAnsi" w:cs="Arial"/>
          <w:bCs/>
          <w:snapToGrid w:val="0"/>
          <w:szCs w:val="22"/>
          <w:lang w:eastAsia="en-US"/>
        </w:rPr>
        <w:t>ribing by nurse practitioners.</w:t>
      </w:r>
    </w:p>
    <w:p w:rsidR="006674E5" w:rsidRPr="00AF0145" w:rsidRDefault="006674E5" w:rsidP="006674E5">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The PBAC recommended that the Earl</w:t>
      </w:r>
      <w:r w:rsidR="000E66D1">
        <w:rPr>
          <w:rFonts w:asciiTheme="minorHAnsi" w:hAnsiTheme="minorHAnsi" w:cs="Arial"/>
          <w:bCs/>
          <w:snapToGrid w:val="0"/>
          <w:szCs w:val="22"/>
          <w:lang w:eastAsia="en-US"/>
        </w:rPr>
        <w:t>y Supply Rule should not apply.</w:t>
      </w:r>
    </w:p>
    <w:p w:rsidR="00E6753B" w:rsidRPr="00AF0145" w:rsidRDefault="00813207" w:rsidP="00E6753B">
      <w:pPr>
        <w:widowControl w:val="0"/>
        <w:numPr>
          <w:ilvl w:val="1"/>
          <w:numId w:val="5"/>
        </w:numPr>
        <w:spacing w:after="120"/>
        <w:jc w:val="both"/>
        <w:rPr>
          <w:rFonts w:asciiTheme="minorHAnsi" w:hAnsiTheme="minorHAnsi" w:cs="Arial"/>
          <w:bCs/>
          <w:snapToGrid w:val="0"/>
          <w:szCs w:val="22"/>
          <w:lang w:eastAsia="en-US"/>
        </w:rPr>
      </w:pPr>
      <w:r w:rsidRPr="00AF0145">
        <w:rPr>
          <w:rFonts w:asciiTheme="minorHAnsi" w:hAnsiTheme="minorHAnsi" w:cs="Arial"/>
          <w:bCs/>
          <w:snapToGrid w:val="0"/>
          <w:szCs w:val="22"/>
          <w:lang w:eastAsia="en-US"/>
        </w:rPr>
        <w:t>The PBAC noted that this submission is not eligible for an Independent Review</w:t>
      </w:r>
      <w:r w:rsidR="002E7494" w:rsidRPr="00AF0145">
        <w:rPr>
          <w:rFonts w:asciiTheme="minorHAnsi" w:hAnsiTheme="minorHAnsi" w:cs="Arial"/>
          <w:bCs/>
          <w:snapToGrid w:val="0"/>
          <w:szCs w:val="22"/>
          <w:lang w:eastAsia="en-US"/>
        </w:rPr>
        <w:t xml:space="preserve"> as it was a positive recommendation.</w:t>
      </w:r>
    </w:p>
    <w:p w:rsidR="00813207" w:rsidRPr="00AF0145" w:rsidRDefault="00813207" w:rsidP="00813207">
      <w:pPr>
        <w:widowControl w:val="0"/>
        <w:spacing w:before="240"/>
        <w:jc w:val="both"/>
        <w:rPr>
          <w:rFonts w:asciiTheme="minorHAnsi" w:hAnsiTheme="minorHAnsi" w:cs="Arial"/>
          <w:b/>
          <w:bCs/>
          <w:snapToGrid w:val="0"/>
          <w:szCs w:val="22"/>
          <w:lang w:eastAsia="en-US"/>
        </w:rPr>
      </w:pPr>
      <w:r w:rsidRPr="00AF0145">
        <w:rPr>
          <w:rFonts w:asciiTheme="minorHAnsi" w:hAnsiTheme="minorHAnsi" w:cs="Arial"/>
          <w:b/>
          <w:bCs/>
          <w:snapToGrid w:val="0"/>
          <w:szCs w:val="22"/>
          <w:lang w:eastAsia="en-US"/>
        </w:rPr>
        <w:t>Outcome:</w:t>
      </w:r>
    </w:p>
    <w:p w:rsidR="00E6753B" w:rsidRPr="00FB0ED4" w:rsidRDefault="000E66D1" w:rsidP="00813207">
      <w:pPr>
        <w:widowControl w:val="0"/>
        <w:jc w:val="both"/>
        <w:rPr>
          <w:rFonts w:asciiTheme="minorHAnsi" w:hAnsiTheme="minorHAnsi" w:cs="Arial"/>
          <w:bCs/>
          <w:snapToGrid w:val="0"/>
          <w:szCs w:val="22"/>
          <w:lang w:eastAsia="en-US"/>
        </w:rPr>
      </w:pPr>
      <w:r>
        <w:rPr>
          <w:rFonts w:asciiTheme="minorHAnsi" w:hAnsiTheme="minorHAnsi" w:cs="Arial"/>
          <w:bCs/>
          <w:snapToGrid w:val="0"/>
          <w:szCs w:val="22"/>
          <w:lang w:eastAsia="en-US"/>
        </w:rPr>
        <w:t>Recommended</w:t>
      </w:r>
    </w:p>
    <w:p w:rsidR="007A4C78" w:rsidRPr="008C421C" w:rsidRDefault="007A4C78" w:rsidP="00EF1419">
      <w:pPr>
        <w:keepNext/>
        <w:widowControl w:val="0"/>
        <w:numPr>
          <w:ilvl w:val="0"/>
          <w:numId w:val="5"/>
        </w:numPr>
        <w:spacing w:before="240" w:after="120"/>
        <w:jc w:val="both"/>
        <w:outlineLvl w:val="0"/>
        <w:rPr>
          <w:rFonts w:asciiTheme="minorHAnsi" w:hAnsiTheme="minorHAnsi" w:cs="Arial"/>
          <w:b/>
          <w:bCs/>
          <w:i/>
          <w:snapToGrid w:val="0"/>
          <w:sz w:val="32"/>
          <w:szCs w:val="22"/>
          <w:lang w:eastAsia="en-US"/>
        </w:rPr>
      </w:pPr>
      <w:r w:rsidRPr="00AF0145">
        <w:rPr>
          <w:rFonts w:asciiTheme="minorHAnsi" w:hAnsiTheme="minorHAnsi" w:cs="Arial"/>
          <w:b/>
          <w:bCs/>
          <w:snapToGrid w:val="0"/>
          <w:sz w:val="32"/>
          <w:szCs w:val="22"/>
          <w:lang w:eastAsia="en-US"/>
        </w:rPr>
        <w:lastRenderedPageBreak/>
        <w:t>Recommended listing</w:t>
      </w:r>
    </w:p>
    <w:p w:rsidR="00EF1419" w:rsidRPr="00EF1419" w:rsidRDefault="008C421C" w:rsidP="00EF1419">
      <w:pPr>
        <w:keepNext/>
        <w:widowControl w:val="0"/>
        <w:jc w:val="both"/>
        <w:rPr>
          <w:rFonts w:asciiTheme="minorHAnsi" w:hAnsiTheme="minorHAnsi" w:cstheme="minorHAnsi"/>
          <w:i/>
          <w:snapToGrid w:val="0"/>
          <w:lang w:eastAsia="en-US"/>
        </w:rPr>
      </w:pPr>
      <w:r w:rsidRPr="00EF1419">
        <w:rPr>
          <w:rFonts w:asciiTheme="minorHAnsi" w:hAnsiTheme="minorHAnsi" w:cstheme="minorHAnsi"/>
          <w:i/>
          <w:snapToGrid w:val="0"/>
          <w:lang w:eastAsia="en-US"/>
        </w:rPr>
        <w:t>Restr</w:t>
      </w:r>
      <w:r w:rsidR="00EF1419">
        <w:rPr>
          <w:rFonts w:asciiTheme="minorHAnsi" w:hAnsiTheme="minorHAnsi" w:cstheme="minorHAnsi"/>
          <w:i/>
          <w:snapToGrid w:val="0"/>
          <w:lang w:eastAsia="en-US"/>
        </w:rPr>
        <w:t>ictions to be finalised:</w:t>
      </w:r>
    </w:p>
    <w:p w:rsidR="007A4C78" w:rsidRPr="003E7E2B" w:rsidRDefault="007A4C78" w:rsidP="007A4C78">
      <w:pPr>
        <w:keepNext/>
        <w:widowControl w:val="0"/>
        <w:numPr>
          <w:ilvl w:val="1"/>
          <w:numId w:val="5"/>
        </w:numPr>
        <w:spacing w:after="120"/>
        <w:jc w:val="both"/>
        <w:rPr>
          <w:rFonts w:asciiTheme="minorHAnsi" w:hAnsiTheme="minorHAnsi" w:cs="Arial"/>
          <w:bCs/>
          <w:snapToGrid w:val="0"/>
          <w:szCs w:val="22"/>
          <w:lang w:eastAsia="en-US"/>
        </w:rPr>
      </w:pPr>
      <w:r w:rsidRPr="003E7E2B">
        <w:rPr>
          <w:rFonts w:asciiTheme="minorHAnsi" w:hAnsiTheme="minorHAnsi" w:cs="Arial"/>
          <w:bCs/>
          <w:snapToGrid w:val="0"/>
          <w:szCs w:val="22"/>
          <w:lang w:eastAsia="en-US"/>
        </w:rPr>
        <w:t>Add new items:</w:t>
      </w:r>
    </w:p>
    <w:p w:rsidR="007A4C78" w:rsidRPr="003E7E2B" w:rsidRDefault="007A4C78" w:rsidP="007A4C78">
      <w:pPr>
        <w:keepNext/>
        <w:jc w:val="center"/>
        <w:rPr>
          <w:rFonts w:asciiTheme="minorHAnsi" w:hAnsiTheme="minorHAnsi"/>
          <w:sz w:val="22"/>
          <w:szCs w:val="22"/>
        </w:rPr>
      </w:pPr>
    </w:p>
    <w:p w:rsidR="007A4C78" w:rsidRPr="007A4C78" w:rsidRDefault="007A4C78" w:rsidP="007A4C78">
      <w:pPr>
        <w:pStyle w:val="Heading3"/>
      </w:pPr>
      <w:r w:rsidRPr="007A4C78">
        <w:t>Nivolumab induction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219"/>
        <w:gridCol w:w="1418"/>
        <w:gridCol w:w="1418"/>
        <w:gridCol w:w="2187"/>
      </w:tblGrid>
      <w:tr w:rsidR="007A4C78" w:rsidRPr="00F5543B" w:rsidTr="008C421C">
        <w:trPr>
          <w:tblHeader/>
        </w:trPr>
        <w:tc>
          <w:tcPr>
            <w:tcW w:w="2283" w:type="pct"/>
          </w:tcPr>
          <w:p w:rsidR="007A4C78" w:rsidRPr="00F5543B" w:rsidRDefault="007A4C78" w:rsidP="008C421C">
            <w:pPr>
              <w:keepNext/>
              <w:keepLines/>
              <w:widowControl w:val="0"/>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Name, restriction, manner of administration, form</w:t>
            </w:r>
          </w:p>
        </w:tc>
        <w:tc>
          <w:tcPr>
            <w:tcW w:w="767" w:type="pct"/>
          </w:tcPr>
          <w:p w:rsidR="007A4C78" w:rsidRPr="00F5543B" w:rsidRDefault="007A4C78" w:rsidP="008C421C">
            <w:pPr>
              <w:keepNext/>
              <w:keepLines/>
              <w:widowControl w:val="0"/>
              <w:jc w:val="center"/>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 xml:space="preserve">Maximum </w:t>
            </w:r>
            <w:r>
              <w:rPr>
                <w:rFonts w:ascii="Arial Narrow" w:hAnsi="Arial Narrow" w:cs="Arial"/>
                <w:b/>
                <w:snapToGrid w:val="0"/>
                <w:sz w:val="20"/>
                <w:szCs w:val="20"/>
                <w:lang w:eastAsia="en-US"/>
              </w:rPr>
              <w:t>Amount</w:t>
            </w:r>
          </w:p>
        </w:tc>
        <w:tc>
          <w:tcPr>
            <w:tcW w:w="767" w:type="pct"/>
          </w:tcPr>
          <w:p w:rsidR="007A4C78" w:rsidRPr="00F5543B" w:rsidRDefault="007A4C78" w:rsidP="008C421C">
            <w:pPr>
              <w:keepNext/>
              <w:keepLines/>
              <w:widowControl w:val="0"/>
              <w:jc w:val="center"/>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No. of repeats</w:t>
            </w:r>
          </w:p>
        </w:tc>
        <w:tc>
          <w:tcPr>
            <w:tcW w:w="1184" w:type="pct"/>
          </w:tcPr>
          <w:p w:rsidR="007A4C78" w:rsidRPr="00F5543B" w:rsidRDefault="007A4C78" w:rsidP="008C421C">
            <w:pPr>
              <w:keepNext/>
              <w:keepLines/>
              <w:widowControl w:val="0"/>
              <w:jc w:val="both"/>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Proprietary name and manufacturer</w:t>
            </w:r>
          </w:p>
        </w:tc>
      </w:tr>
      <w:tr w:rsidR="007A4C78" w:rsidRPr="00F5543B" w:rsidTr="008C421C">
        <w:trPr>
          <w:tblHeader/>
        </w:trPr>
        <w:tc>
          <w:tcPr>
            <w:tcW w:w="2283" w:type="pct"/>
          </w:tcPr>
          <w:p w:rsidR="007A4C78" w:rsidRPr="00F5543B" w:rsidRDefault="007A4C78" w:rsidP="008C421C">
            <w:pPr>
              <w:keepNext/>
              <w:keepLines/>
              <w:widowControl w:val="0"/>
              <w:rPr>
                <w:rFonts w:ascii="Arial Narrow" w:hAnsi="Arial Narrow" w:cs="Arial"/>
                <w:snapToGrid w:val="0"/>
                <w:sz w:val="20"/>
                <w:szCs w:val="20"/>
                <w:lang w:eastAsia="en-US"/>
              </w:rPr>
            </w:pPr>
            <w:r w:rsidRPr="00F5543B">
              <w:rPr>
                <w:rFonts w:ascii="Arial Narrow" w:hAnsi="Arial Narrow" w:cs="Arial"/>
                <w:snapToGrid w:val="0"/>
                <w:sz w:val="20"/>
                <w:szCs w:val="20"/>
                <w:lang w:eastAsia="en-US"/>
              </w:rPr>
              <w:t>Induction phase</w:t>
            </w:r>
          </w:p>
        </w:tc>
        <w:tc>
          <w:tcPr>
            <w:tcW w:w="767" w:type="pct"/>
          </w:tcPr>
          <w:p w:rsidR="007A4C78" w:rsidRPr="00F5543B" w:rsidRDefault="007A4C78" w:rsidP="008C421C">
            <w:pPr>
              <w:keepNext/>
              <w:keepLines/>
              <w:widowControl w:val="0"/>
              <w:jc w:val="center"/>
              <w:rPr>
                <w:rFonts w:ascii="Arial Narrow" w:hAnsi="Arial Narrow" w:cs="Arial"/>
                <w:b/>
                <w:snapToGrid w:val="0"/>
                <w:sz w:val="20"/>
                <w:szCs w:val="20"/>
                <w:lang w:eastAsia="en-US"/>
              </w:rPr>
            </w:pPr>
          </w:p>
        </w:tc>
        <w:tc>
          <w:tcPr>
            <w:tcW w:w="767" w:type="pct"/>
          </w:tcPr>
          <w:p w:rsidR="007A4C78" w:rsidRPr="00F5543B" w:rsidRDefault="007A4C78" w:rsidP="008C421C">
            <w:pPr>
              <w:keepNext/>
              <w:keepLines/>
              <w:widowControl w:val="0"/>
              <w:jc w:val="center"/>
              <w:rPr>
                <w:rFonts w:ascii="Arial Narrow" w:hAnsi="Arial Narrow" w:cs="Arial"/>
                <w:b/>
                <w:snapToGrid w:val="0"/>
                <w:sz w:val="20"/>
                <w:szCs w:val="20"/>
                <w:lang w:eastAsia="en-US"/>
              </w:rPr>
            </w:pPr>
          </w:p>
        </w:tc>
        <w:tc>
          <w:tcPr>
            <w:tcW w:w="1184" w:type="pct"/>
          </w:tcPr>
          <w:p w:rsidR="007A4C78" w:rsidRPr="00F5543B" w:rsidRDefault="007A4C78" w:rsidP="008C421C">
            <w:pPr>
              <w:keepNext/>
              <w:keepLines/>
              <w:widowControl w:val="0"/>
              <w:jc w:val="both"/>
              <w:rPr>
                <w:rFonts w:ascii="Arial Narrow" w:hAnsi="Arial Narrow" w:cs="Arial"/>
                <w:b/>
                <w:snapToGrid w:val="0"/>
                <w:sz w:val="20"/>
                <w:szCs w:val="20"/>
                <w:lang w:eastAsia="en-US"/>
              </w:rPr>
            </w:pPr>
          </w:p>
        </w:tc>
      </w:tr>
      <w:tr w:rsidR="007A4C78" w:rsidRPr="00F5543B" w:rsidTr="008C421C">
        <w:tc>
          <w:tcPr>
            <w:tcW w:w="2283" w:type="pct"/>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NIVOLUMAB</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Injection 40 mg/4 mL 1 x 4 mL vial</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bCs/>
                <w:sz w:val="20"/>
                <w:szCs w:val="22"/>
                <w:lang w:eastAsia="en-US"/>
              </w:rPr>
              <w:t>Injection 100 mg/10 mL 1 x 10 mL vial</w:t>
            </w:r>
          </w:p>
        </w:tc>
        <w:tc>
          <w:tcPr>
            <w:tcW w:w="767" w:type="pct"/>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360 mg</w:t>
            </w:r>
          </w:p>
          <w:p w:rsidR="007A4C78" w:rsidRPr="00F5543B" w:rsidRDefault="007A4C78" w:rsidP="008C421C">
            <w:pPr>
              <w:keepNext/>
              <w:keepLines/>
              <w:jc w:val="center"/>
              <w:rPr>
                <w:rFonts w:ascii="Arial Narrow" w:hAnsi="Arial Narrow"/>
                <w:sz w:val="20"/>
                <w:szCs w:val="22"/>
                <w:lang w:eastAsia="en-US"/>
              </w:rPr>
            </w:pPr>
          </w:p>
        </w:tc>
        <w:tc>
          <w:tcPr>
            <w:tcW w:w="767" w:type="pct"/>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3</w:t>
            </w:r>
          </w:p>
          <w:p w:rsidR="007A4C78" w:rsidRPr="00F5543B" w:rsidRDefault="007A4C78" w:rsidP="008C421C">
            <w:pPr>
              <w:keepNext/>
              <w:keepLines/>
              <w:jc w:val="center"/>
              <w:rPr>
                <w:rFonts w:ascii="Arial Narrow" w:hAnsi="Arial Narrow"/>
                <w:sz w:val="20"/>
                <w:szCs w:val="22"/>
                <w:lang w:eastAsia="en-US"/>
              </w:rPr>
            </w:pPr>
          </w:p>
        </w:tc>
        <w:tc>
          <w:tcPr>
            <w:tcW w:w="1184" w:type="pct"/>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OPDIVO Bristol-Myers Squibb Australia Pty Ltd</w:t>
            </w:r>
          </w:p>
        </w:tc>
      </w:tr>
    </w:tbl>
    <w:p w:rsidR="007A4C78" w:rsidRPr="00F5543B" w:rsidRDefault="007A4C78" w:rsidP="007A4C78">
      <w:pPr>
        <w:keepNext/>
        <w:rPr>
          <w:rFonts w:ascii="Arial Narrow" w:hAnsi="Arial Narrow"/>
          <w:b/>
          <w:sz w:val="20"/>
          <w:szCs w:val="16"/>
          <w:lang w:eastAsia="en-US"/>
        </w:rPr>
      </w:pPr>
    </w:p>
    <w:tbl>
      <w:tblPr>
        <w:tblW w:w="9072" w:type="dxa"/>
        <w:tblInd w:w="108" w:type="dxa"/>
        <w:tblLayout w:type="fixed"/>
        <w:tblLook w:val="0000" w:firstRow="0" w:lastRow="0" w:firstColumn="0" w:lastColumn="0" w:noHBand="0" w:noVBand="0"/>
      </w:tblPr>
      <w:tblGrid>
        <w:gridCol w:w="1843"/>
        <w:gridCol w:w="7229"/>
      </w:tblGrid>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keepNext/>
              <w:rPr>
                <w:rFonts w:ascii="Arial Narrow" w:hAnsi="Arial Narrow"/>
                <w:b/>
                <w:sz w:val="20"/>
                <w:szCs w:val="22"/>
                <w:lang w:eastAsia="en-US"/>
              </w:rPr>
            </w:pPr>
            <w:r w:rsidRPr="00F5543B">
              <w:rPr>
                <w:rFonts w:ascii="Arial Narrow" w:hAnsi="Arial Narrow"/>
                <w:b/>
                <w:sz w:val="20"/>
                <w:szCs w:val="22"/>
                <w:lang w:eastAsia="en-US"/>
              </w:rPr>
              <w:t>Category/Program</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keepNext/>
              <w:rPr>
                <w:rFonts w:ascii="Arial Narrow" w:hAnsi="Arial Narrow"/>
                <w:sz w:val="20"/>
                <w:szCs w:val="22"/>
                <w:lang w:eastAsia="en-US"/>
              </w:rPr>
            </w:pPr>
            <w:r w:rsidRPr="00F5543B">
              <w:rPr>
                <w:rFonts w:ascii="Arial Narrow" w:hAnsi="Arial Narrow"/>
                <w:sz w:val="20"/>
                <w:szCs w:val="22"/>
                <w:lang w:eastAsia="en-US"/>
              </w:rPr>
              <w:t>Section 100 - Efficient funding of Chemotherapy</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Prescriber type</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Medical Practitioners</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Severity:</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Stage IV</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Condition: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Clear cell variant renal cell carcinoma (RCC)</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PBS Indication: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Stage IV clear cell variant renal cell carcinoma (RCC)</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b/>
                <w:sz w:val="20"/>
                <w:szCs w:val="22"/>
                <w:lang w:eastAsia="en-US"/>
              </w:rPr>
              <w:t>Treatment phase:</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Induction (combination) treatment</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b/>
                <w:sz w:val="20"/>
                <w:szCs w:val="22"/>
                <w:lang w:eastAsia="en-US"/>
              </w:rPr>
              <w:t>Restriction: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fldChar w:fldCharType="begin">
                <w:ffData>
                  <w:name w:val="Check5"/>
                  <w:enabled/>
                  <w:calcOnExit w:val="0"/>
                  <w:checkBox>
                    <w:sizeAuto/>
                    <w:default w:val="1"/>
                  </w:checkBox>
                </w:ffData>
              </w:fldChar>
            </w:r>
            <w:r w:rsidRPr="00F5543B">
              <w:rPr>
                <w:rFonts w:ascii="Arial Narrow" w:hAnsi="Arial Narrow"/>
                <w:sz w:val="20"/>
                <w:szCs w:val="22"/>
                <w:lang w:eastAsia="en-US"/>
              </w:rPr>
              <w:instrText xml:space="preserve"> FORMCHECKBOX </w:instrText>
            </w:r>
            <w:r w:rsidR="004473C8">
              <w:rPr>
                <w:rFonts w:ascii="Arial Narrow" w:hAnsi="Arial Narrow"/>
                <w:sz w:val="20"/>
                <w:szCs w:val="22"/>
                <w:lang w:eastAsia="en-US"/>
              </w:rPr>
            </w:r>
            <w:r w:rsidR="004473C8">
              <w:rPr>
                <w:rFonts w:ascii="Arial Narrow" w:hAnsi="Arial Narrow"/>
                <w:sz w:val="20"/>
                <w:szCs w:val="22"/>
                <w:lang w:eastAsia="en-US"/>
              </w:rPr>
              <w:fldChar w:fldCharType="separate"/>
            </w:r>
            <w:r w:rsidRPr="00F5543B">
              <w:rPr>
                <w:rFonts w:ascii="Arial Narrow" w:hAnsi="Arial Narrow"/>
                <w:sz w:val="20"/>
                <w:szCs w:val="22"/>
                <w:lang w:eastAsia="en-US"/>
              </w:rPr>
              <w:fldChar w:fldCharType="end"/>
            </w:r>
            <w:r w:rsidRPr="00F5543B">
              <w:rPr>
                <w:rFonts w:ascii="Arial Narrow" w:hAnsi="Arial Narrow"/>
                <w:sz w:val="20"/>
                <w:szCs w:val="22"/>
                <w:lang w:eastAsia="en-US"/>
              </w:rPr>
              <w:t>Streamlined</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Clinical criteria:</w:t>
            </w:r>
          </w:p>
          <w:p w:rsidR="007A4C78" w:rsidRPr="00F5543B" w:rsidRDefault="007A4C78" w:rsidP="008C421C">
            <w:pPr>
              <w:rPr>
                <w:rFonts w:ascii="Arial Narrow" w:hAnsi="Arial Narrow"/>
                <w:sz w:val="20"/>
                <w:szCs w:val="22"/>
                <w:lang w:eastAsia="en-US"/>
              </w:rPr>
            </w:pP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Patient must meet the International Metastatic Renal Cell Carcinoma Database Consortium (IMDC) intermediate to poor risk group criteria</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Patient must have a WHO performance status of 2 or less</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treatment must be in combination with PBS-subsidised treatment with ipilimumab as induction for this condition</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cs="Arial"/>
                <w:sz w:val="20"/>
                <w:szCs w:val="22"/>
                <w:lang w:eastAsia="en-US"/>
              </w:rPr>
            </w:pPr>
            <w:r w:rsidRPr="00F5543B">
              <w:rPr>
                <w:rFonts w:ascii="Arial Narrow" w:hAnsi="Arial Narrow"/>
                <w:sz w:val="20"/>
                <w:szCs w:val="22"/>
                <w:lang w:eastAsia="en-US"/>
              </w:rPr>
              <w:t>The treatment must be for first-line therapy for this condition</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Induction treatment with nivolumab must not exceed a total of 4 doses at a maximum dose of 3 mg per kg every 3 weeks</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patient’s body weight must be documented in the patient’s medical records at the time treatment is initiated</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quantity or number of units may be authorised.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number of repeats may be authorised.</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Special Pricing Arrangements apply.</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Caution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Combination treatment with ipilimumab and nivolumab is associated with an increase incidence and severity of immune-related adverse reactions compared with monotherapy with these agents.  Monitoring at least prior to each dose is recommended.</w:t>
            </w:r>
          </w:p>
        </w:tc>
      </w:tr>
    </w:tbl>
    <w:p w:rsidR="007A4C78" w:rsidRPr="00F5543B" w:rsidRDefault="007A4C78" w:rsidP="007A4C78">
      <w:pPr>
        <w:rPr>
          <w:rFonts w:asciiTheme="minorHAnsi" w:hAnsiTheme="minorHAnsi" w:cs="Arial"/>
          <w:b/>
        </w:rPr>
      </w:pPr>
    </w:p>
    <w:p w:rsidR="007A4C78" w:rsidRPr="007A4C78" w:rsidRDefault="007A4C78" w:rsidP="00EF1419">
      <w:pPr>
        <w:pStyle w:val="Heading3"/>
      </w:pPr>
      <w:r w:rsidRPr="007A4C78">
        <w:lastRenderedPageBreak/>
        <w:t>Ipilimumab induction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932"/>
        <w:gridCol w:w="1420"/>
        <w:gridCol w:w="1701"/>
        <w:gridCol w:w="2189"/>
      </w:tblGrid>
      <w:tr w:rsidR="007A4C78" w:rsidRPr="00F5543B" w:rsidTr="008C421C">
        <w:trPr>
          <w:tblHeader/>
        </w:trPr>
        <w:tc>
          <w:tcPr>
            <w:tcW w:w="2128" w:type="pct"/>
          </w:tcPr>
          <w:p w:rsidR="007A4C78" w:rsidRPr="00F5543B" w:rsidRDefault="007A4C78" w:rsidP="00EF1419">
            <w:pPr>
              <w:keepNext/>
              <w:keepLines/>
              <w:widowControl w:val="0"/>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Name, restriction, manner of administration, form</w:t>
            </w:r>
          </w:p>
        </w:tc>
        <w:tc>
          <w:tcPr>
            <w:tcW w:w="768" w:type="pct"/>
          </w:tcPr>
          <w:p w:rsidR="007A4C78" w:rsidRPr="00F5543B" w:rsidRDefault="007A4C78" w:rsidP="00EF1419">
            <w:pPr>
              <w:keepNext/>
              <w:keepLines/>
              <w:widowControl w:val="0"/>
              <w:jc w:val="center"/>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 xml:space="preserve">Maximum </w:t>
            </w:r>
            <w:r>
              <w:rPr>
                <w:rFonts w:ascii="Arial Narrow" w:hAnsi="Arial Narrow" w:cs="Arial"/>
                <w:b/>
                <w:snapToGrid w:val="0"/>
                <w:sz w:val="20"/>
                <w:szCs w:val="20"/>
                <w:lang w:eastAsia="en-US"/>
              </w:rPr>
              <w:t>Amount</w:t>
            </w:r>
          </w:p>
        </w:tc>
        <w:tc>
          <w:tcPr>
            <w:tcW w:w="920" w:type="pct"/>
          </w:tcPr>
          <w:p w:rsidR="007A4C78" w:rsidRPr="00F5543B" w:rsidRDefault="007A4C78" w:rsidP="00EF1419">
            <w:pPr>
              <w:keepNext/>
              <w:keepLines/>
              <w:widowControl w:val="0"/>
              <w:jc w:val="center"/>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No. of repeats</w:t>
            </w:r>
          </w:p>
        </w:tc>
        <w:tc>
          <w:tcPr>
            <w:tcW w:w="1184" w:type="pct"/>
          </w:tcPr>
          <w:p w:rsidR="007A4C78" w:rsidRPr="00F5543B" w:rsidRDefault="007A4C78" w:rsidP="00EF1419">
            <w:pPr>
              <w:keepNext/>
              <w:keepLines/>
              <w:widowControl w:val="0"/>
              <w:jc w:val="both"/>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Proprietary name and manufacturer</w:t>
            </w:r>
          </w:p>
        </w:tc>
      </w:tr>
      <w:tr w:rsidR="007A4C78" w:rsidRPr="00F5543B" w:rsidTr="008C421C">
        <w:tc>
          <w:tcPr>
            <w:tcW w:w="2128" w:type="pct"/>
          </w:tcPr>
          <w:p w:rsidR="007A4C78" w:rsidRPr="00F5543B" w:rsidRDefault="007A4C78" w:rsidP="00EF1419">
            <w:pPr>
              <w:keepNext/>
              <w:keepLines/>
              <w:rPr>
                <w:rFonts w:ascii="Arial Narrow" w:hAnsi="Arial Narrow"/>
                <w:bCs/>
                <w:sz w:val="20"/>
                <w:szCs w:val="22"/>
                <w:lang w:eastAsia="en-US"/>
              </w:rPr>
            </w:pPr>
            <w:r w:rsidRPr="00F5543B">
              <w:rPr>
                <w:rFonts w:ascii="Arial Narrow" w:hAnsi="Arial Narrow"/>
                <w:bCs/>
                <w:sz w:val="20"/>
                <w:szCs w:val="22"/>
                <w:lang w:eastAsia="en-US"/>
              </w:rPr>
              <w:t>IPILIMUMAB</w:t>
            </w:r>
          </w:p>
          <w:p w:rsidR="007A4C78" w:rsidRPr="00F5543B" w:rsidRDefault="007A4C78" w:rsidP="00EF1419">
            <w:pPr>
              <w:keepNext/>
              <w:keepLines/>
              <w:rPr>
                <w:rFonts w:ascii="Arial Narrow" w:hAnsi="Arial Narrow"/>
                <w:sz w:val="20"/>
                <w:szCs w:val="22"/>
                <w:lang w:eastAsia="en-US"/>
              </w:rPr>
            </w:pPr>
            <w:r w:rsidRPr="00F5543B">
              <w:rPr>
                <w:rFonts w:ascii="Arial Narrow" w:hAnsi="Arial Narrow"/>
                <w:bCs/>
                <w:sz w:val="20"/>
                <w:szCs w:val="22"/>
                <w:lang w:eastAsia="en-US"/>
              </w:rPr>
              <w:t>Injection 50 mg/10 mL 1 x 10 mL vial</w:t>
            </w:r>
            <w:r w:rsidRPr="00F5543B">
              <w:rPr>
                <w:rFonts w:ascii="Arial Narrow" w:hAnsi="Arial Narrow"/>
                <w:sz w:val="20"/>
                <w:szCs w:val="22"/>
                <w:lang w:eastAsia="en-US"/>
              </w:rPr>
              <w:t xml:space="preserve"> </w:t>
            </w:r>
          </w:p>
        </w:tc>
        <w:tc>
          <w:tcPr>
            <w:tcW w:w="768" w:type="pct"/>
          </w:tcPr>
          <w:p w:rsidR="007A4C78" w:rsidRPr="00F5543B" w:rsidRDefault="007A4C78" w:rsidP="00EF1419">
            <w:pPr>
              <w:keepNext/>
              <w:keepLines/>
              <w:jc w:val="center"/>
              <w:rPr>
                <w:rFonts w:ascii="Arial Narrow" w:hAnsi="Arial Narrow"/>
                <w:sz w:val="20"/>
                <w:szCs w:val="22"/>
                <w:lang w:eastAsia="en-US"/>
              </w:rPr>
            </w:pPr>
            <w:r w:rsidRPr="00F5543B">
              <w:rPr>
                <w:rFonts w:ascii="Arial Narrow" w:hAnsi="Arial Narrow"/>
                <w:sz w:val="20"/>
                <w:szCs w:val="22"/>
                <w:lang w:eastAsia="en-US"/>
              </w:rPr>
              <w:t>120 mg</w:t>
            </w:r>
          </w:p>
        </w:tc>
        <w:tc>
          <w:tcPr>
            <w:tcW w:w="920" w:type="pct"/>
          </w:tcPr>
          <w:p w:rsidR="007A4C78" w:rsidRPr="00F5543B" w:rsidRDefault="007A4C78" w:rsidP="00EF1419">
            <w:pPr>
              <w:keepNext/>
              <w:keepLines/>
              <w:jc w:val="center"/>
              <w:rPr>
                <w:rFonts w:ascii="Arial Narrow" w:hAnsi="Arial Narrow"/>
                <w:sz w:val="20"/>
                <w:szCs w:val="22"/>
                <w:lang w:eastAsia="en-US"/>
              </w:rPr>
            </w:pPr>
            <w:r w:rsidRPr="00F5543B">
              <w:rPr>
                <w:rFonts w:ascii="Arial Narrow" w:hAnsi="Arial Narrow"/>
                <w:sz w:val="20"/>
                <w:szCs w:val="22"/>
                <w:lang w:eastAsia="en-US"/>
              </w:rPr>
              <w:t>3</w:t>
            </w:r>
          </w:p>
        </w:tc>
        <w:tc>
          <w:tcPr>
            <w:tcW w:w="1184" w:type="pct"/>
          </w:tcPr>
          <w:p w:rsidR="007A4C78" w:rsidRPr="00F5543B" w:rsidRDefault="007A4C78" w:rsidP="00EF1419">
            <w:pPr>
              <w:keepNext/>
              <w:keepLines/>
              <w:rPr>
                <w:rFonts w:ascii="Arial Narrow" w:hAnsi="Arial Narrow"/>
                <w:sz w:val="20"/>
                <w:szCs w:val="22"/>
                <w:lang w:eastAsia="en-US"/>
              </w:rPr>
            </w:pPr>
            <w:r w:rsidRPr="00F5543B">
              <w:rPr>
                <w:rFonts w:ascii="Arial Narrow" w:hAnsi="Arial Narrow"/>
                <w:sz w:val="20"/>
                <w:szCs w:val="22"/>
                <w:lang w:eastAsia="en-US"/>
              </w:rPr>
              <w:t>YERVOY Bristol-Myers Squibb Australia Pty Ltd</w:t>
            </w:r>
          </w:p>
        </w:tc>
      </w:tr>
    </w:tbl>
    <w:p w:rsidR="007A4C78" w:rsidRPr="00F5543B" w:rsidRDefault="007A4C78" w:rsidP="00EF1419">
      <w:pPr>
        <w:keepNext/>
        <w:rPr>
          <w:rFonts w:ascii="Arial Narrow" w:hAnsi="Arial Narrow"/>
          <w:b/>
          <w:sz w:val="20"/>
          <w:szCs w:val="16"/>
          <w:lang w:eastAsia="en-US"/>
        </w:rPr>
      </w:pPr>
    </w:p>
    <w:tbl>
      <w:tblPr>
        <w:tblW w:w="9072" w:type="dxa"/>
        <w:tblInd w:w="108" w:type="dxa"/>
        <w:tblLayout w:type="fixed"/>
        <w:tblLook w:val="0000" w:firstRow="0" w:lastRow="0" w:firstColumn="0" w:lastColumn="0" w:noHBand="0" w:noVBand="0"/>
      </w:tblPr>
      <w:tblGrid>
        <w:gridCol w:w="1843"/>
        <w:gridCol w:w="7229"/>
      </w:tblGrid>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Category/Program</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Section 100 - Efficient funding of Chemotherapy</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Prescriber type</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Medical Practitioners</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Severity:</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Stage IV</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Condition: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Clear cell variant renal cell carcinoma (RCC)</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PBS Indication: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Stage IV clear cell variant renal cell carcinoma (RCC)</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b/>
                <w:sz w:val="20"/>
                <w:szCs w:val="22"/>
                <w:lang w:eastAsia="en-US"/>
              </w:rPr>
              <w:t>Treatment phase:</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Induction (combination) treatment</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b/>
                <w:sz w:val="20"/>
                <w:szCs w:val="22"/>
                <w:lang w:eastAsia="en-US"/>
              </w:rPr>
              <w:t>Restriction: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fldChar w:fldCharType="begin">
                <w:ffData>
                  <w:name w:val="Check5"/>
                  <w:enabled/>
                  <w:calcOnExit w:val="0"/>
                  <w:checkBox>
                    <w:sizeAuto/>
                    <w:default w:val="1"/>
                  </w:checkBox>
                </w:ffData>
              </w:fldChar>
            </w:r>
            <w:r w:rsidRPr="00F5543B">
              <w:rPr>
                <w:rFonts w:ascii="Arial Narrow" w:hAnsi="Arial Narrow"/>
                <w:sz w:val="20"/>
                <w:szCs w:val="22"/>
                <w:lang w:eastAsia="en-US"/>
              </w:rPr>
              <w:instrText xml:space="preserve"> FORMCHECKBOX </w:instrText>
            </w:r>
            <w:r w:rsidR="004473C8">
              <w:rPr>
                <w:rFonts w:ascii="Arial Narrow" w:hAnsi="Arial Narrow"/>
                <w:sz w:val="20"/>
                <w:szCs w:val="22"/>
                <w:lang w:eastAsia="en-US"/>
              </w:rPr>
            </w:r>
            <w:r w:rsidR="004473C8">
              <w:rPr>
                <w:rFonts w:ascii="Arial Narrow" w:hAnsi="Arial Narrow"/>
                <w:sz w:val="20"/>
                <w:szCs w:val="22"/>
                <w:lang w:eastAsia="en-US"/>
              </w:rPr>
              <w:fldChar w:fldCharType="separate"/>
            </w:r>
            <w:r w:rsidRPr="00F5543B">
              <w:rPr>
                <w:rFonts w:ascii="Arial Narrow" w:hAnsi="Arial Narrow"/>
                <w:sz w:val="20"/>
                <w:szCs w:val="22"/>
                <w:lang w:eastAsia="en-US"/>
              </w:rPr>
              <w:fldChar w:fldCharType="end"/>
            </w:r>
            <w:r w:rsidRPr="00F5543B">
              <w:rPr>
                <w:rFonts w:ascii="Arial Narrow" w:hAnsi="Arial Narrow"/>
                <w:sz w:val="20"/>
                <w:szCs w:val="22"/>
                <w:lang w:eastAsia="en-US"/>
              </w:rPr>
              <w:t>Streamlined</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Clinical criteria:</w:t>
            </w:r>
          </w:p>
          <w:p w:rsidR="007A4C78" w:rsidRPr="00F5543B" w:rsidRDefault="007A4C78" w:rsidP="008C421C">
            <w:pPr>
              <w:rPr>
                <w:rFonts w:ascii="Arial Narrow" w:hAnsi="Arial Narrow"/>
                <w:sz w:val="20"/>
                <w:szCs w:val="22"/>
                <w:lang w:eastAsia="en-US"/>
              </w:rPr>
            </w:pP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Patient must meet the International Metastatic Renal Cell Carcinoma Database Consortium (IMDC) intermediate/poor risk group criteria</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Patient must have a WHO performance status of 2 or less</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treatment must be in combination with PBS-subsidised treatment with nivolumab as induction therapy for this condition</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cs="Arial"/>
                <w:sz w:val="20"/>
                <w:szCs w:val="22"/>
                <w:lang w:eastAsia="en-US"/>
              </w:rPr>
            </w:pPr>
            <w:r w:rsidRPr="00F5543B">
              <w:rPr>
                <w:rFonts w:ascii="Arial Narrow" w:hAnsi="Arial Narrow"/>
                <w:sz w:val="20"/>
                <w:szCs w:val="22"/>
                <w:lang w:eastAsia="en-US"/>
              </w:rPr>
              <w:t>The treatment must be for first-line therapy for this condition</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Prescriber Instructions:</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Induction treatment with ipilimumab must not exceed a total of 4 doses at a maximum dose of 1 mg per kg every 3 weeks</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patient’s body weight must be documented in the patient’s medical records at the time treatment is initiated</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Administrative Advice:</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quantity or number of units may be authorised.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number of repeats may be authorised.</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Special Pricing Arrangements apply.</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Caution</w:t>
            </w:r>
          </w:p>
        </w:tc>
        <w:tc>
          <w:tcPr>
            <w:tcW w:w="722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Combination treatment with ipilimumab and nivolumab is associated with an increase incidence and severity of immune-related adverse reactions compared with monotherapy with these agents.  Monitoring at least prior to each dose is recommended.</w:t>
            </w:r>
          </w:p>
        </w:tc>
      </w:tr>
    </w:tbl>
    <w:p w:rsidR="007A4C78" w:rsidRPr="00F5543B" w:rsidRDefault="007A4C78" w:rsidP="007A4C78">
      <w:pPr>
        <w:widowControl w:val="0"/>
        <w:jc w:val="both"/>
        <w:rPr>
          <w:rFonts w:ascii="Calibri" w:hAnsi="Calibri" w:cs="Arial"/>
          <w:snapToGrid w:val="0"/>
          <w:szCs w:val="22"/>
          <w:lang w:eastAsia="en-US"/>
        </w:rPr>
      </w:pPr>
    </w:p>
    <w:p w:rsidR="007A4C78" w:rsidRPr="007A4C78" w:rsidRDefault="007A4C78" w:rsidP="007A4C78">
      <w:pPr>
        <w:pStyle w:val="Heading3"/>
      </w:pPr>
      <w:r w:rsidRPr="007A4C78">
        <w:t>Continuing treatment with nivolumab</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198"/>
        <w:gridCol w:w="1689"/>
        <w:gridCol w:w="1181"/>
        <w:gridCol w:w="2174"/>
      </w:tblGrid>
      <w:tr w:rsidR="007A4C78" w:rsidRPr="00986DAD" w:rsidTr="008C421C">
        <w:tc>
          <w:tcPr>
            <w:tcW w:w="0" w:type="auto"/>
            <w:tcBorders>
              <w:top w:val="single" w:sz="4" w:space="0" w:color="auto"/>
              <w:left w:val="nil"/>
              <w:bottom w:val="single" w:sz="4" w:space="0" w:color="auto"/>
              <w:right w:val="nil"/>
            </w:tcBorders>
          </w:tcPr>
          <w:p w:rsidR="007A4C78" w:rsidRPr="00986DAD" w:rsidRDefault="007A4C78" w:rsidP="008C421C">
            <w:pPr>
              <w:keepNext/>
              <w:keepLines/>
              <w:rPr>
                <w:rFonts w:ascii="Arial Narrow" w:hAnsi="Arial Narrow"/>
                <w:b/>
                <w:sz w:val="20"/>
                <w:szCs w:val="22"/>
                <w:lang w:eastAsia="en-US"/>
              </w:rPr>
            </w:pPr>
            <w:r w:rsidRPr="00986DAD">
              <w:rPr>
                <w:rFonts w:ascii="Arial Narrow" w:hAnsi="Arial Narrow"/>
                <w:b/>
                <w:sz w:val="20"/>
                <w:szCs w:val="22"/>
                <w:lang w:eastAsia="en-US"/>
              </w:rPr>
              <w:t>Name, restriction, manner of administration, form</w:t>
            </w:r>
          </w:p>
        </w:tc>
        <w:tc>
          <w:tcPr>
            <w:tcW w:w="0" w:type="auto"/>
            <w:tcBorders>
              <w:top w:val="single" w:sz="4" w:space="0" w:color="auto"/>
              <w:left w:val="nil"/>
              <w:bottom w:val="single" w:sz="4" w:space="0" w:color="auto"/>
              <w:right w:val="nil"/>
            </w:tcBorders>
          </w:tcPr>
          <w:p w:rsidR="007A4C78" w:rsidRPr="00986DAD" w:rsidRDefault="007A4C78" w:rsidP="008C421C">
            <w:pPr>
              <w:keepNext/>
              <w:keepLines/>
              <w:jc w:val="center"/>
              <w:rPr>
                <w:rFonts w:ascii="Arial Narrow" w:hAnsi="Arial Narrow"/>
                <w:b/>
                <w:sz w:val="20"/>
                <w:szCs w:val="22"/>
                <w:lang w:eastAsia="en-US"/>
              </w:rPr>
            </w:pPr>
            <w:r w:rsidRPr="00986DAD">
              <w:rPr>
                <w:rFonts w:ascii="Arial Narrow" w:hAnsi="Arial Narrow"/>
                <w:b/>
                <w:sz w:val="20"/>
                <w:szCs w:val="22"/>
                <w:lang w:eastAsia="en-US"/>
              </w:rPr>
              <w:t xml:space="preserve">Maximum </w:t>
            </w:r>
            <w:r>
              <w:rPr>
                <w:rFonts w:ascii="Arial Narrow" w:hAnsi="Arial Narrow"/>
                <w:b/>
                <w:sz w:val="20"/>
                <w:szCs w:val="22"/>
                <w:lang w:eastAsia="en-US"/>
              </w:rPr>
              <w:t>Amount</w:t>
            </w:r>
          </w:p>
        </w:tc>
        <w:tc>
          <w:tcPr>
            <w:tcW w:w="1181" w:type="dxa"/>
            <w:tcBorders>
              <w:top w:val="single" w:sz="4" w:space="0" w:color="auto"/>
              <w:left w:val="nil"/>
              <w:bottom w:val="single" w:sz="4" w:space="0" w:color="auto"/>
              <w:right w:val="nil"/>
            </w:tcBorders>
          </w:tcPr>
          <w:p w:rsidR="007A4C78" w:rsidRPr="00986DAD" w:rsidRDefault="007A4C78" w:rsidP="008C421C">
            <w:pPr>
              <w:keepNext/>
              <w:keepLines/>
              <w:jc w:val="center"/>
              <w:rPr>
                <w:rFonts w:ascii="Arial Narrow" w:hAnsi="Arial Narrow"/>
                <w:b/>
                <w:sz w:val="20"/>
                <w:szCs w:val="22"/>
                <w:lang w:eastAsia="en-US"/>
              </w:rPr>
            </w:pPr>
            <w:r w:rsidRPr="00986DAD">
              <w:rPr>
                <w:rFonts w:ascii="Arial Narrow" w:hAnsi="Arial Narrow"/>
                <w:b/>
                <w:sz w:val="20"/>
                <w:szCs w:val="22"/>
                <w:lang w:eastAsia="en-US"/>
              </w:rPr>
              <w:t>No. of repeats</w:t>
            </w:r>
          </w:p>
        </w:tc>
        <w:tc>
          <w:tcPr>
            <w:tcW w:w="2174" w:type="dxa"/>
            <w:tcBorders>
              <w:top w:val="single" w:sz="4" w:space="0" w:color="auto"/>
              <w:left w:val="nil"/>
              <w:bottom w:val="single" w:sz="4" w:space="0" w:color="auto"/>
            </w:tcBorders>
          </w:tcPr>
          <w:p w:rsidR="007A4C78" w:rsidRPr="00986DAD" w:rsidRDefault="007A4C78" w:rsidP="008C421C">
            <w:pPr>
              <w:keepNext/>
              <w:keepLines/>
              <w:rPr>
                <w:rFonts w:ascii="Arial Narrow" w:hAnsi="Arial Narrow"/>
                <w:b/>
                <w:sz w:val="20"/>
                <w:szCs w:val="22"/>
                <w:lang w:eastAsia="en-US"/>
              </w:rPr>
            </w:pPr>
            <w:r w:rsidRPr="00986DAD">
              <w:rPr>
                <w:rFonts w:ascii="Arial Narrow" w:hAnsi="Arial Narrow"/>
                <w:b/>
                <w:sz w:val="20"/>
                <w:szCs w:val="22"/>
                <w:lang w:eastAsia="en-US"/>
              </w:rPr>
              <w:t>Proprietary name and manufacturer</w:t>
            </w:r>
          </w:p>
        </w:tc>
      </w:tr>
      <w:tr w:rsidR="007A4C78" w:rsidRPr="00F5543B" w:rsidTr="008C421C">
        <w:tc>
          <w:tcPr>
            <w:tcW w:w="0" w:type="auto"/>
            <w:tcBorders>
              <w:top w:val="single" w:sz="4" w:space="0" w:color="auto"/>
            </w:tcBorders>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Continuing phase</w:t>
            </w:r>
          </w:p>
        </w:tc>
        <w:tc>
          <w:tcPr>
            <w:tcW w:w="0" w:type="auto"/>
            <w:tcBorders>
              <w:top w:val="single" w:sz="4" w:space="0" w:color="auto"/>
            </w:tcBorders>
          </w:tcPr>
          <w:p w:rsidR="007A4C78" w:rsidRPr="00F5543B" w:rsidRDefault="007A4C78" w:rsidP="008C421C">
            <w:pPr>
              <w:keepNext/>
              <w:keepLines/>
              <w:jc w:val="center"/>
              <w:rPr>
                <w:rFonts w:ascii="Arial Narrow" w:hAnsi="Arial Narrow"/>
                <w:sz w:val="20"/>
                <w:szCs w:val="22"/>
                <w:lang w:eastAsia="en-US"/>
              </w:rPr>
            </w:pPr>
          </w:p>
        </w:tc>
        <w:tc>
          <w:tcPr>
            <w:tcW w:w="1181" w:type="dxa"/>
            <w:tcBorders>
              <w:top w:val="single" w:sz="4" w:space="0" w:color="auto"/>
            </w:tcBorders>
          </w:tcPr>
          <w:p w:rsidR="007A4C78" w:rsidRPr="00F5543B" w:rsidRDefault="007A4C78" w:rsidP="008C421C">
            <w:pPr>
              <w:keepNext/>
              <w:keepLines/>
              <w:jc w:val="center"/>
              <w:rPr>
                <w:rFonts w:ascii="Arial Narrow" w:hAnsi="Arial Narrow"/>
                <w:sz w:val="20"/>
                <w:szCs w:val="22"/>
                <w:lang w:eastAsia="en-US"/>
              </w:rPr>
            </w:pPr>
          </w:p>
        </w:tc>
        <w:tc>
          <w:tcPr>
            <w:tcW w:w="2174" w:type="dxa"/>
            <w:tcBorders>
              <w:top w:val="single" w:sz="4" w:space="0" w:color="auto"/>
            </w:tcBorders>
          </w:tcPr>
          <w:p w:rsidR="007A4C78" w:rsidRPr="00F5543B" w:rsidRDefault="007A4C78" w:rsidP="008C421C">
            <w:pPr>
              <w:keepNext/>
              <w:keepLines/>
              <w:rPr>
                <w:rFonts w:ascii="Arial Narrow" w:hAnsi="Arial Narrow"/>
                <w:sz w:val="20"/>
                <w:szCs w:val="22"/>
                <w:lang w:eastAsia="en-US"/>
              </w:rPr>
            </w:pPr>
          </w:p>
        </w:tc>
      </w:tr>
      <w:tr w:rsidR="007A4C78" w:rsidRPr="00F5543B" w:rsidTr="008C421C">
        <w:tc>
          <w:tcPr>
            <w:tcW w:w="0" w:type="auto"/>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NIVOLUMAB</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Injection 40 mg/4 mL 1 x 4 mL vial</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bCs/>
                <w:sz w:val="20"/>
                <w:szCs w:val="22"/>
                <w:lang w:eastAsia="en-US"/>
              </w:rPr>
              <w:t>Injection 100 mg/10 mL 1 x 10 mL vial</w:t>
            </w:r>
          </w:p>
        </w:tc>
        <w:tc>
          <w:tcPr>
            <w:tcW w:w="0" w:type="auto"/>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360 mg</w:t>
            </w:r>
          </w:p>
        </w:tc>
        <w:tc>
          <w:tcPr>
            <w:tcW w:w="1181" w:type="dxa"/>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11</w:t>
            </w:r>
          </w:p>
        </w:tc>
        <w:tc>
          <w:tcPr>
            <w:tcW w:w="2174" w:type="dxa"/>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OPDIVO Bristol-Myers Squibb Australia Pty Ltd</w:t>
            </w:r>
          </w:p>
        </w:tc>
      </w:tr>
    </w:tbl>
    <w:p w:rsidR="007A4C78" w:rsidRDefault="007A4C78" w:rsidP="007A4C78"/>
    <w:tbl>
      <w:tblPr>
        <w:tblW w:w="9180" w:type="dxa"/>
        <w:tblLook w:val="0000" w:firstRow="0" w:lastRow="0" w:firstColumn="0" w:lastColumn="0" w:noHBand="0" w:noVBand="0"/>
      </w:tblPr>
      <w:tblGrid>
        <w:gridCol w:w="1843"/>
        <w:gridCol w:w="7337"/>
      </w:tblGrid>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keepNext/>
              <w:keepLines/>
              <w:rPr>
                <w:rFonts w:ascii="Arial Narrow" w:hAnsi="Arial Narrow"/>
                <w:b/>
                <w:sz w:val="20"/>
                <w:szCs w:val="22"/>
                <w:lang w:eastAsia="en-US"/>
              </w:rPr>
            </w:pPr>
            <w:r w:rsidRPr="00F5543B">
              <w:rPr>
                <w:rFonts w:ascii="Arial Narrow" w:hAnsi="Arial Narrow"/>
                <w:b/>
                <w:sz w:val="20"/>
                <w:szCs w:val="22"/>
                <w:lang w:eastAsia="en-US"/>
              </w:rPr>
              <w:t>Category/ Program</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Section 100 - Efficient funding of Chemotherapy</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Prescriber type</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Medical Practitioners</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Severity:</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Stage IV</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Condition:</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Clear cell variant renal cell carcinoma (RCC)</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PBS Indication:</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Stage IV clear cell variant renal cell carcinoma (RCC)</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b/>
                <w:sz w:val="20"/>
                <w:szCs w:val="22"/>
                <w:lang w:eastAsia="en-US"/>
              </w:rPr>
              <w:lastRenderedPageBreak/>
              <w:t>Treatment phase:</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Continuing treatment with nivolumab monotherapy following first line nivolumab plus ipilimumab induction</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b/>
                <w:sz w:val="20"/>
                <w:szCs w:val="22"/>
                <w:lang w:eastAsia="en-US"/>
              </w:rPr>
              <w:t>Restriction:</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fldChar w:fldCharType="begin">
                <w:ffData>
                  <w:name w:val=""/>
                  <w:enabled/>
                  <w:calcOnExit w:val="0"/>
                  <w:checkBox>
                    <w:sizeAuto/>
                    <w:default w:val="1"/>
                  </w:checkBox>
                </w:ffData>
              </w:fldChar>
            </w:r>
            <w:r w:rsidRPr="00F5543B">
              <w:rPr>
                <w:rFonts w:ascii="Arial Narrow" w:hAnsi="Arial Narrow"/>
                <w:sz w:val="20"/>
                <w:szCs w:val="22"/>
                <w:lang w:eastAsia="en-US"/>
              </w:rPr>
              <w:instrText xml:space="preserve"> FORMCHECKBOX </w:instrText>
            </w:r>
            <w:r w:rsidR="004473C8">
              <w:rPr>
                <w:rFonts w:ascii="Arial Narrow" w:hAnsi="Arial Narrow"/>
                <w:sz w:val="20"/>
                <w:szCs w:val="22"/>
                <w:lang w:eastAsia="en-US"/>
              </w:rPr>
            </w:r>
            <w:r w:rsidR="004473C8">
              <w:rPr>
                <w:rFonts w:ascii="Arial Narrow" w:hAnsi="Arial Narrow"/>
                <w:sz w:val="20"/>
                <w:szCs w:val="22"/>
                <w:lang w:eastAsia="en-US"/>
              </w:rPr>
              <w:fldChar w:fldCharType="separate"/>
            </w:r>
            <w:r w:rsidRPr="00F5543B">
              <w:rPr>
                <w:rFonts w:ascii="Arial Narrow" w:hAnsi="Arial Narrow"/>
                <w:sz w:val="20"/>
                <w:szCs w:val="22"/>
                <w:lang w:eastAsia="en-US"/>
              </w:rPr>
              <w:fldChar w:fldCharType="end"/>
            </w:r>
            <w:r w:rsidRPr="00F5543B">
              <w:rPr>
                <w:rFonts w:ascii="Arial Narrow" w:hAnsi="Arial Narrow"/>
                <w:sz w:val="20"/>
                <w:szCs w:val="22"/>
                <w:lang w:eastAsia="en-US"/>
              </w:rPr>
              <w:t>Streamlined</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Clinical criteria:</w:t>
            </w:r>
          </w:p>
          <w:p w:rsidR="007A4C78" w:rsidRPr="00F5543B" w:rsidRDefault="007A4C78" w:rsidP="008C421C">
            <w:pPr>
              <w:rPr>
                <w:rFonts w:ascii="Arial Narrow" w:hAnsi="Arial Narrow"/>
                <w:sz w:val="20"/>
                <w:szCs w:val="22"/>
                <w:lang w:eastAsia="en-US"/>
              </w:rPr>
            </w:pP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trike/>
                <w:sz w:val="20"/>
                <w:szCs w:val="22"/>
                <w:lang w:eastAsia="en-US"/>
              </w:rPr>
            </w:pPr>
            <w:r w:rsidRPr="00F5543B">
              <w:rPr>
                <w:rFonts w:ascii="Arial Narrow" w:hAnsi="Arial Narrow"/>
                <w:sz w:val="20"/>
                <w:szCs w:val="22"/>
                <w:lang w:eastAsia="en-US"/>
              </w:rPr>
              <w:t>Patient must have previously received up to a maximum of 4 doses of PBS-subsidised combined treatment with nivolumab and ipilimumab as induction therapy for this condition</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Default="007A4C78" w:rsidP="008C421C">
            <w:pPr>
              <w:rPr>
                <w:rFonts w:ascii="Arial Narrow" w:hAnsi="Arial Narrow"/>
                <w:sz w:val="20"/>
                <w:szCs w:val="22"/>
                <w:lang w:eastAsia="en-US"/>
              </w:rPr>
            </w:pPr>
            <w:r w:rsidRPr="0085312D">
              <w:rPr>
                <w:rFonts w:ascii="Arial Narrow" w:hAnsi="Arial Narrow"/>
                <w:sz w:val="20"/>
                <w:szCs w:val="22"/>
                <w:lang w:eastAsia="en-US"/>
              </w:rPr>
              <w:t>The treatment must be as monotherapy for this condition</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cs="Arial"/>
                <w:sz w:val="20"/>
                <w:szCs w:val="22"/>
                <w:lang w:eastAsia="en-US"/>
              </w:rPr>
            </w:pPr>
            <w:r w:rsidRPr="00BE378C">
              <w:rPr>
                <w:rFonts w:ascii="Arial Narrow" w:hAnsi="Arial Narrow"/>
                <w:sz w:val="20"/>
                <w:szCs w:val="22"/>
                <w:lang w:eastAsia="en-US"/>
              </w:rPr>
              <w:t>Patient must not have developed disease progression while being treated with this drug for this condition</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Prescriber Instructions:</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cs="Arial"/>
                <w:sz w:val="20"/>
                <w:szCs w:val="22"/>
                <w:lang w:eastAsia="en-US"/>
              </w:rPr>
            </w:pPr>
            <w:r w:rsidRPr="00F5543B">
              <w:rPr>
                <w:rFonts w:ascii="Arial Narrow" w:hAnsi="Arial Narrow" w:cs="Arial"/>
                <w:sz w:val="20"/>
                <w:szCs w:val="22"/>
                <w:lang w:eastAsia="en-US"/>
              </w:rPr>
              <w:t>Maintenance treatment with nivolumab must not exceed a maximum dose of 3 mg per kg every 2 weeks.</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patient’s body weight must be documented in the patient’s medical records at the time treatment is initiated</w:t>
            </w:r>
          </w:p>
        </w:tc>
      </w:tr>
      <w:tr w:rsidR="007A4C78" w:rsidRPr="00F5543B" w:rsidTr="008C421C">
        <w:trPr>
          <w:cantSplit/>
        </w:trPr>
        <w:tc>
          <w:tcPr>
            <w:tcW w:w="184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b/>
                <w:sz w:val="20"/>
                <w:szCs w:val="22"/>
                <w:lang w:eastAsia="en-US"/>
              </w:rPr>
            </w:pPr>
            <w:r w:rsidRPr="00F5543B">
              <w:rPr>
                <w:rFonts w:ascii="Arial Narrow" w:hAnsi="Arial Narrow"/>
                <w:b/>
                <w:sz w:val="20"/>
                <w:szCs w:val="22"/>
                <w:lang w:eastAsia="en-US"/>
              </w:rPr>
              <w:t>Administrative Advice:</w:t>
            </w:r>
          </w:p>
        </w:tc>
        <w:tc>
          <w:tcPr>
            <w:tcW w:w="7337"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number of repeats may be authorised.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quantity or number of units may be authorised.</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Special Pricing Arrangements apply.</w:t>
            </w:r>
          </w:p>
        </w:tc>
      </w:tr>
    </w:tbl>
    <w:p w:rsidR="007A4C78" w:rsidRPr="00F5543B" w:rsidRDefault="007A4C78" w:rsidP="007A4C78">
      <w:pPr>
        <w:rPr>
          <w:szCs w:val="22"/>
        </w:rPr>
      </w:pPr>
    </w:p>
    <w:p w:rsidR="007A4C78" w:rsidRPr="007A4C78" w:rsidRDefault="007A4C78" w:rsidP="007A4C78">
      <w:pPr>
        <w:pStyle w:val="Heading3"/>
      </w:pPr>
      <w:r w:rsidRPr="007A4C78">
        <w:t>Grandfathering restriction – nivolumab induction and continuing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477"/>
        <w:gridCol w:w="1293"/>
        <w:gridCol w:w="1224"/>
        <w:gridCol w:w="2248"/>
      </w:tblGrid>
      <w:tr w:rsidR="007A4C78" w:rsidRPr="00986DAD" w:rsidTr="008C421C">
        <w:tc>
          <w:tcPr>
            <w:tcW w:w="3369" w:type="dxa"/>
            <w:tcBorders>
              <w:top w:val="single" w:sz="4" w:space="0" w:color="auto"/>
              <w:bottom w:val="single" w:sz="4" w:space="0" w:color="auto"/>
              <w:right w:val="nil"/>
            </w:tcBorders>
          </w:tcPr>
          <w:p w:rsidR="007A4C78" w:rsidRPr="00986DAD" w:rsidRDefault="007A4C78" w:rsidP="008C421C">
            <w:pPr>
              <w:keepNext/>
              <w:keepLines/>
              <w:rPr>
                <w:rFonts w:ascii="Arial Narrow" w:hAnsi="Arial Narrow"/>
                <w:b/>
                <w:sz w:val="20"/>
                <w:szCs w:val="22"/>
                <w:lang w:eastAsia="en-US"/>
              </w:rPr>
            </w:pPr>
            <w:r w:rsidRPr="00986DAD">
              <w:rPr>
                <w:rFonts w:ascii="Arial Narrow" w:hAnsi="Arial Narrow"/>
                <w:b/>
                <w:sz w:val="20"/>
                <w:szCs w:val="22"/>
                <w:lang w:eastAsia="en-US"/>
              </w:rPr>
              <w:t>Name, restriction, manner of administration, form</w:t>
            </w:r>
          </w:p>
        </w:tc>
        <w:tc>
          <w:tcPr>
            <w:tcW w:w="973" w:type="dxa"/>
            <w:tcBorders>
              <w:top w:val="single" w:sz="4" w:space="0" w:color="auto"/>
              <w:left w:val="nil"/>
              <w:bottom w:val="single" w:sz="4" w:space="0" w:color="auto"/>
              <w:right w:val="nil"/>
            </w:tcBorders>
          </w:tcPr>
          <w:p w:rsidR="007A4C78" w:rsidRPr="00986DAD" w:rsidRDefault="007A4C78" w:rsidP="008C421C">
            <w:pPr>
              <w:keepNext/>
              <w:keepLines/>
              <w:jc w:val="center"/>
              <w:rPr>
                <w:rFonts w:ascii="Arial Narrow" w:hAnsi="Arial Narrow"/>
                <w:b/>
                <w:sz w:val="20"/>
                <w:szCs w:val="22"/>
                <w:lang w:eastAsia="en-US"/>
              </w:rPr>
            </w:pPr>
            <w:r w:rsidRPr="00986DAD">
              <w:rPr>
                <w:rFonts w:ascii="Arial Narrow" w:hAnsi="Arial Narrow"/>
                <w:b/>
                <w:sz w:val="20"/>
                <w:szCs w:val="22"/>
                <w:lang w:eastAsia="en-US"/>
              </w:rPr>
              <w:t>Maximum Amount</w:t>
            </w:r>
          </w:p>
        </w:tc>
        <w:tc>
          <w:tcPr>
            <w:tcW w:w="921" w:type="dxa"/>
            <w:tcBorders>
              <w:top w:val="single" w:sz="4" w:space="0" w:color="auto"/>
              <w:left w:val="nil"/>
              <w:bottom w:val="single" w:sz="4" w:space="0" w:color="auto"/>
              <w:right w:val="nil"/>
            </w:tcBorders>
          </w:tcPr>
          <w:p w:rsidR="007A4C78" w:rsidRPr="00986DAD" w:rsidRDefault="007A4C78" w:rsidP="008C421C">
            <w:pPr>
              <w:keepNext/>
              <w:keepLines/>
              <w:jc w:val="center"/>
              <w:rPr>
                <w:rFonts w:ascii="Arial Narrow" w:hAnsi="Arial Narrow"/>
                <w:b/>
                <w:sz w:val="20"/>
                <w:szCs w:val="22"/>
                <w:lang w:eastAsia="en-US"/>
              </w:rPr>
            </w:pPr>
            <w:r w:rsidRPr="00986DAD">
              <w:rPr>
                <w:rFonts w:ascii="Arial Narrow" w:hAnsi="Arial Narrow"/>
                <w:b/>
                <w:sz w:val="20"/>
                <w:szCs w:val="22"/>
                <w:lang w:eastAsia="en-US"/>
              </w:rPr>
              <w:t>No. of repeats</w:t>
            </w:r>
          </w:p>
        </w:tc>
        <w:tc>
          <w:tcPr>
            <w:tcW w:w="1692" w:type="dxa"/>
            <w:tcBorders>
              <w:top w:val="single" w:sz="4" w:space="0" w:color="auto"/>
              <w:left w:val="nil"/>
              <w:bottom w:val="single" w:sz="4" w:space="0" w:color="auto"/>
            </w:tcBorders>
          </w:tcPr>
          <w:p w:rsidR="007A4C78" w:rsidRPr="00986DAD" w:rsidRDefault="007A4C78" w:rsidP="008C421C">
            <w:pPr>
              <w:keepNext/>
              <w:keepLines/>
              <w:rPr>
                <w:rFonts w:ascii="Arial Narrow" w:hAnsi="Arial Narrow"/>
                <w:b/>
                <w:sz w:val="20"/>
                <w:szCs w:val="22"/>
                <w:lang w:eastAsia="en-US"/>
              </w:rPr>
            </w:pPr>
            <w:r w:rsidRPr="00986DAD">
              <w:rPr>
                <w:rFonts w:ascii="Arial Narrow" w:hAnsi="Arial Narrow"/>
                <w:b/>
                <w:sz w:val="20"/>
                <w:szCs w:val="22"/>
                <w:lang w:eastAsia="en-US"/>
              </w:rPr>
              <w:t>Proprietary name and manufacturer</w:t>
            </w:r>
          </w:p>
        </w:tc>
      </w:tr>
      <w:tr w:rsidR="007A4C78" w:rsidRPr="00F5543B" w:rsidTr="008C421C">
        <w:tc>
          <w:tcPr>
            <w:tcW w:w="3369" w:type="dxa"/>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NIVOLUMAB</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Injection 40 mg/4 mL 1 x 4 mL vial</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bCs/>
                <w:sz w:val="20"/>
                <w:szCs w:val="22"/>
                <w:lang w:eastAsia="en-US"/>
              </w:rPr>
              <w:t>Injection 100 mg/10 mL 1 x 10 mL vial</w:t>
            </w:r>
          </w:p>
        </w:tc>
        <w:tc>
          <w:tcPr>
            <w:tcW w:w="973" w:type="dxa"/>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360 mg</w:t>
            </w:r>
          </w:p>
          <w:p w:rsidR="007A4C78" w:rsidRPr="00F5543B" w:rsidRDefault="007A4C78" w:rsidP="008C421C">
            <w:pPr>
              <w:keepNext/>
              <w:keepLines/>
              <w:jc w:val="center"/>
              <w:rPr>
                <w:rFonts w:ascii="Arial Narrow" w:hAnsi="Arial Narrow"/>
                <w:sz w:val="20"/>
                <w:szCs w:val="22"/>
                <w:lang w:eastAsia="en-US"/>
              </w:rPr>
            </w:pPr>
          </w:p>
        </w:tc>
        <w:tc>
          <w:tcPr>
            <w:tcW w:w="921" w:type="dxa"/>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2</w:t>
            </w:r>
          </w:p>
          <w:p w:rsidR="007A4C78" w:rsidRPr="00F5543B" w:rsidRDefault="007A4C78" w:rsidP="008C421C">
            <w:pPr>
              <w:keepNext/>
              <w:keepLines/>
              <w:jc w:val="center"/>
              <w:rPr>
                <w:rFonts w:ascii="Arial Narrow" w:hAnsi="Arial Narrow"/>
                <w:sz w:val="20"/>
                <w:szCs w:val="22"/>
                <w:lang w:eastAsia="en-US"/>
              </w:rPr>
            </w:pPr>
          </w:p>
        </w:tc>
        <w:tc>
          <w:tcPr>
            <w:tcW w:w="1692" w:type="dxa"/>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OPDIVO Bristol-Myers Squibb Australia Pty Ltd</w:t>
            </w:r>
          </w:p>
        </w:tc>
      </w:tr>
    </w:tbl>
    <w:p w:rsidR="007A4C78" w:rsidRDefault="007A4C78" w:rsidP="007A4C78"/>
    <w:tbl>
      <w:tblPr>
        <w:tblW w:w="9083" w:type="dxa"/>
        <w:tblInd w:w="-1" w:type="dxa"/>
        <w:tblCellMar>
          <w:left w:w="28" w:type="dxa"/>
          <w:right w:w="28" w:type="dxa"/>
        </w:tblCellMar>
        <w:tblLook w:val="0000" w:firstRow="0" w:lastRow="0" w:firstColumn="0" w:lastColumn="0" w:noHBand="0" w:noVBand="0"/>
      </w:tblPr>
      <w:tblGrid>
        <w:gridCol w:w="1838"/>
        <w:gridCol w:w="7245"/>
      </w:tblGrid>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 xml:space="preserve">Category / Program </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sz w:val="20"/>
              </w:rPr>
            </w:pPr>
            <w:r w:rsidRPr="00F5543B">
              <w:rPr>
                <w:rFonts w:ascii="Arial Narrow" w:eastAsia="Calibri" w:hAnsi="Arial Narrow"/>
                <w:sz w:val="20"/>
              </w:rPr>
              <w:t>Section 100 - Efficient funding of Chemotherapy</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Prescriber type</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sz w:val="20"/>
              </w:rPr>
            </w:pPr>
            <w:r w:rsidRPr="00F5543B">
              <w:rPr>
                <w:rFonts w:ascii="Arial Narrow" w:eastAsia="Calibri" w:hAnsi="Arial Narrow"/>
                <w:sz w:val="20"/>
              </w:rPr>
              <w:t>Medical Practitioners</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Severity:</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sz w:val="20"/>
              </w:rPr>
            </w:pPr>
            <w:r w:rsidRPr="00F5543B">
              <w:rPr>
                <w:rFonts w:ascii="Arial Narrow" w:eastAsia="Calibri" w:hAnsi="Arial Narrow"/>
                <w:sz w:val="20"/>
              </w:rPr>
              <w:t>Stage IV</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Condition:</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Clear cell variant renal cell carcinoma (RCC) </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PBS Indication:</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sz w:val="20"/>
              </w:rPr>
              <w:t>Stage IV clear cell variant renal cell carcinoma (RCC)</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Treatment phase:</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 Grandfather patients – Induction </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OR </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Grandfather patients - </w:t>
            </w:r>
            <w:r w:rsidRPr="00F5543B">
              <w:rPr>
                <w:rFonts w:ascii="Arial Narrow" w:hAnsi="Arial Narrow"/>
                <w:sz w:val="20"/>
                <w:szCs w:val="22"/>
                <w:lang w:eastAsia="en-US"/>
              </w:rPr>
              <w:t>Continuing treatment with nivolumab monotherapy following first line nivolumab plus ipilimumab induction</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Restriction Level / Method:</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spacing w:line="300" w:lineRule="auto"/>
              <w:rPr>
                <w:rFonts w:ascii="Arial Narrow" w:eastAsia="Calibri" w:hAnsi="Arial Narrow"/>
                <w:sz w:val="20"/>
              </w:rPr>
            </w:pPr>
            <w:r w:rsidRPr="00F5543B">
              <w:rPr>
                <w:rFonts w:ascii="Arial Narrow" w:eastAsia="Calibri" w:hAnsi="Arial Narrow"/>
                <w:sz w:val="20"/>
              </w:rPr>
              <w:fldChar w:fldCharType="begin">
                <w:ffData>
                  <w:name w:val="Check5"/>
                  <w:enabled w:val="0"/>
                  <w:calcOnExit w:val="0"/>
                  <w:checkBox>
                    <w:sizeAuto/>
                    <w:default w:val="1"/>
                  </w:checkBox>
                </w:ffData>
              </w:fldChar>
            </w:r>
            <w:r w:rsidRPr="00F5543B">
              <w:rPr>
                <w:rFonts w:ascii="Arial Narrow" w:eastAsia="Calibri" w:hAnsi="Arial Narrow"/>
                <w:sz w:val="20"/>
              </w:rPr>
              <w:instrText xml:space="preserve"> FORMCHECKBOX </w:instrText>
            </w:r>
            <w:r w:rsidR="004473C8">
              <w:rPr>
                <w:rFonts w:ascii="Arial Narrow" w:eastAsia="Calibri" w:hAnsi="Arial Narrow"/>
                <w:sz w:val="20"/>
              </w:rPr>
            </w:r>
            <w:r w:rsidR="004473C8">
              <w:rPr>
                <w:rFonts w:ascii="Arial Narrow" w:eastAsia="Calibri" w:hAnsi="Arial Narrow"/>
                <w:sz w:val="20"/>
              </w:rPr>
              <w:fldChar w:fldCharType="separate"/>
            </w:r>
            <w:r w:rsidRPr="00F5543B">
              <w:rPr>
                <w:rFonts w:ascii="Arial Narrow" w:eastAsia="Calibri" w:hAnsi="Arial Narrow"/>
                <w:sz w:val="20"/>
              </w:rPr>
              <w:fldChar w:fldCharType="end"/>
            </w:r>
            <w:r w:rsidRPr="00F5543B">
              <w:rPr>
                <w:rFonts w:ascii="Arial Narrow" w:eastAsia="Calibri" w:hAnsi="Arial Narrow"/>
                <w:sz w:val="20"/>
              </w:rPr>
              <w:t>S</w:t>
            </w:r>
            <w:r w:rsidRPr="00F5543B">
              <w:rPr>
                <w:rFonts w:ascii="Arial Narrow" w:eastAsia="Calibri" w:hAnsi="Arial Narrow" w:cs="Arial"/>
                <w:sz w:val="20"/>
                <w:szCs w:val="22"/>
              </w:rPr>
              <w:t>treamlined</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Clinical criteria:</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eastAsia="Calibri" w:hAnsi="Arial Narrow" w:cs="Arial"/>
                <w:sz w:val="20"/>
                <w:szCs w:val="22"/>
              </w:rPr>
              <w:t xml:space="preserve">Patient must have received combined therapy with ipilimumab and nivolumab as induction for this condition prior to &lt;PBS listing date&gt; </w:t>
            </w:r>
            <w:r w:rsidRPr="00F5543B">
              <w:rPr>
                <w:rFonts w:ascii="Arial Narrow" w:hAnsi="Arial Narrow"/>
                <w:sz w:val="20"/>
                <w:szCs w:val="22"/>
                <w:lang w:eastAsia="en-US"/>
              </w:rPr>
              <w:t>OR</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Patient must have received monotherapy with nivolumab as maintenance for this condition prior to &lt;PBS listing date&gt;</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Patient must have met the International Metastatic Renal Cell Carcinoma Database Consortium (IMDC) intermediate to poor risk group criteria prior to initiating non-PBS subsidised treatment with nivolumab and ipilimumab </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AND</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Patient must have had a WHO performance status of 2 or less prior to initiating non-PBS-subsidised treatment with nivolumab and ipilimumab</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treatment must be for first-line therapy for this condition</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BE378C">
              <w:rPr>
                <w:rFonts w:ascii="Arial Narrow" w:hAnsi="Arial Narrow"/>
                <w:sz w:val="20"/>
                <w:szCs w:val="22"/>
                <w:lang w:eastAsia="en-US"/>
              </w:rPr>
              <w:t>Patient must not have developed disease progression while being treated with this drug for this condition</w:t>
            </w:r>
            <w:r w:rsidRPr="00F5543B" w:rsidDel="00B46363">
              <w:rPr>
                <w:rFonts w:ascii="Arial Narrow" w:eastAsia="Calibri" w:hAnsi="Arial Narrow" w:cs="Arial"/>
                <w:sz w:val="20"/>
                <w:szCs w:val="22"/>
              </w:rPr>
              <w:t xml:space="preserve"> </w:t>
            </w: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 xml:space="preserve">The treatment must be in combination with PBS-subsidised treatment with ipilimumab as induction for this condition OR </w:t>
            </w:r>
          </w:p>
          <w:p w:rsidR="007A4C78" w:rsidRPr="00F5543B" w:rsidRDefault="007A4C78" w:rsidP="008C421C">
            <w:pPr>
              <w:rPr>
                <w:rFonts w:ascii="Arial Narrow" w:eastAsia="Calibri" w:hAnsi="Arial Narrow" w:cs="Arial"/>
                <w:sz w:val="20"/>
                <w:szCs w:val="22"/>
              </w:rPr>
            </w:pPr>
            <w:r w:rsidRPr="00F5543B">
              <w:rPr>
                <w:rFonts w:ascii="Arial Narrow" w:hAnsi="Arial Narrow"/>
                <w:sz w:val="20"/>
                <w:szCs w:val="22"/>
                <w:lang w:eastAsia="en-US"/>
              </w:rPr>
              <w:t>The treatment must be the sole PBS-subsided therapy for this condition</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b/>
                <w:sz w:val="20"/>
                <w:szCs w:val="22"/>
              </w:rPr>
              <w:lastRenderedPageBreak/>
              <w:t>Prescriber Instructions</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 xml:space="preserve">Induction treatment with nivolumab must not exceed a total of 4 doses at a maximum dose of 3 mg per kg every 3 weeks </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hAnsi="Arial Narrow" w:cs="Arial"/>
                <w:sz w:val="20"/>
                <w:szCs w:val="22"/>
                <w:lang w:eastAsia="en-US"/>
              </w:rPr>
            </w:pPr>
            <w:r w:rsidRPr="00F5543B">
              <w:rPr>
                <w:rFonts w:ascii="Arial Narrow" w:hAnsi="Arial Narrow" w:cs="Arial"/>
                <w:sz w:val="20"/>
                <w:szCs w:val="22"/>
                <w:lang w:eastAsia="en-US"/>
              </w:rPr>
              <w:t>Maintenance treatment with nivolumab must not exceed a maximum dose of 3 mg per kg every 2 weeks.</w:t>
            </w:r>
          </w:p>
          <w:p w:rsidR="007A4C78" w:rsidRPr="00F5543B" w:rsidRDefault="007A4C78" w:rsidP="008C421C">
            <w:pPr>
              <w:rPr>
                <w:rFonts w:ascii="Arial Narrow" w:eastAsia="Calibri" w:hAnsi="Arial Narrow" w:cs="Arial"/>
                <w:sz w:val="20"/>
                <w:szCs w:val="22"/>
              </w:rPr>
            </w:pP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A patient may qualify for PBS-subsidised treatment under this restriction once only. For continuing PBS-subsidised treatment, a Grandfathered patient must qualify under the Continuing treatment criteria.</w:t>
            </w:r>
          </w:p>
          <w:p w:rsidR="007A4C78" w:rsidRPr="00F5543B" w:rsidRDefault="007A4C78" w:rsidP="008C421C">
            <w:pPr>
              <w:rPr>
                <w:rFonts w:ascii="Arial Narrow" w:hAnsi="Arial Narrow"/>
                <w:sz w:val="20"/>
                <w:szCs w:val="22"/>
                <w:lang w:eastAsia="en-US"/>
              </w:rPr>
            </w:pPr>
          </w:p>
          <w:p w:rsidR="007A4C78" w:rsidRPr="00F5543B" w:rsidRDefault="007A4C78" w:rsidP="008C421C">
            <w:pPr>
              <w:rPr>
                <w:rFonts w:ascii="Arial Narrow" w:eastAsia="Calibri" w:hAnsi="Arial Narrow" w:cs="Arial"/>
                <w:sz w:val="20"/>
                <w:szCs w:val="22"/>
              </w:rPr>
            </w:pPr>
            <w:r w:rsidRPr="00F5543B">
              <w:rPr>
                <w:rFonts w:ascii="Arial Narrow" w:hAnsi="Arial Narrow"/>
                <w:sz w:val="20"/>
                <w:szCs w:val="22"/>
                <w:lang w:eastAsia="en-US"/>
              </w:rPr>
              <w:t>The patient’s body weight must be documented in the patient’s medical records at the time treatment is initiated</w:t>
            </w:r>
          </w:p>
        </w:tc>
      </w:tr>
      <w:tr w:rsidR="007A4C78" w:rsidRPr="00F5543B" w:rsidTr="008C421C">
        <w:trPr>
          <w:trHeight w:val="20"/>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Administrative Advice</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7A4C78" w:rsidRPr="00F5543B" w:rsidRDefault="007A4C78" w:rsidP="008C421C">
            <w:pPr>
              <w:rPr>
                <w:rFonts w:ascii="Arial Narrow" w:eastAsia="Calibri" w:hAnsi="Arial Narrow" w:cs="Arial"/>
                <w:sz w:val="20"/>
                <w:szCs w:val="22"/>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number of repeats may be authorised.</w:t>
            </w:r>
          </w:p>
          <w:p w:rsidR="007A4C78" w:rsidRPr="00F5543B" w:rsidRDefault="007A4C78" w:rsidP="008C421C">
            <w:pPr>
              <w:rPr>
                <w:rFonts w:ascii="Arial Narrow" w:eastAsia="Calibri" w:hAnsi="Arial Narrow" w:cs="Arial"/>
                <w:sz w:val="20"/>
                <w:szCs w:val="22"/>
              </w:rPr>
            </w:pPr>
            <w:r w:rsidRPr="00F5543B">
              <w:rPr>
                <w:rFonts w:ascii="Arial Narrow" w:hAnsi="Arial Narrow"/>
                <w:sz w:val="20"/>
                <w:szCs w:val="22"/>
                <w:lang w:eastAsia="en-US"/>
              </w:rPr>
              <w:t>No increase in the maximum quantity or number of units may be authorised.</w:t>
            </w:r>
          </w:p>
          <w:p w:rsidR="007A4C78" w:rsidRPr="00F5543B" w:rsidRDefault="007A4C78" w:rsidP="008C421C">
            <w:pPr>
              <w:rPr>
                <w:rFonts w:ascii="Arial Narrow" w:eastAsia="Calibri" w:hAnsi="Arial Narrow" w:cs="Arial"/>
                <w:sz w:val="20"/>
                <w:szCs w:val="22"/>
              </w:rPr>
            </w:pP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Special Pricing Arrangements apply.</w:t>
            </w:r>
          </w:p>
        </w:tc>
      </w:tr>
      <w:tr w:rsidR="007A4C78" w:rsidRPr="00F5543B" w:rsidTr="008C421C">
        <w:trPr>
          <w:trHeight w:val="67"/>
        </w:trPr>
        <w:tc>
          <w:tcPr>
            <w:tcW w:w="1838"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Caution</w:t>
            </w:r>
          </w:p>
        </w:tc>
        <w:tc>
          <w:tcPr>
            <w:tcW w:w="7245"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hAnsi="Arial Narrow"/>
                <w:sz w:val="20"/>
                <w:szCs w:val="22"/>
                <w:lang w:eastAsia="en-US"/>
              </w:rPr>
              <w:t>Combination treatment with ipilimumab and nivolumab is associated with an increase incidence and severity of immune-related adverse reactions compared with monotherapy with these agents.  Monitoring at least prior to each dose is recommended.</w:t>
            </w:r>
          </w:p>
        </w:tc>
      </w:tr>
    </w:tbl>
    <w:p w:rsidR="007A4C78" w:rsidRPr="00F5543B" w:rsidRDefault="007A4C78" w:rsidP="007A4C78">
      <w:pPr>
        <w:rPr>
          <w:szCs w:val="22"/>
        </w:rPr>
      </w:pPr>
    </w:p>
    <w:p w:rsidR="007A4C78" w:rsidRPr="007A4C78" w:rsidRDefault="007A4C78" w:rsidP="007A4C78">
      <w:pPr>
        <w:pStyle w:val="Heading3"/>
      </w:pPr>
      <w:r w:rsidRPr="007A4C78">
        <w:t>Grandfathering restriction – ipilimumab induction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179"/>
        <w:gridCol w:w="1554"/>
        <w:gridCol w:w="1235"/>
        <w:gridCol w:w="2274"/>
      </w:tblGrid>
      <w:tr w:rsidR="007A4C78" w:rsidRPr="00F5543B" w:rsidTr="008C421C">
        <w:tc>
          <w:tcPr>
            <w:tcW w:w="3125" w:type="dxa"/>
          </w:tcPr>
          <w:p w:rsidR="007A4C78" w:rsidRPr="00F5543B" w:rsidRDefault="007A4C78" w:rsidP="008C421C">
            <w:pPr>
              <w:keepNext/>
              <w:keepLines/>
              <w:widowControl w:val="0"/>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Name, restriction, manner of administration, form</w:t>
            </w:r>
          </w:p>
        </w:tc>
        <w:tc>
          <w:tcPr>
            <w:tcW w:w="1162" w:type="dxa"/>
          </w:tcPr>
          <w:p w:rsidR="007A4C78" w:rsidRPr="00F5543B" w:rsidRDefault="007A4C78" w:rsidP="008C421C">
            <w:pPr>
              <w:keepNext/>
              <w:keepLines/>
              <w:widowControl w:val="0"/>
              <w:jc w:val="center"/>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 xml:space="preserve">Maximum </w:t>
            </w:r>
            <w:r>
              <w:rPr>
                <w:rFonts w:ascii="Arial Narrow" w:hAnsi="Arial Narrow" w:cs="Arial"/>
                <w:b/>
                <w:snapToGrid w:val="0"/>
                <w:sz w:val="20"/>
                <w:szCs w:val="20"/>
                <w:lang w:eastAsia="en-US"/>
              </w:rPr>
              <w:t>Amount</w:t>
            </w:r>
          </w:p>
        </w:tc>
        <w:tc>
          <w:tcPr>
            <w:tcW w:w="924" w:type="dxa"/>
          </w:tcPr>
          <w:p w:rsidR="007A4C78" w:rsidRPr="00F5543B" w:rsidRDefault="007A4C78" w:rsidP="008C421C">
            <w:pPr>
              <w:keepNext/>
              <w:keepLines/>
              <w:widowControl w:val="0"/>
              <w:jc w:val="center"/>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No. of repeats</w:t>
            </w:r>
          </w:p>
        </w:tc>
        <w:tc>
          <w:tcPr>
            <w:tcW w:w="1701" w:type="dxa"/>
          </w:tcPr>
          <w:p w:rsidR="007A4C78" w:rsidRPr="00F5543B" w:rsidRDefault="007A4C78" w:rsidP="008C421C">
            <w:pPr>
              <w:keepNext/>
              <w:keepLines/>
              <w:widowControl w:val="0"/>
              <w:jc w:val="both"/>
              <w:rPr>
                <w:rFonts w:ascii="Arial Narrow" w:hAnsi="Arial Narrow" w:cs="Arial"/>
                <w:b/>
                <w:snapToGrid w:val="0"/>
                <w:sz w:val="20"/>
                <w:szCs w:val="20"/>
                <w:lang w:eastAsia="en-US"/>
              </w:rPr>
            </w:pPr>
            <w:r w:rsidRPr="00F5543B">
              <w:rPr>
                <w:rFonts w:ascii="Arial Narrow" w:hAnsi="Arial Narrow" w:cs="Arial"/>
                <w:b/>
                <w:snapToGrid w:val="0"/>
                <w:sz w:val="20"/>
                <w:szCs w:val="20"/>
                <w:lang w:eastAsia="en-US"/>
              </w:rPr>
              <w:t>Proprietary name and manufacturer</w:t>
            </w:r>
          </w:p>
        </w:tc>
      </w:tr>
      <w:tr w:rsidR="007A4C78" w:rsidRPr="00F5543B" w:rsidTr="008C421C">
        <w:tc>
          <w:tcPr>
            <w:tcW w:w="3125" w:type="dxa"/>
          </w:tcPr>
          <w:p w:rsidR="007A4C78" w:rsidRPr="00F5543B" w:rsidRDefault="007A4C78" w:rsidP="008C421C">
            <w:pPr>
              <w:keepNext/>
              <w:keepLines/>
              <w:rPr>
                <w:rFonts w:ascii="Arial Narrow" w:hAnsi="Arial Narrow"/>
                <w:bCs/>
                <w:sz w:val="20"/>
                <w:szCs w:val="22"/>
                <w:lang w:eastAsia="en-US"/>
              </w:rPr>
            </w:pPr>
            <w:r w:rsidRPr="00F5543B">
              <w:rPr>
                <w:rFonts w:ascii="Arial Narrow" w:hAnsi="Arial Narrow"/>
                <w:bCs/>
                <w:sz w:val="20"/>
                <w:szCs w:val="22"/>
                <w:lang w:eastAsia="en-US"/>
              </w:rPr>
              <w:t>IPILIMUMAB</w:t>
            </w:r>
          </w:p>
          <w:p w:rsidR="007A4C78" w:rsidRPr="00F5543B" w:rsidRDefault="007A4C78" w:rsidP="008C421C">
            <w:pPr>
              <w:keepNext/>
              <w:keepLines/>
              <w:rPr>
                <w:rFonts w:ascii="Arial Narrow" w:hAnsi="Arial Narrow"/>
                <w:sz w:val="20"/>
                <w:szCs w:val="22"/>
                <w:lang w:eastAsia="en-US"/>
              </w:rPr>
            </w:pPr>
            <w:r w:rsidRPr="00F5543B">
              <w:rPr>
                <w:rFonts w:ascii="Arial Narrow" w:hAnsi="Arial Narrow"/>
                <w:bCs/>
                <w:sz w:val="20"/>
                <w:szCs w:val="22"/>
                <w:lang w:eastAsia="en-US"/>
              </w:rPr>
              <w:t>Injection 50 mg/10 mL 1 x 10 mL vial</w:t>
            </w:r>
            <w:r w:rsidRPr="00F5543B">
              <w:rPr>
                <w:rFonts w:ascii="Arial Narrow" w:hAnsi="Arial Narrow"/>
                <w:sz w:val="20"/>
                <w:szCs w:val="22"/>
                <w:lang w:eastAsia="en-US"/>
              </w:rPr>
              <w:t xml:space="preserve"> </w:t>
            </w:r>
          </w:p>
        </w:tc>
        <w:tc>
          <w:tcPr>
            <w:tcW w:w="1162" w:type="dxa"/>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120 mg</w:t>
            </w:r>
          </w:p>
        </w:tc>
        <w:tc>
          <w:tcPr>
            <w:tcW w:w="924" w:type="dxa"/>
          </w:tcPr>
          <w:p w:rsidR="007A4C78" w:rsidRPr="00F5543B" w:rsidRDefault="007A4C78" w:rsidP="008C421C">
            <w:pPr>
              <w:keepNext/>
              <w:keepLines/>
              <w:jc w:val="center"/>
              <w:rPr>
                <w:rFonts w:ascii="Arial Narrow" w:hAnsi="Arial Narrow"/>
                <w:sz w:val="20"/>
                <w:szCs w:val="22"/>
                <w:lang w:eastAsia="en-US"/>
              </w:rPr>
            </w:pPr>
            <w:r w:rsidRPr="00F5543B">
              <w:rPr>
                <w:rFonts w:ascii="Arial Narrow" w:hAnsi="Arial Narrow"/>
                <w:sz w:val="20"/>
                <w:szCs w:val="22"/>
                <w:lang w:eastAsia="en-US"/>
              </w:rPr>
              <w:t>2</w:t>
            </w:r>
          </w:p>
        </w:tc>
        <w:tc>
          <w:tcPr>
            <w:tcW w:w="1701" w:type="dxa"/>
          </w:tcPr>
          <w:p w:rsidR="007A4C78" w:rsidRPr="00F5543B" w:rsidRDefault="007A4C78" w:rsidP="008C421C">
            <w:pPr>
              <w:keepNext/>
              <w:keepLines/>
              <w:rPr>
                <w:rFonts w:ascii="Arial Narrow" w:hAnsi="Arial Narrow"/>
                <w:sz w:val="20"/>
                <w:szCs w:val="22"/>
                <w:lang w:eastAsia="en-US"/>
              </w:rPr>
            </w:pPr>
            <w:r w:rsidRPr="00F5543B">
              <w:rPr>
                <w:rFonts w:ascii="Arial Narrow" w:hAnsi="Arial Narrow"/>
                <w:sz w:val="20"/>
                <w:szCs w:val="22"/>
                <w:lang w:eastAsia="en-US"/>
              </w:rPr>
              <w:t>YERVOY Bristol-Myers Squibb Australia Pty Ltd</w:t>
            </w:r>
          </w:p>
        </w:tc>
      </w:tr>
    </w:tbl>
    <w:p w:rsidR="007A4C78" w:rsidRDefault="007A4C78" w:rsidP="007A4C78"/>
    <w:tbl>
      <w:tblPr>
        <w:tblW w:w="9082" w:type="dxa"/>
        <w:tblCellMar>
          <w:left w:w="28" w:type="dxa"/>
          <w:right w:w="28" w:type="dxa"/>
        </w:tblCellMar>
        <w:tblLook w:val="0000" w:firstRow="0" w:lastRow="0" w:firstColumn="0" w:lastColumn="0" w:noHBand="0" w:noVBand="0"/>
      </w:tblPr>
      <w:tblGrid>
        <w:gridCol w:w="1849"/>
        <w:gridCol w:w="7233"/>
      </w:tblGrid>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 xml:space="preserve">Category / Program </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sz w:val="20"/>
              </w:rPr>
            </w:pPr>
            <w:r w:rsidRPr="00F5543B">
              <w:rPr>
                <w:rFonts w:ascii="Arial Narrow" w:eastAsia="Calibri" w:hAnsi="Arial Narrow"/>
                <w:sz w:val="20"/>
              </w:rPr>
              <w:t>Section 100 - Efficient funding of Chemotherapy</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Prescriber type</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sz w:val="20"/>
              </w:rPr>
            </w:pPr>
            <w:r w:rsidRPr="00F5543B">
              <w:rPr>
                <w:rFonts w:ascii="Arial Narrow" w:eastAsia="Calibri" w:hAnsi="Arial Narrow"/>
                <w:sz w:val="20"/>
              </w:rPr>
              <w:t>Medical Practitioners</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Severity:</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sz w:val="20"/>
              </w:rPr>
            </w:pPr>
            <w:r w:rsidRPr="00F5543B">
              <w:rPr>
                <w:rFonts w:ascii="Arial Narrow" w:eastAsia="Calibri" w:hAnsi="Arial Narrow"/>
                <w:sz w:val="20"/>
              </w:rPr>
              <w:t>Stage IV</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Condition:</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Clear cell variant renal cell carcinoma (RCC) </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PBS Indication:</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sz w:val="20"/>
              </w:rPr>
              <w:t>Stage IV clear cell variant renal cell carcinoma (RCC)</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Treatment phase:</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Grandfather patients – Induction</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Restriction Level / Method:</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spacing w:line="300" w:lineRule="auto"/>
              <w:rPr>
                <w:rFonts w:ascii="Arial Narrow" w:eastAsia="Calibri" w:hAnsi="Arial Narrow"/>
                <w:sz w:val="20"/>
              </w:rPr>
            </w:pPr>
            <w:r w:rsidRPr="00F5543B">
              <w:rPr>
                <w:rFonts w:ascii="Arial Narrow" w:eastAsia="Calibri" w:hAnsi="Arial Narrow"/>
                <w:sz w:val="20"/>
              </w:rPr>
              <w:fldChar w:fldCharType="begin">
                <w:ffData>
                  <w:name w:val="Check5"/>
                  <w:enabled w:val="0"/>
                  <w:calcOnExit w:val="0"/>
                  <w:checkBox>
                    <w:sizeAuto/>
                    <w:default w:val="1"/>
                  </w:checkBox>
                </w:ffData>
              </w:fldChar>
            </w:r>
            <w:r w:rsidRPr="00F5543B">
              <w:rPr>
                <w:rFonts w:ascii="Arial Narrow" w:eastAsia="Calibri" w:hAnsi="Arial Narrow"/>
                <w:sz w:val="20"/>
              </w:rPr>
              <w:instrText xml:space="preserve"> FORMCHECKBOX </w:instrText>
            </w:r>
            <w:r w:rsidR="004473C8">
              <w:rPr>
                <w:rFonts w:ascii="Arial Narrow" w:eastAsia="Calibri" w:hAnsi="Arial Narrow"/>
                <w:sz w:val="20"/>
              </w:rPr>
            </w:r>
            <w:r w:rsidR="004473C8">
              <w:rPr>
                <w:rFonts w:ascii="Arial Narrow" w:eastAsia="Calibri" w:hAnsi="Arial Narrow"/>
                <w:sz w:val="20"/>
              </w:rPr>
              <w:fldChar w:fldCharType="separate"/>
            </w:r>
            <w:r w:rsidRPr="00F5543B">
              <w:rPr>
                <w:rFonts w:ascii="Arial Narrow" w:eastAsia="Calibri" w:hAnsi="Arial Narrow"/>
                <w:sz w:val="20"/>
              </w:rPr>
              <w:fldChar w:fldCharType="end"/>
            </w:r>
            <w:r w:rsidRPr="00F5543B">
              <w:rPr>
                <w:rFonts w:ascii="Arial Narrow" w:eastAsia="Calibri" w:hAnsi="Arial Narrow"/>
                <w:sz w:val="20"/>
              </w:rPr>
              <w:t>S</w:t>
            </w:r>
            <w:r w:rsidRPr="00F5543B">
              <w:rPr>
                <w:rFonts w:ascii="Arial Narrow" w:eastAsia="Calibri" w:hAnsi="Arial Narrow" w:cs="Arial"/>
                <w:sz w:val="20"/>
                <w:szCs w:val="22"/>
              </w:rPr>
              <w:t>treamlined</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Clinical criteria:</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Patient must have received combined therapy with ipilimumab and nivolumab as induction for this condition prior to &lt;PBS listing date&gt;</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AND</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Patient must have met the International Metastatic Renal Cell Carcinoma Database Consortium (IMDC) intermediate to poor risk group criteria prior to initiating non-PBS subsidised treatment with nivolumab and ipilimumab </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AND</w:t>
            </w: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Patient must have had a WHO performance status of 2 or less prior to initiating non-PBS-subsidised treatment with nivolumab and ipilimumab</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The treatment must be for first-line therapy for this condition</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 xml:space="preserve">The treatment must be in combination with PBS-subsidised treatment with nivolumab as induction </w:t>
            </w:r>
            <w:r w:rsidRPr="00F5543B">
              <w:rPr>
                <w:rFonts w:ascii="Arial Narrow" w:hAnsi="Arial Narrow"/>
                <w:sz w:val="20"/>
                <w:szCs w:val="22"/>
                <w:lang w:eastAsia="en-US"/>
              </w:rPr>
              <w:lastRenderedPageBreak/>
              <w:t xml:space="preserve">for this condition </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AND</w:t>
            </w:r>
          </w:p>
          <w:p w:rsidR="007A4C78" w:rsidRPr="00F5543B" w:rsidRDefault="007A4C78" w:rsidP="008C421C">
            <w:pPr>
              <w:rPr>
                <w:rFonts w:ascii="Arial Narrow" w:eastAsia="Calibri" w:hAnsi="Arial Narrow" w:cs="Arial"/>
                <w:sz w:val="20"/>
                <w:szCs w:val="22"/>
              </w:rPr>
            </w:pPr>
            <w:r w:rsidRPr="00BE378C">
              <w:rPr>
                <w:rFonts w:ascii="Arial Narrow" w:hAnsi="Arial Narrow"/>
                <w:sz w:val="20"/>
                <w:szCs w:val="22"/>
                <w:lang w:eastAsia="en-US"/>
              </w:rPr>
              <w:t>Patient must not have developed disease progression while being treated with this drug for this condition</w:t>
            </w:r>
            <w:r w:rsidRPr="00F5543B" w:rsidDel="00B46363">
              <w:rPr>
                <w:rFonts w:ascii="Arial Narrow" w:eastAsia="Calibri" w:hAnsi="Arial Narrow" w:cs="Arial"/>
                <w:sz w:val="20"/>
                <w:szCs w:val="22"/>
              </w:rPr>
              <w:t xml:space="preserve"> </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b/>
                <w:sz w:val="20"/>
                <w:szCs w:val="22"/>
              </w:rPr>
              <w:lastRenderedPageBreak/>
              <w:t>Prescriber Instructions</w:t>
            </w:r>
          </w:p>
        </w:tc>
        <w:tc>
          <w:tcPr>
            <w:tcW w:w="7233" w:type="dxa"/>
            <w:tcBorders>
              <w:top w:val="single" w:sz="4" w:space="0" w:color="auto"/>
              <w:left w:val="single" w:sz="4" w:space="0" w:color="auto"/>
              <w:bottom w:val="single" w:sz="4" w:space="0" w:color="auto"/>
              <w:right w:val="single" w:sz="4" w:space="0" w:color="auto"/>
            </w:tcBorders>
          </w:tcPr>
          <w:p w:rsidR="007A4C78"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 xml:space="preserve">A patient may qualify for PBS-subsidised treatment under this restriction once only. </w:t>
            </w:r>
          </w:p>
          <w:p w:rsidR="007A4C78" w:rsidRPr="00F5543B" w:rsidRDefault="007A4C78" w:rsidP="008C421C">
            <w:pPr>
              <w:rPr>
                <w:rFonts w:ascii="Arial Narrow" w:eastAsia="Calibri" w:hAnsi="Arial Narrow" w:cs="Arial"/>
                <w:strike/>
                <w:sz w:val="20"/>
                <w:szCs w:val="22"/>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Induction treatment with ipilimumab must not exceed a total of 4 doses at a maximum dose of 1 mg per kg every 3 weeks</w:t>
            </w:r>
          </w:p>
          <w:p w:rsidR="007A4C78" w:rsidRPr="00F5543B" w:rsidRDefault="007A4C78" w:rsidP="008C421C">
            <w:pPr>
              <w:rPr>
                <w:rFonts w:ascii="Arial Narrow" w:eastAsia="Calibri" w:hAnsi="Arial Narrow" w:cs="Arial"/>
                <w:strike/>
                <w:sz w:val="20"/>
                <w:szCs w:val="22"/>
              </w:rPr>
            </w:pPr>
          </w:p>
          <w:p w:rsidR="007A4C78" w:rsidRPr="00F5543B" w:rsidRDefault="007A4C78" w:rsidP="008C421C">
            <w:pPr>
              <w:rPr>
                <w:rFonts w:ascii="Arial Narrow" w:eastAsia="Calibri" w:hAnsi="Arial Narrow" w:cs="Arial"/>
                <w:sz w:val="20"/>
                <w:szCs w:val="22"/>
              </w:rPr>
            </w:pPr>
            <w:r w:rsidRPr="00F5543B">
              <w:rPr>
                <w:rFonts w:ascii="Arial Narrow" w:hAnsi="Arial Narrow"/>
                <w:sz w:val="20"/>
                <w:szCs w:val="22"/>
                <w:lang w:eastAsia="en-US"/>
              </w:rPr>
              <w:t>The patient’s body weight must be documented in the patient’s medical records at the time treatment is initiated</w:t>
            </w:r>
          </w:p>
        </w:tc>
      </w:tr>
      <w:tr w:rsidR="007A4C78" w:rsidRPr="00F5543B" w:rsidTr="008C421C">
        <w:trPr>
          <w:trHeight w:val="20"/>
        </w:trPr>
        <w:tc>
          <w:tcPr>
            <w:tcW w:w="1849"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b/>
                <w:sz w:val="20"/>
                <w:szCs w:val="22"/>
              </w:rPr>
            </w:pPr>
            <w:r w:rsidRPr="00F5543B">
              <w:rPr>
                <w:rFonts w:ascii="Arial Narrow" w:eastAsia="Calibri" w:hAnsi="Arial Narrow" w:cs="Arial"/>
                <w:b/>
                <w:sz w:val="20"/>
                <w:szCs w:val="22"/>
              </w:rPr>
              <w:t>Administrative Advice</w:t>
            </w:r>
          </w:p>
        </w:tc>
        <w:tc>
          <w:tcPr>
            <w:tcW w:w="7233" w:type="dxa"/>
            <w:tcBorders>
              <w:top w:val="single" w:sz="4" w:space="0" w:color="auto"/>
              <w:left w:val="single" w:sz="4" w:space="0" w:color="auto"/>
              <w:bottom w:val="single" w:sz="4" w:space="0" w:color="auto"/>
              <w:right w:val="single" w:sz="4" w:space="0" w:color="auto"/>
            </w:tcBorders>
          </w:tcPr>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In the first few months after start of immunotherapy, some patients can have a transient tumour flare with subsequent disease response. When progression is suspected, this should be confirmed through a confirmatory scan, taken at least 4 weeks later.</w:t>
            </w:r>
          </w:p>
          <w:p w:rsidR="007A4C78" w:rsidRPr="00F5543B" w:rsidRDefault="007A4C78" w:rsidP="008C421C">
            <w:pPr>
              <w:rPr>
                <w:rFonts w:ascii="Arial Narrow" w:eastAsia="Calibri" w:hAnsi="Arial Narrow" w:cs="Arial"/>
                <w:sz w:val="20"/>
                <w:szCs w:val="22"/>
              </w:rPr>
            </w:pP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number of repeats may be authorised.</w:t>
            </w:r>
          </w:p>
          <w:p w:rsidR="007A4C78" w:rsidRPr="00F5543B" w:rsidRDefault="007A4C78" w:rsidP="008C421C">
            <w:pPr>
              <w:rPr>
                <w:rFonts w:ascii="Arial Narrow" w:hAnsi="Arial Narrow"/>
                <w:sz w:val="20"/>
                <w:szCs w:val="22"/>
                <w:lang w:eastAsia="en-US"/>
              </w:rPr>
            </w:pPr>
            <w:r w:rsidRPr="00F5543B">
              <w:rPr>
                <w:rFonts w:ascii="Arial Narrow" w:hAnsi="Arial Narrow"/>
                <w:sz w:val="20"/>
                <w:szCs w:val="22"/>
                <w:lang w:eastAsia="en-US"/>
              </w:rPr>
              <w:t>No increase in the maximum quantity or number of units may be authorised.</w:t>
            </w:r>
          </w:p>
          <w:p w:rsidR="007A4C78" w:rsidRPr="00F5543B" w:rsidRDefault="007A4C78" w:rsidP="008C421C">
            <w:pPr>
              <w:rPr>
                <w:rFonts w:ascii="Arial Narrow" w:eastAsia="Calibri" w:hAnsi="Arial Narrow" w:cs="Arial"/>
                <w:sz w:val="20"/>
                <w:szCs w:val="22"/>
              </w:rPr>
            </w:pPr>
          </w:p>
          <w:p w:rsidR="007A4C78" w:rsidRPr="00F5543B" w:rsidRDefault="007A4C78" w:rsidP="008C421C">
            <w:pPr>
              <w:rPr>
                <w:rFonts w:ascii="Arial Narrow" w:eastAsia="Calibri" w:hAnsi="Arial Narrow" w:cs="Arial"/>
                <w:sz w:val="20"/>
                <w:szCs w:val="22"/>
              </w:rPr>
            </w:pPr>
            <w:r w:rsidRPr="00F5543B">
              <w:rPr>
                <w:rFonts w:ascii="Arial Narrow" w:eastAsia="Calibri" w:hAnsi="Arial Narrow" w:cs="Arial"/>
                <w:sz w:val="20"/>
                <w:szCs w:val="22"/>
              </w:rPr>
              <w:t>Special Pricing Arrangements apply.</w:t>
            </w:r>
          </w:p>
        </w:tc>
      </w:tr>
    </w:tbl>
    <w:p w:rsidR="005B098C" w:rsidRPr="00972661" w:rsidRDefault="00972661" w:rsidP="00972661">
      <w:pPr>
        <w:widowControl w:val="0"/>
        <w:numPr>
          <w:ilvl w:val="0"/>
          <w:numId w:val="5"/>
        </w:numPr>
        <w:spacing w:before="240" w:after="120"/>
        <w:jc w:val="both"/>
        <w:outlineLvl w:val="0"/>
        <w:rPr>
          <w:rFonts w:asciiTheme="minorHAnsi" w:hAnsiTheme="minorHAnsi" w:cs="Arial"/>
          <w:b/>
          <w:bCs/>
          <w:snapToGrid w:val="0"/>
          <w:sz w:val="32"/>
          <w:szCs w:val="22"/>
          <w:lang w:eastAsia="en-US"/>
        </w:rPr>
      </w:pPr>
      <w:r w:rsidRPr="00972661">
        <w:rPr>
          <w:rFonts w:asciiTheme="minorHAnsi" w:hAnsiTheme="minorHAnsi" w:cs="Arial"/>
          <w:b/>
          <w:bCs/>
          <w:snapToGrid w:val="0"/>
          <w:sz w:val="32"/>
          <w:szCs w:val="22"/>
          <w:lang w:eastAsia="en-US"/>
        </w:rPr>
        <w:t>Context for Decision</w:t>
      </w:r>
    </w:p>
    <w:p w:rsidR="00972661" w:rsidRPr="00972661" w:rsidRDefault="00972661" w:rsidP="00972661">
      <w:pPr>
        <w:widowControl w:val="0"/>
        <w:spacing w:after="120"/>
        <w:ind w:left="720"/>
        <w:jc w:val="both"/>
        <w:rPr>
          <w:rFonts w:asciiTheme="minorHAnsi" w:eastAsiaTheme="minorHAnsi" w:hAnsiTheme="minorHAnsi" w:cs="Arial"/>
          <w:szCs w:val="22"/>
          <w:lang w:eastAsia="en-US"/>
        </w:rPr>
      </w:pPr>
      <w:r w:rsidRPr="00972661">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72661" w:rsidRPr="00972661" w:rsidRDefault="00972661" w:rsidP="00972661">
      <w:pPr>
        <w:widowControl w:val="0"/>
        <w:numPr>
          <w:ilvl w:val="0"/>
          <w:numId w:val="5"/>
        </w:numPr>
        <w:spacing w:before="240" w:after="120"/>
        <w:jc w:val="both"/>
        <w:outlineLvl w:val="0"/>
        <w:rPr>
          <w:rFonts w:asciiTheme="minorHAnsi" w:hAnsiTheme="minorHAnsi" w:cs="Arial"/>
          <w:b/>
          <w:bCs/>
          <w:snapToGrid w:val="0"/>
          <w:sz w:val="32"/>
          <w:szCs w:val="22"/>
          <w:lang w:eastAsia="en-US"/>
        </w:rPr>
      </w:pPr>
      <w:r w:rsidRPr="00972661">
        <w:rPr>
          <w:rFonts w:asciiTheme="minorHAnsi" w:hAnsiTheme="minorHAnsi" w:cs="Arial"/>
          <w:b/>
          <w:bCs/>
          <w:snapToGrid w:val="0"/>
          <w:sz w:val="32"/>
          <w:szCs w:val="22"/>
          <w:lang w:eastAsia="en-US"/>
        </w:rPr>
        <w:t>Sponsor’s Comment</w:t>
      </w:r>
    </w:p>
    <w:p w:rsidR="00972661" w:rsidRPr="00F5543B" w:rsidRDefault="00A7369D" w:rsidP="00A7369D">
      <w:pPr>
        <w:ind w:left="720"/>
        <w:jc w:val="both"/>
        <w:rPr>
          <w:rFonts w:asciiTheme="minorHAnsi" w:hAnsiTheme="minorHAnsi"/>
          <w:sz w:val="22"/>
          <w:szCs w:val="22"/>
        </w:rPr>
      </w:pPr>
      <w:r w:rsidRPr="00636DB0">
        <w:rPr>
          <w:rFonts w:asciiTheme="minorHAnsi" w:eastAsiaTheme="minorHAnsi" w:hAnsiTheme="minorHAnsi" w:cs="Arial"/>
          <w:bCs/>
          <w:szCs w:val="22"/>
          <w:lang w:val="en-GB" w:eastAsia="en-US"/>
        </w:rPr>
        <w:t>The Sponsor thanks the PBAC for its consideration of this item and looks forward to eligible</w:t>
      </w:r>
      <w:r>
        <w:rPr>
          <w:rFonts w:asciiTheme="minorHAnsi" w:eastAsiaTheme="minorHAnsi" w:hAnsiTheme="minorHAnsi" w:cs="Arial"/>
          <w:bCs/>
          <w:szCs w:val="22"/>
          <w:lang w:val="en-GB" w:eastAsia="en-US"/>
        </w:rPr>
        <w:t xml:space="preserve"> </w:t>
      </w:r>
      <w:r w:rsidRPr="00636DB0">
        <w:rPr>
          <w:rFonts w:asciiTheme="minorHAnsi" w:eastAsiaTheme="minorHAnsi" w:hAnsiTheme="minorHAnsi" w:cs="Arial"/>
          <w:bCs/>
          <w:szCs w:val="22"/>
          <w:lang w:val="en-GB" w:eastAsia="en-US"/>
        </w:rPr>
        <w:t xml:space="preserve">Australian patients being able to access </w:t>
      </w:r>
      <w:proofErr w:type="spellStart"/>
      <w:r w:rsidRPr="00636DB0">
        <w:rPr>
          <w:rFonts w:asciiTheme="minorHAnsi" w:eastAsiaTheme="minorHAnsi" w:hAnsiTheme="minorHAnsi" w:cs="Arial"/>
          <w:bCs/>
          <w:szCs w:val="22"/>
          <w:lang w:val="en-GB" w:eastAsia="en-US"/>
        </w:rPr>
        <w:t>nivolumab</w:t>
      </w:r>
      <w:proofErr w:type="spellEnd"/>
      <w:r>
        <w:rPr>
          <w:rFonts w:asciiTheme="minorHAnsi" w:eastAsiaTheme="minorHAnsi" w:hAnsiTheme="minorHAnsi" w:cs="Arial"/>
          <w:bCs/>
          <w:szCs w:val="22"/>
          <w:lang w:val="en-GB" w:eastAsia="en-US"/>
        </w:rPr>
        <w:t xml:space="preserve"> and </w:t>
      </w:r>
      <w:proofErr w:type="spellStart"/>
      <w:r>
        <w:rPr>
          <w:rFonts w:asciiTheme="minorHAnsi" w:eastAsiaTheme="minorHAnsi" w:hAnsiTheme="minorHAnsi" w:cs="Arial"/>
          <w:bCs/>
          <w:szCs w:val="22"/>
          <w:lang w:val="en-GB" w:eastAsia="en-US"/>
        </w:rPr>
        <w:t>ipilimumab</w:t>
      </w:r>
      <w:proofErr w:type="spellEnd"/>
      <w:r w:rsidRPr="00636DB0">
        <w:rPr>
          <w:rFonts w:asciiTheme="minorHAnsi" w:eastAsiaTheme="minorHAnsi" w:hAnsiTheme="minorHAnsi" w:cs="Arial"/>
          <w:bCs/>
          <w:szCs w:val="22"/>
          <w:lang w:val="en-GB" w:eastAsia="en-US"/>
        </w:rPr>
        <w:t xml:space="preserve"> for the treatment of </w:t>
      </w:r>
      <w:r>
        <w:rPr>
          <w:rFonts w:asciiTheme="minorHAnsi" w:eastAsiaTheme="minorHAnsi" w:hAnsiTheme="minorHAnsi" w:cs="Arial"/>
          <w:bCs/>
          <w:szCs w:val="22"/>
          <w:lang w:val="en-GB" w:eastAsia="en-US"/>
        </w:rPr>
        <w:t>first line RCC</w:t>
      </w:r>
      <w:r w:rsidRPr="00636DB0">
        <w:rPr>
          <w:rFonts w:asciiTheme="minorHAnsi" w:eastAsiaTheme="minorHAnsi" w:hAnsiTheme="minorHAnsi" w:cs="Arial"/>
          <w:bCs/>
          <w:szCs w:val="22"/>
          <w:lang w:val="en-GB" w:eastAsia="en-US"/>
        </w:rPr>
        <w:t xml:space="preserve"> via the PBS in the near future.</w:t>
      </w:r>
    </w:p>
    <w:sectPr w:rsidR="00972661" w:rsidRPr="00F5543B"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1C" w:rsidRDefault="008C421C">
      <w:r>
        <w:separator/>
      </w:r>
    </w:p>
    <w:p w:rsidR="008C421C" w:rsidRDefault="008C421C"/>
  </w:endnote>
  <w:endnote w:type="continuationSeparator" w:id="0">
    <w:p w:rsidR="008C421C" w:rsidRDefault="008C421C">
      <w:r>
        <w:continuationSeparator/>
      </w:r>
    </w:p>
    <w:p w:rsidR="008C421C" w:rsidRDefault="008C4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C421C" w:rsidTr="005A3173">
      <w:trPr>
        <w:trHeight w:val="151"/>
      </w:trPr>
      <w:tc>
        <w:tcPr>
          <w:tcW w:w="2250" w:type="pct"/>
          <w:tcBorders>
            <w:top w:val="nil"/>
            <w:left w:val="nil"/>
            <w:bottom w:val="single" w:sz="4" w:space="0" w:color="4F81BD"/>
            <w:right w:val="nil"/>
          </w:tcBorders>
        </w:tcPr>
        <w:p w:rsidR="008C421C" w:rsidRPr="005A3173" w:rsidRDefault="008C421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C421C" w:rsidRPr="005A3173" w:rsidRDefault="008C421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C421C" w:rsidRPr="005A3173" w:rsidRDefault="008C421C" w:rsidP="005A3173">
          <w:pPr>
            <w:pStyle w:val="Header"/>
            <w:spacing w:line="276" w:lineRule="auto"/>
            <w:rPr>
              <w:rFonts w:ascii="Calibri" w:eastAsia="MS Gothic" w:hAnsi="Calibri"/>
              <w:b/>
              <w:bCs/>
              <w:color w:val="4F81BD"/>
            </w:rPr>
          </w:pPr>
        </w:p>
      </w:tc>
    </w:tr>
    <w:tr w:rsidR="008C421C" w:rsidTr="005A3173">
      <w:trPr>
        <w:trHeight w:val="150"/>
      </w:trPr>
      <w:tc>
        <w:tcPr>
          <w:tcW w:w="2250" w:type="pct"/>
          <w:tcBorders>
            <w:top w:val="single" w:sz="4" w:space="0" w:color="4F81BD"/>
            <w:left w:val="nil"/>
            <w:bottom w:val="nil"/>
            <w:right w:val="nil"/>
          </w:tcBorders>
        </w:tcPr>
        <w:p w:rsidR="008C421C" w:rsidRPr="005A3173" w:rsidRDefault="008C421C" w:rsidP="005A3173">
          <w:pPr>
            <w:pStyle w:val="Header"/>
            <w:spacing w:line="276" w:lineRule="auto"/>
            <w:rPr>
              <w:rFonts w:ascii="Calibri" w:eastAsia="MS Gothic" w:hAnsi="Calibri"/>
              <w:b/>
              <w:bCs/>
              <w:color w:val="4F81BD"/>
            </w:rPr>
          </w:pPr>
        </w:p>
      </w:tc>
      <w:tc>
        <w:tcPr>
          <w:tcW w:w="0" w:type="auto"/>
          <w:vMerge/>
          <w:vAlign w:val="center"/>
          <w:hideMark/>
        </w:tcPr>
        <w:p w:rsidR="008C421C" w:rsidRPr="005A3173" w:rsidRDefault="008C421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C421C" w:rsidRPr="005A3173" w:rsidRDefault="008C421C" w:rsidP="005A3173">
          <w:pPr>
            <w:pStyle w:val="Header"/>
            <w:spacing w:line="276" w:lineRule="auto"/>
            <w:rPr>
              <w:rFonts w:ascii="Calibri" w:eastAsia="MS Gothic" w:hAnsi="Calibri"/>
              <w:b/>
              <w:bCs/>
              <w:color w:val="4F81BD"/>
            </w:rPr>
          </w:pPr>
        </w:p>
      </w:tc>
    </w:tr>
  </w:tbl>
  <w:p w:rsidR="008C421C" w:rsidRDefault="008C421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421C" w:rsidRDefault="008C421C">
    <w:pPr>
      <w:pStyle w:val="Footer"/>
    </w:pPr>
  </w:p>
  <w:p w:rsidR="008C421C" w:rsidRDefault="008C4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25296"/>
      <w:docPartObj>
        <w:docPartGallery w:val="Page Numbers (Bottom of Page)"/>
        <w:docPartUnique/>
      </w:docPartObj>
    </w:sdtPr>
    <w:sdtEndPr>
      <w:rPr>
        <w:rFonts w:asciiTheme="minorHAnsi" w:hAnsiTheme="minorHAnsi" w:cstheme="minorHAnsi"/>
        <w:b/>
        <w:noProof/>
      </w:rPr>
    </w:sdtEndPr>
    <w:sdtContent>
      <w:p w:rsidR="008C421C" w:rsidRPr="007329FC" w:rsidRDefault="008C421C">
        <w:pPr>
          <w:pStyle w:val="Footer"/>
          <w:jc w:val="center"/>
          <w:rPr>
            <w:rFonts w:asciiTheme="minorHAnsi" w:hAnsiTheme="minorHAnsi" w:cstheme="minorHAnsi"/>
            <w:b/>
          </w:rPr>
        </w:pPr>
        <w:r w:rsidRPr="00972661">
          <w:rPr>
            <w:rFonts w:asciiTheme="minorHAnsi" w:hAnsiTheme="minorHAnsi" w:cstheme="minorHAnsi"/>
          </w:rPr>
          <w:fldChar w:fldCharType="begin"/>
        </w:r>
        <w:r w:rsidRPr="00972661">
          <w:rPr>
            <w:rFonts w:asciiTheme="minorHAnsi" w:hAnsiTheme="minorHAnsi" w:cstheme="minorHAnsi"/>
          </w:rPr>
          <w:instrText xml:space="preserve"> PAGE   \* MERGEFORMAT </w:instrText>
        </w:r>
        <w:r w:rsidRPr="00972661">
          <w:rPr>
            <w:rFonts w:asciiTheme="minorHAnsi" w:hAnsiTheme="minorHAnsi" w:cstheme="minorHAnsi"/>
          </w:rPr>
          <w:fldChar w:fldCharType="separate"/>
        </w:r>
        <w:r w:rsidR="004473C8">
          <w:rPr>
            <w:rFonts w:asciiTheme="minorHAnsi" w:hAnsiTheme="minorHAnsi" w:cstheme="minorHAnsi"/>
            <w:noProof/>
          </w:rPr>
          <w:t>1</w:t>
        </w:r>
        <w:r w:rsidRPr="00972661">
          <w:rPr>
            <w:rFonts w:asciiTheme="minorHAnsi" w:hAnsiTheme="minorHAnsi" w:cs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C421C" w:rsidTr="005A3173">
      <w:trPr>
        <w:trHeight w:val="151"/>
      </w:trPr>
      <w:tc>
        <w:tcPr>
          <w:tcW w:w="2250" w:type="pct"/>
          <w:tcBorders>
            <w:top w:val="nil"/>
            <w:left w:val="nil"/>
            <w:bottom w:val="single" w:sz="4" w:space="0" w:color="4F81BD"/>
            <w:right w:val="nil"/>
          </w:tcBorders>
        </w:tcPr>
        <w:p w:rsidR="008C421C" w:rsidRPr="005A3173" w:rsidRDefault="008C421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C421C" w:rsidRPr="005A3173" w:rsidRDefault="008C421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C421C" w:rsidRPr="005A3173" w:rsidRDefault="008C421C" w:rsidP="005A3173">
          <w:pPr>
            <w:pStyle w:val="Header"/>
            <w:spacing w:line="276" w:lineRule="auto"/>
            <w:rPr>
              <w:rFonts w:ascii="Calibri" w:eastAsia="MS Gothic" w:hAnsi="Calibri"/>
              <w:b/>
              <w:bCs/>
              <w:color w:val="4F81BD"/>
            </w:rPr>
          </w:pPr>
        </w:p>
      </w:tc>
    </w:tr>
    <w:tr w:rsidR="008C421C" w:rsidTr="005A3173">
      <w:trPr>
        <w:trHeight w:val="150"/>
      </w:trPr>
      <w:tc>
        <w:tcPr>
          <w:tcW w:w="2250" w:type="pct"/>
          <w:tcBorders>
            <w:top w:val="single" w:sz="4" w:space="0" w:color="4F81BD"/>
            <w:left w:val="nil"/>
            <w:bottom w:val="nil"/>
            <w:right w:val="nil"/>
          </w:tcBorders>
        </w:tcPr>
        <w:p w:rsidR="008C421C" w:rsidRPr="005A3173" w:rsidRDefault="008C421C" w:rsidP="005A3173">
          <w:pPr>
            <w:pStyle w:val="Header"/>
            <w:spacing w:line="276" w:lineRule="auto"/>
            <w:rPr>
              <w:rFonts w:ascii="Calibri" w:eastAsia="MS Gothic" w:hAnsi="Calibri"/>
              <w:b/>
              <w:bCs/>
              <w:color w:val="4F81BD"/>
            </w:rPr>
          </w:pPr>
        </w:p>
      </w:tc>
      <w:tc>
        <w:tcPr>
          <w:tcW w:w="0" w:type="auto"/>
          <w:vMerge/>
          <w:vAlign w:val="center"/>
          <w:hideMark/>
        </w:tcPr>
        <w:p w:rsidR="008C421C" w:rsidRPr="005A3173" w:rsidRDefault="008C421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C421C" w:rsidRPr="005A3173" w:rsidRDefault="008C421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C421C" w:rsidTr="005A3173">
      <w:trPr>
        <w:trHeight w:val="151"/>
      </w:trPr>
      <w:tc>
        <w:tcPr>
          <w:tcW w:w="2250" w:type="pct"/>
          <w:tcBorders>
            <w:top w:val="nil"/>
            <w:left w:val="nil"/>
            <w:bottom w:val="single" w:sz="4" w:space="0" w:color="4F81BD"/>
            <w:right w:val="nil"/>
          </w:tcBorders>
        </w:tcPr>
        <w:p w:rsidR="008C421C" w:rsidRPr="005A3173" w:rsidRDefault="008C421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C421C" w:rsidRPr="005A3173" w:rsidRDefault="008C421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C421C" w:rsidRPr="005A3173" w:rsidRDefault="008C421C" w:rsidP="005A3173">
          <w:pPr>
            <w:pStyle w:val="Header"/>
            <w:spacing w:line="276" w:lineRule="auto"/>
            <w:rPr>
              <w:rFonts w:ascii="Calibri" w:eastAsia="MS Gothic" w:hAnsi="Calibri"/>
              <w:b/>
              <w:bCs/>
              <w:color w:val="4F81BD"/>
            </w:rPr>
          </w:pPr>
        </w:p>
      </w:tc>
    </w:tr>
    <w:tr w:rsidR="008C421C" w:rsidTr="005A3173">
      <w:trPr>
        <w:trHeight w:val="150"/>
      </w:trPr>
      <w:tc>
        <w:tcPr>
          <w:tcW w:w="2250" w:type="pct"/>
          <w:tcBorders>
            <w:top w:val="single" w:sz="4" w:space="0" w:color="4F81BD"/>
            <w:left w:val="nil"/>
            <w:bottom w:val="nil"/>
            <w:right w:val="nil"/>
          </w:tcBorders>
        </w:tcPr>
        <w:p w:rsidR="008C421C" w:rsidRPr="005A3173" w:rsidRDefault="008C421C" w:rsidP="005A3173">
          <w:pPr>
            <w:pStyle w:val="Header"/>
            <w:spacing w:line="276" w:lineRule="auto"/>
            <w:rPr>
              <w:rFonts w:ascii="Calibri" w:eastAsia="MS Gothic" w:hAnsi="Calibri"/>
              <w:b/>
              <w:bCs/>
              <w:color w:val="4F81BD"/>
            </w:rPr>
          </w:pPr>
        </w:p>
      </w:tc>
      <w:tc>
        <w:tcPr>
          <w:tcW w:w="0" w:type="auto"/>
          <w:vMerge/>
          <w:vAlign w:val="center"/>
          <w:hideMark/>
        </w:tcPr>
        <w:p w:rsidR="008C421C" w:rsidRPr="005A3173" w:rsidRDefault="008C421C" w:rsidP="005A3173">
          <w:pPr>
            <w:rPr>
              <w:rFonts w:ascii="Calibri" w:hAnsi="Calibri"/>
              <w:color w:val="365F91"/>
              <w:sz w:val="22"/>
              <w:szCs w:val="22"/>
            </w:rPr>
          </w:pPr>
        </w:p>
      </w:tc>
      <w:tc>
        <w:tcPr>
          <w:tcW w:w="2250" w:type="pct"/>
          <w:tcBorders>
            <w:top w:val="single" w:sz="4" w:space="0" w:color="4F81BD"/>
            <w:left w:val="nil"/>
            <w:bottom w:val="nil"/>
            <w:right w:val="nil"/>
          </w:tcBorders>
        </w:tcPr>
        <w:p w:rsidR="008C421C" w:rsidRPr="005A3173" w:rsidRDefault="008C421C" w:rsidP="005A3173">
          <w:pPr>
            <w:pStyle w:val="Header"/>
            <w:spacing w:line="276" w:lineRule="auto"/>
            <w:rPr>
              <w:rFonts w:ascii="Calibri" w:eastAsia="MS Gothic" w:hAnsi="Calibri"/>
              <w:b/>
              <w:bCs/>
              <w:color w:val="4F81BD"/>
            </w:rPr>
          </w:pPr>
        </w:p>
      </w:tc>
    </w:tr>
  </w:tbl>
  <w:p w:rsidR="008C421C" w:rsidRPr="007C0F57" w:rsidRDefault="008C421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C421C" w:rsidRPr="007C0F57" w:rsidRDefault="008C421C" w:rsidP="007C0F57">
    <w:pPr>
      <w:pStyle w:val="Footer"/>
      <w:jc w:val="center"/>
      <w:rPr>
        <w:b/>
        <w:i/>
        <w:sz w:val="20"/>
        <w:szCs w:val="20"/>
      </w:rPr>
    </w:pPr>
    <w:r w:rsidRPr="007C0F57">
      <w:rPr>
        <w:b/>
        <w:i/>
        <w:sz w:val="20"/>
        <w:szCs w:val="20"/>
      </w:rPr>
      <w:t>Commercial-in-Confidence</w:t>
    </w:r>
  </w:p>
  <w:p w:rsidR="008C421C" w:rsidRDefault="008C4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1C" w:rsidRDefault="008C421C">
      <w:r>
        <w:separator/>
      </w:r>
    </w:p>
    <w:p w:rsidR="008C421C" w:rsidRDefault="008C421C"/>
  </w:footnote>
  <w:footnote w:type="continuationSeparator" w:id="0">
    <w:p w:rsidR="008C421C" w:rsidRDefault="008C421C">
      <w:r>
        <w:continuationSeparator/>
      </w:r>
    </w:p>
    <w:p w:rsidR="008C421C" w:rsidRDefault="008C421C"/>
  </w:footnote>
  <w:footnote w:id="1">
    <w:p w:rsidR="008C421C" w:rsidRPr="00136B30" w:rsidRDefault="008C421C" w:rsidP="007E77A4">
      <w:pPr>
        <w:pStyle w:val="FootnoteText"/>
        <w:rPr>
          <w:rFonts w:ascii="Arial Narrow" w:hAnsi="Arial Narrow"/>
          <w:sz w:val="18"/>
          <w:szCs w:val="18"/>
        </w:rPr>
      </w:pPr>
      <w:r w:rsidRPr="00136B30">
        <w:rPr>
          <w:rStyle w:val="FootnoteReference"/>
          <w:rFonts w:ascii="Arial Narrow" w:hAnsi="Arial Narrow"/>
          <w:sz w:val="18"/>
          <w:szCs w:val="18"/>
        </w:rPr>
        <w:footnoteRef/>
      </w:r>
      <w:r w:rsidRPr="00136B30">
        <w:rPr>
          <w:rFonts w:ascii="Arial Narrow" w:hAnsi="Arial Narrow"/>
          <w:sz w:val="18"/>
          <w:szCs w:val="18"/>
        </w:rPr>
        <w:t xml:space="preserve"> </w:t>
      </w:r>
      <w:proofErr w:type="spellStart"/>
      <w:r w:rsidRPr="00136B30">
        <w:rPr>
          <w:rFonts w:ascii="Arial Narrow" w:hAnsi="Arial Narrow"/>
          <w:sz w:val="18"/>
          <w:szCs w:val="18"/>
        </w:rPr>
        <w:t>Cherny</w:t>
      </w:r>
      <w:proofErr w:type="spellEnd"/>
      <w:r w:rsidRPr="00136B30">
        <w:rPr>
          <w:rFonts w:ascii="Arial Narrow" w:hAnsi="Arial Narrow"/>
          <w:sz w:val="18"/>
          <w:szCs w:val="18"/>
        </w:rPr>
        <w:t xml:space="preserve"> NI, Dafni U, </w:t>
      </w:r>
      <w:proofErr w:type="spellStart"/>
      <w:r w:rsidRPr="00136B30">
        <w:rPr>
          <w:rFonts w:ascii="Arial Narrow" w:hAnsi="Arial Narrow"/>
          <w:sz w:val="18"/>
          <w:szCs w:val="18"/>
        </w:rPr>
        <w:t>Bogaerts</w:t>
      </w:r>
      <w:proofErr w:type="spellEnd"/>
      <w:r w:rsidRPr="00136B30">
        <w:rPr>
          <w:rFonts w:ascii="Arial Narrow" w:hAnsi="Arial Narrow"/>
          <w:sz w:val="18"/>
          <w:szCs w:val="18"/>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C421C" w:rsidRPr="008E0D90" w:rsidTr="00A06225">
      <w:trPr>
        <w:trHeight w:val="151"/>
      </w:trPr>
      <w:tc>
        <w:tcPr>
          <w:tcW w:w="2389" w:type="pct"/>
          <w:tcBorders>
            <w:top w:val="nil"/>
            <w:left w:val="nil"/>
            <w:bottom w:val="single" w:sz="4" w:space="0" w:color="4F81BD"/>
            <w:right w:val="nil"/>
          </w:tcBorders>
        </w:tcPr>
        <w:p w:rsidR="008C421C" w:rsidRPr="00A06225" w:rsidRDefault="008C421C">
          <w:pPr>
            <w:pStyle w:val="Header"/>
            <w:spacing w:line="276" w:lineRule="auto"/>
            <w:rPr>
              <w:rFonts w:ascii="Cambria" w:eastAsia="MS Gothic" w:hAnsi="Cambria"/>
              <w:b/>
              <w:bCs/>
              <w:color w:val="4F81BD"/>
            </w:rPr>
          </w:pPr>
        </w:p>
      </w:tc>
      <w:tc>
        <w:tcPr>
          <w:tcW w:w="333" w:type="pct"/>
          <w:vMerge w:val="restart"/>
          <w:noWrap/>
          <w:vAlign w:val="center"/>
          <w:hideMark/>
        </w:tcPr>
        <w:p w:rsidR="008C421C" w:rsidRPr="00A06225" w:rsidRDefault="008C421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C421C" w:rsidRPr="00A06225" w:rsidRDefault="008C421C">
          <w:pPr>
            <w:pStyle w:val="Header"/>
            <w:spacing w:line="276" w:lineRule="auto"/>
            <w:rPr>
              <w:rFonts w:ascii="Cambria" w:eastAsia="MS Gothic" w:hAnsi="Cambria"/>
              <w:b/>
              <w:bCs/>
              <w:color w:val="4F81BD"/>
            </w:rPr>
          </w:pPr>
        </w:p>
      </w:tc>
    </w:tr>
    <w:tr w:rsidR="008C421C" w:rsidRPr="008E0D90" w:rsidTr="00A06225">
      <w:trPr>
        <w:trHeight w:val="150"/>
      </w:trPr>
      <w:tc>
        <w:tcPr>
          <w:tcW w:w="2389" w:type="pct"/>
          <w:tcBorders>
            <w:top w:val="single" w:sz="4" w:space="0" w:color="4F81BD"/>
            <w:left w:val="nil"/>
            <w:bottom w:val="nil"/>
            <w:right w:val="nil"/>
          </w:tcBorders>
        </w:tcPr>
        <w:p w:rsidR="008C421C" w:rsidRPr="00A06225" w:rsidRDefault="008C421C">
          <w:pPr>
            <w:pStyle w:val="Header"/>
            <w:spacing w:line="276" w:lineRule="auto"/>
            <w:rPr>
              <w:rFonts w:ascii="Cambria" w:eastAsia="MS Gothic" w:hAnsi="Cambria"/>
              <w:b/>
              <w:bCs/>
              <w:color w:val="4F81BD"/>
            </w:rPr>
          </w:pPr>
        </w:p>
      </w:tc>
      <w:tc>
        <w:tcPr>
          <w:tcW w:w="0" w:type="auto"/>
          <w:vMerge/>
          <w:vAlign w:val="center"/>
          <w:hideMark/>
        </w:tcPr>
        <w:p w:rsidR="008C421C" w:rsidRPr="00A06225" w:rsidRDefault="008C421C">
          <w:pPr>
            <w:rPr>
              <w:rFonts w:ascii="Cambria" w:hAnsi="Cambria"/>
              <w:color w:val="4F81BD"/>
              <w:sz w:val="22"/>
              <w:szCs w:val="22"/>
            </w:rPr>
          </w:pPr>
        </w:p>
      </w:tc>
      <w:tc>
        <w:tcPr>
          <w:tcW w:w="2278" w:type="pct"/>
          <w:tcBorders>
            <w:top w:val="single" w:sz="4" w:space="0" w:color="4F81BD"/>
            <w:left w:val="nil"/>
            <w:bottom w:val="nil"/>
            <w:right w:val="nil"/>
          </w:tcBorders>
        </w:tcPr>
        <w:p w:rsidR="008C421C" w:rsidRPr="00A06225" w:rsidRDefault="008C421C">
          <w:pPr>
            <w:pStyle w:val="Header"/>
            <w:spacing w:line="276" w:lineRule="auto"/>
            <w:rPr>
              <w:rFonts w:ascii="Cambria" w:eastAsia="MS Gothic" w:hAnsi="Cambria"/>
              <w:b/>
              <w:bCs/>
              <w:color w:val="4F81BD"/>
            </w:rPr>
          </w:pPr>
        </w:p>
      </w:tc>
    </w:tr>
  </w:tbl>
  <w:p w:rsidR="008C421C" w:rsidRDefault="008C421C">
    <w:pPr>
      <w:pStyle w:val="Header"/>
    </w:pPr>
  </w:p>
  <w:p w:rsidR="008C421C" w:rsidRDefault="008C42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1C" w:rsidRPr="007329FC" w:rsidRDefault="008C421C" w:rsidP="004557BF">
    <w:pPr>
      <w:tabs>
        <w:tab w:val="left" w:pos="142"/>
        <w:tab w:val="right" w:pos="9027"/>
      </w:tabs>
      <w:jc w:val="center"/>
      <w:rPr>
        <w:rFonts w:ascii="Calibri" w:hAnsi="Calibri"/>
        <w:i/>
        <w:lang w:eastAsia="en-US"/>
      </w:rPr>
    </w:pPr>
    <w:r>
      <w:rPr>
        <w:rFonts w:ascii="Calibri" w:hAnsi="Calibri"/>
        <w:i/>
        <w:lang w:eastAsia="en-US"/>
      </w:rPr>
      <w:t>Public Summary Document</w:t>
    </w:r>
    <w:r w:rsidRPr="007329FC">
      <w:rPr>
        <w:rFonts w:ascii="Calibri" w:hAnsi="Calibri"/>
        <w:i/>
        <w:lang w:eastAsia="en-US"/>
      </w:rPr>
      <w:t xml:space="preserve"> – November 2018 PBAC Meeting</w:t>
    </w:r>
  </w:p>
  <w:p w:rsidR="008C421C" w:rsidRPr="007329FC" w:rsidRDefault="008C421C" w:rsidP="00A128E6">
    <w:pPr>
      <w:pStyle w:val="NoSpacing"/>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1C" w:rsidRDefault="008C4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376C35"/>
    <w:multiLevelType w:val="hybridMultilevel"/>
    <w:tmpl w:val="C72438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9A6FF1"/>
    <w:multiLevelType w:val="hybridMultilevel"/>
    <w:tmpl w:val="C72438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B1C6F29"/>
    <w:multiLevelType w:val="hybridMultilevel"/>
    <w:tmpl w:val="CB400F94"/>
    <w:lvl w:ilvl="0" w:tplc="148A447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C6776CF"/>
    <w:multiLevelType w:val="hybridMultilevel"/>
    <w:tmpl w:val="FB1885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3">
    <w:nsid w:val="1ECE013F"/>
    <w:multiLevelType w:val="hybridMultilevel"/>
    <w:tmpl w:val="1F8E142E"/>
    <w:lvl w:ilvl="0" w:tplc="8B4EDA6C">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1F00677D"/>
    <w:multiLevelType w:val="hybridMultilevel"/>
    <w:tmpl w:val="43EAF430"/>
    <w:lvl w:ilvl="0" w:tplc="A8323A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7BF1608"/>
    <w:multiLevelType w:val="hybridMultilevel"/>
    <w:tmpl w:val="EE20D1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EEA79F3"/>
    <w:multiLevelType w:val="hybridMultilevel"/>
    <w:tmpl w:val="81865598"/>
    <w:lvl w:ilvl="0" w:tplc="1A70872E">
      <w:start w:val="18"/>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C42D07"/>
    <w:multiLevelType w:val="hybridMultilevel"/>
    <w:tmpl w:val="F828DE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632DF7"/>
    <w:multiLevelType w:val="hybridMultilevel"/>
    <w:tmpl w:val="C72438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0E35F1"/>
    <w:multiLevelType w:val="hybridMultilevel"/>
    <w:tmpl w:val="4540F7DC"/>
    <w:lvl w:ilvl="0" w:tplc="0A360F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4894C9D"/>
    <w:multiLevelType w:val="hybridMultilevel"/>
    <w:tmpl w:val="43EAF430"/>
    <w:lvl w:ilvl="0" w:tplc="A8323A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3044BF5"/>
    <w:multiLevelType w:val="hybridMultilevel"/>
    <w:tmpl w:val="6CFEEAA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6F0A26A7"/>
    <w:multiLevelType w:val="hybridMultilevel"/>
    <w:tmpl w:val="820A56BA"/>
    <w:lvl w:ilvl="0" w:tplc="306AAB26">
      <w:start w:val="48"/>
      <w:numFmt w:val="bullet"/>
      <w:lvlText w:val="-"/>
      <w:lvlJc w:val="left"/>
      <w:pPr>
        <w:ind w:left="632" w:hanging="360"/>
      </w:pPr>
      <w:rPr>
        <w:rFonts w:ascii="Arial Narrow" w:eastAsia="Times New Roman" w:hAnsi="Arial Narrow" w:cs="Times New Roman"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072" w:hanging="360"/>
      </w:pPr>
      <w:rPr>
        <w:rFonts w:ascii="Wingdings" w:hAnsi="Wingdings" w:hint="default"/>
      </w:rPr>
    </w:lvl>
    <w:lvl w:ilvl="3" w:tplc="0C090001" w:tentative="1">
      <w:start w:val="1"/>
      <w:numFmt w:val="bullet"/>
      <w:lvlText w:val=""/>
      <w:lvlJc w:val="left"/>
      <w:pPr>
        <w:ind w:left="2792" w:hanging="360"/>
      </w:pPr>
      <w:rPr>
        <w:rFonts w:ascii="Symbol" w:hAnsi="Symbol" w:hint="default"/>
      </w:rPr>
    </w:lvl>
    <w:lvl w:ilvl="4" w:tplc="0C090003" w:tentative="1">
      <w:start w:val="1"/>
      <w:numFmt w:val="bullet"/>
      <w:lvlText w:val="o"/>
      <w:lvlJc w:val="left"/>
      <w:pPr>
        <w:ind w:left="3512" w:hanging="360"/>
      </w:pPr>
      <w:rPr>
        <w:rFonts w:ascii="Courier New" w:hAnsi="Courier New" w:cs="Courier New" w:hint="default"/>
      </w:rPr>
    </w:lvl>
    <w:lvl w:ilvl="5" w:tplc="0C090005" w:tentative="1">
      <w:start w:val="1"/>
      <w:numFmt w:val="bullet"/>
      <w:lvlText w:val=""/>
      <w:lvlJc w:val="left"/>
      <w:pPr>
        <w:ind w:left="4232" w:hanging="360"/>
      </w:pPr>
      <w:rPr>
        <w:rFonts w:ascii="Wingdings" w:hAnsi="Wingdings" w:hint="default"/>
      </w:rPr>
    </w:lvl>
    <w:lvl w:ilvl="6" w:tplc="0C090001" w:tentative="1">
      <w:start w:val="1"/>
      <w:numFmt w:val="bullet"/>
      <w:lvlText w:val=""/>
      <w:lvlJc w:val="left"/>
      <w:pPr>
        <w:ind w:left="4952" w:hanging="360"/>
      </w:pPr>
      <w:rPr>
        <w:rFonts w:ascii="Symbol" w:hAnsi="Symbol" w:hint="default"/>
      </w:rPr>
    </w:lvl>
    <w:lvl w:ilvl="7" w:tplc="0C090003" w:tentative="1">
      <w:start w:val="1"/>
      <w:numFmt w:val="bullet"/>
      <w:lvlText w:val="o"/>
      <w:lvlJc w:val="left"/>
      <w:pPr>
        <w:ind w:left="5672" w:hanging="360"/>
      </w:pPr>
      <w:rPr>
        <w:rFonts w:ascii="Courier New" w:hAnsi="Courier New" w:cs="Courier New" w:hint="default"/>
      </w:rPr>
    </w:lvl>
    <w:lvl w:ilvl="8" w:tplc="0C090005" w:tentative="1">
      <w:start w:val="1"/>
      <w:numFmt w:val="bullet"/>
      <w:lvlText w:val=""/>
      <w:lvlJc w:val="left"/>
      <w:pPr>
        <w:ind w:left="6392" w:hanging="360"/>
      </w:pPr>
      <w:rPr>
        <w:rFonts w:ascii="Wingdings" w:hAnsi="Wingdings" w:hint="default"/>
      </w:rPr>
    </w:lvl>
  </w:abstractNum>
  <w:abstractNum w:abstractNumId="30">
    <w:nsid w:val="747B5307"/>
    <w:multiLevelType w:val="hybridMultilevel"/>
    <w:tmpl w:val="89363FD2"/>
    <w:lvl w:ilvl="0" w:tplc="125C9BC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D033C"/>
    <w:multiLevelType w:val="multilevel"/>
    <w:tmpl w:val="EF448908"/>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10"/>
  </w:num>
  <w:num w:numId="4">
    <w:abstractNumId w:val="25"/>
  </w:num>
  <w:num w:numId="5">
    <w:abstractNumId w:val="31"/>
  </w:num>
  <w:num w:numId="6">
    <w:abstractNumId w:val="11"/>
  </w:num>
  <w:num w:numId="7">
    <w:abstractNumId w:val="22"/>
  </w:num>
  <w:num w:numId="8">
    <w:abstractNumId w:val="5"/>
  </w:num>
  <w:num w:numId="9">
    <w:abstractNumId w:val="21"/>
  </w:num>
  <w:num w:numId="10">
    <w:abstractNumId w:val="20"/>
  </w:num>
  <w:num w:numId="11">
    <w:abstractNumId w:val="17"/>
  </w:num>
  <w:num w:numId="12">
    <w:abstractNumId w:val="1"/>
  </w:num>
  <w:num w:numId="13">
    <w:abstractNumId w:val="0"/>
  </w:num>
  <w:num w:numId="14">
    <w:abstractNumId w:val="31"/>
  </w:num>
  <w:num w:numId="15">
    <w:abstractNumId w:val="13"/>
  </w:num>
  <w:num w:numId="16">
    <w:abstractNumId w:val="28"/>
  </w:num>
  <w:num w:numId="17">
    <w:abstractNumId w:val="9"/>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6"/>
  </w:num>
  <w:num w:numId="21">
    <w:abstractNumId w:val="18"/>
  </w:num>
  <w:num w:numId="22">
    <w:abstractNumId w:val="16"/>
  </w:num>
  <w:num w:numId="23">
    <w:abstractNumId w:val="24"/>
  </w:num>
  <w:num w:numId="24">
    <w:abstractNumId w:val="19"/>
  </w:num>
  <w:num w:numId="25">
    <w:abstractNumId w:val="26"/>
  </w:num>
  <w:num w:numId="26">
    <w:abstractNumId w:val="2"/>
  </w:num>
  <w:num w:numId="27">
    <w:abstractNumId w:val="30"/>
  </w:num>
  <w:num w:numId="28">
    <w:abstractNumId w:val="14"/>
  </w:num>
  <w:num w:numId="29">
    <w:abstractNumId w:val="27"/>
  </w:num>
  <w:num w:numId="30">
    <w:abstractNumId w:val="7"/>
  </w:num>
  <w:num w:numId="31">
    <w:abstractNumId w:val="3"/>
  </w:num>
  <w:num w:numId="32">
    <w:abstractNumId w:val="15"/>
  </w:num>
  <w:num w:numId="33">
    <w:abstractNumId w:val="29"/>
  </w:num>
  <w:num w:numId="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783F07E-B581-469F-A24A-AFB57502664A}"/>
    <w:docVar w:name="dgnword-eventsink" w:val="293017648"/>
  </w:docVars>
  <w:rsids>
    <w:rsidRoot w:val="0004240E"/>
    <w:rsid w:val="000025AD"/>
    <w:rsid w:val="0000335D"/>
    <w:rsid w:val="000077FE"/>
    <w:rsid w:val="0001156A"/>
    <w:rsid w:val="00016D23"/>
    <w:rsid w:val="00023635"/>
    <w:rsid w:val="00023D24"/>
    <w:rsid w:val="0002464A"/>
    <w:rsid w:val="0003106B"/>
    <w:rsid w:val="0003135F"/>
    <w:rsid w:val="00031512"/>
    <w:rsid w:val="00041675"/>
    <w:rsid w:val="000421A1"/>
    <w:rsid w:val="0004240E"/>
    <w:rsid w:val="00045E26"/>
    <w:rsid w:val="000514B5"/>
    <w:rsid w:val="0005293C"/>
    <w:rsid w:val="000532D3"/>
    <w:rsid w:val="00053E56"/>
    <w:rsid w:val="00060E64"/>
    <w:rsid w:val="00066755"/>
    <w:rsid w:val="00077143"/>
    <w:rsid w:val="000809E0"/>
    <w:rsid w:val="00080E02"/>
    <w:rsid w:val="000816A0"/>
    <w:rsid w:val="00082169"/>
    <w:rsid w:val="0009465D"/>
    <w:rsid w:val="00094DC0"/>
    <w:rsid w:val="000969AD"/>
    <w:rsid w:val="00097402"/>
    <w:rsid w:val="000A1016"/>
    <w:rsid w:val="000B2ED5"/>
    <w:rsid w:val="000B558D"/>
    <w:rsid w:val="000B65AC"/>
    <w:rsid w:val="000C076D"/>
    <w:rsid w:val="000C34B4"/>
    <w:rsid w:val="000C4126"/>
    <w:rsid w:val="000C5FCC"/>
    <w:rsid w:val="000C6996"/>
    <w:rsid w:val="000C69B1"/>
    <w:rsid w:val="000D23BA"/>
    <w:rsid w:val="000E1F33"/>
    <w:rsid w:val="000E5857"/>
    <w:rsid w:val="000E66D1"/>
    <w:rsid w:val="000E681E"/>
    <w:rsid w:val="000F0003"/>
    <w:rsid w:val="000F3F2F"/>
    <w:rsid w:val="000F4E6A"/>
    <w:rsid w:val="000F795C"/>
    <w:rsid w:val="0010073A"/>
    <w:rsid w:val="00101216"/>
    <w:rsid w:val="0010122C"/>
    <w:rsid w:val="00104227"/>
    <w:rsid w:val="001107BF"/>
    <w:rsid w:val="0011227E"/>
    <w:rsid w:val="0011549B"/>
    <w:rsid w:val="00120F94"/>
    <w:rsid w:val="0012417C"/>
    <w:rsid w:val="0013151E"/>
    <w:rsid w:val="00131CC2"/>
    <w:rsid w:val="00132911"/>
    <w:rsid w:val="00135EAD"/>
    <w:rsid w:val="0014105B"/>
    <w:rsid w:val="00142395"/>
    <w:rsid w:val="00142714"/>
    <w:rsid w:val="001452ED"/>
    <w:rsid w:val="00146002"/>
    <w:rsid w:val="0014793F"/>
    <w:rsid w:val="00151EE4"/>
    <w:rsid w:val="001552A5"/>
    <w:rsid w:val="001571F1"/>
    <w:rsid w:val="00161B7F"/>
    <w:rsid w:val="00163329"/>
    <w:rsid w:val="001642E7"/>
    <w:rsid w:val="00164623"/>
    <w:rsid w:val="00165B64"/>
    <w:rsid w:val="0016769F"/>
    <w:rsid w:val="00174E54"/>
    <w:rsid w:val="00175464"/>
    <w:rsid w:val="00180713"/>
    <w:rsid w:val="001830CE"/>
    <w:rsid w:val="001839AB"/>
    <w:rsid w:val="001857CB"/>
    <w:rsid w:val="0018643B"/>
    <w:rsid w:val="00186A08"/>
    <w:rsid w:val="0018741B"/>
    <w:rsid w:val="0019296A"/>
    <w:rsid w:val="00195306"/>
    <w:rsid w:val="00196307"/>
    <w:rsid w:val="00196C48"/>
    <w:rsid w:val="001A24ED"/>
    <w:rsid w:val="001A33EA"/>
    <w:rsid w:val="001B017F"/>
    <w:rsid w:val="001B2BBC"/>
    <w:rsid w:val="001B5129"/>
    <w:rsid w:val="001B5D68"/>
    <w:rsid w:val="001B609D"/>
    <w:rsid w:val="001C1195"/>
    <w:rsid w:val="001C3D12"/>
    <w:rsid w:val="001C511F"/>
    <w:rsid w:val="001D25F6"/>
    <w:rsid w:val="001D689D"/>
    <w:rsid w:val="001E02B0"/>
    <w:rsid w:val="001E05CB"/>
    <w:rsid w:val="001E0ADC"/>
    <w:rsid w:val="001E1CFA"/>
    <w:rsid w:val="001E774F"/>
    <w:rsid w:val="001F1850"/>
    <w:rsid w:val="001F3223"/>
    <w:rsid w:val="001F3475"/>
    <w:rsid w:val="001F4C3C"/>
    <w:rsid w:val="001F5811"/>
    <w:rsid w:val="001F61C9"/>
    <w:rsid w:val="00203FAC"/>
    <w:rsid w:val="002063C1"/>
    <w:rsid w:val="002070EC"/>
    <w:rsid w:val="00213CFB"/>
    <w:rsid w:val="00217BE1"/>
    <w:rsid w:val="002206BA"/>
    <w:rsid w:val="00222CF9"/>
    <w:rsid w:val="00222EB7"/>
    <w:rsid w:val="00224E39"/>
    <w:rsid w:val="00225CBA"/>
    <w:rsid w:val="00230D21"/>
    <w:rsid w:val="00231D8F"/>
    <w:rsid w:val="00234714"/>
    <w:rsid w:val="0023581E"/>
    <w:rsid w:val="00240282"/>
    <w:rsid w:val="002403F2"/>
    <w:rsid w:val="00243312"/>
    <w:rsid w:val="002450F8"/>
    <w:rsid w:val="00252C64"/>
    <w:rsid w:val="0026179F"/>
    <w:rsid w:val="00261CD7"/>
    <w:rsid w:val="00266565"/>
    <w:rsid w:val="00271BA1"/>
    <w:rsid w:val="0027241C"/>
    <w:rsid w:val="00272777"/>
    <w:rsid w:val="002727EC"/>
    <w:rsid w:val="00272BD8"/>
    <w:rsid w:val="002762FA"/>
    <w:rsid w:val="00277505"/>
    <w:rsid w:val="002806AC"/>
    <w:rsid w:val="00282CE6"/>
    <w:rsid w:val="00284588"/>
    <w:rsid w:val="002872EB"/>
    <w:rsid w:val="00293B5A"/>
    <w:rsid w:val="0029458F"/>
    <w:rsid w:val="002A0273"/>
    <w:rsid w:val="002A0308"/>
    <w:rsid w:val="002A104C"/>
    <w:rsid w:val="002A3021"/>
    <w:rsid w:val="002A4960"/>
    <w:rsid w:val="002B07BA"/>
    <w:rsid w:val="002B1AE6"/>
    <w:rsid w:val="002B1E50"/>
    <w:rsid w:val="002B2DE8"/>
    <w:rsid w:val="002B30F8"/>
    <w:rsid w:val="002B5596"/>
    <w:rsid w:val="002B7842"/>
    <w:rsid w:val="002C07C3"/>
    <w:rsid w:val="002C0FD0"/>
    <w:rsid w:val="002C11F1"/>
    <w:rsid w:val="002C212F"/>
    <w:rsid w:val="002C3399"/>
    <w:rsid w:val="002C4442"/>
    <w:rsid w:val="002C698A"/>
    <w:rsid w:val="002D374F"/>
    <w:rsid w:val="002D4543"/>
    <w:rsid w:val="002E3153"/>
    <w:rsid w:val="002E72CA"/>
    <w:rsid w:val="002E7494"/>
    <w:rsid w:val="002F600D"/>
    <w:rsid w:val="00300AD6"/>
    <w:rsid w:val="00301A4F"/>
    <w:rsid w:val="00310398"/>
    <w:rsid w:val="00312536"/>
    <w:rsid w:val="00313434"/>
    <w:rsid w:val="00314108"/>
    <w:rsid w:val="00317C6C"/>
    <w:rsid w:val="0032350A"/>
    <w:rsid w:val="00323DAD"/>
    <w:rsid w:val="00324D40"/>
    <w:rsid w:val="00325C59"/>
    <w:rsid w:val="00326E79"/>
    <w:rsid w:val="00327751"/>
    <w:rsid w:val="00334A8D"/>
    <w:rsid w:val="0033518A"/>
    <w:rsid w:val="003367EF"/>
    <w:rsid w:val="003412A6"/>
    <w:rsid w:val="00341AE4"/>
    <w:rsid w:val="0034228F"/>
    <w:rsid w:val="00342780"/>
    <w:rsid w:val="00345F05"/>
    <w:rsid w:val="00353EF5"/>
    <w:rsid w:val="00362127"/>
    <w:rsid w:val="003678BF"/>
    <w:rsid w:val="003700E5"/>
    <w:rsid w:val="0037076E"/>
    <w:rsid w:val="003722D3"/>
    <w:rsid w:val="003868A6"/>
    <w:rsid w:val="003872CF"/>
    <w:rsid w:val="0039141C"/>
    <w:rsid w:val="00393D55"/>
    <w:rsid w:val="0039782C"/>
    <w:rsid w:val="003979C2"/>
    <w:rsid w:val="003A355A"/>
    <w:rsid w:val="003A5B4A"/>
    <w:rsid w:val="003B23C5"/>
    <w:rsid w:val="003B2A75"/>
    <w:rsid w:val="003B6124"/>
    <w:rsid w:val="003C021D"/>
    <w:rsid w:val="003C0B4A"/>
    <w:rsid w:val="003C2660"/>
    <w:rsid w:val="003C2C35"/>
    <w:rsid w:val="003C2FB5"/>
    <w:rsid w:val="003D2AEF"/>
    <w:rsid w:val="003D31C7"/>
    <w:rsid w:val="003D4AC4"/>
    <w:rsid w:val="003D60D8"/>
    <w:rsid w:val="003D63B7"/>
    <w:rsid w:val="003D7D91"/>
    <w:rsid w:val="003E2A34"/>
    <w:rsid w:val="003E2ECC"/>
    <w:rsid w:val="003E3C28"/>
    <w:rsid w:val="003E468B"/>
    <w:rsid w:val="003E7E2B"/>
    <w:rsid w:val="003F206C"/>
    <w:rsid w:val="003F2514"/>
    <w:rsid w:val="003F2F47"/>
    <w:rsid w:val="003F3228"/>
    <w:rsid w:val="003F4F2C"/>
    <w:rsid w:val="003F5C8C"/>
    <w:rsid w:val="0040374F"/>
    <w:rsid w:val="00406C22"/>
    <w:rsid w:val="00406C9E"/>
    <w:rsid w:val="004105D9"/>
    <w:rsid w:val="004118A6"/>
    <w:rsid w:val="00416FB3"/>
    <w:rsid w:val="00423EF7"/>
    <w:rsid w:val="004252EC"/>
    <w:rsid w:val="004325F6"/>
    <w:rsid w:val="004413E2"/>
    <w:rsid w:val="00442A6D"/>
    <w:rsid w:val="004465BD"/>
    <w:rsid w:val="004473C8"/>
    <w:rsid w:val="004557BF"/>
    <w:rsid w:val="004564FE"/>
    <w:rsid w:val="00457DA4"/>
    <w:rsid w:val="00466ADA"/>
    <w:rsid w:val="00475276"/>
    <w:rsid w:val="00476245"/>
    <w:rsid w:val="00483035"/>
    <w:rsid w:val="00485940"/>
    <w:rsid w:val="00486822"/>
    <w:rsid w:val="00487FAA"/>
    <w:rsid w:val="00490459"/>
    <w:rsid w:val="00490947"/>
    <w:rsid w:val="00497AD7"/>
    <w:rsid w:val="004A2484"/>
    <w:rsid w:val="004A388E"/>
    <w:rsid w:val="004A5A85"/>
    <w:rsid w:val="004A5D1F"/>
    <w:rsid w:val="004A71D1"/>
    <w:rsid w:val="004B0D3E"/>
    <w:rsid w:val="004B5640"/>
    <w:rsid w:val="004C1BD7"/>
    <w:rsid w:val="004C31FE"/>
    <w:rsid w:val="004C3311"/>
    <w:rsid w:val="004C3E4C"/>
    <w:rsid w:val="004C4336"/>
    <w:rsid w:val="004C60FF"/>
    <w:rsid w:val="004C691D"/>
    <w:rsid w:val="004C6C07"/>
    <w:rsid w:val="004D03E0"/>
    <w:rsid w:val="004D7E46"/>
    <w:rsid w:val="004E1899"/>
    <w:rsid w:val="004E4D42"/>
    <w:rsid w:val="004E692D"/>
    <w:rsid w:val="004E6C70"/>
    <w:rsid w:val="004E7F71"/>
    <w:rsid w:val="004F19C6"/>
    <w:rsid w:val="004F28FD"/>
    <w:rsid w:val="005002E1"/>
    <w:rsid w:val="00500A0B"/>
    <w:rsid w:val="00501483"/>
    <w:rsid w:val="005014AA"/>
    <w:rsid w:val="00501554"/>
    <w:rsid w:val="00502BD1"/>
    <w:rsid w:val="00503A12"/>
    <w:rsid w:val="00504099"/>
    <w:rsid w:val="00505C00"/>
    <w:rsid w:val="00513F26"/>
    <w:rsid w:val="00514CD7"/>
    <w:rsid w:val="00520868"/>
    <w:rsid w:val="00521794"/>
    <w:rsid w:val="00527DBD"/>
    <w:rsid w:val="005309D0"/>
    <w:rsid w:val="00530AB9"/>
    <w:rsid w:val="0053195D"/>
    <w:rsid w:val="005319B2"/>
    <w:rsid w:val="00532402"/>
    <w:rsid w:val="00532C74"/>
    <w:rsid w:val="00533EE8"/>
    <w:rsid w:val="00534E2E"/>
    <w:rsid w:val="00544552"/>
    <w:rsid w:val="00555B4C"/>
    <w:rsid w:val="00564001"/>
    <w:rsid w:val="00565C71"/>
    <w:rsid w:val="00576363"/>
    <w:rsid w:val="00576BB9"/>
    <w:rsid w:val="005772CD"/>
    <w:rsid w:val="00577C4D"/>
    <w:rsid w:val="00581932"/>
    <w:rsid w:val="0058664C"/>
    <w:rsid w:val="00591277"/>
    <w:rsid w:val="00592483"/>
    <w:rsid w:val="005961AA"/>
    <w:rsid w:val="005963BB"/>
    <w:rsid w:val="00596BBD"/>
    <w:rsid w:val="00597126"/>
    <w:rsid w:val="00597497"/>
    <w:rsid w:val="005A00C0"/>
    <w:rsid w:val="005A3173"/>
    <w:rsid w:val="005A3223"/>
    <w:rsid w:val="005A3DA3"/>
    <w:rsid w:val="005A52C4"/>
    <w:rsid w:val="005A6AF8"/>
    <w:rsid w:val="005B098C"/>
    <w:rsid w:val="005C3014"/>
    <w:rsid w:val="005C38AD"/>
    <w:rsid w:val="005D03AB"/>
    <w:rsid w:val="005D427E"/>
    <w:rsid w:val="005D5017"/>
    <w:rsid w:val="005D5BBD"/>
    <w:rsid w:val="005D64CB"/>
    <w:rsid w:val="005E0B44"/>
    <w:rsid w:val="005E1333"/>
    <w:rsid w:val="005E16B0"/>
    <w:rsid w:val="005E36E2"/>
    <w:rsid w:val="005E7F64"/>
    <w:rsid w:val="005F012A"/>
    <w:rsid w:val="005F1088"/>
    <w:rsid w:val="005F1CE4"/>
    <w:rsid w:val="005F2B36"/>
    <w:rsid w:val="00601A91"/>
    <w:rsid w:val="00602BA3"/>
    <w:rsid w:val="00606EED"/>
    <w:rsid w:val="0060736A"/>
    <w:rsid w:val="0061103A"/>
    <w:rsid w:val="00611A99"/>
    <w:rsid w:val="00612708"/>
    <w:rsid w:val="00612E34"/>
    <w:rsid w:val="006136ED"/>
    <w:rsid w:val="00614159"/>
    <w:rsid w:val="00617C00"/>
    <w:rsid w:val="006263BF"/>
    <w:rsid w:val="0062748A"/>
    <w:rsid w:val="00630A2C"/>
    <w:rsid w:val="0063682E"/>
    <w:rsid w:val="00637B32"/>
    <w:rsid w:val="00640101"/>
    <w:rsid w:val="00642F7A"/>
    <w:rsid w:val="006436CD"/>
    <w:rsid w:val="00651169"/>
    <w:rsid w:val="00651E86"/>
    <w:rsid w:val="00652605"/>
    <w:rsid w:val="00653D69"/>
    <w:rsid w:val="00655510"/>
    <w:rsid w:val="006600EF"/>
    <w:rsid w:val="00660A57"/>
    <w:rsid w:val="00665E88"/>
    <w:rsid w:val="0066685F"/>
    <w:rsid w:val="006669F9"/>
    <w:rsid w:val="006670BE"/>
    <w:rsid w:val="006674E5"/>
    <w:rsid w:val="00670A76"/>
    <w:rsid w:val="006711AA"/>
    <w:rsid w:val="00672994"/>
    <w:rsid w:val="00672B57"/>
    <w:rsid w:val="00675622"/>
    <w:rsid w:val="0067747D"/>
    <w:rsid w:val="00681F8F"/>
    <w:rsid w:val="006906DB"/>
    <w:rsid w:val="00691E6C"/>
    <w:rsid w:val="006954E9"/>
    <w:rsid w:val="00696129"/>
    <w:rsid w:val="00696BA3"/>
    <w:rsid w:val="00697CF2"/>
    <w:rsid w:val="006A12A5"/>
    <w:rsid w:val="006A4CC9"/>
    <w:rsid w:val="006A5684"/>
    <w:rsid w:val="006A772D"/>
    <w:rsid w:val="006B0D94"/>
    <w:rsid w:val="006B186F"/>
    <w:rsid w:val="006B485D"/>
    <w:rsid w:val="006B7584"/>
    <w:rsid w:val="006B7F26"/>
    <w:rsid w:val="006C708E"/>
    <w:rsid w:val="006D14E7"/>
    <w:rsid w:val="006D21C7"/>
    <w:rsid w:val="006D5980"/>
    <w:rsid w:val="006D6493"/>
    <w:rsid w:val="006D6EC7"/>
    <w:rsid w:val="006E64B4"/>
    <w:rsid w:val="006E670B"/>
    <w:rsid w:val="006F0B5A"/>
    <w:rsid w:val="006F0C80"/>
    <w:rsid w:val="006F5125"/>
    <w:rsid w:val="00702B6F"/>
    <w:rsid w:val="007048B3"/>
    <w:rsid w:val="0071135B"/>
    <w:rsid w:val="0071340B"/>
    <w:rsid w:val="00714DFB"/>
    <w:rsid w:val="007174BB"/>
    <w:rsid w:val="0072025D"/>
    <w:rsid w:val="00724C09"/>
    <w:rsid w:val="00725FD1"/>
    <w:rsid w:val="007329FC"/>
    <w:rsid w:val="007353D3"/>
    <w:rsid w:val="0073573D"/>
    <w:rsid w:val="0073710D"/>
    <w:rsid w:val="00737769"/>
    <w:rsid w:val="007416DA"/>
    <w:rsid w:val="007443F3"/>
    <w:rsid w:val="00747110"/>
    <w:rsid w:val="0075046A"/>
    <w:rsid w:val="0075328F"/>
    <w:rsid w:val="00755478"/>
    <w:rsid w:val="00757AC9"/>
    <w:rsid w:val="0076420C"/>
    <w:rsid w:val="00771272"/>
    <w:rsid w:val="007753C2"/>
    <w:rsid w:val="007838B8"/>
    <w:rsid w:val="00786F22"/>
    <w:rsid w:val="00786F5B"/>
    <w:rsid w:val="007905E9"/>
    <w:rsid w:val="00792784"/>
    <w:rsid w:val="007A3039"/>
    <w:rsid w:val="007A4C78"/>
    <w:rsid w:val="007B02C5"/>
    <w:rsid w:val="007B0FBA"/>
    <w:rsid w:val="007C0F57"/>
    <w:rsid w:val="007C40B6"/>
    <w:rsid w:val="007C729F"/>
    <w:rsid w:val="007D2CE9"/>
    <w:rsid w:val="007E1D28"/>
    <w:rsid w:val="007E5215"/>
    <w:rsid w:val="007E77A4"/>
    <w:rsid w:val="007F2641"/>
    <w:rsid w:val="007F7C36"/>
    <w:rsid w:val="00800AB2"/>
    <w:rsid w:val="0080187A"/>
    <w:rsid w:val="008021E6"/>
    <w:rsid w:val="00806796"/>
    <w:rsid w:val="008116C0"/>
    <w:rsid w:val="00811A0A"/>
    <w:rsid w:val="00813207"/>
    <w:rsid w:val="008151D6"/>
    <w:rsid w:val="00823D34"/>
    <w:rsid w:val="0082624A"/>
    <w:rsid w:val="008264AC"/>
    <w:rsid w:val="00826F6D"/>
    <w:rsid w:val="008306F3"/>
    <w:rsid w:val="0083169A"/>
    <w:rsid w:val="00837CA8"/>
    <w:rsid w:val="00837FCB"/>
    <w:rsid w:val="00841EB4"/>
    <w:rsid w:val="00844246"/>
    <w:rsid w:val="00845EDE"/>
    <w:rsid w:val="00846DE2"/>
    <w:rsid w:val="00850BC0"/>
    <w:rsid w:val="008518EE"/>
    <w:rsid w:val="0085312D"/>
    <w:rsid w:val="00856DDD"/>
    <w:rsid w:val="00863E68"/>
    <w:rsid w:val="00864AFC"/>
    <w:rsid w:val="008657D5"/>
    <w:rsid w:val="00881589"/>
    <w:rsid w:val="00882085"/>
    <w:rsid w:val="00882341"/>
    <w:rsid w:val="00883188"/>
    <w:rsid w:val="008922CF"/>
    <w:rsid w:val="00897D58"/>
    <w:rsid w:val="00897F22"/>
    <w:rsid w:val="008A1956"/>
    <w:rsid w:val="008A4937"/>
    <w:rsid w:val="008A50F1"/>
    <w:rsid w:val="008A6FCB"/>
    <w:rsid w:val="008B70B1"/>
    <w:rsid w:val="008C3246"/>
    <w:rsid w:val="008C421C"/>
    <w:rsid w:val="008C603B"/>
    <w:rsid w:val="008D1B5C"/>
    <w:rsid w:val="008D3C82"/>
    <w:rsid w:val="008D447E"/>
    <w:rsid w:val="008D7A41"/>
    <w:rsid w:val="008E2ADA"/>
    <w:rsid w:val="008E3680"/>
    <w:rsid w:val="008E5870"/>
    <w:rsid w:val="008E74FE"/>
    <w:rsid w:val="008F1434"/>
    <w:rsid w:val="008F703F"/>
    <w:rsid w:val="008F7355"/>
    <w:rsid w:val="00901F33"/>
    <w:rsid w:val="00905650"/>
    <w:rsid w:val="009067B7"/>
    <w:rsid w:val="00915B49"/>
    <w:rsid w:val="00915CD5"/>
    <w:rsid w:val="009220DB"/>
    <w:rsid w:val="00922481"/>
    <w:rsid w:val="009279DE"/>
    <w:rsid w:val="00930937"/>
    <w:rsid w:val="00931FFE"/>
    <w:rsid w:val="00933E6C"/>
    <w:rsid w:val="00937958"/>
    <w:rsid w:val="00937CD6"/>
    <w:rsid w:val="00941C88"/>
    <w:rsid w:val="00942160"/>
    <w:rsid w:val="00946FD8"/>
    <w:rsid w:val="0095146F"/>
    <w:rsid w:val="00951BE4"/>
    <w:rsid w:val="00955D78"/>
    <w:rsid w:val="009602C5"/>
    <w:rsid w:val="009605A9"/>
    <w:rsid w:val="009612FB"/>
    <w:rsid w:val="00962223"/>
    <w:rsid w:val="00964C3A"/>
    <w:rsid w:val="00966D0D"/>
    <w:rsid w:val="00966D0E"/>
    <w:rsid w:val="00972661"/>
    <w:rsid w:val="00974BAB"/>
    <w:rsid w:val="00974C21"/>
    <w:rsid w:val="00974C5E"/>
    <w:rsid w:val="00977650"/>
    <w:rsid w:val="00981384"/>
    <w:rsid w:val="009842CC"/>
    <w:rsid w:val="00985E8A"/>
    <w:rsid w:val="009962FB"/>
    <w:rsid w:val="0099761D"/>
    <w:rsid w:val="009B0F67"/>
    <w:rsid w:val="009B3CD1"/>
    <w:rsid w:val="009B7820"/>
    <w:rsid w:val="009B7C79"/>
    <w:rsid w:val="009C357E"/>
    <w:rsid w:val="009C703C"/>
    <w:rsid w:val="009D24EC"/>
    <w:rsid w:val="009D3CAA"/>
    <w:rsid w:val="009D715F"/>
    <w:rsid w:val="009E40E1"/>
    <w:rsid w:val="009F33A4"/>
    <w:rsid w:val="009F4784"/>
    <w:rsid w:val="009F4E46"/>
    <w:rsid w:val="009F5B65"/>
    <w:rsid w:val="009F5F2E"/>
    <w:rsid w:val="00A06225"/>
    <w:rsid w:val="00A128E6"/>
    <w:rsid w:val="00A1455C"/>
    <w:rsid w:val="00A14B8A"/>
    <w:rsid w:val="00A202C3"/>
    <w:rsid w:val="00A20DEA"/>
    <w:rsid w:val="00A24F35"/>
    <w:rsid w:val="00A31990"/>
    <w:rsid w:val="00A32481"/>
    <w:rsid w:val="00A34E6C"/>
    <w:rsid w:val="00A35F2A"/>
    <w:rsid w:val="00A37924"/>
    <w:rsid w:val="00A37C8D"/>
    <w:rsid w:val="00A42FEC"/>
    <w:rsid w:val="00A475C0"/>
    <w:rsid w:val="00A5164D"/>
    <w:rsid w:val="00A51809"/>
    <w:rsid w:val="00A5273B"/>
    <w:rsid w:val="00A53746"/>
    <w:rsid w:val="00A53899"/>
    <w:rsid w:val="00A53A9D"/>
    <w:rsid w:val="00A552FD"/>
    <w:rsid w:val="00A55FEE"/>
    <w:rsid w:val="00A56CF6"/>
    <w:rsid w:val="00A62B73"/>
    <w:rsid w:val="00A62C1A"/>
    <w:rsid w:val="00A6426D"/>
    <w:rsid w:val="00A64727"/>
    <w:rsid w:val="00A665C1"/>
    <w:rsid w:val="00A70423"/>
    <w:rsid w:val="00A70622"/>
    <w:rsid w:val="00A708EB"/>
    <w:rsid w:val="00A70977"/>
    <w:rsid w:val="00A70ECA"/>
    <w:rsid w:val="00A7369D"/>
    <w:rsid w:val="00A7412D"/>
    <w:rsid w:val="00A774B6"/>
    <w:rsid w:val="00A77613"/>
    <w:rsid w:val="00A77C52"/>
    <w:rsid w:val="00A8318E"/>
    <w:rsid w:val="00A832BD"/>
    <w:rsid w:val="00A8390C"/>
    <w:rsid w:val="00A928BD"/>
    <w:rsid w:val="00A93C33"/>
    <w:rsid w:val="00AA4D1C"/>
    <w:rsid w:val="00AA50C5"/>
    <w:rsid w:val="00AA617C"/>
    <w:rsid w:val="00AC193C"/>
    <w:rsid w:val="00AC4804"/>
    <w:rsid w:val="00AC5206"/>
    <w:rsid w:val="00AC56E6"/>
    <w:rsid w:val="00AD04B9"/>
    <w:rsid w:val="00AD151F"/>
    <w:rsid w:val="00AD4647"/>
    <w:rsid w:val="00AD5791"/>
    <w:rsid w:val="00AD6E61"/>
    <w:rsid w:val="00AD7301"/>
    <w:rsid w:val="00AE11A5"/>
    <w:rsid w:val="00AE1376"/>
    <w:rsid w:val="00AE13E2"/>
    <w:rsid w:val="00AE22D3"/>
    <w:rsid w:val="00AE4827"/>
    <w:rsid w:val="00AE5DA6"/>
    <w:rsid w:val="00AF0145"/>
    <w:rsid w:val="00AF01C2"/>
    <w:rsid w:val="00AF4C6C"/>
    <w:rsid w:val="00AF62DF"/>
    <w:rsid w:val="00AF68CC"/>
    <w:rsid w:val="00B00FBB"/>
    <w:rsid w:val="00B01983"/>
    <w:rsid w:val="00B05137"/>
    <w:rsid w:val="00B1059E"/>
    <w:rsid w:val="00B1184B"/>
    <w:rsid w:val="00B12E1F"/>
    <w:rsid w:val="00B12ECD"/>
    <w:rsid w:val="00B131FD"/>
    <w:rsid w:val="00B14760"/>
    <w:rsid w:val="00B14879"/>
    <w:rsid w:val="00B14B99"/>
    <w:rsid w:val="00B156F3"/>
    <w:rsid w:val="00B176C8"/>
    <w:rsid w:val="00B205AA"/>
    <w:rsid w:val="00B22E84"/>
    <w:rsid w:val="00B25555"/>
    <w:rsid w:val="00B25F75"/>
    <w:rsid w:val="00B26B3F"/>
    <w:rsid w:val="00B26CD2"/>
    <w:rsid w:val="00B32D39"/>
    <w:rsid w:val="00B3301C"/>
    <w:rsid w:val="00B33442"/>
    <w:rsid w:val="00B34F33"/>
    <w:rsid w:val="00B351AD"/>
    <w:rsid w:val="00B36885"/>
    <w:rsid w:val="00B43E90"/>
    <w:rsid w:val="00B45BE9"/>
    <w:rsid w:val="00B467DC"/>
    <w:rsid w:val="00B47592"/>
    <w:rsid w:val="00B56118"/>
    <w:rsid w:val="00B62CD4"/>
    <w:rsid w:val="00B64B6B"/>
    <w:rsid w:val="00B660F4"/>
    <w:rsid w:val="00B6773F"/>
    <w:rsid w:val="00B763A5"/>
    <w:rsid w:val="00B76982"/>
    <w:rsid w:val="00B772E7"/>
    <w:rsid w:val="00B801BA"/>
    <w:rsid w:val="00B84D5C"/>
    <w:rsid w:val="00B904A6"/>
    <w:rsid w:val="00B918F2"/>
    <w:rsid w:val="00BB0A87"/>
    <w:rsid w:val="00BB454D"/>
    <w:rsid w:val="00BB69F5"/>
    <w:rsid w:val="00BB6B43"/>
    <w:rsid w:val="00BB7028"/>
    <w:rsid w:val="00BB74EF"/>
    <w:rsid w:val="00BB7EC3"/>
    <w:rsid w:val="00BC130C"/>
    <w:rsid w:val="00BC4066"/>
    <w:rsid w:val="00BC4B9A"/>
    <w:rsid w:val="00BD62A3"/>
    <w:rsid w:val="00BD67F2"/>
    <w:rsid w:val="00BD784C"/>
    <w:rsid w:val="00BE1322"/>
    <w:rsid w:val="00BE1D04"/>
    <w:rsid w:val="00BF0AAE"/>
    <w:rsid w:val="00BF4CB6"/>
    <w:rsid w:val="00BF57B8"/>
    <w:rsid w:val="00BF5CFE"/>
    <w:rsid w:val="00BF7433"/>
    <w:rsid w:val="00C00B0E"/>
    <w:rsid w:val="00C00DA7"/>
    <w:rsid w:val="00C05676"/>
    <w:rsid w:val="00C0702A"/>
    <w:rsid w:val="00C07189"/>
    <w:rsid w:val="00C07DBB"/>
    <w:rsid w:val="00C12768"/>
    <w:rsid w:val="00C16728"/>
    <w:rsid w:val="00C24E62"/>
    <w:rsid w:val="00C27B58"/>
    <w:rsid w:val="00C35996"/>
    <w:rsid w:val="00C362FE"/>
    <w:rsid w:val="00C36AC5"/>
    <w:rsid w:val="00C37C52"/>
    <w:rsid w:val="00C41F5E"/>
    <w:rsid w:val="00C43A95"/>
    <w:rsid w:val="00C4747E"/>
    <w:rsid w:val="00C51BD1"/>
    <w:rsid w:val="00C5342C"/>
    <w:rsid w:val="00C56DD7"/>
    <w:rsid w:val="00C603D4"/>
    <w:rsid w:val="00C6256A"/>
    <w:rsid w:val="00C77891"/>
    <w:rsid w:val="00C778AC"/>
    <w:rsid w:val="00C80160"/>
    <w:rsid w:val="00C81E5A"/>
    <w:rsid w:val="00C90411"/>
    <w:rsid w:val="00C90A33"/>
    <w:rsid w:val="00C91427"/>
    <w:rsid w:val="00C91449"/>
    <w:rsid w:val="00C92D10"/>
    <w:rsid w:val="00CB200C"/>
    <w:rsid w:val="00CB3B59"/>
    <w:rsid w:val="00CB5CEC"/>
    <w:rsid w:val="00CB5DDA"/>
    <w:rsid w:val="00CC7C9F"/>
    <w:rsid w:val="00CC7CA3"/>
    <w:rsid w:val="00CD0FA3"/>
    <w:rsid w:val="00CE10C4"/>
    <w:rsid w:val="00CE27B5"/>
    <w:rsid w:val="00D0321E"/>
    <w:rsid w:val="00D05DDF"/>
    <w:rsid w:val="00D079EA"/>
    <w:rsid w:val="00D1152A"/>
    <w:rsid w:val="00D1455A"/>
    <w:rsid w:val="00D16BD2"/>
    <w:rsid w:val="00D23520"/>
    <w:rsid w:val="00D30338"/>
    <w:rsid w:val="00D31150"/>
    <w:rsid w:val="00D3138B"/>
    <w:rsid w:val="00D3280C"/>
    <w:rsid w:val="00D3406A"/>
    <w:rsid w:val="00D35E50"/>
    <w:rsid w:val="00D42200"/>
    <w:rsid w:val="00D4572C"/>
    <w:rsid w:val="00D469B2"/>
    <w:rsid w:val="00D470A2"/>
    <w:rsid w:val="00D56D47"/>
    <w:rsid w:val="00D63A3D"/>
    <w:rsid w:val="00D65CE7"/>
    <w:rsid w:val="00D678CB"/>
    <w:rsid w:val="00D741EB"/>
    <w:rsid w:val="00D74DFC"/>
    <w:rsid w:val="00D800B1"/>
    <w:rsid w:val="00D80D9D"/>
    <w:rsid w:val="00D83605"/>
    <w:rsid w:val="00D84934"/>
    <w:rsid w:val="00D85161"/>
    <w:rsid w:val="00D91271"/>
    <w:rsid w:val="00D919F5"/>
    <w:rsid w:val="00D94F03"/>
    <w:rsid w:val="00D9679B"/>
    <w:rsid w:val="00D97C32"/>
    <w:rsid w:val="00DA2283"/>
    <w:rsid w:val="00DA2CB5"/>
    <w:rsid w:val="00DA4BAC"/>
    <w:rsid w:val="00DB033A"/>
    <w:rsid w:val="00DC0008"/>
    <w:rsid w:val="00DC1012"/>
    <w:rsid w:val="00DC3743"/>
    <w:rsid w:val="00DC58CE"/>
    <w:rsid w:val="00DC71CB"/>
    <w:rsid w:val="00DD2D76"/>
    <w:rsid w:val="00DE019B"/>
    <w:rsid w:val="00DE11A9"/>
    <w:rsid w:val="00DE279C"/>
    <w:rsid w:val="00DE6D27"/>
    <w:rsid w:val="00DE70F3"/>
    <w:rsid w:val="00DF217D"/>
    <w:rsid w:val="00DF26A7"/>
    <w:rsid w:val="00E05FA2"/>
    <w:rsid w:val="00E071CA"/>
    <w:rsid w:val="00E13A09"/>
    <w:rsid w:val="00E15627"/>
    <w:rsid w:val="00E164B3"/>
    <w:rsid w:val="00E164E2"/>
    <w:rsid w:val="00E16910"/>
    <w:rsid w:val="00E16F8A"/>
    <w:rsid w:val="00E3277F"/>
    <w:rsid w:val="00E3611B"/>
    <w:rsid w:val="00E404A0"/>
    <w:rsid w:val="00E428F9"/>
    <w:rsid w:val="00E42B10"/>
    <w:rsid w:val="00E42BDB"/>
    <w:rsid w:val="00E52473"/>
    <w:rsid w:val="00E57EEB"/>
    <w:rsid w:val="00E6185E"/>
    <w:rsid w:val="00E61C0C"/>
    <w:rsid w:val="00E62469"/>
    <w:rsid w:val="00E62D94"/>
    <w:rsid w:val="00E64AC7"/>
    <w:rsid w:val="00E65E54"/>
    <w:rsid w:val="00E6753B"/>
    <w:rsid w:val="00E713B7"/>
    <w:rsid w:val="00E80155"/>
    <w:rsid w:val="00E80FA5"/>
    <w:rsid w:val="00E81F28"/>
    <w:rsid w:val="00E848C0"/>
    <w:rsid w:val="00E852A2"/>
    <w:rsid w:val="00E87C59"/>
    <w:rsid w:val="00E91B96"/>
    <w:rsid w:val="00E941A1"/>
    <w:rsid w:val="00E95CE3"/>
    <w:rsid w:val="00EA1A39"/>
    <w:rsid w:val="00EA2825"/>
    <w:rsid w:val="00EA7DBD"/>
    <w:rsid w:val="00EB0B63"/>
    <w:rsid w:val="00EB1936"/>
    <w:rsid w:val="00EB5088"/>
    <w:rsid w:val="00EB798D"/>
    <w:rsid w:val="00EC18FA"/>
    <w:rsid w:val="00EC213D"/>
    <w:rsid w:val="00ED04F1"/>
    <w:rsid w:val="00ED0D78"/>
    <w:rsid w:val="00ED1644"/>
    <w:rsid w:val="00ED2593"/>
    <w:rsid w:val="00ED5AEF"/>
    <w:rsid w:val="00ED7D9C"/>
    <w:rsid w:val="00EE5525"/>
    <w:rsid w:val="00EE6B6F"/>
    <w:rsid w:val="00EF1419"/>
    <w:rsid w:val="00EF44A0"/>
    <w:rsid w:val="00EF4FED"/>
    <w:rsid w:val="00EF5F84"/>
    <w:rsid w:val="00F009E3"/>
    <w:rsid w:val="00F050BD"/>
    <w:rsid w:val="00F05657"/>
    <w:rsid w:val="00F16161"/>
    <w:rsid w:val="00F218FB"/>
    <w:rsid w:val="00F25578"/>
    <w:rsid w:val="00F258E5"/>
    <w:rsid w:val="00F300BC"/>
    <w:rsid w:val="00F3334E"/>
    <w:rsid w:val="00F360F5"/>
    <w:rsid w:val="00F36CCB"/>
    <w:rsid w:val="00F374E5"/>
    <w:rsid w:val="00F400AC"/>
    <w:rsid w:val="00F42553"/>
    <w:rsid w:val="00F43AF2"/>
    <w:rsid w:val="00F43E61"/>
    <w:rsid w:val="00F46C90"/>
    <w:rsid w:val="00F5007E"/>
    <w:rsid w:val="00F50EC4"/>
    <w:rsid w:val="00F54E68"/>
    <w:rsid w:val="00F54F83"/>
    <w:rsid w:val="00F550CF"/>
    <w:rsid w:val="00F5543B"/>
    <w:rsid w:val="00F5671B"/>
    <w:rsid w:val="00F57A6D"/>
    <w:rsid w:val="00F628B2"/>
    <w:rsid w:val="00F638CC"/>
    <w:rsid w:val="00F63DE3"/>
    <w:rsid w:val="00F64CC1"/>
    <w:rsid w:val="00F72317"/>
    <w:rsid w:val="00F75EFC"/>
    <w:rsid w:val="00F76543"/>
    <w:rsid w:val="00F77AB2"/>
    <w:rsid w:val="00F800EE"/>
    <w:rsid w:val="00F80475"/>
    <w:rsid w:val="00F8247A"/>
    <w:rsid w:val="00F83EA1"/>
    <w:rsid w:val="00F852EA"/>
    <w:rsid w:val="00F906E9"/>
    <w:rsid w:val="00F9528D"/>
    <w:rsid w:val="00F9629A"/>
    <w:rsid w:val="00F97EFC"/>
    <w:rsid w:val="00FA3121"/>
    <w:rsid w:val="00FA40C5"/>
    <w:rsid w:val="00FA4682"/>
    <w:rsid w:val="00FA5883"/>
    <w:rsid w:val="00FA6055"/>
    <w:rsid w:val="00FA719A"/>
    <w:rsid w:val="00FB0075"/>
    <w:rsid w:val="00FB0ED4"/>
    <w:rsid w:val="00FB322F"/>
    <w:rsid w:val="00FB442F"/>
    <w:rsid w:val="00FC1929"/>
    <w:rsid w:val="00FC2914"/>
    <w:rsid w:val="00FC41BC"/>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5543B"/>
    <w:rPr>
      <w:sz w:val="24"/>
      <w:szCs w:val="24"/>
    </w:rPr>
  </w:style>
  <w:style w:type="paragraph" w:styleId="Heading1">
    <w:name w:val="heading 1"/>
    <w:basedOn w:val="ListParagraph"/>
    <w:next w:val="Normal"/>
    <w:link w:val="Heading1Char"/>
    <w:uiPriority w:val="1"/>
    <w:qFormat/>
    <w:rsid w:val="0027241C"/>
    <w:pPr>
      <w:keepNext/>
      <w:keepLines/>
      <w:widowControl/>
      <w:numPr>
        <w:numId w:val="14"/>
      </w:numPr>
      <w:spacing w:before="240" w:after="120"/>
      <w:ind w:left="709" w:hanging="709"/>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27241C"/>
    <w:pPr>
      <w:spacing w:before="120" w:after="120"/>
      <w:outlineLvl w:val="1"/>
    </w:pPr>
    <w:rPr>
      <w:rFonts w:asciiTheme="minorHAnsi" w:hAnsiTheme="minorHAnsi"/>
      <w:b/>
      <w:bCs/>
      <w:i/>
      <w:sz w:val="28"/>
      <w:szCs w:val="28"/>
    </w:rPr>
  </w:style>
  <w:style w:type="paragraph" w:styleId="Heading3">
    <w:name w:val="heading 3"/>
    <w:basedOn w:val="Normal"/>
    <w:next w:val="Normal"/>
    <w:link w:val="Heading3Char"/>
    <w:unhideWhenUsed/>
    <w:qFormat/>
    <w:rsid w:val="007A4C78"/>
    <w:pPr>
      <w:keepNext/>
      <w:spacing w:after="120"/>
      <w:ind w:left="142"/>
      <w:outlineLvl w:val="2"/>
    </w:pPr>
    <w:rPr>
      <w:rFonts w:asciiTheme="minorHAnsi" w:hAnsiTheme="minorHAnsi" w:cs="Arial"/>
      <w: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7A4C78"/>
    <w:rPr>
      <w:rFonts w:asciiTheme="minorHAnsi" w:hAnsiTheme="minorHAnsi" w:cs="Arial"/>
      <w:b/>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27241C"/>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27241C"/>
    <w:rPr>
      <w:rFonts w:asciiTheme="minorHAnsi" w:hAnsiTheme="minorHAnsi"/>
      <w:b/>
      <w:bCs/>
      <w:i/>
      <w:sz w:val="28"/>
      <w:szCs w:val="28"/>
    </w:rPr>
  </w:style>
  <w:style w:type="paragraph" w:customStyle="1" w:styleId="TableFooter">
    <w:name w:val="Table Footer"/>
    <w:basedOn w:val="Normal"/>
    <w:link w:val="TableFooterChar"/>
    <w:qFormat/>
    <w:rsid w:val="008116C0"/>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8116C0"/>
    <w:rPr>
      <w:rFonts w:ascii="Arial Narrow" w:hAnsi="Arial Narrow" w:cs="Arial"/>
      <w:snapToGrid w:val="0"/>
      <w:sz w:val="18"/>
      <w:szCs w:val="22"/>
      <w:lang w:eastAsia="en-US"/>
    </w:rPr>
  </w:style>
  <w:style w:type="character" w:styleId="FootnoteReference">
    <w:name w:val="footnote reference"/>
    <w:basedOn w:val="DefaultParagraphFont"/>
    <w:unhideWhenUsed/>
    <w:rsid w:val="008116C0"/>
    <w:rPr>
      <w:vertAlign w:val="superscript"/>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semiHidden/>
    <w:locked/>
    <w:rsid w:val="000B2ED5"/>
    <w:rPr>
      <w:b/>
      <w:iCs/>
      <w:color w:val="000000" w:themeColor="text1"/>
      <w:szCs w:val="18"/>
    </w:rPr>
  </w:style>
  <w:style w:type="paragraph" w:styleId="Caption">
    <w:name w:val="caption"/>
    <w:aliases w:val="Caption Char Char,Caption2,Caption Char Char Char Char Char,Caption Char Char1 Char,Caption Char1 Char1,Bayer Caption,IB Caption,Medical Caption,Caption Char1 Char,- H17,B Caption,Caption - H17,! Q"/>
    <w:basedOn w:val="Normal"/>
    <w:next w:val="Normal"/>
    <w:link w:val="CaptionChar"/>
    <w:uiPriority w:val="35"/>
    <w:semiHidden/>
    <w:unhideWhenUsed/>
    <w:qFormat/>
    <w:rsid w:val="000B2ED5"/>
    <w:pPr>
      <w:jc w:val="both"/>
    </w:pPr>
    <w:rPr>
      <w:b/>
      <w:iCs/>
      <w:color w:val="000000" w:themeColor="text1"/>
      <w:sz w:val="20"/>
      <w:szCs w:val="18"/>
    </w:rPr>
  </w:style>
  <w:style w:type="character" w:customStyle="1" w:styleId="TableTextChar0">
    <w:name w:val="Table Text Char"/>
    <w:link w:val="TableText0"/>
    <w:locked/>
    <w:rsid w:val="000B2ED5"/>
    <w:rPr>
      <w:rFonts w:ascii="Arial" w:hAnsi="Arial"/>
      <w:color w:val="000000"/>
      <w:szCs w:val="18"/>
    </w:rPr>
  </w:style>
  <w:style w:type="paragraph" w:customStyle="1" w:styleId="TableText0">
    <w:name w:val="Table Text"/>
    <w:basedOn w:val="Normal"/>
    <w:link w:val="TableTextChar0"/>
    <w:qFormat/>
    <w:rsid w:val="000B2ED5"/>
    <w:pPr>
      <w:spacing w:before="40" w:after="60"/>
    </w:pPr>
    <w:rPr>
      <w:rFonts w:ascii="Arial" w:hAnsi="Arial"/>
      <w:color w:val="000000"/>
      <w:sz w:val="20"/>
      <w:szCs w:val="18"/>
    </w:rPr>
  </w:style>
  <w:style w:type="character" w:customStyle="1" w:styleId="TabletextChar">
    <w:name w:val="Table text Char"/>
    <w:link w:val="Tabletext"/>
    <w:locked/>
    <w:rsid w:val="00342780"/>
    <w:rPr>
      <w:rFonts w:ascii="Arial" w:hAnsi="Arial"/>
      <w:lang w:eastAsia="en-US"/>
    </w:rPr>
  </w:style>
  <w:style w:type="table" w:customStyle="1" w:styleId="TableGridbeth5">
    <w:name w:val="Table Gridbeth5"/>
    <w:basedOn w:val="TableNormal"/>
    <w:uiPriority w:val="39"/>
    <w:rsid w:val="00342780"/>
    <w:pPr>
      <w:spacing w:line="36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C56DD7"/>
    <w:rPr>
      <w:sz w:val="24"/>
      <w:szCs w:val="24"/>
    </w:rPr>
  </w:style>
  <w:style w:type="paragraph" w:styleId="FootnoteText">
    <w:name w:val="footnote text"/>
    <w:basedOn w:val="Normal"/>
    <w:link w:val="FootnoteTextChar"/>
    <w:uiPriority w:val="99"/>
    <w:unhideWhenUsed/>
    <w:rsid w:val="007E77A4"/>
    <w:pPr>
      <w:widowControl w:val="0"/>
      <w:jc w:val="both"/>
    </w:pPr>
    <w:rPr>
      <w:rFonts w:ascii="Calibri" w:hAnsi="Calibri" w:cs="Arial"/>
      <w:snapToGrid w:val="0"/>
      <w:sz w:val="20"/>
      <w:szCs w:val="20"/>
      <w:lang w:eastAsia="en-US"/>
    </w:rPr>
  </w:style>
  <w:style w:type="character" w:customStyle="1" w:styleId="FootnoteTextChar">
    <w:name w:val="Footnote Text Char"/>
    <w:basedOn w:val="DefaultParagraphFont"/>
    <w:link w:val="FootnoteText"/>
    <w:uiPriority w:val="99"/>
    <w:rsid w:val="007E77A4"/>
    <w:rPr>
      <w:rFonts w:ascii="Calibri" w:hAnsi="Calibri" w:cs="Arial"/>
      <w:snapToGrid w:val="0"/>
      <w:lang w:eastAsia="en-US"/>
    </w:rPr>
  </w:style>
  <w:style w:type="paragraph" w:customStyle="1" w:styleId="Default">
    <w:name w:val="Default"/>
    <w:rsid w:val="00C36AC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5543B"/>
    <w:rPr>
      <w:sz w:val="24"/>
      <w:szCs w:val="24"/>
    </w:rPr>
  </w:style>
  <w:style w:type="paragraph" w:styleId="Heading1">
    <w:name w:val="heading 1"/>
    <w:basedOn w:val="ListParagraph"/>
    <w:next w:val="Normal"/>
    <w:link w:val="Heading1Char"/>
    <w:uiPriority w:val="1"/>
    <w:qFormat/>
    <w:rsid w:val="0027241C"/>
    <w:pPr>
      <w:keepNext/>
      <w:keepLines/>
      <w:widowControl/>
      <w:numPr>
        <w:numId w:val="14"/>
      </w:numPr>
      <w:spacing w:before="240" w:after="120"/>
      <w:ind w:left="709" w:hanging="709"/>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27241C"/>
    <w:pPr>
      <w:spacing w:before="120" w:after="120"/>
      <w:outlineLvl w:val="1"/>
    </w:pPr>
    <w:rPr>
      <w:rFonts w:asciiTheme="minorHAnsi" w:hAnsiTheme="minorHAnsi"/>
      <w:b/>
      <w:bCs/>
      <w:i/>
      <w:sz w:val="28"/>
      <w:szCs w:val="28"/>
    </w:rPr>
  </w:style>
  <w:style w:type="paragraph" w:styleId="Heading3">
    <w:name w:val="heading 3"/>
    <w:basedOn w:val="Normal"/>
    <w:next w:val="Normal"/>
    <w:link w:val="Heading3Char"/>
    <w:unhideWhenUsed/>
    <w:qFormat/>
    <w:rsid w:val="007A4C78"/>
    <w:pPr>
      <w:keepNext/>
      <w:spacing w:after="120"/>
      <w:ind w:left="142"/>
      <w:outlineLvl w:val="2"/>
    </w:pPr>
    <w:rPr>
      <w:rFonts w:asciiTheme="minorHAnsi" w:hAnsiTheme="minorHAnsi" w:cs="Arial"/>
      <w: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7A4C78"/>
    <w:rPr>
      <w:rFonts w:asciiTheme="minorHAnsi" w:hAnsiTheme="minorHAnsi" w:cs="Arial"/>
      <w:b/>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27241C"/>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27241C"/>
    <w:rPr>
      <w:rFonts w:asciiTheme="minorHAnsi" w:hAnsiTheme="minorHAnsi"/>
      <w:b/>
      <w:bCs/>
      <w:i/>
      <w:sz w:val="28"/>
      <w:szCs w:val="28"/>
    </w:rPr>
  </w:style>
  <w:style w:type="paragraph" w:customStyle="1" w:styleId="TableFooter">
    <w:name w:val="Table Footer"/>
    <w:basedOn w:val="Normal"/>
    <w:link w:val="TableFooterChar"/>
    <w:qFormat/>
    <w:rsid w:val="008116C0"/>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8116C0"/>
    <w:rPr>
      <w:rFonts w:ascii="Arial Narrow" w:hAnsi="Arial Narrow" w:cs="Arial"/>
      <w:snapToGrid w:val="0"/>
      <w:sz w:val="18"/>
      <w:szCs w:val="22"/>
      <w:lang w:eastAsia="en-US"/>
    </w:rPr>
  </w:style>
  <w:style w:type="character" w:styleId="FootnoteReference">
    <w:name w:val="footnote reference"/>
    <w:basedOn w:val="DefaultParagraphFont"/>
    <w:unhideWhenUsed/>
    <w:rsid w:val="008116C0"/>
    <w:rPr>
      <w:vertAlign w:val="superscript"/>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semiHidden/>
    <w:locked/>
    <w:rsid w:val="000B2ED5"/>
    <w:rPr>
      <w:b/>
      <w:iCs/>
      <w:color w:val="000000" w:themeColor="text1"/>
      <w:szCs w:val="18"/>
    </w:rPr>
  </w:style>
  <w:style w:type="paragraph" w:styleId="Caption">
    <w:name w:val="caption"/>
    <w:aliases w:val="Caption Char Char,Caption2,Caption Char Char Char Char Char,Caption Char Char1 Char,Caption Char1 Char1,Bayer Caption,IB Caption,Medical Caption,Caption Char1 Char,- H17,B Caption,Caption - H17,! Q"/>
    <w:basedOn w:val="Normal"/>
    <w:next w:val="Normal"/>
    <w:link w:val="CaptionChar"/>
    <w:uiPriority w:val="35"/>
    <w:semiHidden/>
    <w:unhideWhenUsed/>
    <w:qFormat/>
    <w:rsid w:val="000B2ED5"/>
    <w:pPr>
      <w:jc w:val="both"/>
    </w:pPr>
    <w:rPr>
      <w:b/>
      <w:iCs/>
      <w:color w:val="000000" w:themeColor="text1"/>
      <w:sz w:val="20"/>
      <w:szCs w:val="18"/>
    </w:rPr>
  </w:style>
  <w:style w:type="character" w:customStyle="1" w:styleId="TableTextChar0">
    <w:name w:val="Table Text Char"/>
    <w:link w:val="TableText0"/>
    <w:locked/>
    <w:rsid w:val="000B2ED5"/>
    <w:rPr>
      <w:rFonts w:ascii="Arial" w:hAnsi="Arial"/>
      <w:color w:val="000000"/>
      <w:szCs w:val="18"/>
    </w:rPr>
  </w:style>
  <w:style w:type="paragraph" w:customStyle="1" w:styleId="TableText0">
    <w:name w:val="Table Text"/>
    <w:basedOn w:val="Normal"/>
    <w:link w:val="TableTextChar0"/>
    <w:qFormat/>
    <w:rsid w:val="000B2ED5"/>
    <w:pPr>
      <w:spacing w:before="40" w:after="60"/>
    </w:pPr>
    <w:rPr>
      <w:rFonts w:ascii="Arial" w:hAnsi="Arial"/>
      <w:color w:val="000000"/>
      <w:sz w:val="20"/>
      <w:szCs w:val="18"/>
    </w:rPr>
  </w:style>
  <w:style w:type="character" w:customStyle="1" w:styleId="TabletextChar">
    <w:name w:val="Table text Char"/>
    <w:link w:val="Tabletext"/>
    <w:locked/>
    <w:rsid w:val="00342780"/>
    <w:rPr>
      <w:rFonts w:ascii="Arial" w:hAnsi="Arial"/>
      <w:lang w:eastAsia="en-US"/>
    </w:rPr>
  </w:style>
  <w:style w:type="table" w:customStyle="1" w:styleId="TableGridbeth5">
    <w:name w:val="Table Gridbeth5"/>
    <w:basedOn w:val="TableNormal"/>
    <w:uiPriority w:val="39"/>
    <w:rsid w:val="00342780"/>
    <w:pPr>
      <w:spacing w:line="36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C56DD7"/>
    <w:rPr>
      <w:sz w:val="24"/>
      <w:szCs w:val="24"/>
    </w:rPr>
  </w:style>
  <w:style w:type="paragraph" w:styleId="FootnoteText">
    <w:name w:val="footnote text"/>
    <w:basedOn w:val="Normal"/>
    <w:link w:val="FootnoteTextChar"/>
    <w:uiPriority w:val="99"/>
    <w:unhideWhenUsed/>
    <w:rsid w:val="007E77A4"/>
    <w:pPr>
      <w:widowControl w:val="0"/>
      <w:jc w:val="both"/>
    </w:pPr>
    <w:rPr>
      <w:rFonts w:ascii="Calibri" w:hAnsi="Calibri" w:cs="Arial"/>
      <w:snapToGrid w:val="0"/>
      <w:sz w:val="20"/>
      <w:szCs w:val="20"/>
      <w:lang w:eastAsia="en-US"/>
    </w:rPr>
  </w:style>
  <w:style w:type="character" w:customStyle="1" w:styleId="FootnoteTextChar">
    <w:name w:val="Footnote Text Char"/>
    <w:basedOn w:val="DefaultParagraphFont"/>
    <w:link w:val="FootnoteText"/>
    <w:uiPriority w:val="99"/>
    <w:rsid w:val="007E77A4"/>
    <w:rPr>
      <w:rFonts w:ascii="Calibri" w:hAnsi="Calibri" w:cs="Arial"/>
      <w:snapToGrid w:val="0"/>
      <w:lang w:eastAsia="en-US"/>
    </w:rPr>
  </w:style>
  <w:style w:type="paragraph" w:customStyle="1" w:styleId="Default">
    <w:name w:val="Default"/>
    <w:rsid w:val="00C36A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2318565">
      <w:bodyDiv w:val="1"/>
      <w:marLeft w:val="0"/>
      <w:marRight w:val="0"/>
      <w:marTop w:val="0"/>
      <w:marBottom w:val="0"/>
      <w:divBdr>
        <w:top w:val="none" w:sz="0" w:space="0" w:color="auto"/>
        <w:left w:val="none" w:sz="0" w:space="0" w:color="auto"/>
        <w:bottom w:val="none" w:sz="0" w:space="0" w:color="auto"/>
        <w:right w:val="none" w:sz="0" w:space="0" w:color="auto"/>
      </w:divBdr>
    </w:div>
    <w:div w:id="136538197">
      <w:bodyDiv w:val="1"/>
      <w:marLeft w:val="0"/>
      <w:marRight w:val="0"/>
      <w:marTop w:val="0"/>
      <w:marBottom w:val="0"/>
      <w:divBdr>
        <w:top w:val="none" w:sz="0" w:space="0" w:color="auto"/>
        <w:left w:val="none" w:sz="0" w:space="0" w:color="auto"/>
        <w:bottom w:val="none" w:sz="0" w:space="0" w:color="auto"/>
        <w:right w:val="none" w:sz="0" w:space="0" w:color="auto"/>
      </w:divBdr>
    </w:div>
    <w:div w:id="140927682">
      <w:bodyDiv w:val="1"/>
      <w:marLeft w:val="0"/>
      <w:marRight w:val="0"/>
      <w:marTop w:val="0"/>
      <w:marBottom w:val="0"/>
      <w:divBdr>
        <w:top w:val="none" w:sz="0" w:space="0" w:color="auto"/>
        <w:left w:val="none" w:sz="0" w:space="0" w:color="auto"/>
        <w:bottom w:val="none" w:sz="0" w:space="0" w:color="auto"/>
        <w:right w:val="none" w:sz="0" w:space="0" w:color="auto"/>
      </w:divBdr>
    </w:div>
    <w:div w:id="174195486">
      <w:bodyDiv w:val="1"/>
      <w:marLeft w:val="0"/>
      <w:marRight w:val="0"/>
      <w:marTop w:val="0"/>
      <w:marBottom w:val="0"/>
      <w:divBdr>
        <w:top w:val="none" w:sz="0" w:space="0" w:color="auto"/>
        <w:left w:val="none" w:sz="0" w:space="0" w:color="auto"/>
        <w:bottom w:val="none" w:sz="0" w:space="0" w:color="auto"/>
        <w:right w:val="none" w:sz="0" w:space="0" w:color="auto"/>
      </w:divBdr>
    </w:div>
    <w:div w:id="176579256">
      <w:bodyDiv w:val="1"/>
      <w:marLeft w:val="0"/>
      <w:marRight w:val="0"/>
      <w:marTop w:val="0"/>
      <w:marBottom w:val="0"/>
      <w:divBdr>
        <w:top w:val="none" w:sz="0" w:space="0" w:color="auto"/>
        <w:left w:val="none" w:sz="0" w:space="0" w:color="auto"/>
        <w:bottom w:val="none" w:sz="0" w:space="0" w:color="auto"/>
        <w:right w:val="none" w:sz="0" w:space="0" w:color="auto"/>
      </w:divBdr>
      <w:divsChild>
        <w:div w:id="147984280">
          <w:marLeft w:val="1166"/>
          <w:marRight w:val="0"/>
          <w:marTop w:val="62"/>
          <w:marBottom w:val="0"/>
          <w:divBdr>
            <w:top w:val="none" w:sz="0" w:space="0" w:color="auto"/>
            <w:left w:val="none" w:sz="0" w:space="0" w:color="auto"/>
            <w:bottom w:val="none" w:sz="0" w:space="0" w:color="auto"/>
            <w:right w:val="none" w:sz="0" w:space="0" w:color="auto"/>
          </w:divBdr>
        </w:div>
        <w:div w:id="1048724520">
          <w:marLeft w:val="1166"/>
          <w:marRight w:val="0"/>
          <w:marTop w:val="62"/>
          <w:marBottom w:val="0"/>
          <w:divBdr>
            <w:top w:val="none" w:sz="0" w:space="0" w:color="auto"/>
            <w:left w:val="none" w:sz="0" w:space="0" w:color="auto"/>
            <w:bottom w:val="none" w:sz="0" w:space="0" w:color="auto"/>
            <w:right w:val="none" w:sz="0" w:space="0" w:color="auto"/>
          </w:divBdr>
        </w:div>
        <w:div w:id="586965790">
          <w:marLeft w:val="1166"/>
          <w:marRight w:val="0"/>
          <w:marTop w:val="62"/>
          <w:marBottom w:val="0"/>
          <w:divBdr>
            <w:top w:val="none" w:sz="0" w:space="0" w:color="auto"/>
            <w:left w:val="none" w:sz="0" w:space="0" w:color="auto"/>
            <w:bottom w:val="none" w:sz="0" w:space="0" w:color="auto"/>
            <w:right w:val="none" w:sz="0" w:space="0" w:color="auto"/>
          </w:divBdr>
        </w:div>
      </w:divsChild>
    </w:div>
    <w:div w:id="179976962">
      <w:bodyDiv w:val="1"/>
      <w:marLeft w:val="0"/>
      <w:marRight w:val="0"/>
      <w:marTop w:val="0"/>
      <w:marBottom w:val="0"/>
      <w:divBdr>
        <w:top w:val="none" w:sz="0" w:space="0" w:color="auto"/>
        <w:left w:val="none" w:sz="0" w:space="0" w:color="auto"/>
        <w:bottom w:val="none" w:sz="0" w:space="0" w:color="auto"/>
        <w:right w:val="none" w:sz="0" w:space="0" w:color="auto"/>
      </w:divBdr>
    </w:div>
    <w:div w:id="210849576">
      <w:bodyDiv w:val="1"/>
      <w:marLeft w:val="0"/>
      <w:marRight w:val="0"/>
      <w:marTop w:val="0"/>
      <w:marBottom w:val="0"/>
      <w:divBdr>
        <w:top w:val="none" w:sz="0" w:space="0" w:color="auto"/>
        <w:left w:val="none" w:sz="0" w:space="0" w:color="auto"/>
        <w:bottom w:val="none" w:sz="0" w:space="0" w:color="auto"/>
        <w:right w:val="none" w:sz="0" w:space="0" w:color="auto"/>
      </w:divBdr>
    </w:div>
    <w:div w:id="282198687">
      <w:bodyDiv w:val="1"/>
      <w:marLeft w:val="0"/>
      <w:marRight w:val="0"/>
      <w:marTop w:val="0"/>
      <w:marBottom w:val="0"/>
      <w:divBdr>
        <w:top w:val="none" w:sz="0" w:space="0" w:color="auto"/>
        <w:left w:val="none" w:sz="0" w:space="0" w:color="auto"/>
        <w:bottom w:val="none" w:sz="0" w:space="0" w:color="auto"/>
        <w:right w:val="none" w:sz="0" w:space="0" w:color="auto"/>
      </w:divBdr>
    </w:div>
    <w:div w:id="284697707">
      <w:bodyDiv w:val="1"/>
      <w:marLeft w:val="0"/>
      <w:marRight w:val="0"/>
      <w:marTop w:val="0"/>
      <w:marBottom w:val="0"/>
      <w:divBdr>
        <w:top w:val="none" w:sz="0" w:space="0" w:color="auto"/>
        <w:left w:val="none" w:sz="0" w:space="0" w:color="auto"/>
        <w:bottom w:val="none" w:sz="0" w:space="0" w:color="auto"/>
        <w:right w:val="none" w:sz="0" w:space="0" w:color="auto"/>
      </w:divBdr>
    </w:div>
    <w:div w:id="309528729">
      <w:bodyDiv w:val="1"/>
      <w:marLeft w:val="0"/>
      <w:marRight w:val="0"/>
      <w:marTop w:val="0"/>
      <w:marBottom w:val="0"/>
      <w:divBdr>
        <w:top w:val="none" w:sz="0" w:space="0" w:color="auto"/>
        <w:left w:val="none" w:sz="0" w:space="0" w:color="auto"/>
        <w:bottom w:val="none" w:sz="0" w:space="0" w:color="auto"/>
        <w:right w:val="none" w:sz="0" w:space="0" w:color="auto"/>
      </w:divBdr>
    </w:div>
    <w:div w:id="325985462">
      <w:bodyDiv w:val="1"/>
      <w:marLeft w:val="0"/>
      <w:marRight w:val="0"/>
      <w:marTop w:val="0"/>
      <w:marBottom w:val="0"/>
      <w:divBdr>
        <w:top w:val="none" w:sz="0" w:space="0" w:color="auto"/>
        <w:left w:val="none" w:sz="0" w:space="0" w:color="auto"/>
        <w:bottom w:val="none" w:sz="0" w:space="0" w:color="auto"/>
        <w:right w:val="none" w:sz="0" w:space="0" w:color="auto"/>
      </w:divBdr>
      <w:divsChild>
        <w:div w:id="1276330156">
          <w:marLeft w:val="0"/>
          <w:marRight w:val="0"/>
          <w:marTop w:val="0"/>
          <w:marBottom w:val="0"/>
          <w:divBdr>
            <w:top w:val="none" w:sz="0" w:space="0" w:color="auto"/>
            <w:left w:val="none" w:sz="0" w:space="0" w:color="auto"/>
            <w:bottom w:val="none" w:sz="0" w:space="0" w:color="auto"/>
            <w:right w:val="none" w:sz="0" w:space="0" w:color="auto"/>
          </w:divBdr>
          <w:divsChild>
            <w:div w:id="963003655">
              <w:marLeft w:val="0"/>
              <w:marRight w:val="0"/>
              <w:marTop w:val="0"/>
              <w:marBottom w:val="0"/>
              <w:divBdr>
                <w:top w:val="none" w:sz="0" w:space="0" w:color="auto"/>
                <w:left w:val="none" w:sz="0" w:space="0" w:color="auto"/>
                <w:bottom w:val="none" w:sz="0" w:space="0" w:color="auto"/>
                <w:right w:val="none" w:sz="0" w:space="0" w:color="auto"/>
              </w:divBdr>
              <w:divsChild>
                <w:div w:id="1963799263">
                  <w:marLeft w:val="0"/>
                  <w:marRight w:val="0"/>
                  <w:marTop w:val="0"/>
                  <w:marBottom w:val="0"/>
                  <w:divBdr>
                    <w:top w:val="none" w:sz="0" w:space="0" w:color="auto"/>
                    <w:left w:val="none" w:sz="0" w:space="0" w:color="auto"/>
                    <w:bottom w:val="none" w:sz="0" w:space="0" w:color="auto"/>
                    <w:right w:val="none" w:sz="0" w:space="0" w:color="auto"/>
                  </w:divBdr>
                  <w:divsChild>
                    <w:div w:id="2099986012">
                      <w:marLeft w:val="0"/>
                      <w:marRight w:val="0"/>
                      <w:marTop w:val="0"/>
                      <w:marBottom w:val="240"/>
                      <w:divBdr>
                        <w:top w:val="single" w:sz="6" w:space="0" w:color="DDDDDD"/>
                        <w:left w:val="none" w:sz="0" w:space="0" w:color="auto"/>
                        <w:bottom w:val="none" w:sz="0" w:space="0" w:color="auto"/>
                        <w:right w:val="none" w:sz="0" w:space="0" w:color="auto"/>
                      </w:divBdr>
                      <w:divsChild>
                        <w:div w:id="2111853670">
                          <w:marLeft w:val="0"/>
                          <w:marRight w:val="0"/>
                          <w:marTop w:val="0"/>
                          <w:marBottom w:val="0"/>
                          <w:divBdr>
                            <w:top w:val="none" w:sz="0" w:space="0" w:color="auto"/>
                            <w:left w:val="none" w:sz="0" w:space="0" w:color="auto"/>
                            <w:bottom w:val="none" w:sz="0" w:space="0" w:color="auto"/>
                            <w:right w:val="none" w:sz="0" w:space="0" w:color="auto"/>
                          </w:divBdr>
                          <w:divsChild>
                            <w:div w:id="309482261">
                              <w:marLeft w:val="0"/>
                              <w:marRight w:val="0"/>
                              <w:marTop w:val="0"/>
                              <w:marBottom w:val="0"/>
                              <w:divBdr>
                                <w:top w:val="none" w:sz="0" w:space="0" w:color="auto"/>
                                <w:left w:val="none" w:sz="0" w:space="0" w:color="auto"/>
                                <w:bottom w:val="none" w:sz="0" w:space="0" w:color="auto"/>
                                <w:right w:val="none" w:sz="0" w:space="0" w:color="auto"/>
                              </w:divBdr>
                              <w:divsChild>
                                <w:div w:id="259334367">
                                  <w:marLeft w:val="0"/>
                                  <w:marRight w:val="0"/>
                                  <w:marTop w:val="0"/>
                                  <w:marBottom w:val="240"/>
                                  <w:divBdr>
                                    <w:top w:val="single" w:sz="6" w:space="0" w:color="DDDDDD"/>
                                    <w:left w:val="none" w:sz="0" w:space="0" w:color="auto"/>
                                    <w:bottom w:val="none" w:sz="0" w:space="0" w:color="auto"/>
                                    <w:right w:val="none" w:sz="0" w:space="0" w:color="auto"/>
                                  </w:divBdr>
                                  <w:divsChild>
                                    <w:div w:id="1089277163">
                                      <w:marLeft w:val="0"/>
                                      <w:marRight w:val="0"/>
                                      <w:marTop w:val="0"/>
                                      <w:marBottom w:val="0"/>
                                      <w:divBdr>
                                        <w:top w:val="none" w:sz="0" w:space="0" w:color="auto"/>
                                        <w:left w:val="none" w:sz="0" w:space="0" w:color="auto"/>
                                        <w:bottom w:val="none" w:sz="0" w:space="0" w:color="auto"/>
                                        <w:right w:val="none" w:sz="0" w:space="0" w:color="auto"/>
                                      </w:divBdr>
                                      <w:divsChild>
                                        <w:div w:id="18622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784440">
      <w:bodyDiv w:val="1"/>
      <w:marLeft w:val="0"/>
      <w:marRight w:val="0"/>
      <w:marTop w:val="0"/>
      <w:marBottom w:val="0"/>
      <w:divBdr>
        <w:top w:val="none" w:sz="0" w:space="0" w:color="auto"/>
        <w:left w:val="none" w:sz="0" w:space="0" w:color="auto"/>
        <w:bottom w:val="none" w:sz="0" w:space="0" w:color="auto"/>
        <w:right w:val="none" w:sz="0" w:space="0" w:color="auto"/>
      </w:divBdr>
    </w:div>
    <w:div w:id="370153446">
      <w:bodyDiv w:val="1"/>
      <w:marLeft w:val="0"/>
      <w:marRight w:val="0"/>
      <w:marTop w:val="0"/>
      <w:marBottom w:val="0"/>
      <w:divBdr>
        <w:top w:val="none" w:sz="0" w:space="0" w:color="auto"/>
        <w:left w:val="none" w:sz="0" w:space="0" w:color="auto"/>
        <w:bottom w:val="none" w:sz="0" w:space="0" w:color="auto"/>
        <w:right w:val="none" w:sz="0" w:space="0" w:color="auto"/>
      </w:divBdr>
    </w:div>
    <w:div w:id="382602966">
      <w:bodyDiv w:val="1"/>
      <w:marLeft w:val="0"/>
      <w:marRight w:val="0"/>
      <w:marTop w:val="0"/>
      <w:marBottom w:val="0"/>
      <w:divBdr>
        <w:top w:val="none" w:sz="0" w:space="0" w:color="auto"/>
        <w:left w:val="none" w:sz="0" w:space="0" w:color="auto"/>
        <w:bottom w:val="none" w:sz="0" w:space="0" w:color="auto"/>
        <w:right w:val="none" w:sz="0" w:space="0" w:color="auto"/>
      </w:divBdr>
    </w:div>
    <w:div w:id="421922826">
      <w:bodyDiv w:val="1"/>
      <w:marLeft w:val="0"/>
      <w:marRight w:val="0"/>
      <w:marTop w:val="0"/>
      <w:marBottom w:val="0"/>
      <w:divBdr>
        <w:top w:val="none" w:sz="0" w:space="0" w:color="auto"/>
        <w:left w:val="none" w:sz="0" w:space="0" w:color="auto"/>
        <w:bottom w:val="none" w:sz="0" w:space="0" w:color="auto"/>
        <w:right w:val="none" w:sz="0" w:space="0" w:color="auto"/>
      </w:divBdr>
    </w:div>
    <w:div w:id="531696017">
      <w:bodyDiv w:val="1"/>
      <w:marLeft w:val="0"/>
      <w:marRight w:val="0"/>
      <w:marTop w:val="0"/>
      <w:marBottom w:val="0"/>
      <w:divBdr>
        <w:top w:val="none" w:sz="0" w:space="0" w:color="auto"/>
        <w:left w:val="none" w:sz="0" w:space="0" w:color="auto"/>
        <w:bottom w:val="none" w:sz="0" w:space="0" w:color="auto"/>
        <w:right w:val="none" w:sz="0" w:space="0" w:color="auto"/>
      </w:divBdr>
    </w:div>
    <w:div w:id="686098174">
      <w:bodyDiv w:val="1"/>
      <w:marLeft w:val="0"/>
      <w:marRight w:val="0"/>
      <w:marTop w:val="0"/>
      <w:marBottom w:val="0"/>
      <w:divBdr>
        <w:top w:val="none" w:sz="0" w:space="0" w:color="auto"/>
        <w:left w:val="none" w:sz="0" w:space="0" w:color="auto"/>
        <w:bottom w:val="none" w:sz="0" w:space="0" w:color="auto"/>
        <w:right w:val="none" w:sz="0" w:space="0" w:color="auto"/>
      </w:divBdr>
    </w:div>
    <w:div w:id="71948058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15073224">
      <w:bodyDiv w:val="1"/>
      <w:marLeft w:val="0"/>
      <w:marRight w:val="0"/>
      <w:marTop w:val="0"/>
      <w:marBottom w:val="0"/>
      <w:divBdr>
        <w:top w:val="none" w:sz="0" w:space="0" w:color="auto"/>
        <w:left w:val="none" w:sz="0" w:space="0" w:color="auto"/>
        <w:bottom w:val="none" w:sz="0" w:space="0" w:color="auto"/>
        <w:right w:val="none" w:sz="0" w:space="0" w:color="auto"/>
      </w:divBdr>
      <w:divsChild>
        <w:div w:id="807405093">
          <w:marLeft w:val="0"/>
          <w:marRight w:val="0"/>
          <w:marTop w:val="0"/>
          <w:marBottom w:val="0"/>
          <w:divBdr>
            <w:top w:val="none" w:sz="0" w:space="0" w:color="auto"/>
            <w:left w:val="none" w:sz="0" w:space="0" w:color="auto"/>
            <w:bottom w:val="none" w:sz="0" w:space="0" w:color="auto"/>
            <w:right w:val="none" w:sz="0" w:space="0" w:color="auto"/>
          </w:divBdr>
          <w:divsChild>
            <w:div w:id="807669288">
              <w:marLeft w:val="0"/>
              <w:marRight w:val="0"/>
              <w:marTop w:val="0"/>
              <w:marBottom w:val="0"/>
              <w:divBdr>
                <w:top w:val="none" w:sz="0" w:space="0" w:color="auto"/>
                <w:left w:val="none" w:sz="0" w:space="0" w:color="auto"/>
                <w:bottom w:val="none" w:sz="0" w:space="0" w:color="auto"/>
                <w:right w:val="none" w:sz="0" w:space="0" w:color="auto"/>
              </w:divBdr>
              <w:divsChild>
                <w:div w:id="492064424">
                  <w:marLeft w:val="0"/>
                  <w:marRight w:val="0"/>
                  <w:marTop w:val="0"/>
                  <w:marBottom w:val="0"/>
                  <w:divBdr>
                    <w:top w:val="none" w:sz="0" w:space="0" w:color="auto"/>
                    <w:left w:val="none" w:sz="0" w:space="0" w:color="auto"/>
                    <w:bottom w:val="none" w:sz="0" w:space="0" w:color="auto"/>
                    <w:right w:val="none" w:sz="0" w:space="0" w:color="auto"/>
                  </w:divBdr>
                  <w:divsChild>
                    <w:div w:id="1012534173">
                      <w:marLeft w:val="0"/>
                      <w:marRight w:val="0"/>
                      <w:marTop w:val="0"/>
                      <w:marBottom w:val="0"/>
                      <w:divBdr>
                        <w:top w:val="none" w:sz="0" w:space="0" w:color="auto"/>
                        <w:left w:val="none" w:sz="0" w:space="0" w:color="auto"/>
                        <w:bottom w:val="none" w:sz="0" w:space="0" w:color="auto"/>
                        <w:right w:val="none" w:sz="0" w:space="0" w:color="auto"/>
                      </w:divBdr>
                      <w:divsChild>
                        <w:div w:id="1269046075">
                          <w:marLeft w:val="0"/>
                          <w:marRight w:val="0"/>
                          <w:marTop w:val="0"/>
                          <w:marBottom w:val="0"/>
                          <w:divBdr>
                            <w:top w:val="none" w:sz="0" w:space="0" w:color="auto"/>
                            <w:left w:val="none" w:sz="0" w:space="0" w:color="auto"/>
                            <w:bottom w:val="none" w:sz="0" w:space="0" w:color="auto"/>
                            <w:right w:val="none" w:sz="0" w:space="0" w:color="auto"/>
                          </w:divBdr>
                          <w:divsChild>
                            <w:div w:id="124715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73001">
      <w:bodyDiv w:val="1"/>
      <w:marLeft w:val="0"/>
      <w:marRight w:val="0"/>
      <w:marTop w:val="0"/>
      <w:marBottom w:val="0"/>
      <w:divBdr>
        <w:top w:val="none" w:sz="0" w:space="0" w:color="auto"/>
        <w:left w:val="none" w:sz="0" w:space="0" w:color="auto"/>
        <w:bottom w:val="none" w:sz="0" w:space="0" w:color="auto"/>
        <w:right w:val="none" w:sz="0" w:space="0" w:color="auto"/>
      </w:divBdr>
    </w:div>
    <w:div w:id="859469898">
      <w:bodyDiv w:val="1"/>
      <w:marLeft w:val="0"/>
      <w:marRight w:val="0"/>
      <w:marTop w:val="0"/>
      <w:marBottom w:val="0"/>
      <w:divBdr>
        <w:top w:val="none" w:sz="0" w:space="0" w:color="auto"/>
        <w:left w:val="none" w:sz="0" w:space="0" w:color="auto"/>
        <w:bottom w:val="none" w:sz="0" w:space="0" w:color="auto"/>
        <w:right w:val="none" w:sz="0" w:space="0" w:color="auto"/>
      </w:divBdr>
    </w:div>
    <w:div w:id="867109962">
      <w:bodyDiv w:val="1"/>
      <w:marLeft w:val="0"/>
      <w:marRight w:val="0"/>
      <w:marTop w:val="0"/>
      <w:marBottom w:val="0"/>
      <w:divBdr>
        <w:top w:val="none" w:sz="0" w:space="0" w:color="auto"/>
        <w:left w:val="none" w:sz="0" w:space="0" w:color="auto"/>
        <w:bottom w:val="none" w:sz="0" w:space="0" w:color="auto"/>
        <w:right w:val="none" w:sz="0" w:space="0" w:color="auto"/>
      </w:divBdr>
    </w:div>
    <w:div w:id="898248604">
      <w:bodyDiv w:val="1"/>
      <w:marLeft w:val="0"/>
      <w:marRight w:val="0"/>
      <w:marTop w:val="0"/>
      <w:marBottom w:val="0"/>
      <w:divBdr>
        <w:top w:val="none" w:sz="0" w:space="0" w:color="auto"/>
        <w:left w:val="none" w:sz="0" w:space="0" w:color="auto"/>
        <w:bottom w:val="none" w:sz="0" w:space="0" w:color="auto"/>
        <w:right w:val="none" w:sz="0" w:space="0" w:color="auto"/>
      </w:divBdr>
    </w:div>
    <w:div w:id="975061316">
      <w:bodyDiv w:val="1"/>
      <w:marLeft w:val="0"/>
      <w:marRight w:val="0"/>
      <w:marTop w:val="0"/>
      <w:marBottom w:val="0"/>
      <w:divBdr>
        <w:top w:val="none" w:sz="0" w:space="0" w:color="auto"/>
        <w:left w:val="none" w:sz="0" w:space="0" w:color="auto"/>
        <w:bottom w:val="none" w:sz="0" w:space="0" w:color="auto"/>
        <w:right w:val="none" w:sz="0" w:space="0" w:color="auto"/>
      </w:divBdr>
    </w:div>
    <w:div w:id="1102413202">
      <w:bodyDiv w:val="1"/>
      <w:marLeft w:val="0"/>
      <w:marRight w:val="0"/>
      <w:marTop w:val="0"/>
      <w:marBottom w:val="0"/>
      <w:divBdr>
        <w:top w:val="none" w:sz="0" w:space="0" w:color="auto"/>
        <w:left w:val="none" w:sz="0" w:space="0" w:color="auto"/>
        <w:bottom w:val="none" w:sz="0" w:space="0" w:color="auto"/>
        <w:right w:val="none" w:sz="0" w:space="0" w:color="auto"/>
      </w:divBdr>
    </w:div>
    <w:div w:id="1152058315">
      <w:bodyDiv w:val="1"/>
      <w:marLeft w:val="0"/>
      <w:marRight w:val="0"/>
      <w:marTop w:val="0"/>
      <w:marBottom w:val="0"/>
      <w:divBdr>
        <w:top w:val="none" w:sz="0" w:space="0" w:color="auto"/>
        <w:left w:val="none" w:sz="0" w:space="0" w:color="auto"/>
        <w:bottom w:val="none" w:sz="0" w:space="0" w:color="auto"/>
        <w:right w:val="none" w:sz="0" w:space="0" w:color="auto"/>
      </w:divBdr>
    </w:div>
    <w:div w:id="1236819390">
      <w:bodyDiv w:val="1"/>
      <w:marLeft w:val="0"/>
      <w:marRight w:val="0"/>
      <w:marTop w:val="0"/>
      <w:marBottom w:val="0"/>
      <w:divBdr>
        <w:top w:val="none" w:sz="0" w:space="0" w:color="auto"/>
        <w:left w:val="none" w:sz="0" w:space="0" w:color="auto"/>
        <w:bottom w:val="none" w:sz="0" w:space="0" w:color="auto"/>
        <w:right w:val="none" w:sz="0" w:space="0" w:color="auto"/>
      </w:divBdr>
    </w:div>
    <w:div w:id="1265378636">
      <w:bodyDiv w:val="1"/>
      <w:marLeft w:val="0"/>
      <w:marRight w:val="0"/>
      <w:marTop w:val="0"/>
      <w:marBottom w:val="0"/>
      <w:divBdr>
        <w:top w:val="none" w:sz="0" w:space="0" w:color="auto"/>
        <w:left w:val="none" w:sz="0" w:space="0" w:color="auto"/>
        <w:bottom w:val="none" w:sz="0" w:space="0" w:color="auto"/>
        <w:right w:val="none" w:sz="0" w:space="0" w:color="auto"/>
      </w:divBdr>
    </w:div>
    <w:div w:id="1370686609">
      <w:bodyDiv w:val="1"/>
      <w:marLeft w:val="0"/>
      <w:marRight w:val="0"/>
      <w:marTop w:val="0"/>
      <w:marBottom w:val="0"/>
      <w:divBdr>
        <w:top w:val="none" w:sz="0" w:space="0" w:color="auto"/>
        <w:left w:val="none" w:sz="0" w:space="0" w:color="auto"/>
        <w:bottom w:val="none" w:sz="0" w:space="0" w:color="auto"/>
        <w:right w:val="none" w:sz="0" w:space="0" w:color="auto"/>
      </w:divBdr>
    </w:div>
    <w:div w:id="1387603381">
      <w:bodyDiv w:val="1"/>
      <w:marLeft w:val="0"/>
      <w:marRight w:val="0"/>
      <w:marTop w:val="0"/>
      <w:marBottom w:val="0"/>
      <w:divBdr>
        <w:top w:val="none" w:sz="0" w:space="0" w:color="auto"/>
        <w:left w:val="none" w:sz="0" w:space="0" w:color="auto"/>
        <w:bottom w:val="none" w:sz="0" w:space="0" w:color="auto"/>
        <w:right w:val="none" w:sz="0" w:space="0" w:color="auto"/>
      </w:divBdr>
    </w:div>
    <w:div w:id="1407651249">
      <w:bodyDiv w:val="1"/>
      <w:marLeft w:val="0"/>
      <w:marRight w:val="0"/>
      <w:marTop w:val="0"/>
      <w:marBottom w:val="0"/>
      <w:divBdr>
        <w:top w:val="none" w:sz="0" w:space="0" w:color="auto"/>
        <w:left w:val="none" w:sz="0" w:space="0" w:color="auto"/>
        <w:bottom w:val="none" w:sz="0" w:space="0" w:color="auto"/>
        <w:right w:val="none" w:sz="0" w:space="0" w:color="auto"/>
      </w:divBdr>
    </w:div>
    <w:div w:id="1415543553">
      <w:bodyDiv w:val="1"/>
      <w:marLeft w:val="0"/>
      <w:marRight w:val="0"/>
      <w:marTop w:val="0"/>
      <w:marBottom w:val="0"/>
      <w:divBdr>
        <w:top w:val="none" w:sz="0" w:space="0" w:color="auto"/>
        <w:left w:val="none" w:sz="0" w:space="0" w:color="auto"/>
        <w:bottom w:val="none" w:sz="0" w:space="0" w:color="auto"/>
        <w:right w:val="none" w:sz="0" w:space="0" w:color="auto"/>
      </w:divBdr>
    </w:div>
    <w:div w:id="1426684999">
      <w:bodyDiv w:val="1"/>
      <w:marLeft w:val="0"/>
      <w:marRight w:val="0"/>
      <w:marTop w:val="0"/>
      <w:marBottom w:val="0"/>
      <w:divBdr>
        <w:top w:val="none" w:sz="0" w:space="0" w:color="auto"/>
        <w:left w:val="none" w:sz="0" w:space="0" w:color="auto"/>
        <w:bottom w:val="none" w:sz="0" w:space="0" w:color="auto"/>
        <w:right w:val="none" w:sz="0" w:space="0" w:color="auto"/>
      </w:divBdr>
    </w:div>
    <w:div w:id="1467626625">
      <w:bodyDiv w:val="1"/>
      <w:marLeft w:val="0"/>
      <w:marRight w:val="0"/>
      <w:marTop w:val="0"/>
      <w:marBottom w:val="0"/>
      <w:divBdr>
        <w:top w:val="none" w:sz="0" w:space="0" w:color="auto"/>
        <w:left w:val="none" w:sz="0" w:space="0" w:color="auto"/>
        <w:bottom w:val="none" w:sz="0" w:space="0" w:color="auto"/>
        <w:right w:val="none" w:sz="0" w:space="0" w:color="auto"/>
      </w:divBdr>
    </w:div>
    <w:div w:id="1473909703">
      <w:bodyDiv w:val="1"/>
      <w:marLeft w:val="0"/>
      <w:marRight w:val="0"/>
      <w:marTop w:val="0"/>
      <w:marBottom w:val="0"/>
      <w:divBdr>
        <w:top w:val="none" w:sz="0" w:space="0" w:color="auto"/>
        <w:left w:val="none" w:sz="0" w:space="0" w:color="auto"/>
        <w:bottom w:val="none" w:sz="0" w:space="0" w:color="auto"/>
        <w:right w:val="none" w:sz="0" w:space="0" w:color="auto"/>
      </w:divBdr>
      <w:divsChild>
        <w:div w:id="1296761854">
          <w:marLeft w:val="1166"/>
          <w:marRight w:val="0"/>
          <w:marTop w:val="62"/>
          <w:marBottom w:val="0"/>
          <w:divBdr>
            <w:top w:val="none" w:sz="0" w:space="0" w:color="auto"/>
            <w:left w:val="none" w:sz="0" w:space="0" w:color="auto"/>
            <w:bottom w:val="none" w:sz="0" w:space="0" w:color="auto"/>
            <w:right w:val="none" w:sz="0" w:space="0" w:color="auto"/>
          </w:divBdr>
        </w:div>
        <w:div w:id="1507402613">
          <w:marLeft w:val="1166"/>
          <w:marRight w:val="0"/>
          <w:marTop w:val="62"/>
          <w:marBottom w:val="0"/>
          <w:divBdr>
            <w:top w:val="none" w:sz="0" w:space="0" w:color="auto"/>
            <w:left w:val="none" w:sz="0" w:space="0" w:color="auto"/>
            <w:bottom w:val="none" w:sz="0" w:space="0" w:color="auto"/>
            <w:right w:val="none" w:sz="0" w:space="0" w:color="auto"/>
          </w:divBdr>
        </w:div>
      </w:divsChild>
    </w:div>
    <w:div w:id="1639336215">
      <w:bodyDiv w:val="1"/>
      <w:marLeft w:val="0"/>
      <w:marRight w:val="0"/>
      <w:marTop w:val="0"/>
      <w:marBottom w:val="0"/>
      <w:divBdr>
        <w:top w:val="none" w:sz="0" w:space="0" w:color="auto"/>
        <w:left w:val="none" w:sz="0" w:space="0" w:color="auto"/>
        <w:bottom w:val="none" w:sz="0" w:space="0" w:color="auto"/>
        <w:right w:val="none" w:sz="0" w:space="0" w:color="auto"/>
      </w:divBdr>
    </w:div>
    <w:div w:id="167838265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4482524">
      <w:bodyDiv w:val="1"/>
      <w:marLeft w:val="0"/>
      <w:marRight w:val="0"/>
      <w:marTop w:val="0"/>
      <w:marBottom w:val="0"/>
      <w:divBdr>
        <w:top w:val="none" w:sz="0" w:space="0" w:color="auto"/>
        <w:left w:val="none" w:sz="0" w:space="0" w:color="auto"/>
        <w:bottom w:val="none" w:sz="0" w:space="0" w:color="auto"/>
        <w:right w:val="none" w:sz="0" w:space="0" w:color="auto"/>
      </w:divBdr>
    </w:div>
    <w:div w:id="1764915620">
      <w:bodyDiv w:val="1"/>
      <w:marLeft w:val="0"/>
      <w:marRight w:val="0"/>
      <w:marTop w:val="0"/>
      <w:marBottom w:val="0"/>
      <w:divBdr>
        <w:top w:val="none" w:sz="0" w:space="0" w:color="auto"/>
        <w:left w:val="none" w:sz="0" w:space="0" w:color="auto"/>
        <w:bottom w:val="none" w:sz="0" w:space="0" w:color="auto"/>
        <w:right w:val="none" w:sz="0" w:space="0" w:color="auto"/>
      </w:divBdr>
    </w:div>
    <w:div w:id="1777359538">
      <w:bodyDiv w:val="1"/>
      <w:marLeft w:val="0"/>
      <w:marRight w:val="0"/>
      <w:marTop w:val="0"/>
      <w:marBottom w:val="0"/>
      <w:divBdr>
        <w:top w:val="none" w:sz="0" w:space="0" w:color="auto"/>
        <w:left w:val="none" w:sz="0" w:space="0" w:color="auto"/>
        <w:bottom w:val="none" w:sz="0" w:space="0" w:color="auto"/>
        <w:right w:val="none" w:sz="0" w:space="0" w:color="auto"/>
      </w:divBdr>
    </w:div>
    <w:div w:id="1789354206">
      <w:bodyDiv w:val="1"/>
      <w:marLeft w:val="0"/>
      <w:marRight w:val="0"/>
      <w:marTop w:val="0"/>
      <w:marBottom w:val="0"/>
      <w:divBdr>
        <w:top w:val="none" w:sz="0" w:space="0" w:color="auto"/>
        <w:left w:val="none" w:sz="0" w:space="0" w:color="auto"/>
        <w:bottom w:val="none" w:sz="0" w:space="0" w:color="auto"/>
        <w:right w:val="none" w:sz="0" w:space="0" w:color="auto"/>
      </w:divBdr>
    </w:div>
    <w:div w:id="179255612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3221034">
      <w:bodyDiv w:val="1"/>
      <w:marLeft w:val="0"/>
      <w:marRight w:val="0"/>
      <w:marTop w:val="0"/>
      <w:marBottom w:val="0"/>
      <w:divBdr>
        <w:top w:val="none" w:sz="0" w:space="0" w:color="auto"/>
        <w:left w:val="none" w:sz="0" w:space="0" w:color="auto"/>
        <w:bottom w:val="none" w:sz="0" w:space="0" w:color="auto"/>
        <w:right w:val="none" w:sz="0" w:space="0" w:color="auto"/>
      </w:divBdr>
    </w:div>
    <w:div w:id="1930847107">
      <w:bodyDiv w:val="1"/>
      <w:marLeft w:val="0"/>
      <w:marRight w:val="0"/>
      <w:marTop w:val="0"/>
      <w:marBottom w:val="0"/>
      <w:divBdr>
        <w:top w:val="none" w:sz="0" w:space="0" w:color="auto"/>
        <w:left w:val="none" w:sz="0" w:space="0" w:color="auto"/>
        <w:bottom w:val="none" w:sz="0" w:space="0" w:color="auto"/>
        <w:right w:val="none" w:sz="0" w:space="0" w:color="auto"/>
      </w:divBdr>
    </w:div>
    <w:div w:id="2009552474">
      <w:bodyDiv w:val="1"/>
      <w:marLeft w:val="0"/>
      <w:marRight w:val="0"/>
      <w:marTop w:val="0"/>
      <w:marBottom w:val="0"/>
      <w:divBdr>
        <w:top w:val="none" w:sz="0" w:space="0" w:color="auto"/>
        <w:left w:val="none" w:sz="0" w:space="0" w:color="auto"/>
        <w:bottom w:val="none" w:sz="0" w:space="0" w:color="auto"/>
        <w:right w:val="none" w:sz="0" w:space="0" w:color="auto"/>
      </w:divBdr>
    </w:div>
    <w:div w:id="2025207750">
      <w:bodyDiv w:val="1"/>
      <w:marLeft w:val="0"/>
      <w:marRight w:val="0"/>
      <w:marTop w:val="0"/>
      <w:marBottom w:val="0"/>
      <w:divBdr>
        <w:top w:val="none" w:sz="0" w:space="0" w:color="auto"/>
        <w:left w:val="none" w:sz="0" w:space="0" w:color="auto"/>
        <w:bottom w:val="none" w:sz="0" w:space="0" w:color="auto"/>
        <w:right w:val="none" w:sz="0" w:space="0" w:color="auto"/>
      </w:divBdr>
    </w:div>
    <w:div w:id="2054620631">
      <w:bodyDiv w:val="1"/>
      <w:marLeft w:val="0"/>
      <w:marRight w:val="0"/>
      <w:marTop w:val="0"/>
      <w:marBottom w:val="0"/>
      <w:divBdr>
        <w:top w:val="none" w:sz="0" w:space="0" w:color="auto"/>
        <w:left w:val="none" w:sz="0" w:space="0" w:color="auto"/>
        <w:bottom w:val="none" w:sz="0" w:space="0" w:color="auto"/>
        <w:right w:val="none" w:sz="0" w:space="0" w:color="auto"/>
      </w:divBdr>
    </w:div>
    <w:div w:id="2093045539">
      <w:bodyDiv w:val="1"/>
      <w:marLeft w:val="0"/>
      <w:marRight w:val="0"/>
      <w:marTop w:val="0"/>
      <w:marBottom w:val="0"/>
      <w:divBdr>
        <w:top w:val="none" w:sz="0" w:space="0" w:color="auto"/>
        <w:left w:val="none" w:sz="0" w:space="0" w:color="auto"/>
        <w:bottom w:val="none" w:sz="0" w:space="0" w:color="auto"/>
        <w:right w:val="none" w:sz="0" w:space="0" w:color="auto"/>
      </w:divBdr>
    </w:div>
    <w:div w:id="2108577970">
      <w:bodyDiv w:val="1"/>
      <w:marLeft w:val="0"/>
      <w:marRight w:val="0"/>
      <w:marTop w:val="0"/>
      <w:marBottom w:val="0"/>
      <w:divBdr>
        <w:top w:val="none" w:sz="0" w:space="0" w:color="auto"/>
        <w:left w:val="none" w:sz="0" w:space="0" w:color="auto"/>
        <w:bottom w:val="none" w:sz="0" w:space="0" w:color="auto"/>
        <w:right w:val="none" w:sz="0" w:space="0" w:color="auto"/>
      </w:divBdr>
      <w:divsChild>
        <w:div w:id="2038043883">
          <w:marLeft w:val="1166"/>
          <w:marRight w:val="0"/>
          <w:marTop w:val="134"/>
          <w:marBottom w:val="0"/>
          <w:divBdr>
            <w:top w:val="none" w:sz="0" w:space="0" w:color="auto"/>
            <w:left w:val="none" w:sz="0" w:space="0" w:color="auto"/>
            <w:bottom w:val="none" w:sz="0" w:space="0" w:color="auto"/>
            <w:right w:val="none" w:sz="0" w:space="0" w:color="auto"/>
          </w:divBdr>
        </w:div>
        <w:div w:id="409885939">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5D71-E608-444B-90F1-17BA5AD4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11362</Words>
  <Characters>66807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2019-02-27T00:26:00Z</dcterms:created>
  <dcterms:modified xsi:type="dcterms:W3CDTF">2019-02-27T00:26:00Z</dcterms:modified>
</cp:coreProperties>
</file>