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493" w:rsidRPr="00557E6C" w:rsidRDefault="00F9491E" w:rsidP="00BA7A69">
      <w:pPr>
        <w:pStyle w:val="Title"/>
        <w:spacing w:before="120" w:after="160"/>
        <w:ind w:left="720" w:hanging="720"/>
        <w:rPr>
          <w:rFonts w:asciiTheme="minorHAnsi" w:hAnsiTheme="minorHAnsi"/>
          <w:sz w:val="36"/>
          <w:szCs w:val="36"/>
        </w:rPr>
      </w:pPr>
      <w:r w:rsidRPr="00557E6C">
        <w:rPr>
          <w:rFonts w:asciiTheme="minorHAnsi" w:hAnsiTheme="minorHAnsi"/>
          <w:sz w:val="36"/>
          <w:szCs w:val="36"/>
        </w:rPr>
        <w:t>7.08</w:t>
      </w:r>
      <w:r w:rsidR="006D6493" w:rsidRPr="00557E6C">
        <w:rPr>
          <w:rFonts w:asciiTheme="minorHAnsi" w:hAnsiTheme="minorHAnsi"/>
          <w:sz w:val="36"/>
          <w:szCs w:val="36"/>
        </w:rPr>
        <w:tab/>
      </w:r>
      <w:r w:rsidR="004468C8" w:rsidRPr="00557E6C">
        <w:rPr>
          <w:rFonts w:asciiTheme="minorHAnsi" w:hAnsiTheme="minorHAnsi"/>
          <w:sz w:val="36"/>
          <w:szCs w:val="36"/>
        </w:rPr>
        <w:t>LENVATINIB</w:t>
      </w:r>
      <w:proofErr w:type="gramStart"/>
      <w:r w:rsidR="00BA7A69">
        <w:rPr>
          <w:rFonts w:asciiTheme="minorHAnsi" w:hAnsiTheme="minorHAnsi"/>
          <w:sz w:val="36"/>
          <w:szCs w:val="36"/>
        </w:rPr>
        <w:t>,</w:t>
      </w:r>
      <w:proofErr w:type="gramEnd"/>
      <w:r w:rsidR="00BA7A69">
        <w:rPr>
          <w:rFonts w:asciiTheme="minorHAnsi" w:hAnsiTheme="minorHAnsi"/>
          <w:sz w:val="36"/>
          <w:szCs w:val="36"/>
        </w:rPr>
        <w:br/>
      </w:r>
      <w:r w:rsidR="004468C8">
        <w:rPr>
          <w:rFonts w:asciiTheme="minorHAnsi" w:hAnsiTheme="minorHAnsi"/>
          <w:sz w:val="36"/>
          <w:szCs w:val="36"/>
        </w:rPr>
        <w:t>C</w:t>
      </w:r>
      <w:r w:rsidR="00BF0BC9" w:rsidRPr="00557E6C">
        <w:rPr>
          <w:rFonts w:asciiTheme="minorHAnsi" w:hAnsiTheme="minorHAnsi"/>
          <w:sz w:val="36"/>
          <w:szCs w:val="36"/>
        </w:rPr>
        <w:t xml:space="preserve">apsule 4 mg (as </w:t>
      </w:r>
      <w:proofErr w:type="spellStart"/>
      <w:r w:rsidR="00BF0BC9" w:rsidRPr="00557E6C">
        <w:rPr>
          <w:rFonts w:asciiTheme="minorHAnsi" w:hAnsiTheme="minorHAnsi"/>
          <w:sz w:val="36"/>
          <w:szCs w:val="36"/>
        </w:rPr>
        <w:t>mesilate</w:t>
      </w:r>
      <w:proofErr w:type="spellEnd"/>
      <w:r w:rsidR="00BF0BC9" w:rsidRPr="00557E6C">
        <w:rPr>
          <w:rFonts w:asciiTheme="minorHAnsi" w:hAnsiTheme="minorHAnsi"/>
          <w:sz w:val="36"/>
          <w:szCs w:val="36"/>
        </w:rPr>
        <w:t>)</w:t>
      </w:r>
      <w:r w:rsidR="00BA7A69">
        <w:rPr>
          <w:rFonts w:asciiTheme="minorHAnsi" w:hAnsiTheme="minorHAnsi"/>
          <w:sz w:val="36"/>
          <w:szCs w:val="36"/>
        </w:rPr>
        <w:br/>
      </w:r>
      <w:proofErr w:type="spellStart"/>
      <w:r w:rsidR="00B236B0" w:rsidRPr="00557E6C">
        <w:rPr>
          <w:rFonts w:asciiTheme="minorHAnsi" w:hAnsiTheme="minorHAnsi"/>
          <w:sz w:val="36"/>
          <w:szCs w:val="36"/>
        </w:rPr>
        <w:t>Lenvima</w:t>
      </w:r>
      <w:proofErr w:type="spellEnd"/>
      <w:r w:rsidR="009E617E" w:rsidRPr="00557E6C">
        <w:rPr>
          <w:rFonts w:asciiTheme="minorHAnsi" w:hAnsiTheme="minorHAnsi"/>
          <w:sz w:val="36"/>
          <w:szCs w:val="36"/>
          <w:vertAlign w:val="superscript"/>
        </w:rPr>
        <w:t>®</w:t>
      </w:r>
      <w:r w:rsidR="0032499F">
        <w:rPr>
          <w:rFonts w:asciiTheme="minorHAnsi" w:hAnsiTheme="minorHAnsi"/>
          <w:sz w:val="36"/>
          <w:szCs w:val="36"/>
        </w:rPr>
        <w:t xml:space="preserve">, </w:t>
      </w:r>
      <w:r w:rsidR="00B236B0" w:rsidRPr="00557E6C">
        <w:rPr>
          <w:rFonts w:asciiTheme="minorHAnsi" w:hAnsiTheme="minorHAnsi"/>
          <w:sz w:val="36"/>
          <w:szCs w:val="36"/>
        </w:rPr>
        <w:t>Eisai</w:t>
      </w:r>
      <w:r w:rsidR="00BA7A69">
        <w:rPr>
          <w:rFonts w:asciiTheme="minorHAnsi" w:hAnsiTheme="minorHAnsi"/>
          <w:sz w:val="36"/>
          <w:szCs w:val="36"/>
        </w:rPr>
        <w:t xml:space="preserve"> Australia</w:t>
      </w:r>
    </w:p>
    <w:p w:rsidR="008A50F1" w:rsidRPr="00557E6C" w:rsidRDefault="00CE10C4" w:rsidP="00EB0B63">
      <w:pPr>
        <w:pStyle w:val="PBACHeading1"/>
        <w:spacing w:before="240" w:after="120"/>
        <w:ind w:left="709" w:hanging="709"/>
        <w:rPr>
          <w:rFonts w:asciiTheme="minorHAnsi" w:hAnsiTheme="minorHAnsi"/>
          <w:sz w:val="32"/>
          <w:szCs w:val="32"/>
        </w:rPr>
      </w:pPr>
      <w:r w:rsidRPr="00557E6C">
        <w:rPr>
          <w:rFonts w:asciiTheme="minorHAnsi" w:hAnsiTheme="minorHAnsi"/>
          <w:sz w:val="32"/>
          <w:szCs w:val="32"/>
        </w:rPr>
        <w:t xml:space="preserve">Purpose of </w:t>
      </w:r>
      <w:r w:rsidR="0004240E" w:rsidRPr="00557E6C">
        <w:rPr>
          <w:rFonts w:asciiTheme="minorHAnsi" w:hAnsiTheme="minorHAnsi"/>
          <w:sz w:val="32"/>
          <w:szCs w:val="32"/>
        </w:rPr>
        <w:t>Application</w:t>
      </w:r>
    </w:p>
    <w:p w:rsidR="0084133B" w:rsidRPr="00557E6C" w:rsidRDefault="007B6C33" w:rsidP="0084133B">
      <w:pPr>
        <w:pStyle w:val="ListParagraph"/>
        <w:widowControl/>
        <w:numPr>
          <w:ilvl w:val="1"/>
          <w:numId w:val="5"/>
        </w:numPr>
        <w:spacing w:after="160"/>
        <w:contextualSpacing w:val="0"/>
        <w:rPr>
          <w:rFonts w:asciiTheme="minorHAnsi" w:hAnsiTheme="minorHAnsi" w:cstheme="minorHAnsi"/>
        </w:rPr>
      </w:pPr>
      <w:r w:rsidRPr="00557E6C">
        <w:rPr>
          <w:rFonts w:asciiTheme="minorHAnsi" w:eastAsiaTheme="minorHAnsi" w:hAnsiTheme="minorHAnsi" w:cstheme="minorHAnsi"/>
          <w:snapToGrid/>
          <w:sz w:val="24"/>
          <w:szCs w:val="22"/>
        </w:rPr>
        <w:t xml:space="preserve">The </w:t>
      </w:r>
      <w:r w:rsidR="00EF44A0" w:rsidRPr="00557E6C">
        <w:rPr>
          <w:rFonts w:asciiTheme="minorHAnsi" w:eastAsiaTheme="minorHAnsi" w:hAnsiTheme="minorHAnsi" w:cstheme="minorHAnsi"/>
          <w:snapToGrid/>
          <w:sz w:val="24"/>
          <w:szCs w:val="22"/>
        </w:rPr>
        <w:t>mi</w:t>
      </w:r>
      <w:r w:rsidR="006C1ECD" w:rsidRPr="00557E6C">
        <w:rPr>
          <w:rFonts w:asciiTheme="minorHAnsi" w:eastAsiaTheme="minorHAnsi" w:hAnsiTheme="minorHAnsi" w:cstheme="minorHAnsi"/>
          <w:snapToGrid/>
          <w:sz w:val="24"/>
          <w:szCs w:val="22"/>
        </w:rPr>
        <w:t xml:space="preserve">nor </w:t>
      </w:r>
      <w:r w:rsidR="00CA1358" w:rsidRPr="00557E6C">
        <w:rPr>
          <w:rFonts w:asciiTheme="minorHAnsi" w:eastAsiaTheme="minorHAnsi" w:hAnsiTheme="minorHAnsi" w:cstheme="minorHAnsi"/>
          <w:snapToGrid/>
          <w:sz w:val="24"/>
          <w:szCs w:val="22"/>
        </w:rPr>
        <w:t>re</w:t>
      </w:r>
      <w:r w:rsidR="006C1ECD" w:rsidRPr="00557E6C">
        <w:rPr>
          <w:rFonts w:asciiTheme="minorHAnsi" w:eastAsiaTheme="minorHAnsi" w:hAnsiTheme="minorHAnsi" w:cstheme="minorHAnsi"/>
          <w:snapToGrid/>
          <w:sz w:val="24"/>
          <w:szCs w:val="22"/>
        </w:rPr>
        <w:t xml:space="preserve">submission </w:t>
      </w:r>
      <w:r w:rsidR="00616889" w:rsidRPr="00557E6C">
        <w:rPr>
          <w:rFonts w:asciiTheme="minorHAnsi" w:eastAsiaTheme="minorHAnsi" w:hAnsiTheme="minorHAnsi" w:cstheme="minorHAnsi"/>
          <w:snapToGrid/>
          <w:sz w:val="24"/>
          <w:szCs w:val="22"/>
        </w:rPr>
        <w:t xml:space="preserve">requested </w:t>
      </w:r>
      <w:r w:rsidR="006C1ECD" w:rsidRPr="00557E6C">
        <w:rPr>
          <w:rFonts w:asciiTheme="minorHAnsi" w:eastAsiaTheme="minorHAnsi" w:hAnsiTheme="minorHAnsi" w:cstheme="minorHAnsi"/>
          <w:snapToGrid/>
          <w:sz w:val="24"/>
          <w:szCs w:val="22"/>
        </w:rPr>
        <w:t xml:space="preserve">an amendment to </w:t>
      </w:r>
      <w:r w:rsidR="00F43F9B" w:rsidRPr="00557E6C">
        <w:rPr>
          <w:rFonts w:asciiTheme="minorHAnsi" w:eastAsiaTheme="minorHAnsi" w:hAnsiTheme="minorHAnsi" w:cstheme="minorHAnsi"/>
          <w:snapToGrid/>
          <w:sz w:val="24"/>
          <w:szCs w:val="22"/>
        </w:rPr>
        <w:t xml:space="preserve">the </w:t>
      </w:r>
      <w:proofErr w:type="spellStart"/>
      <w:r w:rsidR="00F43F9B" w:rsidRPr="00557E6C">
        <w:rPr>
          <w:rFonts w:asciiTheme="minorHAnsi" w:eastAsiaTheme="minorHAnsi" w:hAnsiTheme="minorHAnsi" w:cstheme="minorHAnsi"/>
          <w:snapToGrid/>
          <w:sz w:val="24"/>
          <w:szCs w:val="22"/>
        </w:rPr>
        <w:t>equi</w:t>
      </w:r>
      <w:proofErr w:type="spellEnd"/>
      <w:r w:rsidR="00F43F9B" w:rsidRPr="00557E6C">
        <w:rPr>
          <w:rFonts w:asciiTheme="minorHAnsi" w:eastAsiaTheme="minorHAnsi" w:hAnsiTheme="minorHAnsi" w:cstheme="minorHAnsi"/>
          <w:snapToGrid/>
          <w:sz w:val="24"/>
          <w:szCs w:val="22"/>
        </w:rPr>
        <w:t>-effective dose</w:t>
      </w:r>
      <w:r w:rsidR="009901E2" w:rsidRPr="00557E6C">
        <w:rPr>
          <w:rFonts w:asciiTheme="minorHAnsi" w:eastAsiaTheme="minorHAnsi" w:hAnsiTheme="minorHAnsi" w:cstheme="minorHAnsi"/>
          <w:snapToGrid/>
          <w:sz w:val="24"/>
          <w:szCs w:val="22"/>
        </w:rPr>
        <w:t>s</w:t>
      </w:r>
      <w:r w:rsidR="00F43F9B" w:rsidRPr="00557E6C">
        <w:rPr>
          <w:rFonts w:asciiTheme="minorHAnsi" w:eastAsiaTheme="minorHAnsi" w:hAnsiTheme="minorHAnsi" w:cstheme="minorHAnsi"/>
          <w:snapToGrid/>
          <w:sz w:val="24"/>
          <w:szCs w:val="22"/>
        </w:rPr>
        <w:t xml:space="preserve"> recommended </w:t>
      </w:r>
      <w:r w:rsidR="00CD0A54" w:rsidRPr="00557E6C">
        <w:rPr>
          <w:rFonts w:asciiTheme="minorHAnsi" w:eastAsiaTheme="minorHAnsi" w:hAnsiTheme="minorHAnsi" w:cstheme="minorHAnsi"/>
          <w:snapToGrid/>
          <w:sz w:val="24"/>
          <w:szCs w:val="22"/>
        </w:rPr>
        <w:t>for lenvatinib</w:t>
      </w:r>
      <w:r w:rsidR="009901E2" w:rsidRPr="00557E6C">
        <w:rPr>
          <w:rFonts w:asciiTheme="minorHAnsi" w:eastAsiaTheme="minorHAnsi" w:hAnsiTheme="minorHAnsi" w:cstheme="minorHAnsi"/>
          <w:snapToGrid/>
          <w:sz w:val="24"/>
          <w:szCs w:val="22"/>
        </w:rPr>
        <w:t xml:space="preserve"> and </w:t>
      </w:r>
      <w:proofErr w:type="spellStart"/>
      <w:r w:rsidR="009901E2" w:rsidRPr="00557E6C">
        <w:rPr>
          <w:rFonts w:asciiTheme="minorHAnsi" w:eastAsiaTheme="minorHAnsi" w:hAnsiTheme="minorHAnsi" w:cstheme="minorHAnsi"/>
          <w:snapToGrid/>
          <w:sz w:val="24"/>
          <w:szCs w:val="22"/>
        </w:rPr>
        <w:t>sorafenib</w:t>
      </w:r>
      <w:proofErr w:type="spellEnd"/>
      <w:r w:rsidR="009901E2" w:rsidRPr="00557E6C">
        <w:rPr>
          <w:rFonts w:asciiTheme="minorHAnsi" w:eastAsiaTheme="minorHAnsi" w:hAnsiTheme="minorHAnsi" w:cstheme="minorHAnsi"/>
          <w:snapToGrid/>
          <w:sz w:val="24"/>
          <w:szCs w:val="22"/>
        </w:rPr>
        <w:t xml:space="preserve"> </w:t>
      </w:r>
      <w:r w:rsidR="0084133B" w:rsidRPr="00557E6C">
        <w:rPr>
          <w:rFonts w:asciiTheme="minorHAnsi" w:eastAsiaTheme="minorHAnsi" w:hAnsiTheme="minorHAnsi" w:cstheme="minorHAnsi"/>
          <w:snapToGrid/>
          <w:sz w:val="24"/>
          <w:szCs w:val="22"/>
        </w:rPr>
        <w:t>by the PBAC</w:t>
      </w:r>
      <w:r w:rsidR="00782A67" w:rsidRPr="00557E6C">
        <w:rPr>
          <w:rFonts w:asciiTheme="minorHAnsi" w:eastAsiaTheme="minorHAnsi" w:hAnsiTheme="minorHAnsi" w:cstheme="minorHAnsi"/>
          <w:snapToGrid/>
          <w:sz w:val="24"/>
          <w:szCs w:val="22"/>
        </w:rPr>
        <w:t xml:space="preserve"> at the July 2018 meeting</w:t>
      </w:r>
      <w:r w:rsidR="0084133B" w:rsidRPr="00557E6C">
        <w:rPr>
          <w:rFonts w:asciiTheme="minorHAnsi" w:eastAsiaTheme="minorHAnsi" w:hAnsiTheme="minorHAnsi" w:cstheme="minorHAnsi"/>
          <w:snapToGrid/>
          <w:sz w:val="24"/>
          <w:szCs w:val="22"/>
        </w:rPr>
        <w:t xml:space="preserve"> </w:t>
      </w:r>
      <w:r w:rsidR="00375D5B" w:rsidRPr="00557E6C">
        <w:rPr>
          <w:rFonts w:asciiTheme="minorHAnsi" w:eastAsiaTheme="minorHAnsi" w:hAnsiTheme="minorHAnsi" w:cstheme="minorHAnsi"/>
          <w:snapToGrid/>
          <w:sz w:val="24"/>
          <w:szCs w:val="22"/>
        </w:rPr>
        <w:t xml:space="preserve">[6.06 lenvatinib </w:t>
      </w:r>
      <w:r w:rsidR="00E82BC5">
        <w:rPr>
          <w:rFonts w:asciiTheme="minorHAnsi" w:eastAsiaTheme="minorHAnsi" w:hAnsiTheme="minorHAnsi" w:cstheme="minorHAnsi"/>
          <w:snapToGrid/>
          <w:sz w:val="24"/>
          <w:szCs w:val="22"/>
        </w:rPr>
        <w:t>Public Summary Document (PSD),</w:t>
      </w:r>
      <w:r w:rsidR="00E82BC5" w:rsidRPr="00557E6C">
        <w:rPr>
          <w:rFonts w:asciiTheme="minorHAnsi" w:eastAsiaTheme="minorHAnsi" w:hAnsiTheme="minorHAnsi" w:cstheme="minorHAnsi"/>
          <w:snapToGrid/>
          <w:sz w:val="24"/>
          <w:szCs w:val="22"/>
        </w:rPr>
        <w:t xml:space="preserve"> </w:t>
      </w:r>
      <w:r w:rsidR="00375D5B" w:rsidRPr="00557E6C">
        <w:rPr>
          <w:rFonts w:asciiTheme="minorHAnsi" w:eastAsiaTheme="minorHAnsi" w:hAnsiTheme="minorHAnsi" w:cstheme="minorHAnsi"/>
          <w:snapToGrid/>
          <w:sz w:val="24"/>
          <w:szCs w:val="22"/>
        </w:rPr>
        <w:t xml:space="preserve">July </w:t>
      </w:r>
      <w:r w:rsidR="000B5AD2" w:rsidRPr="00557E6C">
        <w:rPr>
          <w:rFonts w:asciiTheme="minorHAnsi" w:eastAsiaTheme="minorHAnsi" w:hAnsiTheme="minorHAnsi" w:cstheme="minorHAnsi"/>
          <w:snapToGrid/>
          <w:sz w:val="24"/>
          <w:szCs w:val="22"/>
        </w:rPr>
        <w:t>2018].</w:t>
      </w:r>
    </w:p>
    <w:p w:rsidR="006A12A5" w:rsidRPr="00557E6C" w:rsidRDefault="006A12A5" w:rsidP="00EB0B63">
      <w:pPr>
        <w:pStyle w:val="PBACHeading1"/>
        <w:spacing w:before="240" w:after="120"/>
        <w:ind w:left="709" w:hanging="709"/>
        <w:rPr>
          <w:rFonts w:asciiTheme="minorHAnsi" w:hAnsiTheme="minorHAnsi"/>
          <w:sz w:val="32"/>
          <w:szCs w:val="32"/>
        </w:rPr>
      </w:pPr>
      <w:r w:rsidRPr="00557E6C">
        <w:rPr>
          <w:rFonts w:asciiTheme="minorHAnsi" w:hAnsiTheme="minorHAnsi"/>
          <w:sz w:val="32"/>
          <w:szCs w:val="32"/>
        </w:rPr>
        <w:t>Requested listing</w:t>
      </w:r>
    </w:p>
    <w:p w:rsidR="005E0FEA" w:rsidRPr="00557E6C" w:rsidRDefault="005E0FEA" w:rsidP="00E149B0">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557E6C">
        <w:rPr>
          <w:rFonts w:asciiTheme="minorHAnsi" w:eastAsiaTheme="minorHAnsi" w:hAnsiTheme="minorHAnsi" w:cstheme="minorBidi"/>
          <w:snapToGrid/>
          <w:sz w:val="24"/>
          <w:szCs w:val="22"/>
        </w:rPr>
        <w:t>The</w:t>
      </w:r>
      <w:r w:rsidR="009127EB" w:rsidRPr="00557E6C">
        <w:rPr>
          <w:rFonts w:asciiTheme="minorHAnsi" w:eastAsiaTheme="minorHAnsi" w:hAnsiTheme="minorHAnsi" w:cstheme="minorBidi"/>
          <w:snapToGrid/>
          <w:sz w:val="24"/>
          <w:szCs w:val="22"/>
        </w:rPr>
        <w:t xml:space="preserve"> listing for lenvatinib recommended</w:t>
      </w:r>
      <w:r w:rsidRPr="00557E6C">
        <w:rPr>
          <w:rFonts w:asciiTheme="minorHAnsi" w:eastAsiaTheme="minorHAnsi" w:hAnsiTheme="minorHAnsi" w:cstheme="minorBidi"/>
          <w:snapToGrid/>
          <w:sz w:val="24"/>
          <w:szCs w:val="22"/>
        </w:rPr>
        <w:t xml:space="preserve"> by </w:t>
      </w:r>
      <w:r w:rsidR="009127EB" w:rsidRPr="00557E6C">
        <w:rPr>
          <w:rFonts w:asciiTheme="minorHAnsi" w:eastAsiaTheme="minorHAnsi" w:hAnsiTheme="minorHAnsi" w:cstheme="minorBidi"/>
          <w:snapToGrid/>
          <w:sz w:val="24"/>
          <w:szCs w:val="22"/>
        </w:rPr>
        <w:t xml:space="preserve">the </w:t>
      </w:r>
      <w:r w:rsidRPr="00557E6C">
        <w:rPr>
          <w:rFonts w:asciiTheme="minorHAnsi" w:eastAsiaTheme="minorHAnsi" w:hAnsiTheme="minorHAnsi" w:cstheme="minorBidi"/>
          <w:snapToGrid/>
          <w:sz w:val="24"/>
          <w:szCs w:val="22"/>
        </w:rPr>
        <w:t xml:space="preserve">PBAC </w:t>
      </w:r>
      <w:r w:rsidR="00AA085D" w:rsidRPr="00557E6C">
        <w:rPr>
          <w:rFonts w:asciiTheme="minorHAnsi" w:eastAsiaTheme="minorHAnsi" w:hAnsiTheme="minorHAnsi" w:cstheme="minorBidi"/>
          <w:snapToGrid/>
          <w:sz w:val="24"/>
          <w:szCs w:val="22"/>
        </w:rPr>
        <w:t xml:space="preserve">at the July 2018 meeting </w:t>
      </w:r>
      <w:r w:rsidRPr="00557E6C">
        <w:rPr>
          <w:rFonts w:asciiTheme="minorHAnsi" w:eastAsiaTheme="minorHAnsi" w:hAnsiTheme="minorHAnsi" w:cstheme="minorBidi"/>
          <w:snapToGrid/>
          <w:sz w:val="24"/>
          <w:szCs w:val="22"/>
        </w:rPr>
        <w:t>was for patients with advanced (</w:t>
      </w:r>
      <w:proofErr w:type="spellStart"/>
      <w:r w:rsidRPr="00557E6C">
        <w:rPr>
          <w:rFonts w:asciiTheme="minorHAnsi" w:eastAsiaTheme="minorHAnsi" w:hAnsiTheme="minorHAnsi" w:cstheme="minorBidi"/>
          <w:snapToGrid/>
          <w:sz w:val="24"/>
          <w:szCs w:val="22"/>
        </w:rPr>
        <w:t>unresectable</w:t>
      </w:r>
      <w:proofErr w:type="spellEnd"/>
      <w:r w:rsidRPr="00557E6C">
        <w:rPr>
          <w:rFonts w:asciiTheme="minorHAnsi" w:eastAsiaTheme="minorHAnsi" w:hAnsiTheme="minorHAnsi" w:cstheme="minorBidi"/>
          <w:snapToGrid/>
          <w:sz w:val="24"/>
          <w:szCs w:val="22"/>
        </w:rPr>
        <w:t xml:space="preserve">) Barcelona Clinic Liver Cancer stage B or </w:t>
      </w:r>
      <w:proofErr w:type="gramStart"/>
      <w:r w:rsidRPr="00557E6C">
        <w:rPr>
          <w:rFonts w:asciiTheme="minorHAnsi" w:eastAsiaTheme="minorHAnsi" w:hAnsiTheme="minorHAnsi" w:cstheme="minorBidi"/>
          <w:snapToGrid/>
          <w:sz w:val="24"/>
          <w:szCs w:val="22"/>
        </w:rPr>
        <w:t xml:space="preserve">stage C </w:t>
      </w:r>
      <w:r w:rsidR="00BA7A69">
        <w:rPr>
          <w:rFonts w:asciiTheme="minorHAnsi" w:eastAsiaTheme="minorHAnsi" w:hAnsiTheme="minorHAnsi" w:cstheme="minorBidi"/>
          <w:snapToGrid/>
          <w:sz w:val="24"/>
          <w:szCs w:val="22"/>
        </w:rPr>
        <w:t>hepatocellular carcinoma</w:t>
      </w:r>
      <w:proofErr w:type="gramEnd"/>
      <w:r w:rsidR="00BA7A69">
        <w:rPr>
          <w:rFonts w:asciiTheme="minorHAnsi" w:eastAsiaTheme="minorHAnsi" w:hAnsiTheme="minorHAnsi" w:cstheme="minorBidi"/>
          <w:snapToGrid/>
          <w:sz w:val="24"/>
          <w:szCs w:val="22"/>
        </w:rPr>
        <w:t xml:space="preserve"> (HCC).</w:t>
      </w:r>
    </w:p>
    <w:p w:rsidR="002A4E89" w:rsidRPr="00557E6C" w:rsidRDefault="009F4A81" w:rsidP="0030601D">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557E6C">
        <w:rPr>
          <w:rFonts w:asciiTheme="minorHAnsi" w:eastAsiaTheme="minorHAnsi" w:hAnsiTheme="minorHAnsi" w:cstheme="minorBidi"/>
          <w:snapToGrid/>
          <w:sz w:val="24"/>
          <w:szCs w:val="22"/>
        </w:rPr>
        <w:t xml:space="preserve">The </w:t>
      </w:r>
      <w:r w:rsidR="00CA1358" w:rsidRPr="00557E6C">
        <w:rPr>
          <w:rFonts w:asciiTheme="minorHAnsi" w:eastAsiaTheme="minorHAnsi" w:hAnsiTheme="minorHAnsi" w:cstheme="minorBidi"/>
          <w:snapToGrid/>
          <w:sz w:val="24"/>
          <w:szCs w:val="22"/>
        </w:rPr>
        <w:t>re</w:t>
      </w:r>
      <w:r w:rsidRPr="00557E6C">
        <w:rPr>
          <w:rFonts w:asciiTheme="minorHAnsi" w:eastAsiaTheme="minorHAnsi" w:hAnsiTheme="minorHAnsi" w:cstheme="minorBidi"/>
          <w:snapToGrid/>
          <w:sz w:val="24"/>
          <w:szCs w:val="22"/>
        </w:rPr>
        <w:t xml:space="preserve">submission proposed no </w:t>
      </w:r>
      <w:r w:rsidR="009901E2" w:rsidRPr="00557E6C">
        <w:rPr>
          <w:rFonts w:asciiTheme="minorHAnsi" w:eastAsiaTheme="minorHAnsi" w:hAnsiTheme="minorHAnsi" w:cstheme="minorBidi"/>
          <w:snapToGrid/>
          <w:sz w:val="24"/>
          <w:szCs w:val="22"/>
        </w:rPr>
        <w:t>change</w:t>
      </w:r>
      <w:r w:rsidRPr="00557E6C">
        <w:rPr>
          <w:rFonts w:asciiTheme="minorHAnsi" w:eastAsiaTheme="minorHAnsi" w:hAnsiTheme="minorHAnsi" w:cstheme="minorBidi"/>
          <w:snapToGrid/>
          <w:sz w:val="24"/>
          <w:szCs w:val="22"/>
        </w:rPr>
        <w:t xml:space="preserve"> to the</w:t>
      </w:r>
      <w:r w:rsidR="001C1E58" w:rsidRPr="00557E6C">
        <w:rPr>
          <w:rFonts w:asciiTheme="minorHAnsi" w:eastAsiaTheme="minorHAnsi" w:hAnsiTheme="minorHAnsi" w:cstheme="minorBidi"/>
          <w:snapToGrid/>
          <w:sz w:val="24"/>
          <w:szCs w:val="22"/>
        </w:rPr>
        <w:t xml:space="preserve"> </w:t>
      </w:r>
      <w:r w:rsidR="001C1E58" w:rsidRPr="00000634">
        <w:rPr>
          <w:rFonts w:asciiTheme="minorHAnsi" w:eastAsiaTheme="minorHAnsi" w:hAnsiTheme="minorHAnsi" w:cstheme="minorBidi"/>
          <w:b/>
          <w:snapToGrid/>
          <w:sz w:val="24"/>
          <w:szCs w:val="22"/>
        </w:rPr>
        <w:t>initial</w:t>
      </w:r>
      <w:r w:rsidRPr="00557E6C">
        <w:rPr>
          <w:rFonts w:asciiTheme="minorHAnsi" w:eastAsiaTheme="minorHAnsi" w:hAnsiTheme="minorHAnsi" w:cstheme="minorBidi"/>
          <w:snapToGrid/>
          <w:sz w:val="24"/>
          <w:szCs w:val="22"/>
        </w:rPr>
        <w:t xml:space="preserve"> </w:t>
      </w:r>
      <w:r w:rsidR="005E0FEA" w:rsidRPr="00557E6C">
        <w:rPr>
          <w:rFonts w:asciiTheme="minorHAnsi" w:eastAsiaTheme="minorHAnsi" w:hAnsiTheme="minorHAnsi" w:cstheme="minorBidi"/>
          <w:snapToGrid/>
          <w:sz w:val="24"/>
          <w:szCs w:val="22"/>
        </w:rPr>
        <w:t xml:space="preserve">restriction criteria </w:t>
      </w:r>
      <w:r w:rsidR="009127EB" w:rsidRPr="00557E6C">
        <w:rPr>
          <w:rFonts w:asciiTheme="minorHAnsi" w:eastAsiaTheme="minorHAnsi" w:hAnsiTheme="minorHAnsi" w:cstheme="minorBidi"/>
          <w:snapToGrid/>
          <w:sz w:val="24"/>
          <w:szCs w:val="22"/>
        </w:rPr>
        <w:t>recommended by the PBAC</w:t>
      </w:r>
      <w:r w:rsidR="00D2744B" w:rsidRPr="00557E6C">
        <w:rPr>
          <w:rFonts w:asciiTheme="minorHAnsi" w:eastAsiaTheme="minorHAnsi" w:hAnsiTheme="minorHAnsi" w:cstheme="minorBidi"/>
          <w:snapToGrid/>
          <w:sz w:val="24"/>
          <w:szCs w:val="22"/>
        </w:rPr>
        <w:t xml:space="preserve"> at the July 2018 meeting</w:t>
      </w:r>
      <w:r w:rsidR="00E35C66" w:rsidRPr="00557E6C">
        <w:rPr>
          <w:rFonts w:asciiTheme="minorHAnsi" w:eastAsiaTheme="minorHAnsi" w:hAnsiTheme="minorHAnsi" w:cstheme="minorBidi"/>
          <w:snapToGrid/>
          <w:sz w:val="24"/>
          <w:szCs w:val="22"/>
        </w:rPr>
        <w:t>.</w:t>
      </w:r>
    </w:p>
    <w:p w:rsidR="002A4E89" w:rsidRPr="00557E6C" w:rsidRDefault="002A4E89" w:rsidP="0030601D">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557E6C">
        <w:rPr>
          <w:rFonts w:asciiTheme="minorHAnsi" w:eastAsiaTheme="minorHAnsi" w:hAnsiTheme="minorHAnsi" w:cstheme="minorBidi"/>
          <w:snapToGrid/>
          <w:sz w:val="24"/>
          <w:szCs w:val="22"/>
        </w:rPr>
        <w:t xml:space="preserve">The resubmission proposed an amendment to the </w:t>
      </w:r>
      <w:r w:rsidRPr="00000634">
        <w:rPr>
          <w:rFonts w:asciiTheme="minorHAnsi" w:eastAsiaTheme="minorHAnsi" w:hAnsiTheme="minorHAnsi" w:cstheme="minorBidi"/>
          <w:b/>
          <w:snapToGrid/>
          <w:sz w:val="24"/>
          <w:szCs w:val="22"/>
        </w:rPr>
        <w:t>continuing</w:t>
      </w:r>
      <w:r w:rsidRPr="00557E6C">
        <w:rPr>
          <w:rFonts w:asciiTheme="minorHAnsi" w:eastAsiaTheme="minorHAnsi" w:hAnsiTheme="minorHAnsi" w:cstheme="minorBidi"/>
          <w:snapToGrid/>
          <w:sz w:val="24"/>
          <w:szCs w:val="22"/>
        </w:rPr>
        <w:t xml:space="preserve"> restriction criteria to allow approximately 50 patients expected to participate in an access program to continue treatment with lenvatinib once it </w:t>
      </w:r>
      <w:proofErr w:type="gramStart"/>
      <w:r w:rsidRPr="00557E6C">
        <w:rPr>
          <w:rFonts w:asciiTheme="minorHAnsi" w:eastAsiaTheme="minorHAnsi" w:hAnsiTheme="minorHAnsi" w:cstheme="minorBidi"/>
          <w:snapToGrid/>
          <w:sz w:val="24"/>
          <w:szCs w:val="22"/>
        </w:rPr>
        <w:t>is listed</w:t>
      </w:r>
      <w:proofErr w:type="gramEnd"/>
      <w:r w:rsidRPr="00557E6C">
        <w:rPr>
          <w:rFonts w:asciiTheme="minorHAnsi" w:eastAsiaTheme="minorHAnsi" w:hAnsiTheme="minorHAnsi" w:cstheme="minorBidi"/>
          <w:snapToGrid/>
          <w:sz w:val="24"/>
          <w:szCs w:val="22"/>
        </w:rPr>
        <w:t xml:space="preserve"> on the PBS.</w:t>
      </w:r>
      <w:r w:rsidR="00E165CC" w:rsidRPr="00557E6C">
        <w:rPr>
          <w:rFonts w:asciiTheme="minorHAnsi" w:eastAsiaTheme="minorHAnsi" w:hAnsiTheme="minorHAnsi" w:cstheme="minorBidi"/>
          <w:snapToGrid/>
          <w:sz w:val="24"/>
          <w:szCs w:val="22"/>
        </w:rPr>
        <w:t xml:space="preserve"> </w:t>
      </w:r>
      <w:r w:rsidR="000B7781" w:rsidRPr="00557E6C">
        <w:rPr>
          <w:rFonts w:asciiTheme="minorHAnsi" w:eastAsiaTheme="minorHAnsi" w:hAnsiTheme="minorHAnsi" w:cstheme="minorBidi"/>
          <w:snapToGrid/>
          <w:sz w:val="24"/>
          <w:szCs w:val="22"/>
        </w:rPr>
        <w:t>T</w:t>
      </w:r>
      <w:r w:rsidR="000C4843" w:rsidRPr="00557E6C">
        <w:rPr>
          <w:rFonts w:asciiTheme="minorHAnsi" w:eastAsiaTheme="minorHAnsi" w:hAnsiTheme="minorHAnsi" w:cstheme="minorBidi"/>
          <w:snapToGrid/>
          <w:sz w:val="24"/>
          <w:szCs w:val="22"/>
        </w:rPr>
        <w:t xml:space="preserve">he PBAC agreed with the </w:t>
      </w:r>
      <w:r w:rsidR="00FE6A63" w:rsidRPr="00557E6C">
        <w:rPr>
          <w:rFonts w:asciiTheme="minorHAnsi" w:eastAsiaTheme="minorHAnsi" w:hAnsiTheme="minorHAnsi" w:cstheme="minorBidi"/>
          <w:snapToGrid/>
          <w:sz w:val="24"/>
          <w:szCs w:val="22"/>
        </w:rPr>
        <w:t>s</w:t>
      </w:r>
      <w:r w:rsidR="000C4843" w:rsidRPr="00557E6C">
        <w:rPr>
          <w:rFonts w:asciiTheme="minorHAnsi" w:eastAsiaTheme="minorHAnsi" w:hAnsiTheme="minorHAnsi" w:cstheme="minorBidi"/>
          <w:snapToGrid/>
          <w:sz w:val="24"/>
          <w:szCs w:val="22"/>
        </w:rPr>
        <w:t>ecretariat that</w:t>
      </w:r>
      <w:r w:rsidRPr="00557E6C">
        <w:rPr>
          <w:rFonts w:asciiTheme="minorHAnsi" w:eastAsiaTheme="minorHAnsi" w:hAnsiTheme="minorHAnsi" w:cstheme="minorBidi"/>
          <w:snapToGrid/>
          <w:sz w:val="24"/>
          <w:szCs w:val="22"/>
        </w:rPr>
        <w:t xml:space="preserve"> p</w:t>
      </w:r>
      <w:r w:rsidR="00861D1F" w:rsidRPr="00557E6C">
        <w:rPr>
          <w:rFonts w:asciiTheme="minorHAnsi" w:eastAsiaTheme="minorHAnsi" w:hAnsiTheme="minorHAnsi" w:cstheme="minorBidi"/>
          <w:snapToGrid/>
          <w:sz w:val="24"/>
          <w:szCs w:val="22"/>
        </w:rPr>
        <w:t xml:space="preserve">atients </w:t>
      </w:r>
      <w:r w:rsidR="002675FB" w:rsidRPr="00557E6C">
        <w:rPr>
          <w:rFonts w:asciiTheme="minorHAnsi" w:eastAsiaTheme="minorHAnsi" w:hAnsiTheme="minorHAnsi" w:cstheme="minorBidi"/>
          <w:snapToGrid/>
          <w:sz w:val="24"/>
          <w:szCs w:val="22"/>
        </w:rPr>
        <w:t xml:space="preserve">treated with lenvatinib in an access program prior to PBS listing still </w:t>
      </w:r>
      <w:r w:rsidR="00861D1F" w:rsidRPr="00557E6C">
        <w:rPr>
          <w:rFonts w:asciiTheme="minorHAnsi" w:eastAsiaTheme="minorHAnsi" w:hAnsiTheme="minorHAnsi" w:cstheme="minorBidi"/>
          <w:snapToGrid/>
          <w:sz w:val="24"/>
          <w:szCs w:val="22"/>
        </w:rPr>
        <w:t xml:space="preserve">need </w:t>
      </w:r>
      <w:r w:rsidRPr="00557E6C">
        <w:rPr>
          <w:rFonts w:asciiTheme="minorHAnsi" w:eastAsiaTheme="minorHAnsi" w:hAnsiTheme="minorHAnsi" w:cstheme="minorBidi"/>
          <w:snapToGrid/>
          <w:sz w:val="24"/>
          <w:szCs w:val="22"/>
        </w:rPr>
        <w:t>to qualify</w:t>
      </w:r>
      <w:r w:rsidR="00861D1F" w:rsidRPr="00557E6C">
        <w:rPr>
          <w:rFonts w:asciiTheme="minorHAnsi" w:eastAsiaTheme="minorHAnsi" w:hAnsiTheme="minorHAnsi" w:cstheme="minorBidi"/>
          <w:snapToGrid/>
          <w:sz w:val="24"/>
          <w:szCs w:val="22"/>
        </w:rPr>
        <w:t xml:space="preserve"> for PBS treatment under</w:t>
      </w:r>
      <w:r w:rsidR="00D2744B" w:rsidRPr="00557E6C">
        <w:rPr>
          <w:rFonts w:asciiTheme="minorHAnsi" w:eastAsiaTheme="minorHAnsi" w:hAnsiTheme="minorHAnsi" w:cstheme="minorBidi"/>
          <w:snapToGrid/>
          <w:sz w:val="24"/>
          <w:szCs w:val="22"/>
        </w:rPr>
        <w:t xml:space="preserve"> the</w:t>
      </w:r>
      <w:r w:rsidR="00861D1F" w:rsidRPr="00557E6C">
        <w:rPr>
          <w:rFonts w:asciiTheme="minorHAnsi" w:eastAsiaTheme="minorHAnsi" w:hAnsiTheme="minorHAnsi" w:cstheme="minorBidi"/>
          <w:snapToGrid/>
          <w:sz w:val="24"/>
          <w:szCs w:val="22"/>
        </w:rPr>
        <w:t xml:space="preserve"> </w:t>
      </w:r>
      <w:r w:rsidR="00861D1F" w:rsidRPr="00000634">
        <w:rPr>
          <w:rFonts w:asciiTheme="minorHAnsi" w:eastAsiaTheme="minorHAnsi" w:hAnsiTheme="minorHAnsi" w:cstheme="minorBidi"/>
          <w:b/>
          <w:snapToGrid/>
          <w:sz w:val="24"/>
          <w:szCs w:val="22"/>
        </w:rPr>
        <w:t>initial</w:t>
      </w:r>
      <w:r w:rsidR="00861D1F" w:rsidRPr="00557E6C">
        <w:rPr>
          <w:rFonts w:asciiTheme="minorHAnsi" w:eastAsiaTheme="minorHAnsi" w:hAnsiTheme="minorHAnsi" w:cstheme="minorBidi"/>
          <w:snapToGrid/>
          <w:sz w:val="24"/>
          <w:szCs w:val="22"/>
        </w:rPr>
        <w:t xml:space="preserve"> restriction criteria</w:t>
      </w:r>
      <w:r w:rsidR="002675FB" w:rsidRPr="00557E6C">
        <w:rPr>
          <w:rFonts w:asciiTheme="minorHAnsi" w:eastAsiaTheme="minorHAnsi" w:hAnsiTheme="minorHAnsi" w:cstheme="minorBidi"/>
          <w:snapToGrid/>
          <w:sz w:val="24"/>
          <w:szCs w:val="22"/>
        </w:rPr>
        <w:t>.</w:t>
      </w:r>
    </w:p>
    <w:p w:rsidR="004C39B2" w:rsidRPr="00557E6C" w:rsidRDefault="002A4E89" w:rsidP="0032499F">
      <w:pPr>
        <w:spacing w:after="120"/>
        <w:ind w:firstLine="709"/>
        <w:rPr>
          <w:rFonts w:asciiTheme="minorHAnsi" w:eastAsiaTheme="minorHAnsi" w:hAnsiTheme="minorHAnsi" w:cstheme="minorBidi"/>
          <w:szCs w:val="22"/>
        </w:rPr>
      </w:pPr>
      <w:r w:rsidRPr="00557E6C">
        <w:rPr>
          <w:rFonts w:asciiTheme="minorHAnsi" w:eastAsiaTheme="minorHAnsi" w:hAnsiTheme="minorHAnsi" w:cstheme="minorBidi"/>
          <w:i/>
          <w:szCs w:val="22"/>
        </w:rPr>
        <w:t xml:space="preserve">For more detail on the PBAC’s view, see Section </w:t>
      </w:r>
      <w:r w:rsidR="000B7781" w:rsidRPr="00557E6C">
        <w:rPr>
          <w:rFonts w:asciiTheme="minorHAnsi" w:eastAsiaTheme="minorHAnsi" w:hAnsiTheme="minorHAnsi" w:cstheme="minorBidi"/>
          <w:i/>
          <w:szCs w:val="22"/>
        </w:rPr>
        <w:t xml:space="preserve">4 </w:t>
      </w:r>
      <w:r w:rsidRPr="00557E6C">
        <w:rPr>
          <w:rFonts w:asciiTheme="minorHAnsi" w:eastAsiaTheme="minorHAnsi" w:hAnsiTheme="minorHAnsi" w:cstheme="minorBidi"/>
          <w:i/>
          <w:szCs w:val="22"/>
        </w:rPr>
        <w:t>PBAC outcome.</w:t>
      </w:r>
    </w:p>
    <w:p w:rsidR="00C603D4" w:rsidRPr="00557E6C" w:rsidRDefault="00CE10C4" w:rsidP="0032499F">
      <w:pPr>
        <w:pStyle w:val="PBACHeading1"/>
        <w:keepNext/>
        <w:spacing w:before="240" w:after="120"/>
        <w:ind w:left="709" w:hanging="709"/>
        <w:rPr>
          <w:rFonts w:asciiTheme="minorHAnsi" w:hAnsiTheme="minorHAnsi"/>
          <w:sz w:val="32"/>
          <w:szCs w:val="32"/>
        </w:rPr>
      </w:pPr>
      <w:r w:rsidRPr="00557E6C">
        <w:rPr>
          <w:rFonts w:asciiTheme="minorHAnsi" w:hAnsiTheme="minorHAnsi"/>
          <w:sz w:val="32"/>
          <w:szCs w:val="32"/>
        </w:rPr>
        <w:t>Background</w:t>
      </w:r>
    </w:p>
    <w:p w:rsidR="00BC599B" w:rsidRPr="00557E6C" w:rsidRDefault="00BC599B" w:rsidP="00BC599B">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557E6C">
        <w:rPr>
          <w:rFonts w:asciiTheme="minorHAnsi" w:eastAsiaTheme="minorHAnsi" w:hAnsiTheme="minorHAnsi" w:cstheme="minorBidi"/>
          <w:snapToGrid/>
          <w:sz w:val="24"/>
          <w:szCs w:val="22"/>
        </w:rPr>
        <w:t xml:space="preserve">Lenvatinib </w:t>
      </w:r>
      <w:proofErr w:type="gramStart"/>
      <w:r w:rsidRPr="00557E6C">
        <w:rPr>
          <w:rFonts w:asciiTheme="minorHAnsi" w:eastAsiaTheme="minorHAnsi" w:hAnsiTheme="minorHAnsi" w:cstheme="minorBidi"/>
          <w:snapToGrid/>
          <w:sz w:val="24"/>
          <w:szCs w:val="22"/>
        </w:rPr>
        <w:t>is currently listed</w:t>
      </w:r>
      <w:proofErr w:type="gramEnd"/>
      <w:r w:rsidRPr="00557E6C">
        <w:rPr>
          <w:rFonts w:asciiTheme="minorHAnsi" w:eastAsiaTheme="minorHAnsi" w:hAnsiTheme="minorHAnsi" w:cstheme="minorBidi"/>
          <w:snapToGrid/>
          <w:sz w:val="24"/>
          <w:szCs w:val="22"/>
        </w:rPr>
        <w:t xml:space="preserve"> on the PBS for the treatment of thyroid cancer. There is a risk-share arrangement including a financial cap in place with an effective </w:t>
      </w:r>
      <w:r w:rsidR="008870E1" w:rsidRPr="00557E6C">
        <w:rPr>
          <w:rFonts w:asciiTheme="minorHAnsi" w:eastAsiaTheme="minorHAnsi" w:hAnsiTheme="minorHAnsi" w:cstheme="minorBidi"/>
          <w:snapToGrid/>
          <w:sz w:val="24"/>
          <w:szCs w:val="22"/>
        </w:rPr>
        <w:t>agreed ex-manufacturer price (</w:t>
      </w:r>
      <w:r w:rsidRPr="00557E6C">
        <w:rPr>
          <w:rFonts w:asciiTheme="minorHAnsi" w:eastAsiaTheme="minorHAnsi" w:hAnsiTheme="minorHAnsi" w:cstheme="minorBidi"/>
          <w:snapToGrid/>
          <w:sz w:val="24"/>
          <w:szCs w:val="22"/>
        </w:rPr>
        <w:t>AEMP</w:t>
      </w:r>
      <w:r w:rsidR="008870E1" w:rsidRPr="00557E6C">
        <w:rPr>
          <w:rFonts w:asciiTheme="minorHAnsi" w:eastAsiaTheme="minorHAnsi" w:hAnsiTheme="minorHAnsi" w:cstheme="minorBidi"/>
          <w:snapToGrid/>
          <w:sz w:val="24"/>
          <w:szCs w:val="22"/>
        </w:rPr>
        <w:t>)</w:t>
      </w:r>
      <w:r w:rsidR="009746ED" w:rsidRPr="00557E6C">
        <w:rPr>
          <w:rFonts w:asciiTheme="minorHAnsi" w:eastAsiaTheme="minorHAnsi" w:hAnsiTheme="minorHAnsi" w:cstheme="minorBidi"/>
          <w:snapToGrid/>
          <w:sz w:val="24"/>
          <w:szCs w:val="22"/>
        </w:rPr>
        <w:t xml:space="preserve"> (as at 1 August 2018)</w:t>
      </w:r>
      <w:r w:rsidRPr="00557E6C">
        <w:rPr>
          <w:rFonts w:asciiTheme="minorHAnsi" w:eastAsiaTheme="minorHAnsi" w:hAnsiTheme="minorHAnsi" w:cstheme="minorBidi"/>
          <w:snapToGrid/>
          <w:sz w:val="24"/>
          <w:szCs w:val="22"/>
        </w:rPr>
        <w:t xml:space="preserve"> for </w:t>
      </w:r>
      <w:r w:rsidRPr="00557E6C">
        <w:rPr>
          <w:rFonts w:asciiTheme="minorHAnsi" w:eastAsiaTheme="minorHAnsi" w:hAnsiTheme="minorHAnsi" w:cstheme="minorBidi"/>
          <w:snapToGrid/>
          <w:sz w:val="24"/>
        </w:rPr>
        <w:t>lenvatinib 4mg (30 tablets)</w:t>
      </w:r>
      <w:r w:rsidRPr="00557E6C">
        <w:rPr>
          <w:rFonts w:asciiTheme="minorHAnsi" w:eastAsiaTheme="minorHAnsi" w:hAnsiTheme="minorHAnsi" w:cstheme="minorBidi"/>
          <w:snapToGrid/>
          <w:sz w:val="24"/>
          <w:szCs w:val="22"/>
        </w:rPr>
        <w:t xml:space="preserve"> </w:t>
      </w:r>
      <w:r w:rsidR="00953639" w:rsidRPr="00557E6C">
        <w:rPr>
          <w:rFonts w:asciiTheme="minorHAnsi" w:eastAsiaTheme="minorHAnsi" w:hAnsiTheme="minorHAnsi" w:cstheme="minorBidi"/>
          <w:snapToGrid/>
          <w:sz w:val="24"/>
          <w:szCs w:val="22"/>
        </w:rPr>
        <w:t xml:space="preserve">of </w:t>
      </w:r>
      <w:r w:rsidRPr="00557E6C">
        <w:rPr>
          <w:rFonts w:asciiTheme="minorHAnsi" w:eastAsiaTheme="minorHAnsi" w:hAnsiTheme="minorHAnsi" w:cstheme="minorBidi"/>
          <w:snapToGrid/>
          <w:sz w:val="24"/>
        </w:rPr>
        <w:t>$</w:t>
      </w:r>
      <w:r w:rsidR="00A138E2">
        <w:rPr>
          <w:rFonts w:asciiTheme="minorHAnsi" w:eastAsiaTheme="minorHAnsi" w:hAnsiTheme="minorHAnsi" w:cstheme="minorBidi"/>
          <w:noProof/>
          <w:snapToGrid/>
          <w:color w:val="000000"/>
          <w:sz w:val="24"/>
          <w:highlight w:val="black"/>
        </w:rPr>
        <w:t>''''''''''''''''</w:t>
      </w:r>
      <w:r w:rsidR="00BA7A69">
        <w:rPr>
          <w:rFonts w:asciiTheme="minorHAnsi" w:eastAsiaTheme="minorHAnsi" w:hAnsiTheme="minorHAnsi" w:cstheme="minorBidi"/>
          <w:snapToGrid/>
          <w:sz w:val="24"/>
        </w:rPr>
        <w:t>.</w:t>
      </w:r>
    </w:p>
    <w:p w:rsidR="006B0D94" w:rsidRPr="00557E6C" w:rsidRDefault="00CA1358"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557E6C">
        <w:rPr>
          <w:rFonts w:asciiTheme="minorHAnsi" w:eastAsiaTheme="minorHAnsi" w:hAnsiTheme="minorHAnsi" w:cstheme="minorBidi"/>
          <w:snapToGrid/>
          <w:sz w:val="24"/>
          <w:szCs w:val="22"/>
        </w:rPr>
        <w:t xml:space="preserve">At the </w:t>
      </w:r>
      <w:r w:rsidR="003E027F" w:rsidRPr="00557E6C">
        <w:rPr>
          <w:rFonts w:asciiTheme="minorHAnsi" w:eastAsiaTheme="minorHAnsi" w:hAnsiTheme="minorHAnsi" w:cstheme="minorBidi"/>
          <w:snapToGrid/>
          <w:sz w:val="24"/>
          <w:szCs w:val="22"/>
        </w:rPr>
        <w:t>July 2018</w:t>
      </w:r>
      <w:r w:rsidRPr="00557E6C">
        <w:rPr>
          <w:rFonts w:asciiTheme="minorHAnsi" w:eastAsiaTheme="minorHAnsi" w:hAnsiTheme="minorHAnsi" w:cstheme="minorBidi"/>
          <w:snapToGrid/>
          <w:sz w:val="24"/>
          <w:szCs w:val="22"/>
        </w:rPr>
        <w:t xml:space="preserve"> meeting</w:t>
      </w:r>
      <w:r w:rsidR="003E027F" w:rsidRPr="00557E6C">
        <w:rPr>
          <w:rFonts w:asciiTheme="minorHAnsi" w:eastAsiaTheme="minorHAnsi" w:hAnsiTheme="minorHAnsi" w:cstheme="minorBidi"/>
          <w:snapToGrid/>
          <w:sz w:val="24"/>
          <w:szCs w:val="22"/>
        </w:rPr>
        <w:t>, t</w:t>
      </w:r>
      <w:r w:rsidR="00384C8D" w:rsidRPr="00557E6C">
        <w:rPr>
          <w:rFonts w:asciiTheme="minorHAnsi" w:eastAsiaTheme="minorHAnsi" w:hAnsiTheme="minorHAnsi" w:cstheme="minorBidi"/>
          <w:snapToGrid/>
          <w:sz w:val="24"/>
          <w:szCs w:val="22"/>
        </w:rPr>
        <w:t xml:space="preserve">he PBAC deferred making a recommendation to list lenvatinib for the treatment of </w:t>
      </w:r>
      <w:r w:rsidR="005E0FEA" w:rsidRPr="00557E6C">
        <w:rPr>
          <w:rFonts w:asciiTheme="minorHAnsi" w:eastAsiaTheme="minorHAnsi" w:hAnsiTheme="minorHAnsi" w:cstheme="minorBidi"/>
          <w:snapToGrid/>
          <w:sz w:val="24"/>
          <w:szCs w:val="22"/>
        </w:rPr>
        <w:t>HCC</w:t>
      </w:r>
      <w:r w:rsidR="00384C8D" w:rsidRPr="00557E6C">
        <w:rPr>
          <w:rFonts w:asciiTheme="minorHAnsi" w:eastAsiaTheme="minorHAnsi" w:hAnsiTheme="minorHAnsi" w:cstheme="minorBidi"/>
          <w:snapToGrid/>
          <w:sz w:val="24"/>
          <w:szCs w:val="22"/>
        </w:rPr>
        <w:t xml:space="preserve">. However, the PBAC was of a mind to recommend lenvatinib pending provision </w:t>
      </w:r>
      <w:r w:rsidR="00BA7A69">
        <w:rPr>
          <w:rFonts w:asciiTheme="minorHAnsi" w:eastAsiaTheme="minorHAnsi" w:hAnsiTheme="minorHAnsi" w:cstheme="minorBidi"/>
          <w:snapToGrid/>
          <w:sz w:val="24"/>
          <w:szCs w:val="22"/>
        </w:rPr>
        <w:t>of the TGA Delegate’s overview.</w:t>
      </w:r>
    </w:p>
    <w:p w:rsidR="00754342" w:rsidRPr="00557E6C" w:rsidRDefault="003E027F" w:rsidP="00D71434">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557E6C">
        <w:rPr>
          <w:rFonts w:asciiTheme="minorHAnsi" w:eastAsiaTheme="minorHAnsi" w:hAnsiTheme="minorHAnsi" w:cstheme="minorBidi"/>
          <w:snapToGrid/>
          <w:sz w:val="24"/>
          <w:szCs w:val="22"/>
        </w:rPr>
        <w:t>On the 20 August 2018, the TGA Delegate recommended approval for the extension of indication for le</w:t>
      </w:r>
      <w:r w:rsidR="006477F5" w:rsidRPr="00557E6C">
        <w:rPr>
          <w:rFonts w:asciiTheme="minorHAnsi" w:eastAsiaTheme="minorHAnsi" w:hAnsiTheme="minorHAnsi" w:cstheme="minorBidi"/>
          <w:snapToGrid/>
          <w:sz w:val="24"/>
          <w:szCs w:val="22"/>
        </w:rPr>
        <w:t>n</w:t>
      </w:r>
      <w:r w:rsidRPr="00557E6C">
        <w:rPr>
          <w:rFonts w:asciiTheme="minorHAnsi" w:eastAsiaTheme="minorHAnsi" w:hAnsiTheme="minorHAnsi" w:cstheme="minorBidi"/>
          <w:snapToGrid/>
          <w:sz w:val="24"/>
          <w:szCs w:val="22"/>
        </w:rPr>
        <w:t xml:space="preserve">vatinib “for the first-line treatment of patients with </w:t>
      </w:r>
      <w:proofErr w:type="spellStart"/>
      <w:r w:rsidRPr="00557E6C">
        <w:rPr>
          <w:rFonts w:asciiTheme="minorHAnsi" w:eastAsiaTheme="minorHAnsi" w:hAnsiTheme="minorHAnsi" w:cstheme="minorBidi"/>
          <w:snapToGrid/>
          <w:sz w:val="24"/>
          <w:szCs w:val="22"/>
        </w:rPr>
        <w:t>unresectable</w:t>
      </w:r>
      <w:proofErr w:type="spellEnd"/>
      <w:r w:rsidRPr="00557E6C">
        <w:rPr>
          <w:rFonts w:asciiTheme="minorHAnsi" w:eastAsiaTheme="minorHAnsi" w:hAnsiTheme="minorHAnsi" w:cstheme="minorBidi"/>
          <w:snapToGrid/>
          <w:sz w:val="24"/>
          <w:szCs w:val="22"/>
        </w:rPr>
        <w:t xml:space="preserve"> hepatocellular carcinoma”.</w:t>
      </w:r>
      <w:r w:rsidR="006477F5" w:rsidRPr="00557E6C">
        <w:rPr>
          <w:rFonts w:asciiTheme="minorHAnsi" w:eastAsiaTheme="minorHAnsi" w:hAnsiTheme="minorHAnsi" w:cstheme="minorBidi"/>
          <w:snapToGrid/>
          <w:sz w:val="24"/>
          <w:szCs w:val="22"/>
        </w:rPr>
        <w:t xml:space="preserve"> The PBAC subsequently recommended listing of lenvatinib on</w:t>
      </w:r>
      <w:r w:rsidR="001E42D1" w:rsidRPr="00557E6C">
        <w:rPr>
          <w:rFonts w:asciiTheme="minorHAnsi" w:eastAsiaTheme="minorHAnsi" w:hAnsiTheme="minorHAnsi" w:cstheme="minorBidi"/>
          <w:snapToGrid/>
          <w:sz w:val="24"/>
          <w:szCs w:val="22"/>
        </w:rPr>
        <w:t xml:space="preserve"> 28 September 2018.</w:t>
      </w:r>
    </w:p>
    <w:p w:rsidR="00DF2F5F" w:rsidRPr="00557E6C" w:rsidRDefault="00DF2F5F" w:rsidP="00D71434">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557E6C">
        <w:rPr>
          <w:rFonts w:asciiTheme="minorHAnsi" w:eastAsiaTheme="minorHAnsi" w:hAnsiTheme="minorHAnsi" w:cstheme="minorBidi"/>
          <w:snapToGrid/>
          <w:sz w:val="24"/>
          <w:szCs w:val="22"/>
        </w:rPr>
        <w:t xml:space="preserve">Lenvatinib </w:t>
      </w:r>
      <w:proofErr w:type="gramStart"/>
      <w:r w:rsidRPr="00557E6C">
        <w:rPr>
          <w:rFonts w:asciiTheme="minorHAnsi" w:eastAsiaTheme="minorHAnsi" w:hAnsiTheme="minorHAnsi" w:cstheme="minorBidi"/>
          <w:snapToGrid/>
          <w:sz w:val="24"/>
          <w:szCs w:val="22"/>
        </w:rPr>
        <w:t>was registered</w:t>
      </w:r>
      <w:proofErr w:type="gramEnd"/>
      <w:r w:rsidRPr="00557E6C">
        <w:rPr>
          <w:rFonts w:asciiTheme="minorHAnsi" w:eastAsiaTheme="minorHAnsi" w:hAnsiTheme="minorHAnsi" w:cstheme="minorBidi"/>
          <w:snapToGrid/>
          <w:sz w:val="24"/>
          <w:szCs w:val="22"/>
        </w:rPr>
        <w:t xml:space="preserve"> by TGA for HCC on the 21 September 2018.</w:t>
      </w:r>
    </w:p>
    <w:p w:rsidR="00754342" w:rsidRPr="00000634" w:rsidRDefault="00754342" w:rsidP="0032499F">
      <w:pPr>
        <w:spacing w:before="120" w:after="120"/>
        <w:rPr>
          <w:rFonts w:asciiTheme="minorHAnsi" w:eastAsiaTheme="minorHAnsi" w:hAnsiTheme="minorHAnsi" w:cstheme="minorHAnsi"/>
          <w:b/>
          <w:szCs w:val="22"/>
        </w:rPr>
      </w:pPr>
      <w:r w:rsidRPr="00000634">
        <w:rPr>
          <w:rFonts w:asciiTheme="minorHAnsi" w:eastAsiaTheme="minorHAnsi" w:hAnsiTheme="minorHAnsi" w:cstheme="minorHAnsi"/>
          <w:b/>
        </w:rPr>
        <w:t xml:space="preserve">Efficacy results considered at </w:t>
      </w:r>
      <w:r w:rsidR="00626508" w:rsidRPr="00000634">
        <w:rPr>
          <w:rFonts w:asciiTheme="minorHAnsi" w:eastAsiaTheme="minorHAnsi" w:hAnsiTheme="minorHAnsi" w:cstheme="minorHAnsi"/>
          <w:b/>
        </w:rPr>
        <w:t xml:space="preserve">the </w:t>
      </w:r>
      <w:r w:rsidR="00BA7A69">
        <w:rPr>
          <w:rFonts w:asciiTheme="minorHAnsi" w:eastAsiaTheme="minorHAnsi" w:hAnsiTheme="minorHAnsi" w:cstheme="minorHAnsi"/>
          <w:b/>
        </w:rPr>
        <w:t>July 2018 meeting</w:t>
      </w:r>
    </w:p>
    <w:p w:rsidR="00754342" w:rsidRPr="00557E6C" w:rsidRDefault="00754342" w:rsidP="00D71434">
      <w:pPr>
        <w:pStyle w:val="ListParagraph"/>
        <w:widowControl/>
        <w:numPr>
          <w:ilvl w:val="1"/>
          <w:numId w:val="14"/>
        </w:numPr>
        <w:spacing w:before="120" w:after="160"/>
        <w:contextualSpacing w:val="0"/>
        <w:rPr>
          <w:rFonts w:asciiTheme="minorHAnsi" w:eastAsiaTheme="minorHAnsi" w:hAnsiTheme="minorHAnsi" w:cstheme="minorHAnsi"/>
          <w:snapToGrid/>
          <w:sz w:val="24"/>
          <w:szCs w:val="24"/>
        </w:rPr>
      </w:pPr>
      <w:r w:rsidRPr="00557E6C">
        <w:rPr>
          <w:rStyle w:val="ListParagraphChar"/>
          <w:rFonts w:asciiTheme="minorHAnsi" w:eastAsiaTheme="minorHAnsi" w:hAnsiTheme="minorHAnsi" w:cstheme="minorHAnsi"/>
          <w:sz w:val="24"/>
          <w:szCs w:val="24"/>
        </w:rPr>
        <w:lastRenderedPageBreak/>
        <w:t xml:space="preserve">The submission considered at the July 2018 meeting </w:t>
      </w:r>
      <w:proofErr w:type="gramStart"/>
      <w:r w:rsidRPr="00557E6C">
        <w:rPr>
          <w:rStyle w:val="ListParagraphChar"/>
          <w:rFonts w:asciiTheme="minorHAnsi" w:eastAsiaTheme="minorHAnsi" w:hAnsiTheme="minorHAnsi" w:cstheme="minorHAnsi"/>
          <w:sz w:val="24"/>
          <w:szCs w:val="24"/>
        </w:rPr>
        <w:t>was based</w:t>
      </w:r>
      <w:proofErr w:type="gramEnd"/>
      <w:r w:rsidRPr="00557E6C">
        <w:rPr>
          <w:rStyle w:val="ListParagraphChar"/>
          <w:rFonts w:asciiTheme="minorHAnsi" w:eastAsiaTheme="minorHAnsi" w:hAnsiTheme="minorHAnsi" w:cstheme="minorHAnsi"/>
          <w:sz w:val="24"/>
          <w:szCs w:val="24"/>
        </w:rPr>
        <w:t xml:space="preserve"> on one head-to-head trial</w:t>
      </w:r>
      <w:r w:rsidRPr="00557E6C">
        <w:rPr>
          <w:rFonts w:asciiTheme="minorHAnsi" w:eastAsiaTheme="minorHAnsi" w:hAnsiTheme="minorHAnsi" w:cstheme="minorHAnsi"/>
          <w:snapToGrid/>
          <w:sz w:val="24"/>
          <w:szCs w:val="24"/>
        </w:rPr>
        <w:t xml:space="preserve"> comparing lenvatinib to </w:t>
      </w:r>
      <w:proofErr w:type="spellStart"/>
      <w:r w:rsidRPr="00557E6C">
        <w:rPr>
          <w:rFonts w:asciiTheme="minorHAnsi" w:eastAsiaTheme="minorHAnsi" w:hAnsiTheme="minorHAnsi" w:cstheme="minorHAnsi"/>
          <w:snapToGrid/>
          <w:sz w:val="24"/>
          <w:szCs w:val="24"/>
        </w:rPr>
        <w:t>sorafenib</w:t>
      </w:r>
      <w:proofErr w:type="spellEnd"/>
      <w:r w:rsidRPr="00557E6C">
        <w:rPr>
          <w:rFonts w:asciiTheme="minorHAnsi" w:eastAsiaTheme="minorHAnsi" w:hAnsiTheme="minorHAnsi" w:cstheme="minorHAnsi"/>
          <w:snapToGrid/>
          <w:sz w:val="24"/>
          <w:szCs w:val="24"/>
        </w:rPr>
        <w:t xml:space="preserve"> (Study 304). </w:t>
      </w:r>
      <w:r w:rsidRPr="00557E6C">
        <w:rPr>
          <w:rFonts w:asciiTheme="minorHAnsi" w:eastAsiaTheme="minorHAnsi" w:hAnsiTheme="minorHAnsi" w:cstheme="minorHAnsi"/>
          <w:sz w:val="24"/>
          <w:szCs w:val="24"/>
        </w:rPr>
        <w:t xml:space="preserve">Study 304 was designed as a non-inferiority trial with </w:t>
      </w:r>
      <w:r w:rsidR="00D71434" w:rsidRPr="00557E6C">
        <w:rPr>
          <w:rFonts w:asciiTheme="minorHAnsi" w:eastAsiaTheme="minorHAnsi" w:hAnsiTheme="minorHAnsi" w:cstheme="minorHAnsi"/>
          <w:sz w:val="24"/>
          <w:szCs w:val="24"/>
        </w:rPr>
        <w:t>overall survival (</w:t>
      </w:r>
      <w:r w:rsidRPr="00557E6C">
        <w:rPr>
          <w:rFonts w:asciiTheme="minorHAnsi" w:eastAsiaTheme="minorHAnsi" w:hAnsiTheme="minorHAnsi" w:cstheme="minorHAnsi"/>
          <w:sz w:val="24"/>
          <w:szCs w:val="24"/>
        </w:rPr>
        <w:t>OS</w:t>
      </w:r>
      <w:r w:rsidR="00D71434" w:rsidRPr="00557E6C">
        <w:rPr>
          <w:rFonts w:asciiTheme="minorHAnsi" w:eastAsiaTheme="minorHAnsi" w:hAnsiTheme="minorHAnsi" w:cstheme="minorHAnsi"/>
          <w:sz w:val="24"/>
          <w:szCs w:val="24"/>
        </w:rPr>
        <w:t>)</w:t>
      </w:r>
      <w:r w:rsidRPr="00557E6C">
        <w:rPr>
          <w:rFonts w:asciiTheme="minorHAnsi" w:eastAsiaTheme="minorHAnsi" w:hAnsiTheme="minorHAnsi" w:cstheme="minorHAnsi"/>
          <w:sz w:val="24"/>
          <w:szCs w:val="24"/>
        </w:rPr>
        <w:t xml:space="preserve"> as the primary outcome. There was no statistically significant difference in OS (HR=0.92; 95% CI: 0.79, 1.06) and the non-inferiority criteria were met.</w:t>
      </w:r>
    </w:p>
    <w:p w:rsidR="001B5762" w:rsidRPr="00557E6C" w:rsidRDefault="00D71434" w:rsidP="001B5762">
      <w:pPr>
        <w:pStyle w:val="ListParagraph"/>
        <w:widowControl/>
        <w:numPr>
          <w:ilvl w:val="1"/>
          <w:numId w:val="14"/>
        </w:numPr>
        <w:spacing w:before="120" w:after="160"/>
        <w:contextualSpacing w:val="0"/>
        <w:rPr>
          <w:rFonts w:asciiTheme="minorHAnsi" w:eastAsiaTheme="minorHAnsi" w:hAnsiTheme="minorHAnsi" w:cstheme="minorHAnsi"/>
          <w:sz w:val="24"/>
          <w:szCs w:val="24"/>
        </w:rPr>
      </w:pPr>
      <w:r w:rsidRPr="00557E6C">
        <w:rPr>
          <w:rFonts w:asciiTheme="minorHAnsi" w:eastAsiaTheme="minorHAnsi" w:hAnsiTheme="minorHAnsi" w:cstheme="minorHAnsi"/>
          <w:sz w:val="24"/>
          <w:szCs w:val="24"/>
        </w:rPr>
        <w:t xml:space="preserve">There </w:t>
      </w:r>
      <w:r w:rsidR="00E23CA6" w:rsidRPr="00557E6C">
        <w:rPr>
          <w:rFonts w:asciiTheme="minorHAnsi" w:eastAsiaTheme="minorHAnsi" w:hAnsiTheme="minorHAnsi" w:cstheme="minorHAnsi"/>
          <w:sz w:val="24"/>
          <w:szCs w:val="24"/>
        </w:rPr>
        <w:t xml:space="preserve">was </w:t>
      </w:r>
      <w:r w:rsidR="00EE6A19" w:rsidRPr="00557E6C">
        <w:rPr>
          <w:rFonts w:asciiTheme="minorHAnsi" w:eastAsiaTheme="minorHAnsi" w:hAnsiTheme="minorHAnsi" w:cstheme="minorHAnsi"/>
          <w:sz w:val="24"/>
          <w:szCs w:val="24"/>
        </w:rPr>
        <w:t xml:space="preserve">a </w:t>
      </w:r>
      <w:r w:rsidR="00E23CA6" w:rsidRPr="00557E6C">
        <w:rPr>
          <w:rFonts w:asciiTheme="minorHAnsi" w:eastAsiaTheme="minorHAnsi" w:hAnsiTheme="minorHAnsi" w:cstheme="minorHAnsi"/>
          <w:sz w:val="24"/>
          <w:szCs w:val="24"/>
        </w:rPr>
        <w:t>statistically significant</w:t>
      </w:r>
      <w:r w:rsidRPr="00557E6C">
        <w:rPr>
          <w:rFonts w:asciiTheme="minorHAnsi" w:eastAsiaTheme="minorHAnsi" w:hAnsiTheme="minorHAnsi" w:cstheme="minorHAnsi"/>
          <w:sz w:val="24"/>
          <w:szCs w:val="24"/>
        </w:rPr>
        <w:t xml:space="preserve">ly </w:t>
      </w:r>
      <w:r w:rsidR="009746ED" w:rsidRPr="00557E6C">
        <w:rPr>
          <w:rFonts w:asciiTheme="minorHAnsi" w:eastAsiaTheme="minorHAnsi" w:hAnsiTheme="minorHAnsi" w:cstheme="minorHAnsi"/>
          <w:sz w:val="24"/>
          <w:szCs w:val="24"/>
        </w:rPr>
        <w:t xml:space="preserve">longer </w:t>
      </w:r>
      <w:r w:rsidRPr="00557E6C">
        <w:rPr>
          <w:rFonts w:asciiTheme="minorHAnsi" w:eastAsiaTheme="minorHAnsi" w:hAnsiTheme="minorHAnsi" w:cstheme="minorHAnsi"/>
          <w:sz w:val="24"/>
          <w:szCs w:val="24"/>
        </w:rPr>
        <w:t xml:space="preserve">progression-free survival (PFS) for lenvatinib </w:t>
      </w:r>
      <w:r w:rsidR="00DC4AF1" w:rsidRPr="00557E6C">
        <w:rPr>
          <w:rFonts w:asciiTheme="minorHAnsi" w:eastAsiaTheme="minorHAnsi" w:hAnsiTheme="minorHAnsi" w:cstheme="minorHAnsi"/>
          <w:sz w:val="24"/>
          <w:szCs w:val="24"/>
        </w:rPr>
        <w:t xml:space="preserve">compared to </w:t>
      </w:r>
      <w:proofErr w:type="spellStart"/>
      <w:r w:rsidR="00DC4AF1" w:rsidRPr="00557E6C">
        <w:rPr>
          <w:rFonts w:asciiTheme="minorHAnsi" w:eastAsiaTheme="minorHAnsi" w:hAnsiTheme="minorHAnsi" w:cstheme="minorHAnsi"/>
          <w:sz w:val="24"/>
          <w:szCs w:val="24"/>
        </w:rPr>
        <w:t>sorafenib</w:t>
      </w:r>
      <w:proofErr w:type="spellEnd"/>
      <w:r w:rsidR="00DC4AF1" w:rsidRPr="00557E6C">
        <w:rPr>
          <w:rFonts w:asciiTheme="minorHAnsi" w:eastAsiaTheme="minorHAnsi" w:hAnsiTheme="minorHAnsi" w:cstheme="minorHAnsi"/>
          <w:sz w:val="24"/>
          <w:szCs w:val="24"/>
        </w:rPr>
        <w:t xml:space="preserve"> </w:t>
      </w:r>
      <w:r w:rsidR="00E23CA6" w:rsidRPr="00557E6C">
        <w:rPr>
          <w:rFonts w:asciiTheme="minorHAnsi" w:eastAsiaTheme="minorHAnsi" w:hAnsiTheme="minorHAnsi" w:cstheme="minorHAnsi"/>
          <w:sz w:val="24"/>
          <w:szCs w:val="24"/>
        </w:rPr>
        <w:t>(HR= 0.66; 95% CI 0.57, 0.77</w:t>
      </w:r>
      <w:r w:rsidRPr="00557E6C">
        <w:rPr>
          <w:rFonts w:asciiTheme="minorHAnsi" w:eastAsiaTheme="minorHAnsi" w:hAnsiTheme="minorHAnsi" w:cstheme="minorHAnsi"/>
          <w:sz w:val="24"/>
          <w:szCs w:val="24"/>
        </w:rPr>
        <w:t>) with a median incremental improvement of 3.7 months</w:t>
      </w:r>
      <w:r w:rsidR="00754342" w:rsidRPr="00557E6C">
        <w:rPr>
          <w:rFonts w:asciiTheme="minorHAnsi" w:eastAsiaTheme="minorHAnsi" w:hAnsiTheme="minorHAnsi" w:cstheme="minorHAnsi"/>
          <w:sz w:val="24"/>
          <w:szCs w:val="24"/>
        </w:rPr>
        <w:t>.</w:t>
      </w:r>
      <w:r w:rsidRPr="00557E6C">
        <w:rPr>
          <w:rFonts w:asciiTheme="minorHAnsi" w:eastAsiaTheme="minorHAnsi" w:hAnsiTheme="minorHAnsi" w:cstheme="minorHAnsi"/>
          <w:sz w:val="24"/>
          <w:szCs w:val="24"/>
        </w:rPr>
        <w:t xml:space="preserve"> </w:t>
      </w:r>
      <w:r w:rsidR="006213F1" w:rsidRPr="00557E6C">
        <w:rPr>
          <w:rFonts w:asciiTheme="minorHAnsi" w:eastAsiaTheme="minorHAnsi" w:hAnsiTheme="minorHAnsi" w:cstheme="minorHAnsi"/>
          <w:sz w:val="24"/>
          <w:szCs w:val="24"/>
        </w:rPr>
        <w:t>At the July 2018 meeting t</w:t>
      </w:r>
      <w:r w:rsidR="00DC4AF1" w:rsidRPr="00557E6C">
        <w:rPr>
          <w:rFonts w:asciiTheme="minorHAnsi" w:eastAsiaTheme="minorHAnsi" w:hAnsiTheme="minorHAnsi" w:cstheme="minorHAnsi"/>
          <w:sz w:val="24"/>
          <w:szCs w:val="24"/>
        </w:rPr>
        <w:t xml:space="preserve">he PBAC noted the submission made no financial or economic claims </w:t>
      </w:r>
      <w:proofErr w:type="gramStart"/>
      <w:r w:rsidR="00DC4AF1" w:rsidRPr="00557E6C">
        <w:rPr>
          <w:rFonts w:asciiTheme="minorHAnsi" w:eastAsiaTheme="minorHAnsi" w:hAnsiTheme="minorHAnsi" w:cstheme="minorHAnsi"/>
          <w:sz w:val="24"/>
          <w:szCs w:val="24"/>
        </w:rPr>
        <w:t>on the basis of</w:t>
      </w:r>
      <w:proofErr w:type="gramEnd"/>
      <w:r w:rsidR="00DC4AF1" w:rsidRPr="00557E6C">
        <w:rPr>
          <w:rFonts w:asciiTheme="minorHAnsi" w:eastAsiaTheme="minorHAnsi" w:hAnsiTheme="minorHAnsi" w:cstheme="minorHAnsi"/>
          <w:sz w:val="24"/>
          <w:szCs w:val="24"/>
        </w:rPr>
        <w:t xml:space="preserve"> this difference in PFS and considered this to be appropriate given a difference in OS, the pri</w:t>
      </w:r>
      <w:r w:rsidR="00BA7A69">
        <w:rPr>
          <w:rFonts w:asciiTheme="minorHAnsi" w:eastAsiaTheme="minorHAnsi" w:hAnsiTheme="minorHAnsi" w:cstheme="minorHAnsi"/>
          <w:sz w:val="24"/>
          <w:szCs w:val="24"/>
        </w:rPr>
        <w:t>mary outcome, was not observed.</w:t>
      </w:r>
    </w:p>
    <w:p w:rsidR="006D0495" w:rsidRPr="00000634" w:rsidRDefault="006D0495" w:rsidP="0032499F">
      <w:pPr>
        <w:spacing w:before="120" w:after="120"/>
        <w:rPr>
          <w:rFonts w:asciiTheme="minorHAnsi" w:eastAsiaTheme="minorHAnsi" w:hAnsiTheme="minorHAnsi" w:cstheme="minorBidi"/>
          <w:b/>
          <w:szCs w:val="22"/>
          <w:lang w:eastAsia="en-US"/>
        </w:rPr>
      </w:pPr>
      <w:r w:rsidRPr="00000634">
        <w:rPr>
          <w:rFonts w:asciiTheme="minorHAnsi" w:eastAsiaTheme="minorHAnsi" w:hAnsiTheme="minorHAnsi" w:cstheme="minorBidi"/>
          <w:b/>
          <w:szCs w:val="22"/>
          <w:lang w:eastAsia="en-US"/>
        </w:rPr>
        <w:t>Safety results</w:t>
      </w:r>
      <w:r w:rsidR="007E368D" w:rsidRPr="00000634">
        <w:rPr>
          <w:rFonts w:asciiTheme="minorHAnsi" w:eastAsiaTheme="minorHAnsi" w:hAnsiTheme="minorHAnsi" w:cstheme="minorBidi"/>
          <w:b/>
          <w:szCs w:val="22"/>
          <w:lang w:eastAsia="en-US"/>
        </w:rPr>
        <w:t xml:space="preserve"> considered at </w:t>
      </w:r>
      <w:r w:rsidR="00626508" w:rsidRPr="00000634">
        <w:rPr>
          <w:rFonts w:asciiTheme="minorHAnsi" w:eastAsiaTheme="minorHAnsi" w:hAnsiTheme="minorHAnsi" w:cstheme="minorBidi"/>
          <w:b/>
          <w:szCs w:val="22"/>
          <w:lang w:eastAsia="en-US"/>
        </w:rPr>
        <w:t xml:space="preserve">the </w:t>
      </w:r>
      <w:r w:rsidR="007E368D" w:rsidRPr="00000634">
        <w:rPr>
          <w:rFonts w:asciiTheme="minorHAnsi" w:eastAsiaTheme="minorHAnsi" w:hAnsiTheme="minorHAnsi" w:cstheme="minorBidi"/>
          <w:b/>
          <w:szCs w:val="22"/>
          <w:lang w:eastAsia="en-US"/>
        </w:rPr>
        <w:t>July 2018 meeting</w:t>
      </w:r>
    </w:p>
    <w:p w:rsidR="000D679A" w:rsidRPr="00557E6C" w:rsidRDefault="006213F1" w:rsidP="000D679A">
      <w:pPr>
        <w:pStyle w:val="ListParagraph"/>
        <w:widowControl/>
        <w:numPr>
          <w:ilvl w:val="1"/>
          <w:numId w:val="5"/>
        </w:numPr>
        <w:contextualSpacing w:val="0"/>
        <w:rPr>
          <w:rFonts w:asciiTheme="minorHAnsi" w:eastAsiaTheme="minorHAnsi" w:hAnsiTheme="minorHAnsi" w:cstheme="minorBidi"/>
          <w:snapToGrid/>
          <w:sz w:val="24"/>
          <w:szCs w:val="22"/>
        </w:rPr>
      </w:pPr>
      <w:r w:rsidRPr="00557E6C">
        <w:rPr>
          <w:rFonts w:asciiTheme="minorHAnsi" w:eastAsiaTheme="minorHAnsi" w:hAnsiTheme="minorHAnsi" w:cstheme="minorBidi"/>
          <w:snapToGrid/>
          <w:sz w:val="24"/>
          <w:szCs w:val="22"/>
        </w:rPr>
        <w:t>At the July 2018 meeting, t</w:t>
      </w:r>
      <w:r w:rsidR="00E302C5" w:rsidRPr="00557E6C">
        <w:rPr>
          <w:rFonts w:asciiTheme="minorHAnsi" w:eastAsiaTheme="minorHAnsi" w:hAnsiTheme="minorHAnsi" w:cstheme="minorBidi"/>
          <w:snapToGrid/>
          <w:sz w:val="24"/>
          <w:szCs w:val="22"/>
        </w:rPr>
        <w:t xml:space="preserve">he PBAC considered </w:t>
      </w:r>
      <w:r w:rsidR="00F15D1F" w:rsidRPr="00557E6C">
        <w:rPr>
          <w:rFonts w:asciiTheme="minorHAnsi" w:eastAsiaTheme="minorHAnsi" w:hAnsiTheme="minorHAnsi" w:cstheme="minorBidi"/>
          <w:snapToGrid/>
          <w:sz w:val="24"/>
          <w:szCs w:val="22"/>
        </w:rPr>
        <w:t xml:space="preserve">that </w:t>
      </w:r>
      <w:r w:rsidR="00E302C5" w:rsidRPr="00557E6C">
        <w:rPr>
          <w:rFonts w:asciiTheme="minorHAnsi" w:eastAsiaTheme="minorHAnsi" w:hAnsiTheme="minorHAnsi" w:cstheme="minorBidi"/>
          <w:snapToGrid/>
          <w:sz w:val="24"/>
          <w:szCs w:val="22"/>
        </w:rPr>
        <w:t xml:space="preserve">lenvatinib is non-inferior in terms of safety compared with </w:t>
      </w:r>
      <w:proofErr w:type="spellStart"/>
      <w:r w:rsidR="00E302C5" w:rsidRPr="00557E6C">
        <w:rPr>
          <w:rFonts w:asciiTheme="minorHAnsi" w:eastAsiaTheme="minorHAnsi" w:hAnsiTheme="minorHAnsi" w:cstheme="minorBidi"/>
          <w:snapToGrid/>
          <w:sz w:val="24"/>
          <w:szCs w:val="22"/>
        </w:rPr>
        <w:t>sorafenib</w:t>
      </w:r>
      <w:proofErr w:type="spellEnd"/>
      <w:r w:rsidR="00E302C5" w:rsidRPr="00557E6C">
        <w:rPr>
          <w:rFonts w:asciiTheme="minorHAnsi" w:eastAsiaTheme="minorHAnsi" w:hAnsiTheme="minorHAnsi" w:cstheme="minorBidi"/>
          <w:snapToGrid/>
          <w:sz w:val="24"/>
          <w:szCs w:val="22"/>
        </w:rPr>
        <w:t xml:space="preserve">. However, the PBAC also noted the difference between the drugs for specific events, for example the incidence of palmar-plantar </w:t>
      </w:r>
      <w:proofErr w:type="spellStart"/>
      <w:r w:rsidR="00E302C5" w:rsidRPr="00557E6C">
        <w:rPr>
          <w:rFonts w:asciiTheme="minorHAnsi" w:eastAsiaTheme="minorHAnsi" w:hAnsiTheme="minorHAnsi" w:cstheme="minorBidi"/>
          <w:snapToGrid/>
          <w:sz w:val="24"/>
          <w:szCs w:val="22"/>
        </w:rPr>
        <w:t>erythrodysaesthesia</w:t>
      </w:r>
      <w:proofErr w:type="spellEnd"/>
      <w:r w:rsidR="00E302C5" w:rsidRPr="00557E6C">
        <w:rPr>
          <w:rFonts w:asciiTheme="minorHAnsi" w:eastAsiaTheme="minorHAnsi" w:hAnsiTheme="minorHAnsi" w:cstheme="minorBidi"/>
          <w:snapToGrid/>
          <w:sz w:val="24"/>
          <w:szCs w:val="22"/>
        </w:rPr>
        <w:t xml:space="preserve"> syndrome was higher with </w:t>
      </w:r>
      <w:proofErr w:type="spellStart"/>
      <w:r w:rsidR="00E302C5" w:rsidRPr="00557E6C">
        <w:rPr>
          <w:rFonts w:asciiTheme="minorHAnsi" w:eastAsiaTheme="minorHAnsi" w:hAnsiTheme="minorHAnsi" w:cstheme="minorBidi"/>
          <w:snapToGrid/>
          <w:sz w:val="24"/>
          <w:szCs w:val="22"/>
        </w:rPr>
        <w:t>sorafenib</w:t>
      </w:r>
      <w:proofErr w:type="spellEnd"/>
      <w:r w:rsidR="008B7834" w:rsidRPr="00557E6C">
        <w:rPr>
          <w:rFonts w:asciiTheme="minorHAnsi" w:eastAsiaTheme="minorHAnsi" w:hAnsiTheme="minorHAnsi" w:cstheme="minorBidi"/>
          <w:snapToGrid/>
          <w:sz w:val="24"/>
          <w:szCs w:val="22"/>
        </w:rPr>
        <w:t xml:space="preserve"> (52.4% vs 26.9%, any grade)</w:t>
      </w:r>
      <w:r w:rsidR="00E302C5" w:rsidRPr="00557E6C">
        <w:rPr>
          <w:rFonts w:asciiTheme="minorHAnsi" w:eastAsiaTheme="minorHAnsi" w:hAnsiTheme="minorHAnsi" w:cstheme="minorBidi"/>
          <w:snapToGrid/>
          <w:sz w:val="24"/>
          <w:szCs w:val="22"/>
        </w:rPr>
        <w:t>, while more patients experienced hepatic encephalopathy with lenvatinib</w:t>
      </w:r>
      <w:r w:rsidR="008B7834" w:rsidRPr="00557E6C">
        <w:rPr>
          <w:rFonts w:asciiTheme="minorHAnsi" w:eastAsiaTheme="minorHAnsi" w:hAnsiTheme="minorHAnsi" w:cstheme="minorBidi"/>
          <w:snapToGrid/>
          <w:sz w:val="24"/>
          <w:szCs w:val="22"/>
        </w:rPr>
        <w:t xml:space="preserve"> (4.0% vs 1.5%, Grade 3)</w:t>
      </w:r>
      <w:r w:rsidR="00E302C5" w:rsidRPr="00557E6C">
        <w:rPr>
          <w:rFonts w:asciiTheme="minorHAnsi" w:eastAsiaTheme="minorHAnsi" w:hAnsiTheme="minorHAnsi" w:cstheme="minorBidi"/>
          <w:snapToGrid/>
          <w:sz w:val="24"/>
          <w:szCs w:val="22"/>
        </w:rPr>
        <w:t xml:space="preserve">. </w:t>
      </w:r>
      <w:r w:rsidR="009746ED" w:rsidRPr="00557E6C">
        <w:rPr>
          <w:rFonts w:asciiTheme="minorHAnsi" w:eastAsiaTheme="minorHAnsi" w:hAnsiTheme="minorHAnsi" w:cstheme="minorBidi"/>
          <w:snapToGrid/>
          <w:sz w:val="24"/>
          <w:szCs w:val="22"/>
        </w:rPr>
        <w:t>T</w:t>
      </w:r>
      <w:r w:rsidR="00E302C5" w:rsidRPr="00557E6C">
        <w:rPr>
          <w:rFonts w:asciiTheme="minorHAnsi" w:eastAsiaTheme="minorHAnsi" w:hAnsiTheme="minorHAnsi" w:cstheme="minorBidi"/>
          <w:snapToGrid/>
          <w:sz w:val="24"/>
          <w:szCs w:val="22"/>
        </w:rPr>
        <w:t xml:space="preserve">he </w:t>
      </w:r>
      <w:r w:rsidR="005D74B4" w:rsidRPr="00557E6C">
        <w:rPr>
          <w:rFonts w:asciiTheme="minorHAnsi" w:eastAsiaTheme="minorHAnsi" w:hAnsiTheme="minorHAnsi" w:cstheme="minorBidi"/>
          <w:snapToGrid/>
          <w:sz w:val="24"/>
          <w:szCs w:val="22"/>
        </w:rPr>
        <w:t>economic sub-committee (</w:t>
      </w:r>
      <w:r w:rsidR="00E302C5" w:rsidRPr="00557E6C">
        <w:rPr>
          <w:rFonts w:asciiTheme="minorHAnsi" w:eastAsiaTheme="minorHAnsi" w:hAnsiTheme="minorHAnsi" w:cstheme="minorBidi"/>
          <w:snapToGrid/>
          <w:sz w:val="24"/>
          <w:szCs w:val="22"/>
        </w:rPr>
        <w:t>ESC</w:t>
      </w:r>
      <w:r w:rsidR="005D74B4" w:rsidRPr="00557E6C">
        <w:rPr>
          <w:rFonts w:asciiTheme="minorHAnsi" w:eastAsiaTheme="minorHAnsi" w:hAnsiTheme="minorHAnsi" w:cstheme="minorBidi"/>
          <w:snapToGrid/>
          <w:sz w:val="24"/>
          <w:szCs w:val="22"/>
        </w:rPr>
        <w:t>)</w:t>
      </w:r>
      <w:r w:rsidR="00E302C5" w:rsidRPr="00557E6C">
        <w:rPr>
          <w:rFonts w:asciiTheme="minorHAnsi" w:eastAsiaTheme="minorHAnsi" w:hAnsiTheme="minorHAnsi" w:cstheme="minorBidi"/>
          <w:snapToGrid/>
          <w:sz w:val="24"/>
          <w:szCs w:val="22"/>
        </w:rPr>
        <w:t xml:space="preserve"> considered palmar-plantar </w:t>
      </w:r>
      <w:proofErr w:type="spellStart"/>
      <w:r w:rsidR="00E302C5" w:rsidRPr="00557E6C">
        <w:rPr>
          <w:rFonts w:asciiTheme="minorHAnsi" w:eastAsiaTheme="minorHAnsi" w:hAnsiTheme="minorHAnsi" w:cstheme="minorBidi"/>
          <w:snapToGrid/>
          <w:sz w:val="24"/>
          <w:szCs w:val="22"/>
        </w:rPr>
        <w:t>erythrodysaesthesia</w:t>
      </w:r>
      <w:proofErr w:type="spellEnd"/>
      <w:r w:rsidR="00E302C5" w:rsidRPr="00557E6C">
        <w:rPr>
          <w:rFonts w:asciiTheme="minorHAnsi" w:eastAsiaTheme="minorHAnsi" w:hAnsiTheme="minorHAnsi" w:cstheme="minorBidi"/>
          <w:snapToGrid/>
          <w:sz w:val="24"/>
          <w:szCs w:val="22"/>
        </w:rPr>
        <w:t xml:space="preserve"> to be clinically significant as it would </w:t>
      </w:r>
      <w:proofErr w:type="gramStart"/>
      <w:r w:rsidR="00E302C5" w:rsidRPr="00557E6C">
        <w:rPr>
          <w:rFonts w:asciiTheme="minorHAnsi" w:eastAsiaTheme="minorHAnsi" w:hAnsiTheme="minorHAnsi" w:cstheme="minorBidi"/>
          <w:snapToGrid/>
          <w:sz w:val="24"/>
          <w:szCs w:val="22"/>
        </w:rPr>
        <w:t>impact on</w:t>
      </w:r>
      <w:proofErr w:type="gramEnd"/>
      <w:r w:rsidR="00E302C5" w:rsidRPr="00557E6C">
        <w:rPr>
          <w:rFonts w:asciiTheme="minorHAnsi" w:eastAsiaTheme="minorHAnsi" w:hAnsiTheme="minorHAnsi" w:cstheme="minorBidi"/>
          <w:snapToGrid/>
          <w:sz w:val="24"/>
          <w:szCs w:val="22"/>
        </w:rPr>
        <w:t xml:space="preserve"> </w:t>
      </w:r>
      <w:r w:rsidR="00375D5B" w:rsidRPr="00557E6C">
        <w:rPr>
          <w:rFonts w:asciiTheme="minorHAnsi" w:eastAsiaTheme="minorHAnsi" w:hAnsiTheme="minorHAnsi" w:cstheme="minorBidi"/>
          <w:snapToGrid/>
          <w:sz w:val="24"/>
          <w:szCs w:val="22"/>
        </w:rPr>
        <w:t xml:space="preserve">patient </w:t>
      </w:r>
      <w:r w:rsidR="00E302C5" w:rsidRPr="00557E6C">
        <w:rPr>
          <w:rFonts w:asciiTheme="minorHAnsi" w:eastAsiaTheme="minorHAnsi" w:hAnsiTheme="minorHAnsi" w:cstheme="minorBidi"/>
          <w:snapToGrid/>
          <w:sz w:val="24"/>
          <w:szCs w:val="22"/>
        </w:rPr>
        <w:t>quality of life.</w:t>
      </w:r>
    </w:p>
    <w:p w:rsidR="009973B1" w:rsidRPr="002F1842" w:rsidRDefault="00FF44AD" w:rsidP="0032499F">
      <w:pPr>
        <w:spacing w:before="120" w:after="120"/>
        <w:rPr>
          <w:rFonts w:asciiTheme="minorHAnsi" w:eastAsiaTheme="minorHAnsi" w:hAnsiTheme="minorHAnsi" w:cstheme="minorBidi"/>
          <w:b/>
          <w:szCs w:val="22"/>
        </w:rPr>
      </w:pPr>
      <w:r w:rsidRPr="002F1842">
        <w:rPr>
          <w:rFonts w:asciiTheme="minorHAnsi" w:eastAsiaTheme="minorHAnsi" w:hAnsiTheme="minorHAnsi" w:cstheme="minorBidi"/>
          <w:b/>
          <w:szCs w:val="22"/>
        </w:rPr>
        <w:t>PBAC recommendation at July 2018 meeting</w:t>
      </w:r>
    </w:p>
    <w:p w:rsidR="004C30F0" w:rsidRPr="00557E6C" w:rsidRDefault="004C30F0" w:rsidP="00877F86">
      <w:pPr>
        <w:pStyle w:val="ListParagraph"/>
        <w:widowControl/>
        <w:numPr>
          <w:ilvl w:val="1"/>
          <w:numId w:val="5"/>
        </w:numPr>
        <w:contextualSpacing w:val="0"/>
        <w:rPr>
          <w:rFonts w:asciiTheme="minorHAnsi" w:eastAsiaTheme="minorHAnsi" w:hAnsiTheme="minorHAnsi" w:cstheme="minorBidi"/>
          <w:snapToGrid/>
          <w:sz w:val="24"/>
          <w:szCs w:val="22"/>
        </w:rPr>
      </w:pPr>
      <w:r w:rsidRPr="00557E6C">
        <w:rPr>
          <w:rFonts w:asciiTheme="minorHAnsi" w:eastAsiaTheme="minorHAnsi" w:hAnsiTheme="minorHAnsi" w:cstheme="minorBidi"/>
          <w:snapToGrid/>
          <w:sz w:val="24"/>
          <w:szCs w:val="24"/>
        </w:rPr>
        <w:t xml:space="preserve">The PBAC considered that lenvatinib was non-inferior in terms of effectiveness and safety compared with </w:t>
      </w:r>
      <w:proofErr w:type="spellStart"/>
      <w:r w:rsidRPr="00557E6C">
        <w:rPr>
          <w:rFonts w:asciiTheme="minorHAnsi" w:eastAsiaTheme="minorHAnsi" w:hAnsiTheme="minorHAnsi" w:cstheme="minorBidi"/>
          <w:snapToGrid/>
          <w:sz w:val="24"/>
          <w:szCs w:val="24"/>
        </w:rPr>
        <w:t>sorafenib</w:t>
      </w:r>
      <w:proofErr w:type="spellEnd"/>
      <w:r w:rsidRPr="00557E6C">
        <w:rPr>
          <w:rFonts w:asciiTheme="minorHAnsi" w:eastAsiaTheme="minorHAnsi" w:hAnsiTheme="minorHAnsi" w:cstheme="minorBidi"/>
          <w:snapToGrid/>
          <w:sz w:val="24"/>
          <w:szCs w:val="24"/>
        </w:rPr>
        <w:t xml:space="preserve">, noting that there were differences between the safety profiles of the two drugs. The PBAC considered that a cost-minimisation analysis was reasonable when the mean treatment durations and mean doses of lenvatinib and </w:t>
      </w:r>
      <w:proofErr w:type="spellStart"/>
      <w:r w:rsidRPr="00557E6C">
        <w:rPr>
          <w:rFonts w:asciiTheme="minorHAnsi" w:eastAsiaTheme="minorHAnsi" w:hAnsiTheme="minorHAnsi" w:cstheme="minorBidi"/>
          <w:snapToGrid/>
          <w:sz w:val="24"/>
          <w:szCs w:val="24"/>
        </w:rPr>
        <w:t>sorafenib</w:t>
      </w:r>
      <w:proofErr w:type="spellEnd"/>
      <w:r w:rsidRPr="00557E6C">
        <w:rPr>
          <w:rFonts w:asciiTheme="minorHAnsi" w:eastAsiaTheme="minorHAnsi" w:hAnsiTheme="minorHAnsi" w:cstheme="minorBidi"/>
          <w:snapToGrid/>
          <w:sz w:val="24"/>
          <w:szCs w:val="24"/>
        </w:rPr>
        <w:t xml:space="preserve"> </w:t>
      </w:r>
      <w:proofErr w:type="gramStart"/>
      <w:r w:rsidRPr="00557E6C">
        <w:rPr>
          <w:rFonts w:asciiTheme="minorHAnsi" w:eastAsiaTheme="minorHAnsi" w:hAnsiTheme="minorHAnsi" w:cstheme="minorBidi"/>
          <w:snapToGrid/>
          <w:sz w:val="24"/>
          <w:szCs w:val="24"/>
        </w:rPr>
        <w:t>were used</w:t>
      </w:r>
      <w:proofErr w:type="gramEnd"/>
      <w:r w:rsidRPr="00557E6C">
        <w:rPr>
          <w:rFonts w:asciiTheme="minorHAnsi" w:eastAsiaTheme="minorHAnsi" w:hAnsiTheme="minorHAnsi" w:cstheme="minorBidi"/>
          <w:snapToGrid/>
          <w:sz w:val="24"/>
          <w:szCs w:val="24"/>
        </w:rPr>
        <w:t xml:space="preserve"> so that the treatment cost per patient was the same for both treatments</w:t>
      </w:r>
      <w:r w:rsidR="00BA7A69">
        <w:rPr>
          <w:rFonts w:asciiTheme="minorHAnsi" w:eastAsiaTheme="minorHAnsi" w:hAnsiTheme="minorHAnsi" w:cstheme="minorBidi"/>
          <w:snapToGrid/>
          <w:szCs w:val="22"/>
        </w:rPr>
        <w:t>.</w:t>
      </w:r>
    </w:p>
    <w:p w:rsidR="00B55F8B" w:rsidRPr="00E96CC6" w:rsidRDefault="00B55F8B" w:rsidP="0032499F">
      <w:pPr>
        <w:pStyle w:val="Heading2"/>
      </w:pPr>
      <w:r w:rsidRPr="00E96CC6">
        <w:t>Sponsor hearing</w:t>
      </w:r>
    </w:p>
    <w:p w:rsidR="00B55F8B" w:rsidRPr="00557E6C" w:rsidRDefault="00B55F8B" w:rsidP="00877F86">
      <w:pPr>
        <w:pStyle w:val="ListParagraph"/>
        <w:widowControl/>
        <w:numPr>
          <w:ilvl w:val="1"/>
          <w:numId w:val="5"/>
        </w:numPr>
        <w:contextualSpacing w:val="0"/>
        <w:rPr>
          <w:rFonts w:asciiTheme="minorHAnsi" w:eastAsiaTheme="minorHAnsi" w:hAnsiTheme="minorHAnsi" w:cstheme="minorBidi"/>
          <w:snapToGrid/>
          <w:sz w:val="24"/>
          <w:szCs w:val="22"/>
        </w:rPr>
      </w:pPr>
      <w:r w:rsidRPr="001E2A5B">
        <w:rPr>
          <w:rFonts w:asciiTheme="minorHAnsi" w:eastAsiaTheme="minorHAnsi" w:hAnsiTheme="minorHAnsi" w:cstheme="minorBidi"/>
          <w:snapToGrid/>
          <w:sz w:val="24"/>
          <w:szCs w:val="22"/>
        </w:rPr>
        <w:t>There was no hearing for this ite</w:t>
      </w:r>
      <w:r w:rsidR="00BA7A69">
        <w:rPr>
          <w:rFonts w:asciiTheme="minorHAnsi" w:eastAsiaTheme="minorHAnsi" w:hAnsiTheme="minorHAnsi" w:cstheme="minorBidi"/>
          <w:snapToGrid/>
          <w:sz w:val="24"/>
          <w:szCs w:val="22"/>
        </w:rPr>
        <w:t>m as it was a minor submission.</w:t>
      </w:r>
    </w:p>
    <w:p w:rsidR="00B55F8B" w:rsidRPr="0032499F" w:rsidRDefault="00B55F8B" w:rsidP="0032499F">
      <w:pPr>
        <w:pStyle w:val="Heading2"/>
      </w:pPr>
      <w:r w:rsidRPr="0032499F">
        <w:t>Consumer comments</w:t>
      </w:r>
    </w:p>
    <w:p w:rsidR="00B55F8B" w:rsidRPr="00557E6C" w:rsidRDefault="005A1F63" w:rsidP="00877F86">
      <w:pPr>
        <w:pStyle w:val="ListParagraph"/>
        <w:widowControl/>
        <w:numPr>
          <w:ilvl w:val="1"/>
          <w:numId w:val="5"/>
        </w:numPr>
        <w:contextualSpacing w:val="0"/>
        <w:rPr>
          <w:rFonts w:asciiTheme="minorHAnsi" w:eastAsiaTheme="minorHAnsi" w:hAnsiTheme="minorHAnsi" w:cstheme="minorBidi"/>
          <w:snapToGrid/>
          <w:sz w:val="24"/>
          <w:szCs w:val="22"/>
        </w:rPr>
      </w:pPr>
      <w:r w:rsidRPr="00557E6C">
        <w:rPr>
          <w:rFonts w:asciiTheme="minorHAnsi" w:eastAsiaTheme="minorHAnsi" w:hAnsiTheme="minorHAnsi" w:cstheme="minorBidi"/>
          <w:snapToGrid/>
          <w:sz w:val="24"/>
          <w:szCs w:val="22"/>
        </w:rPr>
        <w:t>There were no consumer comments received for this item.</w:t>
      </w:r>
    </w:p>
    <w:p w:rsidR="004C30F0" w:rsidRPr="001E2A5B" w:rsidRDefault="00877F86" w:rsidP="0032499F">
      <w:pPr>
        <w:pStyle w:val="Heading2"/>
        <w:rPr>
          <w:rFonts w:eastAsiaTheme="minorHAnsi" w:cstheme="minorBidi"/>
          <w:sz w:val="24"/>
          <w:szCs w:val="22"/>
        </w:rPr>
      </w:pPr>
      <w:proofErr w:type="spellStart"/>
      <w:r w:rsidRPr="00E96CC6">
        <w:t>Equi</w:t>
      </w:r>
      <w:proofErr w:type="spellEnd"/>
      <w:r w:rsidRPr="00E96CC6">
        <w:t>-effective dose and corresponding price</w:t>
      </w:r>
    </w:p>
    <w:p w:rsidR="00F16B39" w:rsidRPr="004468C8" w:rsidRDefault="004C30F0" w:rsidP="004C30F0">
      <w:pPr>
        <w:pStyle w:val="ListParagraph"/>
        <w:numPr>
          <w:ilvl w:val="1"/>
          <w:numId w:val="14"/>
        </w:numPr>
        <w:spacing w:before="120" w:after="160"/>
        <w:rPr>
          <w:rFonts w:eastAsiaTheme="majorEastAsia"/>
        </w:rPr>
      </w:pPr>
      <w:r w:rsidRPr="004468C8">
        <w:rPr>
          <w:rFonts w:asciiTheme="minorHAnsi" w:eastAsiaTheme="minorHAnsi" w:hAnsiTheme="minorHAnsi" w:cstheme="minorBidi"/>
          <w:snapToGrid/>
          <w:sz w:val="24"/>
          <w:szCs w:val="22"/>
        </w:rPr>
        <w:t xml:space="preserve">A summary of the </w:t>
      </w:r>
      <w:proofErr w:type="spellStart"/>
      <w:r w:rsidRPr="004468C8">
        <w:rPr>
          <w:rFonts w:asciiTheme="minorHAnsi" w:eastAsiaTheme="minorHAnsi" w:hAnsiTheme="minorHAnsi" w:cstheme="minorBidi"/>
          <w:snapToGrid/>
          <w:sz w:val="24"/>
          <w:szCs w:val="22"/>
        </w:rPr>
        <w:t>equi</w:t>
      </w:r>
      <w:proofErr w:type="spellEnd"/>
      <w:r w:rsidRPr="004468C8">
        <w:rPr>
          <w:rFonts w:asciiTheme="minorHAnsi" w:eastAsiaTheme="minorHAnsi" w:hAnsiTheme="minorHAnsi" w:cstheme="minorBidi"/>
          <w:snapToGrid/>
          <w:sz w:val="24"/>
          <w:szCs w:val="22"/>
        </w:rPr>
        <w:t xml:space="preserve">-effective doses and corresponding prices for lenvatinib 4mg (30 tablets) </w:t>
      </w:r>
      <w:r w:rsidR="00972123" w:rsidRPr="004468C8">
        <w:rPr>
          <w:rFonts w:asciiTheme="minorHAnsi" w:eastAsiaTheme="minorHAnsi" w:hAnsiTheme="minorHAnsi" w:cstheme="minorBidi"/>
          <w:snapToGrid/>
          <w:sz w:val="24"/>
          <w:szCs w:val="22"/>
        </w:rPr>
        <w:t xml:space="preserve">requested </w:t>
      </w:r>
      <w:r w:rsidRPr="004468C8">
        <w:rPr>
          <w:rFonts w:asciiTheme="minorHAnsi" w:eastAsiaTheme="minorHAnsi" w:hAnsiTheme="minorHAnsi" w:cstheme="minorBidi"/>
          <w:snapToGrid/>
          <w:sz w:val="24"/>
          <w:szCs w:val="22"/>
        </w:rPr>
        <w:t xml:space="preserve">in the major submission, recommended by the PBAC </w:t>
      </w:r>
      <w:r w:rsidR="006F64EE" w:rsidRPr="004468C8">
        <w:rPr>
          <w:rFonts w:asciiTheme="minorHAnsi" w:eastAsiaTheme="minorHAnsi" w:hAnsiTheme="minorHAnsi" w:cstheme="minorBidi"/>
          <w:snapToGrid/>
          <w:sz w:val="24"/>
          <w:szCs w:val="22"/>
        </w:rPr>
        <w:t xml:space="preserve">at the July 2018 meeting </w:t>
      </w:r>
      <w:r w:rsidRPr="004468C8">
        <w:rPr>
          <w:rFonts w:asciiTheme="minorHAnsi" w:eastAsiaTheme="minorHAnsi" w:hAnsiTheme="minorHAnsi" w:cstheme="minorBidi"/>
          <w:snapToGrid/>
          <w:sz w:val="24"/>
          <w:szCs w:val="22"/>
        </w:rPr>
        <w:t xml:space="preserve">and </w:t>
      </w:r>
      <w:r w:rsidR="00972123" w:rsidRPr="004468C8">
        <w:rPr>
          <w:rFonts w:asciiTheme="minorHAnsi" w:eastAsiaTheme="minorHAnsi" w:hAnsiTheme="minorHAnsi" w:cstheme="minorBidi"/>
          <w:snapToGrid/>
          <w:sz w:val="24"/>
          <w:szCs w:val="22"/>
        </w:rPr>
        <w:t xml:space="preserve">requested </w:t>
      </w:r>
      <w:r w:rsidRPr="004468C8">
        <w:rPr>
          <w:rFonts w:asciiTheme="minorHAnsi" w:eastAsiaTheme="minorHAnsi" w:hAnsiTheme="minorHAnsi" w:cstheme="minorBidi"/>
          <w:snapToGrid/>
          <w:sz w:val="24"/>
          <w:szCs w:val="22"/>
        </w:rPr>
        <w:t>in the minor resubmission</w:t>
      </w:r>
      <w:r w:rsidR="002E5EB9" w:rsidRPr="004468C8">
        <w:rPr>
          <w:rFonts w:asciiTheme="minorHAnsi" w:eastAsiaTheme="minorHAnsi" w:hAnsiTheme="minorHAnsi" w:cstheme="minorBidi"/>
          <w:snapToGrid/>
          <w:sz w:val="24"/>
          <w:szCs w:val="22"/>
        </w:rPr>
        <w:t xml:space="preserve"> </w:t>
      </w:r>
      <w:proofErr w:type="gramStart"/>
      <w:r w:rsidR="004468C8">
        <w:rPr>
          <w:rFonts w:asciiTheme="minorHAnsi" w:eastAsiaTheme="minorHAnsi" w:hAnsiTheme="minorHAnsi" w:cstheme="minorBidi"/>
          <w:snapToGrid/>
          <w:sz w:val="24"/>
          <w:szCs w:val="22"/>
        </w:rPr>
        <w:t>is provided</w:t>
      </w:r>
      <w:proofErr w:type="gramEnd"/>
      <w:r w:rsidR="004468C8">
        <w:rPr>
          <w:rFonts w:asciiTheme="minorHAnsi" w:eastAsiaTheme="minorHAnsi" w:hAnsiTheme="minorHAnsi" w:cstheme="minorBidi"/>
          <w:snapToGrid/>
          <w:sz w:val="24"/>
          <w:szCs w:val="22"/>
        </w:rPr>
        <w:t xml:space="preserve"> in T</w:t>
      </w:r>
      <w:r w:rsidRPr="004468C8">
        <w:rPr>
          <w:rFonts w:asciiTheme="minorHAnsi" w:eastAsiaTheme="minorHAnsi" w:hAnsiTheme="minorHAnsi" w:cstheme="minorBidi"/>
          <w:snapToGrid/>
          <w:sz w:val="24"/>
          <w:szCs w:val="22"/>
        </w:rPr>
        <w:t>able 1.</w:t>
      </w:r>
    </w:p>
    <w:p w:rsidR="00F16B39" w:rsidRPr="00557E6C" w:rsidRDefault="00F16B39" w:rsidP="005D5CC7">
      <w:pPr>
        <w:pStyle w:val="ListParagraph"/>
        <w:keepNext/>
        <w:widowControl/>
        <w:spacing w:before="240"/>
        <w:ind w:left="0"/>
        <w:contextualSpacing w:val="0"/>
        <w:rPr>
          <w:rFonts w:ascii="Arial Narrow" w:eastAsiaTheme="minorHAnsi" w:hAnsi="Arial Narrow" w:cstheme="minorBidi"/>
          <w:b/>
          <w:snapToGrid/>
          <w:sz w:val="20"/>
        </w:rPr>
      </w:pPr>
      <w:r w:rsidRPr="00557E6C">
        <w:rPr>
          <w:rFonts w:ascii="Arial Narrow" w:eastAsiaTheme="minorHAnsi" w:hAnsi="Arial Narrow" w:cstheme="minorBidi"/>
          <w:b/>
          <w:snapToGrid/>
          <w:sz w:val="20"/>
        </w:rPr>
        <w:lastRenderedPageBreak/>
        <w:t xml:space="preserve">Table 1: Summary of </w:t>
      </w:r>
      <w:proofErr w:type="spellStart"/>
      <w:r w:rsidR="00FF44AD" w:rsidRPr="00557E6C">
        <w:rPr>
          <w:rFonts w:ascii="Arial Narrow" w:eastAsiaTheme="minorHAnsi" w:hAnsi="Arial Narrow" w:cstheme="minorBidi"/>
          <w:b/>
          <w:snapToGrid/>
          <w:sz w:val="20"/>
        </w:rPr>
        <w:t>equi</w:t>
      </w:r>
      <w:proofErr w:type="spellEnd"/>
      <w:r w:rsidR="00FF44AD" w:rsidRPr="00557E6C">
        <w:rPr>
          <w:rFonts w:ascii="Arial Narrow" w:eastAsiaTheme="minorHAnsi" w:hAnsi="Arial Narrow" w:cstheme="minorBidi"/>
          <w:b/>
          <w:snapToGrid/>
          <w:sz w:val="20"/>
        </w:rPr>
        <w:t xml:space="preserve">-effective doses </w:t>
      </w:r>
      <w:r w:rsidRPr="00557E6C">
        <w:rPr>
          <w:rFonts w:ascii="Arial Narrow" w:eastAsiaTheme="minorHAnsi" w:hAnsi="Arial Narrow" w:cstheme="minorBidi"/>
          <w:b/>
          <w:snapToGrid/>
          <w:sz w:val="20"/>
        </w:rPr>
        <w:t xml:space="preserve">and </w:t>
      </w:r>
      <w:r w:rsidR="002E76AD" w:rsidRPr="00557E6C">
        <w:rPr>
          <w:rFonts w:ascii="Arial Narrow" w:eastAsiaTheme="minorHAnsi" w:hAnsi="Arial Narrow" w:cstheme="minorBidi"/>
          <w:b/>
          <w:snapToGrid/>
          <w:sz w:val="20"/>
        </w:rPr>
        <w:t xml:space="preserve">corresponding </w:t>
      </w:r>
      <w:r w:rsidRPr="00557E6C">
        <w:rPr>
          <w:rFonts w:ascii="Arial Narrow" w:eastAsiaTheme="minorHAnsi" w:hAnsi="Arial Narrow" w:cstheme="minorBidi"/>
          <w:b/>
          <w:snapToGrid/>
          <w:sz w:val="20"/>
        </w:rPr>
        <w:t>prices</w:t>
      </w:r>
    </w:p>
    <w:tbl>
      <w:tblPr>
        <w:tblW w:w="0" w:type="auto"/>
        <w:tblCellMar>
          <w:left w:w="0" w:type="dxa"/>
          <w:right w:w="0" w:type="dxa"/>
        </w:tblCellMar>
        <w:tblLook w:val="04A0" w:firstRow="1" w:lastRow="0" w:firstColumn="1" w:lastColumn="0" w:noHBand="0" w:noVBand="1"/>
        <w:tblCaption w:val="Summary of equi-effective doses and corresponding prices"/>
      </w:tblPr>
      <w:tblGrid>
        <w:gridCol w:w="1376"/>
        <w:gridCol w:w="2412"/>
        <w:gridCol w:w="2412"/>
        <w:gridCol w:w="2413"/>
      </w:tblGrid>
      <w:tr w:rsidR="002E5EB9" w:rsidRPr="00557E6C" w:rsidTr="00032DDB">
        <w:tc>
          <w:tcPr>
            <w:tcW w:w="13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5EB9" w:rsidRPr="00557E6C" w:rsidRDefault="002E5EB9" w:rsidP="00375D5B">
            <w:pPr>
              <w:keepNext/>
              <w:rPr>
                <w:rFonts w:asciiTheme="minorHAnsi" w:eastAsiaTheme="minorHAnsi" w:hAnsiTheme="minorHAnsi" w:cstheme="minorHAnsi"/>
                <w:sz w:val="20"/>
                <w:szCs w:val="20"/>
              </w:rPr>
            </w:pPr>
          </w:p>
        </w:tc>
        <w:tc>
          <w:tcPr>
            <w:tcW w:w="24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5EB9" w:rsidRPr="00557E6C" w:rsidRDefault="002E5EB9" w:rsidP="00375D5B">
            <w:pPr>
              <w:keepNext/>
              <w:rPr>
                <w:rFonts w:asciiTheme="minorHAnsi" w:eastAsiaTheme="minorHAnsi" w:hAnsiTheme="minorHAnsi" w:cstheme="minorHAnsi"/>
                <w:b/>
                <w:bCs/>
                <w:sz w:val="20"/>
                <w:szCs w:val="20"/>
              </w:rPr>
            </w:pPr>
            <w:r w:rsidRPr="00557E6C">
              <w:rPr>
                <w:rFonts w:asciiTheme="minorHAnsi" w:hAnsiTheme="minorHAnsi" w:cstheme="minorHAnsi"/>
                <w:b/>
                <w:bCs/>
                <w:sz w:val="20"/>
                <w:szCs w:val="20"/>
              </w:rPr>
              <w:t>Requested in July 2018 major submission</w:t>
            </w:r>
          </w:p>
        </w:tc>
        <w:tc>
          <w:tcPr>
            <w:tcW w:w="24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5EB9" w:rsidRPr="00557E6C" w:rsidRDefault="002E5EB9" w:rsidP="00375D5B">
            <w:pPr>
              <w:keepNext/>
              <w:rPr>
                <w:rFonts w:asciiTheme="minorHAnsi" w:eastAsiaTheme="minorHAnsi" w:hAnsiTheme="minorHAnsi" w:cstheme="minorHAnsi"/>
                <w:b/>
                <w:bCs/>
                <w:sz w:val="20"/>
                <w:szCs w:val="20"/>
              </w:rPr>
            </w:pPr>
            <w:r w:rsidRPr="00557E6C">
              <w:rPr>
                <w:rFonts w:asciiTheme="minorHAnsi" w:hAnsiTheme="minorHAnsi" w:cstheme="minorHAnsi"/>
                <w:b/>
                <w:bCs/>
                <w:sz w:val="20"/>
                <w:szCs w:val="20"/>
              </w:rPr>
              <w:t>Recommended by PBAC July 2018</w:t>
            </w:r>
          </w:p>
        </w:tc>
        <w:tc>
          <w:tcPr>
            <w:tcW w:w="24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E5EB9" w:rsidRPr="00557E6C" w:rsidRDefault="002E5EB9" w:rsidP="00375D5B">
            <w:pPr>
              <w:keepNext/>
              <w:rPr>
                <w:rFonts w:asciiTheme="minorHAnsi" w:eastAsiaTheme="minorHAnsi" w:hAnsiTheme="minorHAnsi" w:cstheme="minorHAnsi"/>
                <w:b/>
                <w:bCs/>
                <w:sz w:val="20"/>
                <w:szCs w:val="20"/>
              </w:rPr>
            </w:pPr>
            <w:r w:rsidRPr="00557E6C">
              <w:rPr>
                <w:rFonts w:asciiTheme="minorHAnsi" w:hAnsiTheme="minorHAnsi" w:cstheme="minorHAnsi"/>
                <w:b/>
                <w:bCs/>
                <w:sz w:val="20"/>
                <w:szCs w:val="20"/>
              </w:rPr>
              <w:t>Requested in November 18 minor resubmission</w:t>
            </w:r>
          </w:p>
        </w:tc>
      </w:tr>
      <w:tr w:rsidR="002E5EB9" w:rsidRPr="00557E6C" w:rsidTr="00032DDB">
        <w:tc>
          <w:tcPr>
            <w:tcW w:w="1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5EB9" w:rsidRPr="00557E6C" w:rsidRDefault="002E5EB9" w:rsidP="00375D5B">
            <w:pPr>
              <w:keepNext/>
              <w:rPr>
                <w:rFonts w:asciiTheme="minorHAnsi" w:eastAsiaTheme="minorHAnsi" w:hAnsiTheme="minorHAnsi" w:cstheme="minorHAnsi"/>
                <w:sz w:val="20"/>
                <w:szCs w:val="20"/>
              </w:rPr>
            </w:pPr>
            <w:r w:rsidRPr="00557E6C">
              <w:rPr>
                <w:rFonts w:asciiTheme="minorHAnsi" w:hAnsiTheme="minorHAnsi" w:cstheme="minorHAnsi"/>
                <w:sz w:val="20"/>
                <w:szCs w:val="20"/>
              </w:rPr>
              <w:t>Lenvatinib</w:t>
            </w:r>
          </w:p>
        </w:tc>
        <w:tc>
          <w:tcPr>
            <w:tcW w:w="2412" w:type="dxa"/>
            <w:tcBorders>
              <w:top w:val="nil"/>
              <w:left w:val="nil"/>
              <w:bottom w:val="single" w:sz="8" w:space="0" w:color="auto"/>
              <w:right w:val="single" w:sz="8" w:space="0" w:color="auto"/>
            </w:tcBorders>
            <w:tcMar>
              <w:top w:w="0" w:type="dxa"/>
              <w:left w:w="108" w:type="dxa"/>
              <w:bottom w:w="0" w:type="dxa"/>
              <w:right w:w="108" w:type="dxa"/>
            </w:tcMar>
          </w:tcPr>
          <w:p w:rsidR="002E5EB9" w:rsidRPr="00557E6C" w:rsidRDefault="002E5EB9" w:rsidP="00375D5B">
            <w:pPr>
              <w:keepNext/>
              <w:rPr>
                <w:rFonts w:asciiTheme="minorHAnsi" w:eastAsiaTheme="minorHAnsi" w:hAnsiTheme="minorHAnsi" w:cstheme="minorHAnsi"/>
                <w:sz w:val="20"/>
                <w:szCs w:val="20"/>
              </w:rPr>
            </w:pPr>
            <w:r w:rsidRPr="00557E6C">
              <w:rPr>
                <w:rFonts w:asciiTheme="minorHAnsi" w:hAnsiTheme="minorHAnsi" w:cstheme="minorHAnsi"/>
                <w:sz w:val="20"/>
                <w:szCs w:val="20"/>
              </w:rPr>
              <w:t>9 mg/ day for 5.7 months</w:t>
            </w:r>
          </w:p>
          <w:p w:rsidR="002E5EB9" w:rsidRPr="00557E6C" w:rsidRDefault="002E5EB9" w:rsidP="00375D5B">
            <w:pPr>
              <w:keepNext/>
              <w:rPr>
                <w:rFonts w:asciiTheme="minorHAnsi" w:hAnsiTheme="minorHAnsi" w:cstheme="minorHAnsi"/>
                <w:sz w:val="20"/>
                <w:szCs w:val="20"/>
              </w:rPr>
            </w:pPr>
          </w:p>
          <w:p w:rsidR="002E5EB9" w:rsidRPr="00557E6C" w:rsidRDefault="002E5EB9" w:rsidP="00375D5B">
            <w:pPr>
              <w:keepNext/>
              <w:rPr>
                <w:rFonts w:asciiTheme="minorHAnsi" w:eastAsiaTheme="minorHAnsi" w:hAnsiTheme="minorHAnsi" w:cstheme="minorHAnsi"/>
                <w:sz w:val="20"/>
                <w:szCs w:val="20"/>
              </w:rPr>
            </w:pPr>
            <w:r w:rsidRPr="00557E6C">
              <w:rPr>
                <w:rFonts w:asciiTheme="minorHAnsi" w:hAnsiTheme="minorHAnsi" w:cstheme="minorHAnsi"/>
                <w:sz w:val="20"/>
                <w:szCs w:val="20"/>
              </w:rPr>
              <w:t xml:space="preserve">Median daily dose and duration from Study 304 </w:t>
            </w:r>
          </w:p>
        </w:tc>
        <w:tc>
          <w:tcPr>
            <w:tcW w:w="2412" w:type="dxa"/>
            <w:tcBorders>
              <w:top w:val="nil"/>
              <w:left w:val="nil"/>
              <w:bottom w:val="single" w:sz="8" w:space="0" w:color="auto"/>
              <w:right w:val="single" w:sz="8" w:space="0" w:color="auto"/>
            </w:tcBorders>
            <w:tcMar>
              <w:top w:w="0" w:type="dxa"/>
              <w:left w:w="108" w:type="dxa"/>
              <w:bottom w:w="0" w:type="dxa"/>
              <w:right w:w="108" w:type="dxa"/>
            </w:tcMar>
          </w:tcPr>
          <w:p w:rsidR="002E5EB9" w:rsidRPr="00557E6C" w:rsidRDefault="002E5EB9" w:rsidP="00375D5B">
            <w:pPr>
              <w:keepNext/>
              <w:rPr>
                <w:rFonts w:asciiTheme="minorHAnsi" w:eastAsiaTheme="minorHAnsi" w:hAnsiTheme="minorHAnsi" w:cstheme="minorHAnsi"/>
                <w:sz w:val="20"/>
                <w:szCs w:val="20"/>
              </w:rPr>
            </w:pPr>
            <w:r w:rsidRPr="00557E6C">
              <w:rPr>
                <w:rFonts w:asciiTheme="minorHAnsi" w:hAnsiTheme="minorHAnsi" w:cstheme="minorHAnsi"/>
                <w:sz w:val="20"/>
                <w:szCs w:val="20"/>
              </w:rPr>
              <w:t>9.4 mg/day for 8.2 months</w:t>
            </w:r>
          </w:p>
          <w:p w:rsidR="002E5EB9" w:rsidRPr="00557E6C" w:rsidRDefault="002E5EB9" w:rsidP="00375D5B">
            <w:pPr>
              <w:keepNext/>
              <w:rPr>
                <w:rFonts w:asciiTheme="minorHAnsi" w:hAnsiTheme="minorHAnsi" w:cstheme="minorHAnsi"/>
                <w:sz w:val="20"/>
                <w:szCs w:val="20"/>
              </w:rPr>
            </w:pPr>
          </w:p>
          <w:p w:rsidR="002E5EB9" w:rsidRPr="00557E6C" w:rsidRDefault="002E5EB9" w:rsidP="00375D5B">
            <w:pPr>
              <w:keepNext/>
              <w:rPr>
                <w:rFonts w:asciiTheme="minorHAnsi" w:eastAsiaTheme="minorHAnsi" w:hAnsiTheme="minorHAnsi" w:cstheme="minorHAnsi"/>
                <w:sz w:val="20"/>
                <w:szCs w:val="20"/>
              </w:rPr>
            </w:pPr>
            <w:r w:rsidRPr="00557E6C">
              <w:rPr>
                <w:rFonts w:asciiTheme="minorHAnsi" w:hAnsiTheme="minorHAnsi" w:cstheme="minorHAnsi"/>
                <w:sz w:val="20"/>
                <w:szCs w:val="20"/>
              </w:rPr>
              <w:t xml:space="preserve">Mean daily dose and duration from Study 304  </w:t>
            </w:r>
          </w:p>
        </w:tc>
        <w:tc>
          <w:tcPr>
            <w:tcW w:w="2413" w:type="dxa"/>
            <w:tcBorders>
              <w:top w:val="nil"/>
              <w:left w:val="nil"/>
              <w:bottom w:val="single" w:sz="8" w:space="0" w:color="auto"/>
              <w:right w:val="single" w:sz="8" w:space="0" w:color="auto"/>
            </w:tcBorders>
            <w:tcMar>
              <w:top w:w="0" w:type="dxa"/>
              <w:left w:w="108" w:type="dxa"/>
              <w:bottom w:w="0" w:type="dxa"/>
              <w:right w:w="108" w:type="dxa"/>
            </w:tcMar>
          </w:tcPr>
          <w:p w:rsidR="002E5EB9" w:rsidRPr="00557E6C" w:rsidRDefault="002E5EB9" w:rsidP="00375D5B">
            <w:pPr>
              <w:keepNext/>
              <w:rPr>
                <w:rFonts w:asciiTheme="minorHAnsi" w:eastAsiaTheme="minorHAnsi" w:hAnsiTheme="minorHAnsi" w:cstheme="minorHAnsi"/>
                <w:sz w:val="20"/>
                <w:szCs w:val="20"/>
              </w:rPr>
            </w:pPr>
            <w:r w:rsidRPr="00557E6C">
              <w:rPr>
                <w:rFonts w:asciiTheme="minorHAnsi" w:hAnsiTheme="minorHAnsi" w:cstheme="minorHAnsi"/>
                <w:sz w:val="20"/>
                <w:szCs w:val="20"/>
              </w:rPr>
              <w:t>8.9 mg/day for 5.7 months</w:t>
            </w:r>
          </w:p>
          <w:p w:rsidR="002E5EB9" w:rsidRPr="00557E6C" w:rsidRDefault="002E5EB9" w:rsidP="00375D5B">
            <w:pPr>
              <w:keepNext/>
              <w:rPr>
                <w:rFonts w:asciiTheme="minorHAnsi" w:hAnsiTheme="minorHAnsi" w:cstheme="minorHAnsi"/>
                <w:sz w:val="20"/>
                <w:szCs w:val="20"/>
              </w:rPr>
            </w:pPr>
          </w:p>
          <w:p w:rsidR="002E5EB9" w:rsidRPr="00557E6C" w:rsidRDefault="002E5EB9" w:rsidP="00375D5B">
            <w:pPr>
              <w:keepNext/>
              <w:rPr>
                <w:rFonts w:asciiTheme="minorHAnsi" w:eastAsiaTheme="minorHAnsi" w:hAnsiTheme="minorHAnsi" w:cstheme="minorHAnsi"/>
                <w:sz w:val="20"/>
                <w:szCs w:val="20"/>
              </w:rPr>
            </w:pPr>
            <w:r w:rsidRPr="00557E6C">
              <w:rPr>
                <w:rFonts w:asciiTheme="minorHAnsi" w:hAnsiTheme="minorHAnsi" w:cstheme="minorHAnsi"/>
                <w:sz w:val="20"/>
                <w:szCs w:val="20"/>
              </w:rPr>
              <w:t>Median daily dose and duration from Study 304</w:t>
            </w:r>
          </w:p>
        </w:tc>
      </w:tr>
      <w:tr w:rsidR="002E5EB9" w:rsidRPr="00557E6C" w:rsidTr="00032DDB">
        <w:tc>
          <w:tcPr>
            <w:tcW w:w="1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5EB9" w:rsidRPr="00557E6C" w:rsidRDefault="002E5EB9" w:rsidP="00375D5B">
            <w:pPr>
              <w:keepNext/>
              <w:rPr>
                <w:rFonts w:asciiTheme="minorHAnsi" w:hAnsiTheme="minorHAnsi" w:cstheme="minorHAnsi"/>
                <w:sz w:val="20"/>
                <w:szCs w:val="20"/>
              </w:rPr>
            </w:pPr>
            <w:proofErr w:type="spellStart"/>
            <w:r w:rsidRPr="00557E6C">
              <w:rPr>
                <w:rFonts w:asciiTheme="minorHAnsi" w:hAnsiTheme="minorHAnsi" w:cstheme="minorHAnsi"/>
                <w:sz w:val="20"/>
                <w:szCs w:val="20"/>
              </w:rPr>
              <w:t>Sorafenib</w:t>
            </w:r>
            <w:proofErr w:type="spellEnd"/>
          </w:p>
          <w:p w:rsidR="002E5EB9" w:rsidRPr="00557E6C" w:rsidRDefault="002E5EB9" w:rsidP="00375D5B">
            <w:pPr>
              <w:keepNext/>
              <w:rPr>
                <w:rFonts w:asciiTheme="minorHAnsi" w:hAnsiTheme="minorHAnsi" w:cstheme="minorHAnsi"/>
                <w:sz w:val="20"/>
                <w:szCs w:val="20"/>
              </w:rPr>
            </w:pPr>
          </w:p>
          <w:p w:rsidR="002E5EB9" w:rsidRPr="00557E6C" w:rsidRDefault="002E5EB9" w:rsidP="00375D5B">
            <w:pPr>
              <w:keepNext/>
              <w:rPr>
                <w:rFonts w:asciiTheme="minorHAnsi" w:eastAsiaTheme="minorHAnsi" w:hAnsiTheme="minorHAnsi" w:cstheme="minorHAnsi"/>
                <w:sz w:val="20"/>
                <w:szCs w:val="20"/>
              </w:rPr>
            </w:pPr>
          </w:p>
        </w:tc>
        <w:tc>
          <w:tcPr>
            <w:tcW w:w="2412" w:type="dxa"/>
            <w:tcBorders>
              <w:top w:val="nil"/>
              <w:left w:val="nil"/>
              <w:bottom w:val="single" w:sz="8" w:space="0" w:color="auto"/>
              <w:right w:val="single" w:sz="8" w:space="0" w:color="auto"/>
            </w:tcBorders>
            <w:tcMar>
              <w:top w:w="0" w:type="dxa"/>
              <w:left w:w="108" w:type="dxa"/>
              <w:bottom w:w="0" w:type="dxa"/>
              <w:right w:w="108" w:type="dxa"/>
            </w:tcMar>
          </w:tcPr>
          <w:p w:rsidR="002E5EB9" w:rsidRPr="00557E6C" w:rsidRDefault="00BA7A69" w:rsidP="00375D5B">
            <w:pPr>
              <w:keepNext/>
              <w:rPr>
                <w:rFonts w:asciiTheme="minorHAnsi" w:eastAsiaTheme="minorHAnsi" w:hAnsiTheme="minorHAnsi" w:cstheme="minorHAnsi"/>
                <w:sz w:val="20"/>
                <w:szCs w:val="20"/>
              </w:rPr>
            </w:pPr>
            <w:r>
              <w:rPr>
                <w:rFonts w:asciiTheme="minorHAnsi" w:hAnsiTheme="minorHAnsi" w:cstheme="minorHAnsi"/>
                <w:sz w:val="20"/>
                <w:szCs w:val="20"/>
              </w:rPr>
              <w:t>771 mg/ day for 4.9 months</w:t>
            </w:r>
          </w:p>
          <w:p w:rsidR="002E5EB9" w:rsidRPr="00557E6C" w:rsidRDefault="002E5EB9" w:rsidP="00375D5B">
            <w:pPr>
              <w:keepNext/>
              <w:rPr>
                <w:rFonts w:asciiTheme="minorHAnsi" w:hAnsiTheme="minorHAnsi" w:cstheme="minorHAnsi"/>
                <w:sz w:val="20"/>
                <w:szCs w:val="20"/>
              </w:rPr>
            </w:pPr>
          </w:p>
          <w:p w:rsidR="002E5EB9" w:rsidRPr="00557E6C" w:rsidRDefault="002E5EB9" w:rsidP="00375D5B">
            <w:pPr>
              <w:keepNext/>
              <w:rPr>
                <w:rFonts w:asciiTheme="minorHAnsi" w:hAnsiTheme="minorHAnsi" w:cstheme="minorHAnsi"/>
                <w:sz w:val="20"/>
                <w:szCs w:val="20"/>
              </w:rPr>
            </w:pPr>
            <w:r w:rsidRPr="00557E6C">
              <w:rPr>
                <w:rFonts w:asciiTheme="minorHAnsi" w:hAnsiTheme="minorHAnsi" w:cstheme="minorHAnsi"/>
                <w:sz w:val="20"/>
                <w:szCs w:val="20"/>
              </w:rPr>
              <w:t>Median daily dose in Study 304 and the median treatment duration from the PBS 10% Population Sample.</w:t>
            </w:r>
          </w:p>
          <w:p w:rsidR="002E5EB9" w:rsidRPr="00557E6C" w:rsidRDefault="002E5EB9" w:rsidP="00375D5B">
            <w:pPr>
              <w:keepNext/>
              <w:rPr>
                <w:rFonts w:asciiTheme="minorHAnsi" w:eastAsiaTheme="minorHAnsi" w:hAnsiTheme="minorHAnsi" w:cstheme="minorHAnsi"/>
                <w:sz w:val="20"/>
                <w:szCs w:val="20"/>
              </w:rPr>
            </w:pPr>
          </w:p>
        </w:tc>
        <w:tc>
          <w:tcPr>
            <w:tcW w:w="2412" w:type="dxa"/>
            <w:tcBorders>
              <w:top w:val="nil"/>
              <w:left w:val="nil"/>
              <w:bottom w:val="single" w:sz="8" w:space="0" w:color="auto"/>
              <w:right w:val="single" w:sz="8" w:space="0" w:color="auto"/>
            </w:tcBorders>
            <w:tcMar>
              <w:top w:w="0" w:type="dxa"/>
              <w:left w:w="108" w:type="dxa"/>
              <w:bottom w:w="0" w:type="dxa"/>
              <w:right w:w="108" w:type="dxa"/>
            </w:tcMar>
          </w:tcPr>
          <w:p w:rsidR="002E5EB9" w:rsidRPr="00557E6C" w:rsidRDefault="002E5EB9" w:rsidP="00375D5B">
            <w:pPr>
              <w:keepNext/>
              <w:rPr>
                <w:rFonts w:asciiTheme="minorHAnsi" w:eastAsiaTheme="minorHAnsi" w:hAnsiTheme="minorHAnsi" w:cstheme="minorHAnsi"/>
                <w:sz w:val="20"/>
                <w:szCs w:val="20"/>
              </w:rPr>
            </w:pPr>
            <w:r w:rsidRPr="00557E6C">
              <w:rPr>
                <w:rFonts w:asciiTheme="minorHAnsi" w:hAnsiTheme="minorHAnsi" w:cstheme="minorHAnsi"/>
                <w:sz w:val="20"/>
                <w:szCs w:val="20"/>
              </w:rPr>
              <w:t>663.8 mg/day for 6.0 months</w:t>
            </w:r>
          </w:p>
          <w:p w:rsidR="002E5EB9" w:rsidRPr="00557E6C" w:rsidRDefault="002E5EB9" w:rsidP="00375D5B">
            <w:pPr>
              <w:keepNext/>
              <w:rPr>
                <w:rFonts w:asciiTheme="minorHAnsi" w:hAnsiTheme="minorHAnsi" w:cstheme="minorHAnsi"/>
                <w:sz w:val="20"/>
                <w:szCs w:val="20"/>
              </w:rPr>
            </w:pPr>
          </w:p>
          <w:p w:rsidR="002E5EB9" w:rsidRPr="00557E6C" w:rsidRDefault="002E5EB9" w:rsidP="00375D5B">
            <w:pPr>
              <w:keepNext/>
              <w:rPr>
                <w:rFonts w:asciiTheme="minorHAnsi" w:eastAsiaTheme="minorHAnsi" w:hAnsiTheme="minorHAnsi" w:cstheme="minorHAnsi"/>
                <w:sz w:val="20"/>
                <w:szCs w:val="20"/>
              </w:rPr>
            </w:pPr>
            <w:r w:rsidRPr="00557E6C">
              <w:rPr>
                <w:rFonts w:asciiTheme="minorHAnsi" w:hAnsiTheme="minorHAnsi" w:cstheme="minorHAnsi"/>
                <w:sz w:val="20"/>
                <w:szCs w:val="20"/>
              </w:rPr>
              <w:t xml:space="preserve">Mean daily dose and duration from Study 304  </w:t>
            </w:r>
          </w:p>
        </w:tc>
        <w:tc>
          <w:tcPr>
            <w:tcW w:w="2413" w:type="dxa"/>
            <w:tcBorders>
              <w:top w:val="nil"/>
              <w:left w:val="nil"/>
              <w:bottom w:val="single" w:sz="8" w:space="0" w:color="auto"/>
              <w:right w:val="single" w:sz="8" w:space="0" w:color="auto"/>
            </w:tcBorders>
            <w:tcMar>
              <w:top w:w="0" w:type="dxa"/>
              <w:left w:w="108" w:type="dxa"/>
              <w:bottom w:w="0" w:type="dxa"/>
              <w:right w:w="108" w:type="dxa"/>
            </w:tcMar>
          </w:tcPr>
          <w:p w:rsidR="002E5EB9" w:rsidRPr="00557E6C" w:rsidRDefault="002E5EB9" w:rsidP="00375D5B">
            <w:pPr>
              <w:keepNext/>
              <w:rPr>
                <w:rFonts w:asciiTheme="minorHAnsi" w:eastAsiaTheme="minorHAnsi" w:hAnsiTheme="minorHAnsi" w:cstheme="minorHAnsi"/>
                <w:sz w:val="20"/>
                <w:szCs w:val="20"/>
              </w:rPr>
            </w:pPr>
            <w:r w:rsidRPr="00557E6C">
              <w:rPr>
                <w:rFonts w:asciiTheme="minorHAnsi" w:hAnsiTheme="minorHAnsi" w:cstheme="minorHAnsi"/>
                <w:sz w:val="20"/>
                <w:szCs w:val="20"/>
              </w:rPr>
              <w:t>771.4 mg/day for 3.7 months</w:t>
            </w:r>
          </w:p>
          <w:p w:rsidR="002E5EB9" w:rsidRPr="00557E6C" w:rsidRDefault="002E5EB9" w:rsidP="00375D5B">
            <w:pPr>
              <w:keepNext/>
              <w:rPr>
                <w:rFonts w:asciiTheme="minorHAnsi" w:hAnsiTheme="minorHAnsi" w:cstheme="minorHAnsi"/>
                <w:sz w:val="20"/>
                <w:szCs w:val="20"/>
              </w:rPr>
            </w:pPr>
          </w:p>
          <w:p w:rsidR="002E5EB9" w:rsidRPr="00557E6C" w:rsidRDefault="002E5EB9" w:rsidP="00375D5B">
            <w:pPr>
              <w:keepNext/>
              <w:rPr>
                <w:rFonts w:asciiTheme="minorHAnsi" w:eastAsiaTheme="minorHAnsi" w:hAnsiTheme="minorHAnsi" w:cstheme="minorHAnsi"/>
                <w:sz w:val="20"/>
                <w:szCs w:val="20"/>
              </w:rPr>
            </w:pPr>
            <w:r w:rsidRPr="00557E6C">
              <w:rPr>
                <w:rFonts w:asciiTheme="minorHAnsi" w:hAnsiTheme="minorHAnsi" w:cstheme="minorHAnsi"/>
                <w:sz w:val="20"/>
                <w:szCs w:val="20"/>
              </w:rPr>
              <w:t>Median daily dose and duration from Study 304</w:t>
            </w:r>
          </w:p>
        </w:tc>
      </w:tr>
      <w:tr w:rsidR="002E5EB9" w:rsidRPr="00557E6C" w:rsidTr="00032DDB">
        <w:tc>
          <w:tcPr>
            <w:tcW w:w="13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E5EB9" w:rsidRPr="00557E6C" w:rsidRDefault="002E5EB9" w:rsidP="002F1842">
            <w:pPr>
              <w:keepNext/>
              <w:rPr>
                <w:rFonts w:asciiTheme="minorHAnsi" w:eastAsiaTheme="minorHAnsi" w:hAnsiTheme="minorHAnsi" w:cstheme="minorHAnsi"/>
                <w:sz w:val="20"/>
                <w:szCs w:val="20"/>
              </w:rPr>
            </w:pPr>
            <w:r w:rsidRPr="00557E6C">
              <w:rPr>
                <w:rFonts w:asciiTheme="minorHAnsi" w:hAnsiTheme="minorHAnsi" w:cstheme="minorHAnsi"/>
                <w:sz w:val="20"/>
                <w:szCs w:val="20"/>
              </w:rPr>
              <w:t xml:space="preserve">Lenvatinib AEMP, using published </w:t>
            </w:r>
            <w:proofErr w:type="spellStart"/>
            <w:r w:rsidRPr="00557E6C">
              <w:rPr>
                <w:rFonts w:asciiTheme="minorHAnsi" w:hAnsiTheme="minorHAnsi" w:cstheme="minorHAnsi"/>
                <w:sz w:val="20"/>
                <w:szCs w:val="20"/>
              </w:rPr>
              <w:t>sorafenib</w:t>
            </w:r>
            <w:proofErr w:type="spellEnd"/>
            <w:r w:rsidRPr="00557E6C">
              <w:rPr>
                <w:rFonts w:asciiTheme="minorHAnsi" w:hAnsiTheme="minorHAnsi" w:cstheme="minorHAnsi"/>
                <w:sz w:val="20"/>
                <w:szCs w:val="20"/>
              </w:rPr>
              <w:t xml:space="preserve"> price</w:t>
            </w:r>
            <w:r w:rsidRPr="00557E6C">
              <w:rPr>
                <w:rFonts w:asciiTheme="minorHAnsi" w:hAnsiTheme="minorHAnsi" w:cstheme="minorHAnsi"/>
                <w:sz w:val="20"/>
                <w:szCs w:val="20"/>
                <w:vertAlign w:val="superscript"/>
              </w:rPr>
              <w:t>1, 2</w:t>
            </w:r>
          </w:p>
        </w:tc>
        <w:tc>
          <w:tcPr>
            <w:tcW w:w="2412" w:type="dxa"/>
            <w:tcBorders>
              <w:top w:val="nil"/>
              <w:left w:val="nil"/>
              <w:bottom w:val="single" w:sz="8" w:space="0" w:color="auto"/>
              <w:right w:val="single" w:sz="8" w:space="0" w:color="auto"/>
            </w:tcBorders>
            <w:tcMar>
              <w:top w:w="0" w:type="dxa"/>
              <w:left w:w="108" w:type="dxa"/>
              <w:bottom w:w="0" w:type="dxa"/>
              <w:right w:w="108" w:type="dxa"/>
            </w:tcMar>
            <w:hideMark/>
          </w:tcPr>
          <w:p w:rsidR="002E5EB9" w:rsidRPr="00557E6C" w:rsidRDefault="002E5EB9" w:rsidP="002F1842">
            <w:pPr>
              <w:keepNext/>
              <w:rPr>
                <w:rFonts w:asciiTheme="minorHAnsi" w:eastAsiaTheme="minorHAnsi" w:hAnsiTheme="minorHAnsi" w:cstheme="minorHAnsi"/>
                <w:sz w:val="20"/>
                <w:szCs w:val="20"/>
              </w:rPr>
            </w:pPr>
            <w:r w:rsidRPr="00557E6C">
              <w:rPr>
                <w:rFonts w:asciiTheme="minorHAnsi" w:hAnsiTheme="minorHAnsi" w:cstheme="minorHAnsi"/>
                <w:sz w:val="20"/>
                <w:szCs w:val="20"/>
              </w:rPr>
              <w:t>$2,313.58</w:t>
            </w:r>
            <w:r w:rsidRPr="00557E6C">
              <w:rPr>
                <w:rFonts w:asciiTheme="minorHAnsi" w:hAnsiTheme="minorHAnsi" w:cstheme="minorHAnsi"/>
                <w:sz w:val="20"/>
                <w:szCs w:val="20"/>
                <w:vertAlign w:val="superscript"/>
              </w:rPr>
              <w:t>3</w:t>
            </w:r>
            <w:r w:rsidRPr="00557E6C">
              <w:rPr>
                <w:rFonts w:asciiTheme="minorHAnsi" w:hAnsiTheme="minorHAnsi" w:cstheme="minorHAnsi"/>
                <w:sz w:val="20"/>
                <w:szCs w:val="20"/>
              </w:rPr>
              <w:t xml:space="preserve"> </w:t>
            </w:r>
          </w:p>
        </w:tc>
        <w:tc>
          <w:tcPr>
            <w:tcW w:w="2412" w:type="dxa"/>
            <w:tcBorders>
              <w:top w:val="nil"/>
              <w:left w:val="nil"/>
              <w:bottom w:val="single" w:sz="8" w:space="0" w:color="auto"/>
              <w:right w:val="single" w:sz="8" w:space="0" w:color="auto"/>
            </w:tcBorders>
            <w:tcMar>
              <w:top w:w="0" w:type="dxa"/>
              <w:left w:w="108" w:type="dxa"/>
              <w:bottom w:w="0" w:type="dxa"/>
              <w:right w:w="108" w:type="dxa"/>
            </w:tcMar>
            <w:hideMark/>
          </w:tcPr>
          <w:p w:rsidR="002E5EB9" w:rsidRPr="00557E6C" w:rsidRDefault="002E5EB9" w:rsidP="002F1842">
            <w:pPr>
              <w:keepNext/>
              <w:rPr>
                <w:rFonts w:asciiTheme="minorHAnsi" w:eastAsiaTheme="minorHAnsi" w:hAnsiTheme="minorHAnsi" w:cstheme="minorHAnsi"/>
                <w:sz w:val="20"/>
                <w:szCs w:val="20"/>
              </w:rPr>
            </w:pPr>
            <w:r w:rsidRPr="00557E6C">
              <w:rPr>
                <w:rFonts w:asciiTheme="minorHAnsi" w:hAnsiTheme="minorHAnsi" w:cstheme="minorHAnsi"/>
                <w:sz w:val="20"/>
                <w:szCs w:val="20"/>
              </w:rPr>
              <w:t xml:space="preserve">$1,639.86 </w:t>
            </w:r>
          </w:p>
        </w:tc>
        <w:tc>
          <w:tcPr>
            <w:tcW w:w="2413" w:type="dxa"/>
            <w:tcBorders>
              <w:top w:val="nil"/>
              <w:left w:val="nil"/>
              <w:bottom w:val="single" w:sz="8" w:space="0" w:color="auto"/>
              <w:right w:val="single" w:sz="8" w:space="0" w:color="auto"/>
            </w:tcBorders>
            <w:tcMar>
              <w:top w:w="0" w:type="dxa"/>
              <w:left w:w="108" w:type="dxa"/>
              <w:bottom w:w="0" w:type="dxa"/>
              <w:right w:w="108" w:type="dxa"/>
            </w:tcMar>
            <w:hideMark/>
          </w:tcPr>
          <w:p w:rsidR="002E5EB9" w:rsidRPr="00557E6C" w:rsidRDefault="002E5EB9" w:rsidP="002F1842">
            <w:pPr>
              <w:keepNext/>
              <w:rPr>
                <w:rFonts w:asciiTheme="minorHAnsi" w:eastAsiaTheme="minorHAnsi" w:hAnsiTheme="minorHAnsi" w:cstheme="minorHAnsi"/>
                <w:sz w:val="20"/>
                <w:szCs w:val="20"/>
              </w:rPr>
            </w:pPr>
            <w:r w:rsidRPr="00557E6C">
              <w:rPr>
                <w:rFonts w:asciiTheme="minorHAnsi" w:hAnsiTheme="minorHAnsi" w:cstheme="minorHAnsi"/>
                <w:sz w:val="20"/>
                <w:szCs w:val="20"/>
              </w:rPr>
              <w:t xml:space="preserve">$1,840.80 </w:t>
            </w:r>
          </w:p>
        </w:tc>
      </w:tr>
    </w:tbl>
    <w:p w:rsidR="00F16B39" w:rsidRPr="00557E6C" w:rsidRDefault="00F16B39" w:rsidP="00375D5B">
      <w:pPr>
        <w:keepNext/>
        <w:rPr>
          <w:rFonts w:asciiTheme="minorHAnsi" w:hAnsiTheme="minorHAnsi" w:cstheme="minorHAnsi"/>
          <w:sz w:val="20"/>
          <w:szCs w:val="20"/>
        </w:rPr>
      </w:pPr>
      <w:r w:rsidRPr="00557E6C">
        <w:rPr>
          <w:rFonts w:asciiTheme="minorHAnsi" w:hAnsiTheme="minorHAnsi" w:cstheme="minorHAnsi"/>
          <w:sz w:val="20"/>
          <w:szCs w:val="20"/>
        </w:rPr>
        <w:t>AEMP agreed ex-manufacturer price; PBAC Pharmaceutical Benefits Advisory Committee</w:t>
      </w:r>
      <w:proofErr w:type="gramStart"/>
      <w:r w:rsidRPr="00557E6C">
        <w:rPr>
          <w:rFonts w:asciiTheme="minorHAnsi" w:hAnsiTheme="minorHAnsi" w:cstheme="minorHAnsi"/>
          <w:sz w:val="20"/>
          <w:szCs w:val="20"/>
        </w:rPr>
        <w:t>;</w:t>
      </w:r>
      <w:proofErr w:type="gramEnd"/>
      <w:r w:rsidRPr="00557E6C">
        <w:rPr>
          <w:rFonts w:asciiTheme="minorHAnsi" w:hAnsiTheme="minorHAnsi" w:cstheme="minorHAnsi"/>
          <w:sz w:val="20"/>
          <w:szCs w:val="20"/>
        </w:rPr>
        <w:t xml:space="preserve"> PBS Pharmaceutical Benefits Scheme</w:t>
      </w:r>
    </w:p>
    <w:p w:rsidR="00F16B39" w:rsidRPr="00557E6C" w:rsidRDefault="002342DD" w:rsidP="00375D5B">
      <w:pPr>
        <w:keepNext/>
        <w:rPr>
          <w:rFonts w:asciiTheme="minorHAnsi" w:hAnsiTheme="minorHAnsi" w:cstheme="minorHAnsi"/>
          <w:sz w:val="20"/>
          <w:szCs w:val="20"/>
        </w:rPr>
      </w:pPr>
      <w:r w:rsidRPr="00557E6C">
        <w:rPr>
          <w:rFonts w:asciiTheme="minorHAnsi" w:hAnsiTheme="minorHAnsi" w:cstheme="minorHAnsi"/>
          <w:sz w:val="20"/>
          <w:szCs w:val="20"/>
        </w:rPr>
        <w:t>1.</w:t>
      </w:r>
      <w:r w:rsidR="00B000B7">
        <w:rPr>
          <w:rFonts w:asciiTheme="minorHAnsi" w:hAnsiTheme="minorHAnsi" w:cstheme="minorHAnsi"/>
          <w:sz w:val="20"/>
          <w:szCs w:val="20"/>
        </w:rPr>
        <w:t xml:space="preserve"> </w:t>
      </w:r>
      <w:r w:rsidR="00F16B39" w:rsidRPr="00557E6C">
        <w:rPr>
          <w:rFonts w:asciiTheme="minorHAnsi" w:hAnsiTheme="minorHAnsi" w:cstheme="minorHAnsi"/>
          <w:sz w:val="20"/>
          <w:szCs w:val="20"/>
        </w:rPr>
        <w:t>All prices calculated using the spreadsheet provided with the minor resubmission</w:t>
      </w:r>
      <w:r w:rsidR="00C2669A" w:rsidRPr="00557E6C">
        <w:rPr>
          <w:rFonts w:asciiTheme="minorHAnsi" w:hAnsiTheme="minorHAnsi" w:cstheme="minorHAnsi"/>
          <w:sz w:val="20"/>
          <w:szCs w:val="20"/>
        </w:rPr>
        <w:t xml:space="preserve"> (</w:t>
      </w:r>
      <w:r w:rsidR="008073A8" w:rsidRPr="00557E6C">
        <w:rPr>
          <w:rFonts w:asciiTheme="minorHAnsi" w:hAnsiTheme="minorHAnsi" w:cstheme="minorHAnsi"/>
          <w:sz w:val="20"/>
          <w:szCs w:val="20"/>
        </w:rPr>
        <w:t xml:space="preserve">as </w:t>
      </w:r>
      <w:r w:rsidR="00C2669A" w:rsidRPr="00557E6C">
        <w:rPr>
          <w:rFonts w:asciiTheme="minorHAnsi" w:hAnsiTheme="minorHAnsi" w:cstheme="minorHAnsi"/>
          <w:sz w:val="20"/>
          <w:szCs w:val="20"/>
        </w:rPr>
        <w:t>Appendix 1)</w:t>
      </w:r>
    </w:p>
    <w:p w:rsidR="002342DD" w:rsidRPr="00557E6C" w:rsidRDefault="002342DD" w:rsidP="00375D5B">
      <w:pPr>
        <w:keepNext/>
        <w:rPr>
          <w:rFonts w:asciiTheme="minorHAnsi" w:hAnsiTheme="minorHAnsi" w:cstheme="minorHAnsi"/>
          <w:sz w:val="20"/>
          <w:szCs w:val="20"/>
        </w:rPr>
      </w:pPr>
      <w:r w:rsidRPr="00557E6C">
        <w:rPr>
          <w:rFonts w:asciiTheme="minorHAnsi" w:hAnsiTheme="minorHAnsi" w:cstheme="minorHAnsi"/>
          <w:sz w:val="20"/>
          <w:szCs w:val="20"/>
        </w:rPr>
        <w:t>2.</w:t>
      </w:r>
      <w:r w:rsidR="009746ED" w:rsidRPr="00557E6C">
        <w:rPr>
          <w:rFonts w:asciiTheme="minorHAnsi" w:hAnsiTheme="minorHAnsi" w:cstheme="minorHAnsi"/>
          <w:sz w:val="20"/>
          <w:szCs w:val="20"/>
        </w:rPr>
        <w:t xml:space="preserve"> </w:t>
      </w:r>
      <w:r w:rsidR="002F1842">
        <w:rPr>
          <w:rFonts w:asciiTheme="minorHAnsi" w:hAnsiTheme="minorHAnsi" w:cstheme="minorHAnsi"/>
          <w:sz w:val="20"/>
          <w:szCs w:val="20"/>
        </w:rPr>
        <w:t xml:space="preserve">There is a confidential effective price in place for </w:t>
      </w:r>
      <w:proofErr w:type="spellStart"/>
      <w:r w:rsidR="002F1842">
        <w:rPr>
          <w:rFonts w:asciiTheme="minorHAnsi" w:hAnsiTheme="minorHAnsi" w:cstheme="minorHAnsi"/>
          <w:sz w:val="20"/>
          <w:szCs w:val="20"/>
        </w:rPr>
        <w:t>sorafenib</w:t>
      </w:r>
      <w:proofErr w:type="spellEnd"/>
      <w:r w:rsidR="002F1842">
        <w:rPr>
          <w:rFonts w:asciiTheme="minorHAnsi" w:hAnsiTheme="minorHAnsi" w:cstheme="minorHAnsi"/>
          <w:sz w:val="20"/>
          <w:szCs w:val="20"/>
        </w:rPr>
        <w:t xml:space="preserve">. </w:t>
      </w:r>
      <w:r w:rsidRPr="00557E6C">
        <w:rPr>
          <w:rFonts w:asciiTheme="minorHAnsi" w:hAnsiTheme="minorHAnsi" w:cstheme="minorHAnsi"/>
          <w:sz w:val="20"/>
          <w:szCs w:val="20"/>
        </w:rPr>
        <w:t xml:space="preserve">The </w:t>
      </w:r>
      <w:r w:rsidR="002F1842">
        <w:rPr>
          <w:rFonts w:asciiTheme="minorHAnsi" w:hAnsiTheme="minorHAnsi" w:cstheme="minorHAnsi"/>
          <w:sz w:val="20"/>
          <w:szCs w:val="20"/>
        </w:rPr>
        <w:t xml:space="preserve">prices in Table 1 </w:t>
      </w:r>
      <w:proofErr w:type="gramStart"/>
      <w:r w:rsidR="002F1842">
        <w:rPr>
          <w:rFonts w:asciiTheme="minorHAnsi" w:hAnsiTheme="minorHAnsi" w:cstheme="minorHAnsi"/>
          <w:sz w:val="20"/>
          <w:szCs w:val="20"/>
        </w:rPr>
        <w:t>are based</w:t>
      </w:r>
      <w:proofErr w:type="gramEnd"/>
      <w:r w:rsidR="002F1842">
        <w:rPr>
          <w:rFonts w:asciiTheme="minorHAnsi" w:hAnsiTheme="minorHAnsi" w:cstheme="minorHAnsi"/>
          <w:sz w:val="20"/>
          <w:szCs w:val="20"/>
        </w:rPr>
        <w:t xml:space="preserve"> on the published </w:t>
      </w:r>
      <w:r w:rsidRPr="00557E6C">
        <w:rPr>
          <w:rFonts w:asciiTheme="minorHAnsi" w:hAnsiTheme="minorHAnsi" w:cstheme="minorHAnsi"/>
          <w:sz w:val="20"/>
          <w:szCs w:val="20"/>
        </w:rPr>
        <w:t xml:space="preserve">AEMP for </w:t>
      </w:r>
      <w:proofErr w:type="spellStart"/>
      <w:r w:rsidRPr="00557E6C">
        <w:rPr>
          <w:rFonts w:asciiTheme="minorHAnsi" w:hAnsiTheme="minorHAnsi" w:cstheme="minorHAnsi"/>
          <w:sz w:val="20"/>
          <w:szCs w:val="20"/>
        </w:rPr>
        <w:t>sorafenib</w:t>
      </w:r>
      <w:proofErr w:type="spellEnd"/>
      <w:r w:rsidRPr="00557E6C">
        <w:rPr>
          <w:rFonts w:asciiTheme="minorHAnsi" w:hAnsiTheme="minorHAnsi" w:cstheme="minorHAnsi"/>
          <w:sz w:val="20"/>
          <w:szCs w:val="20"/>
        </w:rPr>
        <w:t xml:space="preserve"> 200mg (60 tablets)</w:t>
      </w:r>
      <w:r w:rsidR="00FB1603">
        <w:rPr>
          <w:rFonts w:asciiTheme="minorHAnsi" w:hAnsiTheme="minorHAnsi" w:cstheme="minorHAnsi"/>
          <w:sz w:val="20"/>
          <w:szCs w:val="20"/>
        </w:rPr>
        <w:t xml:space="preserve"> ($2,997.59)</w:t>
      </w:r>
    </w:p>
    <w:p w:rsidR="009746ED" w:rsidRPr="00557E6C" w:rsidRDefault="002342DD" w:rsidP="009765AF">
      <w:pPr>
        <w:rPr>
          <w:rFonts w:asciiTheme="minorHAnsi" w:hAnsiTheme="minorHAnsi" w:cstheme="minorHAnsi"/>
          <w:sz w:val="20"/>
          <w:szCs w:val="20"/>
        </w:rPr>
      </w:pPr>
      <w:r w:rsidRPr="001E2A5B">
        <w:rPr>
          <w:rFonts w:asciiTheme="minorHAnsi" w:hAnsiTheme="minorHAnsi" w:cstheme="minorHAnsi"/>
          <w:sz w:val="20"/>
          <w:szCs w:val="20"/>
        </w:rPr>
        <w:t xml:space="preserve">3. </w:t>
      </w:r>
      <w:r w:rsidR="00F16B39" w:rsidRPr="001E2A5B">
        <w:rPr>
          <w:rFonts w:asciiTheme="minorHAnsi" w:hAnsiTheme="minorHAnsi" w:cstheme="minorHAnsi"/>
          <w:sz w:val="20"/>
          <w:szCs w:val="20"/>
        </w:rPr>
        <w:t xml:space="preserve">The price requested in the major submission </w:t>
      </w:r>
      <w:r w:rsidR="00C2669A" w:rsidRPr="001E2A5B">
        <w:rPr>
          <w:rFonts w:asciiTheme="minorHAnsi" w:hAnsiTheme="minorHAnsi" w:cstheme="minorHAnsi"/>
          <w:sz w:val="20"/>
          <w:szCs w:val="20"/>
        </w:rPr>
        <w:t xml:space="preserve">considered July 2018 </w:t>
      </w:r>
      <w:r w:rsidR="00F16B39" w:rsidRPr="00557E6C">
        <w:rPr>
          <w:rFonts w:asciiTheme="minorHAnsi" w:hAnsiTheme="minorHAnsi" w:cstheme="minorHAnsi"/>
          <w:sz w:val="20"/>
          <w:szCs w:val="20"/>
        </w:rPr>
        <w:t>was $2,271.33</w:t>
      </w:r>
      <w:r w:rsidR="008073A8" w:rsidRPr="00557E6C">
        <w:rPr>
          <w:rFonts w:asciiTheme="minorHAnsi" w:hAnsiTheme="minorHAnsi" w:cstheme="minorHAnsi"/>
          <w:sz w:val="20"/>
          <w:szCs w:val="20"/>
        </w:rPr>
        <w:t xml:space="preserve">. The spreadsheet provided with the July 2018 submission incorrectly calculated the AEMP per pack using the dispensed price per pack as it did not take into account the maximum quantity dispensed is 3 packs.  </w:t>
      </w:r>
    </w:p>
    <w:p w:rsidR="009765AF" w:rsidRPr="00557E6C" w:rsidRDefault="00DC0D61" w:rsidP="00B968B0">
      <w:pPr>
        <w:pStyle w:val="ListParagraph"/>
        <w:widowControl/>
        <w:numPr>
          <w:ilvl w:val="1"/>
          <w:numId w:val="14"/>
        </w:numPr>
        <w:spacing w:before="120" w:after="160"/>
        <w:contextualSpacing w:val="0"/>
        <w:rPr>
          <w:rFonts w:asciiTheme="minorHAnsi" w:eastAsiaTheme="minorHAnsi" w:hAnsiTheme="minorHAnsi" w:cstheme="minorHAnsi"/>
          <w:snapToGrid/>
          <w:sz w:val="24"/>
          <w:szCs w:val="24"/>
        </w:rPr>
      </w:pPr>
      <w:r w:rsidRPr="00557E6C">
        <w:rPr>
          <w:rFonts w:asciiTheme="minorHAnsi" w:eastAsiaTheme="minorHAnsi" w:hAnsiTheme="minorHAnsi" w:cstheme="minorHAnsi"/>
          <w:snapToGrid/>
          <w:sz w:val="24"/>
          <w:szCs w:val="24"/>
        </w:rPr>
        <w:t xml:space="preserve">The </w:t>
      </w:r>
      <w:proofErr w:type="spellStart"/>
      <w:r w:rsidRPr="00557E6C">
        <w:rPr>
          <w:rFonts w:asciiTheme="minorHAnsi" w:eastAsiaTheme="minorHAnsi" w:hAnsiTheme="minorHAnsi" w:cstheme="minorHAnsi"/>
          <w:snapToGrid/>
          <w:sz w:val="24"/>
          <w:szCs w:val="24"/>
        </w:rPr>
        <w:t>equi</w:t>
      </w:r>
      <w:proofErr w:type="spellEnd"/>
      <w:r w:rsidRPr="00557E6C">
        <w:rPr>
          <w:rFonts w:asciiTheme="minorHAnsi" w:eastAsiaTheme="minorHAnsi" w:hAnsiTheme="minorHAnsi" w:cstheme="minorHAnsi"/>
          <w:snapToGrid/>
          <w:sz w:val="24"/>
          <w:szCs w:val="24"/>
        </w:rPr>
        <w:t xml:space="preserve">-effective doses proposed </w:t>
      </w:r>
      <w:r w:rsidR="009765AF" w:rsidRPr="00557E6C">
        <w:rPr>
          <w:rFonts w:asciiTheme="minorHAnsi" w:eastAsiaTheme="minorHAnsi" w:hAnsiTheme="minorHAnsi" w:cstheme="minorHAnsi"/>
          <w:snapToGrid/>
          <w:sz w:val="24"/>
          <w:szCs w:val="24"/>
        </w:rPr>
        <w:t xml:space="preserve">in the major submission considered </w:t>
      </w:r>
      <w:r w:rsidR="00294E53" w:rsidRPr="00557E6C">
        <w:rPr>
          <w:rFonts w:asciiTheme="minorHAnsi" w:eastAsiaTheme="minorHAnsi" w:hAnsiTheme="minorHAnsi" w:cstheme="minorHAnsi"/>
          <w:snapToGrid/>
          <w:sz w:val="24"/>
          <w:szCs w:val="24"/>
        </w:rPr>
        <w:t xml:space="preserve">in </w:t>
      </w:r>
      <w:r w:rsidR="009765AF" w:rsidRPr="00557E6C">
        <w:rPr>
          <w:rFonts w:asciiTheme="minorHAnsi" w:eastAsiaTheme="minorHAnsi" w:hAnsiTheme="minorHAnsi" w:cstheme="minorHAnsi"/>
          <w:snapToGrid/>
          <w:sz w:val="24"/>
          <w:szCs w:val="24"/>
        </w:rPr>
        <w:t xml:space="preserve">July 2018 </w:t>
      </w:r>
      <w:proofErr w:type="gramStart"/>
      <w:r w:rsidR="009765AF" w:rsidRPr="00557E6C">
        <w:rPr>
          <w:rFonts w:asciiTheme="minorHAnsi" w:eastAsiaTheme="minorHAnsi" w:hAnsiTheme="minorHAnsi" w:cstheme="minorHAnsi"/>
          <w:snapToGrid/>
          <w:sz w:val="24"/>
          <w:szCs w:val="24"/>
        </w:rPr>
        <w:t>were based</w:t>
      </w:r>
      <w:proofErr w:type="gramEnd"/>
      <w:r w:rsidR="009765AF" w:rsidRPr="00557E6C">
        <w:rPr>
          <w:rFonts w:asciiTheme="minorHAnsi" w:eastAsiaTheme="minorHAnsi" w:hAnsiTheme="minorHAnsi" w:cstheme="minorHAnsi"/>
          <w:snapToGrid/>
          <w:sz w:val="24"/>
          <w:szCs w:val="24"/>
        </w:rPr>
        <w:t xml:space="preserve"> on the median dose and treatment duration for lenvatinib and the median dose for </w:t>
      </w:r>
      <w:proofErr w:type="spellStart"/>
      <w:r w:rsidR="009765AF" w:rsidRPr="00557E6C">
        <w:rPr>
          <w:rFonts w:asciiTheme="minorHAnsi" w:eastAsiaTheme="minorHAnsi" w:hAnsiTheme="minorHAnsi" w:cstheme="minorHAnsi"/>
          <w:snapToGrid/>
          <w:sz w:val="24"/>
          <w:szCs w:val="24"/>
        </w:rPr>
        <w:t>sorafenib</w:t>
      </w:r>
      <w:proofErr w:type="spellEnd"/>
      <w:r w:rsidR="009765AF" w:rsidRPr="00557E6C">
        <w:rPr>
          <w:rFonts w:asciiTheme="minorHAnsi" w:eastAsiaTheme="minorHAnsi" w:hAnsiTheme="minorHAnsi" w:cstheme="minorHAnsi"/>
          <w:snapToGrid/>
          <w:sz w:val="24"/>
          <w:szCs w:val="24"/>
        </w:rPr>
        <w:t xml:space="preserve"> from Study 304. The treatment duration for </w:t>
      </w:r>
      <w:proofErr w:type="spellStart"/>
      <w:r w:rsidR="009765AF" w:rsidRPr="00557E6C">
        <w:rPr>
          <w:rFonts w:asciiTheme="minorHAnsi" w:eastAsiaTheme="minorHAnsi" w:hAnsiTheme="minorHAnsi" w:cstheme="minorHAnsi"/>
          <w:snapToGrid/>
          <w:sz w:val="24"/>
          <w:szCs w:val="24"/>
        </w:rPr>
        <w:t>sorafenib</w:t>
      </w:r>
      <w:proofErr w:type="spellEnd"/>
      <w:r w:rsidR="009765AF" w:rsidRPr="00557E6C">
        <w:rPr>
          <w:rFonts w:asciiTheme="minorHAnsi" w:eastAsiaTheme="minorHAnsi" w:hAnsiTheme="minorHAnsi" w:cstheme="minorHAnsi"/>
          <w:snapToGrid/>
          <w:sz w:val="24"/>
          <w:szCs w:val="24"/>
        </w:rPr>
        <w:t xml:space="preserve"> was from an analysis of the </w:t>
      </w:r>
      <w:r w:rsidR="009765AF" w:rsidRPr="00557E6C">
        <w:rPr>
          <w:rFonts w:asciiTheme="minorHAnsi" w:hAnsiTheme="minorHAnsi" w:cstheme="minorHAnsi"/>
          <w:sz w:val="24"/>
          <w:szCs w:val="24"/>
        </w:rPr>
        <w:t xml:space="preserve">10% PBS </w:t>
      </w:r>
      <w:r w:rsidR="009746ED" w:rsidRPr="00557E6C">
        <w:rPr>
          <w:rFonts w:asciiTheme="minorHAnsi" w:hAnsiTheme="minorHAnsi" w:cstheme="minorHAnsi"/>
          <w:sz w:val="24"/>
          <w:szCs w:val="24"/>
        </w:rPr>
        <w:t>prescription data</w:t>
      </w:r>
      <w:r w:rsidR="00BA7A69">
        <w:rPr>
          <w:rFonts w:asciiTheme="minorHAnsi" w:eastAsiaTheme="minorHAnsi" w:hAnsiTheme="minorHAnsi" w:cstheme="minorHAnsi"/>
          <w:snapToGrid/>
          <w:sz w:val="24"/>
          <w:szCs w:val="24"/>
        </w:rPr>
        <w:t>.</w:t>
      </w:r>
    </w:p>
    <w:p w:rsidR="00DC0D61" w:rsidRPr="00557E6C" w:rsidRDefault="006F64EE" w:rsidP="009765AF">
      <w:pPr>
        <w:pStyle w:val="ListParagraph"/>
        <w:widowControl/>
        <w:numPr>
          <w:ilvl w:val="1"/>
          <w:numId w:val="14"/>
        </w:numPr>
        <w:spacing w:before="120" w:after="160"/>
        <w:contextualSpacing w:val="0"/>
        <w:rPr>
          <w:rFonts w:asciiTheme="minorHAnsi" w:eastAsiaTheme="minorHAnsi" w:hAnsiTheme="minorHAnsi" w:cstheme="minorHAnsi"/>
          <w:snapToGrid/>
          <w:sz w:val="24"/>
          <w:szCs w:val="24"/>
        </w:rPr>
      </w:pPr>
      <w:r w:rsidRPr="00557E6C">
        <w:rPr>
          <w:rFonts w:asciiTheme="minorHAnsi" w:eastAsiaTheme="minorHAnsi" w:hAnsiTheme="minorHAnsi" w:cstheme="minorHAnsi"/>
          <w:snapToGrid/>
          <w:sz w:val="24"/>
          <w:szCs w:val="24"/>
        </w:rPr>
        <w:t>At the July 2018 meeting, t</w:t>
      </w:r>
      <w:r w:rsidR="00DC0D61" w:rsidRPr="00557E6C">
        <w:rPr>
          <w:rFonts w:asciiTheme="minorHAnsi" w:eastAsiaTheme="minorHAnsi" w:hAnsiTheme="minorHAnsi" w:cstheme="minorHAnsi"/>
          <w:snapToGrid/>
          <w:sz w:val="24"/>
          <w:szCs w:val="24"/>
        </w:rPr>
        <w:t xml:space="preserve">he PBAC considered that it is appropriate for the </w:t>
      </w:r>
      <w:proofErr w:type="spellStart"/>
      <w:r w:rsidR="00DC0D61" w:rsidRPr="00557E6C">
        <w:rPr>
          <w:rFonts w:asciiTheme="minorHAnsi" w:eastAsiaTheme="minorHAnsi" w:hAnsiTheme="minorHAnsi" w:cstheme="minorHAnsi"/>
          <w:snapToGrid/>
          <w:sz w:val="24"/>
          <w:szCs w:val="24"/>
        </w:rPr>
        <w:t>equi</w:t>
      </w:r>
      <w:proofErr w:type="spellEnd"/>
      <w:r w:rsidR="00DC0D61" w:rsidRPr="00557E6C">
        <w:rPr>
          <w:rFonts w:asciiTheme="minorHAnsi" w:eastAsiaTheme="minorHAnsi" w:hAnsiTheme="minorHAnsi" w:cstheme="minorHAnsi"/>
          <w:snapToGrid/>
          <w:sz w:val="24"/>
          <w:szCs w:val="24"/>
        </w:rPr>
        <w:t xml:space="preserve">-effective doses to </w:t>
      </w:r>
      <w:proofErr w:type="gramStart"/>
      <w:r w:rsidR="00DC0D61" w:rsidRPr="00557E6C">
        <w:rPr>
          <w:rFonts w:asciiTheme="minorHAnsi" w:eastAsiaTheme="minorHAnsi" w:hAnsiTheme="minorHAnsi" w:cstheme="minorHAnsi"/>
          <w:snapToGrid/>
          <w:sz w:val="24"/>
          <w:szCs w:val="24"/>
        </w:rPr>
        <w:t>be based</w:t>
      </w:r>
      <w:proofErr w:type="gramEnd"/>
      <w:r w:rsidR="00DC0D61" w:rsidRPr="00557E6C">
        <w:rPr>
          <w:rFonts w:asciiTheme="minorHAnsi" w:eastAsiaTheme="minorHAnsi" w:hAnsiTheme="minorHAnsi" w:cstheme="minorHAnsi"/>
          <w:snapToGrid/>
          <w:sz w:val="24"/>
          <w:szCs w:val="24"/>
        </w:rPr>
        <w:t xml:space="preserve"> on the </w:t>
      </w:r>
      <w:r w:rsidR="00DC0D61" w:rsidRPr="002F1842">
        <w:rPr>
          <w:rFonts w:asciiTheme="minorHAnsi" w:eastAsiaTheme="minorHAnsi" w:hAnsiTheme="minorHAnsi" w:cstheme="minorHAnsi"/>
          <w:b/>
          <w:snapToGrid/>
          <w:sz w:val="24"/>
          <w:szCs w:val="24"/>
        </w:rPr>
        <w:t>mean</w:t>
      </w:r>
      <w:r w:rsidR="00DC0D61" w:rsidRPr="00557E6C">
        <w:rPr>
          <w:rFonts w:asciiTheme="minorHAnsi" w:eastAsiaTheme="minorHAnsi" w:hAnsiTheme="minorHAnsi" w:cstheme="minorHAnsi"/>
          <w:snapToGrid/>
          <w:sz w:val="24"/>
          <w:szCs w:val="24"/>
        </w:rPr>
        <w:t xml:space="preserve"> estimates of dose and duration from Study 304 as these estimates appropriately capture the range of doses and treatment durations, </w:t>
      </w:r>
      <w:r w:rsidR="00DC0D61" w:rsidRPr="001E2A5B">
        <w:rPr>
          <w:rFonts w:asciiTheme="minorHAnsi" w:eastAsiaTheme="minorHAnsi" w:hAnsiTheme="minorHAnsi" w:cstheme="minorHAnsi"/>
          <w:snapToGrid/>
          <w:sz w:val="24"/>
          <w:szCs w:val="24"/>
        </w:rPr>
        <w:t>and reflect the range likely in clinical practice.</w:t>
      </w:r>
      <w:r w:rsidR="00EC2EC7" w:rsidRPr="001E2A5B">
        <w:rPr>
          <w:rFonts w:asciiTheme="minorHAnsi" w:eastAsiaTheme="minorHAnsi" w:hAnsiTheme="minorHAnsi" w:cstheme="minorHAnsi"/>
          <w:snapToGrid/>
          <w:sz w:val="24"/>
          <w:szCs w:val="24"/>
        </w:rPr>
        <w:t xml:space="preserve"> The use of the medians will result in an underrepresentation of patients who remain on treatment for a relatively long duration.</w:t>
      </w:r>
    </w:p>
    <w:p w:rsidR="004468C8" w:rsidRDefault="009765AF" w:rsidP="00716EBB">
      <w:pPr>
        <w:pStyle w:val="ListParagraph"/>
        <w:widowControl/>
        <w:numPr>
          <w:ilvl w:val="1"/>
          <w:numId w:val="14"/>
        </w:numPr>
        <w:spacing w:before="120" w:after="160"/>
        <w:contextualSpacing w:val="0"/>
        <w:rPr>
          <w:rFonts w:asciiTheme="minorHAnsi" w:hAnsiTheme="minorHAnsi" w:cstheme="minorHAnsi"/>
          <w:sz w:val="24"/>
          <w:szCs w:val="24"/>
        </w:rPr>
      </w:pPr>
      <w:r w:rsidRPr="00557E6C">
        <w:rPr>
          <w:rFonts w:asciiTheme="minorHAnsi" w:hAnsiTheme="minorHAnsi" w:cstheme="minorHAnsi"/>
          <w:sz w:val="24"/>
          <w:szCs w:val="24"/>
        </w:rPr>
        <w:t xml:space="preserve">The PBAC acknowledged that the longer mean treatment duration for lenvatinib resulted in a lower monthly cost than for </w:t>
      </w:r>
      <w:proofErr w:type="spellStart"/>
      <w:proofErr w:type="gramStart"/>
      <w:r w:rsidRPr="00557E6C">
        <w:rPr>
          <w:rFonts w:asciiTheme="minorHAnsi" w:hAnsiTheme="minorHAnsi" w:cstheme="minorHAnsi"/>
          <w:sz w:val="24"/>
          <w:szCs w:val="24"/>
        </w:rPr>
        <w:t>sorafenib</w:t>
      </w:r>
      <w:proofErr w:type="spellEnd"/>
      <w:r w:rsidRPr="00557E6C">
        <w:rPr>
          <w:rFonts w:asciiTheme="minorHAnsi" w:hAnsiTheme="minorHAnsi" w:cstheme="minorHAnsi"/>
          <w:sz w:val="24"/>
          <w:szCs w:val="24"/>
        </w:rPr>
        <w:t>,</w:t>
      </w:r>
      <w:proofErr w:type="gramEnd"/>
      <w:r w:rsidRPr="00557E6C">
        <w:rPr>
          <w:rFonts w:asciiTheme="minorHAnsi" w:hAnsiTheme="minorHAnsi" w:cstheme="minorHAnsi"/>
          <w:sz w:val="24"/>
          <w:szCs w:val="24"/>
        </w:rPr>
        <w:t xml:space="preserve"> however the PBAC considered the cost of a treatment course with lenvatinib should be the same as for </w:t>
      </w:r>
      <w:proofErr w:type="spellStart"/>
      <w:r w:rsidRPr="00557E6C">
        <w:rPr>
          <w:rFonts w:asciiTheme="minorHAnsi" w:hAnsiTheme="minorHAnsi" w:cstheme="minorHAnsi"/>
          <w:sz w:val="24"/>
          <w:szCs w:val="24"/>
        </w:rPr>
        <w:t>sorafenib</w:t>
      </w:r>
      <w:proofErr w:type="spellEnd"/>
      <w:r w:rsidRPr="00557E6C">
        <w:rPr>
          <w:rFonts w:asciiTheme="minorHAnsi" w:hAnsiTheme="minorHAnsi" w:cstheme="minorHAnsi"/>
          <w:sz w:val="24"/>
          <w:szCs w:val="24"/>
        </w:rPr>
        <w:t>.</w:t>
      </w:r>
    </w:p>
    <w:p w:rsidR="00932EE4" w:rsidRPr="001E2A5B" w:rsidRDefault="004F4F5A" w:rsidP="00716EBB">
      <w:pPr>
        <w:pStyle w:val="ListParagraph"/>
        <w:numPr>
          <w:ilvl w:val="1"/>
          <w:numId w:val="14"/>
        </w:numPr>
        <w:spacing w:before="120" w:after="160"/>
        <w:rPr>
          <w:rFonts w:asciiTheme="minorHAnsi" w:eastAsiaTheme="minorHAnsi" w:hAnsiTheme="minorHAnsi" w:cstheme="minorBidi"/>
          <w:snapToGrid/>
          <w:sz w:val="24"/>
          <w:szCs w:val="22"/>
        </w:rPr>
      </w:pPr>
      <w:r w:rsidRPr="00557E6C">
        <w:rPr>
          <w:rFonts w:asciiTheme="minorHAnsi" w:eastAsiaTheme="minorHAnsi" w:hAnsiTheme="minorHAnsi" w:cstheme="minorBidi"/>
          <w:snapToGrid/>
          <w:sz w:val="24"/>
          <w:szCs w:val="22"/>
        </w:rPr>
        <w:t xml:space="preserve">The </w:t>
      </w:r>
      <w:r w:rsidR="00D42F5C" w:rsidRPr="00557E6C">
        <w:rPr>
          <w:rFonts w:asciiTheme="minorHAnsi" w:eastAsiaTheme="minorHAnsi" w:hAnsiTheme="minorHAnsi" w:cstheme="minorBidi"/>
          <w:snapToGrid/>
          <w:sz w:val="24"/>
          <w:szCs w:val="22"/>
        </w:rPr>
        <w:t>following</w:t>
      </w:r>
      <w:r w:rsidR="00932EE4" w:rsidRPr="00557E6C">
        <w:rPr>
          <w:rFonts w:asciiTheme="minorHAnsi" w:eastAsiaTheme="minorHAnsi" w:hAnsiTheme="minorHAnsi" w:cstheme="minorBidi"/>
          <w:snapToGrid/>
          <w:sz w:val="24"/>
          <w:szCs w:val="22"/>
        </w:rPr>
        <w:t xml:space="preserve"> </w:t>
      </w:r>
      <w:proofErr w:type="spellStart"/>
      <w:r w:rsidR="00932EE4" w:rsidRPr="00557E6C">
        <w:rPr>
          <w:rFonts w:asciiTheme="minorHAnsi" w:eastAsiaTheme="minorHAnsi" w:hAnsiTheme="minorHAnsi" w:cstheme="minorBidi"/>
          <w:snapToGrid/>
          <w:sz w:val="24"/>
          <w:szCs w:val="22"/>
        </w:rPr>
        <w:t>equi</w:t>
      </w:r>
      <w:proofErr w:type="spellEnd"/>
      <w:r w:rsidR="00932EE4" w:rsidRPr="00557E6C">
        <w:rPr>
          <w:rFonts w:asciiTheme="minorHAnsi" w:eastAsiaTheme="minorHAnsi" w:hAnsiTheme="minorHAnsi" w:cstheme="minorBidi"/>
          <w:snapToGrid/>
          <w:sz w:val="24"/>
          <w:szCs w:val="22"/>
        </w:rPr>
        <w:t>-effective doses</w:t>
      </w:r>
      <w:r w:rsidR="00782A67" w:rsidRPr="00557E6C">
        <w:rPr>
          <w:rFonts w:asciiTheme="minorHAnsi" w:eastAsiaTheme="minorHAnsi" w:hAnsiTheme="minorHAnsi" w:cstheme="minorBidi"/>
          <w:snapToGrid/>
          <w:sz w:val="24"/>
          <w:szCs w:val="22"/>
        </w:rPr>
        <w:t xml:space="preserve"> were proposed in the minor resubmission</w:t>
      </w:r>
      <w:r w:rsidR="00932EE4" w:rsidRPr="00557E6C">
        <w:rPr>
          <w:rFonts w:asciiTheme="minorHAnsi" w:eastAsiaTheme="minorHAnsi" w:hAnsiTheme="minorHAnsi" w:cstheme="minorBidi"/>
          <w:snapToGrid/>
          <w:sz w:val="24"/>
          <w:szCs w:val="22"/>
        </w:rPr>
        <w:t xml:space="preserve"> </w:t>
      </w:r>
      <w:r w:rsidR="00052A61" w:rsidRPr="00557E6C">
        <w:rPr>
          <w:rFonts w:asciiTheme="minorHAnsi" w:eastAsiaTheme="minorHAnsi" w:hAnsiTheme="minorHAnsi" w:cstheme="minorBidi"/>
          <w:snapToGrid/>
          <w:sz w:val="24"/>
          <w:szCs w:val="22"/>
        </w:rPr>
        <w:t xml:space="preserve">based on the </w:t>
      </w:r>
      <w:r w:rsidR="00932EE4" w:rsidRPr="002F1842">
        <w:rPr>
          <w:rFonts w:asciiTheme="minorHAnsi" w:eastAsiaTheme="minorHAnsi" w:hAnsiTheme="minorHAnsi" w:cstheme="minorBidi"/>
          <w:b/>
          <w:snapToGrid/>
          <w:sz w:val="24"/>
          <w:szCs w:val="22"/>
        </w:rPr>
        <w:t>median</w:t>
      </w:r>
      <w:r w:rsidR="00932EE4" w:rsidRPr="00557E6C">
        <w:rPr>
          <w:rFonts w:asciiTheme="minorHAnsi" w:eastAsiaTheme="minorHAnsi" w:hAnsiTheme="minorHAnsi" w:cstheme="minorBidi"/>
          <w:snapToGrid/>
          <w:sz w:val="24"/>
          <w:szCs w:val="22"/>
        </w:rPr>
        <w:t xml:space="preserve"> values for dose and duration of treatment reported in Study 304:</w:t>
      </w:r>
    </w:p>
    <w:p w:rsidR="00932EE4" w:rsidRPr="00557E6C" w:rsidRDefault="00932EE4" w:rsidP="00932EE4">
      <w:pPr>
        <w:pStyle w:val="ListParagraph"/>
        <w:numPr>
          <w:ilvl w:val="0"/>
          <w:numId w:val="16"/>
        </w:numPr>
        <w:spacing w:before="120" w:after="160"/>
        <w:rPr>
          <w:rFonts w:asciiTheme="minorHAnsi" w:eastAsiaTheme="minorHAnsi" w:hAnsiTheme="minorHAnsi" w:cstheme="minorBidi"/>
          <w:snapToGrid/>
          <w:sz w:val="24"/>
          <w:szCs w:val="22"/>
        </w:rPr>
      </w:pPr>
      <w:r w:rsidRPr="001E2A5B">
        <w:rPr>
          <w:rFonts w:asciiTheme="minorHAnsi" w:eastAsiaTheme="minorHAnsi" w:hAnsiTheme="minorHAnsi" w:cstheme="minorBidi"/>
          <w:snapToGrid/>
          <w:sz w:val="24"/>
          <w:szCs w:val="22"/>
        </w:rPr>
        <w:t>8.9 mg per day for 5.7 months for lenvatinib; a</w:t>
      </w:r>
      <w:r w:rsidRPr="00557E6C">
        <w:rPr>
          <w:rFonts w:asciiTheme="minorHAnsi" w:eastAsiaTheme="minorHAnsi" w:hAnsiTheme="minorHAnsi" w:cstheme="minorBidi"/>
          <w:snapToGrid/>
          <w:sz w:val="24"/>
          <w:szCs w:val="22"/>
        </w:rPr>
        <w:t>nd</w:t>
      </w:r>
    </w:p>
    <w:p w:rsidR="002342DD" w:rsidRPr="00BA7A69" w:rsidRDefault="00932EE4" w:rsidP="00BA7A69">
      <w:pPr>
        <w:pStyle w:val="ListParagraph"/>
        <w:numPr>
          <w:ilvl w:val="0"/>
          <w:numId w:val="16"/>
        </w:numPr>
        <w:spacing w:before="120" w:after="160"/>
        <w:rPr>
          <w:rFonts w:asciiTheme="minorHAnsi" w:eastAsiaTheme="minorHAnsi" w:hAnsiTheme="minorHAnsi" w:cstheme="minorBidi"/>
          <w:snapToGrid/>
          <w:sz w:val="24"/>
          <w:szCs w:val="22"/>
        </w:rPr>
      </w:pPr>
      <w:r w:rsidRPr="00557E6C">
        <w:rPr>
          <w:rFonts w:asciiTheme="minorHAnsi" w:eastAsiaTheme="minorHAnsi" w:hAnsiTheme="minorHAnsi" w:cstheme="minorBidi"/>
          <w:snapToGrid/>
          <w:sz w:val="24"/>
          <w:szCs w:val="22"/>
        </w:rPr>
        <w:t xml:space="preserve">771.4 mg per day for 3.7 months for </w:t>
      </w:r>
      <w:proofErr w:type="spellStart"/>
      <w:r w:rsidRPr="00557E6C">
        <w:rPr>
          <w:rFonts w:asciiTheme="minorHAnsi" w:eastAsiaTheme="minorHAnsi" w:hAnsiTheme="minorHAnsi" w:cstheme="minorBidi"/>
          <w:snapToGrid/>
          <w:sz w:val="24"/>
          <w:szCs w:val="22"/>
        </w:rPr>
        <w:t>sorafenib</w:t>
      </w:r>
      <w:proofErr w:type="spellEnd"/>
      <w:r w:rsidRPr="00557E6C">
        <w:rPr>
          <w:rFonts w:asciiTheme="minorHAnsi" w:eastAsiaTheme="minorHAnsi" w:hAnsiTheme="minorHAnsi" w:cstheme="minorBidi"/>
          <w:snapToGrid/>
          <w:sz w:val="24"/>
          <w:szCs w:val="22"/>
        </w:rPr>
        <w:t>.</w:t>
      </w:r>
    </w:p>
    <w:p w:rsidR="00E149B0" w:rsidRPr="00557E6C" w:rsidRDefault="009879F5" w:rsidP="00C420DC">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557E6C">
        <w:rPr>
          <w:rFonts w:asciiTheme="minorHAnsi" w:eastAsiaTheme="minorHAnsi" w:hAnsiTheme="minorHAnsi" w:cstheme="minorBidi"/>
          <w:snapToGrid/>
          <w:sz w:val="24"/>
          <w:szCs w:val="22"/>
        </w:rPr>
        <w:lastRenderedPageBreak/>
        <w:t xml:space="preserve">The </w:t>
      </w:r>
      <w:r w:rsidR="0022471B" w:rsidRPr="00557E6C">
        <w:rPr>
          <w:rFonts w:asciiTheme="minorHAnsi" w:eastAsiaTheme="minorHAnsi" w:hAnsiTheme="minorHAnsi" w:cstheme="minorBidi"/>
          <w:snapToGrid/>
          <w:sz w:val="24"/>
          <w:szCs w:val="22"/>
        </w:rPr>
        <w:t xml:space="preserve">resubmission </w:t>
      </w:r>
      <w:r w:rsidRPr="00557E6C">
        <w:rPr>
          <w:rFonts w:asciiTheme="minorHAnsi" w:eastAsiaTheme="minorHAnsi" w:hAnsiTheme="minorHAnsi" w:cstheme="minorBidi"/>
          <w:snapToGrid/>
          <w:sz w:val="24"/>
          <w:szCs w:val="22"/>
        </w:rPr>
        <w:t xml:space="preserve">considers the </w:t>
      </w:r>
      <w:proofErr w:type="spellStart"/>
      <w:r w:rsidRPr="00557E6C">
        <w:rPr>
          <w:rFonts w:asciiTheme="minorHAnsi" w:eastAsiaTheme="minorHAnsi" w:hAnsiTheme="minorHAnsi" w:cstheme="minorBidi"/>
          <w:snapToGrid/>
          <w:sz w:val="24"/>
          <w:szCs w:val="22"/>
        </w:rPr>
        <w:t>sorafenib</w:t>
      </w:r>
      <w:proofErr w:type="spellEnd"/>
      <w:r w:rsidRPr="00557E6C">
        <w:rPr>
          <w:rFonts w:asciiTheme="minorHAnsi" w:eastAsiaTheme="minorHAnsi" w:hAnsiTheme="minorHAnsi" w:cstheme="minorBidi"/>
          <w:snapToGrid/>
          <w:sz w:val="24"/>
          <w:szCs w:val="22"/>
        </w:rPr>
        <w:t xml:space="preserve"> duration of treatment </w:t>
      </w:r>
      <w:r w:rsidR="00252638" w:rsidRPr="00557E6C">
        <w:rPr>
          <w:rFonts w:asciiTheme="minorHAnsi" w:eastAsiaTheme="minorHAnsi" w:hAnsiTheme="minorHAnsi" w:cstheme="minorBidi"/>
          <w:snapToGrid/>
          <w:sz w:val="24"/>
          <w:szCs w:val="22"/>
        </w:rPr>
        <w:t xml:space="preserve">recommended </w:t>
      </w:r>
      <w:r w:rsidRPr="00557E6C">
        <w:rPr>
          <w:rFonts w:asciiTheme="minorHAnsi" w:eastAsiaTheme="minorHAnsi" w:hAnsiTheme="minorHAnsi" w:cstheme="minorBidi"/>
          <w:snapToGrid/>
          <w:sz w:val="24"/>
          <w:szCs w:val="22"/>
        </w:rPr>
        <w:t xml:space="preserve">by the PBAC for the cost-minimisation analysis (6.0 months) </w:t>
      </w:r>
      <w:r w:rsidR="002F4DE5" w:rsidRPr="00557E6C">
        <w:rPr>
          <w:rFonts w:asciiTheme="minorHAnsi" w:eastAsiaTheme="minorHAnsi" w:hAnsiTheme="minorHAnsi" w:cstheme="minorBidi"/>
          <w:snapToGrid/>
          <w:sz w:val="24"/>
          <w:szCs w:val="22"/>
        </w:rPr>
        <w:t>to be</w:t>
      </w:r>
      <w:r w:rsidRPr="00557E6C">
        <w:rPr>
          <w:rFonts w:asciiTheme="minorHAnsi" w:eastAsiaTheme="minorHAnsi" w:hAnsiTheme="minorHAnsi" w:cstheme="minorBidi"/>
          <w:snapToGrid/>
          <w:sz w:val="24"/>
          <w:szCs w:val="22"/>
        </w:rPr>
        <w:t xml:space="preserve"> inconsistent with the use of </w:t>
      </w:r>
      <w:proofErr w:type="spellStart"/>
      <w:r w:rsidRPr="00557E6C">
        <w:rPr>
          <w:rFonts w:asciiTheme="minorHAnsi" w:eastAsiaTheme="minorHAnsi" w:hAnsiTheme="minorHAnsi" w:cstheme="minorBidi"/>
          <w:snapToGrid/>
          <w:sz w:val="24"/>
          <w:szCs w:val="22"/>
        </w:rPr>
        <w:t>sorafenib</w:t>
      </w:r>
      <w:proofErr w:type="spellEnd"/>
      <w:r w:rsidRPr="00557E6C">
        <w:rPr>
          <w:rFonts w:asciiTheme="minorHAnsi" w:eastAsiaTheme="minorHAnsi" w:hAnsiTheme="minorHAnsi" w:cstheme="minorBidi"/>
          <w:snapToGrid/>
          <w:sz w:val="24"/>
          <w:szCs w:val="22"/>
        </w:rPr>
        <w:t xml:space="preserve"> in Australia. </w:t>
      </w:r>
      <w:r w:rsidR="00F42ADE" w:rsidRPr="00557E6C">
        <w:rPr>
          <w:rFonts w:asciiTheme="minorHAnsi" w:eastAsiaTheme="minorHAnsi" w:hAnsiTheme="minorHAnsi" w:cstheme="minorBidi"/>
          <w:snapToGrid/>
          <w:sz w:val="24"/>
          <w:szCs w:val="22"/>
        </w:rPr>
        <w:t xml:space="preserve">The </w:t>
      </w:r>
      <w:r w:rsidR="0040585F" w:rsidRPr="00557E6C">
        <w:rPr>
          <w:rFonts w:asciiTheme="minorHAnsi" w:eastAsiaTheme="minorHAnsi" w:hAnsiTheme="minorHAnsi" w:cstheme="minorBidi"/>
          <w:snapToGrid/>
          <w:sz w:val="24"/>
          <w:szCs w:val="22"/>
        </w:rPr>
        <w:t>re</w:t>
      </w:r>
      <w:r w:rsidR="00F42ADE" w:rsidRPr="00557E6C">
        <w:rPr>
          <w:rFonts w:asciiTheme="minorHAnsi" w:eastAsiaTheme="minorHAnsi" w:hAnsiTheme="minorHAnsi" w:cstheme="minorBidi"/>
          <w:snapToGrid/>
          <w:sz w:val="24"/>
          <w:szCs w:val="22"/>
        </w:rPr>
        <w:t xml:space="preserve">submission provides </w:t>
      </w:r>
      <w:r w:rsidR="0069420E" w:rsidRPr="00557E6C">
        <w:rPr>
          <w:rFonts w:asciiTheme="minorHAnsi" w:eastAsiaTheme="minorHAnsi" w:hAnsiTheme="minorHAnsi" w:cstheme="minorBidi"/>
          <w:snapToGrid/>
          <w:sz w:val="24"/>
          <w:szCs w:val="22"/>
        </w:rPr>
        <w:t>the following</w:t>
      </w:r>
      <w:r w:rsidR="002F4DE5" w:rsidRPr="00557E6C">
        <w:rPr>
          <w:rFonts w:asciiTheme="minorHAnsi" w:eastAsiaTheme="minorHAnsi" w:hAnsiTheme="minorHAnsi" w:cstheme="minorBidi"/>
          <w:snapToGrid/>
          <w:sz w:val="24"/>
          <w:szCs w:val="22"/>
        </w:rPr>
        <w:t xml:space="preserve"> information to </w:t>
      </w:r>
      <w:r w:rsidR="00BA7A69">
        <w:rPr>
          <w:rFonts w:asciiTheme="minorHAnsi" w:eastAsiaTheme="minorHAnsi" w:hAnsiTheme="minorHAnsi" w:cstheme="minorBidi"/>
          <w:snapToGrid/>
          <w:sz w:val="24"/>
          <w:szCs w:val="22"/>
        </w:rPr>
        <w:t>support this claim.</w:t>
      </w:r>
    </w:p>
    <w:p w:rsidR="007F03B0" w:rsidRPr="00557E6C" w:rsidRDefault="0069420E" w:rsidP="0022471B">
      <w:pPr>
        <w:pStyle w:val="ListParagraph"/>
        <w:widowControl/>
        <w:numPr>
          <w:ilvl w:val="0"/>
          <w:numId w:val="20"/>
        </w:numPr>
        <w:spacing w:before="120" w:after="160"/>
        <w:contextualSpacing w:val="0"/>
        <w:rPr>
          <w:rFonts w:asciiTheme="minorHAnsi" w:eastAsiaTheme="minorHAnsi" w:hAnsiTheme="minorHAnsi" w:cstheme="minorBidi"/>
          <w:snapToGrid/>
          <w:sz w:val="24"/>
          <w:szCs w:val="22"/>
        </w:rPr>
      </w:pPr>
      <w:r w:rsidRPr="00557E6C">
        <w:rPr>
          <w:rFonts w:asciiTheme="minorHAnsi" w:eastAsiaTheme="minorHAnsi" w:hAnsiTheme="minorHAnsi" w:cstheme="minorBidi"/>
          <w:snapToGrid/>
          <w:sz w:val="24"/>
          <w:szCs w:val="22"/>
        </w:rPr>
        <w:t>The number of initiation and continuation</w:t>
      </w:r>
      <w:r w:rsidR="00035DB9" w:rsidRPr="00557E6C">
        <w:rPr>
          <w:rFonts w:asciiTheme="minorHAnsi" w:eastAsiaTheme="minorHAnsi" w:hAnsiTheme="minorHAnsi" w:cstheme="minorBidi"/>
          <w:snapToGrid/>
          <w:sz w:val="24"/>
          <w:szCs w:val="22"/>
        </w:rPr>
        <w:t xml:space="preserve"> scripts </w:t>
      </w:r>
      <w:r w:rsidRPr="00557E6C">
        <w:rPr>
          <w:rFonts w:asciiTheme="minorHAnsi" w:eastAsiaTheme="minorHAnsi" w:hAnsiTheme="minorHAnsi" w:cstheme="minorBidi"/>
          <w:snapToGrid/>
          <w:sz w:val="24"/>
          <w:szCs w:val="22"/>
        </w:rPr>
        <w:t xml:space="preserve">processed for </w:t>
      </w:r>
      <w:proofErr w:type="spellStart"/>
      <w:r w:rsidRPr="00557E6C">
        <w:rPr>
          <w:rFonts w:asciiTheme="minorHAnsi" w:eastAsiaTheme="minorHAnsi" w:hAnsiTheme="minorHAnsi" w:cstheme="minorBidi"/>
          <w:snapToGrid/>
          <w:sz w:val="24"/>
          <w:szCs w:val="22"/>
        </w:rPr>
        <w:t>sorafenib</w:t>
      </w:r>
      <w:proofErr w:type="spellEnd"/>
      <w:r w:rsidRPr="00557E6C">
        <w:rPr>
          <w:rFonts w:asciiTheme="minorHAnsi" w:eastAsiaTheme="minorHAnsi" w:hAnsiTheme="minorHAnsi" w:cstheme="minorBidi"/>
          <w:snapToGrid/>
          <w:sz w:val="24"/>
          <w:szCs w:val="22"/>
        </w:rPr>
        <w:t xml:space="preserve"> </w:t>
      </w:r>
      <w:r w:rsidR="00035DB9" w:rsidRPr="00557E6C">
        <w:rPr>
          <w:rFonts w:asciiTheme="minorHAnsi" w:eastAsiaTheme="minorHAnsi" w:hAnsiTheme="minorHAnsi" w:cstheme="minorBidi"/>
          <w:snapToGrid/>
          <w:sz w:val="24"/>
          <w:szCs w:val="22"/>
        </w:rPr>
        <w:t xml:space="preserve">from the PBS 10% sample data </w:t>
      </w:r>
      <w:proofErr w:type="gramStart"/>
      <w:r w:rsidR="00035DB9" w:rsidRPr="00557E6C">
        <w:rPr>
          <w:rFonts w:asciiTheme="minorHAnsi" w:eastAsiaTheme="minorHAnsi" w:hAnsiTheme="minorHAnsi" w:cstheme="minorBidi"/>
          <w:snapToGrid/>
          <w:sz w:val="24"/>
          <w:szCs w:val="22"/>
        </w:rPr>
        <w:t>was used</w:t>
      </w:r>
      <w:proofErr w:type="gramEnd"/>
      <w:r w:rsidR="00035DB9" w:rsidRPr="00557E6C">
        <w:rPr>
          <w:rFonts w:asciiTheme="minorHAnsi" w:eastAsiaTheme="minorHAnsi" w:hAnsiTheme="minorHAnsi" w:cstheme="minorBidi"/>
          <w:snapToGrid/>
          <w:sz w:val="24"/>
          <w:szCs w:val="22"/>
        </w:rPr>
        <w:t xml:space="preserve"> to determine the months of treatment </w:t>
      </w:r>
      <w:r w:rsidRPr="00557E6C">
        <w:rPr>
          <w:rFonts w:asciiTheme="minorHAnsi" w:eastAsiaTheme="minorHAnsi" w:hAnsiTheme="minorHAnsi" w:cstheme="minorBidi"/>
          <w:snapToGrid/>
          <w:sz w:val="24"/>
          <w:szCs w:val="22"/>
        </w:rPr>
        <w:t>for HCC</w:t>
      </w:r>
      <w:r w:rsidR="00734B85" w:rsidRPr="00557E6C">
        <w:rPr>
          <w:rStyle w:val="FootnoteReference"/>
          <w:rFonts w:asciiTheme="minorHAnsi" w:eastAsiaTheme="minorHAnsi" w:hAnsiTheme="minorHAnsi" w:cstheme="minorBidi"/>
          <w:snapToGrid/>
          <w:sz w:val="24"/>
          <w:szCs w:val="22"/>
        </w:rPr>
        <w:footnoteReference w:id="1"/>
      </w:r>
      <w:r w:rsidR="00035DB9" w:rsidRPr="00557E6C">
        <w:rPr>
          <w:rFonts w:asciiTheme="minorHAnsi" w:eastAsiaTheme="minorHAnsi" w:hAnsiTheme="minorHAnsi" w:cstheme="minorBidi"/>
          <w:i/>
          <w:snapToGrid/>
          <w:sz w:val="24"/>
          <w:szCs w:val="22"/>
        </w:rPr>
        <w:t>.</w:t>
      </w:r>
      <w:r w:rsidR="00AE1CDA" w:rsidRPr="00557E6C">
        <w:rPr>
          <w:rFonts w:asciiTheme="minorHAnsi" w:eastAsiaTheme="minorHAnsi" w:hAnsiTheme="minorHAnsi" w:cstheme="minorBidi"/>
          <w:snapToGrid/>
          <w:sz w:val="24"/>
          <w:szCs w:val="22"/>
        </w:rPr>
        <w:t xml:space="preserve"> Utilising all the available data, the treatment duration </w:t>
      </w:r>
      <w:proofErr w:type="gramStart"/>
      <w:r w:rsidR="00AE1CDA" w:rsidRPr="00557E6C">
        <w:rPr>
          <w:rFonts w:asciiTheme="minorHAnsi" w:eastAsiaTheme="minorHAnsi" w:hAnsiTheme="minorHAnsi" w:cstheme="minorBidi"/>
          <w:snapToGrid/>
          <w:sz w:val="24"/>
          <w:szCs w:val="22"/>
        </w:rPr>
        <w:t>was calculated</w:t>
      </w:r>
      <w:proofErr w:type="gramEnd"/>
      <w:r w:rsidR="00AE1CDA" w:rsidRPr="00557E6C">
        <w:rPr>
          <w:rFonts w:asciiTheme="minorHAnsi" w:eastAsiaTheme="minorHAnsi" w:hAnsiTheme="minorHAnsi" w:cstheme="minorBidi"/>
          <w:snapToGrid/>
          <w:sz w:val="24"/>
          <w:szCs w:val="22"/>
        </w:rPr>
        <w:t xml:space="preserve"> as 3.8 months. </w:t>
      </w:r>
      <w:r w:rsidR="00035DB9" w:rsidRPr="001E2A5B">
        <w:rPr>
          <w:rFonts w:asciiTheme="minorHAnsi" w:eastAsiaTheme="minorHAnsi" w:hAnsiTheme="minorHAnsi" w:cstheme="minorBidi"/>
          <w:snapToGrid/>
          <w:sz w:val="24"/>
          <w:szCs w:val="22"/>
        </w:rPr>
        <w:t>A more appropriate</w:t>
      </w:r>
      <w:r w:rsidR="00AE1CDA" w:rsidRPr="001E2A5B">
        <w:rPr>
          <w:rFonts w:asciiTheme="minorHAnsi" w:eastAsiaTheme="minorHAnsi" w:hAnsiTheme="minorHAnsi" w:cstheme="minorBidi"/>
          <w:snapToGrid/>
          <w:sz w:val="24"/>
          <w:szCs w:val="22"/>
        </w:rPr>
        <w:t xml:space="preserve"> method for determining the </w:t>
      </w:r>
      <w:proofErr w:type="spellStart"/>
      <w:r w:rsidR="00AE1CDA" w:rsidRPr="001E2A5B">
        <w:rPr>
          <w:rFonts w:asciiTheme="minorHAnsi" w:eastAsiaTheme="minorHAnsi" w:hAnsiTheme="minorHAnsi" w:cstheme="minorBidi"/>
          <w:snapToGrid/>
          <w:sz w:val="24"/>
          <w:szCs w:val="22"/>
        </w:rPr>
        <w:t>sorafenib</w:t>
      </w:r>
      <w:proofErr w:type="spellEnd"/>
      <w:r w:rsidR="00AE1CDA" w:rsidRPr="001E2A5B">
        <w:rPr>
          <w:rFonts w:asciiTheme="minorHAnsi" w:eastAsiaTheme="minorHAnsi" w:hAnsiTheme="minorHAnsi" w:cstheme="minorBidi"/>
          <w:snapToGrid/>
          <w:sz w:val="24"/>
          <w:szCs w:val="22"/>
        </w:rPr>
        <w:t xml:space="preserve"> treatment duration would </w:t>
      </w:r>
      <w:r w:rsidR="00385EC2" w:rsidRPr="001E2A5B">
        <w:rPr>
          <w:rFonts w:asciiTheme="minorHAnsi" w:eastAsiaTheme="minorHAnsi" w:hAnsiTheme="minorHAnsi" w:cstheme="minorBidi"/>
          <w:snapToGrid/>
          <w:sz w:val="24"/>
          <w:szCs w:val="22"/>
        </w:rPr>
        <w:t xml:space="preserve">be </w:t>
      </w:r>
      <w:r w:rsidR="00F70CC1" w:rsidRPr="00557E6C">
        <w:rPr>
          <w:rFonts w:asciiTheme="minorHAnsi" w:eastAsiaTheme="minorHAnsi" w:hAnsiTheme="minorHAnsi" w:cstheme="minorBidi"/>
          <w:snapToGrid/>
          <w:sz w:val="24"/>
          <w:szCs w:val="22"/>
        </w:rPr>
        <w:t xml:space="preserve">to conduct a </w:t>
      </w:r>
      <w:r w:rsidR="00150915" w:rsidRPr="00557E6C">
        <w:rPr>
          <w:rFonts w:asciiTheme="minorHAnsi" w:eastAsiaTheme="minorHAnsi" w:hAnsiTheme="minorHAnsi" w:cstheme="minorBidi"/>
          <w:snapToGrid/>
          <w:sz w:val="24"/>
          <w:szCs w:val="22"/>
        </w:rPr>
        <w:t xml:space="preserve">patient-based </w:t>
      </w:r>
      <w:r w:rsidR="00385EC2" w:rsidRPr="00557E6C">
        <w:rPr>
          <w:rFonts w:asciiTheme="minorHAnsi" w:eastAsiaTheme="minorHAnsi" w:hAnsiTheme="minorHAnsi" w:cstheme="minorBidi"/>
          <w:snapToGrid/>
          <w:sz w:val="24"/>
          <w:szCs w:val="22"/>
        </w:rPr>
        <w:t xml:space="preserve">Kaplan Meier </w:t>
      </w:r>
      <w:r w:rsidR="002A65A3" w:rsidRPr="00557E6C">
        <w:rPr>
          <w:rFonts w:asciiTheme="minorHAnsi" w:eastAsiaTheme="minorHAnsi" w:hAnsiTheme="minorHAnsi" w:cstheme="minorBidi"/>
          <w:snapToGrid/>
          <w:sz w:val="24"/>
          <w:szCs w:val="22"/>
        </w:rPr>
        <w:t xml:space="preserve">(KM) </w:t>
      </w:r>
      <w:r w:rsidR="00385EC2" w:rsidRPr="00557E6C">
        <w:rPr>
          <w:rFonts w:asciiTheme="minorHAnsi" w:eastAsiaTheme="minorHAnsi" w:hAnsiTheme="minorHAnsi" w:cstheme="minorBidi"/>
          <w:snapToGrid/>
          <w:sz w:val="24"/>
          <w:szCs w:val="22"/>
        </w:rPr>
        <w:t>length of treatment analyses</w:t>
      </w:r>
      <w:r w:rsidR="00BE75CE" w:rsidRPr="00557E6C">
        <w:rPr>
          <w:rFonts w:asciiTheme="minorHAnsi" w:eastAsiaTheme="minorHAnsi" w:hAnsiTheme="minorHAnsi" w:cstheme="minorBidi"/>
          <w:snapToGrid/>
          <w:sz w:val="24"/>
          <w:szCs w:val="22"/>
        </w:rPr>
        <w:t>.</w:t>
      </w:r>
      <w:r w:rsidR="00C1090A" w:rsidRPr="00557E6C">
        <w:rPr>
          <w:rFonts w:asciiTheme="minorHAnsi" w:eastAsiaTheme="minorHAnsi" w:hAnsiTheme="minorHAnsi" w:cstheme="minorBidi"/>
          <w:snapToGrid/>
          <w:sz w:val="24"/>
          <w:szCs w:val="22"/>
        </w:rPr>
        <w:t xml:space="preserve"> </w:t>
      </w:r>
      <w:r w:rsidR="00AE1CDA" w:rsidRPr="00557E6C">
        <w:rPr>
          <w:rFonts w:asciiTheme="minorHAnsi" w:eastAsiaTheme="minorHAnsi" w:hAnsiTheme="minorHAnsi" w:cstheme="minorBidi"/>
          <w:snapToGrid/>
          <w:sz w:val="24"/>
          <w:szCs w:val="22"/>
        </w:rPr>
        <w:t xml:space="preserve">This would more accurately reflect the treatment duration for individual patients. </w:t>
      </w:r>
      <w:r w:rsidR="00BB1389" w:rsidRPr="00557E6C">
        <w:rPr>
          <w:rFonts w:asciiTheme="minorHAnsi" w:eastAsiaTheme="minorHAnsi" w:hAnsiTheme="minorHAnsi" w:cstheme="minorBidi"/>
          <w:snapToGrid/>
          <w:sz w:val="24"/>
          <w:szCs w:val="22"/>
        </w:rPr>
        <w:t>The PBAC</w:t>
      </w:r>
      <w:r w:rsidR="00FE6A63" w:rsidRPr="00557E6C">
        <w:rPr>
          <w:rFonts w:asciiTheme="minorHAnsi" w:eastAsiaTheme="minorHAnsi" w:hAnsiTheme="minorHAnsi" w:cstheme="minorBidi"/>
          <w:snapToGrid/>
          <w:sz w:val="24"/>
          <w:szCs w:val="22"/>
        </w:rPr>
        <w:t xml:space="preserve"> noted</w:t>
      </w:r>
      <w:r w:rsidR="00BB1389" w:rsidRPr="00557E6C">
        <w:rPr>
          <w:rFonts w:asciiTheme="minorHAnsi" w:eastAsiaTheme="minorHAnsi" w:hAnsiTheme="minorHAnsi" w:cstheme="minorBidi"/>
          <w:snapToGrid/>
          <w:sz w:val="24"/>
          <w:szCs w:val="22"/>
        </w:rPr>
        <w:t xml:space="preserve"> the inclusion of a KM curve in</w:t>
      </w:r>
      <w:r w:rsidR="00FE6A63" w:rsidRPr="00557E6C">
        <w:rPr>
          <w:rFonts w:asciiTheme="minorHAnsi" w:eastAsiaTheme="minorHAnsi" w:hAnsiTheme="minorHAnsi" w:cstheme="minorBidi"/>
          <w:snapToGrid/>
          <w:sz w:val="24"/>
          <w:szCs w:val="22"/>
        </w:rPr>
        <w:t xml:space="preserve"> the pre-PBAC response but limited details on the methodology </w:t>
      </w:r>
      <w:proofErr w:type="gramStart"/>
      <w:r w:rsidR="00FE6A63" w:rsidRPr="00557E6C">
        <w:rPr>
          <w:rFonts w:asciiTheme="minorHAnsi" w:eastAsiaTheme="minorHAnsi" w:hAnsiTheme="minorHAnsi" w:cstheme="minorBidi"/>
          <w:snapToGrid/>
          <w:sz w:val="24"/>
          <w:szCs w:val="22"/>
        </w:rPr>
        <w:t>were provided</w:t>
      </w:r>
      <w:proofErr w:type="gramEnd"/>
      <w:r w:rsidR="000F718F" w:rsidRPr="00557E6C">
        <w:rPr>
          <w:rFonts w:asciiTheme="minorHAnsi" w:eastAsiaTheme="minorHAnsi" w:hAnsiTheme="minorHAnsi" w:cstheme="minorBidi"/>
          <w:snapToGrid/>
          <w:sz w:val="24"/>
          <w:szCs w:val="22"/>
        </w:rPr>
        <w:t>.</w:t>
      </w:r>
      <w:r w:rsidR="00AE5102" w:rsidRPr="00557E6C">
        <w:rPr>
          <w:rFonts w:asciiTheme="minorHAnsi" w:eastAsiaTheme="minorHAnsi" w:hAnsiTheme="minorHAnsi" w:cstheme="minorBidi"/>
          <w:snapToGrid/>
          <w:sz w:val="24"/>
          <w:szCs w:val="22"/>
        </w:rPr>
        <w:t xml:space="preserve"> The PBAC considered that the preferred approach for estimating treatment duration is from clinical trials.</w:t>
      </w:r>
    </w:p>
    <w:p w:rsidR="0069420E" w:rsidRPr="00557E6C" w:rsidRDefault="002B61B9" w:rsidP="0022471B">
      <w:pPr>
        <w:pStyle w:val="ListParagraph"/>
        <w:widowControl/>
        <w:numPr>
          <w:ilvl w:val="0"/>
          <w:numId w:val="20"/>
        </w:numPr>
        <w:spacing w:before="120" w:after="160"/>
        <w:contextualSpacing w:val="0"/>
        <w:rPr>
          <w:rFonts w:asciiTheme="minorHAnsi" w:eastAsiaTheme="minorHAnsi" w:hAnsiTheme="minorHAnsi" w:cstheme="minorBidi"/>
          <w:snapToGrid/>
          <w:sz w:val="24"/>
          <w:szCs w:val="22"/>
        </w:rPr>
      </w:pPr>
      <w:r w:rsidRPr="00557E6C">
        <w:rPr>
          <w:rFonts w:asciiTheme="minorHAnsi" w:eastAsiaTheme="minorHAnsi" w:hAnsiTheme="minorHAnsi" w:cstheme="minorBidi"/>
          <w:snapToGrid/>
          <w:sz w:val="24"/>
          <w:szCs w:val="22"/>
        </w:rPr>
        <w:t xml:space="preserve">A retrospective analysis of 320 patients treated with </w:t>
      </w:r>
      <w:proofErr w:type="spellStart"/>
      <w:r w:rsidRPr="00557E6C">
        <w:rPr>
          <w:rFonts w:asciiTheme="minorHAnsi" w:eastAsiaTheme="minorHAnsi" w:hAnsiTheme="minorHAnsi" w:cstheme="minorBidi"/>
          <w:snapToGrid/>
          <w:sz w:val="24"/>
          <w:szCs w:val="22"/>
        </w:rPr>
        <w:t>sorafenib</w:t>
      </w:r>
      <w:proofErr w:type="spellEnd"/>
      <w:r w:rsidRPr="00557E6C">
        <w:rPr>
          <w:rFonts w:asciiTheme="minorHAnsi" w:eastAsiaTheme="minorHAnsi" w:hAnsiTheme="minorHAnsi" w:cstheme="minorBidi"/>
          <w:snapToGrid/>
          <w:sz w:val="24"/>
          <w:szCs w:val="22"/>
        </w:rPr>
        <w:t xml:space="preserve"> for HCC across </w:t>
      </w:r>
      <w:proofErr w:type="gramStart"/>
      <w:r w:rsidRPr="00557E6C">
        <w:rPr>
          <w:rFonts w:asciiTheme="minorHAnsi" w:eastAsiaTheme="minorHAnsi" w:hAnsiTheme="minorHAnsi" w:cstheme="minorBidi"/>
          <w:snapToGrid/>
          <w:sz w:val="24"/>
          <w:szCs w:val="22"/>
        </w:rPr>
        <w:t>8</w:t>
      </w:r>
      <w:proofErr w:type="gramEnd"/>
      <w:r w:rsidRPr="00557E6C">
        <w:rPr>
          <w:rFonts w:asciiTheme="minorHAnsi" w:eastAsiaTheme="minorHAnsi" w:hAnsiTheme="minorHAnsi" w:cstheme="minorBidi"/>
          <w:snapToGrid/>
          <w:sz w:val="24"/>
          <w:szCs w:val="22"/>
        </w:rPr>
        <w:t xml:space="preserve"> Australian tertiary hospitals was used to support </w:t>
      </w:r>
      <w:r w:rsidR="007F03B0" w:rsidRPr="00557E6C">
        <w:rPr>
          <w:rFonts w:asciiTheme="minorHAnsi" w:eastAsiaTheme="minorHAnsi" w:hAnsiTheme="minorHAnsi" w:cstheme="minorBidi"/>
          <w:snapToGrid/>
          <w:sz w:val="24"/>
          <w:szCs w:val="22"/>
        </w:rPr>
        <w:t>a shorter</w:t>
      </w:r>
      <w:r w:rsidRPr="00557E6C">
        <w:rPr>
          <w:rFonts w:asciiTheme="minorHAnsi" w:eastAsiaTheme="minorHAnsi" w:hAnsiTheme="minorHAnsi" w:cstheme="minorBidi"/>
          <w:snapToGrid/>
          <w:sz w:val="24"/>
          <w:szCs w:val="22"/>
        </w:rPr>
        <w:t xml:space="preserve"> treatment duration than 6.0 months. The median duration of treatment was 3.0 months (interquartile range: 1.4, 5.5). The final </w:t>
      </w:r>
      <w:proofErr w:type="spellStart"/>
      <w:r w:rsidRPr="00557E6C">
        <w:rPr>
          <w:rFonts w:asciiTheme="minorHAnsi" w:eastAsiaTheme="minorHAnsi" w:hAnsiTheme="minorHAnsi" w:cstheme="minorBidi"/>
          <w:snapToGrid/>
          <w:sz w:val="24"/>
          <w:szCs w:val="22"/>
        </w:rPr>
        <w:t>sorafenib</w:t>
      </w:r>
      <w:proofErr w:type="spellEnd"/>
      <w:r w:rsidRPr="00557E6C">
        <w:rPr>
          <w:rFonts w:asciiTheme="minorHAnsi" w:eastAsiaTheme="minorHAnsi" w:hAnsiTheme="minorHAnsi" w:cstheme="minorBidi"/>
          <w:snapToGrid/>
          <w:sz w:val="24"/>
          <w:szCs w:val="22"/>
        </w:rPr>
        <w:t xml:space="preserve"> dose was 800mg in 54% of patients and </w:t>
      </w:r>
      <w:r w:rsidRPr="00557E6C">
        <w:rPr>
          <w:rFonts w:asciiTheme="minorHAnsi" w:eastAsiaTheme="minorHAnsi" w:hAnsiTheme="minorHAnsi" w:cstheme="minorHAnsi"/>
          <w:snapToGrid/>
          <w:sz w:val="24"/>
          <w:szCs w:val="22"/>
        </w:rPr>
        <w:t>≤</w:t>
      </w:r>
      <w:r w:rsidRPr="00557E6C">
        <w:rPr>
          <w:rFonts w:asciiTheme="minorHAnsi" w:eastAsiaTheme="minorHAnsi" w:hAnsiTheme="minorHAnsi" w:cstheme="minorBidi"/>
          <w:snapToGrid/>
          <w:sz w:val="24"/>
          <w:szCs w:val="22"/>
        </w:rPr>
        <w:t xml:space="preserve">400mg in 46% of patients. </w:t>
      </w:r>
      <w:r w:rsidR="00CD43EB" w:rsidRPr="00557E6C">
        <w:rPr>
          <w:rFonts w:asciiTheme="minorHAnsi" w:eastAsiaTheme="minorHAnsi" w:hAnsiTheme="minorHAnsi" w:cstheme="minorBidi"/>
          <w:snapToGrid/>
          <w:sz w:val="24"/>
          <w:szCs w:val="22"/>
        </w:rPr>
        <w:t>It is unclear how this patient population compares to the patients in Study 304.</w:t>
      </w:r>
      <w:r w:rsidR="00252638" w:rsidRPr="00557E6C">
        <w:rPr>
          <w:rFonts w:asciiTheme="minorHAnsi" w:eastAsiaTheme="minorHAnsi" w:hAnsiTheme="minorHAnsi" w:cstheme="minorBidi"/>
          <w:snapToGrid/>
          <w:sz w:val="24"/>
          <w:szCs w:val="22"/>
        </w:rPr>
        <w:t xml:space="preserve"> </w:t>
      </w:r>
      <w:r w:rsidR="007F03B0" w:rsidRPr="00557E6C">
        <w:rPr>
          <w:rFonts w:asciiTheme="minorHAnsi" w:eastAsiaTheme="minorHAnsi" w:hAnsiTheme="minorHAnsi" w:cstheme="minorBidi"/>
          <w:snapToGrid/>
          <w:sz w:val="24"/>
          <w:szCs w:val="22"/>
        </w:rPr>
        <w:t>Additio</w:t>
      </w:r>
      <w:r w:rsidR="00294E53" w:rsidRPr="00557E6C">
        <w:rPr>
          <w:rFonts w:asciiTheme="minorHAnsi" w:eastAsiaTheme="minorHAnsi" w:hAnsiTheme="minorHAnsi" w:cstheme="minorBidi"/>
          <w:snapToGrid/>
          <w:sz w:val="24"/>
          <w:szCs w:val="22"/>
        </w:rPr>
        <w:t>nally, the corresponding data are</w:t>
      </w:r>
      <w:r w:rsidR="007F03B0" w:rsidRPr="00557E6C">
        <w:rPr>
          <w:rFonts w:asciiTheme="minorHAnsi" w:eastAsiaTheme="minorHAnsi" w:hAnsiTheme="minorHAnsi" w:cstheme="minorBidi"/>
          <w:snapToGrid/>
          <w:sz w:val="24"/>
          <w:szCs w:val="22"/>
        </w:rPr>
        <w:t xml:space="preserve"> not available for lenvatinib.</w:t>
      </w:r>
    </w:p>
    <w:p w:rsidR="00D266C9" w:rsidRPr="00557E6C" w:rsidRDefault="00294E53" w:rsidP="00A777FB">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557E6C">
        <w:rPr>
          <w:rFonts w:asciiTheme="minorHAnsi" w:eastAsiaTheme="minorHAnsi" w:hAnsiTheme="minorHAnsi" w:cstheme="minorBidi"/>
          <w:snapToGrid/>
          <w:sz w:val="24"/>
          <w:szCs w:val="22"/>
        </w:rPr>
        <w:t>The secretariat note</w:t>
      </w:r>
      <w:r w:rsidR="006F64EE" w:rsidRPr="00557E6C">
        <w:rPr>
          <w:rFonts w:asciiTheme="minorHAnsi" w:eastAsiaTheme="minorHAnsi" w:hAnsiTheme="minorHAnsi" w:cstheme="minorBidi"/>
          <w:snapToGrid/>
          <w:sz w:val="24"/>
          <w:szCs w:val="22"/>
        </w:rPr>
        <w:t>d</w:t>
      </w:r>
      <w:r w:rsidRPr="00557E6C">
        <w:rPr>
          <w:rFonts w:asciiTheme="minorHAnsi" w:eastAsiaTheme="minorHAnsi" w:hAnsiTheme="minorHAnsi" w:cstheme="minorBidi"/>
          <w:snapToGrid/>
          <w:sz w:val="24"/>
          <w:szCs w:val="22"/>
        </w:rPr>
        <w:t xml:space="preserve"> b</w:t>
      </w:r>
      <w:r w:rsidR="009746ED" w:rsidRPr="00557E6C">
        <w:rPr>
          <w:rFonts w:asciiTheme="minorHAnsi" w:eastAsiaTheme="minorHAnsi" w:hAnsiTheme="minorHAnsi" w:cstheme="minorBidi"/>
          <w:snapToGrid/>
          <w:sz w:val="24"/>
          <w:szCs w:val="22"/>
        </w:rPr>
        <w:t>ased on medians</w:t>
      </w:r>
      <w:r w:rsidR="00395AF6" w:rsidRPr="00557E6C">
        <w:rPr>
          <w:rFonts w:asciiTheme="minorHAnsi" w:eastAsiaTheme="minorHAnsi" w:hAnsiTheme="minorHAnsi" w:cstheme="minorBidi"/>
          <w:snapToGrid/>
          <w:sz w:val="24"/>
          <w:szCs w:val="22"/>
        </w:rPr>
        <w:t>,</w:t>
      </w:r>
      <w:r w:rsidR="009746ED" w:rsidRPr="00557E6C">
        <w:rPr>
          <w:rFonts w:asciiTheme="minorHAnsi" w:eastAsiaTheme="minorHAnsi" w:hAnsiTheme="minorHAnsi" w:cstheme="minorBidi"/>
          <w:snapToGrid/>
          <w:sz w:val="24"/>
          <w:szCs w:val="22"/>
        </w:rPr>
        <w:t xml:space="preserve"> the treatment duration with lenvatinib is 1.5</w:t>
      </w:r>
      <w:r w:rsidR="001F32DC" w:rsidRPr="00557E6C">
        <w:rPr>
          <w:rFonts w:asciiTheme="minorHAnsi" w:eastAsiaTheme="minorHAnsi" w:hAnsiTheme="minorHAnsi" w:cstheme="minorBidi"/>
          <w:snapToGrid/>
          <w:sz w:val="24"/>
          <w:szCs w:val="22"/>
        </w:rPr>
        <w:t>4</w:t>
      </w:r>
      <w:r w:rsidR="009746ED" w:rsidRPr="00557E6C">
        <w:rPr>
          <w:rFonts w:asciiTheme="minorHAnsi" w:eastAsiaTheme="minorHAnsi" w:hAnsiTheme="minorHAnsi" w:cstheme="minorBidi"/>
          <w:snapToGrid/>
          <w:sz w:val="24"/>
          <w:szCs w:val="22"/>
        </w:rPr>
        <w:t xml:space="preserve"> time that with </w:t>
      </w:r>
      <w:proofErr w:type="spellStart"/>
      <w:r w:rsidR="009746ED" w:rsidRPr="00557E6C">
        <w:rPr>
          <w:rFonts w:asciiTheme="minorHAnsi" w:eastAsiaTheme="minorHAnsi" w:hAnsiTheme="minorHAnsi" w:cstheme="minorBidi"/>
          <w:snapToGrid/>
          <w:sz w:val="24"/>
          <w:szCs w:val="22"/>
        </w:rPr>
        <w:t>sor</w:t>
      </w:r>
      <w:r w:rsidR="003B57D9" w:rsidRPr="00557E6C">
        <w:rPr>
          <w:rFonts w:asciiTheme="minorHAnsi" w:eastAsiaTheme="minorHAnsi" w:hAnsiTheme="minorHAnsi" w:cstheme="minorBidi"/>
          <w:snapToGrid/>
          <w:sz w:val="24"/>
          <w:szCs w:val="22"/>
        </w:rPr>
        <w:t>a</w:t>
      </w:r>
      <w:r w:rsidR="009746ED" w:rsidRPr="00557E6C">
        <w:rPr>
          <w:rFonts w:asciiTheme="minorHAnsi" w:eastAsiaTheme="minorHAnsi" w:hAnsiTheme="minorHAnsi" w:cstheme="minorBidi"/>
          <w:snapToGrid/>
          <w:sz w:val="24"/>
          <w:szCs w:val="22"/>
        </w:rPr>
        <w:t>fenib</w:t>
      </w:r>
      <w:proofErr w:type="spellEnd"/>
      <w:r w:rsidR="009746ED" w:rsidRPr="00557E6C">
        <w:rPr>
          <w:rFonts w:asciiTheme="minorHAnsi" w:eastAsiaTheme="minorHAnsi" w:hAnsiTheme="minorHAnsi" w:cstheme="minorBidi"/>
          <w:snapToGrid/>
          <w:sz w:val="24"/>
          <w:szCs w:val="22"/>
        </w:rPr>
        <w:t xml:space="preserve"> (5.7 vs 3.7 months) whereas based on means</w:t>
      </w:r>
      <w:r w:rsidR="00395AF6" w:rsidRPr="00557E6C">
        <w:rPr>
          <w:rFonts w:asciiTheme="minorHAnsi" w:eastAsiaTheme="minorHAnsi" w:hAnsiTheme="minorHAnsi" w:cstheme="minorBidi"/>
          <w:snapToGrid/>
          <w:sz w:val="24"/>
          <w:szCs w:val="22"/>
        </w:rPr>
        <w:t>,</w:t>
      </w:r>
      <w:r w:rsidR="009746ED" w:rsidRPr="00557E6C">
        <w:rPr>
          <w:rFonts w:asciiTheme="minorHAnsi" w:eastAsiaTheme="minorHAnsi" w:hAnsiTheme="minorHAnsi" w:cstheme="minorBidi"/>
          <w:snapToGrid/>
          <w:sz w:val="24"/>
          <w:szCs w:val="22"/>
        </w:rPr>
        <w:t xml:space="preserve"> the treatment duration with lenvatinib is 1.37 times that with </w:t>
      </w:r>
      <w:proofErr w:type="spellStart"/>
      <w:r w:rsidR="009746ED" w:rsidRPr="00557E6C">
        <w:rPr>
          <w:rFonts w:asciiTheme="minorHAnsi" w:eastAsiaTheme="minorHAnsi" w:hAnsiTheme="minorHAnsi" w:cstheme="minorBidi"/>
          <w:snapToGrid/>
          <w:sz w:val="24"/>
          <w:szCs w:val="22"/>
        </w:rPr>
        <w:t>sorafenib</w:t>
      </w:r>
      <w:proofErr w:type="spellEnd"/>
      <w:r w:rsidR="009746ED" w:rsidRPr="00557E6C">
        <w:rPr>
          <w:rFonts w:asciiTheme="minorHAnsi" w:eastAsiaTheme="minorHAnsi" w:hAnsiTheme="minorHAnsi" w:cstheme="minorBidi"/>
          <w:snapToGrid/>
          <w:sz w:val="24"/>
          <w:szCs w:val="22"/>
        </w:rPr>
        <w:t xml:space="preserve"> (8.2 vs 6.0 months). </w:t>
      </w:r>
      <w:proofErr w:type="gramStart"/>
      <w:r w:rsidR="009746ED" w:rsidRPr="00557E6C">
        <w:rPr>
          <w:rFonts w:asciiTheme="minorHAnsi" w:eastAsiaTheme="minorHAnsi" w:hAnsiTheme="minorHAnsi" w:cstheme="minorBidi"/>
          <w:snapToGrid/>
          <w:sz w:val="24"/>
          <w:szCs w:val="22"/>
        </w:rPr>
        <w:t>Thus</w:t>
      </w:r>
      <w:proofErr w:type="gramEnd"/>
      <w:r w:rsidR="009746ED" w:rsidRPr="00557E6C">
        <w:rPr>
          <w:rFonts w:asciiTheme="minorHAnsi" w:eastAsiaTheme="minorHAnsi" w:hAnsiTheme="minorHAnsi" w:cstheme="minorBidi"/>
          <w:snapToGrid/>
          <w:sz w:val="24"/>
          <w:szCs w:val="22"/>
        </w:rPr>
        <w:t xml:space="preserve"> the use of median treatment durations increases the </w:t>
      </w:r>
      <w:r w:rsidR="00D266C9" w:rsidRPr="00557E6C">
        <w:rPr>
          <w:rFonts w:asciiTheme="minorHAnsi" w:eastAsiaTheme="minorHAnsi" w:hAnsiTheme="minorHAnsi" w:cstheme="minorBidi"/>
          <w:snapToGrid/>
          <w:sz w:val="24"/>
          <w:szCs w:val="22"/>
        </w:rPr>
        <w:t xml:space="preserve">amount of lenvatinib required relative to that of </w:t>
      </w:r>
      <w:proofErr w:type="spellStart"/>
      <w:r w:rsidR="00D266C9" w:rsidRPr="00557E6C">
        <w:rPr>
          <w:rFonts w:asciiTheme="minorHAnsi" w:eastAsiaTheme="minorHAnsi" w:hAnsiTheme="minorHAnsi" w:cstheme="minorBidi"/>
          <w:snapToGrid/>
          <w:sz w:val="24"/>
          <w:szCs w:val="22"/>
        </w:rPr>
        <w:t>sorafenib</w:t>
      </w:r>
      <w:proofErr w:type="spellEnd"/>
      <w:r w:rsidR="001F32DC" w:rsidRPr="00557E6C">
        <w:rPr>
          <w:rFonts w:asciiTheme="minorHAnsi" w:eastAsiaTheme="minorHAnsi" w:hAnsiTheme="minorHAnsi" w:cstheme="minorBidi"/>
          <w:snapToGrid/>
          <w:sz w:val="24"/>
          <w:szCs w:val="22"/>
        </w:rPr>
        <w:t>,</w:t>
      </w:r>
      <w:r w:rsidR="00D266C9" w:rsidRPr="00557E6C">
        <w:rPr>
          <w:rFonts w:asciiTheme="minorHAnsi" w:eastAsiaTheme="minorHAnsi" w:hAnsiTheme="minorHAnsi" w:cstheme="minorBidi"/>
          <w:snapToGrid/>
          <w:sz w:val="24"/>
          <w:szCs w:val="22"/>
        </w:rPr>
        <w:t xml:space="preserve"> and hence reduces the monthly cost</w:t>
      </w:r>
      <w:r w:rsidR="00395AF6" w:rsidRPr="00557E6C">
        <w:rPr>
          <w:rFonts w:asciiTheme="minorHAnsi" w:eastAsiaTheme="minorHAnsi" w:hAnsiTheme="minorHAnsi" w:cstheme="minorBidi"/>
          <w:snapToGrid/>
          <w:sz w:val="24"/>
          <w:szCs w:val="22"/>
        </w:rPr>
        <w:t xml:space="preserve"> of lenvatinib</w:t>
      </w:r>
      <w:r w:rsidR="00BA7A69">
        <w:rPr>
          <w:rFonts w:asciiTheme="minorHAnsi" w:eastAsiaTheme="minorHAnsi" w:hAnsiTheme="minorHAnsi" w:cstheme="minorBidi"/>
          <w:snapToGrid/>
          <w:sz w:val="24"/>
          <w:szCs w:val="22"/>
        </w:rPr>
        <w:t>.</w:t>
      </w:r>
    </w:p>
    <w:p w:rsidR="009746ED" w:rsidRPr="00557E6C" w:rsidRDefault="00294E53" w:rsidP="00A777FB">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557E6C">
        <w:rPr>
          <w:rFonts w:asciiTheme="minorHAnsi" w:eastAsiaTheme="minorHAnsi" w:hAnsiTheme="minorHAnsi" w:cstheme="minorBidi"/>
          <w:snapToGrid/>
          <w:sz w:val="24"/>
          <w:szCs w:val="22"/>
        </w:rPr>
        <w:t>The secretariat note</w:t>
      </w:r>
      <w:r w:rsidR="006F64EE" w:rsidRPr="00557E6C">
        <w:rPr>
          <w:rFonts w:asciiTheme="minorHAnsi" w:eastAsiaTheme="minorHAnsi" w:hAnsiTheme="minorHAnsi" w:cstheme="minorBidi"/>
          <w:snapToGrid/>
          <w:sz w:val="24"/>
          <w:szCs w:val="22"/>
        </w:rPr>
        <w:t>d</w:t>
      </w:r>
      <w:r w:rsidRPr="00557E6C">
        <w:rPr>
          <w:rFonts w:asciiTheme="minorHAnsi" w:eastAsiaTheme="minorHAnsi" w:hAnsiTheme="minorHAnsi" w:cstheme="minorBidi"/>
          <w:snapToGrid/>
          <w:sz w:val="24"/>
          <w:szCs w:val="22"/>
        </w:rPr>
        <w:t xml:space="preserve"> the </w:t>
      </w:r>
      <w:proofErr w:type="spellStart"/>
      <w:r w:rsidRPr="00557E6C">
        <w:rPr>
          <w:rFonts w:asciiTheme="minorHAnsi" w:eastAsiaTheme="minorHAnsi" w:hAnsiTheme="minorHAnsi" w:cstheme="minorBidi"/>
          <w:snapToGrid/>
          <w:sz w:val="24"/>
          <w:szCs w:val="22"/>
        </w:rPr>
        <w:t>e</w:t>
      </w:r>
      <w:r w:rsidR="00D266C9" w:rsidRPr="00557E6C">
        <w:rPr>
          <w:rFonts w:asciiTheme="minorHAnsi" w:eastAsiaTheme="minorHAnsi" w:hAnsiTheme="minorHAnsi" w:cstheme="minorBidi"/>
          <w:snapToGrid/>
          <w:sz w:val="24"/>
          <w:szCs w:val="22"/>
        </w:rPr>
        <w:t>qui</w:t>
      </w:r>
      <w:proofErr w:type="spellEnd"/>
      <w:r w:rsidR="00D266C9" w:rsidRPr="00557E6C">
        <w:rPr>
          <w:rFonts w:asciiTheme="minorHAnsi" w:eastAsiaTheme="minorHAnsi" w:hAnsiTheme="minorHAnsi" w:cstheme="minorBidi"/>
          <w:snapToGrid/>
          <w:sz w:val="24"/>
          <w:szCs w:val="22"/>
        </w:rPr>
        <w:t>-effective doses based on medians rather than means results in a higher price for lenvatinib because of the relatively low dose for lenvatinib (medians: 1</w:t>
      </w:r>
      <w:r w:rsidR="001F32DC" w:rsidRPr="00557E6C">
        <w:rPr>
          <w:rFonts w:asciiTheme="minorHAnsi" w:eastAsiaTheme="minorHAnsi" w:hAnsiTheme="minorHAnsi" w:cstheme="minorBidi"/>
          <w:snapToGrid/>
          <w:sz w:val="24"/>
          <w:szCs w:val="22"/>
        </w:rPr>
        <w:t>.15</w:t>
      </w:r>
      <w:r w:rsidR="00D266C9" w:rsidRPr="00557E6C">
        <w:rPr>
          <w:rFonts w:asciiTheme="minorHAnsi" w:eastAsiaTheme="minorHAnsi" w:hAnsiTheme="minorHAnsi" w:cstheme="minorBidi"/>
          <w:snapToGrid/>
          <w:sz w:val="24"/>
          <w:szCs w:val="22"/>
        </w:rPr>
        <w:t>mg le</w:t>
      </w:r>
      <w:r w:rsidRPr="00557E6C">
        <w:rPr>
          <w:rFonts w:asciiTheme="minorHAnsi" w:eastAsiaTheme="minorHAnsi" w:hAnsiTheme="minorHAnsi" w:cstheme="minorBidi"/>
          <w:snapToGrid/>
          <w:sz w:val="24"/>
          <w:szCs w:val="22"/>
        </w:rPr>
        <w:t>n</w:t>
      </w:r>
      <w:r w:rsidR="00D266C9" w:rsidRPr="00557E6C">
        <w:rPr>
          <w:rFonts w:asciiTheme="minorHAnsi" w:eastAsiaTheme="minorHAnsi" w:hAnsiTheme="minorHAnsi" w:cstheme="minorBidi"/>
          <w:snapToGrid/>
          <w:sz w:val="24"/>
          <w:szCs w:val="22"/>
        </w:rPr>
        <w:t xml:space="preserve">vatinib = </w:t>
      </w:r>
      <w:r w:rsidR="001F32DC" w:rsidRPr="00557E6C">
        <w:rPr>
          <w:rFonts w:asciiTheme="minorHAnsi" w:eastAsiaTheme="minorHAnsi" w:hAnsiTheme="minorHAnsi" w:cstheme="minorBidi"/>
          <w:snapToGrid/>
          <w:sz w:val="24"/>
          <w:szCs w:val="22"/>
        </w:rPr>
        <w:t>100</w:t>
      </w:r>
      <w:r w:rsidR="00D266C9" w:rsidRPr="00557E6C">
        <w:rPr>
          <w:rFonts w:asciiTheme="minorHAnsi" w:eastAsiaTheme="minorHAnsi" w:hAnsiTheme="minorHAnsi" w:cstheme="minorBidi"/>
          <w:snapToGrid/>
          <w:sz w:val="24"/>
          <w:szCs w:val="22"/>
        </w:rPr>
        <w:t xml:space="preserve">mg </w:t>
      </w:r>
      <w:proofErr w:type="spellStart"/>
      <w:r w:rsidR="00D266C9" w:rsidRPr="00557E6C">
        <w:rPr>
          <w:rFonts w:asciiTheme="minorHAnsi" w:eastAsiaTheme="minorHAnsi" w:hAnsiTheme="minorHAnsi" w:cstheme="minorBidi"/>
          <w:snapToGrid/>
          <w:sz w:val="24"/>
          <w:szCs w:val="22"/>
        </w:rPr>
        <w:t>sorafenib</w:t>
      </w:r>
      <w:proofErr w:type="spellEnd"/>
      <w:r w:rsidR="00D266C9" w:rsidRPr="00557E6C">
        <w:rPr>
          <w:rFonts w:asciiTheme="minorHAnsi" w:eastAsiaTheme="minorHAnsi" w:hAnsiTheme="minorHAnsi" w:cstheme="minorBidi"/>
          <w:snapToGrid/>
          <w:sz w:val="24"/>
          <w:szCs w:val="22"/>
        </w:rPr>
        <w:t>; means: 1</w:t>
      </w:r>
      <w:r w:rsidR="001F32DC" w:rsidRPr="00557E6C">
        <w:rPr>
          <w:rFonts w:asciiTheme="minorHAnsi" w:eastAsiaTheme="minorHAnsi" w:hAnsiTheme="minorHAnsi" w:cstheme="minorBidi"/>
          <w:snapToGrid/>
          <w:sz w:val="24"/>
          <w:szCs w:val="22"/>
        </w:rPr>
        <w:t>.42</w:t>
      </w:r>
      <w:r w:rsidR="00D266C9" w:rsidRPr="00557E6C">
        <w:rPr>
          <w:rFonts w:asciiTheme="minorHAnsi" w:eastAsiaTheme="minorHAnsi" w:hAnsiTheme="minorHAnsi" w:cstheme="minorBidi"/>
          <w:snapToGrid/>
          <w:sz w:val="24"/>
          <w:szCs w:val="22"/>
        </w:rPr>
        <w:t>mg</w:t>
      </w:r>
      <w:r w:rsidR="001F32DC" w:rsidRPr="00557E6C">
        <w:rPr>
          <w:rFonts w:asciiTheme="minorHAnsi" w:eastAsiaTheme="minorHAnsi" w:hAnsiTheme="minorHAnsi" w:cstheme="minorBidi"/>
          <w:snapToGrid/>
          <w:sz w:val="24"/>
          <w:szCs w:val="22"/>
        </w:rPr>
        <w:t xml:space="preserve"> lenvatinib = 100mg </w:t>
      </w:r>
      <w:proofErr w:type="spellStart"/>
      <w:r w:rsidR="001F32DC" w:rsidRPr="00557E6C">
        <w:rPr>
          <w:rFonts w:asciiTheme="minorHAnsi" w:eastAsiaTheme="minorHAnsi" w:hAnsiTheme="minorHAnsi" w:cstheme="minorBidi"/>
          <w:snapToGrid/>
          <w:sz w:val="24"/>
          <w:szCs w:val="22"/>
        </w:rPr>
        <w:t>sorafenib</w:t>
      </w:r>
      <w:proofErr w:type="spellEnd"/>
      <w:r w:rsidR="001F32DC" w:rsidRPr="00557E6C">
        <w:rPr>
          <w:rFonts w:asciiTheme="minorHAnsi" w:eastAsiaTheme="minorHAnsi" w:hAnsiTheme="minorHAnsi" w:cstheme="minorBidi"/>
          <w:snapToGrid/>
          <w:sz w:val="24"/>
          <w:szCs w:val="22"/>
        </w:rPr>
        <w:t>).</w:t>
      </w:r>
    </w:p>
    <w:p w:rsidR="00FE6A63" w:rsidRPr="00557E6C" w:rsidRDefault="00FE6A63" w:rsidP="00FE6A63">
      <w:pPr>
        <w:pStyle w:val="ListParagraph"/>
        <w:numPr>
          <w:ilvl w:val="1"/>
          <w:numId w:val="14"/>
        </w:numPr>
        <w:spacing w:before="120" w:after="160"/>
        <w:rPr>
          <w:rFonts w:asciiTheme="minorHAnsi" w:eastAsiaTheme="minorHAnsi" w:hAnsiTheme="minorHAnsi" w:cstheme="minorBidi"/>
          <w:snapToGrid/>
          <w:sz w:val="24"/>
          <w:szCs w:val="22"/>
        </w:rPr>
      </w:pPr>
      <w:r w:rsidRPr="00557E6C">
        <w:rPr>
          <w:rFonts w:asciiTheme="minorHAnsi" w:eastAsiaTheme="minorHAnsi" w:hAnsiTheme="minorHAnsi" w:cstheme="minorBidi"/>
          <w:snapToGrid/>
          <w:sz w:val="24"/>
          <w:szCs w:val="22"/>
        </w:rPr>
        <w:t>The pre-PBAC respons</w:t>
      </w:r>
      <w:r w:rsidR="00816CEC" w:rsidRPr="00557E6C">
        <w:rPr>
          <w:rFonts w:asciiTheme="minorHAnsi" w:eastAsiaTheme="minorHAnsi" w:hAnsiTheme="minorHAnsi" w:cstheme="minorBidi"/>
          <w:snapToGrid/>
          <w:sz w:val="24"/>
          <w:szCs w:val="22"/>
        </w:rPr>
        <w:t xml:space="preserve">e provided information regarding </w:t>
      </w:r>
      <w:r w:rsidRPr="00557E6C">
        <w:rPr>
          <w:rFonts w:asciiTheme="minorHAnsi" w:eastAsiaTheme="minorHAnsi" w:hAnsiTheme="minorHAnsi" w:cstheme="minorBidi"/>
          <w:snapToGrid/>
          <w:sz w:val="24"/>
          <w:szCs w:val="22"/>
        </w:rPr>
        <w:t xml:space="preserve">a pricing submission provided </w:t>
      </w:r>
      <w:r w:rsidR="000B7781" w:rsidRPr="00557E6C">
        <w:rPr>
          <w:rFonts w:asciiTheme="minorHAnsi" w:eastAsiaTheme="minorHAnsi" w:hAnsiTheme="minorHAnsi" w:cstheme="minorBidi"/>
          <w:snapToGrid/>
          <w:sz w:val="24"/>
          <w:szCs w:val="22"/>
        </w:rPr>
        <w:t xml:space="preserve">to the Department </w:t>
      </w:r>
      <w:r w:rsidRPr="00557E6C">
        <w:rPr>
          <w:rFonts w:asciiTheme="minorHAnsi" w:eastAsiaTheme="minorHAnsi" w:hAnsiTheme="minorHAnsi" w:cstheme="minorBidi"/>
          <w:snapToGrid/>
          <w:sz w:val="24"/>
          <w:szCs w:val="22"/>
        </w:rPr>
        <w:t xml:space="preserve">for consideration on the 22 October 2018. The PBAC </w:t>
      </w:r>
      <w:r w:rsidR="003D712F" w:rsidRPr="00557E6C">
        <w:rPr>
          <w:rFonts w:asciiTheme="minorHAnsi" w:eastAsiaTheme="minorHAnsi" w:hAnsiTheme="minorHAnsi" w:cstheme="minorBidi"/>
          <w:snapToGrid/>
          <w:sz w:val="24"/>
          <w:szCs w:val="22"/>
        </w:rPr>
        <w:t xml:space="preserve">noted it </w:t>
      </w:r>
      <w:proofErr w:type="gramStart"/>
      <w:r w:rsidRPr="00557E6C">
        <w:rPr>
          <w:rFonts w:asciiTheme="minorHAnsi" w:eastAsiaTheme="minorHAnsi" w:hAnsiTheme="minorHAnsi" w:cstheme="minorBidi"/>
          <w:snapToGrid/>
          <w:sz w:val="24"/>
          <w:szCs w:val="22"/>
        </w:rPr>
        <w:t>was not based</w:t>
      </w:r>
      <w:proofErr w:type="gramEnd"/>
      <w:r w:rsidRPr="00557E6C">
        <w:rPr>
          <w:rFonts w:asciiTheme="minorHAnsi" w:eastAsiaTheme="minorHAnsi" w:hAnsiTheme="minorHAnsi" w:cstheme="minorBidi"/>
          <w:snapToGrid/>
          <w:sz w:val="24"/>
          <w:szCs w:val="22"/>
        </w:rPr>
        <w:t xml:space="preserve"> on the therapeutic relativities recommended </w:t>
      </w:r>
      <w:r w:rsidR="00BA7A69">
        <w:rPr>
          <w:rFonts w:asciiTheme="minorHAnsi" w:eastAsiaTheme="minorHAnsi" w:hAnsiTheme="minorHAnsi" w:cstheme="minorBidi"/>
          <w:snapToGrid/>
          <w:sz w:val="24"/>
          <w:szCs w:val="22"/>
        </w:rPr>
        <w:t>at the July 2018 PBAC meeting.</w:t>
      </w:r>
    </w:p>
    <w:p w:rsidR="003C2FB5" w:rsidRPr="00557E6C" w:rsidRDefault="00740963" w:rsidP="0032499F">
      <w:pPr>
        <w:pStyle w:val="Heading2"/>
      </w:pPr>
      <w:r w:rsidRPr="00557E6C">
        <w:lastRenderedPageBreak/>
        <w:t>Drug cost/patient/course</w:t>
      </w:r>
      <w:r w:rsidR="00A55FEE" w:rsidRPr="00557E6C">
        <w:t xml:space="preserve">: </w:t>
      </w:r>
      <w:r w:rsidR="00FB1603" w:rsidRPr="00FB1603">
        <w:t>$</w:t>
      </w:r>
      <w:r w:rsidR="00214B6F">
        <w:t>24,585</w:t>
      </w:r>
    </w:p>
    <w:p w:rsidR="0042220F" w:rsidRPr="001E2A5B" w:rsidRDefault="0091301E" w:rsidP="0042220F">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1E2A5B">
        <w:rPr>
          <w:rFonts w:asciiTheme="minorHAnsi" w:eastAsiaTheme="minorHAnsi" w:hAnsiTheme="minorHAnsi" w:cstheme="minorBidi"/>
          <w:snapToGrid/>
          <w:sz w:val="24"/>
          <w:szCs w:val="22"/>
        </w:rPr>
        <w:t xml:space="preserve">The estimated cost per patient per course of treatment with lenvatinib based on the </w:t>
      </w:r>
      <w:r w:rsidR="0040585F" w:rsidRPr="001E2A5B">
        <w:rPr>
          <w:rFonts w:asciiTheme="minorHAnsi" w:eastAsiaTheme="minorHAnsi" w:hAnsiTheme="minorHAnsi" w:cstheme="minorBidi"/>
          <w:snapToGrid/>
          <w:sz w:val="24"/>
          <w:szCs w:val="22"/>
        </w:rPr>
        <w:t>re</w:t>
      </w:r>
      <w:r w:rsidRPr="001E2A5B">
        <w:rPr>
          <w:rFonts w:asciiTheme="minorHAnsi" w:eastAsiaTheme="minorHAnsi" w:hAnsiTheme="minorHAnsi" w:cstheme="minorBidi"/>
          <w:snapToGrid/>
          <w:sz w:val="24"/>
          <w:szCs w:val="22"/>
        </w:rPr>
        <w:t xml:space="preserve">submission’s </w:t>
      </w:r>
      <w:r w:rsidR="00CA3B1F" w:rsidRPr="001E2A5B">
        <w:rPr>
          <w:rFonts w:asciiTheme="minorHAnsi" w:eastAsiaTheme="minorHAnsi" w:hAnsiTheme="minorHAnsi" w:cstheme="minorBidi"/>
          <w:snapToGrid/>
          <w:sz w:val="24"/>
          <w:szCs w:val="22"/>
        </w:rPr>
        <w:t xml:space="preserve">proposed </w:t>
      </w:r>
      <w:proofErr w:type="spellStart"/>
      <w:r w:rsidR="00CA3B1F" w:rsidRPr="001E2A5B">
        <w:rPr>
          <w:rFonts w:asciiTheme="minorHAnsi" w:eastAsiaTheme="minorHAnsi" w:hAnsiTheme="minorHAnsi" w:cstheme="minorBidi"/>
          <w:snapToGrid/>
          <w:sz w:val="24"/>
          <w:szCs w:val="22"/>
        </w:rPr>
        <w:t>equi</w:t>
      </w:r>
      <w:proofErr w:type="spellEnd"/>
      <w:r w:rsidR="00CA3B1F" w:rsidRPr="001E2A5B">
        <w:rPr>
          <w:rFonts w:asciiTheme="minorHAnsi" w:eastAsiaTheme="minorHAnsi" w:hAnsiTheme="minorHAnsi" w:cstheme="minorBidi"/>
          <w:snapToGrid/>
          <w:sz w:val="24"/>
          <w:szCs w:val="22"/>
        </w:rPr>
        <w:t>-effective doses</w:t>
      </w:r>
      <w:r w:rsidRPr="001E2A5B">
        <w:rPr>
          <w:rFonts w:asciiTheme="minorHAnsi" w:eastAsiaTheme="minorHAnsi" w:hAnsiTheme="minorHAnsi" w:cstheme="minorBidi"/>
          <w:snapToGrid/>
          <w:sz w:val="24"/>
          <w:szCs w:val="22"/>
        </w:rPr>
        <w:t xml:space="preserve"> </w:t>
      </w:r>
      <w:r w:rsidRPr="00886C1B">
        <w:rPr>
          <w:rFonts w:asciiTheme="minorHAnsi" w:eastAsiaTheme="minorHAnsi" w:hAnsiTheme="minorHAnsi" w:cstheme="minorBidi"/>
          <w:snapToGrid/>
          <w:sz w:val="24"/>
          <w:szCs w:val="22"/>
        </w:rPr>
        <w:t xml:space="preserve">was </w:t>
      </w:r>
      <w:r w:rsidR="00B000B7">
        <w:rPr>
          <w:rFonts w:asciiTheme="minorHAnsi" w:eastAsiaTheme="minorHAnsi" w:hAnsiTheme="minorHAnsi" w:cstheme="minorBidi"/>
          <w:snapToGrid/>
          <w:sz w:val="24"/>
          <w:szCs w:val="22"/>
        </w:rPr>
        <w:t>$24,585</w:t>
      </w:r>
      <w:r w:rsidR="00E7109C" w:rsidRPr="00886C1B">
        <w:rPr>
          <w:rFonts w:asciiTheme="minorHAnsi" w:eastAsiaTheme="minorHAnsi" w:hAnsiTheme="minorHAnsi" w:cstheme="minorBidi"/>
          <w:snapToGrid/>
          <w:sz w:val="24"/>
          <w:szCs w:val="22"/>
        </w:rPr>
        <w:t xml:space="preserve"> </w:t>
      </w:r>
      <w:r w:rsidR="00CA3B1F" w:rsidRPr="00886C1B">
        <w:rPr>
          <w:rFonts w:asciiTheme="minorHAnsi" w:eastAsiaTheme="minorHAnsi" w:hAnsiTheme="minorHAnsi" w:cstheme="minorBidi"/>
          <w:snapToGrid/>
          <w:sz w:val="24"/>
          <w:szCs w:val="22"/>
        </w:rPr>
        <w:t>calculated</w:t>
      </w:r>
      <w:r w:rsidR="00CA3B1F" w:rsidRPr="00557E6C">
        <w:rPr>
          <w:rFonts w:asciiTheme="minorHAnsi" w:eastAsiaTheme="minorHAnsi" w:hAnsiTheme="minorHAnsi" w:cstheme="minorBidi"/>
          <w:snapToGrid/>
          <w:sz w:val="24"/>
          <w:szCs w:val="22"/>
        </w:rPr>
        <w:t xml:space="preserve"> using the </w:t>
      </w:r>
      <w:r w:rsidR="00FB1603">
        <w:rPr>
          <w:rFonts w:asciiTheme="minorHAnsi" w:eastAsiaTheme="minorHAnsi" w:hAnsiTheme="minorHAnsi" w:cstheme="minorBidi"/>
          <w:snapToGrid/>
          <w:sz w:val="24"/>
          <w:szCs w:val="22"/>
        </w:rPr>
        <w:t>published</w:t>
      </w:r>
      <w:r w:rsidR="00FB1603" w:rsidRPr="00557E6C">
        <w:rPr>
          <w:rFonts w:asciiTheme="minorHAnsi" w:eastAsiaTheme="minorHAnsi" w:hAnsiTheme="minorHAnsi" w:cstheme="minorBidi"/>
          <w:snapToGrid/>
          <w:sz w:val="24"/>
          <w:szCs w:val="22"/>
        </w:rPr>
        <w:t xml:space="preserve"> </w:t>
      </w:r>
      <w:r w:rsidR="00CA3B1F" w:rsidRPr="00557E6C">
        <w:rPr>
          <w:rFonts w:asciiTheme="minorHAnsi" w:eastAsiaTheme="minorHAnsi" w:hAnsiTheme="minorHAnsi" w:cstheme="minorBidi"/>
          <w:snapToGrid/>
          <w:sz w:val="24"/>
          <w:szCs w:val="22"/>
        </w:rPr>
        <w:t xml:space="preserve">price of </w:t>
      </w:r>
      <w:proofErr w:type="spellStart"/>
      <w:r w:rsidR="00CA3B1F" w:rsidRPr="00557E6C">
        <w:rPr>
          <w:rFonts w:asciiTheme="minorHAnsi" w:eastAsiaTheme="minorHAnsi" w:hAnsiTheme="minorHAnsi" w:cstheme="minorBidi"/>
          <w:snapToGrid/>
          <w:sz w:val="24"/>
          <w:szCs w:val="22"/>
        </w:rPr>
        <w:t>sorafenib</w:t>
      </w:r>
      <w:proofErr w:type="spellEnd"/>
      <w:r w:rsidR="001F32DC" w:rsidRPr="001E2A5B">
        <w:rPr>
          <w:rFonts w:asciiTheme="minorHAnsi" w:eastAsiaTheme="minorHAnsi" w:hAnsiTheme="minorHAnsi" w:cstheme="minorBidi"/>
          <w:snapToGrid/>
          <w:sz w:val="24"/>
          <w:szCs w:val="22"/>
        </w:rPr>
        <w:t>.</w:t>
      </w:r>
    </w:p>
    <w:p w:rsidR="0042220F" w:rsidRPr="00557E6C" w:rsidRDefault="0042220F" w:rsidP="0042220F">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1E2A5B">
        <w:rPr>
          <w:rFonts w:asciiTheme="minorHAnsi" w:eastAsiaTheme="minorHAnsi" w:hAnsiTheme="minorHAnsi" w:cstheme="minorBidi"/>
          <w:snapToGrid/>
          <w:sz w:val="24"/>
          <w:szCs w:val="22"/>
        </w:rPr>
        <w:t>The DPMQ for a month of treatment with lenvati</w:t>
      </w:r>
      <w:r w:rsidRPr="00557E6C">
        <w:rPr>
          <w:rFonts w:asciiTheme="minorHAnsi" w:eastAsiaTheme="minorHAnsi" w:hAnsiTheme="minorHAnsi" w:cstheme="minorBidi"/>
          <w:snapToGrid/>
          <w:sz w:val="24"/>
          <w:szCs w:val="22"/>
        </w:rPr>
        <w:t xml:space="preserve">nib calculated using </w:t>
      </w:r>
      <w:r w:rsidR="00214B6F" w:rsidRPr="00886C1B">
        <w:rPr>
          <w:rFonts w:asciiTheme="minorHAnsi" w:eastAsiaTheme="minorHAnsi" w:hAnsiTheme="minorHAnsi" w:cstheme="minorBidi"/>
          <w:snapToGrid/>
          <w:sz w:val="24"/>
          <w:szCs w:val="22"/>
        </w:rPr>
        <w:t xml:space="preserve">the published </w:t>
      </w:r>
      <w:proofErr w:type="spellStart"/>
      <w:r w:rsidR="00214B6F" w:rsidRPr="00886C1B">
        <w:rPr>
          <w:rFonts w:asciiTheme="minorHAnsi" w:eastAsiaTheme="minorHAnsi" w:hAnsiTheme="minorHAnsi" w:cstheme="minorBidi"/>
          <w:snapToGrid/>
          <w:sz w:val="24"/>
          <w:szCs w:val="22"/>
        </w:rPr>
        <w:t>sorafenib</w:t>
      </w:r>
      <w:proofErr w:type="spellEnd"/>
      <w:r w:rsidR="00214B6F" w:rsidRPr="00886C1B">
        <w:rPr>
          <w:rFonts w:asciiTheme="minorHAnsi" w:eastAsiaTheme="minorHAnsi" w:hAnsiTheme="minorHAnsi" w:cstheme="minorBidi"/>
          <w:snapToGrid/>
          <w:sz w:val="24"/>
          <w:szCs w:val="22"/>
        </w:rPr>
        <w:t xml:space="preserve"> price</w:t>
      </w:r>
      <w:r w:rsidR="00214B6F" w:rsidRPr="00557E6C">
        <w:rPr>
          <w:rFonts w:asciiTheme="minorHAnsi" w:eastAsiaTheme="minorHAnsi" w:hAnsiTheme="minorHAnsi" w:cstheme="minorBidi"/>
          <w:snapToGrid/>
          <w:sz w:val="24"/>
          <w:szCs w:val="22"/>
        </w:rPr>
        <w:t xml:space="preserve"> </w:t>
      </w:r>
      <w:r w:rsidR="00214B6F">
        <w:rPr>
          <w:rFonts w:asciiTheme="minorHAnsi" w:eastAsiaTheme="minorHAnsi" w:hAnsiTheme="minorHAnsi" w:cstheme="minorBidi"/>
          <w:snapToGrid/>
          <w:sz w:val="24"/>
          <w:szCs w:val="22"/>
        </w:rPr>
        <w:t xml:space="preserve">and </w:t>
      </w:r>
      <w:r w:rsidRPr="00557E6C">
        <w:rPr>
          <w:rFonts w:asciiTheme="minorHAnsi" w:eastAsiaTheme="minorHAnsi" w:hAnsiTheme="minorHAnsi" w:cstheme="minorBidi"/>
          <w:snapToGrid/>
          <w:sz w:val="24"/>
          <w:szCs w:val="22"/>
        </w:rPr>
        <w:t xml:space="preserve">the </w:t>
      </w:r>
      <w:proofErr w:type="spellStart"/>
      <w:r w:rsidRPr="00557E6C">
        <w:rPr>
          <w:rFonts w:asciiTheme="minorHAnsi" w:eastAsiaTheme="minorHAnsi" w:hAnsiTheme="minorHAnsi" w:cstheme="minorBidi"/>
          <w:snapToGrid/>
          <w:sz w:val="24"/>
          <w:szCs w:val="22"/>
        </w:rPr>
        <w:t>equi</w:t>
      </w:r>
      <w:proofErr w:type="spellEnd"/>
      <w:r w:rsidRPr="00557E6C">
        <w:rPr>
          <w:rFonts w:asciiTheme="minorHAnsi" w:eastAsiaTheme="minorHAnsi" w:hAnsiTheme="minorHAnsi" w:cstheme="minorBidi"/>
          <w:snapToGrid/>
          <w:sz w:val="24"/>
          <w:szCs w:val="22"/>
        </w:rPr>
        <w:t>-effective doses</w:t>
      </w:r>
      <w:r w:rsidR="00982E2B" w:rsidRPr="00557E6C">
        <w:rPr>
          <w:rFonts w:asciiTheme="minorHAnsi" w:eastAsiaTheme="minorHAnsi" w:hAnsiTheme="minorHAnsi" w:cstheme="minorBidi"/>
          <w:snapToGrid/>
          <w:sz w:val="24"/>
          <w:szCs w:val="22"/>
        </w:rPr>
        <w:t xml:space="preserve"> proposed</w:t>
      </w:r>
      <w:r w:rsidR="007F03B0" w:rsidRPr="00557E6C">
        <w:rPr>
          <w:rFonts w:asciiTheme="minorHAnsi" w:eastAsiaTheme="minorHAnsi" w:hAnsiTheme="minorHAnsi" w:cstheme="minorBidi"/>
          <w:snapToGrid/>
          <w:sz w:val="24"/>
          <w:szCs w:val="22"/>
        </w:rPr>
        <w:t xml:space="preserve"> in the resubmission</w:t>
      </w:r>
      <w:r w:rsidR="00886C1B">
        <w:rPr>
          <w:rFonts w:asciiTheme="minorHAnsi" w:eastAsiaTheme="minorHAnsi" w:hAnsiTheme="minorHAnsi" w:cstheme="minorBidi"/>
          <w:snapToGrid/>
          <w:sz w:val="24"/>
          <w:szCs w:val="22"/>
        </w:rPr>
        <w:t xml:space="preserve"> </w:t>
      </w:r>
      <w:r w:rsidR="007F03B0" w:rsidRPr="00557E6C">
        <w:rPr>
          <w:rFonts w:asciiTheme="minorHAnsi" w:eastAsiaTheme="minorHAnsi" w:hAnsiTheme="minorHAnsi" w:cstheme="minorBidi"/>
          <w:snapToGrid/>
          <w:sz w:val="24"/>
          <w:szCs w:val="22"/>
        </w:rPr>
        <w:t xml:space="preserve">is </w:t>
      </w:r>
      <w:r w:rsidR="007F03B0" w:rsidRPr="00886C1B">
        <w:rPr>
          <w:rFonts w:asciiTheme="minorHAnsi" w:eastAsiaTheme="minorHAnsi" w:hAnsiTheme="minorHAnsi" w:cstheme="minorBidi"/>
          <w:snapToGrid/>
          <w:sz w:val="24"/>
          <w:szCs w:val="22"/>
        </w:rPr>
        <w:t>$</w:t>
      </w:r>
      <w:r w:rsidR="006E3A09">
        <w:rPr>
          <w:rFonts w:asciiTheme="minorHAnsi" w:eastAsiaTheme="minorHAnsi" w:hAnsiTheme="minorHAnsi" w:cstheme="minorBidi"/>
          <w:snapToGrid/>
          <w:sz w:val="24"/>
          <w:szCs w:val="22"/>
        </w:rPr>
        <w:t>5,673.43</w:t>
      </w:r>
      <w:r w:rsidR="007F03B0" w:rsidRPr="00557E6C">
        <w:rPr>
          <w:rFonts w:asciiTheme="minorHAnsi" w:eastAsiaTheme="minorHAnsi" w:hAnsiTheme="minorHAnsi" w:cstheme="minorBidi"/>
          <w:snapToGrid/>
          <w:sz w:val="24"/>
          <w:szCs w:val="22"/>
        </w:rPr>
        <w:t xml:space="preserve"> </w:t>
      </w:r>
      <w:r w:rsidR="00214B6F">
        <w:rPr>
          <w:rFonts w:asciiTheme="minorHAnsi" w:eastAsiaTheme="minorHAnsi" w:hAnsiTheme="minorHAnsi" w:cstheme="minorBidi"/>
          <w:snapToGrid/>
          <w:sz w:val="24"/>
          <w:szCs w:val="22"/>
        </w:rPr>
        <w:t xml:space="preserve">and </w:t>
      </w:r>
      <w:r w:rsidR="007F03B0" w:rsidRPr="00557E6C">
        <w:rPr>
          <w:rFonts w:asciiTheme="minorHAnsi" w:eastAsiaTheme="minorHAnsi" w:hAnsiTheme="minorHAnsi" w:cstheme="minorBidi"/>
          <w:snapToGrid/>
          <w:sz w:val="24"/>
          <w:szCs w:val="22"/>
        </w:rPr>
        <w:t xml:space="preserve">using the </w:t>
      </w:r>
      <w:proofErr w:type="spellStart"/>
      <w:r w:rsidR="007F03B0" w:rsidRPr="00557E6C">
        <w:rPr>
          <w:rFonts w:asciiTheme="minorHAnsi" w:eastAsiaTheme="minorHAnsi" w:hAnsiTheme="minorHAnsi" w:cstheme="minorBidi"/>
          <w:snapToGrid/>
          <w:sz w:val="24"/>
          <w:szCs w:val="22"/>
        </w:rPr>
        <w:t>equi</w:t>
      </w:r>
      <w:proofErr w:type="spellEnd"/>
      <w:r w:rsidR="007F03B0" w:rsidRPr="00557E6C">
        <w:rPr>
          <w:rFonts w:asciiTheme="minorHAnsi" w:eastAsiaTheme="minorHAnsi" w:hAnsiTheme="minorHAnsi" w:cstheme="minorBidi"/>
          <w:snapToGrid/>
          <w:sz w:val="24"/>
          <w:szCs w:val="22"/>
        </w:rPr>
        <w:t xml:space="preserve">-effective doses </w:t>
      </w:r>
      <w:r w:rsidRPr="00557E6C">
        <w:rPr>
          <w:rFonts w:asciiTheme="minorHAnsi" w:eastAsiaTheme="minorHAnsi" w:hAnsiTheme="minorHAnsi" w:cstheme="minorBidi"/>
          <w:snapToGrid/>
          <w:sz w:val="24"/>
          <w:szCs w:val="22"/>
        </w:rPr>
        <w:t xml:space="preserve">recommended </w:t>
      </w:r>
      <w:r w:rsidR="007F03B0" w:rsidRPr="00557E6C">
        <w:rPr>
          <w:rFonts w:asciiTheme="minorHAnsi" w:eastAsiaTheme="minorHAnsi" w:hAnsiTheme="minorHAnsi" w:cstheme="minorBidi"/>
          <w:snapToGrid/>
          <w:sz w:val="24"/>
          <w:szCs w:val="22"/>
        </w:rPr>
        <w:t>by the PBAC</w:t>
      </w:r>
      <w:r w:rsidR="00886C1B">
        <w:rPr>
          <w:rFonts w:asciiTheme="minorHAnsi" w:eastAsiaTheme="minorHAnsi" w:hAnsiTheme="minorHAnsi" w:cstheme="minorBidi"/>
          <w:snapToGrid/>
          <w:sz w:val="24"/>
          <w:szCs w:val="22"/>
        </w:rPr>
        <w:t xml:space="preserve"> </w:t>
      </w:r>
      <w:r w:rsidRPr="00557E6C">
        <w:rPr>
          <w:rFonts w:asciiTheme="minorHAnsi" w:eastAsiaTheme="minorHAnsi" w:hAnsiTheme="minorHAnsi" w:cstheme="minorBidi"/>
          <w:snapToGrid/>
          <w:sz w:val="24"/>
          <w:szCs w:val="22"/>
        </w:rPr>
        <w:t xml:space="preserve">in July 2018 is </w:t>
      </w:r>
      <w:r w:rsidRPr="00886C1B">
        <w:rPr>
          <w:rFonts w:asciiTheme="minorHAnsi" w:eastAsiaTheme="minorHAnsi" w:hAnsiTheme="minorHAnsi" w:cstheme="minorBidi"/>
          <w:snapToGrid/>
          <w:sz w:val="24"/>
          <w:szCs w:val="22"/>
        </w:rPr>
        <w:t>$</w:t>
      </w:r>
      <w:r w:rsidR="00214B6F">
        <w:rPr>
          <w:rFonts w:asciiTheme="minorHAnsi" w:eastAsiaTheme="minorHAnsi" w:hAnsiTheme="minorHAnsi" w:cstheme="minorBidi"/>
          <w:snapToGrid/>
          <w:sz w:val="24"/>
          <w:szCs w:val="22"/>
        </w:rPr>
        <w:t>5,070.63.</w:t>
      </w:r>
    </w:p>
    <w:p w:rsidR="005A3173" w:rsidRPr="00557E6C" w:rsidRDefault="005A3173" w:rsidP="0032499F">
      <w:pPr>
        <w:pStyle w:val="Heading2"/>
      </w:pPr>
      <w:r w:rsidRPr="00557E6C">
        <w:t>Estimated PBS usage &amp; financial implications</w:t>
      </w:r>
    </w:p>
    <w:p w:rsidR="00BB7EC3" w:rsidRPr="00557E6C" w:rsidRDefault="009066A4" w:rsidP="0042220F">
      <w:pPr>
        <w:pStyle w:val="ListParagraph"/>
        <w:widowControl/>
        <w:numPr>
          <w:ilvl w:val="1"/>
          <w:numId w:val="14"/>
        </w:numPr>
        <w:spacing w:after="120"/>
        <w:contextualSpacing w:val="0"/>
        <w:rPr>
          <w:rFonts w:asciiTheme="minorHAnsi" w:hAnsiTheme="minorHAnsi"/>
          <w:sz w:val="24"/>
          <w:szCs w:val="24"/>
        </w:rPr>
      </w:pPr>
      <w:r w:rsidRPr="00557E6C">
        <w:rPr>
          <w:rFonts w:asciiTheme="minorHAnsi" w:hAnsiTheme="minorHAnsi"/>
          <w:sz w:val="24"/>
          <w:szCs w:val="24"/>
        </w:rPr>
        <w:t xml:space="preserve">Revised financial estimates </w:t>
      </w:r>
      <w:proofErr w:type="gramStart"/>
      <w:r w:rsidRPr="00557E6C">
        <w:rPr>
          <w:rFonts w:asciiTheme="minorHAnsi" w:hAnsiTheme="minorHAnsi"/>
          <w:sz w:val="24"/>
          <w:szCs w:val="24"/>
        </w:rPr>
        <w:t>were not provided</w:t>
      </w:r>
      <w:proofErr w:type="gramEnd"/>
      <w:r w:rsidRPr="00557E6C">
        <w:rPr>
          <w:rFonts w:asciiTheme="minorHAnsi" w:hAnsiTheme="minorHAnsi"/>
          <w:sz w:val="24"/>
          <w:szCs w:val="24"/>
        </w:rPr>
        <w:t xml:space="preserve"> in the minor </w:t>
      </w:r>
      <w:r w:rsidR="00982E2B" w:rsidRPr="00557E6C">
        <w:rPr>
          <w:rFonts w:asciiTheme="minorHAnsi" w:hAnsiTheme="minorHAnsi"/>
          <w:sz w:val="24"/>
          <w:szCs w:val="24"/>
        </w:rPr>
        <w:t>re</w:t>
      </w:r>
      <w:r w:rsidR="00BA7A69">
        <w:rPr>
          <w:rFonts w:asciiTheme="minorHAnsi" w:hAnsiTheme="minorHAnsi"/>
          <w:sz w:val="24"/>
          <w:szCs w:val="24"/>
        </w:rPr>
        <w:t>submission.</w:t>
      </w:r>
    </w:p>
    <w:p w:rsidR="001B317A" w:rsidRPr="0032499F" w:rsidRDefault="001B317A" w:rsidP="00B454D2">
      <w:pPr>
        <w:pStyle w:val="ListParagraph"/>
        <w:widowControl/>
        <w:numPr>
          <w:ilvl w:val="1"/>
          <w:numId w:val="14"/>
        </w:numPr>
        <w:spacing w:after="120"/>
        <w:contextualSpacing w:val="0"/>
      </w:pPr>
      <w:r w:rsidRPr="00557E6C">
        <w:rPr>
          <w:rFonts w:asciiTheme="minorHAnsi" w:hAnsiTheme="minorHAnsi"/>
          <w:sz w:val="24"/>
          <w:szCs w:val="24"/>
        </w:rPr>
        <w:t xml:space="preserve">The financial estimates presented in the July 2018 major submission </w:t>
      </w:r>
      <w:proofErr w:type="gramStart"/>
      <w:r w:rsidR="00F63721" w:rsidRPr="00557E6C">
        <w:rPr>
          <w:rFonts w:asciiTheme="minorHAnsi" w:hAnsiTheme="minorHAnsi"/>
          <w:sz w:val="24"/>
          <w:szCs w:val="24"/>
        </w:rPr>
        <w:t>were based</w:t>
      </w:r>
      <w:proofErr w:type="gramEnd"/>
      <w:r w:rsidR="00F63721" w:rsidRPr="00557E6C">
        <w:rPr>
          <w:rFonts w:asciiTheme="minorHAnsi" w:hAnsiTheme="minorHAnsi"/>
          <w:sz w:val="24"/>
          <w:szCs w:val="24"/>
        </w:rPr>
        <w:t xml:space="preserve"> on a market-share approach, assuming that lenvatinib would displace </w:t>
      </w:r>
      <w:proofErr w:type="spellStart"/>
      <w:r w:rsidR="00F63721" w:rsidRPr="00557E6C">
        <w:rPr>
          <w:rFonts w:asciiTheme="minorHAnsi" w:hAnsiTheme="minorHAnsi"/>
          <w:sz w:val="24"/>
          <w:szCs w:val="24"/>
        </w:rPr>
        <w:t>sorafenib</w:t>
      </w:r>
      <w:proofErr w:type="spellEnd"/>
      <w:r w:rsidR="00F63721" w:rsidRPr="00557E6C">
        <w:rPr>
          <w:rFonts w:asciiTheme="minorHAnsi" w:hAnsiTheme="minorHAnsi"/>
          <w:sz w:val="24"/>
          <w:szCs w:val="24"/>
        </w:rPr>
        <w:t xml:space="preserve"> in the first-line treatment of patients with </w:t>
      </w:r>
      <w:proofErr w:type="spellStart"/>
      <w:r w:rsidR="00F63721" w:rsidRPr="00557E6C">
        <w:rPr>
          <w:rFonts w:asciiTheme="minorHAnsi" w:hAnsiTheme="minorHAnsi"/>
          <w:sz w:val="24"/>
          <w:szCs w:val="24"/>
        </w:rPr>
        <w:t>unresectable</w:t>
      </w:r>
      <w:proofErr w:type="spellEnd"/>
      <w:r w:rsidR="00F63721" w:rsidRPr="00557E6C">
        <w:rPr>
          <w:rFonts w:asciiTheme="minorHAnsi" w:hAnsiTheme="minorHAnsi"/>
          <w:sz w:val="24"/>
          <w:szCs w:val="24"/>
        </w:rPr>
        <w:t xml:space="preserve"> HCC. The PBAC noted the financial impact appeared to be otherwise cost neutral where lenvatinib </w:t>
      </w:r>
      <w:proofErr w:type="gramStart"/>
      <w:r w:rsidR="00F63721" w:rsidRPr="00557E6C">
        <w:rPr>
          <w:rFonts w:asciiTheme="minorHAnsi" w:hAnsiTheme="minorHAnsi"/>
          <w:sz w:val="24"/>
          <w:szCs w:val="24"/>
        </w:rPr>
        <w:t xml:space="preserve">is substituted for </w:t>
      </w:r>
      <w:proofErr w:type="spellStart"/>
      <w:r w:rsidR="00F63721" w:rsidRPr="00557E6C">
        <w:rPr>
          <w:rFonts w:asciiTheme="minorHAnsi" w:hAnsiTheme="minorHAnsi"/>
          <w:sz w:val="24"/>
          <w:szCs w:val="24"/>
        </w:rPr>
        <w:t>sorafenib</w:t>
      </w:r>
      <w:proofErr w:type="spellEnd"/>
      <w:r w:rsidR="00F63721" w:rsidRPr="00557E6C">
        <w:rPr>
          <w:rFonts w:asciiTheme="minorHAnsi" w:hAnsiTheme="minorHAnsi"/>
          <w:sz w:val="24"/>
          <w:szCs w:val="24"/>
        </w:rPr>
        <w:t xml:space="preserve"> but noted that any market growth would have a budget impact</w:t>
      </w:r>
      <w:proofErr w:type="gramEnd"/>
      <w:r w:rsidR="00F63721" w:rsidRPr="00557E6C">
        <w:rPr>
          <w:rFonts w:asciiTheme="minorHAnsi" w:hAnsiTheme="minorHAnsi"/>
          <w:sz w:val="24"/>
          <w:szCs w:val="24"/>
        </w:rPr>
        <w:t>.</w:t>
      </w:r>
    </w:p>
    <w:p w:rsidR="0032499F" w:rsidRPr="0032499F" w:rsidRDefault="0032499F" w:rsidP="0032499F">
      <w:pPr>
        <w:ind w:firstLine="709"/>
        <w:rPr>
          <w:rFonts w:asciiTheme="minorHAnsi" w:eastAsiaTheme="minorHAnsi" w:hAnsiTheme="minorHAnsi" w:cstheme="minorHAnsi"/>
          <w:i/>
        </w:rPr>
      </w:pPr>
      <w:r w:rsidRPr="0032499F">
        <w:rPr>
          <w:rFonts w:asciiTheme="minorHAnsi" w:eastAsiaTheme="minorHAnsi" w:hAnsiTheme="minorHAnsi" w:cstheme="minorHAnsi"/>
          <w:i/>
        </w:rPr>
        <w:t>For more detail on the PBAC’s vi</w:t>
      </w:r>
      <w:r w:rsidR="00BA7A69">
        <w:rPr>
          <w:rFonts w:asciiTheme="minorHAnsi" w:eastAsiaTheme="minorHAnsi" w:hAnsiTheme="minorHAnsi" w:cstheme="minorHAnsi"/>
          <w:i/>
        </w:rPr>
        <w:t>ew, see Section 4 PBAC outcome.</w:t>
      </w:r>
    </w:p>
    <w:p w:rsidR="00DD2250" w:rsidRPr="00557E6C" w:rsidRDefault="00F90179" w:rsidP="0032499F">
      <w:pPr>
        <w:pStyle w:val="PBACHeading1"/>
        <w:keepNext/>
        <w:spacing w:before="240" w:after="120"/>
        <w:ind w:left="709" w:hanging="709"/>
        <w:rPr>
          <w:rFonts w:asciiTheme="minorHAnsi" w:hAnsiTheme="minorHAnsi"/>
          <w:sz w:val="32"/>
          <w:szCs w:val="32"/>
        </w:rPr>
      </w:pPr>
      <w:r w:rsidRPr="00557E6C">
        <w:rPr>
          <w:rFonts w:asciiTheme="minorHAnsi" w:hAnsiTheme="minorHAnsi"/>
          <w:sz w:val="32"/>
          <w:szCs w:val="32"/>
        </w:rPr>
        <w:t>PBAC Outcome</w:t>
      </w:r>
    </w:p>
    <w:p w:rsidR="0009552E" w:rsidRPr="00557E6C" w:rsidRDefault="00AC01B9" w:rsidP="009923FB">
      <w:pPr>
        <w:pStyle w:val="ListParagraph"/>
        <w:widowControl/>
        <w:numPr>
          <w:ilvl w:val="1"/>
          <w:numId w:val="5"/>
        </w:numPr>
        <w:contextualSpacing w:val="0"/>
        <w:rPr>
          <w:rFonts w:asciiTheme="minorHAnsi" w:eastAsiaTheme="minorHAnsi" w:hAnsiTheme="minorHAnsi" w:cstheme="minorBidi"/>
          <w:snapToGrid/>
          <w:sz w:val="24"/>
          <w:szCs w:val="22"/>
        </w:rPr>
      </w:pPr>
      <w:r w:rsidRPr="00557E6C">
        <w:rPr>
          <w:rFonts w:asciiTheme="minorHAnsi" w:hAnsiTheme="minorHAnsi"/>
          <w:sz w:val="24"/>
          <w:szCs w:val="24"/>
        </w:rPr>
        <w:t xml:space="preserve">The PBAC </w:t>
      </w:r>
      <w:r w:rsidR="007C3E94" w:rsidRPr="00557E6C">
        <w:rPr>
          <w:rFonts w:asciiTheme="minorHAnsi" w:hAnsiTheme="minorHAnsi"/>
          <w:sz w:val="24"/>
          <w:szCs w:val="24"/>
        </w:rPr>
        <w:t xml:space="preserve">reaffirmed </w:t>
      </w:r>
      <w:r w:rsidR="00ED4CBD" w:rsidRPr="00557E6C">
        <w:rPr>
          <w:rFonts w:asciiTheme="minorHAnsi" w:hAnsiTheme="minorHAnsi"/>
          <w:sz w:val="24"/>
          <w:szCs w:val="24"/>
        </w:rPr>
        <w:t xml:space="preserve">its </w:t>
      </w:r>
      <w:r w:rsidR="0009552E" w:rsidRPr="00557E6C">
        <w:rPr>
          <w:rFonts w:asciiTheme="minorHAnsi" w:hAnsiTheme="minorHAnsi"/>
          <w:sz w:val="24"/>
          <w:szCs w:val="24"/>
        </w:rPr>
        <w:t xml:space="preserve">July 2018 </w:t>
      </w:r>
      <w:r w:rsidR="00ED4CBD" w:rsidRPr="00557E6C">
        <w:rPr>
          <w:rFonts w:asciiTheme="minorHAnsi" w:hAnsiTheme="minorHAnsi"/>
          <w:sz w:val="24"/>
          <w:szCs w:val="24"/>
        </w:rPr>
        <w:t xml:space="preserve">advice that </w:t>
      </w:r>
      <w:r w:rsidR="0047083C" w:rsidRPr="00557E6C">
        <w:rPr>
          <w:rFonts w:asciiTheme="minorHAnsi" w:hAnsiTheme="minorHAnsi"/>
          <w:sz w:val="24"/>
          <w:szCs w:val="24"/>
        </w:rPr>
        <w:t xml:space="preserve">lenvatinib </w:t>
      </w:r>
      <w:r w:rsidR="007C1DB2" w:rsidRPr="00557E6C">
        <w:rPr>
          <w:rFonts w:asciiTheme="minorHAnsi" w:hAnsiTheme="minorHAnsi"/>
          <w:sz w:val="24"/>
          <w:szCs w:val="24"/>
        </w:rPr>
        <w:t xml:space="preserve">be listed on a cost-minimisation basis compared to </w:t>
      </w:r>
      <w:proofErr w:type="spellStart"/>
      <w:r w:rsidR="007C1DB2" w:rsidRPr="00557E6C">
        <w:rPr>
          <w:rFonts w:asciiTheme="minorHAnsi" w:hAnsiTheme="minorHAnsi"/>
          <w:sz w:val="24"/>
          <w:szCs w:val="24"/>
        </w:rPr>
        <w:t>sorafenib</w:t>
      </w:r>
      <w:proofErr w:type="spellEnd"/>
      <w:r w:rsidR="007C1DB2" w:rsidRPr="00557E6C">
        <w:rPr>
          <w:rFonts w:asciiTheme="minorHAnsi" w:hAnsiTheme="minorHAnsi"/>
          <w:sz w:val="24"/>
          <w:szCs w:val="24"/>
        </w:rPr>
        <w:t xml:space="preserve"> </w:t>
      </w:r>
      <w:r w:rsidR="006F64EE" w:rsidRPr="00557E6C">
        <w:rPr>
          <w:rFonts w:asciiTheme="minorHAnsi" w:hAnsiTheme="minorHAnsi"/>
          <w:sz w:val="24"/>
          <w:szCs w:val="24"/>
        </w:rPr>
        <w:t xml:space="preserve">with the </w:t>
      </w:r>
      <w:proofErr w:type="spellStart"/>
      <w:r w:rsidR="006F64EE" w:rsidRPr="00557E6C">
        <w:rPr>
          <w:rFonts w:asciiTheme="minorHAnsi" w:hAnsiTheme="minorHAnsi"/>
          <w:sz w:val="24"/>
          <w:szCs w:val="24"/>
        </w:rPr>
        <w:t>equi</w:t>
      </w:r>
      <w:proofErr w:type="spellEnd"/>
      <w:r w:rsidR="006F64EE" w:rsidRPr="00557E6C">
        <w:rPr>
          <w:rFonts w:asciiTheme="minorHAnsi" w:hAnsiTheme="minorHAnsi"/>
          <w:sz w:val="24"/>
          <w:szCs w:val="24"/>
        </w:rPr>
        <w:t xml:space="preserve">-effective doses </w:t>
      </w:r>
      <w:r w:rsidR="00B40849" w:rsidRPr="00557E6C">
        <w:rPr>
          <w:rFonts w:asciiTheme="minorHAnsi" w:hAnsiTheme="minorHAnsi"/>
          <w:sz w:val="24"/>
          <w:szCs w:val="24"/>
        </w:rPr>
        <w:t xml:space="preserve">based on </w:t>
      </w:r>
      <w:r w:rsidR="007C1DB2" w:rsidRPr="00557E6C">
        <w:rPr>
          <w:rFonts w:asciiTheme="minorHAnsi" w:hAnsiTheme="minorHAnsi"/>
          <w:sz w:val="24"/>
          <w:szCs w:val="24"/>
        </w:rPr>
        <w:t xml:space="preserve">the mean treatment durations and mean doses </w:t>
      </w:r>
      <w:r w:rsidR="00B40849" w:rsidRPr="00557E6C">
        <w:rPr>
          <w:rFonts w:asciiTheme="minorHAnsi" w:hAnsiTheme="minorHAnsi"/>
          <w:sz w:val="24"/>
          <w:szCs w:val="24"/>
        </w:rPr>
        <w:t xml:space="preserve">from </w:t>
      </w:r>
      <w:r w:rsidR="008331D8" w:rsidRPr="00557E6C">
        <w:rPr>
          <w:rFonts w:asciiTheme="minorHAnsi" w:eastAsiaTheme="minorHAnsi" w:hAnsiTheme="minorHAnsi" w:cstheme="minorHAnsi"/>
          <w:snapToGrid/>
          <w:sz w:val="24"/>
          <w:szCs w:val="24"/>
        </w:rPr>
        <w:t>Study 304</w:t>
      </w:r>
      <w:r w:rsidR="00B40849" w:rsidRPr="00557E6C">
        <w:rPr>
          <w:rFonts w:asciiTheme="minorHAnsi" w:hAnsiTheme="minorHAnsi"/>
          <w:sz w:val="24"/>
          <w:szCs w:val="24"/>
        </w:rPr>
        <w:t xml:space="preserve">. </w:t>
      </w:r>
      <w:r w:rsidR="008331D8" w:rsidRPr="00557E6C">
        <w:rPr>
          <w:rFonts w:asciiTheme="minorHAnsi" w:eastAsiaTheme="minorHAnsi" w:hAnsiTheme="minorHAnsi" w:cstheme="minorHAnsi"/>
          <w:snapToGrid/>
          <w:sz w:val="24"/>
          <w:szCs w:val="24"/>
        </w:rPr>
        <w:t xml:space="preserve">The PBAC considered that it is appropriate for the </w:t>
      </w:r>
      <w:proofErr w:type="spellStart"/>
      <w:r w:rsidR="008331D8" w:rsidRPr="00557E6C">
        <w:rPr>
          <w:rFonts w:asciiTheme="minorHAnsi" w:eastAsiaTheme="minorHAnsi" w:hAnsiTheme="minorHAnsi" w:cstheme="minorHAnsi"/>
          <w:snapToGrid/>
          <w:sz w:val="24"/>
          <w:szCs w:val="24"/>
        </w:rPr>
        <w:t>equi</w:t>
      </w:r>
      <w:proofErr w:type="spellEnd"/>
      <w:r w:rsidR="008331D8" w:rsidRPr="00557E6C">
        <w:rPr>
          <w:rFonts w:asciiTheme="minorHAnsi" w:eastAsiaTheme="minorHAnsi" w:hAnsiTheme="minorHAnsi" w:cstheme="minorHAnsi"/>
          <w:snapToGrid/>
          <w:sz w:val="24"/>
          <w:szCs w:val="24"/>
        </w:rPr>
        <w:t xml:space="preserve">-effective doses to </w:t>
      </w:r>
      <w:proofErr w:type="gramStart"/>
      <w:r w:rsidR="008331D8" w:rsidRPr="00557E6C">
        <w:rPr>
          <w:rFonts w:asciiTheme="minorHAnsi" w:eastAsiaTheme="minorHAnsi" w:hAnsiTheme="minorHAnsi" w:cstheme="minorHAnsi"/>
          <w:snapToGrid/>
          <w:sz w:val="24"/>
          <w:szCs w:val="24"/>
        </w:rPr>
        <w:t>be based</w:t>
      </w:r>
      <w:proofErr w:type="gramEnd"/>
      <w:r w:rsidR="008331D8" w:rsidRPr="00557E6C">
        <w:rPr>
          <w:rFonts w:asciiTheme="minorHAnsi" w:eastAsiaTheme="minorHAnsi" w:hAnsiTheme="minorHAnsi" w:cstheme="minorHAnsi"/>
          <w:snapToGrid/>
          <w:sz w:val="24"/>
          <w:szCs w:val="24"/>
        </w:rPr>
        <w:t xml:space="preserve"> on the mean estimates of dose and duration as these estimates appropriately capture the range of doses and treatment durations, and reflect the range likely in clinical practice.</w:t>
      </w:r>
    </w:p>
    <w:p w:rsidR="0080191E" w:rsidRPr="00557E6C" w:rsidRDefault="0080191E" w:rsidP="0080191E">
      <w:pPr>
        <w:pStyle w:val="ListParagraph"/>
        <w:widowControl/>
        <w:contextualSpacing w:val="0"/>
        <w:rPr>
          <w:rFonts w:asciiTheme="minorHAnsi" w:eastAsiaTheme="minorHAnsi" w:hAnsiTheme="minorHAnsi" w:cstheme="minorBidi"/>
          <w:snapToGrid/>
          <w:sz w:val="24"/>
          <w:szCs w:val="22"/>
        </w:rPr>
      </w:pPr>
    </w:p>
    <w:p w:rsidR="00025E78" w:rsidRPr="00557E6C" w:rsidRDefault="00322076" w:rsidP="0031343A">
      <w:pPr>
        <w:pStyle w:val="ListParagraph"/>
        <w:widowControl/>
        <w:numPr>
          <w:ilvl w:val="1"/>
          <w:numId w:val="14"/>
        </w:numPr>
        <w:contextualSpacing w:val="0"/>
        <w:rPr>
          <w:rFonts w:asciiTheme="minorHAnsi" w:hAnsiTheme="minorHAnsi"/>
          <w:sz w:val="24"/>
          <w:szCs w:val="24"/>
        </w:rPr>
      </w:pPr>
      <w:r w:rsidRPr="00557E6C">
        <w:rPr>
          <w:rFonts w:asciiTheme="minorHAnsi" w:eastAsiaTheme="minorHAnsi" w:hAnsiTheme="minorHAnsi" w:cstheme="minorBidi"/>
          <w:snapToGrid/>
          <w:sz w:val="24"/>
          <w:szCs w:val="22"/>
        </w:rPr>
        <w:t>The PBAC further recommended that it may be reasonable that the drug cost for lenvatinib be no more than 5%</w:t>
      </w:r>
      <w:r>
        <w:rPr>
          <w:rFonts w:asciiTheme="minorHAnsi" w:eastAsiaTheme="minorHAnsi" w:hAnsiTheme="minorHAnsi" w:cstheme="minorBidi"/>
          <w:szCs w:val="22"/>
        </w:rPr>
        <w:t xml:space="preserve"> </w:t>
      </w:r>
      <w:r w:rsidRPr="00557E6C">
        <w:rPr>
          <w:rFonts w:asciiTheme="minorHAnsi" w:eastAsiaTheme="minorHAnsi" w:hAnsiTheme="minorHAnsi" w:cstheme="minorBidi"/>
          <w:snapToGrid/>
          <w:sz w:val="24"/>
          <w:szCs w:val="22"/>
        </w:rPr>
        <w:t xml:space="preserve">higher than the price of </w:t>
      </w:r>
      <w:proofErr w:type="spellStart"/>
      <w:r w:rsidRPr="00557E6C">
        <w:rPr>
          <w:rFonts w:asciiTheme="minorHAnsi" w:eastAsiaTheme="minorHAnsi" w:hAnsiTheme="minorHAnsi" w:cstheme="minorBidi"/>
          <w:snapToGrid/>
          <w:sz w:val="24"/>
          <w:szCs w:val="22"/>
        </w:rPr>
        <w:t>sorafenib</w:t>
      </w:r>
      <w:proofErr w:type="spellEnd"/>
      <w:r w:rsidRPr="00557E6C">
        <w:rPr>
          <w:rFonts w:asciiTheme="minorHAnsi" w:eastAsiaTheme="minorHAnsi" w:hAnsiTheme="minorHAnsi" w:cstheme="minorBidi"/>
          <w:snapToGrid/>
          <w:sz w:val="24"/>
          <w:szCs w:val="22"/>
        </w:rPr>
        <w:t xml:space="preserve"> using the previously recommended </w:t>
      </w:r>
      <w:proofErr w:type="spellStart"/>
      <w:r w:rsidRPr="00557E6C">
        <w:rPr>
          <w:rFonts w:asciiTheme="minorHAnsi" w:eastAsiaTheme="minorHAnsi" w:hAnsiTheme="minorHAnsi" w:cstheme="minorBidi"/>
          <w:snapToGrid/>
          <w:sz w:val="24"/>
          <w:szCs w:val="22"/>
        </w:rPr>
        <w:t>equi</w:t>
      </w:r>
      <w:proofErr w:type="spellEnd"/>
      <w:r w:rsidRPr="00557E6C">
        <w:rPr>
          <w:rFonts w:asciiTheme="minorHAnsi" w:eastAsiaTheme="minorHAnsi" w:hAnsiTheme="minorHAnsi" w:cstheme="minorBidi"/>
          <w:snapToGrid/>
          <w:sz w:val="24"/>
          <w:szCs w:val="22"/>
        </w:rPr>
        <w:t>-effective doses</w:t>
      </w:r>
      <w:r>
        <w:rPr>
          <w:rFonts w:asciiTheme="minorHAnsi" w:eastAsiaTheme="minorHAnsi" w:hAnsiTheme="minorHAnsi" w:cstheme="minorBidi"/>
          <w:szCs w:val="22"/>
        </w:rPr>
        <w:t xml:space="preserve"> </w:t>
      </w:r>
      <w:r w:rsidRPr="00557E6C">
        <w:rPr>
          <w:rFonts w:asciiTheme="minorHAnsi" w:eastAsiaTheme="minorHAnsi" w:hAnsiTheme="minorHAnsi" w:cstheme="minorBidi"/>
          <w:snapToGrid/>
          <w:sz w:val="24"/>
          <w:szCs w:val="22"/>
        </w:rPr>
        <w:t xml:space="preserve">reflecting its different </w:t>
      </w:r>
      <w:r w:rsidRPr="00322076">
        <w:rPr>
          <w:rFonts w:asciiTheme="minorHAnsi" w:eastAsiaTheme="minorHAnsi" w:hAnsiTheme="minorHAnsi" w:cstheme="minorBidi"/>
          <w:snapToGrid/>
          <w:sz w:val="24"/>
          <w:szCs w:val="22"/>
        </w:rPr>
        <w:t xml:space="preserve">safety profile. </w:t>
      </w:r>
      <w:r w:rsidR="00025E78" w:rsidRPr="00322076">
        <w:rPr>
          <w:rFonts w:asciiTheme="minorHAnsi" w:eastAsiaTheme="minorHAnsi" w:hAnsiTheme="minorHAnsi" w:cstheme="minorBidi"/>
          <w:snapToGrid/>
          <w:sz w:val="24"/>
          <w:szCs w:val="22"/>
        </w:rPr>
        <w:t xml:space="preserve">In particular, the PBAC noted the rate of palmar-plantar </w:t>
      </w:r>
      <w:proofErr w:type="spellStart"/>
      <w:r w:rsidR="00025E78" w:rsidRPr="00322076">
        <w:rPr>
          <w:rFonts w:asciiTheme="minorHAnsi" w:eastAsiaTheme="minorHAnsi" w:hAnsiTheme="minorHAnsi" w:cstheme="minorBidi"/>
          <w:snapToGrid/>
          <w:sz w:val="24"/>
          <w:szCs w:val="22"/>
        </w:rPr>
        <w:t>erythr</w:t>
      </w:r>
      <w:r w:rsidR="00025E78" w:rsidRPr="00214B6F">
        <w:rPr>
          <w:rFonts w:asciiTheme="minorHAnsi" w:eastAsiaTheme="minorHAnsi" w:hAnsiTheme="minorHAnsi" w:cstheme="minorBidi"/>
          <w:snapToGrid/>
          <w:sz w:val="24"/>
          <w:szCs w:val="22"/>
        </w:rPr>
        <w:t>odysaesthesia</w:t>
      </w:r>
      <w:proofErr w:type="spellEnd"/>
      <w:r w:rsidR="00025E78" w:rsidRPr="00214B6F">
        <w:rPr>
          <w:rFonts w:asciiTheme="minorHAnsi" w:eastAsiaTheme="minorHAnsi" w:hAnsiTheme="minorHAnsi" w:cstheme="minorBidi"/>
          <w:snapToGrid/>
          <w:sz w:val="24"/>
          <w:szCs w:val="22"/>
        </w:rPr>
        <w:t xml:space="preserve"> syndrome was lower with lenvatinib</w:t>
      </w:r>
      <w:r w:rsidR="002555C2" w:rsidRPr="00214B6F">
        <w:rPr>
          <w:rFonts w:asciiTheme="minorHAnsi" w:eastAsiaTheme="minorHAnsi" w:hAnsiTheme="minorHAnsi" w:cstheme="minorBidi"/>
          <w:snapToGrid/>
          <w:sz w:val="24"/>
          <w:szCs w:val="22"/>
        </w:rPr>
        <w:t xml:space="preserve"> (</w:t>
      </w:r>
      <w:r w:rsidR="002555C2" w:rsidRPr="00214B6F">
        <w:rPr>
          <w:rFonts w:asciiTheme="minorHAnsi" w:eastAsiaTheme="minorHAnsi" w:hAnsiTheme="minorHAnsi" w:cstheme="minorBidi"/>
          <w:sz w:val="24"/>
          <w:szCs w:val="22"/>
        </w:rPr>
        <w:t xml:space="preserve">26.9%, all grades; 2.9% Grade </w:t>
      </w:r>
      <w:r w:rsidR="002555C2" w:rsidRPr="00214B6F">
        <w:rPr>
          <w:rFonts w:asciiTheme="minorHAnsi" w:eastAsiaTheme="minorHAnsi" w:hAnsiTheme="minorHAnsi" w:cstheme="minorHAnsi"/>
          <w:sz w:val="24"/>
          <w:szCs w:val="22"/>
        </w:rPr>
        <w:t>≥</w:t>
      </w:r>
      <w:r w:rsidR="002555C2" w:rsidRPr="00214B6F">
        <w:rPr>
          <w:rFonts w:asciiTheme="minorHAnsi" w:eastAsiaTheme="minorHAnsi" w:hAnsiTheme="minorHAnsi" w:cstheme="minorBidi"/>
          <w:sz w:val="24"/>
          <w:szCs w:val="22"/>
        </w:rPr>
        <w:t>3) compared to</w:t>
      </w:r>
      <w:r w:rsidR="002555C2" w:rsidRPr="001E2A5B">
        <w:rPr>
          <w:rFonts w:asciiTheme="minorHAnsi" w:eastAsiaTheme="minorHAnsi" w:hAnsiTheme="minorHAnsi" w:cstheme="minorBidi"/>
          <w:sz w:val="24"/>
          <w:szCs w:val="22"/>
        </w:rPr>
        <w:t xml:space="preserve"> </w:t>
      </w:r>
      <w:proofErr w:type="spellStart"/>
      <w:r w:rsidR="002555C2" w:rsidRPr="001E2A5B">
        <w:rPr>
          <w:rFonts w:asciiTheme="minorHAnsi" w:eastAsiaTheme="minorHAnsi" w:hAnsiTheme="minorHAnsi" w:cstheme="minorBidi"/>
          <w:sz w:val="24"/>
          <w:szCs w:val="22"/>
        </w:rPr>
        <w:t>sorafenib</w:t>
      </w:r>
      <w:proofErr w:type="spellEnd"/>
      <w:r w:rsidR="002555C2" w:rsidRPr="001E2A5B">
        <w:rPr>
          <w:rFonts w:asciiTheme="minorHAnsi" w:eastAsiaTheme="minorHAnsi" w:hAnsiTheme="minorHAnsi" w:cstheme="minorBidi"/>
          <w:sz w:val="24"/>
          <w:szCs w:val="22"/>
        </w:rPr>
        <w:t xml:space="preserve"> (52.4%, all grades; 11.4%, Grade </w:t>
      </w:r>
      <w:r w:rsidR="002555C2" w:rsidRPr="001E2A5B">
        <w:rPr>
          <w:rFonts w:asciiTheme="minorHAnsi" w:eastAsiaTheme="minorHAnsi" w:hAnsiTheme="minorHAnsi" w:cstheme="minorHAnsi"/>
          <w:sz w:val="24"/>
          <w:szCs w:val="22"/>
        </w:rPr>
        <w:t>≥</w:t>
      </w:r>
      <w:r w:rsidR="002555C2" w:rsidRPr="00557E6C">
        <w:rPr>
          <w:rFonts w:asciiTheme="minorHAnsi" w:eastAsiaTheme="minorHAnsi" w:hAnsiTheme="minorHAnsi" w:cstheme="minorBidi"/>
          <w:sz w:val="24"/>
          <w:szCs w:val="22"/>
        </w:rPr>
        <w:t>3</w:t>
      </w:r>
      <w:r w:rsidR="002555C2" w:rsidRPr="00557E6C">
        <w:rPr>
          <w:rFonts w:asciiTheme="minorHAnsi" w:eastAsiaTheme="minorHAnsi" w:hAnsiTheme="minorHAnsi" w:cstheme="minorBidi"/>
          <w:snapToGrid/>
          <w:sz w:val="24"/>
          <w:szCs w:val="22"/>
        </w:rPr>
        <w:t xml:space="preserve">) </w:t>
      </w:r>
      <w:r w:rsidR="00025E78" w:rsidRPr="00557E6C">
        <w:rPr>
          <w:rFonts w:asciiTheme="minorHAnsi" w:eastAsiaTheme="minorHAnsi" w:hAnsiTheme="minorHAnsi" w:cstheme="minorBidi"/>
          <w:snapToGrid/>
          <w:sz w:val="24"/>
          <w:szCs w:val="22"/>
        </w:rPr>
        <w:t>and this adverse even</w:t>
      </w:r>
      <w:r w:rsidR="00B11EB1" w:rsidRPr="00557E6C">
        <w:rPr>
          <w:rFonts w:asciiTheme="minorHAnsi" w:eastAsiaTheme="minorHAnsi" w:hAnsiTheme="minorHAnsi" w:cstheme="minorBidi"/>
          <w:snapToGrid/>
          <w:sz w:val="24"/>
          <w:szCs w:val="22"/>
        </w:rPr>
        <w:t>t</w:t>
      </w:r>
      <w:r w:rsidR="00025E78" w:rsidRPr="00557E6C">
        <w:rPr>
          <w:rFonts w:asciiTheme="minorHAnsi" w:eastAsiaTheme="minorHAnsi" w:hAnsiTheme="minorHAnsi" w:cstheme="minorBidi"/>
          <w:snapToGrid/>
          <w:sz w:val="24"/>
          <w:szCs w:val="22"/>
        </w:rPr>
        <w:t xml:space="preserve"> may have a significant impact on a patient’s quality of life</w:t>
      </w:r>
      <w:r w:rsidR="006F64EE" w:rsidRPr="00557E6C">
        <w:rPr>
          <w:rFonts w:asciiTheme="minorHAnsi" w:eastAsiaTheme="minorHAnsi" w:hAnsiTheme="minorHAnsi" w:cstheme="minorBidi"/>
          <w:snapToGrid/>
          <w:sz w:val="24"/>
          <w:szCs w:val="22"/>
        </w:rPr>
        <w:t>.</w:t>
      </w:r>
    </w:p>
    <w:p w:rsidR="002555C2" w:rsidRPr="00557E6C" w:rsidRDefault="002555C2" w:rsidP="0080191E">
      <w:pPr>
        <w:pStyle w:val="ListParagraph"/>
        <w:widowControl/>
        <w:contextualSpacing w:val="0"/>
        <w:rPr>
          <w:rFonts w:asciiTheme="minorHAnsi" w:hAnsiTheme="minorHAnsi"/>
          <w:sz w:val="24"/>
          <w:szCs w:val="24"/>
        </w:rPr>
      </w:pPr>
    </w:p>
    <w:p w:rsidR="00145AC4" w:rsidRPr="00557E6C" w:rsidRDefault="00E03425" w:rsidP="00145AC4">
      <w:pPr>
        <w:pStyle w:val="ListParagraph"/>
        <w:widowControl/>
        <w:numPr>
          <w:ilvl w:val="1"/>
          <w:numId w:val="14"/>
        </w:numPr>
        <w:contextualSpacing w:val="0"/>
        <w:rPr>
          <w:rFonts w:asciiTheme="minorHAnsi" w:hAnsiTheme="minorHAnsi"/>
          <w:sz w:val="24"/>
          <w:szCs w:val="24"/>
        </w:rPr>
      </w:pPr>
      <w:r w:rsidRPr="00557E6C">
        <w:rPr>
          <w:rFonts w:asciiTheme="minorHAnsi" w:hAnsiTheme="minorHAnsi"/>
          <w:sz w:val="24"/>
          <w:szCs w:val="24"/>
        </w:rPr>
        <w:t xml:space="preserve">The PBAC considered </w:t>
      </w:r>
      <w:proofErr w:type="gramStart"/>
      <w:r w:rsidRPr="00557E6C">
        <w:rPr>
          <w:rFonts w:asciiTheme="minorHAnsi" w:hAnsiTheme="minorHAnsi"/>
          <w:sz w:val="24"/>
          <w:szCs w:val="24"/>
        </w:rPr>
        <w:t>a</w:t>
      </w:r>
      <w:r w:rsidR="00025E78" w:rsidRPr="00557E6C">
        <w:rPr>
          <w:rFonts w:asciiTheme="minorHAnsi" w:hAnsiTheme="minorHAnsi"/>
          <w:sz w:val="24"/>
          <w:szCs w:val="24"/>
        </w:rPr>
        <w:t xml:space="preserve">n </w:t>
      </w:r>
      <w:r w:rsidRPr="00557E6C">
        <w:rPr>
          <w:rFonts w:asciiTheme="minorHAnsi" w:hAnsiTheme="minorHAnsi"/>
          <w:sz w:val="24"/>
          <w:szCs w:val="24"/>
        </w:rPr>
        <w:t>initial restriction criteria</w:t>
      </w:r>
      <w:proofErr w:type="gramEnd"/>
      <w:r w:rsidRPr="00557E6C">
        <w:rPr>
          <w:rFonts w:asciiTheme="minorHAnsi" w:hAnsiTheme="minorHAnsi"/>
          <w:sz w:val="24"/>
          <w:szCs w:val="24"/>
        </w:rPr>
        <w:t xml:space="preserve"> </w:t>
      </w:r>
      <w:r w:rsidR="00025E78" w:rsidRPr="001E2A5B">
        <w:rPr>
          <w:rFonts w:asciiTheme="minorHAnsi" w:hAnsiTheme="minorHAnsi"/>
          <w:sz w:val="24"/>
          <w:szCs w:val="24"/>
        </w:rPr>
        <w:t xml:space="preserve">to </w:t>
      </w:r>
      <w:r w:rsidR="0048539C" w:rsidRPr="001E2A5B">
        <w:rPr>
          <w:rFonts w:asciiTheme="minorHAnsi" w:hAnsiTheme="minorHAnsi"/>
          <w:sz w:val="24"/>
          <w:szCs w:val="24"/>
        </w:rPr>
        <w:t xml:space="preserve">grandfather </w:t>
      </w:r>
      <w:r w:rsidR="00025E78" w:rsidRPr="001E2A5B">
        <w:rPr>
          <w:rFonts w:asciiTheme="minorHAnsi" w:hAnsiTheme="minorHAnsi"/>
          <w:sz w:val="24"/>
          <w:szCs w:val="24"/>
        </w:rPr>
        <w:t xml:space="preserve">patients </w:t>
      </w:r>
      <w:r w:rsidR="00B11EB1" w:rsidRPr="001E2A5B">
        <w:rPr>
          <w:rFonts w:asciiTheme="minorHAnsi" w:hAnsiTheme="minorHAnsi"/>
          <w:sz w:val="24"/>
          <w:szCs w:val="24"/>
        </w:rPr>
        <w:t xml:space="preserve">treated with lenvatinib </w:t>
      </w:r>
      <w:r w:rsidR="00025E78" w:rsidRPr="00557E6C">
        <w:rPr>
          <w:rFonts w:asciiTheme="minorHAnsi" w:hAnsiTheme="minorHAnsi"/>
          <w:sz w:val="24"/>
          <w:szCs w:val="24"/>
        </w:rPr>
        <w:t xml:space="preserve">in an access program prior to PBS listing </w:t>
      </w:r>
      <w:r w:rsidR="00B11EB1" w:rsidRPr="00557E6C">
        <w:rPr>
          <w:rFonts w:asciiTheme="minorHAnsi" w:hAnsiTheme="minorHAnsi"/>
          <w:sz w:val="24"/>
          <w:szCs w:val="24"/>
        </w:rPr>
        <w:t xml:space="preserve">for HCC </w:t>
      </w:r>
      <w:r w:rsidR="0005522B" w:rsidRPr="00557E6C">
        <w:rPr>
          <w:rFonts w:asciiTheme="minorHAnsi" w:hAnsiTheme="minorHAnsi"/>
          <w:sz w:val="24"/>
          <w:szCs w:val="24"/>
        </w:rPr>
        <w:t xml:space="preserve">was </w:t>
      </w:r>
      <w:r w:rsidR="00025E78" w:rsidRPr="00557E6C">
        <w:rPr>
          <w:rFonts w:asciiTheme="minorHAnsi" w:hAnsiTheme="minorHAnsi"/>
          <w:sz w:val="24"/>
          <w:szCs w:val="24"/>
        </w:rPr>
        <w:t>a</w:t>
      </w:r>
      <w:r w:rsidRPr="00557E6C">
        <w:rPr>
          <w:rFonts w:asciiTheme="minorHAnsi" w:hAnsiTheme="minorHAnsi"/>
          <w:sz w:val="24"/>
          <w:szCs w:val="24"/>
        </w:rPr>
        <w:t>ppropriate</w:t>
      </w:r>
      <w:r w:rsidR="00025E78" w:rsidRPr="00557E6C">
        <w:rPr>
          <w:rFonts w:asciiTheme="minorHAnsi" w:hAnsiTheme="minorHAnsi"/>
          <w:sz w:val="24"/>
          <w:szCs w:val="24"/>
        </w:rPr>
        <w:t>.</w:t>
      </w:r>
    </w:p>
    <w:p w:rsidR="0005522B" w:rsidRPr="00557E6C" w:rsidRDefault="0005522B" w:rsidP="00236393">
      <w:pPr>
        <w:pStyle w:val="ListParagraph"/>
        <w:rPr>
          <w:rFonts w:asciiTheme="minorHAnsi" w:hAnsiTheme="minorHAnsi"/>
          <w:sz w:val="24"/>
          <w:szCs w:val="24"/>
        </w:rPr>
      </w:pPr>
    </w:p>
    <w:p w:rsidR="0005522B" w:rsidRPr="00557E6C" w:rsidRDefault="00236393" w:rsidP="00145AC4">
      <w:pPr>
        <w:pStyle w:val="ListParagraph"/>
        <w:widowControl/>
        <w:numPr>
          <w:ilvl w:val="1"/>
          <w:numId w:val="14"/>
        </w:numPr>
        <w:contextualSpacing w:val="0"/>
        <w:rPr>
          <w:rFonts w:asciiTheme="minorHAnsi" w:hAnsiTheme="minorHAnsi" w:cstheme="minorHAnsi"/>
          <w:sz w:val="24"/>
          <w:szCs w:val="24"/>
        </w:rPr>
      </w:pPr>
      <w:r w:rsidRPr="00557E6C">
        <w:rPr>
          <w:rFonts w:asciiTheme="minorHAnsi" w:hAnsiTheme="minorHAnsi"/>
          <w:sz w:val="24"/>
          <w:szCs w:val="24"/>
        </w:rPr>
        <w:t xml:space="preserve">The PBAC recommended that lenvatinib </w:t>
      </w:r>
      <w:proofErr w:type="gramStart"/>
      <w:r w:rsidRPr="00557E6C">
        <w:rPr>
          <w:rFonts w:asciiTheme="minorHAnsi" w:hAnsiTheme="minorHAnsi"/>
          <w:sz w:val="24"/>
          <w:szCs w:val="24"/>
        </w:rPr>
        <w:t>should not be treated</w:t>
      </w:r>
      <w:proofErr w:type="gramEnd"/>
      <w:r w:rsidRPr="00557E6C">
        <w:rPr>
          <w:rFonts w:asciiTheme="minorHAnsi" w:hAnsiTheme="minorHAnsi"/>
          <w:sz w:val="24"/>
          <w:szCs w:val="24"/>
        </w:rPr>
        <w:t xml:space="preserve"> as interchangeable on </w:t>
      </w:r>
      <w:r w:rsidRPr="001E2A5B">
        <w:rPr>
          <w:rFonts w:asciiTheme="minorHAnsi" w:hAnsiTheme="minorHAnsi" w:cstheme="minorHAnsi"/>
          <w:sz w:val="24"/>
          <w:szCs w:val="24"/>
        </w:rPr>
        <w:t xml:space="preserve">an individual patient basis with </w:t>
      </w:r>
      <w:proofErr w:type="spellStart"/>
      <w:r w:rsidRPr="001E2A5B">
        <w:rPr>
          <w:rFonts w:asciiTheme="minorHAnsi" w:hAnsiTheme="minorHAnsi" w:cstheme="minorHAnsi"/>
          <w:sz w:val="24"/>
          <w:szCs w:val="24"/>
        </w:rPr>
        <w:t>sorafenib</w:t>
      </w:r>
      <w:proofErr w:type="spellEnd"/>
      <w:r w:rsidRPr="00557E6C">
        <w:rPr>
          <w:rFonts w:asciiTheme="minorHAnsi" w:hAnsiTheme="minorHAnsi" w:cstheme="minorHAnsi"/>
          <w:sz w:val="24"/>
          <w:szCs w:val="24"/>
        </w:rPr>
        <w:t>.</w:t>
      </w:r>
    </w:p>
    <w:p w:rsidR="0005522B" w:rsidRPr="00557E6C" w:rsidRDefault="0005522B" w:rsidP="00021DB3">
      <w:pPr>
        <w:pStyle w:val="ListParagraph"/>
        <w:rPr>
          <w:rFonts w:asciiTheme="minorHAnsi" w:hAnsiTheme="minorHAnsi" w:cstheme="minorHAnsi"/>
          <w:sz w:val="24"/>
          <w:szCs w:val="24"/>
        </w:rPr>
      </w:pPr>
    </w:p>
    <w:p w:rsidR="00B53766" w:rsidRPr="002F1842" w:rsidRDefault="00B53766" w:rsidP="00B53766">
      <w:pPr>
        <w:widowControl w:val="0"/>
        <w:numPr>
          <w:ilvl w:val="1"/>
          <w:numId w:val="14"/>
        </w:numPr>
        <w:jc w:val="both"/>
        <w:rPr>
          <w:rFonts w:asciiTheme="minorHAnsi" w:hAnsiTheme="minorHAnsi" w:cstheme="minorHAnsi"/>
          <w:bCs/>
          <w:snapToGrid w:val="0"/>
        </w:rPr>
      </w:pPr>
      <w:r w:rsidRPr="002F1842">
        <w:rPr>
          <w:rFonts w:asciiTheme="minorHAnsi" w:hAnsiTheme="minorHAnsi" w:cstheme="minorHAnsi"/>
          <w:bCs/>
          <w:snapToGrid w:val="0"/>
        </w:rPr>
        <w:t>The PBAC advised that lenvatinib is not suitable for prescribing by nurse practitioners.</w:t>
      </w:r>
    </w:p>
    <w:p w:rsidR="00B53766" w:rsidRPr="002F1842" w:rsidRDefault="00B53766" w:rsidP="00B53766">
      <w:pPr>
        <w:widowControl w:val="0"/>
        <w:jc w:val="both"/>
        <w:rPr>
          <w:rFonts w:asciiTheme="minorHAnsi" w:hAnsiTheme="minorHAnsi" w:cstheme="minorHAnsi"/>
          <w:bCs/>
          <w:snapToGrid w:val="0"/>
        </w:rPr>
      </w:pPr>
    </w:p>
    <w:p w:rsidR="00B53766" w:rsidRPr="002F1842" w:rsidRDefault="00B53766" w:rsidP="00B53766">
      <w:pPr>
        <w:widowControl w:val="0"/>
        <w:numPr>
          <w:ilvl w:val="1"/>
          <w:numId w:val="14"/>
        </w:numPr>
        <w:jc w:val="both"/>
        <w:rPr>
          <w:rFonts w:asciiTheme="minorHAnsi" w:hAnsiTheme="minorHAnsi" w:cstheme="minorHAnsi"/>
          <w:bCs/>
          <w:snapToGrid w:val="0"/>
        </w:rPr>
      </w:pPr>
      <w:r w:rsidRPr="002F1842">
        <w:rPr>
          <w:rFonts w:asciiTheme="minorHAnsi" w:hAnsiTheme="minorHAnsi" w:cstheme="minorHAnsi"/>
          <w:bCs/>
          <w:snapToGrid w:val="0"/>
        </w:rPr>
        <w:lastRenderedPageBreak/>
        <w:t>The PBAC recommended that the Earl</w:t>
      </w:r>
      <w:r w:rsidR="00BA7A69">
        <w:rPr>
          <w:rFonts w:asciiTheme="minorHAnsi" w:hAnsiTheme="minorHAnsi" w:cstheme="minorHAnsi"/>
          <w:bCs/>
          <w:snapToGrid w:val="0"/>
        </w:rPr>
        <w:t>y Supply Rule should not apply.</w:t>
      </w:r>
    </w:p>
    <w:p w:rsidR="00B53766" w:rsidRPr="002F1842" w:rsidRDefault="00B53766" w:rsidP="00B53766">
      <w:pPr>
        <w:widowControl w:val="0"/>
        <w:ind w:left="720"/>
        <w:jc w:val="both"/>
        <w:rPr>
          <w:rFonts w:asciiTheme="minorHAnsi" w:hAnsiTheme="minorHAnsi" w:cstheme="minorHAnsi"/>
          <w:bCs/>
          <w:snapToGrid w:val="0"/>
        </w:rPr>
      </w:pPr>
    </w:p>
    <w:p w:rsidR="002555C2" w:rsidRPr="00557E6C" w:rsidRDefault="00B53766" w:rsidP="00B53766">
      <w:pPr>
        <w:pStyle w:val="ListParagraph"/>
        <w:widowControl/>
        <w:numPr>
          <w:ilvl w:val="1"/>
          <w:numId w:val="14"/>
        </w:numPr>
        <w:contextualSpacing w:val="0"/>
        <w:rPr>
          <w:rFonts w:asciiTheme="minorHAnsi" w:hAnsiTheme="minorHAnsi" w:cstheme="minorHAnsi"/>
          <w:sz w:val="24"/>
          <w:szCs w:val="24"/>
        </w:rPr>
      </w:pPr>
      <w:r w:rsidRPr="002F1842">
        <w:rPr>
          <w:rFonts w:asciiTheme="minorHAnsi" w:hAnsiTheme="minorHAnsi" w:cstheme="minorHAnsi"/>
          <w:bCs/>
          <w:sz w:val="24"/>
          <w:szCs w:val="24"/>
        </w:rPr>
        <w:t>The PBAC noted that this submission is not eligible for an Independent Review as it received a positive recommendation</w:t>
      </w:r>
    </w:p>
    <w:p w:rsidR="00E03425" w:rsidRPr="00557E6C" w:rsidRDefault="00E03425" w:rsidP="00882442">
      <w:pPr>
        <w:rPr>
          <w:rFonts w:asciiTheme="minorHAnsi" w:hAnsiTheme="minorHAnsi"/>
        </w:rPr>
      </w:pPr>
    </w:p>
    <w:p w:rsidR="00BA02D1" w:rsidRPr="001E2A5B" w:rsidRDefault="00BA02D1" w:rsidP="00882442">
      <w:pPr>
        <w:rPr>
          <w:rFonts w:asciiTheme="minorHAnsi" w:hAnsiTheme="minorHAnsi"/>
        </w:rPr>
      </w:pPr>
      <w:r w:rsidRPr="001E2A5B">
        <w:rPr>
          <w:rFonts w:asciiTheme="minorHAnsi" w:hAnsiTheme="minorHAnsi"/>
          <w:b/>
        </w:rPr>
        <w:t>Outcome</w:t>
      </w:r>
      <w:r w:rsidR="004468C8">
        <w:rPr>
          <w:rFonts w:asciiTheme="minorHAnsi" w:hAnsiTheme="minorHAnsi"/>
        </w:rPr>
        <w:t>: R</w:t>
      </w:r>
      <w:r w:rsidRPr="001E2A5B">
        <w:rPr>
          <w:rFonts w:asciiTheme="minorHAnsi" w:hAnsiTheme="minorHAnsi"/>
        </w:rPr>
        <w:t>ecommended</w:t>
      </w:r>
    </w:p>
    <w:p w:rsidR="00F90179" w:rsidRPr="00557E6C" w:rsidRDefault="001907A0" w:rsidP="00B454D2">
      <w:pPr>
        <w:pStyle w:val="PBACHeading1"/>
        <w:spacing w:before="240" w:after="120"/>
        <w:ind w:left="709" w:hanging="709"/>
        <w:rPr>
          <w:rFonts w:asciiTheme="minorHAnsi" w:hAnsiTheme="minorHAnsi"/>
          <w:sz w:val="32"/>
          <w:szCs w:val="32"/>
        </w:rPr>
      </w:pPr>
      <w:r w:rsidRPr="00557E6C">
        <w:rPr>
          <w:rFonts w:asciiTheme="minorHAnsi" w:hAnsiTheme="minorHAnsi"/>
          <w:sz w:val="32"/>
          <w:szCs w:val="32"/>
        </w:rPr>
        <w:t>Recommended listing</w:t>
      </w:r>
    </w:p>
    <w:p w:rsidR="001907A0" w:rsidRPr="00557E6C" w:rsidRDefault="00A84D54" w:rsidP="00A84D54">
      <w:pPr>
        <w:pStyle w:val="ListParagraph"/>
        <w:widowControl/>
        <w:numPr>
          <w:ilvl w:val="1"/>
          <w:numId w:val="14"/>
        </w:numPr>
        <w:contextualSpacing w:val="0"/>
        <w:rPr>
          <w:rFonts w:asciiTheme="minorHAnsi" w:hAnsiTheme="minorHAnsi"/>
          <w:sz w:val="24"/>
          <w:szCs w:val="24"/>
        </w:rPr>
      </w:pPr>
      <w:r w:rsidRPr="00557E6C">
        <w:rPr>
          <w:rFonts w:asciiTheme="minorHAnsi" w:hAnsiTheme="minorHAnsi"/>
          <w:sz w:val="24"/>
          <w:szCs w:val="24"/>
        </w:rPr>
        <w:t>Add</w:t>
      </w:r>
      <w:r w:rsidR="00EE7E85" w:rsidRPr="00557E6C">
        <w:rPr>
          <w:rFonts w:asciiTheme="minorHAnsi" w:hAnsiTheme="minorHAnsi"/>
          <w:sz w:val="24"/>
          <w:szCs w:val="24"/>
        </w:rPr>
        <w:t xml:space="preserve"> new item</w:t>
      </w:r>
      <w:r w:rsidRPr="00557E6C">
        <w:rPr>
          <w:rFonts w:asciiTheme="minorHAnsi" w:hAnsiTheme="minorHAnsi"/>
          <w:sz w:val="24"/>
          <w:szCs w:val="24"/>
        </w:rPr>
        <w:t>:</w:t>
      </w:r>
    </w:p>
    <w:p w:rsidR="00A84D54" w:rsidRPr="00557E6C" w:rsidRDefault="00A84D54" w:rsidP="0031343A">
      <w:pPr>
        <w:pStyle w:val="ListParagraph"/>
        <w:widowControl/>
        <w:contextualSpacing w:val="0"/>
        <w:rPr>
          <w:rFonts w:asciiTheme="minorHAnsi" w:hAnsiTheme="minorHAnsi"/>
          <w:sz w:val="24"/>
          <w:szCs w:val="24"/>
        </w:rPr>
      </w:pPr>
    </w:p>
    <w:tbl>
      <w:tblPr>
        <w:tblW w:w="9072" w:type="dxa"/>
        <w:tblInd w:w="108" w:type="dxa"/>
        <w:tblLayout w:type="fixed"/>
        <w:tblLook w:val="0000" w:firstRow="0" w:lastRow="0" w:firstColumn="0" w:lastColumn="0" w:noHBand="0" w:noVBand="0"/>
      </w:tblPr>
      <w:tblGrid>
        <w:gridCol w:w="3261"/>
        <w:gridCol w:w="850"/>
        <w:gridCol w:w="851"/>
        <w:gridCol w:w="992"/>
        <w:gridCol w:w="1276"/>
        <w:gridCol w:w="1842"/>
      </w:tblGrid>
      <w:tr w:rsidR="00F85EF7" w:rsidRPr="00557E6C" w:rsidTr="00372360">
        <w:trPr>
          <w:cantSplit/>
          <w:trHeight w:val="471"/>
        </w:trPr>
        <w:tc>
          <w:tcPr>
            <w:tcW w:w="4111" w:type="dxa"/>
            <w:gridSpan w:val="2"/>
            <w:tcBorders>
              <w:top w:val="single" w:sz="4" w:space="0" w:color="auto"/>
              <w:bottom w:val="single" w:sz="4" w:space="0" w:color="auto"/>
            </w:tcBorders>
          </w:tcPr>
          <w:p w:rsidR="00F85EF7" w:rsidRPr="00372360" w:rsidRDefault="00F85EF7" w:rsidP="00557E6C">
            <w:pPr>
              <w:keepNext/>
              <w:ind w:left="-108"/>
              <w:rPr>
                <w:rFonts w:ascii="Arial Narrow" w:hAnsi="Arial Narrow"/>
                <w:b/>
                <w:sz w:val="20"/>
                <w:szCs w:val="20"/>
              </w:rPr>
            </w:pPr>
            <w:r w:rsidRPr="00372360">
              <w:rPr>
                <w:rFonts w:ascii="Arial Narrow" w:hAnsi="Arial Narrow"/>
                <w:b/>
                <w:sz w:val="20"/>
                <w:szCs w:val="20"/>
              </w:rPr>
              <w:t>Name, Restriction,</w:t>
            </w:r>
          </w:p>
          <w:p w:rsidR="00F85EF7" w:rsidRPr="00372360" w:rsidRDefault="00F85EF7" w:rsidP="00557E6C">
            <w:pPr>
              <w:keepNext/>
              <w:ind w:left="-108"/>
              <w:rPr>
                <w:rFonts w:ascii="Arial Narrow" w:hAnsi="Arial Narrow"/>
                <w:b/>
                <w:sz w:val="20"/>
                <w:szCs w:val="20"/>
              </w:rPr>
            </w:pPr>
            <w:r w:rsidRPr="00372360">
              <w:rPr>
                <w:rFonts w:ascii="Arial Narrow" w:hAnsi="Arial Narrow"/>
                <w:b/>
                <w:sz w:val="20"/>
                <w:szCs w:val="20"/>
              </w:rPr>
              <w:t>Manner of administration and form</w:t>
            </w:r>
          </w:p>
        </w:tc>
        <w:tc>
          <w:tcPr>
            <w:tcW w:w="851" w:type="dxa"/>
            <w:tcBorders>
              <w:top w:val="single" w:sz="4" w:space="0" w:color="auto"/>
              <w:bottom w:val="single" w:sz="4" w:space="0" w:color="auto"/>
            </w:tcBorders>
          </w:tcPr>
          <w:p w:rsidR="00F85EF7" w:rsidRPr="00372360" w:rsidRDefault="00F85EF7" w:rsidP="00557E6C">
            <w:pPr>
              <w:keepNext/>
              <w:ind w:left="-108"/>
              <w:rPr>
                <w:rFonts w:ascii="Arial Narrow" w:hAnsi="Arial Narrow"/>
                <w:b/>
                <w:sz w:val="20"/>
                <w:szCs w:val="20"/>
              </w:rPr>
            </w:pPr>
            <w:r w:rsidRPr="00372360">
              <w:rPr>
                <w:rFonts w:ascii="Arial Narrow" w:hAnsi="Arial Narrow"/>
                <w:b/>
                <w:sz w:val="20"/>
                <w:szCs w:val="20"/>
              </w:rPr>
              <w:t>Max.</w:t>
            </w:r>
          </w:p>
          <w:p w:rsidR="00F85EF7" w:rsidRPr="00372360" w:rsidRDefault="00F85EF7" w:rsidP="00557E6C">
            <w:pPr>
              <w:keepNext/>
              <w:ind w:left="-108"/>
              <w:rPr>
                <w:rFonts w:ascii="Arial Narrow" w:hAnsi="Arial Narrow"/>
                <w:b/>
                <w:sz w:val="20"/>
                <w:szCs w:val="20"/>
              </w:rPr>
            </w:pPr>
            <w:proofErr w:type="spellStart"/>
            <w:r w:rsidRPr="00372360">
              <w:rPr>
                <w:rFonts w:ascii="Arial Narrow" w:hAnsi="Arial Narrow"/>
                <w:b/>
                <w:sz w:val="20"/>
                <w:szCs w:val="20"/>
              </w:rPr>
              <w:t>Qty</w:t>
            </w:r>
            <w:proofErr w:type="spellEnd"/>
          </w:p>
        </w:tc>
        <w:tc>
          <w:tcPr>
            <w:tcW w:w="992" w:type="dxa"/>
            <w:tcBorders>
              <w:top w:val="single" w:sz="4" w:space="0" w:color="auto"/>
              <w:bottom w:val="single" w:sz="4" w:space="0" w:color="auto"/>
            </w:tcBorders>
          </w:tcPr>
          <w:p w:rsidR="00F85EF7" w:rsidRPr="00372360" w:rsidRDefault="00F85EF7" w:rsidP="00557E6C">
            <w:pPr>
              <w:keepNext/>
              <w:ind w:left="-108"/>
              <w:rPr>
                <w:rFonts w:ascii="Arial Narrow" w:hAnsi="Arial Narrow"/>
                <w:b/>
                <w:sz w:val="20"/>
                <w:szCs w:val="20"/>
              </w:rPr>
            </w:pPr>
            <w:r w:rsidRPr="00372360">
              <w:rPr>
                <w:rFonts w:ascii="Arial Narrow" w:hAnsi="Arial Narrow"/>
                <w:b/>
                <w:sz w:val="20"/>
                <w:szCs w:val="20"/>
              </w:rPr>
              <w:t>№.of</w:t>
            </w:r>
          </w:p>
          <w:p w:rsidR="00F85EF7" w:rsidRPr="00372360" w:rsidRDefault="00F85EF7" w:rsidP="00557E6C">
            <w:pPr>
              <w:keepNext/>
              <w:ind w:left="-108"/>
              <w:rPr>
                <w:rFonts w:ascii="Arial Narrow" w:hAnsi="Arial Narrow"/>
                <w:b/>
                <w:sz w:val="20"/>
                <w:szCs w:val="20"/>
              </w:rPr>
            </w:pPr>
            <w:proofErr w:type="spellStart"/>
            <w:r w:rsidRPr="00372360">
              <w:rPr>
                <w:rFonts w:ascii="Arial Narrow" w:hAnsi="Arial Narrow"/>
                <w:b/>
                <w:sz w:val="20"/>
                <w:szCs w:val="20"/>
              </w:rPr>
              <w:t>Rpts</w:t>
            </w:r>
            <w:proofErr w:type="spellEnd"/>
          </w:p>
        </w:tc>
        <w:tc>
          <w:tcPr>
            <w:tcW w:w="3118" w:type="dxa"/>
            <w:gridSpan w:val="2"/>
            <w:tcBorders>
              <w:top w:val="single" w:sz="4" w:space="0" w:color="auto"/>
              <w:bottom w:val="single" w:sz="4" w:space="0" w:color="auto"/>
            </w:tcBorders>
          </w:tcPr>
          <w:p w:rsidR="00F85EF7" w:rsidRPr="00372360" w:rsidRDefault="00F85EF7" w:rsidP="00557E6C">
            <w:pPr>
              <w:keepNext/>
              <w:rPr>
                <w:rFonts w:ascii="Arial Narrow" w:hAnsi="Arial Narrow"/>
                <w:b/>
                <w:sz w:val="20"/>
                <w:szCs w:val="20"/>
              </w:rPr>
            </w:pPr>
            <w:r w:rsidRPr="00372360">
              <w:rPr>
                <w:rFonts w:ascii="Arial Narrow" w:hAnsi="Arial Narrow"/>
                <w:b/>
                <w:sz w:val="20"/>
                <w:szCs w:val="20"/>
              </w:rPr>
              <w:t>Proprietary Name and Manufacturer</w:t>
            </w:r>
          </w:p>
        </w:tc>
      </w:tr>
      <w:tr w:rsidR="00F85EF7" w:rsidRPr="00557E6C" w:rsidTr="00372360">
        <w:trPr>
          <w:cantSplit/>
          <w:trHeight w:val="577"/>
        </w:trPr>
        <w:tc>
          <w:tcPr>
            <w:tcW w:w="4111" w:type="dxa"/>
            <w:gridSpan w:val="2"/>
            <w:tcBorders>
              <w:top w:val="single" w:sz="4" w:space="0" w:color="auto"/>
            </w:tcBorders>
          </w:tcPr>
          <w:p w:rsidR="00F85EF7" w:rsidRPr="00557E6C" w:rsidRDefault="00F85EF7" w:rsidP="00557E6C">
            <w:pPr>
              <w:keepNext/>
              <w:ind w:left="-108"/>
              <w:rPr>
                <w:rFonts w:ascii="Arial Narrow" w:hAnsi="Arial Narrow"/>
                <w:sz w:val="20"/>
                <w:szCs w:val="20"/>
              </w:rPr>
            </w:pPr>
            <w:r w:rsidRPr="00557E6C">
              <w:rPr>
                <w:rFonts w:ascii="Arial Narrow" w:hAnsi="Arial Narrow"/>
                <w:smallCaps/>
                <w:sz w:val="20"/>
                <w:szCs w:val="20"/>
              </w:rPr>
              <w:t>Lenvatinib</w:t>
            </w:r>
          </w:p>
          <w:p w:rsidR="00F85EF7" w:rsidRPr="00557E6C" w:rsidRDefault="00F85EF7" w:rsidP="00557E6C">
            <w:pPr>
              <w:keepNext/>
              <w:ind w:left="-108"/>
              <w:rPr>
                <w:rFonts w:ascii="Arial Narrow" w:hAnsi="Arial Narrow"/>
                <w:sz w:val="20"/>
                <w:szCs w:val="20"/>
              </w:rPr>
            </w:pPr>
            <w:r w:rsidRPr="00557E6C">
              <w:rPr>
                <w:rFonts w:ascii="Arial Narrow" w:hAnsi="Arial Narrow"/>
                <w:sz w:val="20"/>
                <w:szCs w:val="20"/>
              </w:rPr>
              <w:t>Capsule, 4 mg</w:t>
            </w:r>
          </w:p>
        </w:tc>
        <w:tc>
          <w:tcPr>
            <w:tcW w:w="851" w:type="dxa"/>
            <w:tcBorders>
              <w:top w:val="single" w:sz="4" w:space="0" w:color="auto"/>
            </w:tcBorders>
          </w:tcPr>
          <w:p w:rsidR="00F85EF7" w:rsidRPr="00557E6C" w:rsidRDefault="00F85EF7" w:rsidP="00557E6C">
            <w:pPr>
              <w:keepNext/>
              <w:ind w:left="-108"/>
              <w:rPr>
                <w:rFonts w:ascii="Arial Narrow" w:hAnsi="Arial Narrow"/>
                <w:sz w:val="20"/>
                <w:szCs w:val="20"/>
              </w:rPr>
            </w:pPr>
          </w:p>
          <w:p w:rsidR="00F85EF7" w:rsidRPr="00557E6C" w:rsidRDefault="00F85EF7" w:rsidP="00557E6C">
            <w:pPr>
              <w:keepNext/>
              <w:ind w:left="-108"/>
              <w:rPr>
                <w:rFonts w:ascii="Arial Narrow" w:hAnsi="Arial Narrow"/>
                <w:sz w:val="20"/>
                <w:szCs w:val="20"/>
              </w:rPr>
            </w:pPr>
            <w:r w:rsidRPr="00557E6C">
              <w:rPr>
                <w:rFonts w:ascii="Arial Narrow" w:hAnsi="Arial Narrow"/>
                <w:sz w:val="20"/>
                <w:szCs w:val="20"/>
              </w:rPr>
              <w:t>90</w:t>
            </w:r>
          </w:p>
        </w:tc>
        <w:tc>
          <w:tcPr>
            <w:tcW w:w="992" w:type="dxa"/>
            <w:tcBorders>
              <w:top w:val="single" w:sz="4" w:space="0" w:color="auto"/>
            </w:tcBorders>
          </w:tcPr>
          <w:p w:rsidR="00F85EF7" w:rsidRPr="00557E6C" w:rsidRDefault="00F85EF7" w:rsidP="00557E6C">
            <w:pPr>
              <w:keepNext/>
              <w:rPr>
                <w:rFonts w:ascii="Arial Narrow" w:hAnsi="Arial Narrow"/>
                <w:sz w:val="20"/>
                <w:szCs w:val="20"/>
              </w:rPr>
            </w:pPr>
          </w:p>
          <w:p w:rsidR="00F85EF7" w:rsidRPr="00557E6C" w:rsidRDefault="00F85EF7" w:rsidP="00557E6C">
            <w:pPr>
              <w:keepNext/>
              <w:rPr>
                <w:rFonts w:ascii="Arial Narrow" w:hAnsi="Arial Narrow"/>
                <w:sz w:val="20"/>
                <w:szCs w:val="20"/>
              </w:rPr>
            </w:pPr>
            <w:r w:rsidRPr="00557E6C">
              <w:rPr>
                <w:rFonts w:ascii="Arial Narrow" w:hAnsi="Arial Narrow"/>
                <w:sz w:val="20"/>
                <w:szCs w:val="20"/>
              </w:rPr>
              <w:t>2</w:t>
            </w:r>
          </w:p>
        </w:tc>
        <w:tc>
          <w:tcPr>
            <w:tcW w:w="1276" w:type="dxa"/>
            <w:tcBorders>
              <w:top w:val="single" w:sz="4" w:space="0" w:color="auto"/>
            </w:tcBorders>
          </w:tcPr>
          <w:p w:rsidR="00F85EF7" w:rsidRPr="00557E6C" w:rsidRDefault="00F85EF7" w:rsidP="00557E6C">
            <w:pPr>
              <w:keepNext/>
              <w:rPr>
                <w:rFonts w:ascii="Arial Narrow" w:hAnsi="Arial Narrow"/>
                <w:sz w:val="20"/>
                <w:szCs w:val="20"/>
              </w:rPr>
            </w:pPr>
            <w:proofErr w:type="spellStart"/>
            <w:r w:rsidRPr="00557E6C">
              <w:rPr>
                <w:rFonts w:ascii="Arial Narrow" w:hAnsi="Arial Narrow"/>
                <w:sz w:val="20"/>
                <w:szCs w:val="20"/>
              </w:rPr>
              <w:t>Lenvima</w:t>
            </w:r>
            <w:proofErr w:type="spellEnd"/>
            <w:r w:rsidRPr="00557E6C">
              <w:rPr>
                <w:rFonts w:ascii="Arial Narrow" w:hAnsi="Arial Narrow"/>
                <w:sz w:val="20"/>
                <w:szCs w:val="20"/>
              </w:rPr>
              <w:t>®</w:t>
            </w:r>
          </w:p>
        </w:tc>
        <w:tc>
          <w:tcPr>
            <w:tcW w:w="1842" w:type="dxa"/>
            <w:tcBorders>
              <w:top w:val="single" w:sz="4" w:space="0" w:color="auto"/>
            </w:tcBorders>
          </w:tcPr>
          <w:p w:rsidR="00F85EF7" w:rsidRPr="00557E6C" w:rsidRDefault="00F85EF7" w:rsidP="00557E6C">
            <w:pPr>
              <w:keepNext/>
              <w:rPr>
                <w:rFonts w:ascii="Arial Narrow" w:hAnsi="Arial Narrow"/>
                <w:sz w:val="20"/>
                <w:szCs w:val="20"/>
              </w:rPr>
            </w:pPr>
            <w:r w:rsidRPr="00557E6C">
              <w:rPr>
                <w:rFonts w:ascii="Arial Narrow" w:hAnsi="Arial Narrow"/>
                <w:sz w:val="20"/>
                <w:szCs w:val="20"/>
              </w:rPr>
              <w:t>Eisai Australia Pty Ltd</w:t>
            </w:r>
          </w:p>
        </w:tc>
      </w:tr>
      <w:tr w:rsidR="00F85EF7" w:rsidRPr="00557E6C" w:rsidTr="00372360">
        <w:trPr>
          <w:cantSplit/>
          <w:trHeight w:val="360"/>
        </w:trPr>
        <w:tc>
          <w:tcPr>
            <w:tcW w:w="9072" w:type="dxa"/>
            <w:gridSpan w:val="6"/>
            <w:tcBorders>
              <w:bottom w:val="single" w:sz="4" w:space="0" w:color="auto"/>
            </w:tcBorders>
          </w:tcPr>
          <w:p w:rsidR="00F85EF7" w:rsidRPr="00557E6C" w:rsidRDefault="00F85EF7" w:rsidP="00557E6C">
            <w:pPr>
              <w:rPr>
                <w:rFonts w:ascii="Arial Narrow" w:hAnsi="Arial Narrow"/>
                <w:sz w:val="20"/>
                <w:szCs w:val="20"/>
              </w:rPr>
            </w:pPr>
          </w:p>
        </w:tc>
      </w:tr>
      <w:tr w:rsidR="00F85EF7" w:rsidRPr="00557E6C" w:rsidTr="00557E6C">
        <w:trPr>
          <w:cantSplit/>
          <w:trHeight w:val="360"/>
        </w:trPr>
        <w:tc>
          <w:tcPr>
            <w:tcW w:w="3261" w:type="dxa"/>
            <w:tcBorders>
              <w:top w:val="single" w:sz="4" w:space="0" w:color="auto"/>
              <w:left w:val="single" w:sz="4" w:space="0" w:color="auto"/>
              <w:bottom w:val="single" w:sz="4" w:space="0" w:color="auto"/>
              <w:right w:val="single" w:sz="4" w:space="0" w:color="auto"/>
            </w:tcBorders>
          </w:tcPr>
          <w:p w:rsidR="00F85EF7" w:rsidRPr="00557E6C" w:rsidRDefault="00F85EF7" w:rsidP="00557E6C">
            <w:pPr>
              <w:pStyle w:val="Tabletext"/>
              <w:rPr>
                <w:b/>
                <w:i/>
              </w:rPr>
            </w:pPr>
            <w:r w:rsidRPr="00557E6C">
              <w:rPr>
                <w:rFonts w:ascii="Arial Narrow" w:hAnsi="Arial Narrow"/>
                <w:b/>
                <w:i/>
                <w:lang w:eastAsia="en-AU"/>
              </w:rPr>
              <w:t>Category / Program</w:t>
            </w:r>
          </w:p>
        </w:tc>
        <w:tc>
          <w:tcPr>
            <w:tcW w:w="5811" w:type="dxa"/>
            <w:gridSpan w:val="5"/>
            <w:tcBorders>
              <w:top w:val="single" w:sz="4" w:space="0" w:color="auto"/>
              <w:left w:val="single" w:sz="4" w:space="0" w:color="auto"/>
              <w:bottom w:val="single" w:sz="4" w:space="0" w:color="auto"/>
              <w:right w:val="single" w:sz="4" w:space="0" w:color="auto"/>
            </w:tcBorders>
          </w:tcPr>
          <w:p w:rsidR="00F85EF7" w:rsidRPr="00557E6C" w:rsidRDefault="00F85EF7" w:rsidP="00557E6C">
            <w:pPr>
              <w:pStyle w:val="Tabletext"/>
              <w:rPr>
                <w:i/>
              </w:rPr>
            </w:pPr>
            <w:r w:rsidRPr="00557E6C">
              <w:rPr>
                <w:rFonts w:ascii="Arial Narrow" w:hAnsi="Arial Narrow"/>
                <w:lang w:eastAsia="en-AU"/>
              </w:rPr>
              <w:t>Section 85 – General Schedule</w:t>
            </w:r>
          </w:p>
        </w:tc>
      </w:tr>
      <w:tr w:rsidR="00F85EF7" w:rsidRPr="00557E6C" w:rsidTr="00557E6C">
        <w:trPr>
          <w:cantSplit/>
          <w:trHeight w:val="360"/>
        </w:trPr>
        <w:tc>
          <w:tcPr>
            <w:tcW w:w="3261" w:type="dxa"/>
            <w:tcBorders>
              <w:top w:val="single" w:sz="4" w:space="0" w:color="auto"/>
              <w:left w:val="single" w:sz="4" w:space="0" w:color="auto"/>
              <w:bottom w:val="single" w:sz="4" w:space="0" w:color="auto"/>
              <w:right w:val="single" w:sz="4" w:space="0" w:color="auto"/>
            </w:tcBorders>
          </w:tcPr>
          <w:p w:rsidR="00F85EF7" w:rsidRPr="00557E6C" w:rsidRDefault="00F85EF7" w:rsidP="00557E6C">
            <w:pPr>
              <w:rPr>
                <w:rFonts w:ascii="Arial Narrow" w:hAnsi="Arial Narrow"/>
                <w:b/>
                <w:i/>
                <w:sz w:val="20"/>
                <w:szCs w:val="20"/>
              </w:rPr>
            </w:pPr>
            <w:r w:rsidRPr="00557E6C">
              <w:rPr>
                <w:rFonts w:ascii="Arial Narrow" w:hAnsi="Arial Narrow"/>
                <w:b/>
                <w:i/>
                <w:sz w:val="20"/>
                <w:szCs w:val="20"/>
              </w:rPr>
              <w:t>Prescriber type:</w:t>
            </w:r>
          </w:p>
        </w:tc>
        <w:tc>
          <w:tcPr>
            <w:tcW w:w="5811" w:type="dxa"/>
            <w:gridSpan w:val="5"/>
            <w:tcBorders>
              <w:top w:val="single" w:sz="4" w:space="0" w:color="auto"/>
              <w:left w:val="single" w:sz="4" w:space="0" w:color="auto"/>
              <w:bottom w:val="single" w:sz="4" w:space="0" w:color="auto"/>
              <w:right w:val="single" w:sz="4" w:space="0" w:color="auto"/>
            </w:tcBorders>
          </w:tcPr>
          <w:p w:rsidR="00F85EF7" w:rsidRPr="00557E6C" w:rsidRDefault="00F85EF7" w:rsidP="00557E6C">
            <w:pPr>
              <w:rPr>
                <w:rFonts w:ascii="Arial Narrow" w:hAnsi="Arial Narrow"/>
                <w:i/>
                <w:sz w:val="20"/>
                <w:szCs w:val="20"/>
              </w:rPr>
            </w:pPr>
            <w:r w:rsidRPr="00214B6F">
              <w:rPr>
                <w:rFonts w:ascii="Arial Narrow" w:hAnsi="Arial Narrow"/>
                <w:i/>
                <w:sz w:val="20"/>
                <w:szCs w:val="20"/>
              </w:rPr>
              <w:fldChar w:fldCharType="begin">
                <w:ffData>
                  <w:name w:val="Check1"/>
                  <w:enabled/>
                  <w:calcOnExit w:val="0"/>
                  <w:checkBox>
                    <w:sizeAuto/>
                    <w:default w:val="0"/>
                  </w:checkBox>
                </w:ffData>
              </w:fldChar>
            </w:r>
            <w:r w:rsidRPr="00557E6C">
              <w:rPr>
                <w:rFonts w:ascii="Arial Narrow" w:hAnsi="Arial Narrow"/>
                <w:i/>
                <w:sz w:val="20"/>
                <w:szCs w:val="20"/>
              </w:rPr>
              <w:instrText xml:space="preserve"> FORMCHECKBOX </w:instrText>
            </w:r>
            <w:r w:rsidR="001058B5">
              <w:rPr>
                <w:rFonts w:ascii="Arial Narrow" w:hAnsi="Arial Narrow"/>
                <w:i/>
                <w:sz w:val="20"/>
                <w:szCs w:val="20"/>
              </w:rPr>
            </w:r>
            <w:r w:rsidR="001058B5">
              <w:rPr>
                <w:rFonts w:ascii="Arial Narrow" w:hAnsi="Arial Narrow"/>
                <w:i/>
                <w:sz w:val="20"/>
                <w:szCs w:val="20"/>
              </w:rPr>
              <w:fldChar w:fldCharType="separate"/>
            </w:r>
            <w:r w:rsidRPr="00214B6F">
              <w:rPr>
                <w:rFonts w:ascii="Arial Narrow" w:hAnsi="Arial Narrow"/>
                <w:i/>
                <w:sz w:val="20"/>
                <w:szCs w:val="20"/>
              </w:rPr>
              <w:fldChar w:fldCharType="end"/>
            </w:r>
            <w:r w:rsidRPr="00557E6C">
              <w:rPr>
                <w:rFonts w:ascii="Arial Narrow" w:hAnsi="Arial Narrow"/>
                <w:i/>
                <w:sz w:val="20"/>
                <w:szCs w:val="20"/>
              </w:rPr>
              <w:t xml:space="preserve">Dental  </w:t>
            </w:r>
            <w:r w:rsidRPr="00214B6F">
              <w:rPr>
                <w:rFonts w:ascii="Arial Narrow" w:hAnsi="Arial Narrow"/>
                <w:i/>
                <w:sz w:val="20"/>
                <w:szCs w:val="20"/>
              </w:rPr>
              <w:fldChar w:fldCharType="begin">
                <w:ffData>
                  <w:name w:val=""/>
                  <w:enabled/>
                  <w:calcOnExit w:val="0"/>
                  <w:checkBox>
                    <w:sizeAuto/>
                    <w:default w:val="1"/>
                  </w:checkBox>
                </w:ffData>
              </w:fldChar>
            </w:r>
            <w:r w:rsidRPr="00557E6C">
              <w:rPr>
                <w:rFonts w:ascii="Arial Narrow" w:hAnsi="Arial Narrow"/>
                <w:i/>
                <w:sz w:val="20"/>
                <w:szCs w:val="20"/>
              </w:rPr>
              <w:instrText xml:space="preserve"> FORMCHECKBOX </w:instrText>
            </w:r>
            <w:r w:rsidR="001058B5">
              <w:rPr>
                <w:rFonts w:ascii="Arial Narrow" w:hAnsi="Arial Narrow"/>
                <w:i/>
                <w:sz w:val="20"/>
                <w:szCs w:val="20"/>
              </w:rPr>
            </w:r>
            <w:r w:rsidR="001058B5">
              <w:rPr>
                <w:rFonts w:ascii="Arial Narrow" w:hAnsi="Arial Narrow"/>
                <w:i/>
                <w:sz w:val="20"/>
                <w:szCs w:val="20"/>
              </w:rPr>
              <w:fldChar w:fldCharType="separate"/>
            </w:r>
            <w:r w:rsidRPr="00214B6F">
              <w:rPr>
                <w:rFonts w:ascii="Arial Narrow" w:hAnsi="Arial Narrow"/>
                <w:i/>
                <w:sz w:val="20"/>
                <w:szCs w:val="20"/>
              </w:rPr>
              <w:fldChar w:fldCharType="end"/>
            </w:r>
            <w:r w:rsidRPr="00557E6C">
              <w:rPr>
                <w:rFonts w:ascii="Arial Narrow" w:hAnsi="Arial Narrow"/>
                <w:i/>
                <w:sz w:val="20"/>
                <w:szCs w:val="20"/>
              </w:rPr>
              <w:t xml:space="preserve">Medical Practitioners  </w:t>
            </w:r>
            <w:r w:rsidRPr="00214B6F">
              <w:rPr>
                <w:rFonts w:ascii="Arial Narrow" w:hAnsi="Arial Narrow"/>
                <w:i/>
                <w:sz w:val="20"/>
                <w:szCs w:val="20"/>
              </w:rPr>
              <w:fldChar w:fldCharType="begin">
                <w:ffData>
                  <w:name w:val="Check3"/>
                  <w:enabled/>
                  <w:calcOnExit w:val="0"/>
                  <w:checkBox>
                    <w:sizeAuto/>
                    <w:default w:val="0"/>
                  </w:checkBox>
                </w:ffData>
              </w:fldChar>
            </w:r>
            <w:r w:rsidRPr="00557E6C">
              <w:rPr>
                <w:rFonts w:ascii="Arial Narrow" w:hAnsi="Arial Narrow"/>
                <w:i/>
                <w:sz w:val="20"/>
                <w:szCs w:val="20"/>
              </w:rPr>
              <w:instrText xml:space="preserve"> FORMCHECKBOX </w:instrText>
            </w:r>
            <w:r w:rsidR="001058B5">
              <w:rPr>
                <w:rFonts w:ascii="Arial Narrow" w:hAnsi="Arial Narrow"/>
                <w:i/>
                <w:sz w:val="20"/>
                <w:szCs w:val="20"/>
              </w:rPr>
            </w:r>
            <w:r w:rsidR="001058B5">
              <w:rPr>
                <w:rFonts w:ascii="Arial Narrow" w:hAnsi="Arial Narrow"/>
                <w:i/>
                <w:sz w:val="20"/>
                <w:szCs w:val="20"/>
              </w:rPr>
              <w:fldChar w:fldCharType="separate"/>
            </w:r>
            <w:r w:rsidRPr="00214B6F">
              <w:rPr>
                <w:rFonts w:ascii="Arial Narrow" w:hAnsi="Arial Narrow"/>
                <w:i/>
                <w:sz w:val="20"/>
                <w:szCs w:val="20"/>
              </w:rPr>
              <w:fldChar w:fldCharType="end"/>
            </w:r>
            <w:r w:rsidRPr="00557E6C">
              <w:rPr>
                <w:rFonts w:ascii="Arial Narrow" w:hAnsi="Arial Narrow"/>
                <w:i/>
                <w:sz w:val="20"/>
                <w:szCs w:val="20"/>
              </w:rPr>
              <w:t xml:space="preserve">Nurse practitioners  </w:t>
            </w:r>
            <w:r w:rsidRPr="00214B6F">
              <w:rPr>
                <w:rFonts w:ascii="Arial Narrow" w:hAnsi="Arial Narrow"/>
                <w:i/>
                <w:sz w:val="20"/>
                <w:szCs w:val="20"/>
              </w:rPr>
              <w:fldChar w:fldCharType="begin">
                <w:ffData>
                  <w:name w:val=""/>
                  <w:enabled/>
                  <w:calcOnExit w:val="0"/>
                  <w:checkBox>
                    <w:sizeAuto/>
                    <w:default w:val="0"/>
                  </w:checkBox>
                </w:ffData>
              </w:fldChar>
            </w:r>
            <w:r w:rsidRPr="00557E6C">
              <w:rPr>
                <w:rFonts w:ascii="Arial Narrow" w:hAnsi="Arial Narrow"/>
                <w:i/>
                <w:sz w:val="20"/>
                <w:szCs w:val="20"/>
              </w:rPr>
              <w:instrText xml:space="preserve"> FORMCHECKBOX </w:instrText>
            </w:r>
            <w:r w:rsidR="001058B5">
              <w:rPr>
                <w:rFonts w:ascii="Arial Narrow" w:hAnsi="Arial Narrow"/>
                <w:i/>
                <w:sz w:val="20"/>
                <w:szCs w:val="20"/>
              </w:rPr>
            </w:r>
            <w:r w:rsidR="001058B5">
              <w:rPr>
                <w:rFonts w:ascii="Arial Narrow" w:hAnsi="Arial Narrow"/>
                <w:i/>
                <w:sz w:val="20"/>
                <w:szCs w:val="20"/>
              </w:rPr>
              <w:fldChar w:fldCharType="separate"/>
            </w:r>
            <w:r w:rsidRPr="00214B6F">
              <w:rPr>
                <w:rFonts w:ascii="Arial Narrow" w:hAnsi="Arial Narrow"/>
                <w:i/>
                <w:sz w:val="20"/>
                <w:szCs w:val="20"/>
              </w:rPr>
              <w:fldChar w:fldCharType="end"/>
            </w:r>
            <w:r w:rsidRPr="00557E6C">
              <w:rPr>
                <w:rFonts w:ascii="Arial Narrow" w:hAnsi="Arial Narrow"/>
                <w:i/>
                <w:sz w:val="20"/>
                <w:szCs w:val="20"/>
              </w:rPr>
              <w:t>Optometrists</w:t>
            </w:r>
          </w:p>
          <w:p w:rsidR="00F85EF7" w:rsidRPr="00557E6C" w:rsidRDefault="00F85EF7" w:rsidP="00557E6C">
            <w:pPr>
              <w:rPr>
                <w:rFonts w:ascii="Arial Narrow" w:hAnsi="Arial Narrow"/>
                <w:i/>
                <w:sz w:val="20"/>
                <w:szCs w:val="20"/>
              </w:rPr>
            </w:pPr>
            <w:r w:rsidRPr="00214B6F">
              <w:rPr>
                <w:rFonts w:ascii="Arial Narrow" w:hAnsi="Arial Narrow"/>
                <w:i/>
                <w:sz w:val="20"/>
                <w:szCs w:val="20"/>
              </w:rPr>
              <w:fldChar w:fldCharType="begin">
                <w:ffData>
                  <w:name w:val="Check5"/>
                  <w:enabled/>
                  <w:calcOnExit w:val="0"/>
                  <w:checkBox>
                    <w:sizeAuto/>
                    <w:default w:val="0"/>
                  </w:checkBox>
                </w:ffData>
              </w:fldChar>
            </w:r>
            <w:r w:rsidRPr="00557E6C">
              <w:rPr>
                <w:rFonts w:ascii="Arial Narrow" w:hAnsi="Arial Narrow"/>
                <w:i/>
                <w:sz w:val="20"/>
                <w:szCs w:val="20"/>
              </w:rPr>
              <w:instrText xml:space="preserve"> FORMCHECKBOX </w:instrText>
            </w:r>
            <w:r w:rsidR="001058B5">
              <w:rPr>
                <w:rFonts w:ascii="Arial Narrow" w:hAnsi="Arial Narrow"/>
                <w:i/>
                <w:sz w:val="20"/>
                <w:szCs w:val="20"/>
              </w:rPr>
            </w:r>
            <w:r w:rsidR="001058B5">
              <w:rPr>
                <w:rFonts w:ascii="Arial Narrow" w:hAnsi="Arial Narrow"/>
                <w:i/>
                <w:sz w:val="20"/>
                <w:szCs w:val="20"/>
              </w:rPr>
              <w:fldChar w:fldCharType="separate"/>
            </w:r>
            <w:r w:rsidRPr="00214B6F">
              <w:rPr>
                <w:rFonts w:ascii="Arial Narrow" w:hAnsi="Arial Narrow"/>
                <w:i/>
                <w:sz w:val="20"/>
                <w:szCs w:val="20"/>
              </w:rPr>
              <w:fldChar w:fldCharType="end"/>
            </w:r>
            <w:r w:rsidRPr="00557E6C">
              <w:rPr>
                <w:rFonts w:ascii="Arial Narrow" w:hAnsi="Arial Narrow"/>
                <w:i/>
                <w:sz w:val="20"/>
                <w:szCs w:val="20"/>
              </w:rPr>
              <w:t>Midwives</w:t>
            </w:r>
          </w:p>
        </w:tc>
      </w:tr>
      <w:tr w:rsidR="00F85EF7" w:rsidRPr="00557E6C" w:rsidTr="00557E6C">
        <w:trPr>
          <w:cantSplit/>
          <w:trHeight w:val="360"/>
        </w:trPr>
        <w:tc>
          <w:tcPr>
            <w:tcW w:w="3261" w:type="dxa"/>
            <w:tcBorders>
              <w:top w:val="single" w:sz="4" w:space="0" w:color="auto"/>
              <w:left w:val="single" w:sz="4" w:space="0" w:color="auto"/>
              <w:bottom w:val="single" w:sz="4" w:space="0" w:color="auto"/>
              <w:right w:val="single" w:sz="4" w:space="0" w:color="auto"/>
            </w:tcBorders>
          </w:tcPr>
          <w:p w:rsidR="00F85EF7" w:rsidRPr="00557E6C" w:rsidRDefault="00F85EF7" w:rsidP="00557E6C">
            <w:pPr>
              <w:rPr>
                <w:rFonts w:ascii="Arial Narrow" w:hAnsi="Arial Narrow"/>
                <w:b/>
                <w:sz w:val="20"/>
                <w:szCs w:val="20"/>
              </w:rPr>
            </w:pPr>
            <w:proofErr w:type="spellStart"/>
            <w:r w:rsidRPr="00557E6C">
              <w:rPr>
                <w:rFonts w:ascii="Arial Narrow" w:hAnsi="Arial Narrow"/>
                <w:b/>
                <w:sz w:val="20"/>
                <w:szCs w:val="20"/>
              </w:rPr>
              <w:t>Episodicity</w:t>
            </w:r>
            <w:proofErr w:type="spellEnd"/>
            <w:r w:rsidRPr="00557E6C">
              <w:rPr>
                <w:rFonts w:ascii="Arial Narrow" w:hAnsi="Arial Narrow"/>
                <w:b/>
                <w:sz w:val="20"/>
                <w:szCs w:val="20"/>
              </w:rPr>
              <w:t>:</w:t>
            </w:r>
          </w:p>
        </w:tc>
        <w:tc>
          <w:tcPr>
            <w:tcW w:w="5811" w:type="dxa"/>
            <w:gridSpan w:val="5"/>
            <w:tcBorders>
              <w:top w:val="single" w:sz="4" w:space="0" w:color="auto"/>
              <w:left w:val="single" w:sz="4" w:space="0" w:color="auto"/>
              <w:bottom w:val="single" w:sz="4" w:space="0" w:color="auto"/>
              <w:right w:val="single" w:sz="4" w:space="0" w:color="auto"/>
            </w:tcBorders>
          </w:tcPr>
          <w:p w:rsidR="00F85EF7" w:rsidRPr="00557E6C" w:rsidRDefault="00F85EF7" w:rsidP="00557E6C">
            <w:pPr>
              <w:rPr>
                <w:rFonts w:ascii="Arial Narrow" w:hAnsi="Arial Narrow"/>
                <w:sz w:val="20"/>
                <w:szCs w:val="20"/>
              </w:rPr>
            </w:pPr>
            <w:r w:rsidRPr="00557E6C">
              <w:rPr>
                <w:rFonts w:ascii="Arial Narrow" w:hAnsi="Arial Narrow"/>
                <w:sz w:val="20"/>
                <w:szCs w:val="20"/>
              </w:rPr>
              <w:t>N/A</w:t>
            </w:r>
          </w:p>
        </w:tc>
      </w:tr>
      <w:tr w:rsidR="00F85EF7" w:rsidRPr="00557E6C" w:rsidTr="00557E6C">
        <w:trPr>
          <w:cantSplit/>
          <w:trHeight w:val="360"/>
        </w:trPr>
        <w:tc>
          <w:tcPr>
            <w:tcW w:w="3261" w:type="dxa"/>
            <w:tcBorders>
              <w:top w:val="single" w:sz="4" w:space="0" w:color="auto"/>
              <w:left w:val="single" w:sz="4" w:space="0" w:color="auto"/>
              <w:bottom w:val="single" w:sz="4" w:space="0" w:color="auto"/>
              <w:right w:val="single" w:sz="4" w:space="0" w:color="auto"/>
            </w:tcBorders>
          </w:tcPr>
          <w:p w:rsidR="00F85EF7" w:rsidRPr="00557E6C" w:rsidRDefault="00F85EF7" w:rsidP="00557E6C">
            <w:pPr>
              <w:rPr>
                <w:rFonts w:ascii="Arial Narrow" w:hAnsi="Arial Narrow"/>
                <w:b/>
                <w:sz w:val="20"/>
                <w:szCs w:val="20"/>
              </w:rPr>
            </w:pPr>
            <w:r w:rsidRPr="00557E6C">
              <w:rPr>
                <w:rFonts w:ascii="Arial Narrow" w:hAnsi="Arial Narrow"/>
                <w:b/>
                <w:sz w:val="20"/>
                <w:szCs w:val="20"/>
              </w:rPr>
              <w:t>Severity:</w:t>
            </w:r>
          </w:p>
        </w:tc>
        <w:tc>
          <w:tcPr>
            <w:tcW w:w="5811" w:type="dxa"/>
            <w:gridSpan w:val="5"/>
            <w:tcBorders>
              <w:top w:val="single" w:sz="4" w:space="0" w:color="auto"/>
              <w:left w:val="single" w:sz="4" w:space="0" w:color="auto"/>
              <w:bottom w:val="single" w:sz="4" w:space="0" w:color="auto"/>
              <w:right w:val="single" w:sz="4" w:space="0" w:color="auto"/>
            </w:tcBorders>
          </w:tcPr>
          <w:p w:rsidR="00F85EF7" w:rsidRPr="00557E6C" w:rsidRDefault="00F85EF7" w:rsidP="00557E6C">
            <w:pPr>
              <w:rPr>
                <w:rFonts w:ascii="Arial Narrow" w:hAnsi="Arial Narrow"/>
                <w:sz w:val="20"/>
                <w:szCs w:val="20"/>
              </w:rPr>
            </w:pPr>
            <w:r w:rsidRPr="00557E6C">
              <w:rPr>
                <w:rFonts w:ascii="Arial Narrow" w:hAnsi="Arial Narrow"/>
                <w:sz w:val="20"/>
                <w:szCs w:val="20"/>
              </w:rPr>
              <w:t>Advanced (</w:t>
            </w:r>
            <w:proofErr w:type="spellStart"/>
            <w:r w:rsidRPr="00557E6C">
              <w:rPr>
                <w:rFonts w:ascii="Arial Narrow" w:hAnsi="Arial Narrow"/>
                <w:sz w:val="20"/>
                <w:szCs w:val="20"/>
              </w:rPr>
              <w:t>unresectable</w:t>
            </w:r>
            <w:proofErr w:type="spellEnd"/>
            <w:r w:rsidRPr="00557E6C">
              <w:rPr>
                <w:rFonts w:ascii="Arial Narrow" w:hAnsi="Arial Narrow"/>
                <w:sz w:val="20"/>
                <w:szCs w:val="20"/>
              </w:rPr>
              <w:t>) Barcelona Clinic Liver Cancer stage B or stage C</w:t>
            </w:r>
          </w:p>
        </w:tc>
      </w:tr>
      <w:tr w:rsidR="00F85EF7" w:rsidRPr="00557E6C" w:rsidTr="00557E6C">
        <w:trPr>
          <w:cantSplit/>
          <w:trHeight w:val="360"/>
        </w:trPr>
        <w:tc>
          <w:tcPr>
            <w:tcW w:w="3261" w:type="dxa"/>
            <w:tcBorders>
              <w:top w:val="single" w:sz="4" w:space="0" w:color="auto"/>
              <w:left w:val="single" w:sz="4" w:space="0" w:color="auto"/>
              <w:bottom w:val="single" w:sz="4" w:space="0" w:color="auto"/>
              <w:right w:val="single" w:sz="4" w:space="0" w:color="auto"/>
            </w:tcBorders>
          </w:tcPr>
          <w:p w:rsidR="00F85EF7" w:rsidRPr="00557E6C" w:rsidRDefault="00F85EF7" w:rsidP="00557E6C">
            <w:pPr>
              <w:rPr>
                <w:rFonts w:ascii="Arial Narrow" w:hAnsi="Arial Narrow"/>
                <w:b/>
                <w:sz w:val="20"/>
                <w:szCs w:val="20"/>
              </w:rPr>
            </w:pPr>
            <w:r w:rsidRPr="00557E6C">
              <w:rPr>
                <w:rFonts w:ascii="Arial Narrow" w:hAnsi="Arial Narrow"/>
                <w:b/>
                <w:sz w:val="20"/>
                <w:szCs w:val="20"/>
              </w:rPr>
              <w:t>Condition:</w:t>
            </w:r>
          </w:p>
        </w:tc>
        <w:tc>
          <w:tcPr>
            <w:tcW w:w="5811" w:type="dxa"/>
            <w:gridSpan w:val="5"/>
            <w:tcBorders>
              <w:top w:val="single" w:sz="4" w:space="0" w:color="auto"/>
              <w:left w:val="single" w:sz="4" w:space="0" w:color="auto"/>
              <w:bottom w:val="single" w:sz="4" w:space="0" w:color="auto"/>
              <w:right w:val="single" w:sz="4" w:space="0" w:color="auto"/>
            </w:tcBorders>
          </w:tcPr>
          <w:p w:rsidR="00F85EF7" w:rsidRPr="00557E6C" w:rsidRDefault="00F85EF7" w:rsidP="00557E6C">
            <w:pPr>
              <w:rPr>
                <w:rFonts w:ascii="Arial Narrow" w:hAnsi="Arial Narrow"/>
                <w:sz w:val="20"/>
                <w:szCs w:val="20"/>
              </w:rPr>
            </w:pPr>
            <w:r w:rsidRPr="00557E6C">
              <w:rPr>
                <w:rFonts w:ascii="Arial Narrow" w:hAnsi="Arial Narrow"/>
                <w:sz w:val="20"/>
                <w:szCs w:val="20"/>
              </w:rPr>
              <w:t>Hepatocellular carcinoma</w:t>
            </w:r>
          </w:p>
        </w:tc>
      </w:tr>
      <w:tr w:rsidR="00F85EF7" w:rsidRPr="00557E6C" w:rsidTr="00557E6C">
        <w:trPr>
          <w:cantSplit/>
          <w:trHeight w:val="360"/>
        </w:trPr>
        <w:tc>
          <w:tcPr>
            <w:tcW w:w="3261" w:type="dxa"/>
            <w:tcBorders>
              <w:top w:val="single" w:sz="4" w:space="0" w:color="auto"/>
              <w:left w:val="single" w:sz="4" w:space="0" w:color="auto"/>
              <w:bottom w:val="single" w:sz="4" w:space="0" w:color="auto"/>
              <w:right w:val="single" w:sz="4" w:space="0" w:color="auto"/>
            </w:tcBorders>
          </w:tcPr>
          <w:p w:rsidR="00F85EF7" w:rsidRPr="00557E6C" w:rsidRDefault="00F85EF7" w:rsidP="00557E6C">
            <w:pPr>
              <w:rPr>
                <w:rFonts w:ascii="Arial Narrow" w:hAnsi="Arial Narrow"/>
                <w:b/>
                <w:sz w:val="20"/>
                <w:szCs w:val="20"/>
              </w:rPr>
            </w:pPr>
            <w:r w:rsidRPr="00557E6C">
              <w:rPr>
                <w:rFonts w:ascii="Arial Narrow" w:hAnsi="Arial Narrow"/>
                <w:b/>
                <w:sz w:val="20"/>
                <w:szCs w:val="20"/>
              </w:rPr>
              <w:t>PBS Indication:</w:t>
            </w:r>
          </w:p>
        </w:tc>
        <w:tc>
          <w:tcPr>
            <w:tcW w:w="5811" w:type="dxa"/>
            <w:gridSpan w:val="5"/>
            <w:tcBorders>
              <w:top w:val="single" w:sz="4" w:space="0" w:color="auto"/>
              <w:left w:val="single" w:sz="4" w:space="0" w:color="auto"/>
              <w:bottom w:val="single" w:sz="4" w:space="0" w:color="auto"/>
              <w:right w:val="single" w:sz="4" w:space="0" w:color="auto"/>
            </w:tcBorders>
          </w:tcPr>
          <w:p w:rsidR="00F85EF7" w:rsidRPr="00557E6C" w:rsidRDefault="00F85EF7" w:rsidP="00557E6C">
            <w:pPr>
              <w:rPr>
                <w:rFonts w:ascii="Arial Narrow" w:hAnsi="Arial Narrow"/>
                <w:sz w:val="20"/>
                <w:szCs w:val="20"/>
              </w:rPr>
            </w:pPr>
            <w:r w:rsidRPr="00557E6C">
              <w:rPr>
                <w:rFonts w:ascii="Arial Narrow" w:hAnsi="Arial Narrow"/>
                <w:sz w:val="20"/>
                <w:szCs w:val="20"/>
              </w:rPr>
              <w:t>Advanced (</w:t>
            </w:r>
            <w:proofErr w:type="spellStart"/>
            <w:r w:rsidRPr="00557E6C">
              <w:rPr>
                <w:rFonts w:ascii="Arial Narrow" w:hAnsi="Arial Narrow"/>
                <w:sz w:val="20"/>
                <w:szCs w:val="20"/>
              </w:rPr>
              <w:t>unresectable</w:t>
            </w:r>
            <w:proofErr w:type="spellEnd"/>
            <w:r w:rsidRPr="00557E6C">
              <w:rPr>
                <w:rFonts w:ascii="Arial Narrow" w:hAnsi="Arial Narrow"/>
                <w:sz w:val="20"/>
                <w:szCs w:val="20"/>
              </w:rPr>
              <w:t>) Barcelona Clinic Liver Cancer stage B or stage C hepatocellular carcinoma</w:t>
            </w:r>
          </w:p>
        </w:tc>
      </w:tr>
      <w:tr w:rsidR="00F85EF7" w:rsidRPr="00557E6C" w:rsidTr="00557E6C">
        <w:trPr>
          <w:cantSplit/>
          <w:trHeight w:val="360"/>
        </w:trPr>
        <w:tc>
          <w:tcPr>
            <w:tcW w:w="3261" w:type="dxa"/>
            <w:tcBorders>
              <w:top w:val="single" w:sz="4" w:space="0" w:color="auto"/>
              <w:left w:val="single" w:sz="4" w:space="0" w:color="auto"/>
              <w:bottom w:val="single" w:sz="4" w:space="0" w:color="auto"/>
              <w:right w:val="single" w:sz="4" w:space="0" w:color="auto"/>
            </w:tcBorders>
          </w:tcPr>
          <w:p w:rsidR="00F85EF7" w:rsidRPr="00557E6C" w:rsidRDefault="00F85EF7" w:rsidP="00557E6C">
            <w:pPr>
              <w:rPr>
                <w:rFonts w:ascii="Arial Narrow" w:hAnsi="Arial Narrow"/>
                <w:i/>
                <w:sz w:val="20"/>
                <w:szCs w:val="20"/>
              </w:rPr>
            </w:pPr>
            <w:r w:rsidRPr="00557E6C">
              <w:rPr>
                <w:rFonts w:ascii="Arial Narrow" w:hAnsi="Arial Narrow"/>
                <w:b/>
                <w:sz w:val="20"/>
                <w:szCs w:val="20"/>
              </w:rPr>
              <w:t>Treatment phase:</w:t>
            </w:r>
            <w:r w:rsidRPr="00557E6C">
              <w:rPr>
                <w:rFonts w:ascii="Arial Narrow" w:hAnsi="Arial Narrow"/>
                <w:i/>
                <w:sz w:val="20"/>
                <w:szCs w:val="20"/>
              </w:rPr>
              <w:t xml:space="preserve"> </w:t>
            </w:r>
          </w:p>
        </w:tc>
        <w:tc>
          <w:tcPr>
            <w:tcW w:w="5811" w:type="dxa"/>
            <w:gridSpan w:val="5"/>
            <w:tcBorders>
              <w:top w:val="single" w:sz="4" w:space="0" w:color="auto"/>
              <w:left w:val="single" w:sz="4" w:space="0" w:color="auto"/>
              <w:bottom w:val="single" w:sz="4" w:space="0" w:color="auto"/>
              <w:right w:val="single" w:sz="4" w:space="0" w:color="auto"/>
            </w:tcBorders>
          </w:tcPr>
          <w:p w:rsidR="00F85EF7" w:rsidRPr="00557E6C" w:rsidRDefault="00F85EF7" w:rsidP="00557E6C">
            <w:pPr>
              <w:rPr>
                <w:rFonts w:ascii="Arial Narrow" w:hAnsi="Arial Narrow"/>
                <w:sz w:val="20"/>
                <w:szCs w:val="20"/>
              </w:rPr>
            </w:pPr>
            <w:r w:rsidRPr="00557E6C">
              <w:rPr>
                <w:rFonts w:ascii="Arial Narrow" w:hAnsi="Arial Narrow"/>
                <w:sz w:val="20"/>
                <w:szCs w:val="20"/>
              </w:rPr>
              <w:t>Initial treatment</w:t>
            </w:r>
          </w:p>
        </w:tc>
      </w:tr>
      <w:tr w:rsidR="00F85EF7" w:rsidRPr="00557E6C" w:rsidTr="00557E6C">
        <w:trPr>
          <w:cantSplit/>
          <w:trHeight w:val="360"/>
        </w:trPr>
        <w:tc>
          <w:tcPr>
            <w:tcW w:w="3261" w:type="dxa"/>
            <w:tcBorders>
              <w:top w:val="single" w:sz="4" w:space="0" w:color="auto"/>
              <w:left w:val="single" w:sz="4" w:space="0" w:color="auto"/>
              <w:bottom w:val="single" w:sz="4" w:space="0" w:color="auto"/>
              <w:right w:val="single" w:sz="4" w:space="0" w:color="auto"/>
            </w:tcBorders>
          </w:tcPr>
          <w:p w:rsidR="00F85EF7" w:rsidRPr="00557E6C" w:rsidRDefault="00F85EF7" w:rsidP="00557E6C">
            <w:pPr>
              <w:rPr>
                <w:rFonts w:ascii="Arial Narrow" w:hAnsi="Arial Narrow"/>
                <w:b/>
                <w:sz w:val="20"/>
                <w:szCs w:val="20"/>
              </w:rPr>
            </w:pPr>
            <w:r w:rsidRPr="00557E6C">
              <w:rPr>
                <w:rFonts w:ascii="Arial Narrow" w:hAnsi="Arial Narrow"/>
                <w:b/>
                <w:sz w:val="20"/>
                <w:szCs w:val="20"/>
              </w:rPr>
              <w:t>Restriction:</w:t>
            </w:r>
          </w:p>
        </w:tc>
        <w:tc>
          <w:tcPr>
            <w:tcW w:w="5811" w:type="dxa"/>
            <w:gridSpan w:val="5"/>
            <w:tcBorders>
              <w:top w:val="single" w:sz="4" w:space="0" w:color="auto"/>
              <w:left w:val="single" w:sz="4" w:space="0" w:color="auto"/>
              <w:bottom w:val="single" w:sz="4" w:space="0" w:color="auto"/>
              <w:right w:val="single" w:sz="4" w:space="0" w:color="auto"/>
            </w:tcBorders>
          </w:tcPr>
          <w:p w:rsidR="00F85EF7" w:rsidRPr="00557E6C" w:rsidRDefault="00F85EF7" w:rsidP="00557E6C">
            <w:pPr>
              <w:rPr>
                <w:rFonts w:ascii="Arial Narrow" w:hAnsi="Arial Narrow"/>
                <w:sz w:val="20"/>
                <w:szCs w:val="20"/>
              </w:rPr>
            </w:pPr>
            <w:r w:rsidRPr="00214B6F">
              <w:rPr>
                <w:rFonts w:ascii="Arial Narrow" w:hAnsi="Arial Narrow"/>
                <w:sz w:val="20"/>
                <w:szCs w:val="20"/>
              </w:rPr>
              <w:fldChar w:fldCharType="begin">
                <w:ffData>
                  <w:name w:val="Check1"/>
                  <w:enabled/>
                  <w:calcOnExit w:val="0"/>
                  <w:checkBox>
                    <w:sizeAuto/>
                    <w:default w:val="0"/>
                  </w:checkBox>
                </w:ffData>
              </w:fldChar>
            </w:r>
            <w:r w:rsidRPr="00557E6C">
              <w:rPr>
                <w:rFonts w:ascii="Arial Narrow" w:hAnsi="Arial Narrow"/>
                <w:sz w:val="20"/>
                <w:szCs w:val="20"/>
              </w:rPr>
              <w:instrText xml:space="preserve"> FORMCHECKBOX </w:instrText>
            </w:r>
            <w:r w:rsidR="001058B5">
              <w:rPr>
                <w:rFonts w:ascii="Arial Narrow" w:hAnsi="Arial Narrow"/>
                <w:sz w:val="20"/>
                <w:szCs w:val="20"/>
              </w:rPr>
            </w:r>
            <w:r w:rsidR="001058B5">
              <w:rPr>
                <w:rFonts w:ascii="Arial Narrow" w:hAnsi="Arial Narrow"/>
                <w:sz w:val="20"/>
                <w:szCs w:val="20"/>
              </w:rPr>
              <w:fldChar w:fldCharType="separate"/>
            </w:r>
            <w:r w:rsidRPr="00214B6F">
              <w:rPr>
                <w:rFonts w:ascii="Arial Narrow" w:hAnsi="Arial Narrow"/>
                <w:sz w:val="20"/>
                <w:szCs w:val="20"/>
              </w:rPr>
              <w:fldChar w:fldCharType="end"/>
            </w:r>
            <w:r w:rsidRPr="00557E6C">
              <w:rPr>
                <w:rFonts w:ascii="Arial Narrow" w:hAnsi="Arial Narrow"/>
                <w:sz w:val="20"/>
                <w:szCs w:val="20"/>
              </w:rPr>
              <w:t>Restricted benefit</w:t>
            </w:r>
          </w:p>
          <w:p w:rsidR="00F85EF7" w:rsidRPr="00557E6C" w:rsidRDefault="00F85EF7" w:rsidP="00557E6C">
            <w:pPr>
              <w:rPr>
                <w:rFonts w:ascii="Arial Narrow" w:hAnsi="Arial Narrow"/>
                <w:sz w:val="20"/>
                <w:szCs w:val="20"/>
              </w:rPr>
            </w:pPr>
            <w:r w:rsidRPr="00214B6F">
              <w:rPr>
                <w:rFonts w:ascii="Arial Narrow" w:hAnsi="Arial Narrow"/>
                <w:sz w:val="20"/>
                <w:szCs w:val="20"/>
              </w:rPr>
              <w:fldChar w:fldCharType="begin">
                <w:ffData>
                  <w:name w:val=""/>
                  <w:enabled/>
                  <w:calcOnExit w:val="0"/>
                  <w:checkBox>
                    <w:sizeAuto/>
                    <w:default w:val="0"/>
                  </w:checkBox>
                </w:ffData>
              </w:fldChar>
            </w:r>
            <w:r w:rsidRPr="00557E6C">
              <w:rPr>
                <w:rFonts w:ascii="Arial Narrow" w:hAnsi="Arial Narrow"/>
                <w:sz w:val="20"/>
                <w:szCs w:val="20"/>
              </w:rPr>
              <w:instrText xml:space="preserve"> FORMCHECKBOX </w:instrText>
            </w:r>
            <w:r w:rsidR="001058B5">
              <w:rPr>
                <w:rFonts w:ascii="Arial Narrow" w:hAnsi="Arial Narrow"/>
                <w:sz w:val="20"/>
                <w:szCs w:val="20"/>
              </w:rPr>
            </w:r>
            <w:r w:rsidR="001058B5">
              <w:rPr>
                <w:rFonts w:ascii="Arial Narrow" w:hAnsi="Arial Narrow"/>
                <w:sz w:val="20"/>
                <w:szCs w:val="20"/>
              </w:rPr>
              <w:fldChar w:fldCharType="separate"/>
            </w:r>
            <w:r w:rsidRPr="00214B6F">
              <w:rPr>
                <w:rFonts w:ascii="Arial Narrow" w:hAnsi="Arial Narrow"/>
                <w:sz w:val="20"/>
                <w:szCs w:val="20"/>
              </w:rPr>
              <w:fldChar w:fldCharType="end"/>
            </w:r>
            <w:r w:rsidRPr="00557E6C">
              <w:rPr>
                <w:rFonts w:ascii="Arial Narrow" w:hAnsi="Arial Narrow"/>
                <w:sz w:val="20"/>
                <w:szCs w:val="20"/>
              </w:rPr>
              <w:t>Authority Required - In Writing</w:t>
            </w:r>
          </w:p>
          <w:p w:rsidR="00F85EF7" w:rsidRPr="00557E6C" w:rsidRDefault="00F85EF7" w:rsidP="00557E6C">
            <w:pPr>
              <w:rPr>
                <w:rFonts w:ascii="Arial Narrow" w:hAnsi="Arial Narrow"/>
                <w:sz w:val="20"/>
                <w:szCs w:val="20"/>
              </w:rPr>
            </w:pPr>
            <w:r w:rsidRPr="00214B6F">
              <w:rPr>
                <w:rFonts w:ascii="Arial Narrow" w:hAnsi="Arial Narrow"/>
                <w:sz w:val="20"/>
                <w:szCs w:val="20"/>
              </w:rPr>
              <w:fldChar w:fldCharType="begin">
                <w:ffData>
                  <w:name w:val="Check3"/>
                  <w:enabled/>
                  <w:calcOnExit w:val="0"/>
                  <w:checkBox>
                    <w:sizeAuto/>
                    <w:default w:val="0"/>
                  </w:checkBox>
                </w:ffData>
              </w:fldChar>
            </w:r>
            <w:r w:rsidRPr="00557E6C">
              <w:rPr>
                <w:rFonts w:ascii="Arial Narrow" w:hAnsi="Arial Narrow"/>
                <w:sz w:val="20"/>
                <w:szCs w:val="20"/>
              </w:rPr>
              <w:instrText xml:space="preserve"> FORMCHECKBOX </w:instrText>
            </w:r>
            <w:r w:rsidR="001058B5">
              <w:rPr>
                <w:rFonts w:ascii="Arial Narrow" w:hAnsi="Arial Narrow"/>
                <w:sz w:val="20"/>
                <w:szCs w:val="20"/>
              </w:rPr>
            </w:r>
            <w:r w:rsidR="001058B5">
              <w:rPr>
                <w:rFonts w:ascii="Arial Narrow" w:hAnsi="Arial Narrow"/>
                <w:sz w:val="20"/>
                <w:szCs w:val="20"/>
              </w:rPr>
              <w:fldChar w:fldCharType="separate"/>
            </w:r>
            <w:r w:rsidRPr="00214B6F">
              <w:rPr>
                <w:rFonts w:ascii="Arial Narrow" w:hAnsi="Arial Narrow"/>
                <w:sz w:val="20"/>
                <w:szCs w:val="20"/>
              </w:rPr>
              <w:fldChar w:fldCharType="end"/>
            </w:r>
            <w:r w:rsidRPr="00557E6C">
              <w:rPr>
                <w:rFonts w:ascii="Arial Narrow" w:hAnsi="Arial Narrow"/>
                <w:sz w:val="20"/>
                <w:szCs w:val="20"/>
              </w:rPr>
              <w:t>Authority Required - Telephone</w:t>
            </w:r>
          </w:p>
          <w:p w:rsidR="00F85EF7" w:rsidRPr="00557E6C" w:rsidRDefault="00F85EF7" w:rsidP="00557E6C">
            <w:pPr>
              <w:rPr>
                <w:rFonts w:ascii="Arial Narrow" w:hAnsi="Arial Narrow"/>
                <w:sz w:val="20"/>
                <w:szCs w:val="20"/>
              </w:rPr>
            </w:pPr>
            <w:r w:rsidRPr="00214B6F">
              <w:rPr>
                <w:rFonts w:ascii="Arial Narrow" w:hAnsi="Arial Narrow"/>
                <w:sz w:val="20"/>
                <w:szCs w:val="20"/>
              </w:rPr>
              <w:fldChar w:fldCharType="begin">
                <w:ffData>
                  <w:name w:val=""/>
                  <w:enabled/>
                  <w:calcOnExit w:val="0"/>
                  <w:checkBox>
                    <w:sizeAuto/>
                    <w:default w:val="0"/>
                  </w:checkBox>
                </w:ffData>
              </w:fldChar>
            </w:r>
            <w:r w:rsidRPr="00557E6C">
              <w:rPr>
                <w:rFonts w:ascii="Arial Narrow" w:hAnsi="Arial Narrow"/>
                <w:sz w:val="20"/>
                <w:szCs w:val="20"/>
              </w:rPr>
              <w:instrText xml:space="preserve"> FORMCHECKBOX </w:instrText>
            </w:r>
            <w:r w:rsidR="001058B5">
              <w:rPr>
                <w:rFonts w:ascii="Arial Narrow" w:hAnsi="Arial Narrow"/>
                <w:sz w:val="20"/>
                <w:szCs w:val="20"/>
              </w:rPr>
            </w:r>
            <w:r w:rsidR="001058B5">
              <w:rPr>
                <w:rFonts w:ascii="Arial Narrow" w:hAnsi="Arial Narrow"/>
                <w:sz w:val="20"/>
                <w:szCs w:val="20"/>
              </w:rPr>
              <w:fldChar w:fldCharType="separate"/>
            </w:r>
            <w:r w:rsidRPr="00214B6F">
              <w:rPr>
                <w:rFonts w:ascii="Arial Narrow" w:hAnsi="Arial Narrow"/>
                <w:sz w:val="20"/>
                <w:szCs w:val="20"/>
              </w:rPr>
              <w:fldChar w:fldCharType="end"/>
            </w:r>
            <w:r w:rsidRPr="00557E6C">
              <w:rPr>
                <w:rFonts w:ascii="Arial Narrow" w:hAnsi="Arial Narrow"/>
                <w:sz w:val="20"/>
                <w:szCs w:val="20"/>
              </w:rPr>
              <w:t>Authority Required – Emergency</w:t>
            </w:r>
          </w:p>
          <w:p w:rsidR="00F85EF7" w:rsidRPr="00557E6C" w:rsidRDefault="00F85EF7" w:rsidP="00557E6C">
            <w:pPr>
              <w:rPr>
                <w:rFonts w:ascii="Arial Narrow" w:hAnsi="Arial Narrow"/>
                <w:sz w:val="20"/>
                <w:szCs w:val="20"/>
              </w:rPr>
            </w:pPr>
            <w:r w:rsidRPr="00214B6F">
              <w:rPr>
                <w:rFonts w:ascii="Arial Narrow" w:hAnsi="Arial Narrow"/>
                <w:sz w:val="20"/>
                <w:szCs w:val="20"/>
              </w:rPr>
              <w:fldChar w:fldCharType="begin">
                <w:ffData>
                  <w:name w:val="Check5"/>
                  <w:enabled/>
                  <w:calcOnExit w:val="0"/>
                  <w:checkBox>
                    <w:sizeAuto/>
                    <w:default w:val="0"/>
                  </w:checkBox>
                </w:ffData>
              </w:fldChar>
            </w:r>
            <w:r w:rsidRPr="00557E6C">
              <w:rPr>
                <w:rFonts w:ascii="Arial Narrow" w:hAnsi="Arial Narrow"/>
                <w:sz w:val="20"/>
                <w:szCs w:val="20"/>
              </w:rPr>
              <w:instrText xml:space="preserve"> FORMCHECKBOX </w:instrText>
            </w:r>
            <w:r w:rsidR="001058B5">
              <w:rPr>
                <w:rFonts w:ascii="Arial Narrow" w:hAnsi="Arial Narrow"/>
                <w:sz w:val="20"/>
                <w:szCs w:val="20"/>
              </w:rPr>
            </w:r>
            <w:r w:rsidR="001058B5">
              <w:rPr>
                <w:rFonts w:ascii="Arial Narrow" w:hAnsi="Arial Narrow"/>
                <w:sz w:val="20"/>
                <w:szCs w:val="20"/>
              </w:rPr>
              <w:fldChar w:fldCharType="separate"/>
            </w:r>
            <w:r w:rsidRPr="00214B6F">
              <w:rPr>
                <w:rFonts w:ascii="Arial Narrow" w:hAnsi="Arial Narrow"/>
                <w:sz w:val="20"/>
                <w:szCs w:val="20"/>
              </w:rPr>
              <w:fldChar w:fldCharType="end"/>
            </w:r>
            <w:r w:rsidRPr="00557E6C">
              <w:rPr>
                <w:rFonts w:ascii="Arial Narrow" w:hAnsi="Arial Narrow"/>
                <w:sz w:val="20"/>
                <w:szCs w:val="20"/>
              </w:rPr>
              <w:t>Authority Required - Electronic</w:t>
            </w:r>
          </w:p>
          <w:p w:rsidR="00F85EF7" w:rsidRPr="00557E6C" w:rsidRDefault="00F85EF7" w:rsidP="00557E6C">
            <w:pPr>
              <w:rPr>
                <w:rFonts w:ascii="Arial Narrow" w:hAnsi="Arial Narrow"/>
                <w:sz w:val="20"/>
                <w:szCs w:val="20"/>
              </w:rPr>
            </w:pPr>
            <w:r w:rsidRPr="00214B6F">
              <w:rPr>
                <w:rFonts w:ascii="Arial Narrow" w:hAnsi="Arial Narrow"/>
                <w:sz w:val="20"/>
                <w:szCs w:val="20"/>
              </w:rPr>
              <w:fldChar w:fldCharType="begin">
                <w:ffData>
                  <w:name w:val="Check5"/>
                  <w:enabled/>
                  <w:calcOnExit w:val="0"/>
                  <w:checkBox>
                    <w:sizeAuto/>
                    <w:default w:val="1"/>
                  </w:checkBox>
                </w:ffData>
              </w:fldChar>
            </w:r>
            <w:bookmarkStart w:id="0" w:name="Check5"/>
            <w:r w:rsidRPr="00557E6C">
              <w:rPr>
                <w:rFonts w:ascii="Arial Narrow" w:hAnsi="Arial Narrow"/>
                <w:sz w:val="20"/>
                <w:szCs w:val="20"/>
              </w:rPr>
              <w:instrText xml:space="preserve"> FORMCHECKBOX </w:instrText>
            </w:r>
            <w:r w:rsidR="001058B5">
              <w:rPr>
                <w:rFonts w:ascii="Arial Narrow" w:hAnsi="Arial Narrow"/>
                <w:sz w:val="20"/>
                <w:szCs w:val="20"/>
              </w:rPr>
            </w:r>
            <w:r w:rsidR="001058B5">
              <w:rPr>
                <w:rFonts w:ascii="Arial Narrow" w:hAnsi="Arial Narrow"/>
                <w:sz w:val="20"/>
                <w:szCs w:val="20"/>
              </w:rPr>
              <w:fldChar w:fldCharType="separate"/>
            </w:r>
            <w:r w:rsidRPr="00214B6F">
              <w:rPr>
                <w:rFonts w:ascii="Arial Narrow" w:hAnsi="Arial Narrow"/>
                <w:sz w:val="20"/>
                <w:szCs w:val="20"/>
              </w:rPr>
              <w:fldChar w:fldCharType="end"/>
            </w:r>
            <w:bookmarkEnd w:id="0"/>
            <w:r w:rsidRPr="00557E6C">
              <w:rPr>
                <w:rFonts w:ascii="Arial Narrow" w:hAnsi="Arial Narrow"/>
                <w:sz w:val="20"/>
                <w:szCs w:val="20"/>
              </w:rPr>
              <w:t>Streamlined</w:t>
            </w:r>
          </w:p>
        </w:tc>
      </w:tr>
      <w:tr w:rsidR="00F85EF7" w:rsidRPr="00557E6C" w:rsidTr="00557E6C">
        <w:trPr>
          <w:cantSplit/>
          <w:trHeight w:val="360"/>
        </w:trPr>
        <w:tc>
          <w:tcPr>
            <w:tcW w:w="3261" w:type="dxa"/>
            <w:tcBorders>
              <w:top w:val="single" w:sz="4" w:space="0" w:color="auto"/>
              <w:left w:val="single" w:sz="4" w:space="0" w:color="auto"/>
              <w:bottom w:val="single" w:sz="4" w:space="0" w:color="auto"/>
              <w:right w:val="single" w:sz="4" w:space="0" w:color="auto"/>
            </w:tcBorders>
          </w:tcPr>
          <w:p w:rsidR="00F85EF7" w:rsidRPr="00557E6C" w:rsidRDefault="00F85EF7" w:rsidP="00557E6C">
            <w:pPr>
              <w:rPr>
                <w:rFonts w:ascii="Arial Narrow" w:hAnsi="Arial Narrow"/>
                <w:b/>
                <w:sz w:val="20"/>
                <w:szCs w:val="20"/>
              </w:rPr>
            </w:pPr>
            <w:r w:rsidRPr="00557E6C">
              <w:rPr>
                <w:rFonts w:ascii="Arial Narrow" w:hAnsi="Arial Narrow"/>
                <w:b/>
                <w:sz w:val="20"/>
                <w:szCs w:val="20"/>
              </w:rPr>
              <w:t>Treatment criteria:</w:t>
            </w:r>
          </w:p>
        </w:tc>
        <w:tc>
          <w:tcPr>
            <w:tcW w:w="5811" w:type="dxa"/>
            <w:gridSpan w:val="5"/>
            <w:tcBorders>
              <w:top w:val="single" w:sz="4" w:space="0" w:color="auto"/>
              <w:left w:val="single" w:sz="4" w:space="0" w:color="auto"/>
              <w:bottom w:val="single" w:sz="4" w:space="0" w:color="auto"/>
              <w:right w:val="single" w:sz="4" w:space="0" w:color="auto"/>
            </w:tcBorders>
          </w:tcPr>
          <w:p w:rsidR="00F85EF7" w:rsidRPr="00557E6C" w:rsidRDefault="00F85EF7" w:rsidP="00557E6C">
            <w:pPr>
              <w:rPr>
                <w:rFonts w:ascii="Arial Narrow" w:hAnsi="Arial Narrow"/>
                <w:sz w:val="20"/>
                <w:szCs w:val="20"/>
              </w:rPr>
            </w:pPr>
            <w:r w:rsidRPr="00557E6C">
              <w:rPr>
                <w:rFonts w:ascii="Arial Narrow" w:hAnsi="Arial Narrow"/>
                <w:sz w:val="20"/>
                <w:szCs w:val="20"/>
              </w:rPr>
              <w:t>-</w:t>
            </w:r>
          </w:p>
        </w:tc>
      </w:tr>
      <w:tr w:rsidR="00F85EF7" w:rsidRPr="00557E6C" w:rsidTr="00557E6C">
        <w:trPr>
          <w:cantSplit/>
          <w:trHeight w:val="360"/>
        </w:trPr>
        <w:tc>
          <w:tcPr>
            <w:tcW w:w="3261" w:type="dxa"/>
            <w:tcBorders>
              <w:top w:val="single" w:sz="4" w:space="0" w:color="auto"/>
              <w:left w:val="single" w:sz="4" w:space="0" w:color="auto"/>
              <w:bottom w:val="single" w:sz="4" w:space="0" w:color="auto"/>
              <w:right w:val="single" w:sz="4" w:space="0" w:color="auto"/>
            </w:tcBorders>
          </w:tcPr>
          <w:p w:rsidR="00F85EF7" w:rsidRPr="00557E6C" w:rsidRDefault="00F85EF7" w:rsidP="00557E6C">
            <w:pPr>
              <w:rPr>
                <w:rFonts w:ascii="Arial Narrow" w:hAnsi="Arial Narrow"/>
                <w:sz w:val="20"/>
                <w:szCs w:val="20"/>
              </w:rPr>
            </w:pPr>
            <w:r w:rsidRPr="00557E6C">
              <w:rPr>
                <w:rFonts w:ascii="Arial Narrow" w:hAnsi="Arial Narrow"/>
                <w:b/>
                <w:sz w:val="20"/>
                <w:szCs w:val="20"/>
              </w:rPr>
              <w:t>Clinical criteria:</w:t>
            </w:r>
          </w:p>
        </w:tc>
        <w:tc>
          <w:tcPr>
            <w:tcW w:w="5811" w:type="dxa"/>
            <w:gridSpan w:val="5"/>
            <w:tcBorders>
              <w:top w:val="single" w:sz="4" w:space="0" w:color="auto"/>
              <w:left w:val="single" w:sz="4" w:space="0" w:color="auto"/>
              <w:bottom w:val="single" w:sz="4" w:space="0" w:color="auto"/>
              <w:right w:val="single" w:sz="4" w:space="0" w:color="auto"/>
            </w:tcBorders>
          </w:tcPr>
          <w:p w:rsidR="00F85EF7" w:rsidRPr="00557E6C" w:rsidRDefault="00F85EF7" w:rsidP="00557E6C">
            <w:pPr>
              <w:rPr>
                <w:rFonts w:ascii="Arial Narrow" w:hAnsi="Arial Narrow"/>
                <w:sz w:val="20"/>
                <w:szCs w:val="20"/>
              </w:rPr>
            </w:pPr>
            <w:r w:rsidRPr="00557E6C">
              <w:rPr>
                <w:rFonts w:ascii="Arial Narrow" w:hAnsi="Arial Narrow"/>
                <w:sz w:val="20"/>
                <w:szCs w:val="20"/>
              </w:rPr>
              <w:t>The treatment must be the sole PBS-subsidised therapy for this condition.</w:t>
            </w:r>
          </w:p>
          <w:p w:rsidR="00F85EF7" w:rsidRPr="00557E6C" w:rsidRDefault="00F85EF7" w:rsidP="00557E6C">
            <w:pPr>
              <w:rPr>
                <w:rFonts w:ascii="Arial Narrow" w:hAnsi="Arial Narrow"/>
                <w:sz w:val="20"/>
                <w:szCs w:val="20"/>
              </w:rPr>
            </w:pPr>
            <w:r w:rsidRPr="00557E6C">
              <w:rPr>
                <w:rFonts w:ascii="Arial Narrow" w:hAnsi="Arial Narrow"/>
                <w:sz w:val="20"/>
                <w:szCs w:val="20"/>
              </w:rPr>
              <w:t>AND</w:t>
            </w:r>
          </w:p>
          <w:p w:rsidR="00F85EF7" w:rsidRPr="00557E6C" w:rsidRDefault="00F85EF7" w:rsidP="00557E6C">
            <w:pPr>
              <w:rPr>
                <w:rFonts w:ascii="Arial Narrow" w:hAnsi="Arial Narrow"/>
                <w:sz w:val="20"/>
                <w:szCs w:val="20"/>
              </w:rPr>
            </w:pPr>
            <w:r w:rsidRPr="00557E6C">
              <w:rPr>
                <w:rFonts w:ascii="Arial Narrow" w:hAnsi="Arial Narrow"/>
                <w:sz w:val="20"/>
                <w:szCs w:val="20"/>
              </w:rPr>
              <w:t xml:space="preserve">Patient must not be suitable for </w:t>
            </w:r>
            <w:proofErr w:type="spellStart"/>
            <w:r w:rsidRPr="00557E6C">
              <w:rPr>
                <w:rFonts w:ascii="Arial Narrow" w:hAnsi="Arial Narrow"/>
                <w:sz w:val="20"/>
                <w:szCs w:val="20"/>
              </w:rPr>
              <w:t>transarterial</w:t>
            </w:r>
            <w:proofErr w:type="spellEnd"/>
            <w:r w:rsidRPr="00557E6C">
              <w:rPr>
                <w:rFonts w:ascii="Arial Narrow" w:hAnsi="Arial Narrow"/>
                <w:sz w:val="20"/>
                <w:szCs w:val="20"/>
              </w:rPr>
              <w:t xml:space="preserve"> </w:t>
            </w:r>
            <w:proofErr w:type="spellStart"/>
            <w:r w:rsidRPr="00557E6C">
              <w:rPr>
                <w:rFonts w:ascii="Arial Narrow" w:hAnsi="Arial Narrow"/>
                <w:sz w:val="20"/>
                <w:szCs w:val="20"/>
              </w:rPr>
              <w:t>chemoembolisation</w:t>
            </w:r>
            <w:proofErr w:type="spellEnd"/>
          </w:p>
          <w:p w:rsidR="00F85EF7" w:rsidRPr="00557E6C" w:rsidRDefault="00F85EF7" w:rsidP="00557E6C">
            <w:pPr>
              <w:rPr>
                <w:rFonts w:ascii="Arial Narrow" w:hAnsi="Arial Narrow"/>
                <w:sz w:val="20"/>
                <w:szCs w:val="20"/>
              </w:rPr>
            </w:pPr>
            <w:r w:rsidRPr="00557E6C">
              <w:rPr>
                <w:rFonts w:ascii="Arial Narrow" w:hAnsi="Arial Narrow"/>
                <w:sz w:val="20"/>
                <w:szCs w:val="20"/>
              </w:rPr>
              <w:t>AND</w:t>
            </w:r>
          </w:p>
          <w:p w:rsidR="00F85EF7" w:rsidRPr="00557E6C" w:rsidRDefault="00F85EF7" w:rsidP="00557E6C">
            <w:pPr>
              <w:rPr>
                <w:rFonts w:ascii="Arial Narrow" w:hAnsi="Arial Narrow"/>
                <w:sz w:val="20"/>
                <w:szCs w:val="20"/>
              </w:rPr>
            </w:pPr>
            <w:r w:rsidRPr="00557E6C">
              <w:rPr>
                <w:rFonts w:ascii="Arial Narrow" w:hAnsi="Arial Narrow"/>
                <w:sz w:val="20"/>
                <w:szCs w:val="20"/>
              </w:rPr>
              <w:t xml:space="preserve">Patient must have </w:t>
            </w:r>
            <w:r w:rsidRPr="00557E6C">
              <w:rPr>
                <w:rFonts w:ascii="Arial Narrow" w:hAnsi="Arial Narrow"/>
                <w:i/>
                <w:sz w:val="20"/>
                <w:szCs w:val="20"/>
              </w:rPr>
              <w:t xml:space="preserve">a </w:t>
            </w:r>
            <w:r w:rsidRPr="00557E6C">
              <w:rPr>
                <w:rFonts w:ascii="Arial Narrow" w:hAnsi="Arial Narrow"/>
                <w:sz w:val="20"/>
                <w:szCs w:val="20"/>
              </w:rPr>
              <w:t xml:space="preserve">WHO </w:t>
            </w:r>
            <w:r w:rsidR="00BA7A69">
              <w:rPr>
                <w:rFonts w:ascii="Arial Narrow" w:hAnsi="Arial Narrow"/>
                <w:sz w:val="20"/>
                <w:szCs w:val="20"/>
              </w:rPr>
              <w:t>performance status of 2 or less</w:t>
            </w:r>
          </w:p>
          <w:p w:rsidR="00F85EF7" w:rsidRPr="00557E6C" w:rsidRDefault="00F85EF7" w:rsidP="00557E6C">
            <w:pPr>
              <w:rPr>
                <w:rFonts w:ascii="Arial Narrow" w:hAnsi="Arial Narrow"/>
                <w:sz w:val="20"/>
                <w:szCs w:val="20"/>
              </w:rPr>
            </w:pPr>
            <w:r w:rsidRPr="00557E6C">
              <w:rPr>
                <w:rFonts w:ascii="Arial Narrow" w:hAnsi="Arial Narrow"/>
                <w:sz w:val="20"/>
                <w:szCs w:val="20"/>
              </w:rPr>
              <w:t>AND</w:t>
            </w:r>
          </w:p>
          <w:p w:rsidR="00F85EF7" w:rsidRPr="00557E6C" w:rsidRDefault="00F85EF7" w:rsidP="00557E6C">
            <w:pPr>
              <w:rPr>
                <w:rFonts w:ascii="Arial Narrow" w:hAnsi="Arial Narrow"/>
                <w:sz w:val="20"/>
                <w:szCs w:val="20"/>
              </w:rPr>
            </w:pPr>
            <w:r w:rsidRPr="00557E6C">
              <w:rPr>
                <w:rFonts w:ascii="Arial Narrow" w:hAnsi="Arial Narrow"/>
                <w:sz w:val="20"/>
                <w:szCs w:val="20"/>
              </w:rPr>
              <w:t>Patient must be Child-Pugh class A.</w:t>
            </w:r>
          </w:p>
          <w:p w:rsidR="00F85EF7" w:rsidRPr="002F1842" w:rsidRDefault="00F85EF7" w:rsidP="00557E6C">
            <w:pPr>
              <w:rPr>
                <w:rFonts w:ascii="Arial Narrow" w:hAnsi="Arial Narrow"/>
                <w:sz w:val="20"/>
                <w:szCs w:val="20"/>
              </w:rPr>
            </w:pPr>
            <w:r w:rsidRPr="002F1842">
              <w:rPr>
                <w:rFonts w:ascii="Arial Narrow" w:hAnsi="Arial Narrow"/>
                <w:sz w:val="20"/>
                <w:szCs w:val="20"/>
              </w:rPr>
              <w:t>AND</w:t>
            </w:r>
          </w:p>
          <w:p w:rsidR="00F85EF7" w:rsidRPr="002F1842" w:rsidRDefault="00F85EF7" w:rsidP="00557E6C">
            <w:pPr>
              <w:rPr>
                <w:rFonts w:ascii="Arial Narrow" w:hAnsi="Arial Narrow"/>
                <w:sz w:val="20"/>
                <w:szCs w:val="20"/>
              </w:rPr>
            </w:pPr>
            <w:r w:rsidRPr="002F1842">
              <w:rPr>
                <w:rFonts w:ascii="Arial Narrow" w:hAnsi="Arial Narrow"/>
                <w:sz w:val="20"/>
                <w:szCs w:val="20"/>
              </w:rPr>
              <w:t>Patient must not have received prior treatment with a vascular endothelial growth factor (VEGF) tyrosine kinase inh</w:t>
            </w:r>
            <w:r w:rsidR="00BA7A69">
              <w:rPr>
                <w:rFonts w:ascii="Arial Narrow" w:hAnsi="Arial Narrow"/>
                <w:sz w:val="20"/>
                <w:szCs w:val="20"/>
              </w:rPr>
              <w:t>ibitor (TKI) for this condition</w:t>
            </w:r>
          </w:p>
          <w:p w:rsidR="00F85EF7" w:rsidRPr="002F1842" w:rsidRDefault="00BA7A69" w:rsidP="00557E6C">
            <w:pPr>
              <w:rPr>
                <w:rFonts w:ascii="Arial Narrow" w:hAnsi="Arial Narrow"/>
                <w:sz w:val="20"/>
                <w:szCs w:val="20"/>
              </w:rPr>
            </w:pPr>
            <w:r>
              <w:rPr>
                <w:rFonts w:ascii="Arial Narrow" w:hAnsi="Arial Narrow"/>
                <w:sz w:val="20"/>
                <w:szCs w:val="20"/>
              </w:rPr>
              <w:t>OR</w:t>
            </w:r>
          </w:p>
          <w:p w:rsidR="00F85EF7" w:rsidRPr="00557E6C" w:rsidRDefault="00F85EF7" w:rsidP="00557E6C">
            <w:pPr>
              <w:rPr>
                <w:rFonts w:ascii="Arial Narrow" w:hAnsi="Arial Narrow"/>
                <w:i/>
                <w:sz w:val="20"/>
                <w:szCs w:val="20"/>
              </w:rPr>
            </w:pPr>
            <w:r w:rsidRPr="002F1842">
              <w:rPr>
                <w:rFonts w:ascii="Arial Narrow" w:hAnsi="Arial Narrow"/>
                <w:sz w:val="20"/>
                <w:szCs w:val="20"/>
              </w:rPr>
              <w:t>Patient must have developed intolerance to a vascular endothelial growth factor (VEGF) tyrosine kinase inhibitor (TKI) of a severity necessitating permanent treatment withdrawal</w:t>
            </w:r>
          </w:p>
        </w:tc>
      </w:tr>
      <w:tr w:rsidR="00F85EF7" w:rsidRPr="00557E6C" w:rsidTr="00557E6C">
        <w:trPr>
          <w:cantSplit/>
          <w:trHeight w:val="360"/>
        </w:trPr>
        <w:tc>
          <w:tcPr>
            <w:tcW w:w="3261" w:type="dxa"/>
            <w:tcBorders>
              <w:top w:val="single" w:sz="4" w:space="0" w:color="auto"/>
              <w:left w:val="single" w:sz="4" w:space="0" w:color="auto"/>
              <w:bottom w:val="single" w:sz="4" w:space="0" w:color="auto"/>
              <w:right w:val="single" w:sz="4" w:space="0" w:color="auto"/>
            </w:tcBorders>
          </w:tcPr>
          <w:p w:rsidR="00F85EF7" w:rsidRPr="00557E6C" w:rsidRDefault="00F85EF7" w:rsidP="00557E6C">
            <w:pPr>
              <w:rPr>
                <w:rFonts w:ascii="Arial Narrow" w:hAnsi="Arial Narrow"/>
                <w:b/>
                <w:sz w:val="20"/>
                <w:szCs w:val="20"/>
              </w:rPr>
            </w:pPr>
            <w:r w:rsidRPr="00557E6C">
              <w:rPr>
                <w:rFonts w:ascii="Arial Narrow" w:hAnsi="Arial Narrow"/>
                <w:b/>
                <w:sz w:val="20"/>
                <w:szCs w:val="20"/>
              </w:rPr>
              <w:t>Population criteria:</w:t>
            </w:r>
          </w:p>
        </w:tc>
        <w:tc>
          <w:tcPr>
            <w:tcW w:w="5811" w:type="dxa"/>
            <w:gridSpan w:val="5"/>
            <w:tcBorders>
              <w:top w:val="single" w:sz="4" w:space="0" w:color="auto"/>
              <w:left w:val="single" w:sz="4" w:space="0" w:color="auto"/>
              <w:bottom w:val="single" w:sz="4" w:space="0" w:color="auto"/>
              <w:right w:val="single" w:sz="4" w:space="0" w:color="auto"/>
            </w:tcBorders>
          </w:tcPr>
          <w:p w:rsidR="00F85EF7" w:rsidRPr="00557E6C" w:rsidRDefault="007A2220" w:rsidP="00557E6C">
            <w:pPr>
              <w:rPr>
                <w:rFonts w:ascii="Arial Narrow" w:hAnsi="Arial Narrow"/>
                <w:strike/>
                <w:sz w:val="20"/>
                <w:szCs w:val="20"/>
              </w:rPr>
            </w:pPr>
            <w:r w:rsidRPr="00557E6C">
              <w:rPr>
                <w:rFonts w:ascii="Arial Narrow" w:hAnsi="Arial Narrow"/>
                <w:strike/>
                <w:sz w:val="20"/>
                <w:szCs w:val="20"/>
              </w:rPr>
              <w:t>-</w:t>
            </w:r>
          </w:p>
        </w:tc>
      </w:tr>
      <w:tr w:rsidR="00F85EF7" w:rsidRPr="00557E6C" w:rsidTr="00557E6C">
        <w:trPr>
          <w:cantSplit/>
          <w:trHeight w:val="360"/>
        </w:trPr>
        <w:tc>
          <w:tcPr>
            <w:tcW w:w="3261" w:type="dxa"/>
            <w:tcBorders>
              <w:top w:val="single" w:sz="4" w:space="0" w:color="auto"/>
              <w:left w:val="single" w:sz="4" w:space="0" w:color="auto"/>
              <w:bottom w:val="single" w:sz="4" w:space="0" w:color="auto"/>
              <w:right w:val="single" w:sz="4" w:space="0" w:color="auto"/>
            </w:tcBorders>
          </w:tcPr>
          <w:p w:rsidR="00F85EF7" w:rsidRPr="00557E6C" w:rsidRDefault="00F85EF7" w:rsidP="00557E6C">
            <w:pPr>
              <w:rPr>
                <w:rFonts w:ascii="Arial Narrow" w:hAnsi="Arial Narrow"/>
                <w:i/>
                <w:sz w:val="20"/>
                <w:szCs w:val="20"/>
              </w:rPr>
            </w:pPr>
            <w:r w:rsidRPr="00557E6C">
              <w:rPr>
                <w:rFonts w:ascii="Arial Narrow" w:hAnsi="Arial Narrow"/>
                <w:b/>
                <w:sz w:val="20"/>
                <w:szCs w:val="20"/>
              </w:rPr>
              <w:t>Administrative Advice</w:t>
            </w:r>
          </w:p>
        </w:tc>
        <w:tc>
          <w:tcPr>
            <w:tcW w:w="5811" w:type="dxa"/>
            <w:gridSpan w:val="5"/>
            <w:tcBorders>
              <w:top w:val="single" w:sz="4" w:space="0" w:color="auto"/>
              <w:left w:val="single" w:sz="4" w:space="0" w:color="auto"/>
              <w:bottom w:val="single" w:sz="4" w:space="0" w:color="auto"/>
              <w:right w:val="single" w:sz="4" w:space="0" w:color="auto"/>
            </w:tcBorders>
          </w:tcPr>
          <w:p w:rsidR="00F85EF7" w:rsidRPr="00557E6C" w:rsidRDefault="00F85EF7" w:rsidP="00557E6C">
            <w:pPr>
              <w:rPr>
                <w:rFonts w:ascii="Arial Narrow" w:hAnsi="Arial Narrow"/>
                <w:sz w:val="20"/>
                <w:szCs w:val="20"/>
              </w:rPr>
            </w:pPr>
            <w:r w:rsidRPr="00557E6C">
              <w:rPr>
                <w:rFonts w:ascii="Arial Narrow" w:hAnsi="Arial Narrow"/>
                <w:sz w:val="20"/>
                <w:szCs w:val="20"/>
              </w:rPr>
              <w:t>No increase in the maximum number of repeats may be authorised.</w:t>
            </w:r>
          </w:p>
          <w:p w:rsidR="00F85EF7" w:rsidRPr="00557E6C" w:rsidRDefault="00F85EF7" w:rsidP="00557E6C">
            <w:pPr>
              <w:rPr>
                <w:rFonts w:ascii="Arial Narrow" w:hAnsi="Arial Narrow"/>
                <w:i/>
                <w:sz w:val="20"/>
                <w:szCs w:val="20"/>
              </w:rPr>
            </w:pPr>
            <w:r w:rsidRPr="00557E6C">
              <w:rPr>
                <w:rFonts w:ascii="Arial Narrow" w:hAnsi="Arial Narrow"/>
                <w:sz w:val="20"/>
                <w:szCs w:val="20"/>
              </w:rPr>
              <w:t>Special Pricing Arrangements apply</w:t>
            </w:r>
          </w:p>
        </w:tc>
      </w:tr>
    </w:tbl>
    <w:p w:rsidR="00F85EF7" w:rsidRPr="00557E6C" w:rsidRDefault="00F85EF7" w:rsidP="00F85EF7">
      <w:pPr>
        <w:rPr>
          <w:rFonts w:ascii="Arial Narrow" w:hAnsi="Arial Narrow"/>
          <w:sz w:val="20"/>
          <w:szCs w:val="20"/>
        </w:rPr>
      </w:pPr>
    </w:p>
    <w:p w:rsidR="00294DFB" w:rsidRPr="00557E6C" w:rsidRDefault="00294DFB" w:rsidP="00F85EF7">
      <w:pPr>
        <w:rPr>
          <w:rFonts w:ascii="Arial Narrow" w:hAnsi="Arial Narrow"/>
          <w:sz w:val="20"/>
          <w:szCs w:val="20"/>
        </w:rPr>
      </w:pPr>
    </w:p>
    <w:tbl>
      <w:tblPr>
        <w:tblW w:w="9072" w:type="dxa"/>
        <w:tblInd w:w="108" w:type="dxa"/>
        <w:tblLayout w:type="fixed"/>
        <w:tblLook w:val="0000" w:firstRow="0" w:lastRow="0" w:firstColumn="0" w:lastColumn="0" w:noHBand="0" w:noVBand="0"/>
      </w:tblPr>
      <w:tblGrid>
        <w:gridCol w:w="3261"/>
        <w:gridCol w:w="5811"/>
      </w:tblGrid>
      <w:tr w:rsidR="00294DFB" w:rsidRPr="00557E6C" w:rsidTr="00557E6C">
        <w:trPr>
          <w:cantSplit/>
          <w:trHeight w:val="360"/>
        </w:trPr>
        <w:tc>
          <w:tcPr>
            <w:tcW w:w="3261" w:type="dxa"/>
            <w:tcBorders>
              <w:top w:val="single" w:sz="4" w:space="0" w:color="auto"/>
              <w:left w:val="single" w:sz="4" w:space="0" w:color="auto"/>
              <w:bottom w:val="single" w:sz="4" w:space="0" w:color="auto"/>
              <w:right w:val="single" w:sz="4" w:space="0" w:color="auto"/>
            </w:tcBorders>
          </w:tcPr>
          <w:p w:rsidR="00294DFB" w:rsidRPr="00557E6C" w:rsidRDefault="00294DFB" w:rsidP="00557E6C">
            <w:pPr>
              <w:pStyle w:val="Tabletext"/>
              <w:rPr>
                <w:b/>
                <w:i/>
              </w:rPr>
            </w:pPr>
            <w:r w:rsidRPr="00557E6C">
              <w:rPr>
                <w:rFonts w:ascii="Arial Narrow" w:hAnsi="Arial Narrow"/>
                <w:b/>
                <w:i/>
                <w:lang w:eastAsia="en-AU"/>
              </w:rPr>
              <w:t>Category / Program</w:t>
            </w:r>
          </w:p>
        </w:tc>
        <w:tc>
          <w:tcPr>
            <w:tcW w:w="5811" w:type="dxa"/>
            <w:tcBorders>
              <w:top w:val="single" w:sz="4" w:space="0" w:color="auto"/>
              <w:left w:val="single" w:sz="4" w:space="0" w:color="auto"/>
              <w:bottom w:val="single" w:sz="4" w:space="0" w:color="auto"/>
              <w:right w:val="single" w:sz="4" w:space="0" w:color="auto"/>
            </w:tcBorders>
          </w:tcPr>
          <w:p w:rsidR="00294DFB" w:rsidRPr="00557E6C" w:rsidRDefault="00294DFB" w:rsidP="00557E6C">
            <w:pPr>
              <w:pStyle w:val="Tabletext"/>
              <w:rPr>
                <w:i/>
              </w:rPr>
            </w:pPr>
            <w:r w:rsidRPr="00557E6C">
              <w:rPr>
                <w:rFonts w:ascii="Arial Narrow" w:hAnsi="Arial Narrow"/>
                <w:lang w:eastAsia="en-AU"/>
              </w:rPr>
              <w:t>Section 85 – General Schedule</w:t>
            </w:r>
          </w:p>
        </w:tc>
      </w:tr>
      <w:tr w:rsidR="00294DFB" w:rsidRPr="00557E6C" w:rsidTr="00557E6C">
        <w:trPr>
          <w:cantSplit/>
          <w:trHeight w:val="360"/>
        </w:trPr>
        <w:tc>
          <w:tcPr>
            <w:tcW w:w="3261" w:type="dxa"/>
            <w:tcBorders>
              <w:top w:val="single" w:sz="4" w:space="0" w:color="auto"/>
              <w:left w:val="single" w:sz="4" w:space="0" w:color="auto"/>
              <w:bottom w:val="single" w:sz="4" w:space="0" w:color="auto"/>
              <w:right w:val="single" w:sz="4" w:space="0" w:color="auto"/>
            </w:tcBorders>
          </w:tcPr>
          <w:p w:rsidR="00294DFB" w:rsidRPr="00557E6C" w:rsidRDefault="00294DFB" w:rsidP="00557E6C">
            <w:pPr>
              <w:rPr>
                <w:rFonts w:ascii="Arial Narrow" w:hAnsi="Arial Narrow"/>
                <w:b/>
                <w:i/>
                <w:sz w:val="20"/>
                <w:szCs w:val="20"/>
              </w:rPr>
            </w:pPr>
            <w:r w:rsidRPr="00557E6C">
              <w:rPr>
                <w:rFonts w:ascii="Arial Narrow" w:hAnsi="Arial Narrow"/>
                <w:b/>
                <w:i/>
                <w:sz w:val="20"/>
                <w:szCs w:val="20"/>
              </w:rPr>
              <w:t>Prescriber type:</w:t>
            </w:r>
          </w:p>
        </w:tc>
        <w:tc>
          <w:tcPr>
            <w:tcW w:w="5811" w:type="dxa"/>
            <w:tcBorders>
              <w:top w:val="single" w:sz="4" w:space="0" w:color="auto"/>
              <w:left w:val="single" w:sz="4" w:space="0" w:color="auto"/>
              <w:bottom w:val="single" w:sz="4" w:space="0" w:color="auto"/>
              <w:right w:val="single" w:sz="4" w:space="0" w:color="auto"/>
            </w:tcBorders>
          </w:tcPr>
          <w:p w:rsidR="00294DFB" w:rsidRPr="00557E6C" w:rsidRDefault="00294DFB" w:rsidP="00557E6C">
            <w:pPr>
              <w:rPr>
                <w:rFonts w:ascii="Arial Narrow" w:hAnsi="Arial Narrow"/>
                <w:i/>
                <w:sz w:val="20"/>
                <w:szCs w:val="20"/>
              </w:rPr>
            </w:pPr>
            <w:r w:rsidRPr="00F7711C">
              <w:rPr>
                <w:rFonts w:ascii="Arial Narrow" w:hAnsi="Arial Narrow"/>
                <w:i/>
                <w:sz w:val="20"/>
                <w:szCs w:val="20"/>
              </w:rPr>
              <w:fldChar w:fldCharType="begin">
                <w:ffData>
                  <w:name w:val="Check1"/>
                  <w:enabled/>
                  <w:calcOnExit w:val="0"/>
                  <w:checkBox>
                    <w:sizeAuto/>
                    <w:default w:val="0"/>
                  </w:checkBox>
                </w:ffData>
              </w:fldChar>
            </w:r>
            <w:r w:rsidRPr="00557E6C">
              <w:rPr>
                <w:rFonts w:ascii="Arial Narrow" w:hAnsi="Arial Narrow"/>
                <w:i/>
                <w:sz w:val="20"/>
                <w:szCs w:val="20"/>
              </w:rPr>
              <w:instrText xml:space="preserve"> FORMCHECKBOX </w:instrText>
            </w:r>
            <w:r w:rsidR="001058B5">
              <w:rPr>
                <w:rFonts w:ascii="Arial Narrow" w:hAnsi="Arial Narrow"/>
                <w:i/>
                <w:sz w:val="20"/>
                <w:szCs w:val="20"/>
              </w:rPr>
            </w:r>
            <w:r w:rsidR="001058B5">
              <w:rPr>
                <w:rFonts w:ascii="Arial Narrow" w:hAnsi="Arial Narrow"/>
                <w:i/>
                <w:sz w:val="20"/>
                <w:szCs w:val="20"/>
              </w:rPr>
              <w:fldChar w:fldCharType="separate"/>
            </w:r>
            <w:r w:rsidRPr="00F7711C">
              <w:rPr>
                <w:rFonts w:ascii="Arial Narrow" w:hAnsi="Arial Narrow"/>
                <w:i/>
                <w:sz w:val="20"/>
                <w:szCs w:val="20"/>
              </w:rPr>
              <w:fldChar w:fldCharType="end"/>
            </w:r>
            <w:r w:rsidRPr="00557E6C">
              <w:rPr>
                <w:rFonts w:ascii="Arial Narrow" w:hAnsi="Arial Narrow"/>
                <w:i/>
                <w:sz w:val="20"/>
                <w:szCs w:val="20"/>
              </w:rPr>
              <w:t xml:space="preserve">Dental  </w:t>
            </w:r>
            <w:r w:rsidRPr="00F7711C">
              <w:rPr>
                <w:rFonts w:ascii="Arial Narrow" w:hAnsi="Arial Narrow"/>
                <w:i/>
                <w:sz w:val="20"/>
                <w:szCs w:val="20"/>
              </w:rPr>
              <w:fldChar w:fldCharType="begin">
                <w:ffData>
                  <w:name w:val=""/>
                  <w:enabled/>
                  <w:calcOnExit w:val="0"/>
                  <w:checkBox>
                    <w:sizeAuto/>
                    <w:default w:val="1"/>
                  </w:checkBox>
                </w:ffData>
              </w:fldChar>
            </w:r>
            <w:r w:rsidRPr="00557E6C">
              <w:rPr>
                <w:rFonts w:ascii="Arial Narrow" w:hAnsi="Arial Narrow"/>
                <w:i/>
                <w:sz w:val="20"/>
                <w:szCs w:val="20"/>
              </w:rPr>
              <w:instrText xml:space="preserve"> FORMCHECKBOX </w:instrText>
            </w:r>
            <w:r w:rsidR="001058B5">
              <w:rPr>
                <w:rFonts w:ascii="Arial Narrow" w:hAnsi="Arial Narrow"/>
                <w:i/>
                <w:sz w:val="20"/>
                <w:szCs w:val="20"/>
              </w:rPr>
            </w:r>
            <w:r w:rsidR="001058B5">
              <w:rPr>
                <w:rFonts w:ascii="Arial Narrow" w:hAnsi="Arial Narrow"/>
                <w:i/>
                <w:sz w:val="20"/>
                <w:szCs w:val="20"/>
              </w:rPr>
              <w:fldChar w:fldCharType="separate"/>
            </w:r>
            <w:r w:rsidRPr="00F7711C">
              <w:rPr>
                <w:rFonts w:ascii="Arial Narrow" w:hAnsi="Arial Narrow"/>
                <w:i/>
                <w:sz w:val="20"/>
                <w:szCs w:val="20"/>
              </w:rPr>
              <w:fldChar w:fldCharType="end"/>
            </w:r>
            <w:r w:rsidRPr="00557E6C">
              <w:rPr>
                <w:rFonts w:ascii="Arial Narrow" w:hAnsi="Arial Narrow"/>
                <w:i/>
                <w:sz w:val="20"/>
                <w:szCs w:val="20"/>
              </w:rPr>
              <w:t xml:space="preserve">Medical Practitioners  </w:t>
            </w:r>
            <w:r w:rsidRPr="00F7711C">
              <w:rPr>
                <w:rFonts w:ascii="Arial Narrow" w:hAnsi="Arial Narrow"/>
                <w:i/>
                <w:sz w:val="20"/>
                <w:szCs w:val="20"/>
              </w:rPr>
              <w:fldChar w:fldCharType="begin">
                <w:ffData>
                  <w:name w:val="Check3"/>
                  <w:enabled/>
                  <w:calcOnExit w:val="0"/>
                  <w:checkBox>
                    <w:sizeAuto/>
                    <w:default w:val="0"/>
                  </w:checkBox>
                </w:ffData>
              </w:fldChar>
            </w:r>
            <w:r w:rsidRPr="00557E6C">
              <w:rPr>
                <w:rFonts w:ascii="Arial Narrow" w:hAnsi="Arial Narrow"/>
                <w:i/>
                <w:sz w:val="20"/>
                <w:szCs w:val="20"/>
              </w:rPr>
              <w:instrText xml:space="preserve"> FORMCHECKBOX </w:instrText>
            </w:r>
            <w:r w:rsidR="001058B5">
              <w:rPr>
                <w:rFonts w:ascii="Arial Narrow" w:hAnsi="Arial Narrow"/>
                <w:i/>
                <w:sz w:val="20"/>
                <w:szCs w:val="20"/>
              </w:rPr>
            </w:r>
            <w:r w:rsidR="001058B5">
              <w:rPr>
                <w:rFonts w:ascii="Arial Narrow" w:hAnsi="Arial Narrow"/>
                <w:i/>
                <w:sz w:val="20"/>
                <w:szCs w:val="20"/>
              </w:rPr>
              <w:fldChar w:fldCharType="separate"/>
            </w:r>
            <w:r w:rsidRPr="00F7711C">
              <w:rPr>
                <w:rFonts w:ascii="Arial Narrow" w:hAnsi="Arial Narrow"/>
                <w:i/>
                <w:sz w:val="20"/>
                <w:szCs w:val="20"/>
              </w:rPr>
              <w:fldChar w:fldCharType="end"/>
            </w:r>
            <w:r w:rsidRPr="00557E6C">
              <w:rPr>
                <w:rFonts w:ascii="Arial Narrow" w:hAnsi="Arial Narrow"/>
                <w:i/>
                <w:sz w:val="20"/>
                <w:szCs w:val="20"/>
              </w:rPr>
              <w:t xml:space="preserve">Nurse practitioners  </w:t>
            </w:r>
            <w:r w:rsidRPr="00F7711C">
              <w:rPr>
                <w:rFonts w:ascii="Arial Narrow" w:hAnsi="Arial Narrow"/>
                <w:i/>
                <w:sz w:val="20"/>
                <w:szCs w:val="20"/>
              </w:rPr>
              <w:fldChar w:fldCharType="begin">
                <w:ffData>
                  <w:name w:val=""/>
                  <w:enabled/>
                  <w:calcOnExit w:val="0"/>
                  <w:checkBox>
                    <w:sizeAuto/>
                    <w:default w:val="0"/>
                  </w:checkBox>
                </w:ffData>
              </w:fldChar>
            </w:r>
            <w:r w:rsidRPr="00557E6C">
              <w:rPr>
                <w:rFonts w:ascii="Arial Narrow" w:hAnsi="Arial Narrow"/>
                <w:i/>
                <w:sz w:val="20"/>
                <w:szCs w:val="20"/>
              </w:rPr>
              <w:instrText xml:space="preserve"> FORMCHECKBOX </w:instrText>
            </w:r>
            <w:r w:rsidR="001058B5">
              <w:rPr>
                <w:rFonts w:ascii="Arial Narrow" w:hAnsi="Arial Narrow"/>
                <w:i/>
                <w:sz w:val="20"/>
                <w:szCs w:val="20"/>
              </w:rPr>
            </w:r>
            <w:r w:rsidR="001058B5">
              <w:rPr>
                <w:rFonts w:ascii="Arial Narrow" w:hAnsi="Arial Narrow"/>
                <w:i/>
                <w:sz w:val="20"/>
                <w:szCs w:val="20"/>
              </w:rPr>
              <w:fldChar w:fldCharType="separate"/>
            </w:r>
            <w:r w:rsidRPr="00F7711C">
              <w:rPr>
                <w:rFonts w:ascii="Arial Narrow" w:hAnsi="Arial Narrow"/>
                <w:i/>
                <w:sz w:val="20"/>
                <w:szCs w:val="20"/>
              </w:rPr>
              <w:fldChar w:fldCharType="end"/>
            </w:r>
            <w:r w:rsidRPr="00557E6C">
              <w:rPr>
                <w:rFonts w:ascii="Arial Narrow" w:hAnsi="Arial Narrow"/>
                <w:i/>
                <w:sz w:val="20"/>
                <w:szCs w:val="20"/>
              </w:rPr>
              <w:t>Optometrists</w:t>
            </w:r>
          </w:p>
          <w:p w:rsidR="00294DFB" w:rsidRPr="00557E6C" w:rsidRDefault="00294DFB" w:rsidP="00557E6C">
            <w:pPr>
              <w:rPr>
                <w:rFonts w:ascii="Arial Narrow" w:hAnsi="Arial Narrow"/>
                <w:i/>
                <w:sz w:val="20"/>
                <w:szCs w:val="20"/>
              </w:rPr>
            </w:pPr>
            <w:r w:rsidRPr="00F7711C">
              <w:rPr>
                <w:rFonts w:ascii="Arial Narrow" w:hAnsi="Arial Narrow"/>
                <w:i/>
                <w:sz w:val="20"/>
                <w:szCs w:val="20"/>
              </w:rPr>
              <w:fldChar w:fldCharType="begin">
                <w:ffData>
                  <w:name w:val="Check5"/>
                  <w:enabled/>
                  <w:calcOnExit w:val="0"/>
                  <w:checkBox>
                    <w:sizeAuto/>
                    <w:default w:val="0"/>
                  </w:checkBox>
                </w:ffData>
              </w:fldChar>
            </w:r>
            <w:r w:rsidRPr="00557E6C">
              <w:rPr>
                <w:rFonts w:ascii="Arial Narrow" w:hAnsi="Arial Narrow"/>
                <w:i/>
                <w:sz w:val="20"/>
                <w:szCs w:val="20"/>
              </w:rPr>
              <w:instrText xml:space="preserve"> FORMCHECKBOX </w:instrText>
            </w:r>
            <w:r w:rsidR="001058B5">
              <w:rPr>
                <w:rFonts w:ascii="Arial Narrow" w:hAnsi="Arial Narrow"/>
                <w:i/>
                <w:sz w:val="20"/>
                <w:szCs w:val="20"/>
              </w:rPr>
            </w:r>
            <w:r w:rsidR="001058B5">
              <w:rPr>
                <w:rFonts w:ascii="Arial Narrow" w:hAnsi="Arial Narrow"/>
                <w:i/>
                <w:sz w:val="20"/>
                <w:szCs w:val="20"/>
              </w:rPr>
              <w:fldChar w:fldCharType="separate"/>
            </w:r>
            <w:r w:rsidRPr="00F7711C">
              <w:rPr>
                <w:rFonts w:ascii="Arial Narrow" w:hAnsi="Arial Narrow"/>
                <w:i/>
                <w:sz w:val="20"/>
                <w:szCs w:val="20"/>
              </w:rPr>
              <w:fldChar w:fldCharType="end"/>
            </w:r>
            <w:r w:rsidRPr="00557E6C">
              <w:rPr>
                <w:rFonts w:ascii="Arial Narrow" w:hAnsi="Arial Narrow"/>
                <w:i/>
                <w:sz w:val="20"/>
                <w:szCs w:val="20"/>
              </w:rPr>
              <w:t>Midwives</w:t>
            </w:r>
          </w:p>
        </w:tc>
      </w:tr>
      <w:tr w:rsidR="00294DFB" w:rsidRPr="00557E6C" w:rsidTr="00557E6C">
        <w:trPr>
          <w:cantSplit/>
          <w:trHeight w:val="360"/>
        </w:trPr>
        <w:tc>
          <w:tcPr>
            <w:tcW w:w="3261" w:type="dxa"/>
            <w:tcBorders>
              <w:top w:val="single" w:sz="4" w:space="0" w:color="auto"/>
              <w:left w:val="single" w:sz="4" w:space="0" w:color="auto"/>
              <w:bottom w:val="single" w:sz="4" w:space="0" w:color="auto"/>
              <w:right w:val="single" w:sz="4" w:space="0" w:color="auto"/>
            </w:tcBorders>
          </w:tcPr>
          <w:p w:rsidR="00294DFB" w:rsidRPr="00557E6C" w:rsidRDefault="00294DFB" w:rsidP="00557E6C">
            <w:pPr>
              <w:rPr>
                <w:rFonts w:ascii="Arial Narrow" w:hAnsi="Arial Narrow"/>
                <w:b/>
                <w:sz w:val="20"/>
                <w:szCs w:val="20"/>
              </w:rPr>
            </w:pPr>
            <w:proofErr w:type="spellStart"/>
            <w:r w:rsidRPr="00557E6C">
              <w:rPr>
                <w:rFonts w:ascii="Arial Narrow" w:hAnsi="Arial Narrow"/>
                <w:b/>
                <w:sz w:val="20"/>
                <w:szCs w:val="20"/>
              </w:rPr>
              <w:t>Episodicity</w:t>
            </w:r>
            <w:proofErr w:type="spellEnd"/>
            <w:r w:rsidRPr="00557E6C">
              <w:rPr>
                <w:rFonts w:ascii="Arial Narrow" w:hAnsi="Arial Narrow"/>
                <w:b/>
                <w:sz w:val="20"/>
                <w:szCs w:val="20"/>
              </w:rPr>
              <w:t>:</w:t>
            </w:r>
          </w:p>
        </w:tc>
        <w:tc>
          <w:tcPr>
            <w:tcW w:w="5811" w:type="dxa"/>
            <w:tcBorders>
              <w:top w:val="single" w:sz="4" w:space="0" w:color="auto"/>
              <w:left w:val="single" w:sz="4" w:space="0" w:color="auto"/>
              <w:bottom w:val="single" w:sz="4" w:space="0" w:color="auto"/>
              <w:right w:val="single" w:sz="4" w:space="0" w:color="auto"/>
            </w:tcBorders>
          </w:tcPr>
          <w:p w:rsidR="00294DFB" w:rsidRPr="00557E6C" w:rsidRDefault="00294DFB" w:rsidP="00557E6C">
            <w:pPr>
              <w:rPr>
                <w:rFonts w:ascii="Arial Narrow" w:hAnsi="Arial Narrow"/>
                <w:sz w:val="20"/>
                <w:szCs w:val="20"/>
              </w:rPr>
            </w:pPr>
            <w:r w:rsidRPr="00557E6C">
              <w:rPr>
                <w:rFonts w:ascii="Arial Narrow" w:hAnsi="Arial Narrow"/>
                <w:sz w:val="20"/>
                <w:szCs w:val="20"/>
              </w:rPr>
              <w:t>N/A</w:t>
            </w:r>
          </w:p>
        </w:tc>
      </w:tr>
      <w:tr w:rsidR="00294DFB" w:rsidRPr="00557E6C" w:rsidTr="00557E6C">
        <w:trPr>
          <w:cantSplit/>
          <w:trHeight w:val="360"/>
        </w:trPr>
        <w:tc>
          <w:tcPr>
            <w:tcW w:w="3261" w:type="dxa"/>
            <w:tcBorders>
              <w:top w:val="single" w:sz="4" w:space="0" w:color="auto"/>
              <w:left w:val="single" w:sz="4" w:space="0" w:color="auto"/>
              <w:bottom w:val="single" w:sz="4" w:space="0" w:color="auto"/>
              <w:right w:val="single" w:sz="4" w:space="0" w:color="auto"/>
            </w:tcBorders>
          </w:tcPr>
          <w:p w:rsidR="00294DFB" w:rsidRPr="00557E6C" w:rsidRDefault="00294DFB" w:rsidP="00557E6C">
            <w:pPr>
              <w:rPr>
                <w:rFonts w:ascii="Arial Narrow" w:hAnsi="Arial Narrow"/>
                <w:b/>
                <w:sz w:val="20"/>
                <w:szCs w:val="20"/>
              </w:rPr>
            </w:pPr>
            <w:r w:rsidRPr="00557E6C">
              <w:rPr>
                <w:rFonts w:ascii="Arial Narrow" w:hAnsi="Arial Narrow"/>
                <w:b/>
                <w:sz w:val="20"/>
                <w:szCs w:val="20"/>
              </w:rPr>
              <w:t>Severity:</w:t>
            </w:r>
          </w:p>
        </w:tc>
        <w:tc>
          <w:tcPr>
            <w:tcW w:w="5811" w:type="dxa"/>
            <w:tcBorders>
              <w:top w:val="single" w:sz="4" w:space="0" w:color="auto"/>
              <w:left w:val="single" w:sz="4" w:space="0" w:color="auto"/>
              <w:bottom w:val="single" w:sz="4" w:space="0" w:color="auto"/>
              <w:right w:val="single" w:sz="4" w:space="0" w:color="auto"/>
            </w:tcBorders>
          </w:tcPr>
          <w:p w:rsidR="00294DFB" w:rsidRPr="00557E6C" w:rsidRDefault="00294DFB" w:rsidP="00557E6C">
            <w:pPr>
              <w:rPr>
                <w:rFonts w:ascii="Arial Narrow" w:hAnsi="Arial Narrow"/>
                <w:sz w:val="20"/>
                <w:szCs w:val="20"/>
              </w:rPr>
            </w:pPr>
            <w:r w:rsidRPr="00557E6C">
              <w:rPr>
                <w:rFonts w:ascii="Arial Narrow" w:hAnsi="Arial Narrow"/>
                <w:sz w:val="20"/>
                <w:szCs w:val="20"/>
              </w:rPr>
              <w:t>Advanced (</w:t>
            </w:r>
            <w:proofErr w:type="spellStart"/>
            <w:r w:rsidRPr="00557E6C">
              <w:rPr>
                <w:rFonts w:ascii="Arial Narrow" w:hAnsi="Arial Narrow"/>
                <w:sz w:val="20"/>
                <w:szCs w:val="20"/>
              </w:rPr>
              <w:t>unresectable</w:t>
            </w:r>
            <w:proofErr w:type="spellEnd"/>
            <w:r w:rsidRPr="00557E6C">
              <w:rPr>
                <w:rFonts w:ascii="Arial Narrow" w:hAnsi="Arial Narrow"/>
                <w:sz w:val="20"/>
                <w:szCs w:val="20"/>
              </w:rPr>
              <w:t>) Barcelona Clinic Liver Cancer stage B or stage C</w:t>
            </w:r>
          </w:p>
        </w:tc>
      </w:tr>
      <w:tr w:rsidR="00294DFB" w:rsidRPr="00557E6C" w:rsidTr="00557E6C">
        <w:trPr>
          <w:cantSplit/>
          <w:trHeight w:val="360"/>
        </w:trPr>
        <w:tc>
          <w:tcPr>
            <w:tcW w:w="3261" w:type="dxa"/>
            <w:tcBorders>
              <w:top w:val="single" w:sz="4" w:space="0" w:color="auto"/>
              <w:left w:val="single" w:sz="4" w:space="0" w:color="auto"/>
              <w:bottom w:val="single" w:sz="4" w:space="0" w:color="auto"/>
              <w:right w:val="single" w:sz="4" w:space="0" w:color="auto"/>
            </w:tcBorders>
          </w:tcPr>
          <w:p w:rsidR="00294DFB" w:rsidRPr="00557E6C" w:rsidRDefault="00294DFB" w:rsidP="00557E6C">
            <w:pPr>
              <w:rPr>
                <w:rFonts w:ascii="Arial Narrow" w:hAnsi="Arial Narrow"/>
                <w:b/>
                <w:sz w:val="20"/>
                <w:szCs w:val="20"/>
              </w:rPr>
            </w:pPr>
            <w:r w:rsidRPr="00557E6C">
              <w:rPr>
                <w:rFonts w:ascii="Arial Narrow" w:hAnsi="Arial Narrow"/>
                <w:b/>
                <w:sz w:val="20"/>
                <w:szCs w:val="20"/>
              </w:rPr>
              <w:t>Condition:</w:t>
            </w:r>
          </w:p>
        </w:tc>
        <w:tc>
          <w:tcPr>
            <w:tcW w:w="5811" w:type="dxa"/>
            <w:tcBorders>
              <w:top w:val="single" w:sz="4" w:space="0" w:color="auto"/>
              <w:left w:val="single" w:sz="4" w:space="0" w:color="auto"/>
              <w:bottom w:val="single" w:sz="4" w:space="0" w:color="auto"/>
              <w:right w:val="single" w:sz="4" w:space="0" w:color="auto"/>
            </w:tcBorders>
          </w:tcPr>
          <w:p w:rsidR="00294DFB" w:rsidRPr="00557E6C" w:rsidRDefault="00294DFB" w:rsidP="00557E6C">
            <w:pPr>
              <w:rPr>
                <w:rFonts w:ascii="Arial Narrow" w:hAnsi="Arial Narrow"/>
                <w:sz w:val="20"/>
                <w:szCs w:val="20"/>
              </w:rPr>
            </w:pPr>
            <w:r w:rsidRPr="00557E6C">
              <w:rPr>
                <w:rFonts w:ascii="Arial Narrow" w:hAnsi="Arial Narrow"/>
                <w:sz w:val="20"/>
                <w:szCs w:val="20"/>
              </w:rPr>
              <w:t>Hepatocellular carcinoma</w:t>
            </w:r>
          </w:p>
        </w:tc>
      </w:tr>
      <w:tr w:rsidR="00294DFB" w:rsidRPr="00557E6C" w:rsidTr="00557E6C">
        <w:trPr>
          <w:cantSplit/>
          <w:trHeight w:val="360"/>
        </w:trPr>
        <w:tc>
          <w:tcPr>
            <w:tcW w:w="3261" w:type="dxa"/>
            <w:tcBorders>
              <w:top w:val="single" w:sz="4" w:space="0" w:color="auto"/>
              <w:left w:val="single" w:sz="4" w:space="0" w:color="auto"/>
              <w:bottom w:val="single" w:sz="4" w:space="0" w:color="auto"/>
              <w:right w:val="single" w:sz="4" w:space="0" w:color="auto"/>
            </w:tcBorders>
          </w:tcPr>
          <w:p w:rsidR="00294DFB" w:rsidRPr="00557E6C" w:rsidRDefault="00294DFB" w:rsidP="00557E6C">
            <w:pPr>
              <w:rPr>
                <w:rFonts w:ascii="Arial Narrow" w:hAnsi="Arial Narrow"/>
                <w:b/>
                <w:sz w:val="20"/>
                <w:szCs w:val="20"/>
              </w:rPr>
            </w:pPr>
            <w:r w:rsidRPr="00557E6C">
              <w:rPr>
                <w:rFonts w:ascii="Arial Narrow" w:hAnsi="Arial Narrow"/>
                <w:b/>
                <w:sz w:val="20"/>
                <w:szCs w:val="20"/>
              </w:rPr>
              <w:t>PBS Indication:</w:t>
            </w:r>
          </w:p>
        </w:tc>
        <w:tc>
          <w:tcPr>
            <w:tcW w:w="5811" w:type="dxa"/>
            <w:tcBorders>
              <w:top w:val="single" w:sz="4" w:space="0" w:color="auto"/>
              <w:left w:val="single" w:sz="4" w:space="0" w:color="auto"/>
              <w:bottom w:val="single" w:sz="4" w:space="0" w:color="auto"/>
              <w:right w:val="single" w:sz="4" w:space="0" w:color="auto"/>
            </w:tcBorders>
          </w:tcPr>
          <w:p w:rsidR="00294DFB" w:rsidRPr="00557E6C" w:rsidRDefault="00294DFB" w:rsidP="00557E6C">
            <w:pPr>
              <w:rPr>
                <w:rFonts w:ascii="Arial Narrow" w:hAnsi="Arial Narrow"/>
                <w:sz w:val="20"/>
                <w:szCs w:val="20"/>
              </w:rPr>
            </w:pPr>
            <w:r w:rsidRPr="00557E6C">
              <w:rPr>
                <w:rFonts w:ascii="Arial Narrow" w:hAnsi="Arial Narrow"/>
                <w:sz w:val="20"/>
                <w:szCs w:val="20"/>
              </w:rPr>
              <w:t>Advanced (</w:t>
            </w:r>
            <w:proofErr w:type="spellStart"/>
            <w:r w:rsidRPr="00557E6C">
              <w:rPr>
                <w:rFonts w:ascii="Arial Narrow" w:hAnsi="Arial Narrow"/>
                <w:sz w:val="20"/>
                <w:szCs w:val="20"/>
              </w:rPr>
              <w:t>unresectable</w:t>
            </w:r>
            <w:proofErr w:type="spellEnd"/>
            <w:r w:rsidRPr="00557E6C">
              <w:rPr>
                <w:rFonts w:ascii="Arial Narrow" w:hAnsi="Arial Narrow"/>
                <w:sz w:val="20"/>
                <w:szCs w:val="20"/>
              </w:rPr>
              <w:t>) Barcelona Clinic Liver Cancer stage B or stage C hepatocellular carcinoma</w:t>
            </w:r>
          </w:p>
        </w:tc>
      </w:tr>
      <w:tr w:rsidR="00294DFB" w:rsidRPr="00557E6C" w:rsidTr="00557E6C">
        <w:trPr>
          <w:cantSplit/>
          <w:trHeight w:val="360"/>
        </w:trPr>
        <w:tc>
          <w:tcPr>
            <w:tcW w:w="3261" w:type="dxa"/>
            <w:tcBorders>
              <w:top w:val="single" w:sz="4" w:space="0" w:color="auto"/>
              <w:left w:val="single" w:sz="4" w:space="0" w:color="auto"/>
              <w:bottom w:val="single" w:sz="4" w:space="0" w:color="auto"/>
              <w:right w:val="single" w:sz="4" w:space="0" w:color="auto"/>
            </w:tcBorders>
          </w:tcPr>
          <w:p w:rsidR="00294DFB" w:rsidRPr="00557E6C" w:rsidRDefault="00294DFB" w:rsidP="00557E6C">
            <w:pPr>
              <w:rPr>
                <w:rFonts w:ascii="Arial Narrow" w:hAnsi="Arial Narrow"/>
                <w:i/>
                <w:sz w:val="20"/>
                <w:szCs w:val="20"/>
              </w:rPr>
            </w:pPr>
            <w:r w:rsidRPr="00557E6C">
              <w:rPr>
                <w:rFonts w:ascii="Arial Narrow" w:hAnsi="Arial Narrow"/>
                <w:b/>
                <w:sz w:val="20"/>
                <w:szCs w:val="20"/>
              </w:rPr>
              <w:t>Treatment phase:</w:t>
            </w:r>
            <w:r w:rsidRPr="00557E6C">
              <w:rPr>
                <w:rFonts w:ascii="Arial Narrow" w:hAnsi="Arial Narrow"/>
                <w:i/>
                <w:sz w:val="20"/>
                <w:szCs w:val="20"/>
              </w:rPr>
              <w:t xml:space="preserve"> </w:t>
            </w:r>
          </w:p>
        </w:tc>
        <w:tc>
          <w:tcPr>
            <w:tcW w:w="5811" w:type="dxa"/>
            <w:tcBorders>
              <w:top w:val="single" w:sz="4" w:space="0" w:color="auto"/>
              <w:left w:val="single" w:sz="4" w:space="0" w:color="auto"/>
              <w:bottom w:val="single" w:sz="4" w:space="0" w:color="auto"/>
              <w:right w:val="single" w:sz="4" w:space="0" w:color="auto"/>
            </w:tcBorders>
          </w:tcPr>
          <w:p w:rsidR="00294DFB" w:rsidRPr="00557E6C" w:rsidRDefault="00294DFB" w:rsidP="00557E6C">
            <w:pPr>
              <w:rPr>
                <w:rFonts w:ascii="Arial Narrow" w:hAnsi="Arial Narrow"/>
                <w:sz w:val="20"/>
                <w:szCs w:val="20"/>
              </w:rPr>
            </w:pPr>
            <w:r w:rsidRPr="00557E6C">
              <w:rPr>
                <w:rFonts w:ascii="Arial Narrow" w:hAnsi="Arial Narrow"/>
                <w:sz w:val="20"/>
                <w:szCs w:val="20"/>
              </w:rPr>
              <w:t>Initial treatment – grandfathered patients</w:t>
            </w:r>
          </w:p>
        </w:tc>
      </w:tr>
      <w:tr w:rsidR="00294DFB" w:rsidRPr="00557E6C" w:rsidTr="00557E6C">
        <w:trPr>
          <w:cantSplit/>
          <w:trHeight w:val="360"/>
        </w:trPr>
        <w:tc>
          <w:tcPr>
            <w:tcW w:w="3261" w:type="dxa"/>
            <w:tcBorders>
              <w:top w:val="single" w:sz="4" w:space="0" w:color="auto"/>
              <w:left w:val="single" w:sz="4" w:space="0" w:color="auto"/>
              <w:bottom w:val="single" w:sz="4" w:space="0" w:color="auto"/>
              <w:right w:val="single" w:sz="4" w:space="0" w:color="auto"/>
            </w:tcBorders>
          </w:tcPr>
          <w:p w:rsidR="00294DFB" w:rsidRPr="00557E6C" w:rsidRDefault="00294DFB" w:rsidP="00557E6C">
            <w:pPr>
              <w:rPr>
                <w:rFonts w:ascii="Arial Narrow" w:hAnsi="Arial Narrow"/>
                <w:b/>
                <w:sz w:val="20"/>
                <w:szCs w:val="20"/>
              </w:rPr>
            </w:pPr>
            <w:r w:rsidRPr="00557E6C">
              <w:rPr>
                <w:rFonts w:ascii="Arial Narrow" w:hAnsi="Arial Narrow"/>
                <w:b/>
                <w:sz w:val="20"/>
                <w:szCs w:val="20"/>
              </w:rPr>
              <w:t>Restriction:</w:t>
            </w:r>
          </w:p>
        </w:tc>
        <w:tc>
          <w:tcPr>
            <w:tcW w:w="5811" w:type="dxa"/>
            <w:tcBorders>
              <w:top w:val="single" w:sz="4" w:space="0" w:color="auto"/>
              <w:left w:val="single" w:sz="4" w:space="0" w:color="auto"/>
              <w:bottom w:val="single" w:sz="4" w:space="0" w:color="auto"/>
              <w:right w:val="single" w:sz="4" w:space="0" w:color="auto"/>
            </w:tcBorders>
          </w:tcPr>
          <w:p w:rsidR="00294DFB" w:rsidRPr="00557E6C" w:rsidRDefault="00294DFB" w:rsidP="00557E6C">
            <w:pPr>
              <w:rPr>
                <w:rFonts w:ascii="Arial Narrow" w:hAnsi="Arial Narrow"/>
                <w:sz w:val="20"/>
                <w:szCs w:val="20"/>
              </w:rPr>
            </w:pPr>
            <w:r w:rsidRPr="00F7711C">
              <w:rPr>
                <w:rFonts w:ascii="Arial Narrow" w:hAnsi="Arial Narrow"/>
                <w:sz w:val="20"/>
                <w:szCs w:val="20"/>
              </w:rPr>
              <w:fldChar w:fldCharType="begin">
                <w:ffData>
                  <w:name w:val="Check1"/>
                  <w:enabled/>
                  <w:calcOnExit w:val="0"/>
                  <w:checkBox>
                    <w:sizeAuto/>
                    <w:default w:val="0"/>
                  </w:checkBox>
                </w:ffData>
              </w:fldChar>
            </w:r>
            <w:r w:rsidRPr="00557E6C">
              <w:rPr>
                <w:rFonts w:ascii="Arial Narrow" w:hAnsi="Arial Narrow"/>
                <w:sz w:val="20"/>
                <w:szCs w:val="20"/>
              </w:rPr>
              <w:instrText xml:space="preserve"> FORMCHECKBOX </w:instrText>
            </w:r>
            <w:r w:rsidR="001058B5">
              <w:rPr>
                <w:rFonts w:ascii="Arial Narrow" w:hAnsi="Arial Narrow"/>
                <w:sz w:val="20"/>
                <w:szCs w:val="20"/>
              </w:rPr>
            </w:r>
            <w:r w:rsidR="001058B5">
              <w:rPr>
                <w:rFonts w:ascii="Arial Narrow" w:hAnsi="Arial Narrow"/>
                <w:sz w:val="20"/>
                <w:szCs w:val="20"/>
              </w:rPr>
              <w:fldChar w:fldCharType="separate"/>
            </w:r>
            <w:r w:rsidRPr="00F7711C">
              <w:rPr>
                <w:rFonts w:ascii="Arial Narrow" w:hAnsi="Arial Narrow"/>
                <w:sz w:val="20"/>
                <w:szCs w:val="20"/>
              </w:rPr>
              <w:fldChar w:fldCharType="end"/>
            </w:r>
            <w:r w:rsidRPr="00557E6C">
              <w:rPr>
                <w:rFonts w:ascii="Arial Narrow" w:hAnsi="Arial Narrow"/>
                <w:sz w:val="20"/>
                <w:szCs w:val="20"/>
              </w:rPr>
              <w:t>Restricted benefit</w:t>
            </w:r>
          </w:p>
          <w:p w:rsidR="00294DFB" w:rsidRPr="00557E6C" w:rsidRDefault="00294DFB" w:rsidP="00557E6C">
            <w:pPr>
              <w:rPr>
                <w:rFonts w:ascii="Arial Narrow" w:hAnsi="Arial Narrow"/>
                <w:sz w:val="20"/>
                <w:szCs w:val="20"/>
              </w:rPr>
            </w:pPr>
            <w:r w:rsidRPr="00F7711C">
              <w:rPr>
                <w:rFonts w:ascii="Arial Narrow" w:hAnsi="Arial Narrow"/>
                <w:sz w:val="20"/>
                <w:szCs w:val="20"/>
              </w:rPr>
              <w:fldChar w:fldCharType="begin">
                <w:ffData>
                  <w:name w:val=""/>
                  <w:enabled/>
                  <w:calcOnExit w:val="0"/>
                  <w:checkBox>
                    <w:sizeAuto/>
                    <w:default w:val="0"/>
                  </w:checkBox>
                </w:ffData>
              </w:fldChar>
            </w:r>
            <w:r w:rsidRPr="00557E6C">
              <w:rPr>
                <w:rFonts w:ascii="Arial Narrow" w:hAnsi="Arial Narrow"/>
                <w:sz w:val="20"/>
                <w:szCs w:val="20"/>
              </w:rPr>
              <w:instrText xml:space="preserve"> FORMCHECKBOX </w:instrText>
            </w:r>
            <w:r w:rsidR="001058B5">
              <w:rPr>
                <w:rFonts w:ascii="Arial Narrow" w:hAnsi="Arial Narrow"/>
                <w:sz w:val="20"/>
                <w:szCs w:val="20"/>
              </w:rPr>
            </w:r>
            <w:r w:rsidR="001058B5">
              <w:rPr>
                <w:rFonts w:ascii="Arial Narrow" w:hAnsi="Arial Narrow"/>
                <w:sz w:val="20"/>
                <w:szCs w:val="20"/>
              </w:rPr>
              <w:fldChar w:fldCharType="separate"/>
            </w:r>
            <w:r w:rsidRPr="00F7711C">
              <w:rPr>
                <w:rFonts w:ascii="Arial Narrow" w:hAnsi="Arial Narrow"/>
                <w:sz w:val="20"/>
                <w:szCs w:val="20"/>
              </w:rPr>
              <w:fldChar w:fldCharType="end"/>
            </w:r>
            <w:r w:rsidRPr="00557E6C">
              <w:rPr>
                <w:rFonts w:ascii="Arial Narrow" w:hAnsi="Arial Narrow"/>
                <w:sz w:val="20"/>
                <w:szCs w:val="20"/>
              </w:rPr>
              <w:t>Authority Required - In Writing</w:t>
            </w:r>
          </w:p>
          <w:p w:rsidR="00294DFB" w:rsidRPr="00557E6C" w:rsidRDefault="00294DFB" w:rsidP="00557E6C">
            <w:pPr>
              <w:rPr>
                <w:rFonts w:ascii="Arial Narrow" w:hAnsi="Arial Narrow"/>
                <w:sz w:val="20"/>
                <w:szCs w:val="20"/>
              </w:rPr>
            </w:pPr>
            <w:r w:rsidRPr="00F7711C">
              <w:rPr>
                <w:rFonts w:ascii="Arial Narrow" w:hAnsi="Arial Narrow"/>
                <w:sz w:val="20"/>
                <w:szCs w:val="20"/>
              </w:rPr>
              <w:fldChar w:fldCharType="begin">
                <w:ffData>
                  <w:name w:val="Check3"/>
                  <w:enabled/>
                  <w:calcOnExit w:val="0"/>
                  <w:checkBox>
                    <w:sizeAuto/>
                    <w:default w:val="0"/>
                  </w:checkBox>
                </w:ffData>
              </w:fldChar>
            </w:r>
            <w:r w:rsidRPr="00557E6C">
              <w:rPr>
                <w:rFonts w:ascii="Arial Narrow" w:hAnsi="Arial Narrow"/>
                <w:sz w:val="20"/>
                <w:szCs w:val="20"/>
              </w:rPr>
              <w:instrText xml:space="preserve"> FORMCHECKBOX </w:instrText>
            </w:r>
            <w:r w:rsidR="001058B5">
              <w:rPr>
                <w:rFonts w:ascii="Arial Narrow" w:hAnsi="Arial Narrow"/>
                <w:sz w:val="20"/>
                <w:szCs w:val="20"/>
              </w:rPr>
            </w:r>
            <w:r w:rsidR="001058B5">
              <w:rPr>
                <w:rFonts w:ascii="Arial Narrow" w:hAnsi="Arial Narrow"/>
                <w:sz w:val="20"/>
                <w:szCs w:val="20"/>
              </w:rPr>
              <w:fldChar w:fldCharType="separate"/>
            </w:r>
            <w:r w:rsidRPr="00F7711C">
              <w:rPr>
                <w:rFonts w:ascii="Arial Narrow" w:hAnsi="Arial Narrow"/>
                <w:sz w:val="20"/>
                <w:szCs w:val="20"/>
              </w:rPr>
              <w:fldChar w:fldCharType="end"/>
            </w:r>
            <w:r w:rsidRPr="00557E6C">
              <w:rPr>
                <w:rFonts w:ascii="Arial Narrow" w:hAnsi="Arial Narrow"/>
                <w:sz w:val="20"/>
                <w:szCs w:val="20"/>
              </w:rPr>
              <w:t>Authority Required - Telephone</w:t>
            </w:r>
          </w:p>
          <w:p w:rsidR="00294DFB" w:rsidRPr="00557E6C" w:rsidRDefault="00294DFB" w:rsidP="00557E6C">
            <w:pPr>
              <w:rPr>
                <w:rFonts w:ascii="Arial Narrow" w:hAnsi="Arial Narrow"/>
                <w:sz w:val="20"/>
                <w:szCs w:val="20"/>
              </w:rPr>
            </w:pPr>
            <w:r w:rsidRPr="00F7711C">
              <w:rPr>
                <w:rFonts w:ascii="Arial Narrow" w:hAnsi="Arial Narrow"/>
                <w:sz w:val="20"/>
                <w:szCs w:val="20"/>
              </w:rPr>
              <w:fldChar w:fldCharType="begin">
                <w:ffData>
                  <w:name w:val=""/>
                  <w:enabled/>
                  <w:calcOnExit w:val="0"/>
                  <w:checkBox>
                    <w:sizeAuto/>
                    <w:default w:val="0"/>
                  </w:checkBox>
                </w:ffData>
              </w:fldChar>
            </w:r>
            <w:r w:rsidRPr="00557E6C">
              <w:rPr>
                <w:rFonts w:ascii="Arial Narrow" w:hAnsi="Arial Narrow"/>
                <w:sz w:val="20"/>
                <w:szCs w:val="20"/>
              </w:rPr>
              <w:instrText xml:space="preserve"> FORMCHECKBOX </w:instrText>
            </w:r>
            <w:r w:rsidR="001058B5">
              <w:rPr>
                <w:rFonts w:ascii="Arial Narrow" w:hAnsi="Arial Narrow"/>
                <w:sz w:val="20"/>
                <w:szCs w:val="20"/>
              </w:rPr>
            </w:r>
            <w:r w:rsidR="001058B5">
              <w:rPr>
                <w:rFonts w:ascii="Arial Narrow" w:hAnsi="Arial Narrow"/>
                <w:sz w:val="20"/>
                <w:szCs w:val="20"/>
              </w:rPr>
              <w:fldChar w:fldCharType="separate"/>
            </w:r>
            <w:r w:rsidRPr="00F7711C">
              <w:rPr>
                <w:rFonts w:ascii="Arial Narrow" w:hAnsi="Arial Narrow"/>
                <w:sz w:val="20"/>
                <w:szCs w:val="20"/>
              </w:rPr>
              <w:fldChar w:fldCharType="end"/>
            </w:r>
            <w:r w:rsidRPr="00557E6C">
              <w:rPr>
                <w:rFonts w:ascii="Arial Narrow" w:hAnsi="Arial Narrow"/>
                <w:sz w:val="20"/>
                <w:szCs w:val="20"/>
              </w:rPr>
              <w:t>Authority Required – Emergency</w:t>
            </w:r>
          </w:p>
          <w:p w:rsidR="00294DFB" w:rsidRPr="00557E6C" w:rsidRDefault="00294DFB" w:rsidP="00557E6C">
            <w:pPr>
              <w:rPr>
                <w:rFonts w:ascii="Arial Narrow" w:hAnsi="Arial Narrow"/>
                <w:sz w:val="20"/>
                <w:szCs w:val="20"/>
              </w:rPr>
            </w:pPr>
            <w:r w:rsidRPr="00F7711C">
              <w:rPr>
                <w:rFonts w:ascii="Arial Narrow" w:hAnsi="Arial Narrow"/>
                <w:sz w:val="20"/>
                <w:szCs w:val="20"/>
              </w:rPr>
              <w:fldChar w:fldCharType="begin">
                <w:ffData>
                  <w:name w:val="Check5"/>
                  <w:enabled/>
                  <w:calcOnExit w:val="0"/>
                  <w:checkBox>
                    <w:sizeAuto/>
                    <w:default w:val="0"/>
                  </w:checkBox>
                </w:ffData>
              </w:fldChar>
            </w:r>
            <w:r w:rsidRPr="00557E6C">
              <w:rPr>
                <w:rFonts w:ascii="Arial Narrow" w:hAnsi="Arial Narrow"/>
                <w:sz w:val="20"/>
                <w:szCs w:val="20"/>
              </w:rPr>
              <w:instrText xml:space="preserve"> FORMCHECKBOX </w:instrText>
            </w:r>
            <w:r w:rsidR="001058B5">
              <w:rPr>
                <w:rFonts w:ascii="Arial Narrow" w:hAnsi="Arial Narrow"/>
                <w:sz w:val="20"/>
                <w:szCs w:val="20"/>
              </w:rPr>
            </w:r>
            <w:r w:rsidR="001058B5">
              <w:rPr>
                <w:rFonts w:ascii="Arial Narrow" w:hAnsi="Arial Narrow"/>
                <w:sz w:val="20"/>
                <w:szCs w:val="20"/>
              </w:rPr>
              <w:fldChar w:fldCharType="separate"/>
            </w:r>
            <w:r w:rsidRPr="00F7711C">
              <w:rPr>
                <w:rFonts w:ascii="Arial Narrow" w:hAnsi="Arial Narrow"/>
                <w:sz w:val="20"/>
                <w:szCs w:val="20"/>
              </w:rPr>
              <w:fldChar w:fldCharType="end"/>
            </w:r>
            <w:r w:rsidRPr="00557E6C">
              <w:rPr>
                <w:rFonts w:ascii="Arial Narrow" w:hAnsi="Arial Narrow"/>
                <w:sz w:val="20"/>
                <w:szCs w:val="20"/>
              </w:rPr>
              <w:t>Authority Required - Electronic</w:t>
            </w:r>
          </w:p>
          <w:p w:rsidR="00294DFB" w:rsidRPr="00557E6C" w:rsidRDefault="00294DFB" w:rsidP="00557E6C">
            <w:pPr>
              <w:rPr>
                <w:rFonts w:ascii="Arial Narrow" w:hAnsi="Arial Narrow"/>
                <w:sz w:val="20"/>
                <w:szCs w:val="20"/>
              </w:rPr>
            </w:pPr>
            <w:r w:rsidRPr="00F7711C">
              <w:rPr>
                <w:rFonts w:ascii="Arial Narrow" w:hAnsi="Arial Narrow"/>
                <w:sz w:val="20"/>
                <w:szCs w:val="20"/>
              </w:rPr>
              <w:fldChar w:fldCharType="begin">
                <w:ffData>
                  <w:name w:val="Check5"/>
                  <w:enabled/>
                  <w:calcOnExit w:val="0"/>
                  <w:checkBox>
                    <w:sizeAuto/>
                    <w:default w:val="1"/>
                  </w:checkBox>
                </w:ffData>
              </w:fldChar>
            </w:r>
            <w:r w:rsidRPr="00557E6C">
              <w:rPr>
                <w:rFonts w:ascii="Arial Narrow" w:hAnsi="Arial Narrow"/>
                <w:sz w:val="20"/>
                <w:szCs w:val="20"/>
              </w:rPr>
              <w:instrText xml:space="preserve"> FORMCHECKBOX </w:instrText>
            </w:r>
            <w:r w:rsidR="001058B5">
              <w:rPr>
                <w:rFonts w:ascii="Arial Narrow" w:hAnsi="Arial Narrow"/>
                <w:sz w:val="20"/>
                <w:szCs w:val="20"/>
              </w:rPr>
            </w:r>
            <w:r w:rsidR="001058B5">
              <w:rPr>
                <w:rFonts w:ascii="Arial Narrow" w:hAnsi="Arial Narrow"/>
                <w:sz w:val="20"/>
                <w:szCs w:val="20"/>
              </w:rPr>
              <w:fldChar w:fldCharType="separate"/>
            </w:r>
            <w:r w:rsidRPr="00F7711C">
              <w:rPr>
                <w:rFonts w:ascii="Arial Narrow" w:hAnsi="Arial Narrow"/>
                <w:sz w:val="20"/>
                <w:szCs w:val="20"/>
              </w:rPr>
              <w:fldChar w:fldCharType="end"/>
            </w:r>
            <w:r w:rsidRPr="00557E6C">
              <w:rPr>
                <w:rFonts w:ascii="Arial Narrow" w:hAnsi="Arial Narrow"/>
                <w:sz w:val="20"/>
                <w:szCs w:val="20"/>
              </w:rPr>
              <w:t>Streamlined</w:t>
            </w:r>
          </w:p>
        </w:tc>
      </w:tr>
      <w:tr w:rsidR="00294DFB" w:rsidRPr="00557E6C" w:rsidTr="00557E6C">
        <w:trPr>
          <w:cantSplit/>
          <w:trHeight w:val="360"/>
        </w:trPr>
        <w:tc>
          <w:tcPr>
            <w:tcW w:w="3261" w:type="dxa"/>
            <w:tcBorders>
              <w:top w:val="single" w:sz="4" w:space="0" w:color="auto"/>
              <w:left w:val="single" w:sz="4" w:space="0" w:color="auto"/>
              <w:bottom w:val="single" w:sz="4" w:space="0" w:color="auto"/>
              <w:right w:val="single" w:sz="4" w:space="0" w:color="auto"/>
            </w:tcBorders>
          </w:tcPr>
          <w:p w:rsidR="00294DFB" w:rsidRPr="00557E6C" w:rsidRDefault="00294DFB" w:rsidP="00557E6C">
            <w:pPr>
              <w:rPr>
                <w:rFonts w:ascii="Arial Narrow" w:hAnsi="Arial Narrow"/>
                <w:b/>
                <w:sz w:val="20"/>
                <w:szCs w:val="20"/>
              </w:rPr>
            </w:pPr>
            <w:r w:rsidRPr="00557E6C">
              <w:rPr>
                <w:rFonts w:ascii="Arial Narrow" w:hAnsi="Arial Narrow"/>
                <w:b/>
                <w:sz w:val="20"/>
                <w:szCs w:val="20"/>
              </w:rPr>
              <w:t>Treatment criteria:</w:t>
            </w:r>
          </w:p>
        </w:tc>
        <w:tc>
          <w:tcPr>
            <w:tcW w:w="5811" w:type="dxa"/>
            <w:tcBorders>
              <w:top w:val="single" w:sz="4" w:space="0" w:color="auto"/>
              <w:left w:val="single" w:sz="4" w:space="0" w:color="auto"/>
              <w:bottom w:val="single" w:sz="4" w:space="0" w:color="auto"/>
              <w:right w:val="single" w:sz="4" w:space="0" w:color="auto"/>
            </w:tcBorders>
          </w:tcPr>
          <w:p w:rsidR="00294DFB" w:rsidRPr="00557E6C" w:rsidRDefault="00294DFB" w:rsidP="00557E6C">
            <w:pPr>
              <w:rPr>
                <w:rFonts w:ascii="Arial Narrow" w:hAnsi="Arial Narrow"/>
                <w:sz w:val="20"/>
                <w:szCs w:val="20"/>
              </w:rPr>
            </w:pPr>
            <w:r w:rsidRPr="00557E6C">
              <w:rPr>
                <w:rFonts w:ascii="Arial Narrow" w:hAnsi="Arial Narrow"/>
                <w:sz w:val="20"/>
                <w:szCs w:val="20"/>
              </w:rPr>
              <w:t>-</w:t>
            </w:r>
          </w:p>
        </w:tc>
      </w:tr>
      <w:tr w:rsidR="00294DFB" w:rsidRPr="00557E6C" w:rsidTr="00557E6C">
        <w:trPr>
          <w:cantSplit/>
          <w:trHeight w:val="360"/>
        </w:trPr>
        <w:tc>
          <w:tcPr>
            <w:tcW w:w="3261" w:type="dxa"/>
            <w:tcBorders>
              <w:top w:val="single" w:sz="4" w:space="0" w:color="auto"/>
              <w:left w:val="single" w:sz="4" w:space="0" w:color="auto"/>
              <w:bottom w:val="single" w:sz="4" w:space="0" w:color="auto"/>
              <w:right w:val="single" w:sz="4" w:space="0" w:color="auto"/>
            </w:tcBorders>
          </w:tcPr>
          <w:p w:rsidR="00294DFB" w:rsidRPr="00557E6C" w:rsidRDefault="00294DFB" w:rsidP="00557E6C">
            <w:pPr>
              <w:rPr>
                <w:rFonts w:ascii="Arial Narrow" w:hAnsi="Arial Narrow"/>
                <w:sz w:val="20"/>
                <w:szCs w:val="20"/>
              </w:rPr>
            </w:pPr>
            <w:r w:rsidRPr="00557E6C">
              <w:rPr>
                <w:rFonts w:ascii="Arial Narrow" w:hAnsi="Arial Narrow"/>
                <w:b/>
                <w:sz w:val="20"/>
                <w:szCs w:val="20"/>
              </w:rPr>
              <w:t>Clinical criteria:</w:t>
            </w:r>
          </w:p>
        </w:tc>
        <w:tc>
          <w:tcPr>
            <w:tcW w:w="5811" w:type="dxa"/>
            <w:tcBorders>
              <w:top w:val="single" w:sz="4" w:space="0" w:color="auto"/>
              <w:left w:val="single" w:sz="4" w:space="0" w:color="auto"/>
              <w:bottom w:val="single" w:sz="4" w:space="0" w:color="auto"/>
              <w:right w:val="single" w:sz="4" w:space="0" w:color="auto"/>
            </w:tcBorders>
          </w:tcPr>
          <w:p w:rsidR="00294DFB" w:rsidRPr="00557E6C" w:rsidRDefault="00294DFB" w:rsidP="00557E6C">
            <w:pPr>
              <w:rPr>
                <w:rFonts w:ascii="Arial Narrow" w:hAnsi="Arial Narrow"/>
                <w:sz w:val="20"/>
              </w:rPr>
            </w:pPr>
            <w:r w:rsidRPr="00557E6C">
              <w:rPr>
                <w:rFonts w:ascii="Arial Narrow" w:hAnsi="Arial Narrow"/>
                <w:sz w:val="20"/>
              </w:rPr>
              <w:t>Patients must have previously received non-PBS subsidised treatment with this drug for this condition prior to [PBS listing date]</w:t>
            </w:r>
          </w:p>
          <w:p w:rsidR="00294DFB" w:rsidRPr="00557E6C" w:rsidRDefault="00294DFB" w:rsidP="00557E6C">
            <w:pPr>
              <w:rPr>
                <w:rFonts w:ascii="Arial Narrow" w:hAnsi="Arial Narrow"/>
                <w:sz w:val="20"/>
              </w:rPr>
            </w:pPr>
            <w:r w:rsidRPr="00557E6C">
              <w:rPr>
                <w:rFonts w:ascii="Arial Narrow" w:hAnsi="Arial Narrow"/>
                <w:sz w:val="20"/>
              </w:rPr>
              <w:t>AND</w:t>
            </w:r>
          </w:p>
          <w:p w:rsidR="00294DFB" w:rsidRPr="00557E6C" w:rsidRDefault="00294DFB" w:rsidP="00557E6C">
            <w:pPr>
              <w:rPr>
                <w:rFonts w:ascii="Arial Narrow" w:hAnsi="Arial Narrow"/>
                <w:sz w:val="20"/>
                <w:szCs w:val="20"/>
              </w:rPr>
            </w:pPr>
            <w:r w:rsidRPr="00557E6C">
              <w:rPr>
                <w:rFonts w:ascii="Arial Narrow" w:hAnsi="Arial Narrow"/>
                <w:sz w:val="20"/>
                <w:szCs w:val="20"/>
              </w:rPr>
              <w:t>The treatment must be the sole PBS-subsidised therapy for this condition.</w:t>
            </w:r>
          </w:p>
          <w:p w:rsidR="00294DFB" w:rsidRPr="00557E6C" w:rsidRDefault="00294DFB" w:rsidP="00557E6C">
            <w:pPr>
              <w:rPr>
                <w:rFonts w:ascii="Arial Narrow" w:hAnsi="Arial Narrow"/>
                <w:sz w:val="20"/>
                <w:szCs w:val="20"/>
              </w:rPr>
            </w:pPr>
            <w:r w:rsidRPr="00557E6C">
              <w:rPr>
                <w:rFonts w:ascii="Arial Narrow" w:hAnsi="Arial Narrow"/>
                <w:sz w:val="20"/>
                <w:szCs w:val="20"/>
              </w:rPr>
              <w:t>AND</w:t>
            </w:r>
          </w:p>
          <w:p w:rsidR="00294DFB" w:rsidRPr="00557E6C" w:rsidRDefault="00294DFB" w:rsidP="00557E6C">
            <w:pPr>
              <w:rPr>
                <w:rFonts w:ascii="Arial Narrow" w:hAnsi="Arial Narrow"/>
                <w:sz w:val="20"/>
                <w:szCs w:val="20"/>
              </w:rPr>
            </w:pPr>
            <w:r w:rsidRPr="00557E6C">
              <w:rPr>
                <w:rFonts w:ascii="Arial Narrow" w:hAnsi="Arial Narrow"/>
                <w:sz w:val="20"/>
                <w:szCs w:val="20"/>
              </w:rPr>
              <w:t xml:space="preserve">Patient must not be suitable for </w:t>
            </w:r>
            <w:proofErr w:type="spellStart"/>
            <w:r w:rsidRPr="00557E6C">
              <w:rPr>
                <w:rFonts w:ascii="Arial Narrow" w:hAnsi="Arial Narrow"/>
                <w:sz w:val="20"/>
                <w:szCs w:val="20"/>
              </w:rPr>
              <w:t>transarterial</w:t>
            </w:r>
            <w:proofErr w:type="spellEnd"/>
            <w:r w:rsidRPr="00557E6C">
              <w:rPr>
                <w:rFonts w:ascii="Arial Narrow" w:hAnsi="Arial Narrow"/>
                <w:sz w:val="20"/>
                <w:szCs w:val="20"/>
              </w:rPr>
              <w:t xml:space="preserve"> </w:t>
            </w:r>
            <w:proofErr w:type="spellStart"/>
            <w:r w:rsidRPr="00557E6C">
              <w:rPr>
                <w:rFonts w:ascii="Arial Narrow" w:hAnsi="Arial Narrow"/>
                <w:sz w:val="20"/>
                <w:szCs w:val="20"/>
              </w:rPr>
              <w:t>chemoembolisation</w:t>
            </w:r>
            <w:proofErr w:type="spellEnd"/>
          </w:p>
          <w:p w:rsidR="00294DFB" w:rsidRPr="00557E6C" w:rsidRDefault="00294DFB" w:rsidP="00557E6C">
            <w:pPr>
              <w:rPr>
                <w:rFonts w:ascii="Arial Narrow" w:hAnsi="Arial Narrow"/>
                <w:sz w:val="20"/>
                <w:szCs w:val="20"/>
              </w:rPr>
            </w:pPr>
            <w:r w:rsidRPr="00557E6C">
              <w:rPr>
                <w:rFonts w:ascii="Arial Narrow" w:hAnsi="Arial Narrow"/>
                <w:sz w:val="20"/>
                <w:szCs w:val="20"/>
              </w:rPr>
              <w:t>AND</w:t>
            </w:r>
          </w:p>
          <w:p w:rsidR="007E7591" w:rsidRPr="00557E6C" w:rsidRDefault="00294DFB" w:rsidP="00557E6C">
            <w:pPr>
              <w:rPr>
                <w:rFonts w:ascii="Arial Narrow" w:hAnsi="Arial Narrow"/>
                <w:sz w:val="20"/>
                <w:szCs w:val="20"/>
              </w:rPr>
            </w:pPr>
            <w:r w:rsidRPr="00557E6C">
              <w:rPr>
                <w:rFonts w:ascii="Arial Narrow" w:hAnsi="Arial Narrow"/>
                <w:sz w:val="20"/>
                <w:szCs w:val="20"/>
              </w:rPr>
              <w:t xml:space="preserve">Patient must have a WHO </w:t>
            </w:r>
            <w:r w:rsidR="00BA7A69">
              <w:rPr>
                <w:rFonts w:ascii="Arial Narrow" w:hAnsi="Arial Narrow"/>
                <w:sz w:val="20"/>
                <w:szCs w:val="20"/>
              </w:rPr>
              <w:t>performance status of 2 or less</w:t>
            </w:r>
          </w:p>
          <w:p w:rsidR="00294DFB" w:rsidRPr="00557E6C" w:rsidRDefault="00294DFB" w:rsidP="00557E6C">
            <w:pPr>
              <w:rPr>
                <w:rFonts w:ascii="Arial Narrow" w:hAnsi="Arial Narrow"/>
                <w:sz w:val="20"/>
                <w:szCs w:val="20"/>
              </w:rPr>
            </w:pPr>
            <w:r w:rsidRPr="00557E6C">
              <w:rPr>
                <w:rFonts w:ascii="Arial Narrow" w:hAnsi="Arial Narrow"/>
                <w:sz w:val="20"/>
                <w:szCs w:val="20"/>
              </w:rPr>
              <w:t>AND</w:t>
            </w:r>
          </w:p>
          <w:p w:rsidR="00294DFB" w:rsidRPr="002F1842" w:rsidRDefault="00294DFB" w:rsidP="00557E6C">
            <w:pPr>
              <w:rPr>
                <w:rFonts w:ascii="Arial Narrow" w:hAnsi="Arial Narrow"/>
                <w:i/>
                <w:sz w:val="20"/>
                <w:szCs w:val="20"/>
              </w:rPr>
            </w:pPr>
            <w:r w:rsidRPr="00557E6C">
              <w:rPr>
                <w:rFonts w:ascii="Arial Narrow" w:hAnsi="Arial Narrow"/>
                <w:sz w:val="20"/>
                <w:szCs w:val="20"/>
              </w:rPr>
              <w:t>Patient must be Child-Pugh class A</w:t>
            </w:r>
          </w:p>
          <w:p w:rsidR="00294DFB" w:rsidRPr="00557E6C" w:rsidRDefault="00294DFB" w:rsidP="00557E6C">
            <w:pPr>
              <w:rPr>
                <w:rFonts w:ascii="Arial Narrow" w:hAnsi="Arial Narrow"/>
                <w:i/>
                <w:sz w:val="20"/>
                <w:szCs w:val="20"/>
              </w:rPr>
            </w:pPr>
          </w:p>
        </w:tc>
      </w:tr>
      <w:tr w:rsidR="00294DFB" w:rsidRPr="00557E6C" w:rsidTr="00557E6C">
        <w:trPr>
          <w:cantSplit/>
          <w:trHeight w:val="360"/>
        </w:trPr>
        <w:tc>
          <w:tcPr>
            <w:tcW w:w="3261" w:type="dxa"/>
            <w:tcBorders>
              <w:top w:val="single" w:sz="4" w:space="0" w:color="auto"/>
              <w:left w:val="single" w:sz="4" w:space="0" w:color="auto"/>
              <w:bottom w:val="single" w:sz="4" w:space="0" w:color="auto"/>
              <w:right w:val="single" w:sz="4" w:space="0" w:color="auto"/>
            </w:tcBorders>
          </w:tcPr>
          <w:p w:rsidR="00294DFB" w:rsidRPr="00557E6C" w:rsidRDefault="00294DFB" w:rsidP="00557E6C">
            <w:pPr>
              <w:rPr>
                <w:rFonts w:ascii="Arial Narrow" w:hAnsi="Arial Narrow"/>
                <w:b/>
                <w:sz w:val="20"/>
                <w:szCs w:val="20"/>
              </w:rPr>
            </w:pPr>
            <w:r w:rsidRPr="00557E6C">
              <w:rPr>
                <w:rFonts w:ascii="Arial Narrow" w:hAnsi="Arial Narrow"/>
                <w:b/>
                <w:sz w:val="20"/>
                <w:szCs w:val="20"/>
              </w:rPr>
              <w:t>Population criteria:</w:t>
            </w:r>
          </w:p>
        </w:tc>
        <w:tc>
          <w:tcPr>
            <w:tcW w:w="5811" w:type="dxa"/>
            <w:tcBorders>
              <w:top w:val="single" w:sz="4" w:space="0" w:color="auto"/>
              <w:left w:val="single" w:sz="4" w:space="0" w:color="auto"/>
              <w:bottom w:val="single" w:sz="4" w:space="0" w:color="auto"/>
              <w:right w:val="single" w:sz="4" w:space="0" w:color="auto"/>
            </w:tcBorders>
          </w:tcPr>
          <w:p w:rsidR="00294DFB" w:rsidRPr="00557E6C" w:rsidRDefault="00294DFB" w:rsidP="00557E6C">
            <w:pPr>
              <w:rPr>
                <w:rFonts w:ascii="Arial Narrow" w:hAnsi="Arial Narrow"/>
                <w:strike/>
                <w:sz w:val="20"/>
                <w:szCs w:val="20"/>
              </w:rPr>
            </w:pPr>
            <w:r w:rsidRPr="00557E6C">
              <w:rPr>
                <w:rFonts w:ascii="Arial Narrow" w:hAnsi="Arial Narrow"/>
                <w:strike/>
                <w:sz w:val="20"/>
                <w:szCs w:val="20"/>
              </w:rPr>
              <w:t>-</w:t>
            </w:r>
          </w:p>
        </w:tc>
      </w:tr>
      <w:tr w:rsidR="00294DFB" w:rsidRPr="00557E6C" w:rsidTr="00557E6C">
        <w:trPr>
          <w:cantSplit/>
          <w:trHeight w:val="360"/>
        </w:trPr>
        <w:tc>
          <w:tcPr>
            <w:tcW w:w="3261" w:type="dxa"/>
            <w:tcBorders>
              <w:top w:val="single" w:sz="4" w:space="0" w:color="auto"/>
              <w:left w:val="single" w:sz="4" w:space="0" w:color="auto"/>
              <w:bottom w:val="single" w:sz="4" w:space="0" w:color="auto"/>
              <w:right w:val="single" w:sz="4" w:space="0" w:color="auto"/>
            </w:tcBorders>
          </w:tcPr>
          <w:p w:rsidR="00294DFB" w:rsidRPr="00557E6C" w:rsidRDefault="00294DFB" w:rsidP="00557E6C">
            <w:pPr>
              <w:jc w:val="both"/>
              <w:rPr>
                <w:rFonts w:ascii="Arial Narrow" w:hAnsi="Arial Narrow" w:cs="Arial"/>
                <w:b/>
                <w:sz w:val="20"/>
                <w:szCs w:val="20"/>
              </w:rPr>
            </w:pPr>
            <w:r w:rsidRPr="00557E6C">
              <w:rPr>
                <w:rFonts w:ascii="Arial Narrow" w:hAnsi="Arial Narrow" w:cs="Arial"/>
                <w:b/>
                <w:sz w:val="20"/>
                <w:szCs w:val="20"/>
              </w:rPr>
              <w:t>Prescriber Instructions</w:t>
            </w:r>
          </w:p>
          <w:p w:rsidR="00294DFB" w:rsidRPr="00557E6C" w:rsidRDefault="00294DFB" w:rsidP="00557E6C">
            <w:pPr>
              <w:rPr>
                <w:rFonts w:ascii="Arial Narrow" w:hAnsi="Arial Narrow"/>
                <w:b/>
                <w:sz w:val="20"/>
                <w:szCs w:val="20"/>
              </w:rPr>
            </w:pPr>
          </w:p>
        </w:tc>
        <w:tc>
          <w:tcPr>
            <w:tcW w:w="5811" w:type="dxa"/>
            <w:tcBorders>
              <w:top w:val="single" w:sz="4" w:space="0" w:color="auto"/>
              <w:left w:val="single" w:sz="4" w:space="0" w:color="auto"/>
              <w:bottom w:val="single" w:sz="4" w:space="0" w:color="auto"/>
              <w:right w:val="single" w:sz="4" w:space="0" w:color="auto"/>
            </w:tcBorders>
          </w:tcPr>
          <w:p w:rsidR="00294DFB" w:rsidRPr="00557E6C" w:rsidRDefault="00294DFB" w:rsidP="00557E6C">
            <w:pPr>
              <w:rPr>
                <w:rFonts w:ascii="Arial Narrow" w:hAnsi="Arial Narrow" w:cs="Arial"/>
                <w:sz w:val="20"/>
                <w:szCs w:val="20"/>
              </w:rPr>
            </w:pPr>
            <w:r w:rsidRPr="00557E6C">
              <w:rPr>
                <w:rFonts w:ascii="Arial Narrow" w:hAnsi="Arial Narrow" w:cs="Arial"/>
                <w:sz w:val="20"/>
                <w:szCs w:val="20"/>
              </w:rPr>
              <w:t>A patient may qualify for PBS-subsidised treatment under this restriction once only. For continuing PBS-subsidised treatment, a Grandfathered patient must qualify under the Continuing treatment criteria.</w:t>
            </w:r>
          </w:p>
        </w:tc>
      </w:tr>
      <w:tr w:rsidR="00294DFB" w:rsidRPr="00557E6C" w:rsidTr="00557E6C">
        <w:trPr>
          <w:cantSplit/>
          <w:trHeight w:val="360"/>
        </w:trPr>
        <w:tc>
          <w:tcPr>
            <w:tcW w:w="3261" w:type="dxa"/>
            <w:tcBorders>
              <w:top w:val="single" w:sz="4" w:space="0" w:color="auto"/>
              <w:left w:val="single" w:sz="4" w:space="0" w:color="auto"/>
              <w:bottom w:val="single" w:sz="4" w:space="0" w:color="auto"/>
              <w:right w:val="single" w:sz="4" w:space="0" w:color="auto"/>
            </w:tcBorders>
          </w:tcPr>
          <w:p w:rsidR="00294DFB" w:rsidRPr="00557E6C" w:rsidRDefault="00294DFB" w:rsidP="00557E6C">
            <w:pPr>
              <w:rPr>
                <w:rFonts w:ascii="Arial Narrow" w:hAnsi="Arial Narrow"/>
                <w:i/>
                <w:sz w:val="20"/>
                <w:szCs w:val="20"/>
              </w:rPr>
            </w:pPr>
            <w:r w:rsidRPr="00557E6C">
              <w:rPr>
                <w:rFonts w:ascii="Arial Narrow" w:hAnsi="Arial Narrow"/>
                <w:b/>
                <w:sz w:val="20"/>
                <w:szCs w:val="20"/>
              </w:rPr>
              <w:t>Administrative Advice</w:t>
            </w:r>
          </w:p>
        </w:tc>
        <w:tc>
          <w:tcPr>
            <w:tcW w:w="5811" w:type="dxa"/>
            <w:tcBorders>
              <w:top w:val="single" w:sz="4" w:space="0" w:color="auto"/>
              <w:left w:val="single" w:sz="4" w:space="0" w:color="auto"/>
              <w:bottom w:val="single" w:sz="4" w:space="0" w:color="auto"/>
              <w:right w:val="single" w:sz="4" w:space="0" w:color="auto"/>
            </w:tcBorders>
          </w:tcPr>
          <w:p w:rsidR="00294DFB" w:rsidRPr="00557E6C" w:rsidRDefault="00294DFB" w:rsidP="00557E6C">
            <w:pPr>
              <w:rPr>
                <w:rFonts w:ascii="Arial Narrow" w:hAnsi="Arial Narrow"/>
                <w:sz w:val="20"/>
                <w:szCs w:val="20"/>
              </w:rPr>
            </w:pPr>
            <w:r w:rsidRPr="00557E6C">
              <w:rPr>
                <w:rFonts w:ascii="Arial Narrow" w:hAnsi="Arial Narrow"/>
                <w:sz w:val="20"/>
                <w:szCs w:val="20"/>
              </w:rPr>
              <w:t>No increase in the maximum number of repeats may be authorised.</w:t>
            </w:r>
          </w:p>
          <w:p w:rsidR="00294DFB" w:rsidRPr="00557E6C" w:rsidRDefault="00294DFB" w:rsidP="00557E6C">
            <w:pPr>
              <w:rPr>
                <w:rFonts w:ascii="Arial Narrow" w:hAnsi="Arial Narrow"/>
                <w:i/>
                <w:sz w:val="20"/>
                <w:szCs w:val="20"/>
              </w:rPr>
            </w:pPr>
            <w:r w:rsidRPr="00557E6C">
              <w:rPr>
                <w:rFonts w:ascii="Arial Narrow" w:hAnsi="Arial Narrow"/>
                <w:sz w:val="20"/>
                <w:szCs w:val="20"/>
              </w:rPr>
              <w:t>Special Pricing Arrangements apply</w:t>
            </w:r>
          </w:p>
        </w:tc>
      </w:tr>
    </w:tbl>
    <w:p w:rsidR="00372360" w:rsidRDefault="00372360" w:rsidP="00F85EF7">
      <w:pPr>
        <w:rPr>
          <w:rFonts w:ascii="Arial Narrow" w:hAnsi="Arial Narrow"/>
          <w:sz w:val="20"/>
          <w:szCs w:val="20"/>
        </w:rPr>
      </w:pPr>
    </w:p>
    <w:p w:rsidR="00372360" w:rsidRDefault="00372360" w:rsidP="00372360">
      <w:r>
        <w:br w:type="page"/>
      </w:r>
    </w:p>
    <w:p w:rsidR="00EB186D" w:rsidRPr="00557E6C" w:rsidRDefault="00EB186D" w:rsidP="00F85EF7">
      <w:pPr>
        <w:rPr>
          <w:rFonts w:ascii="Arial Narrow" w:hAnsi="Arial Narrow"/>
          <w:sz w:val="20"/>
          <w:szCs w:val="20"/>
        </w:rPr>
      </w:pPr>
    </w:p>
    <w:tbl>
      <w:tblPr>
        <w:tblW w:w="9072" w:type="dxa"/>
        <w:tblInd w:w="108" w:type="dxa"/>
        <w:tblLayout w:type="fixed"/>
        <w:tblLook w:val="0000" w:firstRow="0" w:lastRow="0" w:firstColumn="0" w:lastColumn="0" w:noHBand="0" w:noVBand="0"/>
      </w:tblPr>
      <w:tblGrid>
        <w:gridCol w:w="3261"/>
        <w:gridCol w:w="850"/>
        <w:gridCol w:w="851"/>
        <w:gridCol w:w="992"/>
        <w:gridCol w:w="1701"/>
        <w:gridCol w:w="1417"/>
      </w:tblGrid>
      <w:tr w:rsidR="00F85EF7" w:rsidRPr="00557E6C" w:rsidTr="00372360">
        <w:trPr>
          <w:cantSplit/>
          <w:trHeight w:val="471"/>
        </w:trPr>
        <w:tc>
          <w:tcPr>
            <w:tcW w:w="4111" w:type="dxa"/>
            <w:gridSpan w:val="2"/>
            <w:tcBorders>
              <w:top w:val="single" w:sz="4" w:space="0" w:color="auto"/>
              <w:bottom w:val="single" w:sz="4" w:space="0" w:color="auto"/>
            </w:tcBorders>
          </w:tcPr>
          <w:p w:rsidR="00F85EF7" w:rsidRPr="00372360" w:rsidRDefault="00F85EF7" w:rsidP="00557E6C">
            <w:pPr>
              <w:keepNext/>
              <w:ind w:left="-108"/>
              <w:rPr>
                <w:rFonts w:ascii="Arial Narrow" w:hAnsi="Arial Narrow"/>
                <w:b/>
                <w:sz w:val="20"/>
                <w:szCs w:val="20"/>
              </w:rPr>
            </w:pPr>
            <w:r w:rsidRPr="00372360">
              <w:rPr>
                <w:rFonts w:ascii="Arial Narrow" w:hAnsi="Arial Narrow"/>
                <w:b/>
                <w:sz w:val="20"/>
                <w:szCs w:val="20"/>
              </w:rPr>
              <w:t>Name, Restriction,</w:t>
            </w:r>
          </w:p>
          <w:p w:rsidR="00F85EF7" w:rsidRPr="00372360" w:rsidRDefault="00F85EF7" w:rsidP="00557E6C">
            <w:pPr>
              <w:keepNext/>
              <w:ind w:left="-108"/>
              <w:rPr>
                <w:rFonts w:ascii="Arial Narrow" w:hAnsi="Arial Narrow"/>
                <w:b/>
                <w:sz w:val="20"/>
                <w:szCs w:val="20"/>
              </w:rPr>
            </w:pPr>
            <w:r w:rsidRPr="00372360">
              <w:rPr>
                <w:rFonts w:ascii="Arial Narrow" w:hAnsi="Arial Narrow"/>
                <w:b/>
                <w:sz w:val="20"/>
                <w:szCs w:val="20"/>
              </w:rPr>
              <w:t>Manner of administration and form</w:t>
            </w:r>
          </w:p>
        </w:tc>
        <w:tc>
          <w:tcPr>
            <w:tcW w:w="851" w:type="dxa"/>
            <w:tcBorders>
              <w:top w:val="single" w:sz="4" w:space="0" w:color="auto"/>
              <w:bottom w:val="single" w:sz="4" w:space="0" w:color="auto"/>
            </w:tcBorders>
          </w:tcPr>
          <w:p w:rsidR="00F85EF7" w:rsidRPr="00372360" w:rsidRDefault="00F85EF7" w:rsidP="00557E6C">
            <w:pPr>
              <w:keepNext/>
              <w:ind w:left="-108"/>
              <w:rPr>
                <w:rFonts w:ascii="Arial Narrow" w:hAnsi="Arial Narrow"/>
                <w:b/>
                <w:sz w:val="20"/>
                <w:szCs w:val="20"/>
              </w:rPr>
            </w:pPr>
            <w:r w:rsidRPr="00372360">
              <w:rPr>
                <w:rFonts w:ascii="Arial Narrow" w:hAnsi="Arial Narrow"/>
                <w:b/>
                <w:sz w:val="20"/>
                <w:szCs w:val="20"/>
              </w:rPr>
              <w:t>Max.</w:t>
            </w:r>
          </w:p>
          <w:p w:rsidR="00F85EF7" w:rsidRPr="00372360" w:rsidRDefault="00F85EF7" w:rsidP="00557E6C">
            <w:pPr>
              <w:keepNext/>
              <w:ind w:left="-108"/>
              <w:rPr>
                <w:rFonts w:ascii="Arial Narrow" w:hAnsi="Arial Narrow"/>
                <w:b/>
                <w:sz w:val="20"/>
                <w:szCs w:val="20"/>
              </w:rPr>
            </w:pPr>
            <w:proofErr w:type="spellStart"/>
            <w:r w:rsidRPr="00372360">
              <w:rPr>
                <w:rFonts w:ascii="Arial Narrow" w:hAnsi="Arial Narrow"/>
                <w:b/>
                <w:sz w:val="20"/>
                <w:szCs w:val="20"/>
              </w:rPr>
              <w:t>Qty</w:t>
            </w:r>
            <w:proofErr w:type="spellEnd"/>
          </w:p>
        </w:tc>
        <w:tc>
          <w:tcPr>
            <w:tcW w:w="992" w:type="dxa"/>
            <w:tcBorders>
              <w:top w:val="single" w:sz="4" w:space="0" w:color="auto"/>
              <w:bottom w:val="single" w:sz="4" w:space="0" w:color="auto"/>
            </w:tcBorders>
          </w:tcPr>
          <w:p w:rsidR="00F85EF7" w:rsidRPr="00372360" w:rsidRDefault="00F85EF7" w:rsidP="00557E6C">
            <w:pPr>
              <w:keepNext/>
              <w:ind w:left="-108"/>
              <w:rPr>
                <w:rFonts w:ascii="Arial Narrow" w:hAnsi="Arial Narrow"/>
                <w:b/>
                <w:sz w:val="20"/>
                <w:szCs w:val="20"/>
              </w:rPr>
            </w:pPr>
            <w:r w:rsidRPr="00372360">
              <w:rPr>
                <w:rFonts w:ascii="Arial Narrow" w:hAnsi="Arial Narrow"/>
                <w:b/>
                <w:sz w:val="20"/>
                <w:szCs w:val="20"/>
              </w:rPr>
              <w:t>№.of</w:t>
            </w:r>
          </w:p>
          <w:p w:rsidR="00F85EF7" w:rsidRPr="00372360" w:rsidRDefault="00F85EF7" w:rsidP="00557E6C">
            <w:pPr>
              <w:keepNext/>
              <w:ind w:left="-108"/>
              <w:rPr>
                <w:rFonts w:ascii="Arial Narrow" w:hAnsi="Arial Narrow"/>
                <w:b/>
                <w:sz w:val="20"/>
                <w:szCs w:val="20"/>
              </w:rPr>
            </w:pPr>
            <w:proofErr w:type="spellStart"/>
            <w:r w:rsidRPr="00372360">
              <w:rPr>
                <w:rFonts w:ascii="Arial Narrow" w:hAnsi="Arial Narrow"/>
                <w:b/>
                <w:sz w:val="20"/>
                <w:szCs w:val="20"/>
              </w:rPr>
              <w:t>Rpts</w:t>
            </w:r>
            <w:proofErr w:type="spellEnd"/>
          </w:p>
        </w:tc>
        <w:tc>
          <w:tcPr>
            <w:tcW w:w="3118" w:type="dxa"/>
            <w:gridSpan w:val="2"/>
            <w:tcBorders>
              <w:top w:val="single" w:sz="4" w:space="0" w:color="auto"/>
              <w:bottom w:val="single" w:sz="4" w:space="0" w:color="auto"/>
            </w:tcBorders>
          </w:tcPr>
          <w:p w:rsidR="00F85EF7" w:rsidRPr="00372360" w:rsidRDefault="00F85EF7" w:rsidP="00557E6C">
            <w:pPr>
              <w:keepNext/>
              <w:rPr>
                <w:rFonts w:ascii="Arial Narrow" w:hAnsi="Arial Narrow"/>
                <w:b/>
                <w:sz w:val="20"/>
                <w:szCs w:val="20"/>
              </w:rPr>
            </w:pPr>
            <w:r w:rsidRPr="00372360">
              <w:rPr>
                <w:rFonts w:ascii="Arial Narrow" w:hAnsi="Arial Narrow"/>
                <w:b/>
                <w:sz w:val="20"/>
                <w:szCs w:val="20"/>
              </w:rPr>
              <w:t>Proprietary Name and Manufacturer</w:t>
            </w:r>
          </w:p>
        </w:tc>
      </w:tr>
      <w:tr w:rsidR="00F85EF7" w:rsidRPr="00557E6C" w:rsidTr="00372360">
        <w:trPr>
          <w:cantSplit/>
          <w:trHeight w:val="411"/>
        </w:trPr>
        <w:tc>
          <w:tcPr>
            <w:tcW w:w="4111" w:type="dxa"/>
            <w:gridSpan w:val="2"/>
            <w:tcBorders>
              <w:top w:val="single" w:sz="4" w:space="0" w:color="auto"/>
            </w:tcBorders>
          </w:tcPr>
          <w:p w:rsidR="00F85EF7" w:rsidRPr="00557E6C" w:rsidRDefault="00F85EF7" w:rsidP="00557E6C">
            <w:pPr>
              <w:keepNext/>
              <w:ind w:left="-108"/>
              <w:rPr>
                <w:rFonts w:ascii="Arial Narrow" w:hAnsi="Arial Narrow"/>
                <w:sz w:val="20"/>
                <w:szCs w:val="20"/>
              </w:rPr>
            </w:pPr>
            <w:r w:rsidRPr="00557E6C">
              <w:rPr>
                <w:rFonts w:ascii="Arial Narrow" w:hAnsi="Arial Narrow"/>
                <w:smallCaps/>
                <w:sz w:val="20"/>
                <w:szCs w:val="20"/>
              </w:rPr>
              <w:t>Lenvatinib</w:t>
            </w:r>
          </w:p>
          <w:p w:rsidR="00F85EF7" w:rsidRPr="00557E6C" w:rsidRDefault="00F85EF7" w:rsidP="00557E6C">
            <w:pPr>
              <w:keepNext/>
              <w:ind w:left="-108"/>
              <w:rPr>
                <w:rFonts w:ascii="Arial Narrow" w:hAnsi="Arial Narrow"/>
                <w:sz w:val="20"/>
                <w:szCs w:val="20"/>
              </w:rPr>
            </w:pPr>
            <w:r w:rsidRPr="00557E6C">
              <w:rPr>
                <w:rFonts w:ascii="Arial Narrow" w:hAnsi="Arial Narrow"/>
                <w:sz w:val="20"/>
                <w:szCs w:val="20"/>
              </w:rPr>
              <w:t>Capsule, 4 mg</w:t>
            </w:r>
          </w:p>
        </w:tc>
        <w:tc>
          <w:tcPr>
            <w:tcW w:w="851" w:type="dxa"/>
            <w:tcBorders>
              <w:top w:val="single" w:sz="4" w:space="0" w:color="auto"/>
            </w:tcBorders>
          </w:tcPr>
          <w:p w:rsidR="00F85EF7" w:rsidRPr="00557E6C" w:rsidRDefault="00F85EF7" w:rsidP="00557E6C">
            <w:pPr>
              <w:keepNext/>
              <w:ind w:left="-108"/>
              <w:rPr>
                <w:rFonts w:ascii="Arial Narrow" w:hAnsi="Arial Narrow"/>
                <w:sz w:val="20"/>
                <w:szCs w:val="20"/>
              </w:rPr>
            </w:pPr>
          </w:p>
          <w:p w:rsidR="00F85EF7" w:rsidRPr="00557E6C" w:rsidRDefault="00F85EF7" w:rsidP="00557E6C">
            <w:pPr>
              <w:keepNext/>
              <w:ind w:left="-108"/>
              <w:rPr>
                <w:rFonts w:ascii="Arial Narrow" w:hAnsi="Arial Narrow"/>
                <w:sz w:val="20"/>
                <w:szCs w:val="20"/>
              </w:rPr>
            </w:pPr>
            <w:r w:rsidRPr="00557E6C">
              <w:rPr>
                <w:rFonts w:ascii="Arial Narrow" w:hAnsi="Arial Narrow"/>
                <w:sz w:val="20"/>
                <w:szCs w:val="20"/>
              </w:rPr>
              <w:t>90</w:t>
            </w:r>
          </w:p>
        </w:tc>
        <w:tc>
          <w:tcPr>
            <w:tcW w:w="992" w:type="dxa"/>
            <w:tcBorders>
              <w:top w:val="single" w:sz="4" w:space="0" w:color="auto"/>
            </w:tcBorders>
          </w:tcPr>
          <w:p w:rsidR="00F85EF7" w:rsidRPr="00557E6C" w:rsidRDefault="00F85EF7" w:rsidP="00557E6C">
            <w:pPr>
              <w:keepNext/>
              <w:ind w:left="-108"/>
              <w:rPr>
                <w:rFonts w:ascii="Arial Narrow" w:hAnsi="Arial Narrow"/>
                <w:sz w:val="20"/>
                <w:szCs w:val="20"/>
              </w:rPr>
            </w:pPr>
          </w:p>
          <w:p w:rsidR="00F85EF7" w:rsidRPr="00557E6C" w:rsidRDefault="00F85EF7" w:rsidP="00557E6C">
            <w:pPr>
              <w:keepNext/>
              <w:ind w:left="-108"/>
              <w:rPr>
                <w:rFonts w:ascii="Arial Narrow" w:hAnsi="Arial Narrow"/>
                <w:sz w:val="20"/>
                <w:szCs w:val="20"/>
              </w:rPr>
            </w:pPr>
            <w:r w:rsidRPr="00557E6C">
              <w:rPr>
                <w:rFonts w:ascii="Arial Narrow" w:hAnsi="Arial Narrow"/>
                <w:sz w:val="20"/>
                <w:szCs w:val="20"/>
              </w:rPr>
              <w:t>2</w:t>
            </w:r>
          </w:p>
        </w:tc>
        <w:tc>
          <w:tcPr>
            <w:tcW w:w="1701" w:type="dxa"/>
            <w:tcBorders>
              <w:top w:val="single" w:sz="4" w:space="0" w:color="auto"/>
            </w:tcBorders>
          </w:tcPr>
          <w:p w:rsidR="00F85EF7" w:rsidRPr="00557E6C" w:rsidRDefault="00F85EF7" w:rsidP="00557E6C">
            <w:pPr>
              <w:keepNext/>
              <w:rPr>
                <w:rFonts w:ascii="Arial Narrow" w:hAnsi="Arial Narrow"/>
                <w:sz w:val="20"/>
                <w:szCs w:val="20"/>
              </w:rPr>
            </w:pPr>
            <w:proofErr w:type="spellStart"/>
            <w:r w:rsidRPr="00557E6C">
              <w:rPr>
                <w:rFonts w:ascii="Arial Narrow" w:hAnsi="Arial Narrow"/>
                <w:sz w:val="20"/>
                <w:szCs w:val="20"/>
              </w:rPr>
              <w:t>Lenvima</w:t>
            </w:r>
            <w:proofErr w:type="spellEnd"/>
            <w:r w:rsidRPr="00557E6C">
              <w:rPr>
                <w:rFonts w:ascii="Arial Narrow" w:hAnsi="Arial Narrow"/>
                <w:sz w:val="20"/>
                <w:szCs w:val="20"/>
              </w:rPr>
              <w:t>®</w:t>
            </w:r>
          </w:p>
        </w:tc>
        <w:tc>
          <w:tcPr>
            <w:tcW w:w="1417" w:type="dxa"/>
            <w:tcBorders>
              <w:top w:val="single" w:sz="4" w:space="0" w:color="auto"/>
            </w:tcBorders>
          </w:tcPr>
          <w:p w:rsidR="00F85EF7" w:rsidRPr="00557E6C" w:rsidRDefault="00F85EF7" w:rsidP="00557E6C">
            <w:pPr>
              <w:keepNext/>
              <w:rPr>
                <w:rFonts w:ascii="Arial Narrow" w:hAnsi="Arial Narrow"/>
                <w:sz w:val="20"/>
                <w:szCs w:val="20"/>
              </w:rPr>
            </w:pPr>
            <w:r w:rsidRPr="00557E6C">
              <w:rPr>
                <w:rFonts w:ascii="Arial Narrow" w:hAnsi="Arial Narrow"/>
                <w:sz w:val="20"/>
                <w:szCs w:val="20"/>
              </w:rPr>
              <w:t>Eisai Australia Pty Ltd</w:t>
            </w:r>
          </w:p>
        </w:tc>
      </w:tr>
      <w:tr w:rsidR="00F85EF7" w:rsidRPr="00557E6C" w:rsidTr="00372360">
        <w:trPr>
          <w:cantSplit/>
          <w:trHeight w:val="360"/>
        </w:trPr>
        <w:tc>
          <w:tcPr>
            <w:tcW w:w="9072" w:type="dxa"/>
            <w:gridSpan w:val="6"/>
            <w:tcBorders>
              <w:bottom w:val="single" w:sz="4" w:space="0" w:color="auto"/>
            </w:tcBorders>
          </w:tcPr>
          <w:p w:rsidR="00F85EF7" w:rsidRPr="00557E6C" w:rsidRDefault="00F85EF7" w:rsidP="00557E6C">
            <w:pPr>
              <w:rPr>
                <w:rFonts w:ascii="Arial Narrow" w:hAnsi="Arial Narrow"/>
                <w:sz w:val="20"/>
                <w:szCs w:val="20"/>
              </w:rPr>
            </w:pPr>
          </w:p>
        </w:tc>
      </w:tr>
      <w:tr w:rsidR="00F85EF7" w:rsidRPr="00557E6C" w:rsidTr="00557E6C">
        <w:trPr>
          <w:cantSplit/>
          <w:trHeight w:val="360"/>
        </w:trPr>
        <w:tc>
          <w:tcPr>
            <w:tcW w:w="3261" w:type="dxa"/>
            <w:tcBorders>
              <w:top w:val="single" w:sz="4" w:space="0" w:color="auto"/>
              <w:left w:val="single" w:sz="4" w:space="0" w:color="auto"/>
              <w:bottom w:val="single" w:sz="4" w:space="0" w:color="auto"/>
              <w:right w:val="single" w:sz="4" w:space="0" w:color="auto"/>
            </w:tcBorders>
          </w:tcPr>
          <w:p w:rsidR="00F85EF7" w:rsidRPr="00557E6C" w:rsidRDefault="00F85EF7" w:rsidP="00557E6C">
            <w:pPr>
              <w:pStyle w:val="Tabletext"/>
              <w:rPr>
                <w:b/>
                <w:i/>
              </w:rPr>
            </w:pPr>
            <w:r w:rsidRPr="00557E6C">
              <w:rPr>
                <w:rFonts w:ascii="Arial Narrow" w:hAnsi="Arial Narrow"/>
                <w:b/>
                <w:i/>
                <w:lang w:eastAsia="en-AU"/>
              </w:rPr>
              <w:t>Category / Program</w:t>
            </w:r>
          </w:p>
        </w:tc>
        <w:tc>
          <w:tcPr>
            <w:tcW w:w="5811" w:type="dxa"/>
            <w:gridSpan w:val="5"/>
            <w:tcBorders>
              <w:top w:val="single" w:sz="4" w:space="0" w:color="auto"/>
              <w:left w:val="single" w:sz="4" w:space="0" w:color="auto"/>
              <w:bottom w:val="single" w:sz="4" w:space="0" w:color="auto"/>
              <w:right w:val="single" w:sz="4" w:space="0" w:color="auto"/>
            </w:tcBorders>
          </w:tcPr>
          <w:p w:rsidR="00F85EF7" w:rsidRPr="00557E6C" w:rsidRDefault="00F85EF7" w:rsidP="00557E6C">
            <w:pPr>
              <w:pStyle w:val="Tabletext"/>
              <w:rPr>
                <w:i/>
              </w:rPr>
            </w:pPr>
            <w:r w:rsidRPr="00557E6C">
              <w:rPr>
                <w:rFonts w:ascii="Arial Narrow" w:hAnsi="Arial Narrow"/>
                <w:lang w:eastAsia="en-AU"/>
              </w:rPr>
              <w:t>Section 85 – General Schedule</w:t>
            </w:r>
          </w:p>
        </w:tc>
      </w:tr>
      <w:tr w:rsidR="00F85EF7" w:rsidRPr="00557E6C" w:rsidTr="00557E6C">
        <w:trPr>
          <w:cantSplit/>
          <w:trHeight w:val="360"/>
        </w:trPr>
        <w:tc>
          <w:tcPr>
            <w:tcW w:w="3261" w:type="dxa"/>
            <w:tcBorders>
              <w:top w:val="single" w:sz="4" w:space="0" w:color="auto"/>
              <w:left w:val="single" w:sz="4" w:space="0" w:color="auto"/>
              <w:bottom w:val="single" w:sz="4" w:space="0" w:color="auto"/>
              <w:right w:val="single" w:sz="4" w:space="0" w:color="auto"/>
            </w:tcBorders>
          </w:tcPr>
          <w:p w:rsidR="00F85EF7" w:rsidRPr="00557E6C" w:rsidRDefault="00F85EF7" w:rsidP="00557E6C">
            <w:pPr>
              <w:rPr>
                <w:rFonts w:ascii="Arial Narrow" w:hAnsi="Arial Narrow"/>
                <w:b/>
                <w:i/>
                <w:sz w:val="20"/>
                <w:szCs w:val="20"/>
              </w:rPr>
            </w:pPr>
            <w:r w:rsidRPr="00557E6C">
              <w:rPr>
                <w:rFonts w:ascii="Arial Narrow" w:hAnsi="Arial Narrow"/>
                <w:b/>
                <w:i/>
                <w:sz w:val="20"/>
                <w:szCs w:val="20"/>
              </w:rPr>
              <w:t>Prescriber type:</w:t>
            </w:r>
          </w:p>
        </w:tc>
        <w:tc>
          <w:tcPr>
            <w:tcW w:w="5811" w:type="dxa"/>
            <w:gridSpan w:val="5"/>
            <w:tcBorders>
              <w:top w:val="single" w:sz="4" w:space="0" w:color="auto"/>
              <w:left w:val="single" w:sz="4" w:space="0" w:color="auto"/>
              <w:bottom w:val="single" w:sz="4" w:space="0" w:color="auto"/>
              <w:right w:val="single" w:sz="4" w:space="0" w:color="auto"/>
            </w:tcBorders>
          </w:tcPr>
          <w:p w:rsidR="00F85EF7" w:rsidRPr="00557E6C" w:rsidRDefault="00F85EF7" w:rsidP="00557E6C">
            <w:pPr>
              <w:rPr>
                <w:rFonts w:ascii="Arial Narrow" w:hAnsi="Arial Narrow"/>
                <w:i/>
                <w:sz w:val="20"/>
                <w:szCs w:val="20"/>
              </w:rPr>
            </w:pPr>
            <w:r w:rsidRPr="00F7711C">
              <w:rPr>
                <w:rFonts w:ascii="Arial Narrow" w:hAnsi="Arial Narrow"/>
                <w:i/>
                <w:sz w:val="20"/>
                <w:szCs w:val="20"/>
              </w:rPr>
              <w:fldChar w:fldCharType="begin">
                <w:ffData>
                  <w:name w:val="Check1"/>
                  <w:enabled/>
                  <w:calcOnExit w:val="0"/>
                  <w:checkBox>
                    <w:sizeAuto/>
                    <w:default w:val="0"/>
                  </w:checkBox>
                </w:ffData>
              </w:fldChar>
            </w:r>
            <w:r w:rsidRPr="00557E6C">
              <w:rPr>
                <w:rFonts w:ascii="Arial Narrow" w:hAnsi="Arial Narrow"/>
                <w:i/>
                <w:sz w:val="20"/>
                <w:szCs w:val="20"/>
              </w:rPr>
              <w:instrText xml:space="preserve"> FORMCHECKBOX </w:instrText>
            </w:r>
            <w:r w:rsidR="001058B5">
              <w:rPr>
                <w:rFonts w:ascii="Arial Narrow" w:hAnsi="Arial Narrow"/>
                <w:i/>
                <w:sz w:val="20"/>
                <w:szCs w:val="20"/>
              </w:rPr>
            </w:r>
            <w:r w:rsidR="001058B5">
              <w:rPr>
                <w:rFonts w:ascii="Arial Narrow" w:hAnsi="Arial Narrow"/>
                <w:i/>
                <w:sz w:val="20"/>
                <w:szCs w:val="20"/>
              </w:rPr>
              <w:fldChar w:fldCharType="separate"/>
            </w:r>
            <w:r w:rsidRPr="00F7711C">
              <w:rPr>
                <w:rFonts w:ascii="Arial Narrow" w:hAnsi="Arial Narrow"/>
                <w:i/>
                <w:sz w:val="20"/>
                <w:szCs w:val="20"/>
              </w:rPr>
              <w:fldChar w:fldCharType="end"/>
            </w:r>
            <w:r w:rsidRPr="00557E6C">
              <w:rPr>
                <w:rFonts w:ascii="Arial Narrow" w:hAnsi="Arial Narrow"/>
                <w:i/>
                <w:sz w:val="20"/>
                <w:szCs w:val="20"/>
              </w:rPr>
              <w:t xml:space="preserve">Dental  </w:t>
            </w:r>
            <w:r w:rsidRPr="00F7711C">
              <w:rPr>
                <w:rFonts w:ascii="Arial Narrow" w:hAnsi="Arial Narrow"/>
                <w:i/>
                <w:sz w:val="20"/>
                <w:szCs w:val="20"/>
              </w:rPr>
              <w:fldChar w:fldCharType="begin">
                <w:ffData>
                  <w:name w:val=""/>
                  <w:enabled/>
                  <w:calcOnExit w:val="0"/>
                  <w:checkBox>
                    <w:sizeAuto/>
                    <w:default w:val="1"/>
                  </w:checkBox>
                </w:ffData>
              </w:fldChar>
            </w:r>
            <w:r w:rsidRPr="00557E6C">
              <w:rPr>
                <w:rFonts w:ascii="Arial Narrow" w:hAnsi="Arial Narrow"/>
                <w:i/>
                <w:sz w:val="20"/>
                <w:szCs w:val="20"/>
              </w:rPr>
              <w:instrText xml:space="preserve"> FORMCHECKBOX </w:instrText>
            </w:r>
            <w:r w:rsidR="001058B5">
              <w:rPr>
                <w:rFonts w:ascii="Arial Narrow" w:hAnsi="Arial Narrow"/>
                <w:i/>
                <w:sz w:val="20"/>
                <w:szCs w:val="20"/>
              </w:rPr>
            </w:r>
            <w:r w:rsidR="001058B5">
              <w:rPr>
                <w:rFonts w:ascii="Arial Narrow" w:hAnsi="Arial Narrow"/>
                <w:i/>
                <w:sz w:val="20"/>
                <w:szCs w:val="20"/>
              </w:rPr>
              <w:fldChar w:fldCharType="separate"/>
            </w:r>
            <w:r w:rsidRPr="00F7711C">
              <w:rPr>
                <w:rFonts w:ascii="Arial Narrow" w:hAnsi="Arial Narrow"/>
                <w:i/>
                <w:sz w:val="20"/>
                <w:szCs w:val="20"/>
              </w:rPr>
              <w:fldChar w:fldCharType="end"/>
            </w:r>
            <w:r w:rsidRPr="00557E6C">
              <w:rPr>
                <w:rFonts w:ascii="Arial Narrow" w:hAnsi="Arial Narrow"/>
                <w:i/>
                <w:sz w:val="20"/>
                <w:szCs w:val="20"/>
              </w:rPr>
              <w:t xml:space="preserve">Medical Practitioners  </w:t>
            </w:r>
            <w:r w:rsidRPr="00F7711C">
              <w:rPr>
                <w:rFonts w:ascii="Arial Narrow" w:hAnsi="Arial Narrow"/>
                <w:i/>
                <w:sz w:val="20"/>
                <w:szCs w:val="20"/>
              </w:rPr>
              <w:fldChar w:fldCharType="begin">
                <w:ffData>
                  <w:name w:val="Check3"/>
                  <w:enabled/>
                  <w:calcOnExit w:val="0"/>
                  <w:checkBox>
                    <w:sizeAuto/>
                    <w:default w:val="0"/>
                  </w:checkBox>
                </w:ffData>
              </w:fldChar>
            </w:r>
            <w:r w:rsidRPr="00557E6C">
              <w:rPr>
                <w:rFonts w:ascii="Arial Narrow" w:hAnsi="Arial Narrow"/>
                <w:i/>
                <w:sz w:val="20"/>
                <w:szCs w:val="20"/>
              </w:rPr>
              <w:instrText xml:space="preserve"> FORMCHECKBOX </w:instrText>
            </w:r>
            <w:r w:rsidR="001058B5">
              <w:rPr>
                <w:rFonts w:ascii="Arial Narrow" w:hAnsi="Arial Narrow"/>
                <w:i/>
                <w:sz w:val="20"/>
                <w:szCs w:val="20"/>
              </w:rPr>
            </w:r>
            <w:r w:rsidR="001058B5">
              <w:rPr>
                <w:rFonts w:ascii="Arial Narrow" w:hAnsi="Arial Narrow"/>
                <w:i/>
                <w:sz w:val="20"/>
                <w:szCs w:val="20"/>
              </w:rPr>
              <w:fldChar w:fldCharType="separate"/>
            </w:r>
            <w:r w:rsidRPr="00F7711C">
              <w:rPr>
                <w:rFonts w:ascii="Arial Narrow" w:hAnsi="Arial Narrow"/>
                <w:i/>
                <w:sz w:val="20"/>
                <w:szCs w:val="20"/>
              </w:rPr>
              <w:fldChar w:fldCharType="end"/>
            </w:r>
            <w:r w:rsidRPr="00557E6C">
              <w:rPr>
                <w:rFonts w:ascii="Arial Narrow" w:hAnsi="Arial Narrow"/>
                <w:i/>
                <w:sz w:val="20"/>
                <w:szCs w:val="20"/>
              </w:rPr>
              <w:t xml:space="preserve">Nurse practitioners  </w:t>
            </w:r>
            <w:r w:rsidRPr="00F7711C">
              <w:rPr>
                <w:rFonts w:ascii="Arial Narrow" w:hAnsi="Arial Narrow"/>
                <w:i/>
                <w:sz w:val="20"/>
                <w:szCs w:val="20"/>
              </w:rPr>
              <w:fldChar w:fldCharType="begin">
                <w:ffData>
                  <w:name w:val=""/>
                  <w:enabled/>
                  <w:calcOnExit w:val="0"/>
                  <w:checkBox>
                    <w:sizeAuto/>
                    <w:default w:val="0"/>
                  </w:checkBox>
                </w:ffData>
              </w:fldChar>
            </w:r>
            <w:r w:rsidRPr="00557E6C">
              <w:rPr>
                <w:rFonts w:ascii="Arial Narrow" w:hAnsi="Arial Narrow"/>
                <w:i/>
                <w:sz w:val="20"/>
                <w:szCs w:val="20"/>
              </w:rPr>
              <w:instrText xml:space="preserve"> FORMCHECKBOX </w:instrText>
            </w:r>
            <w:r w:rsidR="001058B5">
              <w:rPr>
                <w:rFonts w:ascii="Arial Narrow" w:hAnsi="Arial Narrow"/>
                <w:i/>
                <w:sz w:val="20"/>
                <w:szCs w:val="20"/>
              </w:rPr>
            </w:r>
            <w:r w:rsidR="001058B5">
              <w:rPr>
                <w:rFonts w:ascii="Arial Narrow" w:hAnsi="Arial Narrow"/>
                <w:i/>
                <w:sz w:val="20"/>
                <w:szCs w:val="20"/>
              </w:rPr>
              <w:fldChar w:fldCharType="separate"/>
            </w:r>
            <w:r w:rsidRPr="00F7711C">
              <w:rPr>
                <w:rFonts w:ascii="Arial Narrow" w:hAnsi="Arial Narrow"/>
                <w:i/>
                <w:sz w:val="20"/>
                <w:szCs w:val="20"/>
              </w:rPr>
              <w:fldChar w:fldCharType="end"/>
            </w:r>
            <w:r w:rsidRPr="00557E6C">
              <w:rPr>
                <w:rFonts w:ascii="Arial Narrow" w:hAnsi="Arial Narrow"/>
                <w:i/>
                <w:sz w:val="20"/>
                <w:szCs w:val="20"/>
              </w:rPr>
              <w:t>Optometrists</w:t>
            </w:r>
          </w:p>
          <w:p w:rsidR="00F85EF7" w:rsidRPr="00557E6C" w:rsidRDefault="00F85EF7" w:rsidP="00557E6C">
            <w:pPr>
              <w:rPr>
                <w:rFonts w:ascii="Arial Narrow" w:hAnsi="Arial Narrow"/>
                <w:i/>
                <w:sz w:val="20"/>
                <w:szCs w:val="20"/>
              </w:rPr>
            </w:pPr>
            <w:r w:rsidRPr="00F7711C">
              <w:rPr>
                <w:rFonts w:ascii="Arial Narrow" w:hAnsi="Arial Narrow"/>
                <w:i/>
                <w:sz w:val="20"/>
                <w:szCs w:val="20"/>
              </w:rPr>
              <w:fldChar w:fldCharType="begin">
                <w:ffData>
                  <w:name w:val="Check5"/>
                  <w:enabled/>
                  <w:calcOnExit w:val="0"/>
                  <w:checkBox>
                    <w:sizeAuto/>
                    <w:default w:val="0"/>
                  </w:checkBox>
                </w:ffData>
              </w:fldChar>
            </w:r>
            <w:r w:rsidRPr="00557E6C">
              <w:rPr>
                <w:rFonts w:ascii="Arial Narrow" w:hAnsi="Arial Narrow"/>
                <w:i/>
                <w:sz w:val="20"/>
                <w:szCs w:val="20"/>
              </w:rPr>
              <w:instrText xml:space="preserve"> FORMCHECKBOX </w:instrText>
            </w:r>
            <w:r w:rsidR="001058B5">
              <w:rPr>
                <w:rFonts w:ascii="Arial Narrow" w:hAnsi="Arial Narrow"/>
                <w:i/>
                <w:sz w:val="20"/>
                <w:szCs w:val="20"/>
              </w:rPr>
            </w:r>
            <w:r w:rsidR="001058B5">
              <w:rPr>
                <w:rFonts w:ascii="Arial Narrow" w:hAnsi="Arial Narrow"/>
                <w:i/>
                <w:sz w:val="20"/>
                <w:szCs w:val="20"/>
              </w:rPr>
              <w:fldChar w:fldCharType="separate"/>
            </w:r>
            <w:r w:rsidRPr="00F7711C">
              <w:rPr>
                <w:rFonts w:ascii="Arial Narrow" w:hAnsi="Arial Narrow"/>
                <w:i/>
                <w:sz w:val="20"/>
                <w:szCs w:val="20"/>
              </w:rPr>
              <w:fldChar w:fldCharType="end"/>
            </w:r>
            <w:r w:rsidRPr="00557E6C">
              <w:rPr>
                <w:rFonts w:ascii="Arial Narrow" w:hAnsi="Arial Narrow"/>
                <w:i/>
                <w:sz w:val="20"/>
                <w:szCs w:val="20"/>
              </w:rPr>
              <w:t>Midwives</w:t>
            </w:r>
          </w:p>
        </w:tc>
      </w:tr>
      <w:tr w:rsidR="00F85EF7" w:rsidRPr="00557E6C" w:rsidTr="00557E6C">
        <w:trPr>
          <w:cantSplit/>
          <w:trHeight w:val="360"/>
        </w:trPr>
        <w:tc>
          <w:tcPr>
            <w:tcW w:w="3261" w:type="dxa"/>
            <w:tcBorders>
              <w:top w:val="single" w:sz="4" w:space="0" w:color="auto"/>
              <w:left w:val="single" w:sz="4" w:space="0" w:color="auto"/>
              <w:bottom w:val="single" w:sz="4" w:space="0" w:color="auto"/>
              <w:right w:val="single" w:sz="4" w:space="0" w:color="auto"/>
            </w:tcBorders>
          </w:tcPr>
          <w:p w:rsidR="00F85EF7" w:rsidRPr="00557E6C" w:rsidRDefault="00F85EF7" w:rsidP="00557E6C">
            <w:pPr>
              <w:rPr>
                <w:rFonts w:ascii="Arial Narrow" w:hAnsi="Arial Narrow"/>
                <w:b/>
                <w:sz w:val="20"/>
                <w:szCs w:val="20"/>
              </w:rPr>
            </w:pPr>
            <w:proofErr w:type="spellStart"/>
            <w:r w:rsidRPr="00557E6C">
              <w:rPr>
                <w:rFonts w:ascii="Arial Narrow" w:hAnsi="Arial Narrow"/>
                <w:b/>
                <w:sz w:val="20"/>
                <w:szCs w:val="20"/>
              </w:rPr>
              <w:t>Episodicity</w:t>
            </w:r>
            <w:proofErr w:type="spellEnd"/>
            <w:r w:rsidRPr="00557E6C">
              <w:rPr>
                <w:rFonts w:ascii="Arial Narrow" w:hAnsi="Arial Narrow"/>
                <w:b/>
                <w:sz w:val="20"/>
                <w:szCs w:val="20"/>
              </w:rPr>
              <w:t>:</w:t>
            </w:r>
            <w:bookmarkStart w:id="1" w:name="_GoBack"/>
            <w:bookmarkEnd w:id="1"/>
          </w:p>
        </w:tc>
        <w:tc>
          <w:tcPr>
            <w:tcW w:w="5811" w:type="dxa"/>
            <w:gridSpan w:val="5"/>
            <w:tcBorders>
              <w:top w:val="single" w:sz="4" w:space="0" w:color="auto"/>
              <w:left w:val="single" w:sz="4" w:space="0" w:color="auto"/>
              <w:bottom w:val="single" w:sz="4" w:space="0" w:color="auto"/>
              <w:right w:val="single" w:sz="4" w:space="0" w:color="auto"/>
            </w:tcBorders>
          </w:tcPr>
          <w:p w:rsidR="00F85EF7" w:rsidRPr="00557E6C" w:rsidRDefault="00F85EF7" w:rsidP="00557E6C">
            <w:pPr>
              <w:rPr>
                <w:rFonts w:ascii="Arial Narrow" w:hAnsi="Arial Narrow"/>
                <w:sz w:val="20"/>
                <w:szCs w:val="20"/>
              </w:rPr>
            </w:pPr>
            <w:r w:rsidRPr="00557E6C">
              <w:rPr>
                <w:rFonts w:ascii="Arial Narrow" w:hAnsi="Arial Narrow"/>
                <w:sz w:val="20"/>
                <w:szCs w:val="20"/>
              </w:rPr>
              <w:t>N/A</w:t>
            </w:r>
          </w:p>
        </w:tc>
      </w:tr>
      <w:tr w:rsidR="00F85EF7" w:rsidRPr="00557E6C" w:rsidTr="00557E6C">
        <w:trPr>
          <w:cantSplit/>
          <w:trHeight w:val="360"/>
        </w:trPr>
        <w:tc>
          <w:tcPr>
            <w:tcW w:w="3261" w:type="dxa"/>
            <w:tcBorders>
              <w:top w:val="single" w:sz="4" w:space="0" w:color="auto"/>
              <w:left w:val="single" w:sz="4" w:space="0" w:color="auto"/>
              <w:bottom w:val="single" w:sz="4" w:space="0" w:color="auto"/>
              <w:right w:val="single" w:sz="4" w:space="0" w:color="auto"/>
            </w:tcBorders>
          </w:tcPr>
          <w:p w:rsidR="00F85EF7" w:rsidRPr="00557E6C" w:rsidRDefault="00F85EF7" w:rsidP="00557E6C">
            <w:pPr>
              <w:rPr>
                <w:rFonts w:ascii="Arial Narrow" w:hAnsi="Arial Narrow"/>
                <w:b/>
                <w:sz w:val="20"/>
                <w:szCs w:val="20"/>
              </w:rPr>
            </w:pPr>
            <w:r w:rsidRPr="00557E6C">
              <w:rPr>
                <w:rFonts w:ascii="Arial Narrow" w:hAnsi="Arial Narrow"/>
                <w:b/>
                <w:sz w:val="20"/>
                <w:szCs w:val="20"/>
              </w:rPr>
              <w:t>Severity:</w:t>
            </w:r>
          </w:p>
        </w:tc>
        <w:tc>
          <w:tcPr>
            <w:tcW w:w="5811" w:type="dxa"/>
            <w:gridSpan w:val="5"/>
            <w:tcBorders>
              <w:top w:val="single" w:sz="4" w:space="0" w:color="auto"/>
              <w:left w:val="single" w:sz="4" w:space="0" w:color="auto"/>
              <w:bottom w:val="single" w:sz="4" w:space="0" w:color="auto"/>
              <w:right w:val="single" w:sz="4" w:space="0" w:color="auto"/>
            </w:tcBorders>
          </w:tcPr>
          <w:p w:rsidR="00F85EF7" w:rsidRPr="00557E6C" w:rsidRDefault="00F85EF7" w:rsidP="00557E6C">
            <w:pPr>
              <w:rPr>
                <w:rFonts w:ascii="Arial Narrow" w:hAnsi="Arial Narrow"/>
                <w:sz w:val="20"/>
                <w:szCs w:val="20"/>
              </w:rPr>
            </w:pPr>
            <w:r w:rsidRPr="00557E6C">
              <w:rPr>
                <w:rFonts w:ascii="Arial Narrow" w:hAnsi="Arial Narrow"/>
                <w:sz w:val="20"/>
                <w:szCs w:val="20"/>
              </w:rPr>
              <w:t>Advanced (</w:t>
            </w:r>
            <w:proofErr w:type="spellStart"/>
            <w:r w:rsidRPr="00557E6C">
              <w:rPr>
                <w:rFonts w:ascii="Arial Narrow" w:hAnsi="Arial Narrow"/>
                <w:sz w:val="20"/>
                <w:szCs w:val="20"/>
              </w:rPr>
              <w:t>unresectable</w:t>
            </w:r>
            <w:proofErr w:type="spellEnd"/>
            <w:r w:rsidRPr="00557E6C">
              <w:rPr>
                <w:rFonts w:ascii="Arial Narrow" w:hAnsi="Arial Narrow"/>
                <w:sz w:val="20"/>
                <w:szCs w:val="20"/>
              </w:rPr>
              <w:t xml:space="preserve">) </w:t>
            </w:r>
            <w:r w:rsidRPr="00557E6C">
              <w:rPr>
                <w:rFonts w:ascii="Arial Narrow" w:hAnsi="Arial Narrow"/>
                <w:i/>
                <w:sz w:val="20"/>
                <w:szCs w:val="20"/>
              </w:rPr>
              <w:t>Barcelona Clinic Liver Cancer stage B or stage C</w:t>
            </w:r>
          </w:p>
        </w:tc>
      </w:tr>
      <w:tr w:rsidR="00F85EF7" w:rsidRPr="00557E6C" w:rsidTr="00557E6C">
        <w:trPr>
          <w:cantSplit/>
          <w:trHeight w:val="360"/>
        </w:trPr>
        <w:tc>
          <w:tcPr>
            <w:tcW w:w="3261" w:type="dxa"/>
            <w:tcBorders>
              <w:top w:val="single" w:sz="4" w:space="0" w:color="auto"/>
              <w:left w:val="single" w:sz="4" w:space="0" w:color="auto"/>
              <w:bottom w:val="single" w:sz="4" w:space="0" w:color="auto"/>
              <w:right w:val="single" w:sz="4" w:space="0" w:color="auto"/>
            </w:tcBorders>
          </w:tcPr>
          <w:p w:rsidR="00F85EF7" w:rsidRPr="00557E6C" w:rsidRDefault="00F85EF7" w:rsidP="00557E6C">
            <w:pPr>
              <w:rPr>
                <w:rFonts w:ascii="Arial Narrow" w:hAnsi="Arial Narrow"/>
                <w:b/>
                <w:sz w:val="20"/>
                <w:szCs w:val="20"/>
              </w:rPr>
            </w:pPr>
            <w:r w:rsidRPr="00557E6C">
              <w:rPr>
                <w:rFonts w:ascii="Arial Narrow" w:hAnsi="Arial Narrow"/>
                <w:b/>
                <w:sz w:val="20"/>
                <w:szCs w:val="20"/>
              </w:rPr>
              <w:t>Condition:</w:t>
            </w:r>
          </w:p>
        </w:tc>
        <w:tc>
          <w:tcPr>
            <w:tcW w:w="5811" w:type="dxa"/>
            <w:gridSpan w:val="5"/>
            <w:tcBorders>
              <w:top w:val="single" w:sz="4" w:space="0" w:color="auto"/>
              <w:left w:val="single" w:sz="4" w:space="0" w:color="auto"/>
              <w:bottom w:val="single" w:sz="4" w:space="0" w:color="auto"/>
              <w:right w:val="single" w:sz="4" w:space="0" w:color="auto"/>
            </w:tcBorders>
          </w:tcPr>
          <w:p w:rsidR="00F85EF7" w:rsidRPr="00557E6C" w:rsidRDefault="00F85EF7" w:rsidP="00557E6C">
            <w:pPr>
              <w:rPr>
                <w:rFonts w:ascii="Arial Narrow" w:hAnsi="Arial Narrow"/>
                <w:sz w:val="20"/>
                <w:szCs w:val="20"/>
              </w:rPr>
            </w:pPr>
            <w:r w:rsidRPr="00557E6C">
              <w:rPr>
                <w:rFonts w:ascii="Arial Narrow" w:hAnsi="Arial Narrow"/>
                <w:sz w:val="20"/>
                <w:szCs w:val="20"/>
              </w:rPr>
              <w:t>Hepatocellular carcinoma</w:t>
            </w:r>
          </w:p>
        </w:tc>
      </w:tr>
      <w:tr w:rsidR="00F85EF7" w:rsidRPr="00557E6C" w:rsidTr="00557E6C">
        <w:trPr>
          <w:cantSplit/>
          <w:trHeight w:val="360"/>
        </w:trPr>
        <w:tc>
          <w:tcPr>
            <w:tcW w:w="3261" w:type="dxa"/>
            <w:tcBorders>
              <w:top w:val="single" w:sz="4" w:space="0" w:color="auto"/>
              <w:left w:val="single" w:sz="4" w:space="0" w:color="auto"/>
              <w:bottom w:val="single" w:sz="4" w:space="0" w:color="auto"/>
              <w:right w:val="single" w:sz="4" w:space="0" w:color="auto"/>
            </w:tcBorders>
          </w:tcPr>
          <w:p w:rsidR="00F85EF7" w:rsidRPr="00557E6C" w:rsidRDefault="00F85EF7" w:rsidP="00557E6C">
            <w:pPr>
              <w:rPr>
                <w:rFonts w:ascii="Arial Narrow" w:hAnsi="Arial Narrow"/>
                <w:b/>
                <w:sz w:val="20"/>
                <w:szCs w:val="20"/>
              </w:rPr>
            </w:pPr>
            <w:r w:rsidRPr="00557E6C">
              <w:rPr>
                <w:rFonts w:ascii="Arial Narrow" w:hAnsi="Arial Narrow"/>
                <w:b/>
                <w:sz w:val="20"/>
                <w:szCs w:val="20"/>
              </w:rPr>
              <w:t>PBS Indication:</w:t>
            </w:r>
          </w:p>
        </w:tc>
        <w:tc>
          <w:tcPr>
            <w:tcW w:w="5811" w:type="dxa"/>
            <w:gridSpan w:val="5"/>
            <w:tcBorders>
              <w:top w:val="single" w:sz="4" w:space="0" w:color="auto"/>
              <w:left w:val="single" w:sz="4" w:space="0" w:color="auto"/>
              <w:bottom w:val="single" w:sz="4" w:space="0" w:color="auto"/>
              <w:right w:val="single" w:sz="4" w:space="0" w:color="auto"/>
            </w:tcBorders>
          </w:tcPr>
          <w:p w:rsidR="00F85EF7" w:rsidRPr="00557E6C" w:rsidRDefault="00F85EF7" w:rsidP="00557E6C">
            <w:pPr>
              <w:rPr>
                <w:rFonts w:ascii="Arial Narrow" w:hAnsi="Arial Narrow"/>
                <w:sz w:val="20"/>
                <w:szCs w:val="20"/>
              </w:rPr>
            </w:pPr>
            <w:r w:rsidRPr="00557E6C">
              <w:rPr>
                <w:rFonts w:ascii="Arial Narrow" w:hAnsi="Arial Narrow"/>
                <w:sz w:val="20"/>
                <w:szCs w:val="20"/>
              </w:rPr>
              <w:t>Advanced (</w:t>
            </w:r>
            <w:proofErr w:type="spellStart"/>
            <w:r w:rsidRPr="00557E6C">
              <w:rPr>
                <w:rFonts w:ascii="Arial Narrow" w:hAnsi="Arial Narrow"/>
                <w:sz w:val="20"/>
                <w:szCs w:val="20"/>
              </w:rPr>
              <w:t>unresectable</w:t>
            </w:r>
            <w:proofErr w:type="spellEnd"/>
            <w:r w:rsidRPr="00557E6C">
              <w:rPr>
                <w:rFonts w:ascii="Arial Narrow" w:hAnsi="Arial Narrow"/>
                <w:sz w:val="20"/>
                <w:szCs w:val="20"/>
              </w:rPr>
              <w:t>) Barcelona Clinic Liver Cancer stage B or stage C hepatocellular carcinoma</w:t>
            </w:r>
          </w:p>
        </w:tc>
      </w:tr>
      <w:tr w:rsidR="00F85EF7" w:rsidRPr="00557E6C" w:rsidTr="00557E6C">
        <w:trPr>
          <w:cantSplit/>
          <w:trHeight w:val="360"/>
        </w:trPr>
        <w:tc>
          <w:tcPr>
            <w:tcW w:w="3261" w:type="dxa"/>
            <w:tcBorders>
              <w:top w:val="single" w:sz="4" w:space="0" w:color="auto"/>
              <w:left w:val="single" w:sz="4" w:space="0" w:color="auto"/>
              <w:bottom w:val="single" w:sz="4" w:space="0" w:color="auto"/>
              <w:right w:val="single" w:sz="4" w:space="0" w:color="auto"/>
            </w:tcBorders>
          </w:tcPr>
          <w:p w:rsidR="00F85EF7" w:rsidRPr="00557E6C" w:rsidRDefault="00F85EF7" w:rsidP="00557E6C">
            <w:pPr>
              <w:rPr>
                <w:rFonts w:ascii="Arial Narrow" w:hAnsi="Arial Narrow"/>
                <w:i/>
                <w:sz w:val="20"/>
                <w:szCs w:val="20"/>
              </w:rPr>
            </w:pPr>
            <w:r w:rsidRPr="00557E6C">
              <w:rPr>
                <w:rFonts w:ascii="Arial Narrow" w:hAnsi="Arial Narrow"/>
                <w:b/>
                <w:sz w:val="20"/>
                <w:szCs w:val="20"/>
              </w:rPr>
              <w:lastRenderedPageBreak/>
              <w:t>Treatment phase:</w:t>
            </w:r>
            <w:r w:rsidRPr="00557E6C">
              <w:rPr>
                <w:rFonts w:ascii="Arial Narrow" w:hAnsi="Arial Narrow"/>
                <w:i/>
                <w:sz w:val="20"/>
                <w:szCs w:val="20"/>
              </w:rPr>
              <w:t xml:space="preserve"> </w:t>
            </w:r>
          </w:p>
        </w:tc>
        <w:tc>
          <w:tcPr>
            <w:tcW w:w="5811" w:type="dxa"/>
            <w:gridSpan w:val="5"/>
            <w:tcBorders>
              <w:top w:val="single" w:sz="4" w:space="0" w:color="auto"/>
              <w:left w:val="single" w:sz="4" w:space="0" w:color="auto"/>
              <w:bottom w:val="single" w:sz="4" w:space="0" w:color="auto"/>
              <w:right w:val="single" w:sz="4" w:space="0" w:color="auto"/>
            </w:tcBorders>
          </w:tcPr>
          <w:p w:rsidR="00F85EF7" w:rsidRPr="00557E6C" w:rsidRDefault="00F85EF7" w:rsidP="00557E6C">
            <w:pPr>
              <w:rPr>
                <w:rFonts w:ascii="Arial Narrow" w:hAnsi="Arial Narrow"/>
                <w:sz w:val="20"/>
                <w:szCs w:val="20"/>
              </w:rPr>
            </w:pPr>
            <w:r w:rsidRPr="00557E6C">
              <w:rPr>
                <w:rFonts w:ascii="Arial Narrow" w:hAnsi="Arial Narrow"/>
                <w:sz w:val="20"/>
                <w:szCs w:val="20"/>
              </w:rPr>
              <w:t>Continuing treatment</w:t>
            </w:r>
          </w:p>
        </w:tc>
      </w:tr>
      <w:tr w:rsidR="00F85EF7" w:rsidRPr="00557E6C" w:rsidTr="00557E6C">
        <w:trPr>
          <w:cantSplit/>
          <w:trHeight w:val="360"/>
        </w:trPr>
        <w:tc>
          <w:tcPr>
            <w:tcW w:w="3261" w:type="dxa"/>
            <w:tcBorders>
              <w:top w:val="single" w:sz="4" w:space="0" w:color="auto"/>
              <w:left w:val="single" w:sz="4" w:space="0" w:color="auto"/>
              <w:bottom w:val="single" w:sz="4" w:space="0" w:color="auto"/>
              <w:right w:val="single" w:sz="4" w:space="0" w:color="auto"/>
            </w:tcBorders>
          </w:tcPr>
          <w:p w:rsidR="00F85EF7" w:rsidRPr="00557E6C" w:rsidRDefault="00F85EF7" w:rsidP="00557E6C">
            <w:pPr>
              <w:rPr>
                <w:rFonts w:ascii="Arial Narrow" w:hAnsi="Arial Narrow"/>
                <w:sz w:val="20"/>
                <w:szCs w:val="20"/>
              </w:rPr>
            </w:pPr>
            <w:r w:rsidRPr="00557E6C">
              <w:rPr>
                <w:rFonts w:ascii="Arial Narrow" w:hAnsi="Arial Narrow"/>
                <w:b/>
                <w:sz w:val="20"/>
                <w:szCs w:val="20"/>
              </w:rPr>
              <w:t>Restriction:</w:t>
            </w:r>
            <w:r w:rsidRPr="00557E6C">
              <w:rPr>
                <w:rFonts w:ascii="Arial Narrow" w:hAnsi="Arial Narrow"/>
                <w:sz w:val="20"/>
                <w:szCs w:val="20"/>
              </w:rPr>
              <w:t xml:space="preserve"> </w:t>
            </w:r>
          </w:p>
        </w:tc>
        <w:tc>
          <w:tcPr>
            <w:tcW w:w="5811" w:type="dxa"/>
            <w:gridSpan w:val="5"/>
            <w:tcBorders>
              <w:top w:val="single" w:sz="4" w:space="0" w:color="auto"/>
              <w:left w:val="single" w:sz="4" w:space="0" w:color="auto"/>
              <w:bottom w:val="single" w:sz="4" w:space="0" w:color="auto"/>
              <w:right w:val="single" w:sz="4" w:space="0" w:color="auto"/>
            </w:tcBorders>
          </w:tcPr>
          <w:p w:rsidR="00F85EF7" w:rsidRPr="00557E6C" w:rsidRDefault="00F85EF7" w:rsidP="00557E6C">
            <w:pPr>
              <w:rPr>
                <w:rFonts w:ascii="Arial Narrow" w:hAnsi="Arial Narrow"/>
                <w:sz w:val="20"/>
                <w:szCs w:val="20"/>
              </w:rPr>
            </w:pPr>
            <w:r w:rsidRPr="00F7711C">
              <w:rPr>
                <w:rFonts w:ascii="Arial Narrow" w:hAnsi="Arial Narrow"/>
                <w:sz w:val="20"/>
                <w:szCs w:val="20"/>
              </w:rPr>
              <w:fldChar w:fldCharType="begin">
                <w:ffData>
                  <w:name w:val="Check1"/>
                  <w:enabled/>
                  <w:calcOnExit w:val="0"/>
                  <w:checkBox>
                    <w:sizeAuto/>
                    <w:default w:val="0"/>
                  </w:checkBox>
                </w:ffData>
              </w:fldChar>
            </w:r>
            <w:r w:rsidRPr="00557E6C">
              <w:rPr>
                <w:rFonts w:ascii="Arial Narrow" w:hAnsi="Arial Narrow"/>
                <w:sz w:val="20"/>
                <w:szCs w:val="20"/>
              </w:rPr>
              <w:instrText xml:space="preserve"> FORMCHECKBOX </w:instrText>
            </w:r>
            <w:r w:rsidR="001058B5">
              <w:rPr>
                <w:rFonts w:ascii="Arial Narrow" w:hAnsi="Arial Narrow"/>
                <w:sz w:val="20"/>
                <w:szCs w:val="20"/>
              </w:rPr>
            </w:r>
            <w:r w:rsidR="001058B5">
              <w:rPr>
                <w:rFonts w:ascii="Arial Narrow" w:hAnsi="Arial Narrow"/>
                <w:sz w:val="20"/>
                <w:szCs w:val="20"/>
              </w:rPr>
              <w:fldChar w:fldCharType="separate"/>
            </w:r>
            <w:r w:rsidRPr="00F7711C">
              <w:rPr>
                <w:rFonts w:ascii="Arial Narrow" w:hAnsi="Arial Narrow"/>
                <w:sz w:val="20"/>
                <w:szCs w:val="20"/>
              </w:rPr>
              <w:fldChar w:fldCharType="end"/>
            </w:r>
            <w:r w:rsidRPr="00557E6C">
              <w:rPr>
                <w:rFonts w:ascii="Arial Narrow" w:hAnsi="Arial Narrow"/>
                <w:sz w:val="20"/>
                <w:szCs w:val="20"/>
              </w:rPr>
              <w:t>Restricted benefit</w:t>
            </w:r>
          </w:p>
          <w:p w:rsidR="00F85EF7" w:rsidRPr="00557E6C" w:rsidRDefault="00F85EF7" w:rsidP="00557E6C">
            <w:pPr>
              <w:rPr>
                <w:rFonts w:ascii="Arial Narrow" w:hAnsi="Arial Narrow"/>
                <w:sz w:val="20"/>
                <w:szCs w:val="20"/>
              </w:rPr>
            </w:pPr>
            <w:r w:rsidRPr="00F7711C">
              <w:rPr>
                <w:rFonts w:ascii="Arial Narrow" w:hAnsi="Arial Narrow"/>
                <w:sz w:val="20"/>
                <w:szCs w:val="20"/>
              </w:rPr>
              <w:fldChar w:fldCharType="begin">
                <w:ffData>
                  <w:name w:val=""/>
                  <w:enabled/>
                  <w:calcOnExit w:val="0"/>
                  <w:checkBox>
                    <w:sizeAuto/>
                    <w:default w:val="0"/>
                  </w:checkBox>
                </w:ffData>
              </w:fldChar>
            </w:r>
            <w:r w:rsidRPr="00557E6C">
              <w:rPr>
                <w:rFonts w:ascii="Arial Narrow" w:hAnsi="Arial Narrow"/>
                <w:sz w:val="20"/>
                <w:szCs w:val="20"/>
              </w:rPr>
              <w:instrText xml:space="preserve"> FORMCHECKBOX </w:instrText>
            </w:r>
            <w:r w:rsidR="001058B5">
              <w:rPr>
                <w:rFonts w:ascii="Arial Narrow" w:hAnsi="Arial Narrow"/>
                <w:sz w:val="20"/>
                <w:szCs w:val="20"/>
              </w:rPr>
            </w:r>
            <w:r w:rsidR="001058B5">
              <w:rPr>
                <w:rFonts w:ascii="Arial Narrow" w:hAnsi="Arial Narrow"/>
                <w:sz w:val="20"/>
                <w:szCs w:val="20"/>
              </w:rPr>
              <w:fldChar w:fldCharType="separate"/>
            </w:r>
            <w:r w:rsidRPr="00F7711C">
              <w:rPr>
                <w:rFonts w:ascii="Arial Narrow" w:hAnsi="Arial Narrow"/>
                <w:sz w:val="20"/>
                <w:szCs w:val="20"/>
              </w:rPr>
              <w:fldChar w:fldCharType="end"/>
            </w:r>
            <w:r w:rsidRPr="00557E6C">
              <w:rPr>
                <w:rFonts w:ascii="Arial Narrow" w:hAnsi="Arial Narrow"/>
                <w:sz w:val="20"/>
                <w:szCs w:val="20"/>
              </w:rPr>
              <w:t>Authority Required - In Writing</w:t>
            </w:r>
          </w:p>
          <w:p w:rsidR="00F85EF7" w:rsidRPr="00557E6C" w:rsidRDefault="00F85EF7" w:rsidP="00557E6C">
            <w:pPr>
              <w:rPr>
                <w:rFonts w:ascii="Arial Narrow" w:hAnsi="Arial Narrow"/>
                <w:sz w:val="20"/>
                <w:szCs w:val="20"/>
              </w:rPr>
            </w:pPr>
            <w:r w:rsidRPr="00F7711C">
              <w:rPr>
                <w:rFonts w:ascii="Arial Narrow" w:hAnsi="Arial Narrow"/>
                <w:sz w:val="20"/>
                <w:szCs w:val="20"/>
              </w:rPr>
              <w:fldChar w:fldCharType="begin">
                <w:ffData>
                  <w:name w:val="Check3"/>
                  <w:enabled/>
                  <w:calcOnExit w:val="0"/>
                  <w:checkBox>
                    <w:sizeAuto/>
                    <w:default w:val="0"/>
                  </w:checkBox>
                </w:ffData>
              </w:fldChar>
            </w:r>
            <w:r w:rsidRPr="00557E6C">
              <w:rPr>
                <w:rFonts w:ascii="Arial Narrow" w:hAnsi="Arial Narrow"/>
                <w:sz w:val="20"/>
                <w:szCs w:val="20"/>
              </w:rPr>
              <w:instrText xml:space="preserve"> FORMCHECKBOX </w:instrText>
            </w:r>
            <w:r w:rsidR="001058B5">
              <w:rPr>
                <w:rFonts w:ascii="Arial Narrow" w:hAnsi="Arial Narrow"/>
                <w:sz w:val="20"/>
                <w:szCs w:val="20"/>
              </w:rPr>
            </w:r>
            <w:r w:rsidR="001058B5">
              <w:rPr>
                <w:rFonts w:ascii="Arial Narrow" w:hAnsi="Arial Narrow"/>
                <w:sz w:val="20"/>
                <w:szCs w:val="20"/>
              </w:rPr>
              <w:fldChar w:fldCharType="separate"/>
            </w:r>
            <w:r w:rsidRPr="00F7711C">
              <w:rPr>
                <w:rFonts w:ascii="Arial Narrow" w:hAnsi="Arial Narrow"/>
                <w:sz w:val="20"/>
                <w:szCs w:val="20"/>
              </w:rPr>
              <w:fldChar w:fldCharType="end"/>
            </w:r>
            <w:r w:rsidRPr="00557E6C">
              <w:rPr>
                <w:rFonts w:ascii="Arial Narrow" w:hAnsi="Arial Narrow"/>
                <w:sz w:val="20"/>
                <w:szCs w:val="20"/>
              </w:rPr>
              <w:t>Authority Required - Telephone</w:t>
            </w:r>
          </w:p>
          <w:p w:rsidR="00F85EF7" w:rsidRPr="00557E6C" w:rsidRDefault="00F85EF7" w:rsidP="00557E6C">
            <w:pPr>
              <w:rPr>
                <w:rFonts w:ascii="Arial Narrow" w:hAnsi="Arial Narrow"/>
                <w:sz w:val="20"/>
                <w:szCs w:val="20"/>
              </w:rPr>
            </w:pPr>
            <w:r w:rsidRPr="00F7711C">
              <w:rPr>
                <w:rFonts w:ascii="Arial Narrow" w:hAnsi="Arial Narrow"/>
                <w:sz w:val="20"/>
                <w:szCs w:val="20"/>
              </w:rPr>
              <w:fldChar w:fldCharType="begin">
                <w:ffData>
                  <w:name w:val=""/>
                  <w:enabled/>
                  <w:calcOnExit w:val="0"/>
                  <w:checkBox>
                    <w:sizeAuto/>
                    <w:default w:val="0"/>
                  </w:checkBox>
                </w:ffData>
              </w:fldChar>
            </w:r>
            <w:r w:rsidRPr="00557E6C">
              <w:rPr>
                <w:rFonts w:ascii="Arial Narrow" w:hAnsi="Arial Narrow"/>
                <w:sz w:val="20"/>
                <w:szCs w:val="20"/>
              </w:rPr>
              <w:instrText xml:space="preserve"> FORMCHECKBOX </w:instrText>
            </w:r>
            <w:r w:rsidR="001058B5">
              <w:rPr>
                <w:rFonts w:ascii="Arial Narrow" w:hAnsi="Arial Narrow"/>
                <w:sz w:val="20"/>
                <w:szCs w:val="20"/>
              </w:rPr>
            </w:r>
            <w:r w:rsidR="001058B5">
              <w:rPr>
                <w:rFonts w:ascii="Arial Narrow" w:hAnsi="Arial Narrow"/>
                <w:sz w:val="20"/>
                <w:szCs w:val="20"/>
              </w:rPr>
              <w:fldChar w:fldCharType="separate"/>
            </w:r>
            <w:r w:rsidRPr="00F7711C">
              <w:rPr>
                <w:rFonts w:ascii="Arial Narrow" w:hAnsi="Arial Narrow"/>
                <w:sz w:val="20"/>
                <w:szCs w:val="20"/>
              </w:rPr>
              <w:fldChar w:fldCharType="end"/>
            </w:r>
            <w:r w:rsidRPr="00557E6C">
              <w:rPr>
                <w:rFonts w:ascii="Arial Narrow" w:hAnsi="Arial Narrow"/>
                <w:sz w:val="20"/>
                <w:szCs w:val="20"/>
              </w:rPr>
              <w:t>Authority Required – Emergency</w:t>
            </w:r>
          </w:p>
          <w:p w:rsidR="00F85EF7" w:rsidRPr="00557E6C" w:rsidRDefault="00F85EF7" w:rsidP="00557E6C">
            <w:pPr>
              <w:rPr>
                <w:rFonts w:ascii="Arial Narrow" w:hAnsi="Arial Narrow"/>
                <w:sz w:val="20"/>
                <w:szCs w:val="20"/>
              </w:rPr>
            </w:pPr>
            <w:r w:rsidRPr="00F7711C">
              <w:rPr>
                <w:rFonts w:ascii="Arial Narrow" w:hAnsi="Arial Narrow"/>
                <w:sz w:val="20"/>
                <w:szCs w:val="20"/>
              </w:rPr>
              <w:fldChar w:fldCharType="begin">
                <w:ffData>
                  <w:name w:val="Check5"/>
                  <w:enabled/>
                  <w:calcOnExit w:val="0"/>
                  <w:checkBox>
                    <w:sizeAuto/>
                    <w:default w:val="0"/>
                  </w:checkBox>
                </w:ffData>
              </w:fldChar>
            </w:r>
            <w:r w:rsidRPr="00557E6C">
              <w:rPr>
                <w:rFonts w:ascii="Arial Narrow" w:hAnsi="Arial Narrow"/>
                <w:sz w:val="20"/>
                <w:szCs w:val="20"/>
              </w:rPr>
              <w:instrText xml:space="preserve"> FORMCHECKBOX </w:instrText>
            </w:r>
            <w:r w:rsidR="001058B5">
              <w:rPr>
                <w:rFonts w:ascii="Arial Narrow" w:hAnsi="Arial Narrow"/>
                <w:sz w:val="20"/>
                <w:szCs w:val="20"/>
              </w:rPr>
            </w:r>
            <w:r w:rsidR="001058B5">
              <w:rPr>
                <w:rFonts w:ascii="Arial Narrow" w:hAnsi="Arial Narrow"/>
                <w:sz w:val="20"/>
                <w:szCs w:val="20"/>
              </w:rPr>
              <w:fldChar w:fldCharType="separate"/>
            </w:r>
            <w:r w:rsidRPr="00F7711C">
              <w:rPr>
                <w:rFonts w:ascii="Arial Narrow" w:hAnsi="Arial Narrow"/>
                <w:sz w:val="20"/>
                <w:szCs w:val="20"/>
              </w:rPr>
              <w:fldChar w:fldCharType="end"/>
            </w:r>
            <w:r w:rsidRPr="00557E6C">
              <w:rPr>
                <w:rFonts w:ascii="Arial Narrow" w:hAnsi="Arial Narrow"/>
                <w:sz w:val="20"/>
                <w:szCs w:val="20"/>
              </w:rPr>
              <w:t>Authority Required - Electronic</w:t>
            </w:r>
          </w:p>
          <w:p w:rsidR="00F85EF7" w:rsidRPr="00557E6C" w:rsidRDefault="00F85EF7" w:rsidP="00557E6C">
            <w:pPr>
              <w:rPr>
                <w:rFonts w:ascii="Arial Narrow" w:hAnsi="Arial Narrow"/>
                <w:sz w:val="20"/>
                <w:szCs w:val="20"/>
              </w:rPr>
            </w:pPr>
            <w:r w:rsidRPr="00F7711C">
              <w:rPr>
                <w:rFonts w:ascii="Arial Narrow" w:hAnsi="Arial Narrow"/>
                <w:sz w:val="20"/>
                <w:szCs w:val="20"/>
              </w:rPr>
              <w:fldChar w:fldCharType="begin">
                <w:ffData>
                  <w:name w:val="Check5"/>
                  <w:enabled/>
                  <w:calcOnExit w:val="0"/>
                  <w:checkBox>
                    <w:sizeAuto/>
                    <w:default w:val="1"/>
                  </w:checkBox>
                </w:ffData>
              </w:fldChar>
            </w:r>
            <w:r w:rsidRPr="00557E6C">
              <w:rPr>
                <w:rFonts w:ascii="Arial Narrow" w:hAnsi="Arial Narrow"/>
                <w:sz w:val="20"/>
                <w:szCs w:val="20"/>
              </w:rPr>
              <w:instrText xml:space="preserve"> FORMCHECKBOX </w:instrText>
            </w:r>
            <w:r w:rsidR="001058B5">
              <w:rPr>
                <w:rFonts w:ascii="Arial Narrow" w:hAnsi="Arial Narrow"/>
                <w:sz w:val="20"/>
                <w:szCs w:val="20"/>
              </w:rPr>
            </w:r>
            <w:r w:rsidR="001058B5">
              <w:rPr>
                <w:rFonts w:ascii="Arial Narrow" w:hAnsi="Arial Narrow"/>
                <w:sz w:val="20"/>
                <w:szCs w:val="20"/>
              </w:rPr>
              <w:fldChar w:fldCharType="separate"/>
            </w:r>
            <w:r w:rsidRPr="00F7711C">
              <w:rPr>
                <w:rFonts w:ascii="Arial Narrow" w:hAnsi="Arial Narrow"/>
                <w:sz w:val="20"/>
                <w:szCs w:val="20"/>
              </w:rPr>
              <w:fldChar w:fldCharType="end"/>
            </w:r>
            <w:r w:rsidRPr="00557E6C">
              <w:rPr>
                <w:rFonts w:ascii="Arial Narrow" w:hAnsi="Arial Narrow"/>
                <w:sz w:val="20"/>
                <w:szCs w:val="20"/>
              </w:rPr>
              <w:t>Streamlined</w:t>
            </w:r>
          </w:p>
        </w:tc>
      </w:tr>
      <w:tr w:rsidR="00F85EF7" w:rsidRPr="00557E6C" w:rsidTr="00557E6C">
        <w:trPr>
          <w:cantSplit/>
          <w:trHeight w:val="360"/>
        </w:trPr>
        <w:tc>
          <w:tcPr>
            <w:tcW w:w="3261" w:type="dxa"/>
            <w:tcBorders>
              <w:top w:val="single" w:sz="4" w:space="0" w:color="auto"/>
              <w:left w:val="single" w:sz="4" w:space="0" w:color="auto"/>
              <w:bottom w:val="single" w:sz="4" w:space="0" w:color="auto"/>
              <w:right w:val="single" w:sz="4" w:space="0" w:color="auto"/>
            </w:tcBorders>
          </w:tcPr>
          <w:p w:rsidR="00F85EF7" w:rsidRPr="00557E6C" w:rsidRDefault="00F85EF7" w:rsidP="00557E6C">
            <w:pPr>
              <w:rPr>
                <w:rFonts w:ascii="Arial Narrow" w:hAnsi="Arial Narrow"/>
                <w:b/>
                <w:sz w:val="20"/>
                <w:szCs w:val="20"/>
              </w:rPr>
            </w:pPr>
            <w:r w:rsidRPr="00557E6C">
              <w:rPr>
                <w:rFonts w:ascii="Arial Narrow" w:hAnsi="Arial Narrow"/>
                <w:b/>
                <w:sz w:val="20"/>
                <w:szCs w:val="20"/>
              </w:rPr>
              <w:t>Treatment criteria:</w:t>
            </w:r>
          </w:p>
        </w:tc>
        <w:tc>
          <w:tcPr>
            <w:tcW w:w="5811" w:type="dxa"/>
            <w:gridSpan w:val="5"/>
            <w:tcBorders>
              <w:top w:val="single" w:sz="4" w:space="0" w:color="auto"/>
              <w:left w:val="single" w:sz="4" w:space="0" w:color="auto"/>
              <w:bottom w:val="single" w:sz="4" w:space="0" w:color="auto"/>
              <w:right w:val="single" w:sz="4" w:space="0" w:color="auto"/>
            </w:tcBorders>
          </w:tcPr>
          <w:p w:rsidR="00F85EF7" w:rsidRPr="00557E6C" w:rsidRDefault="00F85EF7" w:rsidP="00557E6C">
            <w:pPr>
              <w:rPr>
                <w:rFonts w:ascii="Arial Narrow" w:hAnsi="Arial Narrow"/>
                <w:sz w:val="20"/>
                <w:szCs w:val="20"/>
              </w:rPr>
            </w:pPr>
            <w:r w:rsidRPr="00557E6C">
              <w:rPr>
                <w:rFonts w:ascii="Arial Narrow" w:hAnsi="Arial Narrow"/>
                <w:sz w:val="20"/>
                <w:szCs w:val="20"/>
              </w:rPr>
              <w:t>-</w:t>
            </w:r>
          </w:p>
        </w:tc>
      </w:tr>
      <w:tr w:rsidR="00F85EF7" w:rsidRPr="00557E6C" w:rsidTr="00557E6C">
        <w:trPr>
          <w:cantSplit/>
          <w:trHeight w:val="360"/>
        </w:trPr>
        <w:tc>
          <w:tcPr>
            <w:tcW w:w="3261" w:type="dxa"/>
            <w:tcBorders>
              <w:top w:val="single" w:sz="4" w:space="0" w:color="auto"/>
              <w:left w:val="single" w:sz="4" w:space="0" w:color="auto"/>
              <w:bottom w:val="single" w:sz="4" w:space="0" w:color="auto"/>
              <w:right w:val="single" w:sz="4" w:space="0" w:color="auto"/>
            </w:tcBorders>
          </w:tcPr>
          <w:p w:rsidR="00F85EF7" w:rsidRPr="00557E6C" w:rsidRDefault="00F85EF7" w:rsidP="00557E6C">
            <w:pPr>
              <w:rPr>
                <w:rFonts w:ascii="Arial Narrow" w:hAnsi="Arial Narrow"/>
                <w:sz w:val="20"/>
                <w:szCs w:val="20"/>
              </w:rPr>
            </w:pPr>
            <w:r w:rsidRPr="00557E6C">
              <w:rPr>
                <w:rFonts w:ascii="Arial Narrow" w:hAnsi="Arial Narrow"/>
                <w:b/>
                <w:sz w:val="20"/>
                <w:szCs w:val="20"/>
              </w:rPr>
              <w:t>Clinical criteria:</w:t>
            </w:r>
          </w:p>
        </w:tc>
        <w:tc>
          <w:tcPr>
            <w:tcW w:w="5811" w:type="dxa"/>
            <w:gridSpan w:val="5"/>
            <w:tcBorders>
              <w:top w:val="single" w:sz="4" w:space="0" w:color="auto"/>
              <w:left w:val="single" w:sz="4" w:space="0" w:color="auto"/>
              <w:bottom w:val="single" w:sz="4" w:space="0" w:color="auto"/>
              <w:right w:val="single" w:sz="4" w:space="0" w:color="auto"/>
            </w:tcBorders>
          </w:tcPr>
          <w:p w:rsidR="00F85EF7" w:rsidRPr="00557E6C" w:rsidRDefault="00F85EF7" w:rsidP="00557E6C">
            <w:pPr>
              <w:rPr>
                <w:rFonts w:ascii="Arial Narrow" w:hAnsi="Arial Narrow"/>
                <w:sz w:val="20"/>
                <w:szCs w:val="20"/>
              </w:rPr>
            </w:pPr>
            <w:r w:rsidRPr="00557E6C">
              <w:rPr>
                <w:rFonts w:ascii="Arial Narrow" w:hAnsi="Arial Narrow"/>
                <w:sz w:val="20"/>
                <w:szCs w:val="20"/>
              </w:rPr>
              <w:t>The treatment must be the sole PBS-subsidised therapy for this condition.</w:t>
            </w:r>
          </w:p>
          <w:p w:rsidR="00F85EF7" w:rsidRPr="00557E6C" w:rsidRDefault="00F85EF7" w:rsidP="00557E6C">
            <w:pPr>
              <w:rPr>
                <w:rFonts w:ascii="Arial Narrow" w:hAnsi="Arial Narrow"/>
                <w:sz w:val="20"/>
                <w:szCs w:val="20"/>
              </w:rPr>
            </w:pPr>
            <w:r w:rsidRPr="00557E6C">
              <w:rPr>
                <w:rFonts w:ascii="Arial Narrow" w:hAnsi="Arial Narrow"/>
                <w:sz w:val="20"/>
                <w:szCs w:val="20"/>
              </w:rPr>
              <w:t>AND</w:t>
            </w:r>
          </w:p>
          <w:p w:rsidR="00F85EF7" w:rsidRPr="00557E6C" w:rsidRDefault="00F85EF7" w:rsidP="00557E6C">
            <w:pPr>
              <w:rPr>
                <w:rFonts w:ascii="Arial Narrow" w:hAnsi="Arial Narrow"/>
                <w:sz w:val="20"/>
                <w:szCs w:val="20"/>
              </w:rPr>
            </w:pPr>
            <w:r w:rsidRPr="00557E6C">
              <w:rPr>
                <w:rFonts w:ascii="Arial Narrow" w:hAnsi="Arial Narrow"/>
                <w:sz w:val="20"/>
                <w:szCs w:val="20"/>
              </w:rPr>
              <w:t>Patient must have previously received PBS-subsidised treatment with this drug for this condition</w:t>
            </w:r>
          </w:p>
          <w:p w:rsidR="00F85EF7" w:rsidRPr="00557E6C" w:rsidRDefault="00F85EF7" w:rsidP="00557E6C">
            <w:pPr>
              <w:rPr>
                <w:rFonts w:ascii="Arial Narrow" w:hAnsi="Arial Narrow"/>
                <w:sz w:val="20"/>
                <w:szCs w:val="20"/>
              </w:rPr>
            </w:pPr>
            <w:r w:rsidRPr="00557E6C">
              <w:rPr>
                <w:rFonts w:ascii="Arial Narrow" w:hAnsi="Arial Narrow"/>
                <w:sz w:val="20"/>
                <w:szCs w:val="20"/>
              </w:rPr>
              <w:t>AND</w:t>
            </w:r>
          </w:p>
          <w:p w:rsidR="00F85EF7" w:rsidRPr="00557E6C" w:rsidRDefault="00F85EF7" w:rsidP="001C0777">
            <w:pPr>
              <w:rPr>
                <w:rFonts w:ascii="Arial Narrow" w:hAnsi="Arial Narrow"/>
                <w:sz w:val="20"/>
                <w:szCs w:val="20"/>
              </w:rPr>
            </w:pPr>
            <w:r w:rsidRPr="00557E6C">
              <w:rPr>
                <w:rFonts w:ascii="Arial Narrow" w:hAnsi="Arial Narrow"/>
                <w:sz w:val="20"/>
                <w:szCs w:val="20"/>
              </w:rPr>
              <w:t>Patient must not develop disease progression whilst being treated with this drug for this condition</w:t>
            </w:r>
            <w:r w:rsidRPr="00557E6C">
              <w:rPr>
                <w:rFonts w:ascii="Arial Narrow" w:hAnsi="Arial Narrow"/>
                <w:strike/>
                <w:sz w:val="20"/>
                <w:szCs w:val="20"/>
              </w:rPr>
              <w:t xml:space="preserve"> </w:t>
            </w:r>
          </w:p>
        </w:tc>
      </w:tr>
      <w:tr w:rsidR="00F85EF7" w:rsidRPr="00557E6C" w:rsidTr="00557E6C">
        <w:trPr>
          <w:cantSplit/>
          <w:trHeight w:val="360"/>
        </w:trPr>
        <w:tc>
          <w:tcPr>
            <w:tcW w:w="3261" w:type="dxa"/>
            <w:tcBorders>
              <w:top w:val="single" w:sz="4" w:space="0" w:color="auto"/>
              <w:left w:val="single" w:sz="4" w:space="0" w:color="auto"/>
              <w:bottom w:val="single" w:sz="4" w:space="0" w:color="auto"/>
              <w:right w:val="single" w:sz="4" w:space="0" w:color="auto"/>
            </w:tcBorders>
          </w:tcPr>
          <w:p w:rsidR="00F85EF7" w:rsidRPr="00557E6C" w:rsidRDefault="00F85EF7" w:rsidP="00557E6C">
            <w:pPr>
              <w:rPr>
                <w:rFonts w:ascii="Arial Narrow" w:hAnsi="Arial Narrow"/>
                <w:b/>
                <w:sz w:val="20"/>
                <w:szCs w:val="20"/>
              </w:rPr>
            </w:pPr>
            <w:r w:rsidRPr="00557E6C">
              <w:rPr>
                <w:rFonts w:ascii="Arial Narrow" w:hAnsi="Arial Narrow"/>
                <w:b/>
                <w:sz w:val="20"/>
                <w:szCs w:val="20"/>
              </w:rPr>
              <w:t>Population criteria:</w:t>
            </w:r>
          </w:p>
        </w:tc>
        <w:tc>
          <w:tcPr>
            <w:tcW w:w="5811" w:type="dxa"/>
            <w:gridSpan w:val="5"/>
            <w:tcBorders>
              <w:top w:val="single" w:sz="4" w:space="0" w:color="auto"/>
              <w:left w:val="single" w:sz="4" w:space="0" w:color="auto"/>
              <w:bottom w:val="single" w:sz="4" w:space="0" w:color="auto"/>
              <w:right w:val="single" w:sz="4" w:space="0" w:color="auto"/>
            </w:tcBorders>
          </w:tcPr>
          <w:p w:rsidR="00F85EF7" w:rsidRPr="00557E6C" w:rsidRDefault="001C0777" w:rsidP="00557E6C">
            <w:pPr>
              <w:rPr>
                <w:rFonts w:ascii="Arial Narrow" w:hAnsi="Arial Narrow"/>
                <w:strike/>
                <w:sz w:val="20"/>
                <w:szCs w:val="20"/>
              </w:rPr>
            </w:pPr>
            <w:r w:rsidRPr="00557E6C">
              <w:rPr>
                <w:rFonts w:ascii="Arial Narrow" w:hAnsi="Arial Narrow"/>
                <w:strike/>
                <w:sz w:val="20"/>
                <w:szCs w:val="20"/>
              </w:rPr>
              <w:t>-</w:t>
            </w:r>
          </w:p>
        </w:tc>
      </w:tr>
      <w:tr w:rsidR="00F85EF7" w:rsidRPr="00557E6C" w:rsidTr="00557E6C">
        <w:trPr>
          <w:cantSplit/>
          <w:trHeight w:val="360"/>
        </w:trPr>
        <w:tc>
          <w:tcPr>
            <w:tcW w:w="3261" w:type="dxa"/>
            <w:tcBorders>
              <w:top w:val="single" w:sz="4" w:space="0" w:color="auto"/>
              <w:left w:val="single" w:sz="4" w:space="0" w:color="auto"/>
              <w:bottom w:val="single" w:sz="4" w:space="0" w:color="auto"/>
              <w:right w:val="single" w:sz="4" w:space="0" w:color="auto"/>
            </w:tcBorders>
          </w:tcPr>
          <w:p w:rsidR="00F85EF7" w:rsidRPr="00557E6C" w:rsidRDefault="00F85EF7" w:rsidP="00557E6C">
            <w:pPr>
              <w:rPr>
                <w:rFonts w:ascii="Arial Narrow" w:hAnsi="Arial Narrow"/>
                <w:i/>
                <w:sz w:val="20"/>
                <w:szCs w:val="20"/>
              </w:rPr>
            </w:pPr>
            <w:r w:rsidRPr="00557E6C">
              <w:rPr>
                <w:rFonts w:ascii="Arial Narrow" w:hAnsi="Arial Narrow"/>
                <w:b/>
                <w:sz w:val="20"/>
                <w:szCs w:val="20"/>
              </w:rPr>
              <w:t>Administrative Advice</w:t>
            </w:r>
          </w:p>
        </w:tc>
        <w:tc>
          <w:tcPr>
            <w:tcW w:w="5811" w:type="dxa"/>
            <w:gridSpan w:val="5"/>
            <w:tcBorders>
              <w:top w:val="single" w:sz="4" w:space="0" w:color="auto"/>
              <w:left w:val="single" w:sz="4" w:space="0" w:color="auto"/>
              <w:bottom w:val="single" w:sz="4" w:space="0" w:color="auto"/>
              <w:right w:val="single" w:sz="4" w:space="0" w:color="auto"/>
            </w:tcBorders>
          </w:tcPr>
          <w:p w:rsidR="00F85EF7" w:rsidRPr="00557E6C" w:rsidRDefault="00F85EF7" w:rsidP="00557E6C">
            <w:pPr>
              <w:rPr>
                <w:rFonts w:ascii="Arial Narrow" w:hAnsi="Arial Narrow"/>
                <w:sz w:val="20"/>
                <w:szCs w:val="20"/>
              </w:rPr>
            </w:pPr>
            <w:r w:rsidRPr="00557E6C">
              <w:rPr>
                <w:rFonts w:ascii="Arial Narrow" w:hAnsi="Arial Narrow"/>
                <w:sz w:val="20"/>
                <w:szCs w:val="20"/>
              </w:rPr>
              <w:t>No increase in the maximum number of repeats may be authorised.</w:t>
            </w:r>
          </w:p>
          <w:p w:rsidR="00F85EF7" w:rsidRPr="00557E6C" w:rsidRDefault="00F85EF7" w:rsidP="00557E6C">
            <w:pPr>
              <w:rPr>
                <w:rFonts w:ascii="Arial Narrow" w:hAnsi="Arial Narrow"/>
                <w:sz w:val="20"/>
                <w:szCs w:val="20"/>
              </w:rPr>
            </w:pPr>
            <w:r w:rsidRPr="00557E6C">
              <w:rPr>
                <w:rFonts w:ascii="Arial Narrow" w:hAnsi="Arial Narrow"/>
                <w:sz w:val="20"/>
                <w:szCs w:val="20"/>
              </w:rPr>
              <w:t>Special Pricing Arrangements apply</w:t>
            </w:r>
          </w:p>
        </w:tc>
      </w:tr>
    </w:tbl>
    <w:p w:rsidR="00100505" w:rsidRPr="00C07617" w:rsidRDefault="00100505" w:rsidP="00100505">
      <w:pPr>
        <w:pStyle w:val="PBACHeading1"/>
        <w:spacing w:before="240" w:after="120"/>
        <w:ind w:left="709" w:hanging="709"/>
        <w:rPr>
          <w:rFonts w:asciiTheme="minorHAnsi" w:hAnsiTheme="minorHAnsi"/>
          <w:b w:val="0"/>
          <w:sz w:val="32"/>
        </w:rPr>
      </w:pPr>
      <w:r w:rsidRPr="00C07617">
        <w:rPr>
          <w:rFonts w:asciiTheme="minorHAnsi" w:hAnsiTheme="minorHAnsi"/>
          <w:sz w:val="32"/>
        </w:rPr>
        <w:tab/>
        <w:t>Context for Decision</w:t>
      </w:r>
    </w:p>
    <w:p w:rsidR="00100505" w:rsidRPr="00100505" w:rsidRDefault="00100505" w:rsidP="00100505">
      <w:pPr>
        <w:jc w:val="both"/>
        <w:rPr>
          <w:rFonts w:asciiTheme="minorHAnsi" w:hAnsiTheme="minorHAnsi" w:cs="Arial"/>
        </w:rPr>
      </w:pPr>
      <w:r w:rsidRPr="00C07617">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100505" w:rsidRPr="00C07617" w:rsidRDefault="00100505" w:rsidP="00100505">
      <w:pPr>
        <w:pStyle w:val="PBACHeading1"/>
        <w:spacing w:before="240" w:after="120"/>
        <w:ind w:left="709" w:hanging="709"/>
        <w:rPr>
          <w:rFonts w:asciiTheme="minorHAnsi" w:hAnsiTheme="minorHAnsi"/>
          <w:b w:val="0"/>
          <w:sz w:val="32"/>
        </w:rPr>
      </w:pPr>
      <w:r>
        <w:rPr>
          <w:rFonts w:asciiTheme="minorHAnsi" w:hAnsiTheme="minorHAnsi"/>
          <w:sz w:val="32"/>
        </w:rPr>
        <w:t>Sponsor’s Comment</w:t>
      </w:r>
    </w:p>
    <w:p w:rsidR="00100505" w:rsidRPr="00C07617" w:rsidRDefault="00100505" w:rsidP="00100505">
      <w:pPr>
        <w:spacing w:after="120"/>
        <w:jc w:val="both"/>
        <w:rPr>
          <w:rFonts w:asciiTheme="minorHAnsi" w:hAnsiTheme="minorHAnsi" w:cs="Arial"/>
          <w:bCs/>
        </w:rPr>
      </w:pPr>
      <w:r w:rsidRPr="00C07617">
        <w:rPr>
          <w:rFonts w:asciiTheme="minorHAnsi" w:hAnsiTheme="minorHAnsi" w:cs="Arial"/>
          <w:bCs/>
        </w:rPr>
        <w:t>The sponsor had no comment.</w:t>
      </w:r>
    </w:p>
    <w:p w:rsidR="00093E49" w:rsidRPr="00557E6C" w:rsidRDefault="00093E49" w:rsidP="002F2792"/>
    <w:sectPr w:rsidR="00093E49" w:rsidRPr="00557E6C"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3AB7FD" w16cid:durableId="1F986AC5"/>
  <w16cid:commentId w16cid:paraId="1C3A4B63" w16cid:durableId="1F986B0E"/>
  <w16cid:commentId w16cid:paraId="007F9729" w16cid:durableId="1F986B19"/>
  <w16cid:commentId w16cid:paraId="034987A9" w16cid:durableId="1F986AC6"/>
  <w16cid:commentId w16cid:paraId="6ED154F5" w16cid:durableId="1F986AEC"/>
  <w16cid:commentId w16cid:paraId="36E601FD" w16cid:durableId="1F986AC7"/>
  <w16cid:commentId w16cid:paraId="370FC39A" w16cid:durableId="1F986AF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8E2" w:rsidRDefault="00A138E2">
      <w:r>
        <w:separator/>
      </w:r>
    </w:p>
    <w:p w:rsidR="00A138E2" w:rsidRDefault="00A138E2"/>
  </w:endnote>
  <w:endnote w:type="continuationSeparator" w:id="0">
    <w:p w:rsidR="00A138E2" w:rsidRDefault="00A138E2">
      <w:r>
        <w:continuationSeparator/>
      </w:r>
    </w:p>
    <w:p w:rsidR="00A138E2" w:rsidRDefault="00A138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Microsoft JhengHei"/>
    <w:panose1 w:val="02010601000101010101"/>
    <w:charset w:val="88"/>
    <w:family w:val="roman"/>
    <w:pitch w:val="variable"/>
    <w:sig w:usb0="00000000" w:usb1="28CFFCFA" w:usb2="00000016" w:usb3="00000000" w:csb0="00100001"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886C1B" w:rsidTr="005A3173">
      <w:trPr>
        <w:trHeight w:val="151"/>
      </w:trPr>
      <w:tc>
        <w:tcPr>
          <w:tcW w:w="2250" w:type="pct"/>
          <w:tcBorders>
            <w:top w:val="nil"/>
            <w:left w:val="nil"/>
            <w:bottom w:val="single" w:sz="4" w:space="0" w:color="4F81BD"/>
            <w:right w:val="nil"/>
          </w:tcBorders>
        </w:tcPr>
        <w:p w:rsidR="00886C1B" w:rsidRPr="005A3173" w:rsidRDefault="00886C1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886C1B" w:rsidRPr="005A3173" w:rsidRDefault="00886C1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86C1B" w:rsidRPr="005A3173" w:rsidRDefault="00886C1B" w:rsidP="005A3173">
          <w:pPr>
            <w:pStyle w:val="Header"/>
            <w:spacing w:line="276" w:lineRule="auto"/>
            <w:rPr>
              <w:rFonts w:ascii="Calibri" w:eastAsia="MS Gothic" w:hAnsi="Calibri"/>
              <w:b/>
              <w:bCs/>
              <w:color w:val="4F81BD"/>
            </w:rPr>
          </w:pPr>
        </w:p>
      </w:tc>
    </w:tr>
    <w:tr w:rsidR="00886C1B" w:rsidTr="005A3173">
      <w:trPr>
        <w:trHeight w:val="150"/>
      </w:trPr>
      <w:tc>
        <w:tcPr>
          <w:tcW w:w="2250" w:type="pct"/>
          <w:tcBorders>
            <w:top w:val="single" w:sz="4" w:space="0" w:color="4F81BD"/>
            <w:left w:val="nil"/>
            <w:bottom w:val="nil"/>
            <w:right w:val="nil"/>
          </w:tcBorders>
        </w:tcPr>
        <w:p w:rsidR="00886C1B" w:rsidRPr="005A3173" w:rsidRDefault="00886C1B" w:rsidP="005A3173">
          <w:pPr>
            <w:pStyle w:val="Header"/>
            <w:spacing w:line="276" w:lineRule="auto"/>
            <w:rPr>
              <w:rFonts w:ascii="Calibri" w:eastAsia="MS Gothic" w:hAnsi="Calibri"/>
              <w:b/>
              <w:bCs/>
              <w:color w:val="4F81BD"/>
            </w:rPr>
          </w:pPr>
        </w:p>
      </w:tc>
      <w:tc>
        <w:tcPr>
          <w:tcW w:w="0" w:type="auto"/>
          <w:vMerge/>
          <w:vAlign w:val="center"/>
          <w:hideMark/>
        </w:tcPr>
        <w:p w:rsidR="00886C1B" w:rsidRPr="005A3173" w:rsidRDefault="00886C1B" w:rsidP="005A3173">
          <w:pPr>
            <w:rPr>
              <w:rFonts w:ascii="Calibri" w:hAnsi="Calibri"/>
              <w:color w:val="365F91"/>
              <w:sz w:val="22"/>
              <w:szCs w:val="22"/>
            </w:rPr>
          </w:pPr>
        </w:p>
      </w:tc>
      <w:tc>
        <w:tcPr>
          <w:tcW w:w="2250" w:type="pct"/>
          <w:tcBorders>
            <w:top w:val="single" w:sz="4" w:space="0" w:color="4F81BD"/>
            <w:left w:val="nil"/>
            <w:bottom w:val="nil"/>
            <w:right w:val="nil"/>
          </w:tcBorders>
        </w:tcPr>
        <w:p w:rsidR="00886C1B" w:rsidRPr="005A3173" w:rsidRDefault="00886C1B" w:rsidP="005A3173">
          <w:pPr>
            <w:pStyle w:val="Header"/>
            <w:spacing w:line="276" w:lineRule="auto"/>
            <w:rPr>
              <w:rFonts w:ascii="Calibri" w:eastAsia="MS Gothic" w:hAnsi="Calibri"/>
              <w:b/>
              <w:bCs/>
              <w:color w:val="4F81BD"/>
            </w:rPr>
          </w:pPr>
        </w:p>
      </w:tc>
    </w:tr>
  </w:tbl>
  <w:p w:rsidR="00886C1B" w:rsidRDefault="00886C1B"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86C1B" w:rsidRDefault="00886C1B">
    <w:pPr>
      <w:pStyle w:val="Footer"/>
    </w:pPr>
  </w:p>
  <w:p w:rsidR="00886C1B" w:rsidRDefault="00886C1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C1B" w:rsidRDefault="00886C1B" w:rsidP="00EF44A0">
    <w:pPr>
      <w:pStyle w:val="Footer"/>
      <w:jc w:val="center"/>
      <w:rPr>
        <w:rFonts w:ascii="Arial" w:hAnsi="Arial" w:cs="Arial"/>
        <w:b/>
        <w:sz w:val="20"/>
        <w:szCs w:val="20"/>
      </w:rPr>
    </w:pPr>
    <w:r w:rsidRPr="00FC40D0">
      <w:rPr>
        <w:rFonts w:ascii="Arial" w:hAnsi="Arial" w:cs="Arial"/>
        <w:b/>
        <w:sz w:val="20"/>
        <w:szCs w:val="20"/>
      </w:rPr>
      <w:fldChar w:fldCharType="begin"/>
    </w:r>
    <w:r w:rsidRPr="00FC40D0">
      <w:rPr>
        <w:rFonts w:ascii="Arial" w:hAnsi="Arial" w:cs="Arial"/>
        <w:b/>
        <w:sz w:val="20"/>
        <w:szCs w:val="20"/>
      </w:rPr>
      <w:instrText xml:space="preserve"> PAGE   \* MERGEFORMAT </w:instrText>
    </w:r>
    <w:r w:rsidRPr="00FC40D0">
      <w:rPr>
        <w:rFonts w:ascii="Arial" w:hAnsi="Arial" w:cs="Arial"/>
        <w:b/>
        <w:sz w:val="20"/>
        <w:szCs w:val="20"/>
      </w:rPr>
      <w:fldChar w:fldCharType="separate"/>
    </w:r>
    <w:r w:rsidR="001058B5">
      <w:rPr>
        <w:rFonts w:ascii="Arial" w:hAnsi="Arial" w:cs="Arial"/>
        <w:b/>
        <w:noProof/>
        <w:sz w:val="20"/>
        <w:szCs w:val="20"/>
      </w:rPr>
      <w:t>8</w:t>
    </w:r>
    <w:r w:rsidRPr="00FC40D0">
      <w:rPr>
        <w:rFonts w:ascii="Arial" w:hAnsi="Arial" w:cs="Arial"/>
        <w:b/>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886C1B" w:rsidTr="005A3173">
      <w:trPr>
        <w:trHeight w:val="151"/>
      </w:trPr>
      <w:tc>
        <w:tcPr>
          <w:tcW w:w="2250" w:type="pct"/>
          <w:tcBorders>
            <w:top w:val="nil"/>
            <w:left w:val="nil"/>
            <w:bottom w:val="single" w:sz="4" w:space="0" w:color="4F81BD"/>
            <w:right w:val="nil"/>
          </w:tcBorders>
        </w:tcPr>
        <w:p w:rsidR="00886C1B" w:rsidRPr="005A3173" w:rsidRDefault="00886C1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886C1B" w:rsidRPr="005A3173" w:rsidRDefault="00886C1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86C1B" w:rsidRPr="005A3173" w:rsidRDefault="00886C1B" w:rsidP="005A3173">
          <w:pPr>
            <w:pStyle w:val="Header"/>
            <w:spacing w:line="276" w:lineRule="auto"/>
            <w:rPr>
              <w:rFonts w:ascii="Calibri" w:eastAsia="MS Gothic" w:hAnsi="Calibri"/>
              <w:b/>
              <w:bCs/>
              <w:color w:val="4F81BD"/>
            </w:rPr>
          </w:pPr>
        </w:p>
      </w:tc>
    </w:tr>
    <w:tr w:rsidR="00886C1B" w:rsidTr="005A3173">
      <w:trPr>
        <w:trHeight w:val="150"/>
      </w:trPr>
      <w:tc>
        <w:tcPr>
          <w:tcW w:w="2250" w:type="pct"/>
          <w:tcBorders>
            <w:top w:val="single" w:sz="4" w:space="0" w:color="4F81BD"/>
            <w:left w:val="nil"/>
            <w:bottom w:val="nil"/>
            <w:right w:val="nil"/>
          </w:tcBorders>
        </w:tcPr>
        <w:p w:rsidR="00886C1B" w:rsidRPr="005A3173" w:rsidRDefault="00886C1B" w:rsidP="005A3173">
          <w:pPr>
            <w:pStyle w:val="Header"/>
            <w:spacing w:line="276" w:lineRule="auto"/>
            <w:rPr>
              <w:rFonts w:ascii="Calibri" w:eastAsia="MS Gothic" w:hAnsi="Calibri"/>
              <w:b/>
              <w:bCs/>
              <w:color w:val="4F81BD"/>
            </w:rPr>
          </w:pPr>
        </w:p>
      </w:tc>
      <w:tc>
        <w:tcPr>
          <w:tcW w:w="0" w:type="auto"/>
          <w:vMerge/>
          <w:vAlign w:val="center"/>
          <w:hideMark/>
        </w:tcPr>
        <w:p w:rsidR="00886C1B" w:rsidRPr="005A3173" w:rsidRDefault="00886C1B" w:rsidP="005A3173">
          <w:pPr>
            <w:rPr>
              <w:rFonts w:ascii="Calibri" w:hAnsi="Calibri"/>
              <w:color w:val="365F91"/>
              <w:sz w:val="22"/>
              <w:szCs w:val="22"/>
            </w:rPr>
          </w:pPr>
        </w:p>
      </w:tc>
      <w:tc>
        <w:tcPr>
          <w:tcW w:w="2250" w:type="pct"/>
          <w:tcBorders>
            <w:top w:val="single" w:sz="4" w:space="0" w:color="4F81BD"/>
            <w:left w:val="nil"/>
            <w:bottom w:val="nil"/>
            <w:right w:val="nil"/>
          </w:tcBorders>
        </w:tcPr>
        <w:p w:rsidR="00886C1B" w:rsidRPr="005A3173" w:rsidRDefault="00886C1B"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886C1B" w:rsidTr="005A3173">
      <w:trPr>
        <w:trHeight w:val="151"/>
      </w:trPr>
      <w:tc>
        <w:tcPr>
          <w:tcW w:w="2250" w:type="pct"/>
          <w:tcBorders>
            <w:top w:val="nil"/>
            <w:left w:val="nil"/>
            <w:bottom w:val="single" w:sz="4" w:space="0" w:color="4F81BD"/>
            <w:right w:val="nil"/>
          </w:tcBorders>
        </w:tcPr>
        <w:p w:rsidR="00886C1B" w:rsidRPr="005A3173" w:rsidRDefault="00886C1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886C1B" w:rsidRPr="005A3173" w:rsidRDefault="00886C1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86C1B" w:rsidRPr="005A3173" w:rsidRDefault="00886C1B" w:rsidP="005A3173">
          <w:pPr>
            <w:pStyle w:val="Header"/>
            <w:spacing w:line="276" w:lineRule="auto"/>
            <w:rPr>
              <w:rFonts w:ascii="Calibri" w:eastAsia="MS Gothic" w:hAnsi="Calibri"/>
              <w:b/>
              <w:bCs/>
              <w:color w:val="4F81BD"/>
            </w:rPr>
          </w:pPr>
        </w:p>
      </w:tc>
    </w:tr>
    <w:tr w:rsidR="00886C1B" w:rsidTr="005A3173">
      <w:trPr>
        <w:trHeight w:val="150"/>
      </w:trPr>
      <w:tc>
        <w:tcPr>
          <w:tcW w:w="2250" w:type="pct"/>
          <w:tcBorders>
            <w:top w:val="single" w:sz="4" w:space="0" w:color="4F81BD"/>
            <w:left w:val="nil"/>
            <w:bottom w:val="nil"/>
            <w:right w:val="nil"/>
          </w:tcBorders>
        </w:tcPr>
        <w:p w:rsidR="00886C1B" w:rsidRPr="005A3173" w:rsidRDefault="00886C1B" w:rsidP="005A3173">
          <w:pPr>
            <w:pStyle w:val="Header"/>
            <w:spacing w:line="276" w:lineRule="auto"/>
            <w:rPr>
              <w:rFonts w:ascii="Calibri" w:eastAsia="MS Gothic" w:hAnsi="Calibri"/>
              <w:b/>
              <w:bCs/>
              <w:color w:val="4F81BD"/>
            </w:rPr>
          </w:pPr>
        </w:p>
      </w:tc>
      <w:tc>
        <w:tcPr>
          <w:tcW w:w="0" w:type="auto"/>
          <w:vMerge/>
          <w:vAlign w:val="center"/>
          <w:hideMark/>
        </w:tcPr>
        <w:p w:rsidR="00886C1B" w:rsidRPr="005A3173" w:rsidRDefault="00886C1B" w:rsidP="005A3173">
          <w:pPr>
            <w:rPr>
              <w:rFonts w:ascii="Calibri" w:hAnsi="Calibri"/>
              <w:color w:val="365F91"/>
              <w:sz w:val="22"/>
              <w:szCs w:val="22"/>
            </w:rPr>
          </w:pPr>
        </w:p>
      </w:tc>
      <w:tc>
        <w:tcPr>
          <w:tcW w:w="2250" w:type="pct"/>
          <w:tcBorders>
            <w:top w:val="single" w:sz="4" w:space="0" w:color="4F81BD"/>
            <w:left w:val="nil"/>
            <w:bottom w:val="nil"/>
            <w:right w:val="nil"/>
          </w:tcBorders>
        </w:tcPr>
        <w:p w:rsidR="00886C1B" w:rsidRPr="005A3173" w:rsidRDefault="00886C1B" w:rsidP="005A3173">
          <w:pPr>
            <w:pStyle w:val="Header"/>
            <w:spacing w:line="276" w:lineRule="auto"/>
            <w:rPr>
              <w:rFonts w:ascii="Calibri" w:eastAsia="MS Gothic" w:hAnsi="Calibri"/>
              <w:b/>
              <w:bCs/>
              <w:color w:val="4F81BD"/>
            </w:rPr>
          </w:pPr>
        </w:p>
      </w:tc>
    </w:tr>
  </w:tbl>
  <w:p w:rsidR="00886C1B" w:rsidRPr="007C0F57" w:rsidRDefault="00886C1B"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886C1B" w:rsidRPr="007C0F57" w:rsidRDefault="00886C1B" w:rsidP="007C0F57">
    <w:pPr>
      <w:pStyle w:val="Footer"/>
      <w:jc w:val="center"/>
      <w:rPr>
        <w:b/>
        <w:i/>
        <w:sz w:val="20"/>
        <w:szCs w:val="20"/>
      </w:rPr>
    </w:pPr>
    <w:r w:rsidRPr="007C0F57">
      <w:rPr>
        <w:b/>
        <w:i/>
        <w:sz w:val="20"/>
        <w:szCs w:val="20"/>
      </w:rPr>
      <w:t>Commercial-in-Confidence</w:t>
    </w:r>
  </w:p>
  <w:p w:rsidR="00886C1B" w:rsidRDefault="00886C1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8E2" w:rsidRDefault="00A138E2">
      <w:r>
        <w:separator/>
      </w:r>
    </w:p>
    <w:p w:rsidR="00A138E2" w:rsidRDefault="00A138E2"/>
  </w:footnote>
  <w:footnote w:type="continuationSeparator" w:id="0">
    <w:p w:rsidR="00A138E2" w:rsidRDefault="00A138E2">
      <w:r>
        <w:continuationSeparator/>
      </w:r>
    </w:p>
    <w:p w:rsidR="00A138E2" w:rsidRDefault="00A138E2"/>
  </w:footnote>
  <w:footnote w:id="1">
    <w:p w:rsidR="00886C1B" w:rsidRDefault="00886C1B" w:rsidP="001058B5">
      <w:pPr>
        <w:pStyle w:val="CommentText"/>
      </w:pPr>
      <w:r>
        <w:rPr>
          <w:rStyle w:val="FootnoteReference"/>
        </w:rPr>
        <w:footnoteRef/>
      </w:r>
      <w:r>
        <w:t xml:space="preserve"> For example, between February 2009 and September 2017 there </w:t>
      </w:r>
      <w:proofErr w:type="gramStart"/>
      <w:r>
        <w:t>were 3,167 initial scripts and 8,841 continuing scripts dispensed</w:t>
      </w:r>
      <w:proofErr w:type="gramEnd"/>
      <w:r>
        <w:t xml:space="preserve"> for </w:t>
      </w:r>
      <w:proofErr w:type="spellStart"/>
      <w:r>
        <w:t>sorafenib</w:t>
      </w:r>
      <w:proofErr w:type="spellEnd"/>
      <w:r>
        <w:t xml:space="preserve"> for HCC. On average, each initial script is associated with 2.8 continuing scripts (8,841/3,167). This equates to 2.8 months of treatment. On </w:t>
      </w:r>
      <w:proofErr w:type="gramStart"/>
      <w:r>
        <w:t>average</w:t>
      </w:r>
      <w:proofErr w:type="gramEnd"/>
      <w:r>
        <w:t xml:space="preserve"> each patient is treated with </w:t>
      </w:r>
      <w:proofErr w:type="spellStart"/>
      <w:r>
        <w:t>sorafenib</w:t>
      </w:r>
      <w:proofErr w:type="spellEnd"/>
      <w:r>
        <w:t xml:space="preserve"> for 3.8 months (1 month with an initial script plus 2.8 months with continuing scripts).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886C1B" w:rsidRPr="008E0D90" w:rsidTr="00A06225">
      <w:trPr>
        <w:trHeight w:val="151"/>
      </w:trPr>
      <w:tc>
        <w:tcPr>
          <w:tcW w:w="2389" w:type="pct"/>
          <w:tcBorders>
            <w:top w:val="nil"/>
            <w:left w:val="nil"/>
            <w:bottom w:val="single" w:sz="4" w:space="0" w:color="4F81BD"/>
            <w:right w:val="nil"/>
          </w:tcBorders>
        </w:tcPr>
        <w:p w:rsidR="00886C1B" w:rsidRPr="00A06225" w:rsidRDefault="00886C1B">
          <w:pPr>
            <w:pStyle w:val="Header"/>
            <w:spacing w:line="276" w:lineRule="auto"/>
            <w:rPr>
              <w:rFonts w:ascii="Cambria" w:eastAsia="MS Gothic" w:hAnsi="Cambria"/>
              <w:b/>
              <w:bCs/>
              <w:color w:val="4F81BD"/>
            </w:rPr>
          </w:pPr>
        </w:p>
      </w:tc>
      <w:tc>
        <w:tcPr>
          <w:tcW w:w="333" w:type="pct"/>
          <w:vMerge w:val="restart"/>
          <w:noWrap/>
          <w:vAlign w:val="center"/>
          <w:hideMark/>
        </w:tcPr>
        <w:p w:rsidR="00886C1B" w:rsidRPr="00A06225" w:rsidRDefault="00886C1B"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886C1B" w:rsidRPr="00A06225" w:rsidRDefault="00886C1B">
          <w:pPr>
            <w:pStyle w:val="Header"/>
            <w:spacing w:line="276" w:lineRule="auto"/>
            <w:rPr>
              <w:rFonts w:ascii="Cambria" w:eastAsia="MS Gothic" w:hAnsi="Cambria"/>
              <w:b/>
              <w:bCs/>
              <w:color w:val="4F81BD"/>
            </w:rPr>
          </w:pPr>
        </w:p>
      </w:tc>
    </w:tr>
    <w:tr w:rsidR="00886C1B" w:rsidRPr="008E0D90" w:rsidTr="00A06225">
      <w:trPr>
        <w:trHeight w:val="150"/>
      </w:trPr>
      <w:tc>
        <w:tcPr>
          <w:tcW w:w="2389" w:type="pct"/>
          <w:tcBorders>
            <w:top w:val="single" w:sz="4" w:space="0" w:color="4F81BD"/>
            <w:left w:val="nil"/>
            <w:bottom w:val="nil"/>
            <w:right w:val="nil"/>
          </w:tcBorders>
        </w:tcPr>
        <w:p w:rsidR="00886C1B" w:rsidRPr="00A06225" w:rsidRDefault="00886C1B">
          <w:pPr>
            <w:pStyle w:val="Header"/>
            <w:spacing w:line="276" w:lineRule="auto"/>
            <w:rPr>
              <w:rFonts w:ascii="Cambria" w:eastAsia="MS Gothic" w:hAnsi="Cambria"/>
              <w:b/>
              <w:bCs/>
              <w:color w:val="4F81BD"/>
            </w:rPr>
          </w:pPr>
        </w:p>
      </w:tc>
      <w:tc>
        <w:tcPr>
          <w:tcW w:w="0" w:type="auto"/>
          <w:vMerge/>
          <w:vAlign w:val="center"/>
          <w:hideMark/>
        </w:tcPr>
        <w:p w:rsidR="00886C1B" w:rsidRPr="00A06225" w:rsidRDefault="00886C1B">
          <w:pPr>
            <w:rPr>
              <w:rFonts w:ascii="Cambria" w:hAnsi="Cambria"/>
              <w:color w:val="4F81BD"/>
              <w:sz w:val="22"/>
              <w:szCs w:val="22"/>
            </w:rPr>
          </w:pPr>
        </w:p>
      </w:tc>
      <w:tc>
        <w:tcPr>
          <w:tcW w:w="2278" w:type="pct"/>
          <w:tcBorders>
            <w:top w:val="single" w:sz="4" w:space="0" w:color="4F81BD"/>
            <w:left w:val="nil"/>
            <w:bottom w:val="nil"/>
            <w:right w:val="nil"/>
          </w:tcBorders>
        </w:tcPr>
        <w:p w:rsidR="00886C1B" w:rsidRPr="00A06225" w:rsidRDefault="00886C1B">
          <w:pPr>
            <w:pStyle w:val="Header"/>
            <w:spacing w:line="276" w:lineRule="auto"/>
            <w:rPr>
              <w:rFonts w:ascii="Cambria" w:eastAsia="MS Gothic" w:hAnsi="Cambria"/>
              <w:b/>
              <w:bCs/>
              <w:color w:val="4F81BD"/>
            </w:rPr>
          </w:pPr>
        </w:p>
      </w:tc>
    </w:tr>
  </w:tbl>
  <w:p w:rsidR="00886C1B" w:rsidRDefault="00886C1B">
    <w:pPr>
      <w:pStyle w:val="Header"/>
    </w:pPr>
  </w:p>
  <w:p w:rsidR="00886C1B" w:rsidRDefault="00886C1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C1B" w:rsidRPr="004468C8" w:rsidRDefault="00253880" w:rsidP="00FC40D0">
    <w:pPr>
      <w:pStyle w:val="Header"/>
      <w:jc w:val="center"/>
      <w:rPr>
        <w:rFonts w:asciiTheme="minorHAnsi" w:hAnsiTheme="minorHAnsi" w:cs="Arial"/>
        <w:i/>
      </w:rPr>
    </w:pPr>
    <w:r>
      <w:rPr>
        <w:rFonts w:asciiTheme="minorHAnsi" w:hAnsiTheme="minorHAnsi" w:cs="Arial"/>
        <w:i/>
      </w:rPr>
      <w:t>Public Summary Document</w:t>
    </w:r>
    <w:r w:rsidR="00886C1B" w:rsidRPr="004468C8">
      <w:rPr>
        <w:rFonts w:asciiTheme="minorHAnsi" w:hAnsiTheme="minorHAnsi" w:cs="Arial"/>
        <w:i/>
      </w:rPr>
      <w:t xml:space="preserve"> – November 2018 PBAC Meeting</w:t>
    </w:r>
  </w:p>
  <w:p w:rsidR="00886C1B" w:rsidRDefault="00886C1B"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CC7" w:rsidRDefault="005D5C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9A51ED9"/>
    <w:multiLevelType w:val="hybridMultilevel"/>
    <w:tmpl w:val="24DA42E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AF7B9A"/>
    <w:multiLevelType w:val="hybridMultilevel"/>
    <w:tmpl w:val="575863C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BF04505"/>
    <w:multiLevelType w:val="hybridMultilevel"/>
    <w:tmpl w:val="19CAA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030A16"/>
    <w:multiLevelType w:val="hybridMultilevel"/>
    <w:tmpl w:val="29D670BC"/>
    <w:lvl w:ilvl="0" w:tplc="D43C97D8">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C430CE"/>
    <w:multiLevelType w:val="hybridMultilevel"/>
    <w:tmpl w:val="FB8A8538"/>
    <w:lvl w:ilvl="0" w:tplc="2976D908">
      <w:start w:val="1"/>
      <w:numFmt w:val="decimal"/>
      <w:lvlText w:val="%1."/>
      <w:lvlJc w:val="left"/>
      <w:pPr>
        <w:tabs>
          <w:tab w:val="num" w:pos="360"/>
        </w:tabs>
        <w:ind w:left="360" w:hanging="360"/>
      </w:pPr>
      <w:rPr>
        <w:rFonts w:ascii="Arial" w:hAnsi="Arial"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7" w15:restartNumberingAfterBreak="0">
    <w:nsid w:val="5BB1689D"/>
    <w:multiLevelType w:val="multilevel"/>
    <w:tmpl w:val="7556C3A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2E6A5F"/>
    <w:multiLevelType w:val="hybridMultilevel"/>
    <w:tmpl w:val="26E6B0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784D033C"/>
    <w:multiLevelType w:val="multilevel"/>
    <w:tmpl w:val="6DE41B48"/>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i w:val="0"/>
        <w:sz w:val="24"/>
        <w:szCs w:val="24"/>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9AE4C3B"/>
    <w:multiLevelType w:val="hybridMultilevel"/>
    <w:tmpl w:val="6B4001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7"/>
  </w:num>
  <w:num w:numId="2">
    <w:abstractNumId w:val="2"/>
  </w:num>
  <w:num w:numId="3">
    <w:abstractNumId w:val="5"/>
  </w:num>
  <w:num w:numId="4">
    <w:abstractNumId w:val="14"/>
  </w:num>
  <w:num w:numId="5">
    <w:abstractNumId w:val="19"/>
  </w:num>
  <w:num w:numId="6">
    <w:abstractNumId w:val="6"/>
  </w:num>
  <w:num w:numId="7">
    <w:abstractNumId w:val="13"/>
  </w:num>
  <w:num w:numId="8">
    <w:abstractNumId w:val="3"/>
  </w:num>
  <w:num w:numId="9">
    <w:abstractNumId w:val="12"/>
  </w:num>
  <w:num w:numId="10">
    <w:abstractNumId w:val="11"/>
  </w:num>
  <w:num w:numId="11">
    <w:abstractNumId w:val="10"/>
  </w:num>
  <w:num w:numId="12">
    <w:abstractNumId w:val="1"/>
  </w:num>
  <w:num w:numId="13">
    <w:abstractNumId w:val="0"/>
  </w:num>
  <w:num w:numId="14">
    <w:abstractNumId w:val="19"/>
  </w:num>
  <w:num w:numId="15">
    <w:abstractNumId w:val="8"/>
  </w:num>
  <w:num w:numId="16">
    <w:abstractNumId w:val="20"/>
  </w:num>
  <w:num w:numId="17">
    <w:abstractNumId w:val="9"/>
  </w:num>
  <w:num w:numId="18">
    <w:abstractNumId w:val="15"/>
  </w:num>
  <w:num w:numId="19">
    <w:abstractNumId w:val="17"/>
  </w:num>
  <w:num w:numId="20">
    <w:abstractNumId w:val="4"/>
  </w:num>
  <w:num w:numId="21">
    <w:abstractNumId w:val="19"/>
  </w:num>
  <w:num w:numId="22">
    <w:abstractNumId w:val="19"/>
  </w:num>
  <w:num w:numId="23">
    <w:abstractNumId w:val="16"/>
  </w:num>
  <w:num w:numId="24">
    <w:abstractNumId w:val="18"/>
  </w:num>
  <w:num w:numId="25">
    <w:abstractNumId w:val="19"/>
  </w:num>
  <w:num w:numId="26">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0634"/>
    <w:rsid w:val="000025AD"/>
    <w:rsid w:val="0000335D"/>
    <w:rsid w:val="00012DC0"/>
    <w:rsid w:val="00021DB3"/>
    <w:rsid w:val="0002464A"/>
    <w:rsid w:val="00025E78"/>
    <w:rsid w:val="0003106B"/>
    <w:rsid w:val="00032DDB"/>
    <w:rsid w:val="00035DB9"/>
    <w:rsid w:val="000421A1"/>
    <w:rsid w:val="0004240E"/>
    <w:rsid w:val="00042CE9"/>
    <w:rsid w:val="00045E26"/>
    <w:rsid w:val="000514B5"/>
    <w:rsid w:val="00052A61"/>
    <w:rsid w:val="0005522B"/>
    <w:rsid w:val="00060E64"/>
    <w:rsid w:val="00063BB6"/>
    <w:rsid w:val="00064D88"/>
    <w:rsid w:val="0006672D"/>
    <w:rsid w:val="00066755"/>
    <w:rsid w:val="00077143"/>
    <w:rsid w:val="00082169"/>
    <w:rsid w:val="00085483"/>
    <w:rsid w:val="00092B1A"/>
    <w:rsid w:val="00092F09"/>
    <w:rsid w:val="00093E49"/>
    <w:rsid w:val="0009552E"/>
    <w:rsid w:val="0009679D"/>
    <w:rsid w:val="000969AD"/>
    <w:rsid w:val="000B558D"/>
    <w:rsid w:val="000B5637"/>
    <w:rsid w:val="000B5AD2"/>
    <w:rsid w:val="000B7781"/>
    <w:rsid w:val="000C4843"/>
    <w:rsid w:val="000C6996"/>
    <w:rsid w:val="000D0C7E"/>
    <w:rsid w:val="000D23BA"/>
    <w:rsid w:val="000D679A"/>
    <w:rsid w:val="000E0F0F"/>
    <w:rsid w:val="000E681E"/>
    <w:rsid w:val="000F0003"/>
    <w:rsid w:val="000F4E6A"/>
    <w:rsid w:val="000F5575"/>
    <w:rsid w:val="000F718F"/>
    <w:rsid w:val="00100505"/>
    <w:rsid w:val="0010280D"/>
    <w:rsid w:val="00104227"/>
    <w:rsid w:val="001058B5"/>
    <w:rsid w:val="001107BF"/>
    <w:rsid w:val="00113554"/>
    <w:rsid w:val="00123D3B"/>
    <w:rsid w:val="0012417C"/>
    <w:rsid w:val="001242E0"/>
    <w:rsid w:val="00127971"/>
    <w:rsid w:val="001420F8"/>
    <w:rsid w:val="00142395"/>
    <w:rsid w:val="00142714"/>
    <w:rsid w:val="001427A1"/>
    <w:rsid w:val="001452ED"/>
    <w:rsid w:val="00145388"/>
    <w:rsid w:val="00145AC4"/>
    <w:rsid w:val="00150915"/>
    <w:rsid w:val="00160E64"/>
    <w:rsid w:val="00163329"/>
    <w:rsid w:val="00164623"/>
    <w:rsid w:val="00165B64"/>
    <w:rsid w:val="00167DB7"/>
    <w:rsid w:val="0017230B"/>
    <w:rsid w:val="00180713"/>
    <w:rsid w:val="0018235B"/>
    <w:rsid w:val="001830CE"/>
    <w:rsid w:val="0018643B"/>
    <w:rsid w:val="001907A0"/>
    <w:rsid w:val="0019440D"/>
    <w:rsid w:val="00196307"/>
    <w:rsid w:val="001A0469"/>
    <w:rsid w:val="001A33EA"/>
    <w:rsid w:val="001A43B8"/>
    <w:rsid w:val="001B017F"/>
    <w:rsid w:val="001B2BBC"/>
    <w:rsid w:val="001B317A"/>
    <w:rsid w:val="001B5129"/>
    <w:rsid w:val="001B5762"/>
    <w:rsid w:val="001B62CC"/>
    <w:rsid w:val="001C0777"/>
    <w:rsid w:val="001C1195"/>
    <w:rsid w:val="001C1E58"/>
    <w:rsid w:val="001C6293"/>
    <w:rsid w:val="001D1A01"/>
    <w:rsid w:val="001D2CFB"/>
    <w:rsid w:val="001D5C5A"/>
    <w:rsid w:val="001E1083"/>
    <w:rsid w:val="001E1B5A"/>
    <w:rsid w:val="001E2A5B"/>
    <w:rsid w:val="001E42D1"/>
    <w:rsid w:val="001E7C13"/>
    <w:rsid w:val="001F1850"/>
    <w:rsid w:val="001F32DC"/>
    <w:rsid w:val="00203FAC"/>
    <w:rsid w:val="0021164F"/>
    <w:rsid w:val="00213CFB"/>
    <w:rsid w:val="00214B6F"/>
    <w:rsid w:val="00217BE1"/>
    <w:rsid w:val="0022316E"/>
    <w:rsid w:val="0022471B"/>
    <w:rsid w:val="00225D2F"/>
    <w:rsid w:val="00225FF2"/>
    <w:rsid w:val="00233120"/>
    <w:rsid w:val="002342DD"/>
    <w:rsid w:val="00235313"/>
    <w:rsid w:val="00236393"/>
    <w:rsid w:val="002376E3"/>
    <w:rsid w:val="002411B0"/>
    <w:rsid w:val="0024248F"/>
    <w:rsid w:val="00245981"/>
    <w:rsid w:val="00246387"/>
    <w:rsid w:val="00252638"/>
    <w:rsid w:val="00253880"/>
    <w:rsid w:val="002555C2"/>
    <w:rsid w:val="002600DA"/>
    <w:rsid w:val="002675FB"/>
    <w:rsid w:val="0027049C"/>
    <w:rsid w:val="00271BA1"/>
    <w:rsid w:val="00272CE7"/>
    <w:rsid w:val="002762FA"/>
    <w:rsid w:val="00277505"/>
    <w:rsid w:val="002904E3"/>
    <w:rsid w:val="00292B14"/>
    <w:rsid w:val="0029458F"/>
    <w:rsid w:val="00294DFB"/>
    <w:rsid w:val="00294E53"/>
    <w:rsid w:val="002A104C"/>
    <w:rsid w:val="002A4960"/>
    <w:rsid w:val="002A4E89"/>
    <w:rsid w:val="002A6318"/>
    <w:rsid w:val="002A65A3"/>
    <w:rsid w:val="002B1AE6"/>
    <w:rsid w:val="002B2DE8"/>
    <w:rsid w:val="002B30F8"/>
    <w:rsid w:val="002B5596"/>
    <w:rsid w:val="002B61B9"/>
    <w:rsid w:val="002C212F"/>
    <w:rsid w:val="002D1119"/>
    <w:rsid w:val="002D3EA2"/>
    <w:rsid w:val="002D4543"/>
    <w:rsid w:val="002E3153"/>
    <w:rsid w:val="002E34F5"/>
    <w:rsid w:val="002E5EB9"/>
    <w:rsid w:val="002E72CA"/>
    <w:rsid w:val="002E76AD"/>
    <w:rsid w:val="002E76BE"/>
    <w:rsid w:val="002F1842"/>
    <w:rsid w:val="002F1DCE"/>
    <w:rsid w:val="002F1F76"/>
    <w:rsid w:val="002F2792"/>
    <w:rsid w:val="002F4DE5"/>
    <w:rsid w:val="002F600D"/>
    <w:rsid w:val="00300AD6"/>
    <w:rsid w:val="00301902"/>
    <w:rsid w:val="0030601D"/>
    <w:rsid w:val="0031343A"/>
    <w:rsid w:val="00317C6C"/>
    <w:rsid w:val="003214CC"/>
    <w:rsid w:val="00322076"/>
    <w:rsid w:val="0032499F"/>
    <w:rsid w:val="00326B27"/>
    <w:rsid w:val="00326E79"/>
    <w:rsid w:val="00334665"/>
    <w:rsid w:val="0033518A"/>
    <w:rsid w:val="003367EF"/>
    <w:rsid w:val="00337383"/>
    <w:rsid w:val="00340739"/>
    <w:rsid w:val="00341AE4"/>
    <w:rsid w:val="00350587"/>
    <w:rsid w:val="00356DAB"/>
    <w:rsid w:val="00365EC0"/>
    <w:rsid w:val="00372360"/>
    <w:rsid w:val="003747BB"/>
    <w:rsid w:val="00374BA2"/>
    <w:rsid w:val="00375D5B"/>
    <w:rsid w:val="00380A5E"/>
    <w:rsid w:val="00384C8D"/>
    <w:rsid w:val="00385EC2"/>
    <w:rsid w:val="003872CF"/>
    <w:rsid w:val="00390244"/>
    <w:rsid w:val="0039386C"/>
    <w:rsid w:val="00393B5E"/>
    <w:rsid w:val="00393E32"/>
    <w:rsid w:val="003954FE"/>
    <w:rsid w:val="00395AF6"/>
    <w:rsid w:val="00396C8D"/>
    <w:rsid w:val="0039782C"/>
    <w:rsid w:val="00397BA5"/>
    <w:rsid w:val="003A1CED"/>
    <w:rsid w:val="003A5B4A"/>
    <w:rsid w:val="003B0E52"/>
    <w:rsid w:val="003B23C5"/>
    <w:rsid w:val="003B2A75"/>
    <w:rsid w:val="003B57D9"/>
    <w:rsid w:val="003B6124"/>
    <w:rsid w:val="003C109F"/>
    <w:rsid w:val="003C2FB5"/>
    <w:rsid w:val="003C71DC"/>
    <w:rsid w:val="003D263C"/>
    <w:rsid w:val="003D4AC4"/>
    <w:rsid w:val="003D54E6"/>
    <w:rsid w:val="003D63B7"/>
    <w:rsid w:val="003D712F"/>
    <w:rsid w:val="003E027F"/>
    <w:rsid w:val="003E468B"/>
    <w:rsid w:val="003F3228"/>
    <w:rsid w:val="003F5C8C"/>
    <w:rsid w:val="00403B03"/>
    <w:rsid w:val="0040585F"/>
    <w:rsid w:val="0040609F"/>
    <w:rsid w:val="004068E1"/>
    <w:rsid w:val="00406C62"/>
    <w:rsid w:val="00407C67"/>
    <w:rsid w:val="0042056E"/>
    <w:rsid w:val="00420725"/>
    <w:rsid w:val="004211DC"/>
    <w:rsid w:val="0042220F"/>
    <w:rsid w:val="004252EC"/>
    <w:rsid w:val="00441155"/>
    <w:rsid w:val="004465BD"/>
    <w:rsid w:val="004468C8"/>
    <w:rsid w:val="00450051"/>
    <w:rsid w:val="00466ADA"/>
    <w:rsid w:val="0047083C"/>
    <w:rsid w:val="00470A7E"/>
    <w:rsid w:val="004714EC"/>
    <w:rsid w:val="00476245"/>
    <w:rsid w:val="00483035"/>
    <w:rsid w:val="0048539C"/>
    <w:rsid w:val="00485940"/>
    <w:rsid w:val="004920B3"/>
    <w:rsid w:val="00496591"/>
    <w:rsid w:val="004A2484"/>
    <w:rsid w:val="004A30D2"/>
    <w:rsid w:val="004A5A85"/>
    <w:rsid w:val="004A71D1"/>
    <w:rsid w:val="004A72F4"/>
    <w:rsid w:val="004B5640"/>
    <w:rsid w:val="004C1BD7"/>
    <w:rsid w:val="004C2F15"/>
    <w:rsid w:val="004C30F0"/>
    <w:rsid w:val="004C31FE"/>
    <w:rsid w:val="004C39B2"/>
    <w:rsid w:val="004C691D"/>
    <w:rsid w:val="004C6C07"/>
    <w:rsid w:val="004D1883"/>
    <w:rsid w:val="004E34E4"/>
    <w:rsid w:val="004E692D"/>
    <w:rsid w:val="004F4F5A"/>
    <w:rsid w:val="004F53D3"/>
    <w:rsid w:val="004F66B7"/>
    <w:rsid w:val="00501554"/>
    <w:rsid w:val="00501E14"/>
    <w:rsid w:val="00502573"/>
    <w:rsid w:val="00514CD7"/>
    <w:rsid w:val="00522234"/>
    <w:rsid w:val="0052446E"/>
    <w:rsid w:val="0052627F"/>
    <w:rsid w:val="005319B2"/>
    <w:rsid w:val="00532402"/>
    <w:rsid w:val="00532C74"/>
    <w:rsid w:val="00534E2E"/>
    <w:rsid w:val="00540E01"/>
    <w:rsid w:val="00544552"/>
    <w:rsid w:val="00557E6C"/>
    <w:rsid w:val="00560355"/>
    <w:rsid w:val="0057320A"/>
    <w:rsid w:val="00574363"/>
    <w:rsid w:val="00577C4D"/>
    <w:rsid w:val="00581932"/>
    <w:rsid w:val="00585AD0"/>
    <w:rsid w:val="005963BB"/>
    <w:rsid w:val="005A1F63"/>
    <w:rsid w:val="005A3173"/>
    <w:rsid w:val="005A3223"/>
    <w:rsid w:val="005A3DA3"/>
    <w:rsid w:val="005A43C5"/>
    <w:rsid w:val="005A52C4"/>
    <w:rsid w:val="005B371A"/>
    <w:rsid w:val="005C4A0A"/>
    <w:rsid w:val="005D03AB"/>
    <w:rsid w:val="005D5017"/>
    <w:rsid w:val="005D5CC7"/>
    <w:rsid w:val="005D74B4"/>
    <w:rsid w:val="005E0FEA"/>
    <w:rsid w:val="005E1333"/>
    <w:rsid w:val="005E5F6D"/>
    <w:rsid w:val="005E6802"/>
    <w:rsid w:val="0060119C"/>
    <w:rsid w:val="00601A91"/>
    <w:rsid w:val="00602BA3"/>
    <w:rsid w:val="0060428A"/>
    <w:rsid w:val="00610B7C"/>
    <w:rsid w:val="00612E34"/>
    <w:rsid w:val="00614159"/>
    <w:rsid w:val="00616889"/>
    <w:rsid w:val="00617333"/>
    <w:rsid w:val="00617C00"/>
    <w:rsid w:val="006213F1"/>
    <w:rsid w:val="00622199"/>
    <w:rsid w:val="006263BF"/>
    <w:rsid w:val="00626508"/>
    <w:rsid w:val="0062748A"/>
    <w:rsid w:val="00630A2C"/>
    <w:rsid w:val="00633F56"/>
    <w:rsid w:val="006357AD"/>
    <w:rsid w:val="0063682E"/>
    <w:rsid w:val="006436CD"/>
    <w:rsid w:val="006477F5"/>
    <w:rsid w:val="00651169"/>
    <w:rsid w:val="00651186"/>
    <w:rsid w:val="006518A3"/>
    <w:rsid w:val="00653651"/>
    <w:rsid w:val="00653D69"/>
    <w:rsid w:val="00660DCD"/>
    <w:rsid w:val="00665EA7"/>
    <w:rsid w:val="006670BE"/>
    <w:rsid w:val="006677D2"/>
    <w:rsid w:val="00670A76"/>
    <w:rsid w:val="006711AA"/>
    <w:rsid w:val="00672B57"/>
    <w:rsid w:val="00675622"/>
    <w:rsid w:val="006763C8"/>
    <w:rsid w:val="0067747D"/>
    <w:rsid w:val="00682CC3"/>
    <w:rsid w:val="006906DB"/>
    <w:rsid w:val="00690ABA"/>
    <w:rsid w:val="00691E6C"/>
    <w:rsid w:val="0069420E"/>
    <w:rsid w:val="00696129"/>
    <w:rsid w:val="00696A60"/>
    <w:rsid w:val="00697CF2"/>
    <w:rsid w:val="006A12A5"/>
    <w:rsid w:val="006B0D94"/>
    <w:rsid w:val="006B485D"/>
    <w:rsid w:val="006B794F"/>
    <w:rsid w:val="006C0C09"/>
    <w:rsid w:val="006C1ECD"/>
    <w:rsid w:val="006C3115"/>
    <w:rsid w:val="006C708E"/>
    <w:rsid w:val="006C77F9"/>
    <w:rsid w:val="006D0495"/>
    <w:rsid w:val="006D14E7"/>
    <w:rsid w:val="006D37E5"/>
    <w:rsid w:val="006D6493"/>
    <w:rsid w:val="006D6EC7"/>
    <w:rsid w:val="006E3A09"/>
    <w:rsid w:val="006F2B02"/>
    <w:rsid w:val="006F5125"/>
    <w:rsid w:val="006F64EE"/>
    <w:rsid w:val="006F775C"/>
    <w:rsid w:val="00702885"/>
    <w:rsid w:val="00702B6F"/>
    <w:rsid w:val="0071340B"/>
    <w:rsid w:val="00713EE0"/>
    <w:rsid w:val="00716EBB"/>
    <w:rsid w:val="007174BB"/>
    <w:rsid w:val="0072025D"/>
    <w:rsid w:val="00730E1A"/>
    <w:rsid w:val="00734B85"/>
    <w:rsid w:val="007353D3"/>
    <w:rsid w:val="00740963"/>
    <w:rsid w:val="00745B1D"/>
    <w:rsid w:val="007462E6"/>
    <w:rsid w:val="00746991"/>
    <w:rsid w:val="00752653"/>
    <w:rsid w:val="00754342"/>
    <w:rsid w:val="00757E65"/>
    <w:rsid w:val="0076420C"/>
    <w:rsid w:val="007701D9"/>
    <w:rsid w:val="007738AE"/>
    <w:rsid w:val="007753C2"/>
    <w:rsid w:val="00782A67"/>
    <w:rsid w:val="007838B8"/>
    <w:rsid w:val="00787C22"/>
    <w:rsid w:val="007964C4"/>
    <w:rsid w:val="007A2220"/>
    <w:rsid w:val="007B14A2"/>
    <w:rsid w:val="007B158C"/>
    <w:rsid w:val="007B521A"/>
    <w:rsid w:val="007B6C33"/>
    <w:rsid w:val="007C0F57"/>
    <w:rsid w:val="007C1DB2"/>
    <w:rsid w:val="007C3E94"/>
    <w:rsid w:val="007C40B6"/>
    <w:rsid w:val="007C729F"/>
    <w:rsid w:val="007D6B3B"/>
    <w:rsid w:val="007E1D28"/>
    <w:rsid w:val="007E368D"/>
    <w:rsid w:val="007E5923"/>
    <w:rsid w:val="007E604E"/>
    <w:rsid w:val="007E6B77"/>
    <w:rsid w:val="007E7591"/>
    <w:rsid w:val="007E7BD2"/>
    <w:rsid w:val="007F03B0"/>
    <w:rsid w:val="007F2641"/>
    <w:rsid w:val="007F7C36"/>
    <w:rsid w:val="0080191E"/>
    <w:rsid w:val="00802E0E"/>
    <w:rsid w:val="00806796"/>
    <w:rsid w:val="008073A8"/>
    <w:rsid w:val="00811FC4"/>
    <w:rsid w:val="008151D6"/>
    <w:rsid w:val="00816CEC"/>
    <w:rsid w:val="00826231"/>
    <w:rsid w:val="00826EDC"/>
    <w:rsid w:val="00826F6D"/>
    <w:rsid w:val="00827A64"/>
    <w:rsid w:val="008306F3"/>
    <w:rsid w:val="008331D8"/>
    <w:rsid w:val="00837ACD"/>
    <w:rsid w:val="0084133B"/>
    <w:rsid w:val="00843DCC"/>
    <w:rsid w:val="00856DDD"/>
    <w:rsid w:val="00861D1F"/>
    <w:rsid w:val="00863E68"/>
    <w:rsid w:val="00867E12"/>
    <w:rsid w:val="00877F86"/>
    <w:rsid w:val="00882085"/>
    <w:rsid w:val="00882442"/>
    <w:rsid w:val="00883188"/>
    <w:rsid w:val="00886C1B"/>
    <w:rsid w:val="008870E1"/>
    <w:rsid w:val="008902BB"/>
    <w:rsid w:val="00893C61"/>
    <w:rsid w:val="00897D58"/>
    <w:rsid w:val="00897F22"/>
    <w:rsid w:val="008A1956"/>
    <w:rsid w:val="008A4937"/>
    <w:rsid w:val="008A50F1"/>
    <w:rsid w:val="008A5779"/>
    <w:rsid w:val="008B7834"/>
    <w:rsid w:val="008C1F0A"/>
    <w:rsid w:val="008C6AC0"/>
    <w:rsid w:val="008D1B5C"/>
    <w:rsid w:val="008D2D0F"/>
    <w:rsid w:val="008D3C82"/>
    <w:rsid w:val="008D447E"/>
    <w:rsid w:val="008D6BCB"/>
    <w:rsid w:val="008D7A41"/>
    <w:rsid w:val="008E3680"/>
    <w:rsid w:val="008E5870"/>
    <w:rsid w:val="008F1434"/>
    <w:rsid w:val="008F23C2"/>
    <w:rsid w:val="008F7355"/>
    <w:rsid w:val="0090063E"/>
    <w:rsid w:val="009066A4"/>
    <w:rsid w:val="009067B7"/>
    <w:rsid w:val="009101D2"/>
    <w:rsid w:val="009127EB"/>
    <w:rsid w:val="0091301E"/>
    <w:rsid w:val="00915680"/>
    <w:rsid w:val="00922BF5"/>
    <w:rsid w:val="00930937"/>
    <w:rsid w:val="009324FB"/>
    <w:rsid w:val="00932EE4"/>
    <w:rsid w:val="00933E6C"/>
    <w:rsid w:val="0093512A"/>
    <w:rsid w:val="00937958"/>
    <w:rsid w:val="00937ADD"/>
    <w:rsid w:val="0094208E"/>
    <w:rsid w:val="00942160"/>
    <w:rsid w:val="00947701"/>
    <w:rsid w:val="0095146F"/>
    <w:rsid w:val="0095182B"/>
    <w:rsid w:val="00953639"/>
    <w:rsid w:val="00960159"/>
    <w:rsid w:val="009602C5"/>
    <w:rsid w:val="00962223"/>
    <w:rsid w:val="0096555C"/>
    <w:rsid w:val="00966D0D"/>
    <w:rsid w:val="00970890"/>
    <w:rsid w:val="00972123"/>
    <w:rsid w:val="009746ED"/>
    <w:rsid w:val="00974C21"/>
    <w:rsid w:val="00975C4C"/>
    <w:rsid w:val="009765AF"/>
    <w:rsid w:val="00980FA7"/>
    <w:rsid w:val="009829E5"/>
    <w:rsid w:val="00982E2B"/>
    <w:rsid w:val="00985327"/>
    <w:rsid w:val="009879F5"/>
    <w:rsid w:val="00987E89"/>
    <w:rsid w:val="009901E2"/>
    <w:rsid w:val="009923FB"/>
    <w:rsid w:val="00992AFF"/>
    <w:rsid w:val="00994838"/>
    <w:rsid w:val="009973B1"/>
    <w:rsid w:val="009B0B36"/>
    <w:rsid w:val="009B0F67"/>
    <w:rsid w:val="009B516B"/>
    <w:rsid w:val="009B7D79"/>
    <w:rsid w:val="009C703C"/>
    <w:rsid w:val="009D3077"/>
    <w:rsid w:val="009D3CAA"/>
    <w:rsid w:val="009E284E"/>
    <w:rsid w:val="009E2DCB"/>
    <w:rsid w:val="009E40E1"/>
    <w:rsid w:val="009E617E"/>
    <w:rsid w:val="009F2548"/>
    <w:rsid w:val="009F4A81"/>
    <w:rsid w:val="009F4E46"/>
    <w:rsid w:val="009F5B65"/>
    <w:rsid w:val="009F5F2E"/>
    <w:rsid w:val="00A0603C"/>
    <w:rsid w:val="00A06225"/>
    <w:rsid w:val="00A07BA1"/>
    <w:rsid w:val="00A1139C"/>
    <w:rsid w:val="00A1274C"/>
    <w:rsid w:val="00A128E6"/>
    <w:rsid w:val="00A13368"/>
    <w:rsid w:val="00A138E2"/>
    <w:rsid w:val="00A15286"/>
    <w:rsid w:val="00A17B62"/>
    <w:rsid w:val="00A34E6C"/>
    <w:rsid w:val="00A3697A"/>
    <w:rsid w:val="00A37C8D"/>
    <w:rsid w:val="00A432F3"/>
    <w:rsid w:val="00A5273B"/>
    <w:rsid w:val="00A53A9D"/>
    <w:rsid w:val="00A55FEE"/>
    <w:rsid w:val="00A62C1A"/>
    <w:rsid w:val="00A6426D"/>
    <w:rsid w:val="00A665C1"/>
    <w:rsid w:val="00A70622"/>
    <w:rsid w:val="00A70977"/>
    <w:rsid w:val="00A74166"/>
    <w:rsid w:val="00A77613"/>
    <w:rsid w:val="00A777FB"/>
    <w:rsid w:val="00A8390C"/>
    <w:rsid w:val="00A84D54"/>
    <w:rsid w:val="00A85C61"/>
    <w:rsid w:val="00A928BD"/>
    <w:rsid w:val="00AA085D"/>
    <w:rsid w:val="00AA185A"/>
    <w:rsid w:val="00AA4D1C"/>
    <w:rsid w:val="00AC01B9"/>
    <w:rsid w:val="00AC193C"/>
    <w:rsid w:val="00AC3E90"/>
    <w:rsid w:val="00AC47CF"/>
    <w:rsid w:val="00AC4B47"/>
    <w:rsid w:val="00AC5206"/>
    <w:rsid w:val="00AE11A5"/>
    <w:rsid w:val="00AE13E2"/>
    <w:rsid w:val="00AE1CDA"/>
    <w:rsid w:val="00AE22D3"/>
    <w:rsid w:val="00AE2A93"/>
    <w:rsid w:val="00AE5102"/>
    <w:rsid w:val="00AF4D10"/>
    <w:rsid w:val="00AF62DF"/>
    <w:rsid w:val="00AF68CC"/>
    <w:rsid w:val="00B000B7"/>
    <w:rsid w:val="00B0125E"/>
    <w:rsid w:val="00B07EBA"/>
    <w:rsid w:val="00B1059E"/>
    <w:rsid w:val="00B11EB1"/>
    <w:rsid w:val="00B176C8"/>
    <w:rsid w:val="00B17A4F"/>
    <w:rsid w:val="00B205AA"/>
    <w:rsid w:val="00B209AA"/>
    <w:rsid w:val="00B21FBB"/>
    <w:rsid w:val="00B22E84"/>
    <w:rsid w:val="00B236B0"/>
    <w:rsid w:val="00B25F75"/>
    <w:rsid w:val="00B26B3F"/>
    <w:rsid w:val="00B32366"/>
    <w:rsid w:val="00B32799"/>
    <w:rsid w:val="00B40849"/>
    <w:rsid w:val="00B43467"/>
    <w:rsid w:val="00B43E90"/>
    <w:rsid w:val="00B454D2"/>
    <w:rsid w:val="00B45CF8"/>
    <w:rsid w:val="00B467DC"/>
    <w:rsid w:val="00B53766"/>
    <w:rsid w:val="00B55F8B"/>
    <w:rsid w:val="00B56118"/>
    <w:rsid w:val="00B57EA5"/>
    <w:rsid w:val="00B60D3A"/>
    <w:rsid w:val="00B6129F"/>
    <w:rsid w:val="00B6773F"/>
    <w:rsid w:val="00B72C35"/>
    <w:rsid w:val="00B72D40"/>
    <w:rsid w:val="00B737A9"/>
    <w:rsid w:val="00B76F30"/>
    <w:rsid w:val="00B801BA"/>
    <w:rsid w:val="00B84D5C"/>
    <w:rsid w:val="00B9169E"/>
    <w:rsid w:val="00B9500C"/>
    <w:rsid w:val="00B968B0"/>
    <w:rsid w:val="00BA02D1"/>
    <w:rsid w:val="00BA1909"/>
    <w:rsid w:val="00BA1DBF"/>
    <w:rsid w:val="00BA4420"/>
    <w:rsid w:val="00BA7A69"/>
    <w:rsid w:val="00BB1389"/>
    <w:rsid w:val="00BB5F2E"/>
    <w:rsid w:val="00BB69F5"/>
    <w:rsid w:val="00BB7EC3"/>
    <w:rsid w:val="00BC1D36"/>
    <w:rsid w:val="00BC2AAD"/>
    <w:rsid w:val="00BC4B9A"/>
    <w:rsid w:val="00BC5925"/>
    <w:rsid w:val="00BC599B"/>
    <w:rsid w:val="00BD1BB3"/>
    <w:rsid w:val="00BD4527"/>
    <w:rsid w:val="00BD5039"/>
    <w:rsid w:val="00BD6A58"/>
    <w:rsid w:val="00BD784C"/>
    <w:rsid w:val="00BE1024"/>
    <w:rsid w:val="00BE3E67"/>
    <w:rsid w:val="00BE7318"/>
    <w:rsid w:val="00BE75CE"/>
    <w:rsid w:val="00BF0BC9"/>
    <w:rsid w:val="00BF4CB6"/>
    <w:rsid w:val="00BF622A"/>
    <w:rsid w:val="00C00C50"/>
    <w:rsid w:val="00C00DA7"/>
    <w:rsid w:val="00C102D7"/>
    <w:rsid w:val="00C1090A"/>
    <w:rsid w:val="00C11E14"/>
    <w:rsid w:val="00C12768"/>
    <w:rsid w:val="00C13C2C"/>
    <w:rsid w:val="00C224A9"/>
    <w:rsid w:val="00C2669A"/>
    <w:rsid w:val="00C27B58"/>
    <w:rsid w:val="00C30AAA"/>
    <w:rsid w:val="00C35996"/>
    <w:rsid w:val="00C35C05"/>
    <w:rsid w:val="00C372CB"/>
    <w:rsid w:val="00C420DC"/>
    <w:rsid w:val="00C45101"/>
    <w:rsid w:val="00C47080"/>
    <w:rsid w:val="00C4747E"/>
    <w:rsid w:val="00C5342C"/>
    <w:rsid w:val="00C603D4"/>
    <w:rsid w:val="00C6256A"/>
    <w:rsid w:val="00C710B5"/>
    <w:rsid w:val="00C74A80"/>
    <w:rsid w:val="00C74B76"/>
    <w:rsid w:val="00C77891"/>
    <w:rsid w:val="00C80D89"/>
    <w:rsid w:val="00C828BC"/>
    <w:rsid w:val="00C873F5"/>
    <w:rsid w:val="00C91449"/>
    <w:rsid w:val="00C92D10"/>
    <w:rsid w:val="00C93BC4"/>
    <w:rsid w:val="00C9716D"/>
    <w:rsid w:val="00CA0688"/>
    <w:rsid w:val="00CA1358"/>
    <w:rsid w:val="00CA3B1F"/>
    <w:rsid w:val="00CC2ABC"/>
    <w:rsid w:val="00CC7A03"/>
    <w:rsid w:val="00CD0A54"/>
    <w:rsid w:val="00CD0AD0"/>
    <w:rsid w:val="00CD43EB"/>
    <w:rsid w:val="00CE0570"/>
    <w:rsid w:val="00CE10C4"/>
    <w:rsid w:val="00CE27B5"/>
    <w:rsid w:val="00CF29E0"/>
    <w:rsid w:val="00CF3B43"/>
    <w:rsid w:val="00CF6192"/>
    <w:rsid w:val="00D0321E"/>
    <w:rsid w:val="00D0691D"/>
    <w:rsid w:val="00D12A18"/>
    <w:rsid w:val="00D1455A"/>
    <w:rsid w:val="00D20F98"/>
    <w:rsid w:val="00D24E4E"/>
    <w:rsid w:val="00D25F19"/>
    <w:rsid w:val="00D266C9"/>
    <w:rsid w:val="00D2744B"/>
    <w:rsid w:val="00D31150"/>
    <w:rsid w:val="00D3138B"/>
    <w:rsid w:val="00D3280C"/>
    <w:rsid w:val="00D3406A"/>
    <w:rsid w:val="00D35B23"/>
    <w:rsid w:val="00D36DA1"/>
    <w:rsid w:val="00D41A92"/>
    <w:rsid w:val="00D42F5C"/>
    <w:rsid w:val="00D4572C"/>
    <w:rsid w:val="00D469B2"/>
    <w:rsid w:val="00D60A29"/>
    <w:rsid w:val="00D645E9"/>
    <w:rsid w:val="00D67291"/>
    <w:rsid w:val="00D71434"/>
    <w:rsid w:val="00D741EB"/>
    <w:rsid w:val="00D817E0"/>
    <w:rsid w:val="00D83605"/>
    <w:rsid w:val="00D84934"/>
    <w:rsid w:val="00D91271"/>
    <w:rsid w:val="00D919F5"/>
    <w:rsid w:val="00D94F03"/>
    <w:rsid w:val="00D96578"/>
    <w:rsid w:val="00DA08AD"/>
    <w:rsid w:val="00DA0F8F"/>
    <w:rsid w:val="00DA2CB5"/>
    <w:rsid w:val="00DA4BAC"/>
    <w:rsid w:val="00DA777B"/>
    <w:rsid w:val="00DC0D61"/>
    <w:rsid w:val="00DC4AF1"/>
    <w:rsid w:val="00DD2250"/>
    <w:rsid w:val="00DD252B"/>
    <w:rsid w:val="00DD38A9"/>
    <w:rsid w:val="00DD4727"/>
    <w:rsid w:val="00DE5AB5"/>
    <w:rsid w:val="00DE5FB7"/>
    <w:rsid w:val="00DE6D27"/>
    <w:rsid w:val="00DF217D"/>
    <w:rsid w:val="00DF26A7"/>
    <w:rsid w:val="00DF2F5F"/>
    <w:rsid w:val="00E00215"/>
    <w:rsid w:val="00E03425"/>
    <w:rsid w:val="00E10532"/>
    <w:rsid w:val="00E149B0"/>
    <w:rsid w:val="00E15627"/>
    <w:rsid w:val="00E164B3"/>
    <w:rsid w:val="00E165CC"/>
    <w:rsid w:val="00E16910"/>
    <w:rsid w:val="00E17B1D"/>
    <w:rsid w:val="00E23CA6"/>
    <w:rsid w:val="00E302C5"/>
    <w:rsid w:val="00E35C66"/>
    <w:rsid w:val="00E42BDB"/>
    <w:rsid w:val="00E43534"/>
    <w:rsid w:val="00E47E3E"/>
    <w:rsid w:val="00E568C7"/>
    <w:rsid w:val="00E57706"/>
    <w:rsid w:val="00E57EEB"/>
    <w:rsid w:val="00E62D94"/>
    <w:rsid w:val="00E6520E"/>
    <w:rsid w:val="00E65E54"/>
    <w:rsid w:val="00E67C02"/>
    <w:rsid w:val="00E7109C"/>
    <w:rsid w:val="00E80155"/>
    <w:rsid w:val="00E81F28"/>
    <w:rsid w:val="00E82BC5"/>
    <w:rsid w:val="00E848C0"/>
    <w:rsid w:val="00E91B96"/>
    <w:rsid w:val="00E926D1"/>
    <w:rsid w:val="00E941A1"/>
    <w:rsid w:val="00E95CE3"/>
    <w:rsid w:val="00E96CC6"/>
    <w:rsid w:val="00EA1F02"/>
    <w:rsid w:val="00EA2825"/>
    <w:rsid w:val="00EA40E1"/>
    <w:rsid w:val="00EA6877"/>
    <w:rsid w:val="00EA6B31"/>
    <w:rsid w:val="00EB0B63"/>
    <w:rsid w:val="00EB186D"/>
    <w:rsid w:val="00EB1936"/>
    <w:rsid w:val="00EB2B87"/>
    <w:rsid w:val="00EB5088"/>
    <w:rsid w:val="00EC2EC7"/>
    <w:rsid w:val="00EC49C4"/>
    <w:rsid w:val="00EC5C81"/>
    <w:rsid w:val="00ED1644"/>
    <w:rsid w:val="00ED2593"/>
    <w:rsid w:val="00ED4CBD"/>
    <w:rsid w:val="00ED6B4C"/>
    <w:rsid w:val="00ED7D9C"/>
    <w:rsid w:val="00EE6A19"/>
    <w:rsid w:val="00EE7E85"/>
    <w:rsid w:val="00EF44A0"/>
    <w:rsid w:val="00EF4DFB"/>
    <w:rsid w:val="00EF4FED"/>
    <w:rsid w:val="00F050BD"/>
    <w:rsid w:val="00F05657"/>
    <w:rsid w:val="00F10DFC"/>
    <w:rsid w:val="00F15C34"/>
    <w:rsid w:val="00F15D1F"/>
    <w:rsid w:val="00F16B39"/>
    <w:rsid w:val="00F25578"/>
    <w:rsid w:val="00F258E5"/>
    <w:rsid w:val="00F27B1F"/>
    <w:rsid w:val="00F300BC"/>
    <w:rsid w:val="00F3334E"/>
    <w:rsid w:val="00F339B9"/>
    <w:rsid w:val="00F33E0A"/>
    <w:rsid w:val="00F36CCB"/>
    <w:rsid w:val="00F37460"/>
    <w:rsid w:val="00F374E5"/>
    <w:rsid w:val="00F42ADE"/>
    <w:rsid w:val="00F42B68"/>
    <w:rsid w:val="00F43AF2"/>
    <w:rsid w:val="00F43F9B"/>
    <w:rsid w:val="00F459DE"/>
    <w:rsid w:val="00F5048A"/>
    <w:rsid w:val="00F50EC4"/>
    <w:rsid w:val="00F51BF8"/>
    <w:rsid w:val="00F52716"/>
    <w:rsid w:val="00F52D55"/>
    <w:rsid w:val="00F54C83"/>
    <w:rsid w:val="00F550CF"/>
    <w:rsid w:val="00F57A6D"/>
    <w:rsid w:val="00F62956"/>
    <w:rsid w:val="00F63721"/>
    <w:rsid w:val="00F638CC"/>
    <w:rsid w:val="00F64CC1"/>
    <w:rsid w:val="00F7071D"/>
    <w:rsid w:val="00F70777"/>
    <w:rsid w:val="00F70CC1"/>
    <w:rsid w:val="00F72317"/>
    <w:rsid w:val="00F74DFF"/>
    <w:rsid w:val="00F76978"/>
    <w:rsid w:val="00F7711C"/>
    <w:rsid w:val="00F80475"/>
    <w:rsid w:val="00F8247A"/>
    <w:rsid w:val="00F843C0"/>
    <w:rsid w:val="00F85EF7"/>
    <w:rsid w:val="00F90179"/>
    <w:rsid w:val="00F9491E"/>
    <w:rsid w:val="00F9629A"/>
    <w:rsid w:val="00F96836"/>
    <w:rsid w:val="00F97EFC"/>
    <w:rsid w:val="00FA5883"/>
    <w:rsid w:val="00FA6055"/>
    <w:rsid w:val="00FB1603"/>
    <w:rsid w:val="00FB322F"/>
    <w:rsid w:val="00FB442F"/>
    <w:rsid w:val="00FB704A"/>
    <w:rsid w:val="00FC1929"/>
    <w:rsid w:val="00FC40D0"/>
    <w:rsid w:val="00FC5B46"/>
    <w:rsid w:val="00FD1E60"/>
    <w:rsid w:val="00FD6D8E"/>
    <w:rsid w:val="00FE0E94"/>
    <w:rsid w:val="00FE5553"/>
    <w:rsid w:val="00FE6A63"/>
    <w:rsid w:val="00FF00BD"/>
    <w:rsid w:val="00FF1ED4"/>
    <w:rsid w:val="00FF20A2"/>
    <w:rsid w:val="00FF234E"/>
    <w:rsid w:val="00FF2801"/>
    <w:rsid w:val="00FF413E"/>
    <w:rsid w:val="00FF44AD"/>
    <w:rsid w:val="00FF77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13E7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32499F"/>
    <w:pPr>
      <w:keepNext/>
      <w:keepLines/>
      <w:spacing w:before="120" w:after="120"/>
      <w:outlineLvl w:val="1"/>
    </w:pPr>
    <w:rPr>
      <w:rFonts w:asciiTheme="minorHAnsi" w:eastAsiaTheme="majorEastAsia" w:hAnsiTheme="minorHAnsi" w:cstheme="majorBidi"/>
      <w:b/>
      <w:i/>
      <w:sz w:val="28"/>
      <w:szCs w:val="28"/>
      <w:lang w:eastAsia="en-US"/>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99"/>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List Paragraph1,Bullet point,List Paragraph11,Recommendation"/>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List Paragraph1 Char,Bullet point Char,List Paragraph11 Char,Recommendation Char"/>
    <w:basedOn w:val="DefaultParagraphFont"/>
    <w:link w:val="ListParagraph"/>
    <w:uiPriority w:val="72"/>
    <w:qFormat/>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2499F"/>
    <w:rPr>
      <w:rFonts w:asciiTheme="minorHAnsi" w:eastAsiaTheme="majorEastAsia" w:hAnsiTheme="minorHAnsi" w:cstheme="majorBidi"/>
      <w:b/>
      <w:i/>
      <w:sz w:val="28"/>
      <w:szCs w:val="28"/>
      <w:lang w:eastAsia="en-US"/>
    </w:rPr>
  </w:style>
  <w:style w:type="character" w:customStyle="1" w:styleId="TabletextChar">
    <w:name w:val="Table text Char"/>
    <w:link w:val="Tabletext"/>
    <w:uiPriority w:val="99"/>
    <w:rsid w:val="00390244"/>
    <w:rPr>
      <w:rFonts w:ascii="Arial" w:hAnsi="Arial"/>
      <w:lang w:eastAsia="en-US"/>
    </w:rPr>
  </w:style>
  <w:style w:type="paragraph" w:styleId="Caption">
    <w:name w:val="caption"/>
    <w:basedOn w:val="Normal"/>
    <w:next w:val="Normal"/>
    <w:unhideWhenUsed/>
    <w:qFormat/>
    <w:rsid w:val="003747BB"/>
    <w:pPr>
      <w:spacing w:after="200"/>
    </w:pPr>
    <w:rPr>
      <w:b/>
      <w:bCs/>
      <w:color w:val="4F81BD" w:themeColor="accent1"/>
      <w:sz w:val="18"/>
      <w:szCs w:val="18"/>
    </w:rPr>
  </w:style>
  <w:style w:type="paragraph" w:styleId="FootnoteText">
    <w:name w:val="footnote text"/>
    <w:basedOn w:val="Normal"/>
    <w:link w:val="FootnoteTextChar"/>
    <w:rsid w:val="00734B85"/>
    <w:rPr>
      <w:sz w:val="20"/>
      <w:szCs w:val="20"/>
    </w:rPr>
  </w:style>
  <w:style w:type="character" w:customStyle="1" w:styleId="FootnoteTextChar">
    <w:name w:val="Footnote Text Char"/>
    <w:basedOn w:val="DefaultParagraphFont"/>
    <w:link w:val="FootnoteText"/>
    <w:rsid w:val="00734B85"/>
  </w:style>
  <w:style w:type="character" w:styleId="FootnoteReference">
    <w:name w:val="footnote reference"/>
    <w:basedOn w:val="DefaultParagraphFont"/>
    <w:rsid w:val="00734B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3032">
      <w:bodyDiv w:val="1"/>
      <w:marLeft w:val="0"/>
      <w:marRight w:val="0"/>
      <w:marTop w:val="0"/>
      <w:marBottom w:val="0"/>
      <w:divBdr>
        <w:top w:val="none" w:sz="0" w:space="0" w:color="auto"/>
        <w:left w:val="none" w:sz="0" w:space="0" w:color="auto"/>
        <w:bottom w:val="none" w:sz="0" w:space="0" w:color="auto"/>
        <w:right w:val="none" w:sz="0" w:space="0" w:color="auto"/>
      </w:divBdr>
    </w:div>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306281704">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A87DE-BA9D-426F-8690-076E7E9E0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2549</Words>
  <Characters>14906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2019-02-22T00:46:00Z</dcterms:created>
  <dcterms:modified xsi:type="dcterms:W3CDTF">2019-02-25T04:28:00Z</dcterms:modified>
</cp:coreProperties>
</file>