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8" w:rsidRPr="00CD1FFC" w:rsidRDefault="00C93BBA" w:rsidP="00CD1FFC">
      <w:pPr>
        <w:pStyle w:val="Title"/>
        <w:spacing w:before="120" w:after="160"/>
        <w:ind w:left="720" w:hanging="720"/>
        <w:rPr>
          <w:rFonts w:asciiTheme="minorHAnsi" w:hAnsiTheme="minorHAnsi"/>
          <w:b w:val="0"/>
          <w:sz w:val="36"/>
          <w:szCs w:val="36"/>
        </w:rPr>
      </w:pPr>
      <w:r>
        <w:rPr>
          <w:rFonts w:asciiTheme="minorHAnsi" w:hAnsiTheme="minorHAnsi"/>
          <w:sz w:val="36"/>
          <w:szCs w:val="36"/>
        </w:rPr>
        <w:t>5.22</w:t>
      </w:r>
      <w:r w:rsidR="007C0F57" w:rsidRPr="00AC4AA5">
        <w:rPr>
          <w:rFonts w:asciiTheme="minorHAnsi" w:hAnsiTheme="minorHAnsi"/>
          <w:sz w:val="36"/>
          <w:szCs w:val="36"/>
        </w:rPr>
        <w:tab/>
      </w:r>
      <w:r w:rsidRPr="00C93BBA">
        <w:rPr>
          <w:rFonts w:asciiTheme="minorHAnsi" w:hAnsiTheme="minorHAnsi"/>
          <w:sz w:val="36"/>
          <w:szCs w:val="36"/>
        </w:rPr>
        <w:t>GLYCOMACROPEPTIDE FORMULA WITH DOCOSAHEXAENOIC ACID WITH LOW PHENYLALANINE</w:t>
      </w:r>
      <w:r w:rsidR="00B64497" w:rsidRPr="00AC4AA5">
        <w:rPr>
          <w:rFonts w:asciiTheme="minorHAnsi" w:hAnsiTheme="minorHAnsi"/>
          <w:sz w:val="36"/>
          <w:szCs w:val="36"/>
        </w:rPr>
        <w:br/>
      </w:r>
      <w:r w:rsidRPr="00C93BBA">
        <w:rPr>
          <w:rFonts w:asciiTheme="minorHAnsi" w:hAnsiTheme="minorHAnsi"/>
          <w:sz w:val="36"/>
          <w:szCs w:val="36"/>
        </w:rPr>
        <w:t>Sachets co</w:t>
      </w:r>
      <w:r w:rsidR="006A7588">
        <w:rPr>
          <w:rFonts w:asciiTheme="minorHAnsi" w:hAnsiTheme="minorHAnsi"/>
          <w:sz w:val="36"/>
          <w:szCs w:val="36"/>
        </w:rPr>
        <w:t>ntaining oral powder 33.3 g, 16</w:t>
      </w:r>
      <w:r>
        <w:rPr>
          <w:rFonts w:asciiTheme="minorHAnsi" w:hAnsiTheme="minorHAnsi"/>
          <w:sz w:val="36"/>
          <w:szCs w:val="36"/>
        </w:rPr>
        <w:t>,</w:t>
      </w:r>
      <w:r w:rsidR="00B64497" w:rsidRPr="00AC4AA5">
        <w:rPr>
          <w:rFonts w:asciiTheme="minorHAnsi" w:hAnsiTheme="minorHAnsi"/>
          <w:b w:val="0"/>
          <w:sz w:val="36"/>
          <w:szCs w:val="36"/>
        </w:rPr>
        <w:br/>
      </w:r>
      <w:r>
        <w:rPr>
          <w:rFonts w:asciiTheme="minorHAnsi" w:hAnsiTheme="minorHAnsi"/>
          <w:sz w:val="36"/>
          <w:szCs w:val="36"/>
        </w:rPr>
        <w:t>PKU GMPro</w:t>
      </w:r>
      <w:r w:rsidR="0004240E" w:rsidRPr="00AC4AA5">
        <w:rPr>
          <w:rFonts w:asciiTheme="minorHAnsi" w:hAnsiTheme="minorHAnsi"/>
          <w:sz w:val="36"/>
          <w:szCs w:val="36"/>
          <w:vertAlign w:val="superscript"/>
        </w:rPr>
        <w:t>®</w:t>
      </w:r>
      <w:r w:rsidR="00EF44A0" w:rsidRPr="00AC4AA5">
        <w:rPr>
          <w:rFonts w:asciiTheme="minorHAnsi" w:hAnsiTheme="minorHAnsi"/>
          <w:sz w:val="36"/>
          <w:szCs w:val="36"/>
        </w:rPr>
        <w:t xml:space="preserve">, </w:t>
      </w:r>
      <w:r>
        <w:rPr>
          <w:rFonts w:asciiTheme="minorHAnsi" w:hAnsiTheme="minorHAnsi"/>
          <w:sz w:val="36"/>
          <w:szCs w:val="36"/>
        </w:rPr>
        <w:t>Nutricia Australia Pty Ltd</w:t>
      </w:r>
    </w:p>
    <w:p w:rsidR="006A12A5" w:rsidRPr="000D6C7C" w:rsidRDefault="00CE10C4"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6A12A5" w:rsidRPr="00AC4AA5" w:rsidRDefault="00EF44A0" w:rsidP="00714702">
      <w:pPr>
        <w:pStyle w:val="ListParagraph"/>
        <w:numPr>
          <w:ilvl w:val="1"/>
          <w:numId w:val="2"/>
        </w:numPr>
        <w:spacing w:before="120" w:after="160"/>
        <w:contextualSpacing w:val="0"/>
        <w:jc w:val="both"/>
        <w:rPr>
          <w:rFonts w:asciiTheme="minorHAnsi" w:hAnsiTheme="minorHAnsi"/>
          <w:b/>
        </w:rPr>
      </w:pPr>
      <w:r w:rsidRPr="00AC4AA5">
        <w:rPr>
          <w:rFonts w:asciiTheme="minorHAnsi" w:hAnsiTheme="minorHAnsi"/>
        </w:rPr>
        <w:t>The mi</w:t>
      </w:r>
      <w:r w:rsidR="00FF2801" w:rsidRPr="00AC4AA5">
        <w:rPr>
          <w:rFonts w:asciiTheme="minorHAnsi" w:hAnsiTheme="minorHAnsi"/>
        </w:rPr>
        <w:t>nor submission requested</w:t>
      </w:r>
      <w:r w:rsidR="003352EF">
        <w:rPr>
          <w:rFonts w:asciiTheme="minorHAnsi" w:hAnsiTheme="minorHAnsi"/>
        </w:rPr>
        <w:t xml:space="preserve"> a Restricted Benefit </w:t>
      </w:r>
      <w:r w:rsidRPr="00AC4AA5">
        <w:rPr>
          <w:rFonts w:asciiTheme="minorHAnsi" w:hAnsiTheme="minorHAnsi"/>
        </w:rPr>
        <w:t>listing</w:t>
      </w:r>
      <w:r w:rsidR="003352EF">
        <w:rPr>
          <w:rFonts w:asciiTheme="minorHAnsi" w:hAnsiTheme="minorHAnsi"/>
        </w:rPr>
        <w:t xml:space="preserve"> of a new form of </w:t>
      </w:r>
      <w:bookmarkStart w:id="0" w:name="_GoBack"/>
      <w:r w:rsidR="003352EF">
        <w:rPr>
          <w:rFonts w:asciiTheme="minorHAnsi" w:hAnsiTheme="minorHAnsi"/>
        </w:rPr>
        <w:t xml:space="preserve">glycomacropeptide formula with docosahexaenoic acid with low phenylalanine </w:t>
      </w:r>
      <w:bookmarkEnd w:id="0"/>
      <w:r w:rsidR="003352EF">
        <w:rPr>
          <w:rFonts w:asciiTheme="minorHAnsi" w:hAnsiTheme="minorHAnsi"/>
        </w:rPr>
        <w:t>(PKU GMPro®) for the treatment of phenylketonuria (PKU)</w:t>
      </w:r>
      <w:r w:rsidR="00CD52D8">
        <w:rPr>
          <w:rFonts w:asciiTheme="minorHAnsi" w:hAnsiTheme="minorHAnsi"/>
        </w:rPr>
        <w:t xml:space="preserve"> in patient</w:t>
      </w:r>
      <w:r w:rsidR="006A7588">
        <w:rPr>
          <w:rFonts w:asciiTheme="minorHAnsi" w:hAnsiTheme="minorHAnsi"/>
        </w:rPr>
        <w:t>s</w:t>
      </w:r>
      <w:r w:rsidR="00CD52D8">
        <w:rPr>
          <w:rFonts w:asciiTheme="minorHAnsi" w:hAnsiTheme="minorHAnsi"/>
        </w:rPr>
        <w:t xml:space="preserve"> aged 3 years or older</w:t>
      </w:r>
      <w:r w:rsidR="003352EF">
        <w:rPr>
          <w:rFonts w:asciiTheme="minorHAnsi" w:hAnsiTheme="minorHAnsi"/>
        </w:rPr>
        <w:t xml:space="preserve">. </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2D5C51" w:rsidRPr="009B03E9" w:rsidRDefault="00EF44A0" w:rsidP="00714702">
      <w:pPr>
        <w:pStyle w:val="ListParagraph"/>
        <w:numPr>
          <w:ilvl w:val="1"/>
          <w:numId w:val="2"/>
        </w:numPr>
        <w:spacing w:before="120" w:after="160"/>
        <w:contextualSpacing w:val="0"/>
        <w:jc w:val="both"/>
        <w:rPr>
          <w:rFonts w:asciiTheme="minorHAnsi" w:hAnsiTheme="minorHAnsi"/>
          <w:szCs w:val="22"/>
        </w:rPr>
      </w:pPr>
      <w:r w:rsidRPr="009B03E9">
        <w:rPr>
          <w:rFonts w:asciiTheme="minorHAnsi" w:hAnsiTheme="minorHAnsi"/>
          <w:szCs w:val="22"/>
        </w:rPr>
        <w:t xml:space="preserve">The submission </w:t>
      </w:r>
      <w:r w:rsidR="00FF2801" w:rsidRPr="009B03E9">
        <w:rPr>
          <w:rFonts w:asciiTheme="minorHAnsi" w:hAnsiTheme="minorHAnsi"/>
          <w:szCs w:val="22"/>
        </w:rPr>
        <w:t>requested</w:t>
      </w:r>
      <w:r w:rsidRPr="009B03E9">
        <w:rPr>
          <w:rFonts w:asciiTheme="minorHAnsi" w:hAnsiTheme="minorHAnsi"/>
          <w:szCs w:val="22"/>
        </w:rPr>
        <w:t xml:space="preserve"> the following </w:t>
      </w:r>
      <w:r w:rsidR="0076420C" w:rsidRPr="009B03E9">
        <w:rPr>
          <w:rFonts w:asciiTheme="minorHAnsi" w:hAnsiTheme="minorHAnsi"/>
          <w:szCs w:val="22"/>
        </w:rPr>
        <w:t xml:space="preserve">new </w:t>
      </w:r>
      <w:r w:rsidRPr="009B03E9">
        <w:rPr>
          <w:rFonts w:asciiTheme="minorHAnsi" w:hAnsiTheme="minorHAnsi"/>
          <w:szCs w:val="22"/>
        </w:rPr>
        <w:t>listing</w:t>
      </w:r>
      <w:r w:rsidR="00826F6D" w:rsidRPr="009B03E9">
        <w:rPr>
          <w:rFonts w:asciiTheme="minorHAnsi" w:hAnsiTheme="minorHAnsi"/>
          <w:szCs w:val="22"/>
        </w:rPr>
        <w:t>:</w:t>
      </w:r>
      <w:r w:rsidRPr="009B03E9">
        <w:rPr>
          <w:rFonts w:asciiTheme="minorHAnsi" w:hAnsiTheme="minorHAnsi"/>
          <w:szCs w:val="22"/>
        </w:rPr>
        <w:t xml:space="preserve"> </w:t>
      </w:r>
    </w:p>
    <w:p w:rsidR="002D5C51" w:rsidRPr="00CA23D8" w:rsidRDefault="006A7588" w:rsidP="00714702">
      <w:pPr>
        <w:pStyle w:val="ListParagraph"/>
        <w:numPr>
          <w:ilvl w:val="1"/>
          <w:numId w:val="2"/>
        </w:numPr>
        <w:spacing w:before="120" w:after="160"/>
        <w:contextualSpacing w:val="0"/>
        <w:jc w:val="both"/>
        <w:rPr>
          <w:rFonts w:asciiTheme="minorHAnsi" w:hAnsiTheme="minorHAnsi"/>
          <w:szCs w:val="22"/>
        </w:rPr>
      </w:pPr>
      <w:r w:rsidRPr="00CA23D8">
        <w:rPr>
          <w:rFonts w:asciiTheme="minorHAnsi" w:hAnsiTheme="minorHAnsi"/>
          <w:szCs w:val="22"/>
        </w:rPr>
        <w:t>S</w:t>
      </w:r>
      <w:r w:rsidR="002D5C51" w:rsidRPr="00CA23D8">
        <w:rPr>
          <w:rFonts w:asciiTheme="minorHAnsi" w:hAnsiTheme="minorHAnsi"/>
          <w:szCs w:val="22"/>
        </w:rPr>
        <w:t>uggestions</w:t>
      </w:r>
      <w:r w:rsidRPr="00CA23D8">
        <w:rPr>
          <w:rFonts w:asciiTheme="minorHAnsi" w:hAnsiTheme="minorHAnsi"/>
          <w:szCs w:val="22"/>
        </w:rPr>
        <w:t xml:space="preserve"> </w:t>
      </w:r>
      <w:r w:rsidR="002D5C51" w:rsidRPr="00CA23D8">
        <w:rPr>
          <w:rFonts w:asciiTheme="minorHAnsi" w:hAnsiTheme="minorHAnsi"/>
          <w:szCs w:val="22"/>
        </w:rPr>
        <w:t xml:space="preserve">by the Secretariat are shown in </w:t>
      </w:r>
      <w:r w:rsidR="009C5340" w:rsidRPr="00CA23D8">
        <w:rPr>
          <w:rFonts w:asciiTheme="minorHAnsi" w:hAnsiTheme="minorHAnsi"/>
          <w:szCs w:val="22"/>
        </w:rPr>
        <w:t xml:space="preserve">italics and deletions are shown in strikethrough in </w:t>
      </w:r>
      <w:r w:rsidR="002D5C51" w:rsidRPr="00CA23D8">
        <w:rPr>
          <w:rFonts w:asciiTheme="minorHAnsi" w:hAnsiTheme="minorHAnsi"/>
          <w:szCs w:val="22"/>
        </w:rPr>
        <w:t xml:space="preserve">the proposed restriction. </w:t>
      </w:r>
    </w:p>
    <w:p w:rsidR="00826F6D" w:rsidRPr="00466D1C" w:rsidRDefault="00826F6D" w:rsidP="00C27B58">
      <w:pPr>
        <w:pStyle w:val="NoSpacing"/>
        <w:rPr>
          <w:rFonts w:asciiTheme="minorHAnsi" w:hAnsiTheme="minorHAnsi"/>
          <w:sz w:val="24"/>
          <w:szCs w:val="24"/>
        </w:rPr>
      </w:pPr>
    </w:p>
    <w:tbl>
      <w:tblPr>
        <w:tblW w:w="4920" w:type="pct"/>
        <w:tblLook w:val="0000" w:firstRow="0" w:lastRow="0" w:firstColumn="0" w:lastColumn="0" w:noHBand="0" w:noVBand="0"/>
      </w:tblPr>
      <w:tblGrid>
        <w:gridCol w:w="1910"/>
        <w:gridCol w:w="1352"/>
        <w:gridCol w:w="731"/>
        <w:gridCol w:w="878"/>
        <w:gridCol w:w="1600"/>
        <w:gridCol w:w="858"/>
        <w:gridCol w:w="1543"/>
        <w:gridCol w:w="10"/>
      </w:tblGrid>
      <w:tr w:rsidR="00826F6D" w:rsidRPr="005A39D7" w:rsidTr="00037E45">
        <w:trPr>
          <w:cantSplit/>
          <w:trHeight w:val="471"/>
        </w:trPr>
        <w:tc>
          <w:tcPr>
            <w:tcW w:w="1840" w:type="pct"/>
            <w:gridSpan w:val="2"/>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Name, Restriction,</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13"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Max.</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Qty</w:t>
            </w:r>
          </w:p>
        </w:tc>
        <w:tc>
          <w:tcPr>
            <w:tcW w:w="496"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№.of</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Rpts</w:t>
            </w:r>
          </w:p>
        </w:tc>
        <w:tc>
          <w:tcPr>
            <w:tcW w:w="902"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Dispensed Price for Max. Qty</w:t>
            </w:r>
          </w:p>
        </w:tc>
        <w:tc>
          <w:tcPr>
            <w:tcW w:w="1349" w:type="pct"/>
            <w:gridSpan w:val="3"/>
            <w:tcBorders>
              <w:bottom w:val="single" w:sz="4" w:space="0" w:color="auto"/>
            </w:tcBorders>
          </w:tcPr>
          <w:p w:rsidR="00826F6D" w:rsidRPr="005A39D7" w:rsidRDefault="00826F6D" w:rsidP="00C27B58">
            <w:pPr>
              <w:keepNext/>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4341D7" w:rsidRPr="005A39D7" w:rsidTr="00037E45">
        <w:trPr>
          <w:cantSplit/>
          <w:trHeight w:val="577"/>
        </w:trPr>
        <w:tc>
          <w:tcPr>
            <w:tcW w:w="1840" w:type="pct"/>
            <w:gridSpan w:val="2"/>
          </w:tcPr>
          <w:p w:rsidR="00826F6D" w:rsidRPr="005A39D7" w:rsidRDefault="00882F0C" w:rsidP="00C27B58">
            <w:pPr>
              <w:keepNext/>
              <w:ind w:left="-108"/>
              <w:jc w:val="both"/>
              <w:rPr>
                <w:rFonts w:ascii="Arial Narrow" w:hAnsi="Arial Narrow" w:cs="Arial"/>
                <w:sz w:val="20"/>
                <w:szCs w:val="20"/>
              </w:rPr>
            </w:pPr>
            <w:r>
              <w:rPr>
                <w:rFonts w:ascii="Arial Narrow" w:hAnsi="Arial Narrow" w:cs="Arial"/>
                <w:smallCaps/>
                <w:sz w:val="20"/>
                <w:szCs w:val="20"/>
              </w:rPr>
              <w:t>glycomacropeptide formula with docosahexaenoic acid with low phenylalanine</w:t>
            </w:r>
          </w:p>
          <w:p w:rsidR="00826F6D" w:rsidRPr="005A39D7" w:rsidRDefault="00882F0C" w:rsidP="00480F1C">
            <w:pPr>
              <w:keepNext/>
              <w:ind w:left="-108"/>
              <w:rPr>
                <w:rFonts w:ascii="Arial Narrow" w:hAnsi="Arial Narrow" w:cs="Arial"/>
                <w:sz w:val="20"/>
                <w:szCs w:val="20"/>
              </w:rPr>
            </w:pPr>
            <w:r>
              <w:rPr>
                <w:rFonts w:ascii="Arial Narrow" w:hAnsi="Arial Narrow" w:cs="Arial"/>
                <w:sz w:val="20"/>
                <w:szCs w:val="20"/>
              </w:rPr>
              <w:t>glycomacropeptide formula with docosahexaenoic acid with low ph</w:t>
            </w:r>
            <w:r w:rsidR="00FE6806">
              <w:rPr>
                <w:rFonts w:ascii="Arial Narrow" w:hAnsi="Arial Narrow" w:cs="Arial"/>
                <w:sz w:val="20"/>
                <w:szCs w:val="20"/>
              </w:rPr>
              <w:t>enylalanine powder</w:t>
            </w:r>
            <w:r w:rsidR="00480F1C">
              <w:rPr>
                <w:rFonts w:ascii="Arial Narrow" w:hAnsi="Arial Narrow" w:cs="Arial"/>
                <w:sz w:val="20"/>
                <w:szCs w:val="20"/>
              </w:rPr>
              <w:t xml:space="preserve"> for oral liquid</w:t>
            </w:r>
            <w:r w:rsidR="00FE6806">
              <w:rPr>
                <w:rFonts w:ascii="Arial Narrow" w:hAnsi="Arial Narrow" w:cs="Arial"/>
                <w:sz w:val="20"/>
                <w:szCs w:val="20"/>
              </w:rPr>
              <w:t>, 16</w:t>
            </w:r>
            <w:r w:rsidR="00480F1C">
              <w:rPr>
                <w:rFonts w:ascii="Arial Narrow" w:hAnsi="Arial Narrow" w:cs="Arial"/>
                <w:sz w:val="20"/>
                <w:szCs w:val="20"/>
              </w:rPr>
              <w:t> × 33.3</w:t>
            </w:r>
            <w:r w:rsidR="00FE6806">
              <w:rPr>
                <w:rFonts w:ascii="Arial Narrow" w:hAnsi="Arial Narrow" w:cs="Arial"/>
                <w:sz w:val="20"/>
                <w:szCs w:val="20"/>
              </w:rPr>
              <w:t xml:space="preserve"> sachets</w:t>
            </w:r>
          </w:p>
        </w:tc>
        <w:tc>
          <w:tcPr>
            <w:tcW w:w="413" w:type="pct"/>
          </w:tcPr>
          <w:p w:rsidR="00826F6D" w:rsidRPr="005A39D7" w:rsidRDefault="00826F6D" w:rsidP="00C27B58">
            <w:pPr>
              <w:keepNext/>
              <w:ind w:left="-108"/>
              <w:jc w:val="both"/>
              <w:rPr>
                <w:rFonts w:ascii="Arial Narrow" w:hAnsi="Arial Narrow" w:cs="Arial"/>
                <w:sz w:val="20"/>
                <w:szCs w:val="20"/>
              </w:rPr>
            </w:pPr>
          </w:p>
          <w:p w:rsidR="00826F6D" w:rsidRPr="005A39D7" w:rsidRDefault="00882F0C" w:rsidP="00C27B58">
            <w:pPr>
              <w:keepNext/>
              <w:ind w:left="-108"/>
              <w:jc w:val="both"/>
              <w:rPr>
                <w:rFonts w:ascii="Arial Narrow" w:hAnsi="Arial Narrow" w:cs="Arial"/>
                <w:sz w:val="20"/>
                <w:szCs w:val="20"/>
              </w:rPr>
            </w:pPr>
            <w:r>
              <w:rPr>
                <w:rFonts w:ascii="Arial Narrow" w:hAnsi="Arial Narrow" w:cs="Arial"/>
                <w:sz w:val="20"/>
                <w:szCs w:val="20"/>
              </w:rPr>
              <w:t>14</w:t>
            </w:r>
          </w:p>
        </w:tc>
        <w:tc>
          <w:tcPr>
            <w:tcW w:w="496" w:type="pct"/>
          </w:tcPr>
          <w:p w:rsidR="00826F6D" w:rsidRPr="005A39D7" w:rsidRDefault="00826F6D" w:rsidP="00C27B58">
            <w:pPr>
              <w:keepNext/>
              <w:ind w:left="-108"/>
              <w:jc w:val="both"/>
              <w:rPr>
                <w:rFonts w:ascii="Arial Narrow" w:hAnsi="Arial Narrow" w:cs="Arial"/>
                <w:sz w:val="20"/>
                <w:szCs w:val="20"/>
              </w:rPr>
            </w:pPr>
          </w:p>
          <w:p w:rsidR="00826F6D" w:rsidRPr="005A39D7" w:rsidRDefault="00480F1C" w:rsidP="00C27B58">
            <w:pPr>
              <w:keepNext/>
              <w:ind w:left="-108"/>
              <w:jc w:val="both"/>
              <w:rPr>
                <w:rFonts w:ascii="Arial Narrow" w:hAnsi="Arial Narrow" w:cs="Arial"/>
                <w:sz w:val="20"/>
                <w:szCs w:val="20"/>
              </w:rPr>
            </w:pPr>
            <w:r>
              <w:rPr>
                <w:rFonts w:ascii="Arial Narrow" w:hAnsi="Arial Narrow" w:cs="Arial"/>
                <w:sz w:val="20"/>
                <w:szCs w:val="20"/>
              </w:rPr>
              <w:t>5</w:t>
            </w:r>
          </w:p>
        </w:tc>
        <w:tc>
          <w:tcPr>
            <w:tcW w:w="902" w:type="pct"/>
          </w:tcPr>
          <w:p w:rsidR="00826F6D" w:rsidRPr="005A39D7" w:rsidRDefault="00826F6D" w:rsidP="00C27B58">
            <w:pPr>
              <w:keepNext/>
              <w:ind w:left="-108"/>
              <w:jc w:val="both"/>
              <w:rPr>
                <w:rFonts w:ascii="Arial Narrow" w:hAnsi="Arial Narrow" w:cs="Arial"/>
                <w:sz w:val="20"/>
                <w:szCs w:val="20"/>
              </w:rPr>
            </w:pPr>
          </w:p>
          <w:p w:rsidR="00826F6D" w:rsidRPr="005A39D7" w:rsidRDefault="00826F6D" w:rsidP="00882F0C">
            <w:pPr>
              <w:keepNext/>
              <w:ind w:left="-108"/>
              <w:jc w:val="both"/>
              <w:rPr>
                <w:rFonts w:ascii="Arial Narrow" w:hAnsi="Arial Narrow" w:cs="Arial"/>
                <w:sz w:val="20"/>
                <w:szCs w:val="20"/>
              </w:rPr>
            </w:pPr>
            <w:r w:rsidRPr="005A39D7">
              <w:rPr>
                <w:rFonts w:ascii="Arial Narrow" w:hAnsi="Arial Narrow" w:cs="Arial"/>
                <w:sz w:val="20"/>
                <w:szCs w:val="20"/>
              </w:rPr>
              <w:t>$</w:t>
            </w:r>
            <w:r w:rsidR="00882F0C">
              <w:rPr>
                <w:rFonts w:ascii="Arial Narrow" w:hAnsi="Arial Narrow" w:cs="Arial"/>
                <w:sz w:val="20"/>
                <w:szCs w:val="20"/>
              </w:rPr>
              <w:t>1935.97</w:t>
            </w:r>
          </w:p>
        </w:tc>
        <w:tc>
          <w:tcPr>
            <w:tcW w:w="472" w:type="pct"/>
          </w:tcPr>
          <w:p w:rsidR="00C27B58" w:rsidRPr="005A39D7" w:rsidRDefault="00C27B58" w:rsidP="00C27B58">
            <w:pPr>
              <w:keepNext/>
              <w:jc w:val="both"/>
              <w:rPr>
                <w:rFonts w:ascii="Arial Narrow" w:hAnsi="Arial Narrow" w:cs="Arial"/>
                <w:sz w:val="20"/>
                <w:szCs w:val="20"/>
              </w:rPr>
            </w:pPr>
          </w:p>
          <w:p w:rsidR="00826F6D" w:rsidRPr="005A39D7" w:rsidRDefault="00095B63" w:rsidP="00C27B58">
            <w:pPr>
              <w:keepNext/>
              <w:jc w:val="both"/>
              <w:rPr>
                <w:rFonts w:ascii="Arial Narrow" w:hAnsi="Arial Narrow" w:cs="Arial"/>
                <w:sz w:val="20"/>
                <w:szCs w:val="20"/>
              </w:rPr>
            </w:pPr>
            <w:r>
              <w:rPr>
                <w:rFonts w:ascii="Arial Narrow" w:hAnsi="Arial Narrow" w:cs="Arial"/>
                <w:sz w:val="20"/>
                <w:szCs w:val="20"/>
              </w:rPr>
              <w:t>PKU GMPro®</w:t>
            </w:r>
          </w:p>
        </w:tc>
        <w:tc>
          <w:tcPr>
            <w:tcW w:w="877" w:type="pct"/>
            <w:gridSpan w:val="2"/>
          </w:tcPr>
          <w:p w:rsidR="00C27B58" w:rsidRPr="005A39D7" w:rsidRDefault="00C27B58" w:rsidP="00C27B58">
            <w:pPr>
              <w:keepNext/>
              <w:jc w:val="both"/>
              <w:rPr>
                <w:rFonts w:ascii="Arial Narrow" w:hAnsi="Arial Narrow" w:cs="Arial"/>
                <w:sz w:val="20"/>
                <w:szCs w:val="20"/>
              </w:rPr>
            </w:pPr>
          </w:p>
          <w:p w:rsidR="00826F6D" w:rsidRPr="005A39D7" w:rsidRDefault="00095B63" w:rsidP="00C27B58">
            <w:pPr>
              <w:keepNext/>
              <w:jc w:val="both"/>
              <w:rPr>
                <w:rFonts w:ascii="Arial Narrow" w:hAnsi="Arial Narrow" w:cs="Arial"/>
                <w:sz w:val="20"/>
                <w:szCs w:val="20"/>
              </w:rPr>
            </w:pPr>
            <w:r>
              <w:rPr>
                <w:rFonts w:ascii="Arial Narrow" w:hAnsi="Arial Narrow" w:cs="Arial"/>
                <w:sz w:val="20"/>
                <w:szCs w:val="20"/>
              </w:rPr>
              <w:t>Nutricia Australia Pty Ltd</w:t>
            </w:r>
          </w:p>
        </w:tc>
      </w:tr>
      <w:tr w:rsidR="00826F6D" w:rsidRPr="005A39D7" w:rsidTr="00037E45">
        <w:trPr>
          <w:gridAfter w:val="1"/>
          <w:wAfter w:w="7" w:type="pct"/>
          <w:cantSplit/>
          <w:trHeight w:val="360"/>
        </w:trPr>
        <w:tc>
          <w:tcPr>
            <w:tcW w:w="4993" w:type="pct"/>
            <w:gridSpan w:val="7"/>
            <w:tcBorders>
              <w:bottom w:val="single" w:sz="4" w:space="0" w:color="auto"/>
            </w:tcBorders>
          </w:tcPr>
          <w:p w:rsidR="00826F6D" w:rsidRPr="005A39D7" w:rsidRDefault="00826F6D" w:rsidP="00C27B58">
            <w:pPr>
              <w:jc w:val="both"/>
              <w:rPr>
                <w:rFonts w:ascii="Arial Narrow" w:hAnsi="Arial Narrow" w:cs="Arial"/>
                <w:sz w:val="20"/>
                <w:szCs w:val="20"/>
              </w:rPr>
            </w:pPr>
          </w:p>
        </w:tc>
      </w:tr>
      <w:tr w:rsidR="00826F6D" w:rsidRPr="005A39D7" w:rsidTr="00037E45">
        <w:trPr>
          <w:gridAfter w:val="1"/>
          <w:wAfter w:w="7"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 xml:space="preserve">Category / </w:t>
            </w:r>
          </w:p>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Program</w:t>
            </w:r>
          </w:p>
        </w:tc>
        <w:tc>
          <w:tcPr>
            <w:tcW w:w="3916"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t>GENERAL – General Schedule (Code GE)</w:t>
            </w:r>
          </w:p>
        </w:tc>
      </w:tr>
      <w:tr w:rsidR="00826F6D" w:rsidRPr="005A39D7" w:rsidTr="00037E45">
        <w:trPr>
          <w:gridAfter w:val="1"/>
          <w:wAfter w:w="7"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Prescriber type:</w:t>
            </w:r>
          </w:p>
        </w:tc>
        <w:tc>
          <w:tcPr>
            <w:tcW w:w="3916"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sidR="003352EF">
              <w:rPr>
                <w:rFonts w:ascii="Arial Narrow" w:hAnsi="Arial Narrow" w:cs="Arial"/>
                <w:sz w:val="20"/>
                <w:szCs w:val="20"/>
              </w:rPr>
              <w:fldChar w:fldCharType="begin">
                <w:ffData>
                  <w:name w:val=""/>
                  <w:enabled/>
                  <w:calcOnExit w:val="0"/>
                  <w:checkBox>
                    <w:sizeAuto/>
                    <w:default w:val="1"/>
                  </w:checkBox>
                </w:ffData>
              </w:fldChar>
            </w:r>
            <w:r w:rsidR="003352EF">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003352EF">
              <w:rPr>
                <w:rFonts w:ascii="Arial Narrow" w:hAnsi="Arial Narrow" w:cs="Arial"/>
                <w:sz w:val="20"/>
                <w:szCs w:val="20"/>
              </w:rPr>
              <w:fldChar w:fldCharType="end"/>
            </w:r>
            <w:r w:rsidRPr="005A39D7">
              <w:rPr>
                <w:rFonts w:ascii="Arial Narrow" w:hAnsi="Arial Narrow" w:cs="Arial"/>
                <w:sz w:val="20"/>
                <w:szCs w:val="20"/>
              </w:rPr>
              <w:t xml:space="preserve">Medical Practitioners  </w:t>
            </w:r>
            <w:r w:rsidR="003352EF">
              <w:rPr>
                <w:rFonts w:ascii="Arial Narrow" w:hAnsi="Arial Narrow" w:cs="Arial"/>
                <w:sz w:val="20"/>
                <w:szCs w:val="20"/>
              </w:rPr>
              <w:fldChar w:fldCharType="begin">
                <w:ffData>
                  <w:name w:val="Check3"/>
                  <w:enabled/>
                  <w:calcOnExit w:val="0"/>
                  <w:checkBox>
                    <w:sizeAuto/>
                    <w:default w:val="1"/>
                  </w:checkBox>
                </w:ffData>
              </w:fldChar>
            </w:r>
            <w:bookmarkStart w:id="1" w:name="Check3"/>
            <w:r w:rsidR="003352EF">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003352EF">
              <w:rPr>
                <w:rFonts w:ascii="Arial Narrow" w:hAnsi="Arial Narrow" w:cs="Arial"/>
                <w:sz w:val="20"/>
                <w:szCs w:val="20"/>
              </w:rPr>
              <w:fldChar w:fldCharType="end"/>
            </w:r>
            <w:bookmarkEnd w:id="1"/>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826F6D" w:rsidRPr="005A39D7" w:rsidTr="00037E45">
        <w:trPr>
          <w:gridAfter w:val="1"/>
          <w:wAfter w:w="7"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Condition:</w:t>
            </w:r>
          </w:p>
        </w:tc>
        <w:tc>
          <w:tcPr>
            <w:tcW w:w="3916" w:type="pct"/>
            <w:gridSpan w:val="6"/>
            <w:tcBorders>
              <w:top w:val="single" w:sz="4" w:space="0" w:color="auto"/>
              <w:left w:val="single" w:sz="4" w:space="0" w:color="auto"/>
              <w:bottom w:val="single" w:sz="4" w:space="0" w:color="auto"/>
              <w:right w:val="single" w:sz="4" w:space="0" w:color="auto"/>
            </w:tcBorders>
          </w:tcPr>
          <w:p w:rsidR="00826F6D" w:rsidRPr="005A39D7" w:rsidRDefault="00095B63" w:rsidP="00C27B58">
            <w:pPr>
              <w:rPr>
                <w:rFonts w:ascii="Arial Narrow" w:hAnsi="Arial Narrow" w:cs="Arial"/>
                <w:sz w:val="20"/>
                <w:szCs w:val="20"/>
              </w:rPr>
            </w:pPr>
            <w:r>
              <w:rPr>
                <w:rFonts w:ascii="Arial Narrow" w:hAnsi="Arial Narrow" w:cs="Arial"/>
                <w:sz w:val="20"/>
                <w:szCs w:val="20"/>
              </w:rPr>
              <w:t>phenylketonuria</w:t>
            </w:r>
          </w:p>
        </w:tc>
      </w:tr>
      <w:tr w:rsidR="00826F6D" w:rsidRPr="005A39D7" w:rsidTr="00037E45">
        <w:trPr>
          <w:gridAfter w:val="1"/>
          <w:wAfter w:w="7"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PBS Indication:</w:t>
            </w:r>
          </w:p>
        </w:tc>
        <w:tc>
          <w:tcPr>
            <w:tcW w:w="3916" w:type="pct"/>
            <w:gridSpan w:val="6"/>
            <w:tcBorders>
              <w:top w:val="single" w:sz="4" w:space="0" w:color="auto"/>
              <w:left w:val="single" w:sz="4" w:space="0" w:color="auto"/>
              <w:bottom w:val="single" w:sz="4" w:space="0" w:color="auto"/>
              <w:right w:val="single" w:sz="4" w:space="0" w:color="auto"/>
            </w:tcBorders>
          </w:tcPr>
          <w:p w:rsidR="00826F6D" w:rsidRPr="005A39D7" w:rsidRDefault="00095B63" w:rsidP="00C27B58">
            <w:pPr>
              <w:rPr>
                <w:rFonts w:ascii="Arial Narrow" w:hAnsi="Arial Narrow" w:cs="Arial"/>
                <w:sz w:val="20"/>
                <w:szCs w:val="20"/>
              </w:rPr>
            </w:pPr>
            <w:r>
              <w:rPr>
                <w:rFonts w:ascii="Arial Narrow" w:hAnsi="Arial Narrow" w:cs="Arial"/>
                <w:sz w:val="20"/>
                <w:szCs w:val="20"/>
              </w:rPr>
              <w:t>phenylketonuria</w:t>
            </w:r>
          </w:p>
        </w:tc>
      </w:tr>
      <w:tr w:rsidR="00826F6D" w:rsidRPr="005A39D7" w:rsidTr="00037E45">
        <w:trPr>
          <w:gridAfter w:val="1"/>
          <w:wAfter w:w="7"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Population criteria:</w:t>
            </w:r>
          </w:p>
          <w:p w:rsidR="00826F6D" w:rsidRPr="005A39D7" w:rsidRDefault="00826F6D" w:rsidP="00037E45">
            <w:pPr>
              <w:rPr>
                <w:rFonts w:ascii="Arial Narrow" w:hAnsi="Arial Narrow" w:cs="Arial"/>
                <w:sz w:val="20"/>
                <w:szCs w:val="20"/>
              </w:rPr>
            </w:pPr>
          </w:p>
        </w:tc>
        <w:tc>
          <w:tcPr>
            <w:tcW w:w="3916" w:type="pct"/>
            <w:gridSpan w:val="6"/>
            <w:tcBorders>
              <w:top w:val="single" w:sz="4" w:space="0" w:color="auto"/>
              <w:left w:val="single" w:sz="4" w:space="0" w:color="auto"/>
              <w:bottom w:val="single" w:sz="4" w:space="0" w:color="auto"/>
              <w:right w:val="single" w:sz="4" w:space="0" w:color="auto"/>
            </w:tcBorders>
          </w:tcPr>
          <w:p w:rsidR="00826F6D" w:rsidRPr="008A6936" w:rsidRDefault="00C77326" w:rsidP="00C27B58">
            <w:pPr>
              <w:rPr>
                <w:rFonts w:ascii="Arial Narrow" w:hAnsi="Arial Narrow" w:cs="Arial"/>
                <w:i/>
                <w:strike/>
                <w:sz w:val="20"/>
                <w:szCs w:val="20"/>
              </w:rPr>
            </w:pPr>
            <w:r w:rsidRPr="008A6936">
              <w:rPr>
                <w:rFonts w:ascii="Arial Narrow" w:hAnsi="Arial Narrow" w:cs="Arial"/>
                <w:i/>
                <w:strike/>
                <w:sz w:val="20"/>
                <w:szCs w:val="20"/>
              </w:rPr>
              <w:t>Patient must be aged 3 years or older.</w:t>
            </w:r>
          </w:p>
          <w:p w:rsidR="00826F6D" w:rsidRPr="005A39D7" w:rsidRDefault="00826F6D" w:rsidP="00C27B58">
            <w:pPr>
              <w:jc w:val="both"/>
              <w:rPr>
                <w:rFonts w:ascii="Arial Narrow" w:hAnsi="Arial Narrow" w:cs="Arial"/>
                <w:sz w:val="20"/>
                <w:szCs w:val="20"/>
              </w:rPr>
            </w:pPr>
          </w:p>
        </w:tc>
      </w:tr>
      <w:tr w:rsidR="00884C65" w:rsidRPr="005A39D7" w:rsidTr="00037E45">
        <w:trPr>
          <w:gridAfter w:val="1"/>
          <w:wAfter w:w="7"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884C65" w:rsidRPr="005A39D7" w:rsidRDefault="00884C65" w:rsidP="00C27B58">
            <w:pPr>
              <w:jc w:val="both"/>
              <w:rPr>
                <w:rFonts w:ascii="Arial Narrow" w:hAnsi="Arial Narrow" w:cs="Arial"/>
                <w:b/>
                <w:sz w:val="20"/>
                <w:szCs w:val="20"/>
              </w:rPr>
            </w:pPr>
            <w:r>
              <w:rPr>
                <w:rFonts w:ascii="Arial Narrow" w:hAnsi="Arial Narrow" w:cs="Arial"/>
                <w:b/>
                <w:sz w:val="20"/>
                <w:szCs w:val="20"/>
              </w:rPr>
              <w:t>Foreword</w:t>
            </w:r>
          </w:p>
        </w:tc>
        <w:tc>
          <w:tcPr>
            <w:tcW w:w="3916" w:type="pct"/>
            <w:gridSpan w:val="6"/>
            <w:tcBorders>
              <w:top w:val="single" w:sz="4" w:space="0" w:color="auto"/>
              <w:left w:val="single" w:sz="4" w:space="0" w:color="auto"/>
              <w:bottom w:val="single" w:sz="4" w:space="0" w:color="auto"/>
              <w:right w:val="single" w:sz="4" w:space="0" w:color="auto"/>
            </w:tcBorders>
          </w:tcPr>
          <w:p w:rsidR="00884C65" w:rsidRDefault="00884C65" w:rsidP="00C27B58">
            <w:pPr>
              <w:rPr>
                <w:rFonts w:ascii="Arial Narrow" w:hAnsi="Arial Narrow" w:cs="Arial"/>
                <w:i/>
                <w:sz w:val="20"/>
                <w:szCs w:val="20"/>
              </w:rPr>
            </w:pPr>
            <w:r>
              <w:rPr>
                <w:rFonts w:ascii="Arial Narrow" w:hAnsi="Arial Narrow" w:cs="Arial"/>
                <w:i/>
                <w:sz w:val="20"/>
                <w:szCs w:val="20"/>
              </w:rPr>
              <w:t>This product contains higher vitamin A levels than other PBS-listed glycomacropeptide products.</w:t>
            </w:r>
          </w:p>
        </w:tc>
      </w:tr>
    </w:tbl>
    <w:p w:rsidR="00826F6D" w:rsidRPr="005A39D7" w:rsidRDefault="00826F6D" w:rsidP="00826F6D">
      <w:pPr>
        <w:pStyle w:val="ListParagraph"/>
        <w:jc w:val="both"/>
        <w:rPr>
          <w:rFonts w:asciiTheme="minorHAnsi" w:hAnsiTheme="minorHAnsi"/>
          <w:sz w:val="22"/>
          <w:szCs w:val="22"/>
        </w:rPr>
      </w:pPr>
    </w:p>
    <w:p w:rsidR="0001462F" w:rsidRDefault="0001462F" w:rsidP="0001462F">
      <w:pPr>
        <w:pStyle w:val="ListParagraph"/>
        <w:numPr>
          <w:ilvl w:val="1"/>
          <w:numId w:val="2"/>
        </w:numPr>
        <w:spacing w:before="120" w:after="160"/>
        <w:contextualSpacing w:val="0"/>
        <w:jc w:val="both"/>
        <w:rPr>
          <w:rFonts w:asciiTheme="minorHAnsi" w:hAnsiTheme="minorHAnsi"/>
          <w:szCs w:val="22"/>
        </w:rPr>
      </w:pPr>
      <w:r w:rsidRPr="00CA23D8">
        <w:rPr>
          <w:rFonts w:asciiTheme="minorHAnsi" w:hAnsiTheme="minorHAnsi"/>
          <w:szCs w:val="22"/>
        </w:rPr>
        <w:t xml:space="preserve">The Secretariat considered it appropriate to align the listing of PKU GMPro with the nominated comparator (below), which does not have an age restriction. </w:t>
      </w:r>
    </w:p>
    <w:p w:rsidR="00D434D1" w:rsidRPr="00D434D1" w:rsidRDefault="00D434D1" w:rsidP="00D434D1">
      <w:pPr>
        <w:pStyle w:val="ListParagraph"/>
        <w:jc w:val="both"/>
        <w:rPr>
          <w:rFonts w:asciiTheme="minorHAnsi" w:hAnsiTheme="minorHAnsi"/>
          <w:i/>
        </w:rPr>
      </w:pPr>
      <w:r w:rsidRPr="00D434D1">
        <w:rPr>
          <w:rFonts w:asciiTheme="minorHAnsi" w:hAnsiTheme="minorHAnsi"/>
          <w:i/>
        </w:rPr>
        <w:lastRenderedPageBreak/>
        <w:t>For more detail on PBAC’s view, see section 7 PBAC outcome.</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704DE3" w:rsidRPr="00BB7B68" w:rsidRDefault="00704DE3" w:rsidP="00714702">
      <w:pPr>
        <w:pStyle w:val="ListParagraph"/>
        <w:numPr>
          <w:ilvl w:val="1"/>
          <w:numId w:val="2"/>
        </w:numPr>
        <w:spacing w:before="120" w:after="160"/>
        <w:contextualSpacing w:val="0"/>
        <w:jc w:val="both"/>
        <w:rPr>
          <w:rFonts w:asciiTheme="minorHAnsi" w:hAnsiTheme="minorHAnsi"/>
        </w:rPr>
      </w:pPr>
      <w:r w:rsidRPr="00BB7B68">
        <w:rPr>
          <w:rFonts w:asciiTheme="minorHAnsi" w:hAnsiTheme="minorHAnsi"/>
        </w:rPr>
        <w:t xml:space="preserve">The sponsor of </w:t>
      </w:r>
      <w:r w:rsidR="00F80352" w:rsidRPr="00BB7B68">
        <w:rPr>
          <w:rFonts w:asciiTheme="minorHAnsi" w:hAnsiTheme="minorHAnsi"/>
        </w:rPr>
        <w:t>PKU GMPro®</w:t>
      </w:r>
      <w:r w:rsidRPr="00BB7B68">
        <w:rPr>
          <w:rFonts w:asciiTheme="minorHAnsi" w:hAnsiTheme="minorHAnsi"/>
        </w:rPr>
        <w:t xml:space="preserve"> confirm</w:t>
      </w:r>
      <w:r w:rsidR="00BC298F" w:rsidRPr="00BB7B68">
        <w:rPr>
          <w:rFonts w:asciiTheme="minorHAnsi" w:hAnsiTheme="minorHAnsi"/>
        </w:rPr>
        <w:t>ed</w:t>
      </w:r>
      <w:r w:rsidRPr="00BB7B68">
        <w:rPr>
          <w:rFonts w:asciiTheme="minorHAnsi" w:hAnsiTheme="minorHAnsi"/>
        </w:rPr>
        <w:t xml:space="preserve"> that it meets the requirements for foods that have medical purposes as set out under The Australia New Zealand Food Standards Code — Standard 2.9.5: Food for Special Medical Purposes</w:t>
      </w:r>
      <w:r w:rsidR="00614A83" w:rsidRPr="00BB7B68">
        <w:rPr>
          <w:rFonts w:asciiTheme="minorHAnsi" w:hAnsiTheme="minorHAnsi"/>
        </w:rPr>
        <w:t>.</w:t>
      </w:r>
    </w:p>
    <w:p w:rsidR="008A1956" w:rsidRDefault="00037E45" w:rsidP="00037E45">
      <w:pPr>
        <w:pStyle w:val="ListParagraph"/>
        <w:numPr>
          <w:ilvl w:val="1"/>
          <w:numId w:val="2"/>
        </w:numPr>
        <w:spacing w:before="120" w:after="160"/>
        <w:contextualSpacing w:val="0"/>
        <w:jc w:val="both"/>
        <w:rPr>
          <w:rFonts w:asciiTheme="minorHAnsi" w:hAnsiTheme="minorHAnsi"/>
        </w:rPr>
      </w:pPr>
      <w:r w:rsidRPr="00BB7B68">
        <w:rPr>
          <w:rFonts w:asciiTheme="minorHAnsi" w:hAnsiTheme="minorHAnsi"/>
        </w:rPr>
        <w:t>PKU GMPr</w:t>
      </w:r>
      <w:r w:rsidR="00F80352" w:rsidRPr="00BB7B68">
        <w:rPr>
          <w:rFonts w:asciiTheme="minorHAnsi" w:hAnsiTheme="minorHAnsi"/>
        </w:rPr>
        <w:t>o®</w:t>
      </w:r>
      <w:r w:rsidRPr="00BB7B68">
        <w:rPr>
          <w:rFonts w:asciiTheme="minorHAnsi" w:hAnsiTheme="minorHAnsi"/>
        </w:rPr>
        <w:t xml:space="preserve"> has not been</w:t>
      </w:r>
      <w:r w:rsidR="00BC298F" w:rsidRPr="00BB7B68">
        <w:rPr>
          <w:rFonts w:asciiTheme="minorHAnsi" w:hAnsiTheme="minorHAnsi"/>
        </w:rPr>
        <w:t xml:space="preserve"> previously</w:t>
      </w:r>
      <w:r w:rsidRPr="00BB7B68">
        <w:rPr>
          <w:rFonts w:asciiTheme="minorHAnsi" w:hAnsiTheme="minorHAnsi"/>
        </w:rPr>
        <w:t xml:space="preserve"> considered by the PBAC.</w:t>
      </w:r>
    </w:p>
    <w:p w:rsidR="005A3173" w:rsidRPr="00791BDB" w:rsidRDefault="005A3173"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Comparator</w:t>
      </w:r>
    </w:p>
    <w:p w:rsidR="0001462F" w:rsidRPr="00B55396" w:rsidRDefault="00FF2801" w:rsidP="00B55396">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minor submission nominated</w:t>
      </w:r>
      <w:r w:rsidR="006655AA">
        <w:rPr>
          <w:rFonts w:asciiTheme="minorHAnsi" w:hAnsiTheme="minorHAnsi"/>
        </w:rPr>
        <w:t xml:space="preserve"> PKU Glytactin RTD 10 as the main comparator</w:t>
      </w:r>
      <w:r w:rsidR="00476245" w:rsidRPr="00AC4AA5">
        <w:rPr>
          <w:rFonts w:asciiTheme="minorHAnsi" w:hAnsiTheme="minorHAnsi"/>
        </w:rPr>
        <w:t>.</w:t>
      </w:r>
      <w:r w:rsidR="006655AA">
        <w:rPr>
          <w:rFonts w:asciiTheme="minorHAnsi" w:hAnsiTheme="minorHAnsi"/>
        </w:rPr>
        <w:t xml:space="preserve"> </w:t>
      </w:r>
    </w:p>
    <w:p w:rsidR="00CA23D8" w:rsidRDefault="00CA23D8" w:rsidP="00BC298F">
      <w:pPr>
        <w:spacing w:before="120" w:after="160"/>
        <w:jc w:val="center"/>
        <w:rPr>
          <w:rFonts w:asciiTheme="minorHAnsi" w:hAnsiTheme="minorHAnsi"/>
          <w:b/>
        </w:rPr>
      </w:pPr>
    </w:p>
    <w:p w:rsidR="00BC298F" w:rsidRPr="00BC298F" w:rsidRDefault="00BC298F" w:rsidP="00BC298F">
      <w:pPr>
        <w:spacing w:before="120" w:after="160"/>
        <w:jc w:val="center"/>
        <w:rPr>
          <w:rFonts w:asciiTheme="minorHAnsi" w:hAnsiTheme="minorHAnsi"/>
          <w:b/>
        </w:rPr>
      </w:pPr>
      <w:r w:rsidRPr="00BC298F">
        <w:rPr>
          <w:rFonts w:asciiTheme="minorHAnsi" w:hAnsiTheme="minorHAnsi"/>
          <w:b/>
        </w:rPr>
        <w:t>*** Committee in Confidence Information ***</w:t>
      </w:r>
    </w:p>
    <w:p w:rsidR="009511F7" w:rsidRPr="008516D9" w:rsidRDefault="008516D9" w:rsidP="008516D9">
      <w:pPr>
        <w:spacing w:before="120" w:after="160"/>
        <w:ind w:left="720" w:hanging="720"/>
        <w:jc w:val="both"/>
        <w:rPr>
          <w:rFonts w:asciiTheme="minorHAnsi" w:hAnsiTheme="minorHAnsi"/>
          <w:highlight w:val="black"/>
        </w:rPr>
      </w:pPr>
      <w:r>
        <w:rPr>
          <w:rFonts w:asciiTheme="minorHAnsi" w:hAnsiTheme="minorHAnsi"/>
          <w:noProof/>
          <w:color w:val="000000"/>
          <w:highlight w:val="black"/>
        </w:rPr>
        <w:t xml:space="preserve">''''''''''''' '''''''''''''''''''''' '''''''''' ''''''' '''''''''''''''' '''' ''''''' ''''''''''''''''''' ''''''''''''''''''''''' ''''''''''''''''''''''''''''''''''''''''' '''''''''''' '''''''''''' '''''' '''''''' ''''''''''''''''''' '''''' '''''''''''''''' ''''' '''''''''''''' '''''''''' ''''''' '''''''''  </w:t>
      </w:r>
    </w:p>
    <w:p w:rsidR="00BC298F" w:rsidRPr="00BC298F" w:rsidRDefault="00BC298F" w:rsidP="00BC298F">
      <w:pPr>
        <w:spacing w:before="120" w:after="160"/>
        <w:jc w:val="center"/>
        <w:rPr>
          <w:rFonts w:asciiTheme="minorHAnsi" w:hAnsiTheme="minorHAnsi"/>
          <w:b/>
        </w:rPr>
      </w:pPr>
      <w:r w:rsidRPr="00BC298F">
        <w:rPr>
          <w:rFonts w:asciiTheme="minorHAnsi" w:hAnsiTheme="minorHAnsi"/>
          <w:b/>
        </w:rPr>
        <w:t xml:space="preserve">*** </w:t>
      </w:r>
      <w:r>
        <w:rPr>
          <w:rFonts w:asciiTheme="minorHAnsi" w:hAnsiTheme="minorHAnsi"/>
          <w:b/>
        </w:rPr>
        <w:t>End Committee in Confidence information</w:t>
      </w:r>
      <w:r w:rsidRPr="00BC298F">
        <w:rPr>
          <w:rFonts w:asciiTheme="minorHAnsi" w:hAnsiTheme="minorHAnsi"/>
          <w:b/>
        </w:rPr>
        <w:t xml:space="preserve"> ***</w:t>
      </w:r>
    </w:p>
    <w:p w:rsidR="00BB7B68" w:rsidRPr="00BB7B68" w:rsidRDefault="00BB7B68" w:rsidP="00BB7B68">
      <w:pPr>
        <w:ind w:left="709"/>
        <w:jc w:val="both"/>
        <w:rPr>
          <w:rFonts w:asciiTheme="minorHAnsi" w:hAnsiTheme="minorHAnsi"/>
          <w:i/>
        </w:rPr>
      </w:pPr>
      <w:r w:rsidRPr="00BB7B68">
        <w:rPr>
          <w:rFonts w:asciiTheme="minorHAnsi" w:hAnsiTheme="minorHAnsi"/>
          <w:i/>
        </w:rPr>
        <w:t>For more detail on PBAC’s view, see section 7 PBAC outcome.</w:t>
      </w:r>
    </w:p>
    <w:p w:rsidR="00BC298F" w:rsidRPr="00AC4AA5" w:rsidRDefault="00BC298F" w:rsidP="009511F7">
      <w:pPr>
        <w:pStyle w:val="ListParagraph"/>
        <w:spacing w:before="120" w:after="160"/>
        <w:contextualSpacing w:val="0"/>
        <w:jc w:val="both"/>
        <w:rPr>
          <w:rFonts w:asciiTheme="minorHAnsi" w:hAnsiTheme="minorHAnsi"/>
        </w:rPr>
      </w:pPr>
    </w:p>
    <w:p w:rsidR="00BB7EC3" w:rsidRPr="00A8691F" w:rsidRDefault="008D7A41"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85453C">
        <w:rPr>
          <w:rFonts w:asciiTheme="minorHAnsi" w:eastAsiaTheme="majorEastAsia" w:hAnsiTheme="minorHAnsi" w:cstheme="majorBidi"/>
          <w:sz w:val="32"/>
          <w:szCs w:val="28"/>
          <w:lang w:eastAsia="en-US"/>
        </w:rPr>
        <w:t>C</w:t>
      </w:r>
      <w:r w:rsidR="00D84934" w:rsidRPr="0085453C">
        <w:rPr>
          <w:rFonts w:asciiTheme="minorHAnsi" w:eastAsiaTheme="majorEastAsia" w:hAnsiTheme="minorHAnsi" w:cstheme="majorBidi"/>
          <w:sz w:val="32"/>
          <w:szCs w:val="28"/>
          <w:lang w:eastAsia="en-US"/>
        </w:rPr>
        <w:t>onsideration of the evidence</w:t>
      </w:r>
    </w:p>
    <w:p w:rsidR="006B51D0" w:rsidRPr="00525B39" w:rsidRDefault="006B51D0" w:rsidP="00CA23D8">
      <w:pPr>
        <w:pStyle w:val="Heading2"/>
        <w:rPr>
          <w:snapToGrid w:val="0"/>
        </w:rPr>
      </w:pPr>
      <w:r w:rsidRPr="00525B39">
        <w:rPr>
          <w:snapToGrid w:val="0"/>
        </w:rPr>
        <w:t>Sponsor hearing</w:t>
      </w:r>
    </w:p>
    <w:p w:rsidR="006B51D0" w:rsidRPr="00525B39" w:rsidRDefault="006B51D0" w:rsidP="006B51D0">
      <w:pPr>
        <w:widowControl w:val="0"/>
        <w:numPr>
          <w:ilvl w:val="1"/>
          <w:numId w:val="2"/>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w:t>
      </w:r>
      <w:r w:rsidR="00407D39">
        <w:rPr>
          <w:rFonts w:asciiTheme="minorHAnsi" w:hAnsiTheme="minorHAnsi" w:cs="Arial"/>
          <w:bCs/>
          <w:snapToGrid w:val="0"/>
        </w:rPr>
        <w:t>m as it was a minor submission.</w:t>
      </w:r>
    </w:p>
    <w:p w:rsidR="006B51D0" w:rsidRPr="00525B39" w:rsidRDefault="006B51D0" w:rsidP="00CA23D8">
      <w:pPr>
        <w:pStyle w:val="Heading2"/>
        <w:rPr>
          <w:snapToGrid w:val="0"/>
        </w:rPr>
      </w:pPr>
      <w:r w:rsidRPr="00525B39">
        <w:rPr>
          <w:snapToGrid w:val="0"/>
        </w:rPr>
        <w:t>Consumer comments</w:t>
      </w:r>
    </w:p>
    <w:p w:rsidR="00407D39" w:rsidRPr="00985987" w:rsidRDefault="00407D39" w:rsidP="00407D39">
      <w:pPr>
        <w:widowControl w:val="0"/>
        <w:numPr>
          <w:ilvl w:val="1"/>
          <w:numId w:val="2"/>
        </w:numPr>
        <w:spacing w:after="120"/>
        <w:jc w:val="both"/>
        <w:rPr>
          <w:rFonts w:asciiTheme="minorHAnsi" w:hAnsiTheme="minorHAnsi" w:cs="Arial"/>
          <w:bCs/>
          <w:snapToGrid w:val="0"/>
        </w:rPr>
      </w:pPr>
      <w:r w:rsidRPr="00985987">
        <w:rPr>
          <w:rFonts w:asciiTheme="minorHAnsi" w:hAnsiTheme="minorHAnsi" w:cs="Arial"/>
          <w:bCs/>
          <w:snapToGrid w:val="0"/>
        </w:rPr>
        <w:t>The PBAC noted that there was no consumer comment for this submission.</w:t>
      </w:r>
    </w:p>
    <w:p w:rsidR="00D84934" w:rsidRPr="00CA23D8" w:rsidRDefault="00D84934" w:rsidP="00CA23D8">
      <w:pPr>
        <w:pStyle w:val="Heading2"/>
      </w:pPr>
      <w:r w:rsidRPr="00CA23D8">
        <w:t>Clinical trials</w:t>
      </w:r>
    </w:p>
    <w:p w:rsidR="0076420C" w:rsidRPr="00AC4AA5" w:rsidRDefault="0076420C" w:rsidP="00714702">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As a minor submission, no clinical trials </w:t>
      </w:r>
      <w:r w:rsidR="00FF2801" w:rsidRPr="00AC4AA5">
        <w:rPr>
          <w:rFonts w:asciiTheme="minorHAnsi" w:hAnsiTheme="minorHAnsi"/>
        </w:rPr>
        <w:t>were</w:t>
      </w:r>
      <w:r w:rsidRPr="00AC4AA5">
        <w:rPr>
          <w:rFonts w:asciiTheme="minorHAnsi" w:hAnsiTheme="minorHAnsi"/>
        </w:rPr>
        <w:t xml:space="preserve"> presented in the submission.</w:t>
      </w:r>
    </w:p>
    <w:p w:rsidR="005A3173" w:rsidRPr="00234B51" w:rsidRDefault="005A3173" w:rsidP="00CA23D8">
      <w:pPr>
        <w:pStyle w:val="Heading2"/>
      </w:pPr>
      <w:r w:rsidRPr="0085453C">
        <w:t>Estimated PBS usage &amp; financial implications</w:t>
      </w:r>
      <w:r w:rsidR="00E616B9">
        <w:tab/>
      </w:r>
    </w:p>
    <w:p w:rsidR="00C56168" w:rsidRPr="00BC298F" w:rsidRDefault="00336991" w:rsidP="00C56168">
      <w:pPr>
        <w:pStyle w:val="ListParagraph"/>
        <w:numPr>
          <w:ilvl w:val="1"/>
          <w:numId w:val="2"/>
        </w:numPr>
        <w:spacing w:before="120" w:after="160"/>
        <w:contextualSpacing w:val="0"/>
        <w:jc w:val="both"/>
        <w:rPr>
          <w:rFonts w:asciiTheme="minorHAnsi" w:hAnsiTheme="minorHAnsi"/>
        </w:rPr>
      </w:pPr>
      <w:r w:rsidRPr="00BC298F">
        <w:rPr>
          <w:rFonts w:asciiTheme="minorHAnsi" w:hAnsiTheme="minorHAnsi"/>
        </w:rPr>
        <w:t xml:space="preserve">The submission stated that the listing of </w:t>
      </w:r>
      <w:r w:rsidR="00614A83" w:rsidRPr="00BC298F">
        <w:rPr>
          <w:rFonts w:asciiTheme="minorHAnsi" w:hAnsiTheme="minorHAnsi"/>
        </w:rPr>
        <w:t xml:space="preserve">PKU GMPro® </w:t>
      </w:r>
      <w:r w:rsidRPr="00BC298F">
        <w:rPr>
          <w:rFonts w:asciiTheme="minorHAnsi" w:hAnsiTheme="minorHAnsi"/>
        </w:rPr>
        <w:t xml:space="preserve">is expected to be cost </w:t>
      </w:r>
      <w:r w:rsidR="00A86E69" w:rsidRPr="00BC298F">
        <w:rPr>
          <w:rFonts w:asciiTheme="minorHAnsi" w:hAnsiTheme="minorHAnsi"/>
        </w:rPr>
        <w:t>neutral to</w:t>
      </w:r>
      <w:r w:rsidRPr="00BC298F">
        <w:rPr>
          <w:rFonts w:asciiTheme="minorHAnsi" w:hAnsiTheme="minorHAnsi"/>
        </w:rPr>
        <w:t xml:space="preserve"> the PBS as</w:t>
      </w:r>
      <w:r w:rsidR="00C56168" w:rsidRPr="00BC298F">
        <w:rPr>
          <w:rFonts w:asciiTheme="minorHAnsi" w:hAnsiTheme="minorHAnsi"/>
        </w:rPr>
        <w:t xml:space="preserve"> it would be listed on an equivalent price per gram of protein as PKU Glytactin RTD 10. </w:t>
      </w:r>
      <w:r w:rsidR="0001462F">
        <w:rPr>
          <w:rFonts w:asciiTheme="minorHAnsi" w:hAnsiTheme="minorHAnsi"/>
        </w:rPr>
        <w:t xml:space="preserve">The submission considered there may be a marginal </w:t>
      </w:r>
      <w:r w:rsidR="00D605A4">
        <w:rPr>
          <w:rFonts w:asciiTheme="minorHAnsi" w:hAnsiTheme="minorHAnsi"/>
        </w:rPr>
        <w:t>saving to the PBS (less than $5,000 over 6 years) as a result of fewer dispensing fees due to the larger maximum quantity than the comparator.</w:t>
      </w:r>
    </w:p>
    <w:p w:rsidR="00BB7B68" w:rsidRPr="00BB7B68" w:rsidRDefault="00BB7B68" w:rsidP="00BB7B68">
      <w:pPr>
        <w:ind w:left="709"/>
        <w:jc w:val="both"/>
        <w:rPr>
          <w:rFonts w:asciiTheme="minorHAnsi" w:hAnsiTheme="minorHAnsi"/>
          <w:i/>
        </w:rPr>
      </w:pPr>
      <w:r w:rsidRPr="00BB7B68">
        <w:rPr>
          <w:rFonts w:asciiTheme="minorHAnsi" w:hAnsiTheme="minorHAnsi"/>
          <w:i/>
        </w:rPr>
        <w:lastRenderedPageBreak/>
        <w:t>For more detail on PBAC’s view, see section 7 PBAC outcome.</w:t>
      </w:r>
    </w:p>
    <w:p w:rsidR="004D1687" w:rsidRDefault="004D1687" w:rsidP="004D1687">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NPWP consideration</w:t>
      </w:r>
    </w:p>
    <w:p w:rsidR="008F7DE8" w:rsidRDefault="004D1687" w:rsidP="00C56168">
      <w:pPr>
        <w:pStyle w:val="ListParagraph"/>
        <w:numPr>
          <w:ilvl w:val="1"/>
          <w:numId w:val="2"/>
        </w:numPr>
        <w:spacing w:before="120" w:after="160"/>
        <w:contextualSpacing w:val="0"/>
        <w:jc w:val="both"/>
        <w:rPr>
          <w:rFonts w:asciiTheme="minorHAnsi" w:hAnsiTheme="minorHAnsi"/>
        </w:rPr>
      </w:pPr>
      <w:r w:rsidRPr="00BB7B68">
        <w:rPr>
          <w:rFonts w:asciiTheme="minorHAnsi" w:hAnsiTheme="minorHAnsi"/>
        </w:rPr>
        <w:t xml:space="preserve">The Nutritional Product Working Party (NPWP) </w:t>
      </w:r>
      <w:r w:rsidR="008F7DE8" w:rsidRPr="00BB7B68">
        <w:rPr>
          <w:rFonts w:asciiTheme="minorHAnsi" w:hAnsiTheme="minorHAnsi"/>
        </w:rPr>
        <w:t>considered there is a need to have alternative products available for patients</w:t>
      </w:r>
      <w:r w:rsidR="00BC298F" w:rsidRPr="00BB7B68">
        <w:rPr>
          <w:rFonts w:asciiTheme="minorHAnsi" w:hAnsiTheme="minorHAnsi"/>
        </w:rPr>
        <w:t xml:space="preserve"> providing this amount of protein</w:t>
      </w:r>
      <w:r w:rsidR="007A2AE0" w:rsidRPr="00BB7B68">
        <w:rPr>
          <w:rFonts w:asciiTheme="minorHAnsi" w:hAnsiTheme="minorHAnsi"/>
        </w:rPr>
        <w:t xml:space="preserve"> per serve</w:t>
      </w:r>
      <w:r w:rsidR="008F7DE8" w:rsidRPr="00BB7B68">
        <w:rPr>
          <w:rFonts w:asciiTheme="minorHAnsi" w:hAnsiTheme="minorHAnsi"/>
        </w:rPr>
        <w:t xml:space="preserve"> should </w:t>
      </w:r>
      <w:r w:rsidR="008516D9">
        <w:rPr>
          <w:rFonts w:asciiTheme="minorHAnsi" w:hAnsiTheme="minorHAnsi"/>
          <w:noProof/>
          <w:color w:val="000000"/>
          <w:highlight w:val="black"/>
        </w:rPr>
        <w:t>''''''' ''''''''''''''''''''' ''''' '''''''''''''''' '''''''''' ''''''' ''''''''</w:t>
      </w:r>
      <w:r w:rsidR="008F7DE8" w:rsidRPr="00BB7B68">
        <w:rPr>
          <w:rFonts w:asciiTheme="minorHAnsi" w:hAnsiTheme="minorHAnsi"/>
        </w:rPr>
        <w:t>. The NPWP considered the submission likely overestimated utilisation, and hence the estimated savings may not be realised. The NPWP advised the requested listing should have a maximum quantity of 8 instead of 14 to avoid unnecessary wastage and to align with similar listings (based on grams of protein per month).</w:t>
      </w:r>
    </w:p>
    <w:p w:rsidR="00BB7B68" w:rsidRPr="00BB7B68" w:rsidRDefault="00BB7B68" w:rsidP="00BB7B68">
      <w:pPr>
        <w:ind w:left="709"/>
        <w:jc w:val="both"/>
        <w:rPr>
          <w:rFonts w:asciiTheme="minorHAnsi" w:hAnsiTheme="minorHAnsi"/>
          <w:i/>
        </w:rPr>
      </w:pPr>
      <w:r w:rsidRPr="00BB7B68">
        <w:rPr>
          <w:rFonts w:asciiTheme="minorHAnsi" w:hAnsiTheme="minorHAnsi"/>
          <w:i/>
        </w:rPr>
        <w:t>For more detail on PBAC’s view, see section 7 PBAC outcome.</w:t>
      </w:r>
    </w:p>
    <w:p w:rsidR="006B51D0" w:rsidRPr="00A86E69" w:rsidRDefault="006B51D0" w:rsidP="003719D6">
      <w:pPr>
        <w:widowControl w:val="0"/>
        <w:numPr>
          <w:ilvl w:val="0"/>
          <w:numId w:val="2"/>
        </w:numPr>
        <w:spacing w:before="240" w:after="120"/>
        <w:jc w:val="both"/>
        <w:outlineLvl w:val="0"/>
        <w:rPr>
          <w:rFonts w:asciiTheme="minorHAnsi" w:hAnsiTheme="minorHAnsi" w:cs="Arial"/>
          <w:b/>
          <w:bCs/>
          <w:snapToGrid w:val="0"/>
          <w:sz w:val="32"/>
        </w:rPr>
      </w:pPr>
      <w:r w:rsidRPr="00A86E69">
        <w:rPr>
          <w:rFonts w:asciiTheme="minorHAnsi" w:hAnsiTheme="minorHAnsi" w:cs="Arial"/>
          <w:b/>
          <w:bCs/>
          <w:snapToGrid w:val="0"/>
          <w:sz w:val="32"/>
        </w:rPr>
        <w:t>PBAC Outcome</w:t>
      </w:r>
    </w:p>
    <w:p w:rsidR="00EB2904" w:rsidRPr="003C1505" w:rsidRDefault="00EB2904" w:rsidP="00FF3AA5">
      <w:pPr>
        <w:pStyle w:val="ListParagraph"/>
        <w:numPr>
          <w:ilvl w:val="1"/>
          <w:numId w:val="2"/>
        </w:numPr>
        <w:spacing w:before="120" w:after="160"/>
        <w:contextualSpacing w:val="0"/>
        <w:jc w:val="both"/>
        <w:rPr>
          <w:rFonts w:asciiTheme="minorHAnsi" w:hAnsiTheme="minorHAnsi"/>
        </w:rPr>
      </w:pPr>
      <w:r w:rsidRPr="003C1505">
        <w:rPr>
          <w:rFonts w:asciiTheme="minorHAnsi" w:hAnsiTheme="minorHAnsi"/>
        </w:rPr>
        <w:t xml:space="preserve">The PBAC recommended the </w:t>
      </w:r>
      <w:r>
        <w:rPr>
          <w:rFonts w:asciiTheme="minorHAnsi" w:hAnsiTheme="minorHAnsi"/>
        </w:rPr>
        <w:t xml:space="preserve">Restricted Benefit </w:t>
      </w:r>
      <w:r w:rsidRPr="00AC4AA5">
        <w:rPr>
          <w:rFonts w:asciiTheme="minorHAnsi" w:hAnsiTheme="minorHAnsi"/>
        </w:rPr>
        <w:t>listing</w:t>
      </w:r>
      <w:r>
        <w:rPr>
          <w:rFonts w:asciiTheme="minorHAnsi" w:hAnsiTheme="minorHAnsi"/>
        </w:rPr>
        <w:t xml:space="preserve"> of a new form of glycomacropeptide formula with docosahexaenoic acid with low phenylalanine (PKU GMPro®) </w:t>
      </w:r>
      <w:r w:rsidR="003C1505">
        <w:rPr>
          <w:rFonts w:asciiTheme="minorHAnsi" w:hAnsiTheme="minorHAnsi"/>
        </w:rPr>
        <w:t xml:space="preserve">on a cost-minimisation basis to the comparator PKU Glytactin RTD 10 for the treatment of phenylketonuria (PKU) at an equivalent cost per gram of protein equivalent (PE). </w:t>
      </w:r>
    </w:p>
    <w:p w:rsidR="003C1505" w:rsidRDefault="003C1505" w:rsidP="00EB2904">
      <w:pPr>
        <w:widowControl w:val="0"/>
        <w:numPr>
          <w:ilvl w:val="1"/>
          <w:numId w:val="2"/>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the Nutritional Product Working Party (NPWP) supported the decision to list PKU GMPro® on the PBS.</w:t>
      </w:r>
    </w:p>
    <w:p w:rsidR="003C1505" w:rsidRDefault="003C1505" w:rsidP="00EB2904">
      <w:pPr>
        <w:widowControl w:val="0"/>
        <w:numPr>
          <w:ilvl w:val="1"/>
          <w:numId w:val="2"/>
        </w:numPr>
        <w:spacing w:after="120"/>
        <w:jc w:val="both"/>
        <w:rPr>
          <w:rFonts w:asciiTheme="minorHAnsi" w:hAnsiTheme="minorHAnsi" w:cs="Arial"/>
          <w:bCs/>
          <w:snapToGrid w:val="0"/>
          <w:lang w:val="en-GB"/>
        </w:rPr>
      </w:pPr>
      <w:r>
        <w:rPr>
          <w:rFonts w:asciiTheme="minorHAnsi" w:hAnsiTheme="minorHAnsi" w:cs="Arial"/>
          <w:bCs/>
          <w:snapToGrid w:val="0"/>
          <w:lang w:val="en-GB"/>
        </w:rPr>
        <w:t>The PBAC considered PKU Glytactin RTD 10 an appropriate comparator for PKU GMPro®.</w:t>
      </w:r>
    </w:p>
    <w:p w:rsidR="006B0875" w:rsidRPr="00BB7B68" w:rsidRDefault="006B0875" w:rsidP="006B0875">
      <w:pPr>
        <w:pStyle w:val="ListParagraph"/>
        <w:numPr>
          <w:ilvl w:val="1"/>
          <w:numId w:val="2"/>
        </w:numPr>
        <w:spacing w:before="120" w:after="160"/>
        <w:contextualSpacing w:val="0"/>
        <w:jc w:val="both"/>
        <w:rPr>
          <w:rFonts w:asciiTheme="minorHAnsi" w:hAnsiTheme="minorHAnsi"/>
        </w:rPr>
      </w:pPr>
      <w:r w:rsidRPr="00BB7B68">
        <w:rPr>
          <w:rFonts w:asciiTheme="minorHAnsi" w:hAnsiTheme="minorHAnsi"/>
        </w:rPr>
        <w:t xml:space="preserve">The submission claimed the requested maximum quantity (MQ) is based on providing 85% of the total daily protein requirement for adult males with severe PKU (Table 1). The </w:t>
      </w:r>
      <w:r w:rsidR="003C1505">
        <w:rPr>
          <w:rFonts w:asciiTheme="minorHAnsi" w:hAnsiTheme="minorHAnsi"/>
        </w:rPr>
        <w:t xml:space="preserve">PBAC </w:t>
      </w:r>
      <w:r w:rsidRPr="00BB7B68">
        <w:rPr>
          <w:rFonts w:asciiTheme="minorHAnsi" w:hAnsiTheme="minorHAnsi"/>
        </w:rPr>
        <w:t>note</w:t>
      </w:r>
      <w:r w:rsidR="003C1505">
        <w:rPr>
          <w:rFonts w:asciiTheme="minorHAnsi" w:hAnsiTheme="minorHAnsi"/>
        </w:rPr>
        <w:t>d</w:t>
      </w:r>
      <w:r w:rsidRPr="00BB7B68">
        <w:rPr>
          <w:rFonts w:asciiTheme="minorHAnsi" w:hAnsiTheme="minorHAnsi"/>
        </w:rPr>
        <w:t xml:space="preserve"> that the proposed MQ is approximately </w:t>
      </w:r>
      <w:r w:rsidR="00D605A4">
        <w:rPr>
          <w:rFonts w:asciiTheme="minorHAnsi" w:hAnsiTheme="minorHAnsi"/>
        </w:rPr>
        <w:t>double</w:t>
      </w:r>
      <w:r w:rsidRPr="00BB7B68">
        <w:rPr>
          <w:rFonts w:asciiTheme="minorHAnsi" w:hAnsiTheme="minorHAnsi"/>
        </w:rPr>
        <w:t xml:space="preserve"> </w:t>
      </w:r>
      <w:r w:rsidR="00D605A4">
        <w:rPr>
          <w:rFonts w:asciiTheme="minorHAnsi" w:hAnsiTheme="minorHAnsi"/>
        </w:rPr>
        <w:t>that of</w:t>
      </w:r>
      <w:r w:rsidRPr="00BB7B68">
        <w:rPr>
          <w:rFonts w:asciiTheme="minorHAnsi" w:hAnsiTheme="minorHAnsi"/>
        </w:rPr>
        <w:t xml:space="preserve"> PKU Glytactin RTD 10. The PBAC </w:t>
      </w:r>
      <w:r w:rsidR="003C1505">
        <w:rPr>
          <w:rFonts w:asciiTheme="minorHAnsi" w:hAnsiTheme="minorHAnsi"/>
        </w:rPr>
        <w:t>supported the NPWP’s advice, and considered that the MQ should be 8 instead of 14 to avoid unnecessary wastage and to align with the comparator.</w:t>
      </w:r>
    </w:p>
    <w:p w:rsidR="006B0875" w:rsidRPr="00BB7B68" w:rsidRDefault="006B0875" w:rsidP="006B0875">
      <w:pPr>
        <w:pStyle w:val="NoSpacing"/>
        <w:rPr>
          <w:rFonts w:ascii="Arial Narrow" w:hAnsi="Arial Narrow"/>
          <w:b/>
          <w:sz w:val="20"/>
        </w:rPr>
      </w:pPr>
      <w:r w:rsidRPr="00BB7B68">
        <w:rPr>
          <w:rFonts w:ascii="Arial Narrow" w:hAnsi="Arial Narrow"/>
          <w:b/>
          <w:sz w:val="20"/>
        </w:rPr>
        <w:t xml:space="preserve">Table 1. Comparison between PKU GMPro® and PKU Glytactin RTD 10®, the comparator. </w:t>
      </w:r>
    </w:p>
    <w:tbl>
      <w:tblPr>
        <w:tblStyle w:val="TableGrid"/>
        <w:tblW w:w="9242" w:type="dxa"/>
        <w:tblLook w:val="04A0" w:firstRow="1" w:lastRow="0" w:firstColumn="1" w:lastColumn="0" w:noHBand="0" w:noVBand="1"/>
        <w:tblCaption w:val=". Comparison between PKU GMPro® and PKU Glytactin RTD 10®, the comparator. "/>
      </w:tblPr>
      <w:tblGrid>
        <w:gridCol w:w="2087"/>
        <w:gridCol w:w="935"/>
        <w:gridCol w:w="939"/>
        <w:gridCol w:w="2485"/>
        <w:gridCol w:w="952"/>
        <w:gridCol w:w="879"/>
        <w:gridCol w:w="965"/>
      </w:tblGrid>
      <w:tr w:rsidR="006B0875" w:rsidRPr="00BB7B68" w:rsidTr="007A3C62">
        <w:trPr>
          <w:cantSplit/>
          <w:trHeight w:val="321"/>
          <w:tblHeader/>
        </w:trPr>
        <w:tc>
          <w:tcPr>
            <w:tcW w:w="2087" w:type="dxa"/>
          </w:tcPr>
          <w:p w:rsidR="006B0875" w:rsidRPr="00BB7B68" w:rsidRDefault="006B0875" w:rsidP="00AC5D40">
            <w:pPr>
              <w:spacing w:before="120" w:after="160"/>
              <w:jc w:val="both"/>
              <w:rPr>
                <w:rFonts w:asciiTheme="minorHAnsi" w:hAnsiTheme="minorHAnsi"/>
                <w:sz w:val="20"/>
                <w:szCs w:val="20"/>
              </w:rPr>
            </w:pPr>
          </w:p>
        </w:tc>
        <w:tc>
          <w:tcPr>
            <w:tcW w:w="935" w:type="dxa"/>
          </w:tcPr>
          <w:p w:rsidR="006B0875" w:rsidRPr="00BB7B68" w:rsidRDefault="006B0875" w:rsidP="00AC5D40">
            <w:pPr>
              <w:pStyle w:val="NoSpacing"/>
              <w:jc w:val="center"/>
              <w:rPr>
                <w:rFonts w:ascii="Arial Narrow" w:hAnsi="Arial Narrow"/>
                <w:b/>
                <w:sz w:val="20"/>
              </w:rPr>
            </w:pPr>
            <w:r w:rsidRPr="00BB7B68">
              <w:rPr>
                <w:rFonts w:ascii="Arial Narrow" w:hAnsi="Arial Narrow"/>
                <w:b/>
                <w:sz w:val="20"/>
              </w:rPr>
              <w:t>Pack size</w:t>
            </w:r>
          </w:p>
        </w:tc>
        <w:tc>
          <w:tcPr>
            <w:tcW w:w="939" w:type="dxa"/>
          </w:tcPr>
          <w:p w:rsidR="006B0875" w:rsidRPr="00BB7B68" w:rsidRDefault="006B0875" w:rsidP="00AC5D40">
            <w:pPr>
              <w:pStyle w:val="NoSpacing"/>
              <w:jc w:val="center"/>
              <w:rPr>
                <w:rFonts w:ascii="Arial Narrow" w:hAnsi="Arial Narrow"/>
                <w:b/>
                <w:sz w:val="20"/>
              </w:rPr>
            </w:pPr>
            <w:r w:rsidRPr="00BB7B68">
              <w:rPr>
                <w:rFonts w:ascii="Arial Narrow" w:hAnsi="Arial Narrow"/>
                <w:b/>
                <w:sz w:val="20"/>
              </w:rPr>
              <w:t>MQ</w:t>
            </w:r>
          </w:p>
        </w:tc>
        <w:tc>
          <w:tcPr>
            <w:tcW w:w="2485" w:type="dxa"/>
          </w:tcPr>
          <w:p w:rsidR="006B0875" w:rsidRPr="00BB7B68" w:rsidRDefault="006B0875" w:rsidP="00AC5D40">
            <w:pPr>
              <w:pStyle w:val="NoSpacing"/>
              <w:jc w:val="center"/>
              <w:rPr>
                <w:rFonts w:ascii="Arial Narrow" w:hAnsi="Arial Narrow"/>
                <w:b/>
                <w:sz w:val="20"/>
              </w:rPr>
            </w:pPr>
            <w:r w:rsidRPr="00BB7B68">
              <w:rPr>
                <w:rFonts w:ascii="Arial Narrow" w:hAnsi="Arial Narrow"/>
                <w:b/>
                <w:sz w:val="20"/>
              </w:rPr>
              <w:t>Total protein equivalent per MQ (g)</w:t>
            </w:r>
          </w:p>
        </w:tc>
        <w:tc>
          <w:tcPr>
            <w:tcW w:w="952" w:type="dxa"/>
          </w:tcPr>
          <w:p w:rsidR="006B0875" w:rsidRPr="00BB7B68" w:rsidRDefault="006B0875" w:rsidP="00AC5D40">
            <w:pPr>
              <w:pStyle w:val="NoSpacing"/>
              <w:jc w:val="center"/>
              <w:rPr>
                <w:rFonts w:ascii="Arial Narrow" w:hAnsi="Arial Narrow"/>
                <w:b/>
                <w:sz w:val="20"/>
              </w:rPr>
            </w:pPr>
            <w:r w:rsidRPr="00BB7B68">
              <w:rPr>
                <w:rFonts w:ascii="Arial Narrow" w:hAnsi="Arial Narrow"/>
                <w:b/>
                <w:sz w:val="20"/>
              </w:rPr>
              <w:t>AEMP per box</w:t>
            </w:r>
          </w:p>
        </w:tc>
        <w:tc>
          <w:tcPr>
            <w:tcW w:w="879" w:type="dxa"/>
          </w:tcPr>
          <w:p w:rsidR="006B0875" w:rsidRPr="00BB7B68" w:rsidRDefault="006B0875" w:rsidP="00AC5D40">
            <w:pPr>
              <w:pStyle w:val="NoSpacing"/>
              <w:jc w:val="center"/>
              <w:rPr>
                <w:rFonts w:ascii="Arial Narrow" w:hAnsi="Arial Narrow"/>
                <w:b/>
                <w:sz w:val="20"/>
              </w:rPr>
            </w:pPr>
            <w:r w:rsidRPr="00BB7B68">
              <w:rPr>
                <w:rFonts w:ascii="Arial Narrow" w:hAnsi="Arial Narrow"/>
                <w:b/>
                <w:sz w:val="20"/>
              </w:rPr>
              <w:t>AEMP per MQ</w:t>
            </w:r>
          </w:p>
        </w:tc>
        <w:tc>
          <w:tcPr>
            <w:tcW w:w="965" w:type="dxa"/>
          </w:tcPr>
          <w:p w:rsidR="006B0875" w:rsidRPr="00BB7B68" w:rsidRDefault="006B0875" w:rsidP="00AC5D40">
            <w:pPr>
              <w:pStyle w:val="NoSpacing"/>
              <w:jc w:val="center"/>
              <w:rPr>
                <w:rFonts w:ascii="Arial Narrow" w:hAnsi="Arial Narrow"/>
                <w:b/>
                <w:sz w:val="20"/>
              </w:rPr>
            </w:pPr>
            <w:r w:rsidRPr="00BB7B68">
              <w:rPr>
                <w:rFonts w:ascii="Arial Narrow" w:hAnsi="Arial Narrow"/>
                <w:b/>
                <w:sz w:val="20"/>
              </w:rPr>
              <w:t>DPMQ</w:t>
            </w:r>
          </w:p>
        </w:tc>
      </w:tr>
      <w:tr w:rsidR="006B0875" w:rsidRPr="00BB7B68" w:rsidTr="00AC5D40">
        <w:trPr>
          <w:trHeight w:val="343"/>
        </w:trPr>
        <w:tc>
          <w:tcPr>
            <w:tcW w:w="2087" w:type="dxa"/>
          </w:tcPr>
          <w:p w:rsidR="006B0875" w:rsidRPr="00BB7B68" w:rsidRDefault="006B0875" w:rsidP="00AC5D40">
            <w:pPr>
              <w:pStyle w:val="NoSpacing"/>
              <w:rPr>
                <w:rFonts w:ascii="Arial Narrow" w:hAnsi="Arial Narrow"/>
                <w:b/>
                <w:sz w:val="20"/>
              </w:rPr>
            </w:pPr>
            <w:r w:rsidRPr="00BB7B68">
              <w:rPr>
                <w:rFonts w:ascii="Arial Narrow" w:hAnsi="Arial Narrow"/>
                <w:b/>
                <w:sz w:val="20"/>
              </w:rPr>
              <w:t>PKU Glytactin RTD 10 (comparator)</w:t>
            </w:r>
          </w:p>
        </w:tc>
        <w:tc>
          <w:tcPr>
            <w:tcW w:w="935"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30</w:t>
            </w:r>
          </w:p>
        </w:tc>
        <w:tc>
          <w:tcPr>
            <w:tcW w:w="939"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4</w:t>
            </w:r>
          </w:p>
        </w:tc>
        <w:tc>
          <w:tcPr>
            <w:tcW w:w="2485"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1200</w:t>
            </w:r>
          </w:p>
        </w:tc>
        <w:tc>
          <w:tcPr>
            <w:tcW w:w="952"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240.48</w:t>
            </w:r>
          </w:p>
        </w:tc>
        <w:tc>
          <w:tcPr>
            <w:tcW w:w="879"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961.92</w:t>
            </w:r>
          </w:p>
        </w:tc>
        <w:tc>
          <w:tcPr>
            <w:tcW w:w="965"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1073.01</w:t>
            </w:r>
          </w:p>
        </w:tc>
      </w:tr>
      <w:tr w:rsidR="006B0875" w:rsidRPr="00BB7B68" w:rsidTr="00AC5D40">
        <w:trPr>
          <w:trHeight w:val="379"/>
        </w:trPr>
        <w:tc>
          <w:tcPr>
            <w:tcW w:w="2087" w:type="dxa"/>
          </w:tcPr>
          <w:p w:rsidR="006B0875" w:rsidRPr="00BB7B68" w:rsidRDefault="006B0875" w:rsidP="00AC5D40">
            <w:pPr>
              <w:pStyle w:val="NoSpacing"/>
              <w:rPr>
                <w:rFonts w:ascii="Arial Narrow" w:hAnsi="Arial Narrow"/>
                <w:b/>
                <w:sz w:val="20"/>
              </w:rPr>
            </w:pPr>
            <w:r w:rsidRPr="00BB7B68">
              <w:rPr>
                <w:rFonts w:ascii="Arial Narrow" w:hAnsi="Arial Narrow"/>
                <w:b/>
                <w:sz w:val="20"/>
              </w:rPr>
              <w:t>PKU GMPro</w:t>
            </w:r>
          </w:p>
        </w:tc>
        <w:tc>
          <w:tcPr>
            <w:tcW w:w="935"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16</w:t>
            </w:r>
          </w:p>
        </w:tc>
        <w:tc>
          <w:tcPr>
            <w:tcW w:w="939"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14</w:t>
            </w:r>
          </w:p>
        </w:tc>
        <w:tc>
          <w:tcPr>
            <w:tcW w:w="2485"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2240</w:t>
            </w:r>
          </w:p>
        </w:tc>
        <w:tc>
          <w:tcPr>
            <w:tcW w:w="952"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128.26</w:t>
            </w:r>
          </w:p>
        </w:tc>
        <w:tc>
          <w:tcPr>
            <w:tcW w:w="879"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1795.64</w:t>
            </w:r>
          </w:p>
        </w:tc>
        <w:tc>
          <w:tcPr>
            <w:tcW w:w="965" w:type="dxa"/>
          </w:tcPr>
          <w:p w:rsidR="006B0875" w:rsidRPr="00BB7B68" w:rsidRDefault="006B0875" w:rsidP="00AC5D40">
            <w:pPr>
              <w:pStyle w:val="NoSpacing"/>
              <w:jc w:val="center"/>
              <w:rPr>
                <w:rFonts w:ascii="Arial Narrow" w:hAnsi="Arial Narrow"/>
                <w:sz w:val="20"/>
              </w:rPr>
            </w:pPr>
            <w:r w:rsidRPr="00BB7B68">
              <w:rPr>
                <w:rFonts w:ascii="Arial Narrow" w:hAnsi="Arial Narrow"/>
                <w:sz w:val="20"/>
              </w:rPr>
              <w:t>1935.97</w:t>
            </w:r>
          </w:p>
        </w:tc>
      </w:tr>
    </w:tbl>
    <w:p w:rsidR="006B0875" w:rsidRPr="00BB7B68" w:rsidRDefault="006B0875" w:rsidP="006B0875">
      <w:pPr>
        <w:rPr>
          <w:rFonts w:ascii="Arial Narrow" w:hAnsi="Arial Narrow"/>
          <w:sz w:val="18"/>
          <w:szCs w:val="18"/>
        </w:rPr>
      </w:pPr>
      <w:r w:rsidRPr="00BB7B68">
        <w:rPr>
          <w:rFonts w:ascii="Arial Narrow" w:hAnsi="Arial Narrow"/>
          <w:sz w:val="18"/>
          <w:szCs w:val="18"/>
        </w:rPr>
        <w:t xml:space="preserve">Abbreviation: AEMP= approved ex-manufacture price; MQ=maximum quantity; DPMQ=dispensed price for maximum quantity. </w:t>
      </w:r>
    </w:p>
    <w:p w:rsidR="006B0875" w:rsidRPr="00BB7B68" w:rsidRDefault="006B0875" w:rsidP="006B0875">
      <w:pPr>
        <w:rPr>
          <w:rFonts w:ascii="Arial Narrow" w:hAnsi="Arial Narrow"/>
          <w:sz w:val="18"/>
          <w:szCs w:val="18"/>
        </w:rPr>
      </w:pPr>
      <w:r w:rsidRPr="00BB7B68">
        <w:rPr>
          <w:rFonts w:ascii="Arial Narrow" w:hAnsi="Arial Narrow"/>
          <w:sz w:val="18"/>
          <w:szCs w:val="18"/>
        </w:rPr>
        <w:t>Source: Extract from page 18 of the submission</w:t>
      </w:r>
    </w:p>
    <w:p w:rsidR="007A3C62" w:rsidRDefault="007A3C62">
      <w:pPr>
        <w:rPr>
          <w:rFonts w:asciiTheme="minorHAnsi" w:hAnsiTheme="minorHAnsi"/>
        </w:rPr>
      </w:pPr>
      <w:r>
        <w:rPr>
          <w:rFonts w:asciiTheme="minorHAnsi" w:hAnsiTheme="minorHAnsi"/>
        </w:rPr>
        <w:br w:type="page"/>
      </w:r>
    </w:p>
    <w:p w:rsidR="006B0875" w:rsidRPr="00BB7B68" w:rsidRDefault="006B0875" w:rsidP="006B0875">
      <w:pPr>
        <w:pStyle w:val="ListParagraph"/>
        <w:numPr>
          <w:ilvl w:val="1"/>
          <w:numId w:val="2"/>
        </w:numPr>
        <w:spacing w:before="120" w:after="160"/>
        <w:contextualSpacing w:val="0"/>
        <w:jc w:val="both"/>
        <w:rPr>
          <w:rFonts w:asciiTheme="minorHAnsi" w:hAnsiTheme="minorHAnsi"/>
        </w:rPr>
      </w:pPr>
      <w:r w:rsidRPr="00BB7B68">
        <w:rPr>
          <w:rFonts w:asciiTheme="minorHAnsi" w:hAnsiTheme="minorHAnsi"/>
        </w:rPr>
        <w:lastRenderedPageBreak/>
        <w:t xml:space="preserve">The submission suggested adding a criterion to the restrict PKU GMPro to patients aged 3 or older. Based on the advice of </w:t>
      </w:r>
      <w:r w:rsidR="003C1505">
        <w:rPr>
          <w:rFonts w:asciiTheme="minorHAnsi" w:hAnsiTheme="minorHAnsi"/>
        </w:rPr>
        <w:t>NPWP</w:t>
      </w:r>
      <w:r w:rsidRPr="00BB7B68">
        <w:rPr>
          <w:rFonts w:asciiTheme="minorHAnsi" w:hAnsiTheme="minorHAnsi"/>
        </w:rPr>
        <w:t xml:space="preserve"> and the listing of the comparator, the </w:t>
      </w:r>
      <w:r w:rsidR="003C1505">
        <w:rPr>
          <w:rFonts w:asciiTheme="minorHAnsi" w:hAnsiTheme="minorHAnsi"/>
        </w:rPr>
        <w:t xml:space="preserve">PBAC </w:t>
      </w:r>
      <w:r w:rsidR="00D605A4">
        <w:rPr>
          <w:rFonts w:asciiTheme="minorHAnsi" w:hAnsiTheme="minorHAnsi"/>
        </w:rPr>
        <w:t xml:space="preserve">recommended </w:t>
      </w:r>
      <w:r w:rsidRPr="00BB7B68">
        <w:rPr>
          <w:rFonts w:asciiTheme="minorHAnsi" w:hAnsiTheme="minorHAnsi"/>
        </w:rPr>
        <w:t>removing this criterion to align with the listing of PKU Glytactin RTD 10.</w:t>
      </w:r>
    </w:p>
    <w:p w:rsidR="006B0875" w:rsidRPr="00BB7B68" w:rsidRDefault="00E900FC" w:rsidP="006B0875">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considered that the Early Supply Rule should not</w:t>
      </w:r>
      <w:r w:rsidR="006B0875" w:rsidRPr="00BB7B68">
        <w:rPr>
          <w:rFonts w:asciiTheme="minorHAnsi" w:hAnsiTheme="minorHAnsi"/>
        </w:rPr>
        <w:t xml:space="preserve"> apply as it has been the PBAC’s view that general nutrients be exempt. </w:t>
      </w:r>
    </w:p>
    <w:p w:rsidR="006B0875" w:rsidRPr="00BB7B68" w:rsidRDefault="006B0875" w:rsidP="006B0875">
      <w:pPr>
        <w:pStyle w:val="ListParagraph"/>
        <w:numPr>
          <w:ilvl w:val="1"/>
          <w:numId w:val="2"/>
        </w:numPr>
        <w:spacing w:before="120" w:after="160"/>
        <w:contextualSpacing w:val="0"/>
        <w:jc w:val="both"/>
        <w:rPr>
          <w:rFonts w:asciiTheme="minorHAnsi" w:hAnsiTheme="minorHAnsi"/>
        </w:rPr>
      </w:pPr>
      <w:r w:rsidRPr="00BB7B68">
        <w:rPr>
          <w:rFonts w:asciiTheme="minorHAnsi" w:hAnsiTheme="minorHAnsi"/>
        </w:rPr>
        <w:t>Nutritional products are currently included for prescribing by nurse practitioners.</w:t>
      </w:r>
    </w:p>
    <w:p w:rsidR="006B0875" w:rsidRPr="00BB7B68" w:rsidRDefault="00E900FC" w:rsidP="006B0875">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In accordance with </w:t>
      </w:r>
      <w:r w:rsidR="006B0875" w:rsidRPr="00BB7B68">
        <w:rPr>
          <w:rFonts w:asciiTheme="minorHAnsi" w:hAnsiTheme="minorHAnsi"/>
        </w:rPr>
        <w:t xml:space="preserve">Section 101 (3BA) of the National Health Act, </w:t>
      </w:r>
      <w:r>
        <w:rPr>
          <w:rFonts w:asciiTheme="minorHAnsi" w:hAnsiTheme="minorHAnsi"/>
        </w:rPr>
        <w:t xml:space="preserve">the PBAC advised it is of the opinion that, on the basis of the material available to it at its November 2018 meeting, PKU GMPro® should be treated as interchangeable on an individual patient basis with similar nutritional products. Similar product </w:t>
      </w:r>
      <w:r w:rsidR="006B0875" w:rsidRPr="00BB7B68">
        <w:rPr>
          <w:rFonts w:asciiTheme="minorHAnsi" w:hAnsiTheme="minorHAnsi"/>
        </w:rPr>
        <w:t>in this case may include the comparator, PKU Glytactin RTD 10.</w:t>
      </w:r>
    </w:p>
    <w:p w:rsidR="00E900FC" w:rsidRDefault="00E900FC" w:rsidP="006B0875">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noted that this submission was not eligible for an Independent Review, as it received a positive recommendation. </w:t>
      </w:r>
    </w:p>
    <w:p w:rsidR="006B51D0" w:rsidRPr="00525B39" w:rsidRDefault="006B51D0" w:rsidP="007A3C62">
      <w:pPr>
        <w:jc w:val="both"/>
        <w:outlineLvl w:val="1"/>
        <w:rPr>
          <w:rFonts w:asciiTheme="minorHAnsi" w:hAnsiTheme="minorHAnsi" w:cs="Arial"/>
          <w:b/>
          <w:bCs/>
          <w:snapToGrid w:val="0"/>
        </w:rPr>
      </w:pPr>
      <w:r w:rsidRPr="00525B39">
        <w:rPr>
          <w:rFonts w:asciiTheme="minorHAnsi" w:hAnsiTheme="minorHAnsi" w:cs="Arial"/>
          <w:b/>
          <w:bCs/>
          <w:snapToGrid w:val="0"/>
          <w:lang w:val="en-GB"/>
        </w:rPr>
        <w:t>Outcome:</w:t>
      </w:r>
      <w:r w:rsidR="003719D6">
        <w:rPr>
          <w:rFonts w:asciiTheme="minorHAnsi" w:hAnsiTheme="minorHAnsi" w:cs="Arial"/>
          <w:b/>
          <w:bCs/>
          <w:snapToGrid w:val="0"/>
          <w:lang w:val="en-GB"/>
        </w:rPr>
        <w:br/>
      </w:r>
      <w:r w:rsidRPr="00525B39">
        <w:rPr>
          <w:rFonts w:asciiTheme="minorHAnsi" w:hAnsiTheme="minorHAnsi" w:cs="Arial"/>
          <w:bCs/>
          <w:snapToGrid w:val="0"/>
          <w:lang w:val="en-GB"/>
        </w:rPr>
        <w:t>Recommended</w:t>
      </w:r>
    </w:p>
    <w:p w:rsidR="006B51D0" w:rsidRPr="00525B39" w:rsidRDefault="006B51D0" w:rsidP="003719D6">
      <w:pPr>
        <w:widowControl w:val="0"/>
        <w:numPr>
          <w:ilvl w:val="0"/>
          <w:numId w:val="2"/>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6B51D0" w:rsidRDefault="006B51D0" w:rsidP="00505744">
      <w:pPr>
        <w:widowControl w:val="0"/>
        <w:numPr>
          <w:ilvl w:val="1"/>
          <w:numId w:val="2"/>
        </w:numPr>
        <w:spacing w:after="120"/>
        <w:jc w:val="both"/>
        <w:rPr>
          <w:rFonts w:asciiTheme="minorHAnsi" w:hAnsiTheme="minorHAnsi" w:cs="Arial"/>
          <w:bCs/>
          <w:snapToGrid w:val="0"/>
          <w:lang w:val="en-GB"/>
        </w:rPr>
      </w:pPr>
      <w:r w:rsidRPr="00505744">
        <w:rPr>
          <w:rFonts w:asciiTheme="minorHAnsi" w:hAnsiTheme="minorHAnsi" w:cs="Arial"/>
          <w:bCs/>
          <w:snapToGrid w:val="0"/>
          <w:lang w:val="en-GB"/>
        </w:rPr>
        <w:t>Add new item:</w:t>
      </w:r>
    </w:p>
    <w:p w:rsidR="00505744" w:rsidRPr="00505744" w:rsidRDefault="00505744" w:rsidP="00505744">
      <w:pPr>
        <w:widowControl w:val="0"/>
        <w:spacing w:after="120"/>
        <w:ind w:left="720"/>
        <w:jc w:val="both"/>
        <w:rPr>
          <w:rFonts w:asciiTheme="minorHAnsi" w:hAnsiTheme="minorHAnsi" w:cs="Arial"/>
          <w:bCs/>
          <w:snapToGrid w:val="0"/>
          <w:lang w:val="en-GB"/>
        </w:rPr>
      </w:pPr>
    </w:p>
    <w:tbl>
      <w:tblPr>
        <w:tblW w:w="4913" w:type="pct"/>
        <w:tblLook w:val="0000" w:firstRow="0" w:lastRow="0" w:firstColumn="0" w:lastColumn="0" w:noHBand="0" w:noVBand="0"/>
      </w:tblPr>
      <w:tblGrid>
        <w:gridCol w:w="1960"/>
        <w:gridCol w:w="1388"/>
        <w:gridCol w:w="1297"/>
        <w:gridCol w:w="726"/>
        <w:gridCol w:w="1400"/>
        <w:gridCol w:w="2310"/>
      </w:tblGrid>
      <w:tr w:rsidR="00E900FC" w:rsidRPr="005A39D7" w:rsidTr="00ED7F64">
        <w:trPr>
          <w:cantSplit/>
          <w:trHeight w:val="471"/>
        </w:trPr>
        <w:tc>
          <w:tcPr>
            <w:tcW w:w="1843" w:type="pct"/>
            <w:gridSpan w:val="2"/>
            <w:tcBorders>
              <w:bottom w:val="single" w:sz="4" w:space="0" w:color="auto"/>
            </w:tcBorders>
          </w:tcPr>
          <w:p w:rsidR="00E900FC" w:rsidRPr="005A39D7" w:rsidRDefault="00E900FC" w:rsidP="00AC5D40">
            <w:pPr>
              <w:keepNext/>
              <w:ind w:left="-108"/>
              <w:jc w:val="both"/>
              <w:rPr>
                <w:rFonts w:ascii="Arial Narrow" w:hAnsi="Arial Narrow" w:cs="Arial"/>
                <w:b/>
                <w:sz w:val="20"/>
                <w:szCs w:val="20"/>
              </w:rPr>
            </w:pPr>
            <w:r w:rsidRPr="005A39D7">
              <w:rPr>
                <w:rFonts w:ascii="Arial Narrow" w:hAnsi="Arial Narrow" w:cs="Arial"/>
                <w:b/>
                <w:sz w:val="20"/>
                <w:szCs w:val="20"/>
              </w:rPr>
              <w:t>Name, Restriction,</w:t>
            </w:r>
          </w:p>
          <w:p w:rsidR="00E900FC" w:rsidRPr="005A39D7" w:rsidRDefault="00E900FC" w:rsidP="00AC5D40">
            <w:pPr>
              <w:keepNext/>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714" w:type="pct"/>
            <w:tcBorders>
              <w:bottom w:val="single" w:sz="4" w:space="0" w:color="auto"/>
            </w:tcBorders>
          </w:tcPr>
          <w:p w:rsidR="00E900FC" w:rsidRPr="005A39D7" w:rsidRDefault="00E900FC" w:rsidP="00ED7F64">
            <w:pPr>
              <w:keepNext/>
              <w:ind w:left="-108" w:firstLine="277"/>
              <w:jc w:val="both"/>
              <w:rPr>
                <w:rFonts w:ascii="Arial Narrow" w:hAnsi="Arial Narrow" w:cs="Arial"/>
                <w:b/>
                <w:sz w:val="20"/>
                <w:szCs w:val="20"/>
              </w:rPr>
            </w:pPr>
            <w:r w:rsidRPr="005A39D7">
              <w:rPr>
                <w:rFonts w:ascii="Arial Narrow" w:hAnsi="Arial Narrow" w:cs="Arial"/>
                <w:b/>
                <w:sz w:val="20"/>
                <w:szCs w:val="20"/>
              </w:rPr>
              <w:t>Max.</w:t>
            </w:r>
          </w:p>
          <w:p w:rsidR="00E900FC" w:rsidRPr="005A39D7" w:rsidRDefault="00E900FC" w:rsidP="00ED7F64">
            <w:pPr>
              <w:keepNext/>
              <w:ind w:left="169"/>
              <w:jc w:val="both"/>
              <w:rPr>
                <w:rFonts w:ascii="Arial Narrow" w:hAnsi="Arial Narrow" w:cs="Arial"/>
                <w:b/>
                <w:sz w:val="20"/>
                <w:szCs w:val="20"/>
              </w:rPr>
            </w:pPr>
            <w:r w:rsidRPr="005A39D7">
              <w:rPr>
                <w:rFonts w:ascii="Arial Narrow" w:hAnsi="Arial Narrow" w:cs="Arial"/>
                <w:b/>
                <w:sz w:val="20"/>
                <w:szCs w:val="20"/>
              </w:rPr>
              <w:t>Qty</w:t>
            </w:r>
          </w:p>
        </w:tc>
        <w:tc>
          <w:tcPr>
            <w:tcW w:w="400" w:type="pct"/>
            <w:tcBorders>
              <w:bottom w:val="single" w:sz="4" w:space="0" w:color="auto"/>
            </w:tcBorders>
          </w:tcPr>
          <w:p w:rsidR="00E900FC" w:rsidRPr="005A39D7" w:rsidRDefault="00E900FC" w:rsidP="00AC5D40">
            <w:pPr>
              <w:keepNext/>
              <w:ind w:left="-108"/>
              <w:jc w:val="both"/>
              <w:rPr>
                <w:rFonts w:ascii="Arial Narrow" w:hAnsi="Arial Narrow" w:cs="Arial"/>
                <w:b/>
                <w:sz w:val="20"/>
                <w:szCs w:val="20"/>
              </w:rPr>
            </w:pPr>
            <w:r w:rsidRPr="005A39D7">
              <w:rPr>
                <w:rFonts w:ascii="Arial Narrow" w:hAnsi="Arial Narrow" w:cs="Arial"/>
                <w:b/>
                <w:sz w:val="20"/>
                <w:szCs w:val="20"/>
              </w:rPr>
              <w:t>№.of</w:t>
            </w:r>
          </w:p>
          <w:p w:rsidR="00E900FC" w:rsidRPr="005A39D7" w:rsidRDefault="00E900FC" w:rsidP="00AC5D40">
            <w:pPr>
              <w:keepNext/>
              <w:ind w:left="-108"/>
              <w:jc w:val="both"/>
              <w:rPr>
                <w:rFonts w:ascii="Arial Narrow" w:hAnsi="Arial Narrow" w:cs="Arial"/>
                <w:b/>
                <w:sz w:val="20"/>
                <w:szCs w:val="20"/>
              </w:rPr>
            </w:pPr>
            <w:r w:rsidRPr="005A39D7">
              <w:rPr>
                <w:rFonts w:ascii="Arial Narrow" w:hAnsi="Arial Narrow" w:cs="Arial"/>
                <w:b/>
                <w:sz w:val="20"/>
                <w:szCs w:val="20"/>
              </w:rPr>
              <w:t>Rpts</w:t>
            </w:r>
          </w:p>
        </w:tc>
        <w:tc>
          <w:tcPr>
            <w:tcW w:w="2043" w:type="pct"/>
            <w:gridSpan w:val="2"/>
            <w:tcBorders>
              <w:bottom w:val="single" w:sz="4" w:space="0" w:color="auto"/>
            </w:tcBorders>
          </w:tcPr>
          <w:p w:rsidR="00E900FC" w:rsidRPr="005A39D7" w:rsidRDefault="00E900FC" w:rsidP="00AC5D40">
            <w:pPr>
              <w:keepNext/>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E900FC" w:rsidRPr="005A39D7" w:rsidTr="00ED7F64">
        <w:trPr>
          <w:cantSplit/>
          <w:trHeight w:val="577"/>
        </w:trPr>
        <w:tc>
          <w:tcPr>
            <w:tcW w:w="1843" w:type="pct"/>
            <w:gridSpan w:val="2"/>
          </w:tcPr>
          <w:p w:rsidR="00E900FC" w:rsidRPr="005A39D7" w:rsidRDefault="00E900FC" w:rsidP="00AC5D40">
            <w:pPr>
              <w:keepNext/>
              <w:ind w:left="-108"/>
              <w:jc w:val="both"/>
              <w:rPr>
                <w:rFonts w:ascii="Arial Narrow" w:hAnsi="Arial Narrow" w:cs="Arial"/>
                <w:sz w:val="20"/>
                <w:szCs w:val="20"/>
              </w:rPr>
            </w:pPr>
            <w:r>
              <w:rPr>
                <w:rFonts w:ascii="Arial Narrow" w:hAnsi="Arial Narrow" w:cs="Arial"/>
                <w:smallCaps/>
                <w:sz w:val="20"/>
                <w:szCs w:val="20"/>
              </w:rPr>
              <w:t>glycomacropeptide formula with docosahexaenoic acid with low phenylalanine</w:t>
            </w:r>
          </w:p>
          <w:p w:rsidR="00E900FC" w:rsidRPr="005A39D7" w:rsidRDefault="00E900FC" w:rsidP="00AC5D40">
            <w:pPr>
              <w:keepNext/>
              <w:ind w:left="-108"/>
              <w:rPr>
                <w:rFonts w:ascii="Arial Narrow" w:hAnsi="Arial Narrow" w:cs="Arial"/>
                <w:sz w:val="20"/>
                <w:szCs w:val="20"/>
              </w:rPr>
            </w:pPr>
            <w:r>
              <w:rPr>
                <w:rFonts w:ascii="Arial Narrow" w:hAnsi="Arial Narrow" w:cs="Arial"/>
                <w:sz w:val="20"/>
                <w:szCs w:val="20"/>
              </w:rPr>
              <w:t>glycomacropeptide formula with docosahexaenoic acid with low phenylalanine powder for oral liquid, 16 × 33.3 sachets</w:t>
            </w:r>
          </w:p>
        </w:tc>
        <w:tc>
          <w:tcPr>
            <w:tcW w:w="714" w:type="pct"/>
          </w:tcPr>
          <w:p w:rsidR="00E900FC" w:rsidRPr="005A39D7" w:rsidRDefault="00E900FC" w:rsidP="00AC5D40">
            <w:pPr>
              <w:keepNext/>
              <w:ind w:left="-108"/>
              <w:jc w:val="both"/>
              <w:rPr>
                <w:rFonts w:ascii="Arial Narrow" w:hAnsi="Arial Narrow" w:cs="Arial"/>
                <w:sz w:val="20"/>
                <w:szCs w:val="20"/>
              </w:rPr>
            </w:pPr>
          </w:p>
          <w:p w:rsidR="00E900FC" w:rsidRPr="005A39D7" w:rsidRDefault="00505744" w:rsidP="00ED7F64">
            <w:pPr>
              <w:keepNext/>
              <w:ind w:left="-108" w:firstLine="277"/>
              <w:jc w:val="both"/>
              <w:rPr>
                <w:rFonts w:ascii="Arial Narrow" w:hAnsi="Arial Narrow" w:cs="Arial"/>
                <w:sz w:val="20"/>
                <w:szCs w:val="20"/>
              </w:rPr>
            </w:pPr>
            <w:r>
              <w:rPr>
                <w:rFonts w:ascii="Arial Narrow" w:hAnsi="Arial Narrow" w:cs="Arial"/>
                <w:sz w:val="20"/>
                <w:szCs w:val="20"/>
              </w:rPr>
              <w:t>8</w:t>
            </w:r>
          </w:p>
        </w:tc>
        <w:tc>
          <w:tcPr>
            <w:tcW w:w="400" w:type="pct"/>
          </w:tcPr>
          <w:p w:rsidR="00E900FC" w:rsidRPr="005A39D7" w:rsidRDefault="00E900FC" w:rsidP="00AC5D40">
            <w:pPr>
              <w:keepNext/>
              <w:ind w:left="-108"/>
              <w:jc w:val="both"/>
              <w:rPr>
                <w:rFonts w:ascii="Arial Narrow" w:hAnsi="Arial Narrow" w:cs="Arial"/>
                <w:sz w:val="20"/>
                <w:szCs w:val="20"/>
              </w:rPr>
            </w:pPr>
          </w:p>
          <w:p w:rsidR="00E900FC" w:rsidRPr="005A39D7" w:rsidRDefault="00E900FC" w:rsidP="00AC5D40">
            <w:pPr>
              <w:keepNext/>
              <w:ind w:left="-108"/>
              <w:jc w:val="both"/>
              <w:rPr>
                <w:rFonts w:ascii="Arial Narrow" w:hAnsi="Arial Narrow" w:cs="Arial"/>
                <w:sz w:val="20"/>
                <w:szCs w:val="20"/>
              </w:rPr>
            </w:pPr>
            <w:r>
              <w:rPr>
                <w:rFonts w:ascii="Arial Narrow" w:hAnsi="Arial Narrow" w:cs="Arial"/>
                <w:sz w:val="20"/>
                <w:szCs w:val="20"/>
              </w:rPr>
              <w:t>5</w:t>
            </w:r>
          </w:p>
        </w:tc>
        <w:tc>
          <w:tcPr>
            <w:tcW w:w="771" w:type="pct"/>
          </w:tcPr>
          <w:p w:rsidR="00E900FC" w:rsidRPr="005A39D7" w:rsidRDefault="00E900FC" w:rsidP="00AC5D40">
            <w:pPr>
              <w:keepNext/>
              <w:jc w:val="both"/>
              <w:rPr>
                <w:rFonts w:ascii="Arial Narrow" w:hAnsi="Arial Narrow" w:cs="Arial"/>
                <w:sz w:val="20"/>
                <w:szCs w:val="20"/>
              </w:rPr>
            </w:pPr>
          </w:p>
          <w:p w:rsidR="00E900FC" w:rsidRPr="005A39D7" w:rsidRDefault="00E900FC" w:rsidP="00AC5D40">
            <w:pPr>
              <w:keepNext/>
              <w:jc w:val="both"/>
              <w:rPr>
                <w:rFonts w:ascii="Arial Narrow" w:hAnsi="Arial Narrow" w:cs="Arial"/>
                <w:sz w:val="20"/>
                <w:szCs w:val="20"/>
              </w:rPr>
            </w:pPr>
            <w:r>
              <w:rPr>
                <w:rFonts w:ascii="Arial Narrow" w:hAnsi="Arial Narrow" w:cs="Arial"/>
                <w:sz w:val="20"/>
                <w:szCs w:val="20"/>
              </w:rPr>
              <w:t>PKU GMPro®</w:t>
            </w:r>
          </w:p>
        </w:tc>
        <w:tc>
          <w:tcPr>
            <w:tcW w:w="1272" w:type="pct"/>
          </w:tcPr>
          <w:p w:rsidR="00E900FC" w:rsidRPr="005A39D7" w:rsidRDefault="00E900FC" w:rsidP="00AC5D40">
            <w:pPr>
              <w:keepNext/>
              <w:jc w:val="both"/>
              <w:rPr>
                <w:rFonts w:ascii="Arial Narrow" w:hAnsi="Arial Narrow" w:cs="Arial"/>
                <w:sz w:val="20"/>
                <w:szCs w:val="20"/>
              </w:rPr>
            </w:pPr>
          </w:p>
          <w:p w:rsidR="00E900FC" w:rsidRPr="005A39D7" w:rsidRDefault="00E900FC" w:rsidP="00AC5D40">
            <w:pPr>
              <w:keepNext/>
              <w:jc w:val="both"/>
              <w:rPr>
                <w:rFonts w:ascii="Arial Narrow" w:hAnsi="Arial Narrow" w:cs="Arial"/>
                <w:sz w:val="20"/>
                <w:szCs w:val="20"/>
              </w:rPr>
            </w:pPr>
            <w:r>
              <w:rPr>
                <w:rFonts w:ascii="Arial Narrow" w:hAnsi="Arial Narrow" w:cs="Arial"/>
                <w:sz w:val="20"/>
                <w:szCs w:val="20"/>
              </w:rPr>
              <w:t>Nutricia Australia Pty Ltd</w:t>
            </w:r>
          </w:p>
        </w:tc>
      </w:tr>
      <w:tr w:rsidR="00E900FC" w:rsidRPr="005A39D7" w:rsidTr="00E900FC">
        <w:trPr>
          <w:cantSplit/>
          <w:trHeight w:val="360"/>
        </w:trPr>
        <w:tc>
          <w:tcPr>
            <w:tcW w:w="5000" w:type="pct"/>
            <w:gridSpan w:val="6"/>
            <w:tcBorders>
              <w:bottom w:val="single" w:sz="4" w:space="0" w:color="auto"/>
            </w:tcBorders>
          </w:tcPr>
          <w:p w:rsidR="00E900FC" w:rsidRPr="005A39D7" w:rsidRDefault="00E900FC" w:rsidP="00AC5D40">
            <w:pPr>
              <w:jc w:val="both"/>
              <w:rPr>
                <w:rFonts w:ascii="Arial Narrow" w:hAnsi="Arial Narrow" w:cs="Arial"/>
                <w:sz w:val="20"/>
                <w:szCs w:val="20"/>
              </w:rPr>
            </w:pPr>
          </w:p>
        </w:tc>
      </w:tr>
      <w:tr w:rsidR="00E900FC" w:rsidRPr="005A39D7"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E900FC" w:rsidRPr="005A39D7" w:rsidRDefault="00E900FC" w:rsidP="00AC5D40">
            <w:pPr>
              <w:jc w:val="both"/>
              <w:rPr>
                <w:rFonts w:ascii="Arial Narrow" w:hAnsi="Arial Narrow" w:cs="Arial"/>
                <w:b/>
                <w:sz w:val="20"/>
                <w:szCs w:val="20"/>
              </w:rPr>
            </w:pPr>
            <w:r w:rsidRPr="005A39D7">
              <w:rPr>
                <w:rFonts w:ascii="Arial Narrow" w:hAnsi="Arial Narrow" w:cs="Arial"/>
                <w:b/>
                <w:sz w:val="20"/>
                <w:szCs w:val="20"/>
              </w:rPr>
              <w:t xml:space="preserve">Category / </w:t>
            </w:r>
          </w:p>
          <w:p w:rsidR="00E900FC" w:rsidRPr="005A39D7" w:rsidRDefault="00E900FC" w:rsidP="00AC5D40">
            <w:pPr>
              <w:jc w:val="both"/>
              <w:rPr>
                <w:rFonts w:ascii="Arial Narrow" w:hAnsi="Arial Narrow" w:cs="Arial"/>
                <w:b/>
                <w:sz w:val="20"/>
                <w:szCs w:val="20"/>
              </w:rPr>
            </w:pPr>
            <w:r w:rsidRPr="005A39D7">
              <w:rPr>
                <w:rFonts w:ascii="Arial Narrow" w:hAnsi="Arial Narrow" w:cs="Arial"/>
                <w:b/>
                <w:sz w:val="20"/>
                <w:szCs w:val="20"/>
              </w:rPr>
              <w:t>Program</w:t>
            </w:r>
          </w:p>
        </w:tc>
        <w:tc>
          <w:tcPr>
            <w:tcW w:w="3921" w:type="pct"/>
            <w:gridSpan w:val="5"/>
            <w:tcBorders>
              <w:top w:val="single" w:sz="4" w:space="0" w:color="auto"/>
              <w:left w:val="single" w:sz="4" w:space="0" w:color="auto"/>
              <w:bottom w:val="single" w:sz="4" w:space="0" w:color="auto"/>
              <w:right w:val="single" w:sz="4" w:space="0" w:color="auto"/>
            </w:tcBorders>
          </w:tcPr>
          <w:p w:rsidR="00E900FC" w:rsidRPr="005A39D7" w:rsidRDefault="00E900FC" w:rsidP="00AC5D40">
            <w:pPr>
              <w:rPr>
                <w:rFonts w:ascii="Arial Narrow" w:hAnsi="Arial Narrow" w:cs="Arial"/>
                <w:sz w:val="20"/>
                <w:szCs w:val="20"/>
              </w:rPr>
            </w:pPr>
            <w:r w:rsidRPr="005A39D7">
              <w:rPr>
                <w:rFonts w:ascii="Arial Narrow" w:hAnsi="Arial Narrow" w:cs="Arial"/>
                <w:sz w:val="20"/>
                <w:szCs w:val="20"/>
              </w:rPr>
              <w:t>GENERAL – General Schedule (Code GE)</w:t>
            </w:r>
          </w:p>
        </w:tc>
      </w:tr>
      <w:tr w:rsidR="00E900FC" w:rsidRPr="005A39D7"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E900FC" w:rsidRPr="005A39D7" w:rsidRDefault="00E900FC" w:rsidP="00AC5D40">
            <w:pPr>
              <w:jc w:val="both"/>
              <w:rPr>
                <w:rFonts w:ascii="Arial Narrow" w:hAnsi="Arial Narrow" w:cs="Arial"/>
                <w:b/>
                <w:sz w:val="20"/>
                <w:szCs w:val="20"/>
              </w:rPr>
            </w:pPr>
            <w:r w:rsidRPr="005A39D7">
              <w:rPr>
                <w:rFonts w:ascii="Arial Narrow" w:hAnsi="Arial Narrow" w:cs="Arial"/>
                <w:b/>
                <w:sz w:val="20"/>
                <w:szCs w:val="20"/>
              </w:rPr>
              <w:t>Prescriber type:</w:t>
            </w:r>
          </w:p>
        </w:tc>
        <w:tc>
          <w:tcPr>
            <w:tcW w:w="3921" w:type="pct"/>
            <w:gridSpan w:val="5"/>
            <w:tcBorders>
              <w:top w:val="single" w:sz="4" w:space="0" w:color="auto"/>
              <w:left w:val="single" w:sz="4" w:space="0" w:color="auto"/>
              <w:bottom w:val="single" w:sz="4" w:space="0" w:color="auto"/>
              <w:right w:val="single" w:sz="4" w:space="0" w:color="auto"/>
            </w:tcBorders>
          </w:tcPr>
          <w:p w:rsidR="00E900FC" w:rsidRPr="005A39D7" w:rsidRDefault="00E900FC" w:rsidP="00AC5D40">
            <w:pPr>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E900FC" w:rsidRPr="005A39D7" w:rsidRDefault="00E900FC" w:rsidP="00AC5D40">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D07ADB">
              <w:rPr>
                <w:rFonts w:ascii="Arial Narrow" w:hAnsi="Arial Narrow" w:cs="Arial"/>
                <w:sz w:val="20"/>
                <w:szCs w:val="20"/>
              </w:rPr>
            </w:r>
            <w:r w:rsidR="00D07ADB">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E900FC" w:rsidRPr="005A39D7"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E900FC" w:rsidRPr="005A39D7" w:rsidRDefault="00E900FC" w:rsidP="00AC5D40">
            <w:pPr>
              <w:jc w:val="both"/>
              <w:rPr>
                <w:rFonts w:ascii="Arial Narrow" w:hAnsi="Arial Narrow" w:cs="Arial"/>
                <w:b/>
                <w:sz w:val="20"/>
                <w:szCs w:val="20"/>
              </w:rPr>
            </w:pPr>
            <w:r w:rsidRPr="005A39D7">
              <w:rPr>
                <w:rFonts w:ascii="Arial Narrow" w:hAnsi="Arial Narrow" w:cs="Arial"/>
                <w:b/>
                <w:sz w:val="20"/>
                <w:szCs w:val="20"/>
              </w:rPr>
              <w:t>Condition:</w:t>
            </w:r>
          </w:p>
        </w:tc>
        <w:tc>
          <w:tcPr>
            <w:tcW w:w="3921" w:type="pct"/>
            <w:gridSpan w:val="5"/>
            <w:tcBorders>
              <w:top w:val="single" w:sz="4" w:space="0" w:color="auto"/>
              <w:left w:val="single" w:sz="4" w:space="0" w:color="auto"/>
              <w:bottom w:val="single" w:sz="4" w:space="0" w:color="auto"/>
              <w:right w:val="single" w:sz="4" w:space="0" w:color="auto"/>
            </w:tcBorders>
          </w:tcPr>
          <w:p w:rsidR="00E900FC" w:rsidRPr="005A39D7" w:rsidRDefault="00E900FC" w:rsidP="00AC5D40">
            <w:pPr>
              <w:rPr>
                <w:rFonts w:ascii="Arial Narrow" w:hAnsi="Arial Narrow" w:cs="Arial"/>
                <w:sz w:val="20"/>
                <w:szCs w:val="20"/>
              </w:rPr>
            </w:pPr>
            <w:r>
              <w:rPr>
                <w:rFonts w:ascii="Arial Narrow" w:hAnsi="Arial Narrow" w:cs="Arial"/>
                <w:sz w:val="20"/>
                <w:szCs w:val="20"/>
              </w:rPr>
              <w:t>phenylketonuria</w:t>
            </w:r>
          </w:p>
        </w:tc>
      </w:tr>
      <w:tr w:rsidR="00E900FC" w:rsidRPr="005A39D7"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E900FC" w:rsidRPr="005A39D7" w:rsidRDefault="00E900FC" w:rsidP="00AC5D40">
            <w:pPr>
              <w:jc w:val="both"/>
              <w:rPr>
                <w:rFonts w:ascii="Arial Narrow" w:hAnsi="Arial Narrow" w:cs="Arial"/>
                <w:b/>
                <w:sz w:val="20"/>
                <w:szCs w:val="20"/>
              </w:rPr>
            </w:pPr>
            <w:r w:rsidRPr="005A39D7">
              <w:rPr>
                <w:rFonts w:ascii="Arial Narrow" w:hAnsi="Arial Narrow" w:cs="Arial"/>
                <w:b/>
                <w:sz w:val="20"/>
                <w:szCs w:val="20"/>
              </w:rPr>
              <w:t>PBS Indication:</w:t>
            </w:r>
          </w:p>
        </w:tc>
        <w:tc>
          <w:tcPr>
            <w:tcW w:w="3921" w:type="pct"/>
            <w:gridSpan w:val="5"/>
            <w:tcBorders>
              <w:top w:val="single" w:sz="4" w:space="0" w:color="auto"/>
              <w:left w:val="single" w:sz="4" w:space="0" w:color="auto"/>
              <w:bottom w:val="single" w:sz="4" w:space="0" w:color="auto"/>
              <w:right w:val="single" w:sz="4" w:space="0" w:color="auto"/>
            </w:tcBorders>
          </w:tcPr>
          <w:p w:rsidR="00E900FC" w:rsidRPr="005A39D7" w:rsidRDefault="00E900FC" w:rsidP="00AC5D40">
            <w:pPr>
              <w:rPr>
                <w:rFonts w:ascii="Arial Narrow" w:hAnsi="Arial Narrow" w:cs="Arial"/>
                <w:sz w:val="20"/>
                <w:szCs w:val="20"/>
              </w:rPr>
            </w:pPr>
            <w:r>
              <w:rPr>
                <w:rFonts w:ascii="Arial Narrow" w:hAnsi="Arial Narrow" w:cs="Arial"/>
                <w:sz w:val="20"/>
                <w:szCs w:val="20"/>
              </w:rPr>
              <w:t>phenylketonuria</w:t>
            </w:r>
          </w:p>
        </w:tc>
      </w:tr>
      <w:tr w:rsidR="00D4495E" w:rsidRPr="005A39D7"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D4495E" w:rsidRPr="005A39D7" w:rsidRDefault="00D4495E" w:rsidP="00D4495E">
            <w:pPr>
              <w:jc w:val="both"/>
              <w:rPr>
                <w:rFonts w:ascii="Arial Narrow" w:hAnsi="Arial Narrow" w:cs="Arial"/>
                <w:b/>
                <w:sz w:val="20"/>
                <w:szCs w:val="20"/>
              </w:rPr>
            </w:pPr>
            <w:r w:rsidRPr="00D4495E">
              <w:rPr>
                <w:rFonts w:ascii="Arial Narrow" w:hAnsi="Arial Narrow" w:cs="Arial"/>
                <w:b/>
                <w:sz w:val="20"/>
                <w:szCs w:val="20"/>
              </w:rPr>
              <w:t>Restriction Level / Method:</w:t>
            </w:r>
          </w:p>
        </w:tc>
        <w:tc>
          <w:tcPr>
            <w:tcW w:w="3921" w:type="pct"/>
            <w:gridSpan w:val="5"/>
            <w:tcBorders>
              <w:top w:val="single" w:sz="4" w:space="0" w:color="auto"/>
              <w:left w:val="single" w:sz="4" w:space="0" w:color="auto"/>
              <w:bottom w:val="single" w:sz="4" w:space="0" w:color="auto"/>
              <w:right w:val="single" w:sz="4" w:space="0" w:color="auto"/>
            </w:tcBorders>
          </w:tcPr>
          <w:p w:rsidR="00D4495E" w:rsidRPr="008A6936" w:rsidRDefault="00D4495E" w:rsidP="00D4495E">
            <w:pPr>
              <w:rPr>
                <w:rFonts w:ascii="Arial Narrow" w:hAnsi="Arial Narrow" w:cs="Arial"/>
                <w:i/>
                <w:strike/>
                <w:sz w:val="20"/>
                <w:szCs w:val="20"/>
              </w:rPr>
            </w:pPr>
            <w:r w:rsidRPr="00D4495E">
              <w:rPr>
                <w:rFonts w:ascii="Arial Narrow" w:hAnsi="Arial Narrow" w:cs="Arial"/>
                <w:sz w:val="20"/>
                <w:szCs w:val="20"/>
              </w:rPr>
              <w:t>Restricted benefit</w:t>
            </w:r>
          </w:p>
        </w:tc>
      </w:tr>
      <w:tr w:rsidR="00E900FC" w:rsidRPr="005A39D7"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E900FC" w:rsidRPr="005A39D7" w:rsidRDefault="00E900FC" w:rsidP="00AC5D40">
            <w:pPr>
              <w:jc w:val="both"/>
              <w:rPr>
                <w:rFonts w:ascii="Arial Narrow" w:hAnsi="Arial Narrow" w:cs="Arial"/>
                <w:b/>
                <w:sz w:val="20"/>
                <w:szCs w:val="20"/>
              </w:rPr>
            </w:pPr>
            <w:r w:rsidRPr="005A39D7">
              <w:rPr>
                <w:rFonts w:ascii="Arial Narrow" w:hAnsi="Arial Narrow" w:cs="Arial"/>
                <w:b/>
                <w:sz w:val="20"/>
                <w:szCs w:val="20"/>
              </w:rPr>
              <w:t>Population criteria:</w:t>
            </w:r>
          </w:p>
          <w:p w:rsidR="00E900FC" w:rsidRPr="005A39D7" w:rsidRDefault="00E900FC" w:rsidP="00AC5D40">
            <w:pPr>
              <w:rPr>
                <w:rFonts w:ascii="Arial Narrow" w:hAnsi="Arial Narrow" w:cs="Arial"/>
                <w:sz w:val="20"/>
                <w:szCs w:val="20"/>
              </w:rPr>
            </w:pPr>
          </w:p>
        </w:tc>
        <w:tc>
          <w:tcPr>
            <w:tcW w:w="3921" w:type="pct"/>
            <w:gridSpan w:val="5"/>
            <w:tcBorders>
              <w:top w:val="single" w:sz="4" w:space="0" w:color="auto"/>
              <w:left w:val="single" w:sz="4" w:space="0" w:color="auto"/>
              <w:bottom w:val="single" w:sz="4" w:space="0" w:color="auto"/>
              <w:right w:val="single" w:sz="4" w:space="0" w:color="auto"/>
            </w:tcBorders>
          </w:tcPr>
          <w:p w:rsidR="00E900FC" w:rsidRPr="005A39D7" w:rsidRDefault="00D434D1" w:rsidP="00D434D1">
            <w:pPr>
              <w:rPr>
                <w:rFonts w:ascii="Arial Narrow" w:hAnsi="Arial Narrow" w:cs="Arial"/>
                <w:sz w:val="20"/>
                <w:szCs w:val="20"/>
              </w:rPr>
            </w:pPr>
            <w:r>
              <w:rPr>
                <w:rFonts w:ascii="Arial Narrow" w:hAnsi="Arial Narrow" w:cs="Arial"/>
                <w:sz w:val="20"/>
                <w:szCs w:val="20"/>
              </w:rPr>
              <w:t>NA</w:t>
            </w:r>
          </w:p>
        </w:tc>
      </w:tr>
      <w:tr w:rsidR="00E900FC" w:rsidTr="00E900FC">
        <w:trPr>
          <w:cantSplit/>
          <w:trHeight w:val="360"/>
        </w:trPr>
        <w:tc>
          <w:tcPr>
            <w:tcW w:w="1079" w:type="pct"/>
            <w:tcBorders>
              <w:top w:val="single" w:sz="4" w:space="0" w:color="auto"/>
              <w:left w:val="single" w:sz="4" w:space="0" w:color="auto"/>
              <w:bottom w:val="single" w:sz="4" w:space="0" w:color="auto"/>
              <w:right w:val="single" w:sz="4" w:space="0" w:color="auto"/>
            </w:tcBorders>
          </w:tcPr>
          <w:p w:rsidR="00E900FC" w:rsidRPr="005A39D7" w:rsidRDefault="00C85C84" w:rsidP="00AC5D40">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921" w:type="pct"/>
            <w:gridSpan w:val="5"/>
            <w:tcBorders>
              <w:top w:val="single" w:sz="4" w:space="0" w:color="auto"/>
              <w:left w:val="single" w:sz="4" w:space="0" w:color="auto"/>
              <w:bottom w:val="single" w:sz="4" w:space="0" w:color="auto"/>
              <w:right w:val="single" w:sz="4" w:space="0" w:color="auto"/>
            </w:tcBorders>
          </w:tcPr>
          <w:p w:rsidR="00E900FC" w:rsidRPr="00D434D1" w:rsidRDefault="00E900FC" w:rsidP="00AC5D40">
            <w:pPr>
              <w:rPr>
                <w:rFonts w:ascii="Arial Narrow" w:hAnsi="Arial Narrow" w:cs="Arial"/>
                <w:sz w:val="20"/>
                <w:szCs w:val="20"/>
              </w:rPr>
            </w:pPr>
            <w:r w:rsidRPr="00D434D1">
              <w:rPr>
                <w:rFonts w:ascii="Arial Narrow" w:hAnsi="Arial Narrow" w:cs="Arial"/>
                <w:sz w:val="20"/>
                <w:szCs w:val="20"/>
              </w:rPr>
              <w:t>This product contains higher vitamin A levels than other PBS-listed glycomacropeptide products.</w:t>
            </w:r>
          </w:p>
        </w:tc>
      </w:tr>
    </w:tbl>
    <w:p w:rsidR="00915FD8" w:rsidRPr="00C07617" w:rsidRDefault="00915FD8" w:rsidP="00915FD8">
      <w:pPr>
        <w:widowControl w:val="0"/>
        <w:numPr>
          <w:ilvl w:val="0"/>
          <w:numId w:val="2"/>
        </w:numPr>
        <w:spacing w:before="240" w:after="120"/>
        <w:jc w:val="both"/>
        <w:outlineLvl w:val="0"/>
        <w:rPr>
          <w:rFonts w:asciiTheme="minorHAnsi" w:hAnsiTheme="minorHAnsi"/>
          <w:b/>
          <w:sz w:val="32"/>
        </w:rPr>
      </w:pPr>
      <w:r>
        <w:rPr>
          <w:rFonts w:asciiTheme="minorHAnsi" w:hAnsiTheme="minorHAnsi"/>
          <w:b/>
          <w:sz w:val="32"/>
        </w:rPr>
        <w:t>C</w:t>
      </w:r>
      <w:r w:rsidRPr="00C07617">
        <w:rPr>
          <w:rFonts w:asciiTheme="minorHAnsi" w:hAnsiTheme="minorHAnsi"/>
          <w:b/>
          <w:sz w:val="32"/>
        </w:rPr>
        <w:t>ontext for Decision</w:t>
      </w:r>
    </w:p>
    <w:p w:rsidR="00915FD8" w:rsidRPr="00C07617" w:rsidRDefault="00915FD8" w:rsidP="00915FD8">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15FD8" w:rsidRPr="00C07617" w:rsidRDefault="00915FD8" w:rsidP="00915FD8">
      <w:pPr>
        <w:widowControl w:val="0"/>
        <w:numPr>
          <w:ilvl w:val="0"/>
          <w:numId w:val="2"/>
        </w:numPr>
        <w:spacing w:before="240" w:after="120"/>
        <w:jc w:val="both"/>
        <w:outlineLvl w:val="0"/>
        <w:rPr>
          <w:rFonts w:asciiTheme="minorHAnsi" w:hAnsiTheme="minorHAnsi"/>
          <w:b/>
          <w:sz w:val="32"/>
        </w:rPr>
      </w:pPr>
      <w:r>
        <w:rPr>
          <w:rFonts w:asciiTheme="minorHAnsi" w:hAnsiTheme="minorHAnsi"/>
          <w:b/>
          <w:sz w:val="32"/>
        </w:rPr>
        <w:t>Sponsor’s Comment</w:t>
      </w:r>
    </w:p>
    <w:p w:rsidR="00915FD8" w:rsidRPr="00C07617" w:rsidRDefault="00915FD8" w:rsidP="00915FD8">
      <w:pPr>
        <w:spacing w:after="120"/>
        <w:jc w:val="both"/>
        <w:rPr>
          <w:rFonts w:asciiTheme="minorHAnsi" w:hAnsiTheme="minorHAnsi" w:cs="Arial"/>
          <w:bCs/>
        </w:rPr>
      </w:pPr>
      <w:r w:rsidRPr="00C07617">
        <w:rPr>
          <w:rFonts w:asciiTheme="minorHAnsi" w:hAnsiTheme="minorHAnsi" w:cs="Arial"/>
          <w:bCs/>
        </w:rPr>
        <w:t>The sponsor had no comment.</w:t>
      </w:r>
    </w:p>
    <w:p w:rsidR="00915FD8" w:rsidRPr="00AC4AA5" w:rsidRDefault="00915FD8" w:rsidP="00915FD8">
      <w:pPr>
        <w:jc w:val="both"/>
        <w:rPr>
          <w:rFonts w:asciiTheme="minorHAnsi" w:hAnsiTheme="minorHAnsi"/>
        </w:rPr>
      </w:pPr>
    </w:p>
    <w:p w:rsidR="00F64CC1" w:rsidRPr="00AC4AA5" w:rsidRDefault="00F64CC1" w:rsidP="00BB7B68">
      <w:pPr>
        <w:tabs>
          <w:tab w:val="left" w:pos="5970"/>
        </w:tabs>
        <w:jc w:val="both"/>
        <w:rPr>
          <w:rFonts w:asciiTheme="minorHAnsi" w:hAnsiTheme="minorHAnsi"/>
        </w:rPr>
      </w:pPr>
    </w:p>
    <w:sectPr w:rsidR="00F64CC1" w:rsidRPr="00AC4AA5"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ADB" w:rsidRDefault="00D07ADB">
      <w:r>
        <w:separator/>
      </w:r>
    </w:p>
    <w:p w:rsidR="00D07ADB" w:rsidRDefault="00D07ADB"/>
    <w:p w:rsidR="00D07ADB" w:rsidRDefault="00D07ADB"/>
  </w:endnote>
  <w:endnote w:type="continuationSeparator" w:id="0">
    <w:p w:rsidR="00D07ADB" w:rsidRDefault="00D07ADB">
      <w:r>
        <w:continuationSeparator/>
      </w:r>
    </w:p>
    <w:p w:rsidR="00D07ADB" w:rsidRDefault="00D07ADB"/>
    <w:p w:rsidR="00D07ADB" w:rsidRDefault="00D07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A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B68" w:rsidRPr="00CA23D8" w:rsidRDefault="00BB7B68" w:rsidP="00BB7B68">
    <w:pPr>
      <w:pStyle w:val="Footer"/>
      <w:ind w:left="360"/>
      <w:jc w:val="center"/>
      <w:rPr>
        <w:rFonts w:ascii="Calibri" w:hAnsi="Calibri" w:cs="Arial"/>
        <w:b/>
      </w:rPr>
    </w:pPr>
    <w:r w:rsidRPr="00CA23D8">
      <w:rPr>
        <w:rFonts w:ascii="Calibri" w:hAnsi="Calibri" w:cs="Arial"/>
        <w:b/>
      </w:rPr>
      <w:fldChar w:fldCharType="begin"/>
    </w:r>
    <w:r w:rsidRPr="00CA23D8">
      <w:rPr>
        <w:rFonts w:ascii="Calibri" w:hAnsi="Calibri" w:cs="Arial"/>
        <w:b/>
      </w:rPr>
      <w:instrText xml:space="preserve"> PAGE   \* MERGEFORMAT </w:instrText>
    </w:r>
    <w:r w:rsidRPr="00CA23D8">
      <w:rPr>
        <w:rFonts w:ascii="Calibri" w:hAnsi="Calibri" w:cs="Arial"/>
        <w:b/>
      </w:rPr>
      <w:fldChar w:fldCharType="separate"/>
    </w:r>
    <w:r w:rsidR="00D07ADB">
      <w:rPr>
        <w:rFonts w:ascii="Calibri" w:hAnsi="Calibri" w:cs="Arial"/>
        <w:b/>
        <w:noProof/>
      </w:rPr>
      <w:t>1</w:t>
    </w:r>
    <w:r w:rsidRPr="00CA23D8">
      <w:rPr>
        <w:rFonts w:ascii="Calibri" w:hAnsi="Calibri" w:cs="Arial"/>
        <w:b/>
        <w:noProof/>
      </w:rPr>
      <w:fldChar w:fldCharType="end"/>
    </w:r>
  </w:p>
  <w:p w:rsidR="00E4183E" w:rsidRDefault="00BB7B68">
    <w:r w:rsidDel="00BB7B68">
      <w:rPr>
        <w:rFonts w:asciiTheme="minorHAnsi" w:hAnsiTheme="minorHAnsi" w:cs="Arial"/>
        <w:b/>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ADB" w:rsidRDefault="00D07ADB">
      <w:r>
        <w:separator/>
      </w:r>
    </w:p>
    <w:p w:rsidR="00D07ADB" w:rsidRDefault="00D07ADB"/>
    <w:p w:rsidR="00D07ADB" w:rsidRDefault="00D07ADB"/>
  </w:footnote>
  <w:footnote w:type="continuationSeparator" w:id="0">
    <w:p w:rsidR="00D07ADB" w:rsidRDefault="00D07ADB">
      <w:r>
        <w:continuationSeparator/>
      </w:r>
    </w:p>
    <w:p w:rsidR="00D07ADB" w:rsidRDefault="00D07ADB"/>
    <w:p w:rsidR="00D07ADB" w:rsidRDefault="00D07A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B68" w:rsidRPr="00CA23D8" w:rsidRDefault="000626F2" w:rsidP="00BB7B68">
    <w:pPr>
      <w:pStyle w:val="Header"/>
      <w:ind w:left="360"/>
      <w:jc w:val="center"/>
      <w:rPr>
        <w:rFonts w:asciiTheme="minorHAnsi" w:hAnsiTheme="minorHAnsi" w:cs="Arial"/>
        <w:i/>
        <w:color w:val="808080"/>
      </w:rPr>
    </w:pPr>
    <w:r>
      <w:rPr>
        <w:rFonts w:asciiTheme="minorHAnsi" w:hAnsiTheme="minorHAnsi" w:cs="Arial"/>
        <w:i/>
        <w:color w:val="808080"/>
      </w:rPr>
      <w:t xml:space="preserve">Public Summary Document </w:t>
    </w:r>
    <w:r w:rsidR="00BB7B68" w:rsidRPr="00CA23D8">
      <w:rPr>
        <w:rFonts w:asciiTheme="minorHAnsi" w:hAnsiTheme="minorHAnsi" w:cs="Arial"/>
        <w:i/>
        <w:color w:val="808080"/>
      </w:rPr>
      <w:t>– November 2018 PBAC Meeting</w:t>
    </w:r>
  </w:p>
  <w:p w:rsidR="00E4183E" w:rsidRDefault="00E418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DB" w:rsidRDefault="00D0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784D033C"/>
    <w:multiLevelType w:val="multilevel"/>
    <w:tmpl w:val="CE1244F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3"/>
  </w:num>
  <w:num w:numId="4">
    <w:abstractNumId w:val="21"/>
  </w:num>
  <w:num w:numId="5">
    <w:abstractNumId w:val="4"/>
  </w:num>
  <w:num w:numId="6">
    <w:abstractNumId w:val="9"/>
  </w:num>
  <w:num w:numId="7">
    <w:abstractNumId w:val="18"/>
  </w:num>
  <w:num w:numId="8">
    <w:abstractNumId w:val="13"/>
  </w:num>
  <w:num w:numId="9">
    <w:abstractNumId w:val="22"/>
  </w:num>
  <w:num w:numId="10">
    <w:abstractNumId w:val="20"/>
  </w:num>
  <w:num w:numId="11">
    <w:abstractNumId w:val="14"/>
  </w:num>
  <w:num w:numId="12">
    <w:abstractNumId w:val="16"/>
  </w:num>
  <w:num w:numId="13">
    <w:abstractNumId w:val="5"/>
  </w:num>
  <w:num w:numId="14">
    <w:abstractNumId w:val="2"/>
  </w:num>
  <w:num w:numId="15">
    <w:abstractNumId w:val="0"/>
  </w:num>
  <w:num w:numId="16">
    <w:abstractNumId w:val="10"/>
  </w:num>
  <w:num w:numId="17">
    <w:abstractNumId w:val="17"/>
  </w:num>
  <w:num w:numId="18">
    <w:abstractNumId w:val="6"/>
  </w:num>
  <w:num w:numId="19">
    <w:abstractNumId w:val="15"/>
  </w:num>
  <w:num w:numId="20">
    <w:abstractNumId w:val="11"/>
  </w:num>
  <w:num w:numId="21">
    <w:abstractNumId w:val="24"/>
  </w:num>
  <w:num w:numId="22">
    <w:abstractNumId w:val="12"/>
  </w:num>
  <w:num w:numId="23">
    <w:abstractNumId w:val="19"/>
  </w:num>
  <w:num w:numId="24">
    <w:abstractNumId w:val="1"/>
  </w:num>
  <w:num w:numId="2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1462F"/>
    <w:rsid w:val="0002464A"/>
    <w:rsid w:val="0003106B"/>
    <w:rsid w:val="0003116E"/>
    <w:rsid w:val="00033FCD"/>
    <w:rsid w:val="00037E45"/>
    <w:rsid w:val="000421A1"/>
    <w:rsid w:val="0004240E"/>
    <w:rsid w:val="00045E26"/>
    <w:rsid w:val="000514B5"/>
    <w:rsid w:val="0005154F"/>
    <w:rsid w:val="00060E64"/>
    <w:rsid w:val="000626F2"/>
    <w:rsid w:val="00066755"/>
    <w:rsid w:val="00067955"/>
    <w:rsid w:val="00067964"/>
    <w:rsid w:val="00095B63"/>
    <w:rsid w:val="000969AD"/>
    <w:rsid w:val="00096ECB"/>
    <w:rsid w:val="000B13DB"/>
    <w:rsid w:val="000B558D"/>
    <w:rsid w:val="000C6996"/>
    <w:rsid w:val="000D23BA"/>
    <w:rsid w:val="000D5BA4"/>
    <w:rsid w:val="000D6C7C"/>
    <w:rsid w:val="000E681E"/>
    <w:rsid w:val="000F4E6A"/>
    <w:rsid w:val="000F52F0"/>
    <w:rsid w:val="001019E9"/>
    <w:rsid w:val="0010237F"/>
    <w:rsid w:val="001107BF"/>
    <w:rsid w:val="00116E34"/>
    <w:rsid w:val="0012417C"/>
    <w:rsid w:val="00142395"/>
    <w:rsid w:val="00142714"/>
    <w:rsid w:val="001452ED"/>
    <w:rsid w:val="00163860"/>
    <w:rsid w:val="0016410F"/>
    <w:rsid w:val="00171C36"/>
    <w:rsid w:val="001830CE"/>
    <w:rsid w:val="00187CF9"/>
    <w:rsid w:val="001918E4"/>
    <w:rsid w:val="00196307"/>
    <w:rsid w:val="001A485D"/>
    <w:rsid w:val="001B017F"/>
    <w:rsid w:val="001B5129"/>
    <w:rsid w:val="001C1195"/>
    <w:rsid w:val="00203B36"/>
    <w:rsid w:val="00213CFB"/>
    <w:rsid w:val="00234B51"/>
    <w:rsid w:val="00240A9B"/>
    <w:rsid w:val="00261D49"/>
    <w:rsid w:val="00271BA1"/>
    <w:rsid w:val="00277505"/>
    <w:rsid w:val="00284DF2"/>
    <w:rsid w:val="0029458F"/>
    <w:rsid w:val="002A104C"/>
    <w:rsid w:val="002A4960"/>
    <w:rsid w:val="002B1AE6"/>
    <w:rsid w:val="002B30F8"/>
    <w:rsid w:val="002C14A4"/>
    <w:rsid w:val="002C212F"/>
    <w:rsid w:val="002D5C51"/>
    <w:rsid w:val="002D7A33"/>
    <w:rsid w:val="002E1A30"/>
    <w:rsid w:val="002E3153"/>
    <w:rsid w:val="002E72CA"/>
    <w:rsid w:val="00326E79"/>
    <w:rsid w:val="003352EF"/>
    <w:rsid w:val="003367EF"/>
    <w:rsid w:val="00336991"/>
    <w:rsid w:val="00341AE4"/>
    <w:rsid w:val="003465D5"/>
    <w:rsid w:val="003719D6"/>
    <w:rsid w:val="00377334"/>
    <w:rsid w:val="003872CF"/>
    <w:rsid w:val="0039302B"/>
    <w:rsid w:val="0039782C"/>
    <w:rsid w:val="003A596A"/>
    <w:rsid w:val="003A5B4A"/>
    <w:rsid w:val="003A5FCF"/>
    <w:rsid w:val="003B23C5"/>
    <w:rsid w:val="003B2A75"/>
    <w:rsid w:val="003C1505"/>
    <w:rsid w:val="003D4AC4"/>
    <w:rsid w:val="003D63B7"/>
    <w:rsid w:val="003E468B"/>
    <w:rsid w:val="003F5C8C"/>
    <w:rsid w:val="00407D39"/>
    <w:rsid w:val="004341D7"/>
    <w:rsid w:val="00437468"/>
    <w:rsid w:val="004465BD"/>
    <w:rsid w:val="00466ADA"/>
    <w:rsid w:val="00466D1C"/>
    <w:rsid w:val="00470F06"/>
    <w:rsid w:val="00476245"/>
    <w:rsid w:val="00480F1C"/>
    <w:rsid w:val="00481163"/>
    <w:rsid w:val="00485940"/>
    <w:rsid w:val="0049407A"/>
    <w:rsid w:val="004A08DA"/>
    <w:rsid w:val="004A578B"/>
    <w:rsid w:val="004A5A85"/>
    <w:rsid w:val="004B5640"/>
    <w:rsid w:val="004C1BD7"/>
    <w:rsid w:val="004C691D"/>
    <w:rsid w:val="004D1687"/>
    <w:rsid w:val="004E692D"/>
    <w:rsid w:val="00501554"/>
    <w:rsid w:val="00505744"/>
    <w:rsid w:val="00514CD7"/>
    <w:rsid w:val="005319B2"/>
    <w:rsid w:val="00532C74"/>
    <w:rsid w:val="00534E2E"/>
    <w:rsid w:val="00544552"/>
    <w:rsid w:val="00547FCB"/>
    <w:rsid w:val="00581932"/>
    <w:rsid w:val="00591733"/>
    <w:rsid w:val="005963BB"/>
    <w:rsid w:val="005A3173"/>
    <w:rsid w:val="005A3223"/>
    <w:rsid w:val="005A39D7"/>
    <w:rsid w:val="005A3DA3"/>
    <w:rsid w:val="005A52C4"/>
    <w:rsid w:val="005B2207"/>
    <w:rsid w:val="005B7828"/>
    <w:rsid w:val="005C2B4E"/>
    <w:rsid w:val="005D03AB"/>
    <w:rsid w:val="005D12D9"/>
    <w:rsid w:val="005D5017"/>
    <w:rsid w:val="006000B7"/>
    <w:rsid w:val="00601A91"/>
    <w:rsid w:val="00602BA3"/>
    <w:rsid w:val="00606419"/>
    <w:rsid w:val="00614159"/>
    <w:rsid w:val="00614A83"/>
    <w:rsid w:val="00617C00"/>
    <w:rsid w:val="006263BF"/>
    <w:rsid w:val="0062748A"/>
    <w:rsid w:val="00630A2C"/>
    <w:rsid w:val="00635B9A"/>
    <w:rsid w:val="006413B3"/>
    <w:rsid w:val="006457EE"/>
    <w:rsid w:val="00651169"/>
    <w:rsid w:val="00653D69"/>
    <w:rsid w:val="006655AA"/>
    <w:rsid w:val="00670A76"/>
    <w:rsid w:val="006711AA"/>
    <w:rsid w:val="00672B57"/>
    <w:rsid w:val="00675622"/>
    <w:rsid w:val="00680B43"/>
    <w:rsid w:val="00680E9E"/>
    <w:rsid w:val="006856CD"/>
    <w:rsid w:val="006906DB"/>
    <w:rsid w:val="00692ACF"/>
    <w:rsid w:val="006A12A5"/>
    <w:rsid w:val="006A37C1"/>
    <w:rsid w:val="006A7588"/>
    <w:rsid w:val="006A7812"/>
    <w:rsid w:val="006B0875"/>
    <w:rsid w:val="006B0D94"/>
    <w:rsid w:val="006B485D"/>
    <w:rsid w:val="006B51D0"/>
    <w:rsid w:val="006C708E"/>
    <w:rsid w:val="006D22A0"/>
    <w:rsid w:val="006D6EC7"/>
    <w:rsid w:val="006F5125"/>
    <w:rsid w:val="00704DE3"/>
    <w:rsid w:val="00713A79"/>
    <w:rsid w:val="00714702"/>
    <w:rsid w:val="007174BB"/>
    <w:rsid w:val="00720257"/>
    <w:rsid w:val="00730056"/>
    <w:rsid w:val="00732F0F"/>
    <w:rsid w:val="00736429"/>
    <w:rsid w:val="007378D1"/>
    <w:rsid w:val="007461DB"/>
    <w:rsid w:val="0076420C"/>
    <w:rsid w:val="007753C2"/>
    <w:rsid w:val="007838B8"/>
    <w:rsid w:val="00791BDB"/>
    <w:rsid w:val="007A2AE0"/>
    <w:rsid w:val="007A2B91"/>
    <w:rsid w:val="007A3C62"/>
    <w:rsid w:val="007C065B"/>
    <w:rsid w:val="007C0F57"/>
    <w:rsid w:val="007C40B6"/>
    <w:rsid w:val="007C729F"/>
    <w:rsid w:val="007E1D28"/>
    <w:rsid w:val="007F1651"/>
    <w:rsid w:val="007F2641"/>
    <w:rsid w:val="007F7C36"/>
    <w:rsid w:val="00806796"/>
    <w:rsid w:val="008205EA"/>
    <w:rsid w:val="00826F6D"/>
    <w:rsid w:val="008516D9"/>
    <w:rsid w:val="0085453C"/>
    <w:rsid w:val="00856DDD"/>
    <w:rsid w:val="00863E68"/>
    <w:rsid w:val="00873C89"/>
    <w:rsid w:val="00882085"/>
    <w:rsid w:val="00882F0C"/>
    <w:rsid w:val="00883188"/>
    <w:rsid w:val="00884C65"/>
    <w:rsid w:val="00897D58"/>
    <w:rsid w:val="008A1956"/>
    <w:rsid w:val="008A4937"/>
    <w:rsid w:val="008A6936"/>
    <w:rsid w:val="008B58E0"/>
    <w:rsid w:val="008B72C0"/>
    <w:rsid w:val="008C2E00"/>
    <w:rsid w:val="008C4C93"/>
    <w:rsid w:val="008D3C82"/>
    <w:rsid w:val="008D447E"/>
    <w:rsid w:val="008D7A41"/>
    <w:rsid w:val="008E3680"/>
    <w:rsid w:val="008E5870"/>
    <w:rsid w:val="008F1434"/>
    <w:rsid w:val="008F7355"/>
    <w:rsid w:val="008F7DE8"/>
    <w:rsid w:val="009067B7"/>
    <w:rsid w:val="00915FD8"/>
    <w:rsid w:val="00930937"/>
    <w:rsid w:val="00933E6C"/>
    <w:rsid w:val="00942160"/>
    <w:rsid w:val="00946C55"/>
    <w:rsid w:val="009511F7"/>
    <w:rsid w:val="009602C5"/>
    <w:rsid w:val="00964C23"/>
    <w:rsid w:val="00974C21"/>
    <w:rsid w:val="009B03E9"/>
    <w:rsid w:val="009B0F67"/>
    <w:rsid w:val="009C5340"/>
    <w:rsid w:val="009C703C"/>
    <w:rsid w:val="009D21A0"/>
    <w:rsid w:val="009D3CAA"/>
    <w:rsid w:val="009F4E46"/>
    <w:rsid w:val="009F5B65"/>
    <w:rsid w:val="009F5F2E"/>
    <w:rsid w:val="00A06225"/>
    <w:rsid w:val="00A128E6"/>
    <w:rsid w:val="00A15C90"/>
    <w:rsid w:val="00A21683"/>
    <w:rsid w:val="00A3715D"/>
    <w:rsid w:val="00A37C8D"/>
    <w:rsid w:val="00A51804"/>
    <w:rsid w:val="00A5273B"/>
    <w:rsid w:val="00A53A9D"/>
    <w:rsid w:val="00A55FEE"/>
    <w:rsid w:val="00A62C1A"/>
    <w:rsid w:val="00A6426D"/>
    <w:rsid w:val="00A70622"/>
    <w:rsid w:val="00A70977"/>
    <w:rsid w:val="00A8390C"/>
    <w:rsid w:val="00A8691F"/>
    <w:rsid w:val="00A86E69"/>
    <w:rsid w:val="00A928BD"/>
    <w:rsid w:val="00AA4D1C"/>
    <w:rsid w:val="00AB1F97"/>
    <w:rsid w:val="00AB5474"/>
    <w:rsid w:val="00AC4AA5"/>
    <w:rsid w:val="00AC5206"/>
    <w:rsid w:val="00AE11A5"/>
    <w:rsid w:val="00AE13E2"/>
    <w:rsid w:val="00AF68CC"/>
    <w:rsid w:val="00B205AA"/>
    <w:rsid w:val="00B22E84"/>
    <w:rsid w:val="00B25F75"/>
    <w:rsid w:val="00B43B7E"/>
    <w:rsid w:val="00B43E90"/>
    <w:rsid w:val="00B55396"/>
    <w:rsid w:val="00B56118"/>
    <w:rsid w:val="00B64497"/>
    <w:rsid w:val="00B6773F"/>
    <w:rsid w:val="00B801BA"/>
    <w:rsid w:val="00B858B3"/>
    <w:rsid w:val="00BB69F5"/>
    <w:rsid w:val="00BB7B68"/>
    <w:rsid w:val="00BB7EC3"/>
    <w:rsid w:val="00BC298F"/>
    <w:rsid w:val="00BC4B9A"/>
    <w:rsid w:val="00BD589B"/>
    <w:rsid w:val="00BD784C"/>
    <w:rsid w:val="00BE4594"/>
    <w:rsid w:val="00BE5ABB"/>
    <w:rsid w:val="00BF4CB6"/>
    <w:rsid w:val="00C00DA7"/>
    <w:rsid w:val="00C06339"/>
    <w:rsid w:val="00C12768"/>
    <w:rsid w:val="00C27B58"/>
    <w:rsid w:val="00C35996"/>
    <w:rsid w:val="00C5342C"/>
    <w:rsid w:val="00C56168"/>
    <w:rsid w:val="00C6256A"/>
    <w:rsid w:val="00C77326"/>
    <w:rsid w:val="00C7792B"/>
    <w:rsid w:val="00C85C84"/>
    <w:rsid w:val="00C86EFA"/>
    <w:rsid w:val="00C91449"/>
    <w:rsid w:val="00C92D10"/>
    <w:rsid w:val="00C93BBA"/>
    <w:rsid w:val="00C94810"/>
    <w:rsid w:val="00CA08D1"/>
    <w:rsid w:val="00CA23D8"/>
    <w:rsid w:val="00CA3B47"/>
    <w:rsid w:val="00CD1FFC"/>
    <w:rsid w:val="00CD52D8"/>
    <w:rsid w:val="00CE10C4"/>
    <w:rsid w:val="00CE27B5"/>
    <w:rsid w:val="00CE508D"/>
    <w:rsid w:val="00CE69A8"/>
    <w:rsid w:val="00CE7622"/>
    <w:rsid w:val="00D0321E"/>
    <w:rsid w:val="00D046D8"/>
    <w:rsid w:val="00D07ADB"/>
    <w:rsid w:val="00D1455A"/>
    <w:rsid w:val="00D320D3"/>
    <w:rsid w:val="00D3280C"/>
    <w:rsid w:val="00D3406A"/>
    <w:rsid w:val="00D434D1"/>
    <w:rsid w:val="00D4495E"/>
    <w:rsid w:val="00D469B2"/>
    <w:rsid w:val="00D605A4"/>
    <w:rsid w:val="00D741EB"/>
    <w:rsid w:val="00D84934"/>
    <w:rsid w:val="00D91271"/>
    <w:rsid w:val="00D9160A"/>
    <w:rsid w:val="00DA2CB5"/>
    <w:rsid w:val="00DA4BAC"/>
    <w:rsid w:val="00DE6D27"/>
    <w:rsid w:val="00DF217D"/>
    <w:rsid w:val="00DF26A7"/>
    <w:rsid w:val="00E07E6D"/>
    <w:rsid w:val="00E164B3"/>
    <w:rsid w:val="00E16910"/>
    <w:rsid w:val="00E313D7"/>
    <w:rsid w:val="00E4183E"/>
    <w:rsid w:val="00E41AAD"/>
    <w:rsid w:val="00E616B9"/>
    <w:rsid w:val="00E65E54"/>
    <w:rsid w:val="00E72ED6"/>
    <w:rsid w:val="00E7641A"/>
    <w:rsid w:val="00E80155"/>
    <w:rsid w:val="00E848C0"/>
    <w:rsid w:val="00E84AF9"/>
    <w:rsid w:val="00E900FC"/>
    <w:rsid w:val="00E91B96"/>
    <w:rsid w:val="00E941A1"/>
    <w:rsid w:val="00E95CE3"/>
    <w:rsid w:val="00EA2825"/>
    <w:rsid w:val="00EB2904"/>
    <w:rsid w:val="00EB2E81"/>
    <w:rsid w:val="00EB3CC1"/>
    <w:rsid w:val="00EB5088"/>
    <w:rsid w:val="00ED1644"/>
    <w:rsid w:val="00ED7F64"/>
    <w:rsid w:val="00EF44A0"/>
    <w:rsid w:val="00EF4FED"/>
    <w:rsid w:val="00F020E1"/>
    <w:rsid w:val="00F050BD"/>
    <w:rsid w:val="00F05657"/>
    <w:rsid w:val="00F2213E"/>
    <w:rsid w:val="00F22606"/>
    <w:rsid w:val="00F243F5"/>
    <w:rsid w:val="00F25578"/>
    <w:rsid w:val="00F258E5"/>
    <w:rsid w:val="00F300BC"/>
    <w:rsid w:val="00F3334E"/>
    <w:rsid w:val="00F45BFC"/>
    <w:rsid w:val="00F50EC4"/>
    <w:rsid w:val="00F51D56"/>
    <w:rsid w:val="00F549E8"/>
    <w:rsid w:val="00F57A6D"/>
    <w:rsid w:val="00F638CC"/>
    <w:rsid w:val="00F64CC1"/>
    <w:rsid w:val="00F80352"/>
    <w:rsid w:val="00F8247A"/>
    <w:rsid w:val="00F834B5"/>
    <w:rsid w:val="00F9629A"/>
    <w:rsid w:val="00FA5883"/>
    <w:rsid w:val="00FA6055"/>
    <w:rsid w:val="00FA7361"/>
    <w:rsid w:val="00FB322F"/>
    <w:rsid w:val="00FB442F"/>
    <w:rsid w:val="00FB52F3"/>
    <w:rsid w:val="00FC1929"/>
    <w:rsid w:val="00FC5B46"/>
    <w:rsid w:val="00FE6806"/>
    <w:rsid w:val="00FF00BD"/>
    <w:rsid w:val="00FF1ED4"/>
    <w:rsid w:val="00FF2801"/>
    <w:rsid w:val="00FF304E"/>
    <w:rsid w:val="00FF3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CA23D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CA23D8"/>
    <w:rPr>
      <w:rFonts w:asciiTheme="minorHAnsi" w:eastAsiaTheme="majorEastAsia" w:hAnsiTheme="minorHAnsi" w:cstheme="majorBidi"/>
      <w:b/>
      <w:i/>
      <w:sz w:val="28"/>
      <w:szCs w:val="28"/>
      <w:lang w:eastAsia="en-US"/>
    </w:rPr>
  </w:style>
  <w:style w:type="character" w:customStyle="1" w:styleId="ListParagraphChar">
    <w:name w:val="List Paragraph Char"/>
    <w:aliases w:val="BulletPoints Char"/>
    <w:basedOn w:val="DefaultParagraphFont"/>
    <w:link w:val="ListParagraph"/>
    <w:uiPriority w:val="72"/>
    <w:rsid w:val="00CE76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A907-C8D0-4884-8319-2B72E101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2019-02-20T22:11:00Z</dcterms:created>
  <dcterms:modified xsi:type="dcterms:W3CDTF">2019-02-20T22:13:00Z</dcterms:modified>
</cp:coreProperties>
</file>