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431" w:rsidRDefault="009C5446" w:rsidP="006D6493">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6.14</w:t>
      </w:r>
      <w:r w:rsidR="00E73431">
        <w:rPr>
          <w:rFonts w:asciiTheme="minorHAnsi" w:hAnsiTheme="minorHAnsi"/>
          <w:sz w:val="36"/>
          <w:szCs w:val="36"/>
        </w:rPr>
        <w:tab/>
        <w:t xml:space="preserve">FLUTICASONE WITH FORMOTEROL </w:t>
      </w:r>
    </w:p>
    <w:p w:rsidR="00E73431" w:rsidRPr="00E73431" w:rsidRDefault="00E73431" w:rsidP="00E73431">
      <w:pPr>
        <w:pStyle w:val="Title"/>
        <w:spacing w:before="120" w:after="160"/>
        <w:ind w:left="720" w:hanging="11"/>
        <w:rPr>
          <w:rFonts w:asciiTheme="minorHAnsi" w:hAnsiTheme="minorHAnsi"/>
          <w:sz w:val="36"/>
          <w:szCs w:val="36"/>
        </w:rPr>
      </w:pPr>
      <w:r w:rsidRPr="00E73431">
        <w:rPr>
          <w:rFonts w:asciiTheme="minorHAnsi" w:hAnsiTheme="minorHAnsi"/>
          <w:sz w:val="36"/>
          <w:szCs w:val="36"/>
        </w:rPr>
        <w:t xml:space="preserve">Pressurised inhalation containing fluticasone propionate 250 micrograms with </w:t>
      </w:r>
      <w:proofErr w:type="spellStart"/>
      <w:r w:rsidRPr="00E73431">
        <w:rPr>
          <w:rFonts w:asciiTheme="minorHAnsi" w:hAnsiTheme="minorHAnsi"/>
          <w:sz w:val="36"/>
          <w:szCs w:val="36"/>
        </w:rPr>
        <w:t>formoterol</w:t>
      </w:r>
      <w:proofErr w:type="spellEnd"/>
      <w:r w:rsidRPr="00E73431">
        <w:rPr>
          <w:rFonts w:asciiTheme="minorHAnsi" w:hAnsiTheme="minorHAnsi"/>
          <w:sz w:val="36"/>
          <w:szCs w:val="36"/>
        </w:rPr>
        <w:t xml:space="preserve"> fumarate </w:t>
      </w:r>
      <w:proofErr w:type="spellStart"/>
      <w:r w:rsidRPr="00E73431">
        <w:rPr>
          <w:rFonts w:asciiTheme="minorHAnsi" w:hAnsiTheme="minorHAnsi"/>
          <w:sz w:val="36"/>
          <w:szCs w:val="36"/>
        </w:rPr>
        <w:t>dihydrate</w:t>
      </w:r>
      <w:proofErr w:type="spellEnd"/>
      <w:r w:rsidRPr="00E73431">
        <w:rPr>
          <w:rFonts w:asciiTheme="minorHAnsi" w:hAnsiTheme="minorHAnsi"/>
          <w:sz w:val="36"/>
          <w:szCs w:val="36"/>
        </w:rPr>
        <w:t xml:space="preserve"> 10 micrograms per dose, 120 doses</w:t>
      </w:r>
      <w:r>
        <w:rPr>
          <w:rFonts w:asciiTheme="minorHAnsi" w:hAnsiTheme="minorHAnsi"/>
          <w:sz w:val="36"/>
          <w:szCs w:val="36"/>
        </w:rPr>
        <w:t>;</w:t>
      </w:r>
    </w:p>
    <w:p w:rsidR="00E73431" w:rsidRDefault="00E73431" w:rsidP="00E73431">
      <w:pPr>
        <w:pStyle w:val="Title"/>
        <w:spacing w:before="120" w:after="160"/>
        <w:ind w:left="720" w:hanging="11"/>
        <w:rPr>
          <w:rFonts w:asciiTheme="minorHAnsi" w:hAnsiTheme="minorHAnsi"/>
          <w:sz w:val="36"/>
          <w:szCs w:val="36"/>
        </w:rPr>
      </w:pPr>
      <w:r w:rsidRPr="00E73431">
        <w:rPr>
          <w:rFonts w:asciiTheme="minorHAnsi" w:hAnsiTheme="minorHAnsi"/>
          <w:sz w:val="36"/>
          <w:szCs w:val="36"/>
        </w:rPr>
        <w:t xml:space="preserve">Pressurised inhalation containing fluticasone propionate 125 micrograms with </w:t>
      </w:r>
      <w:proofErr w:type="spellStart"/>
      <w:r w:rsidRPr="00E73431">
        <w:rPr>
          <w:rFonts w:asciiTheme="minorHAnsi" w:hAnsiTheme="minorHAnsi"/>
          <w:sz w:val="36"/>
          <w:szCs w:val="36"/>
        </w:rPr>
        <w:t>formoterol</w:t>
      </w:r>
      <w:proofErr w:type="spellEnd"/>
      <w:r w:rsidRPr="00E73431">
        <w:rPr>
          <w:rFonts w:asciiTheme="minorHAnsi" w:hAnsiTheme="minorHAnsi"/>
          <w:sz w:val="36"/>
          <w:szCs w:val="36"/>
        </w:rPr>
        <w:t xml:space="preserve"> fumarate </w:t>
      </w:r>
      <w:proofErr w:type="spellStart"/>
      <w:r w:rsidRPr="00E73431">
        <w:rPr>
          <w:rFonts w:asciiTheme="minorHAnsi" w:hAnsiTheme="minorHAnsi"/>
          <w:sz w:val="36"/>
          <w:szCs w:val="36"/>
        </w:rPr>
        <w:t>dihydrate</w:t>
      </w:r>
      <w:proofErr w:type="spellEnd"/>
      <w:r w:rsidRPr="00E73431">
        <w:rPr>
          <w:rFonts w:asciiTheme="minorHAnsi" w:hAnsiTheme="minorHAnsi"/>
          <w:sz w:val="36"/>
          <w:szCs w:val="36"/>
        </w:rPr>
        <w:t xml:space="preserve"> 5 micrograms per dose, 120 doses</w:t>
      </w:r>
      <w:r>
        <w:rPr>
          <w:rFonts w:asciiTheme="minorHAnsi" w:hAnsiTheme="minorHAnsi"/>
          <w:sz w:val="36"/>
          <w:szCs w:val="36"/>
        </w:rPr>
        <w:t>;</w:t>
      </w:r>
    </w:p>
    <w:p w:rsidR="006D6493" w:rsidRDefault="00E73431" w:rsidP="00E73431">
      <w:pPr>
        <w:pStyle w:val="Title"/>
        <w:spacing w:before="120" w:after="160"/>
        <w:ind w:left="720" w:hanging="11"/>
        <w:rPr>
          <w:rFonts w:asciiTheme="minorHAnsi" w:hAnsiTheme="minorHAnsi"/>
          <w:sz w:val="36"/>
          <w:szCs w:val="36"/>
        </w:rPr>
      </w:pPr>
      <w:r w:rsidRPr="00E73431">
        <w:rPr>
          <w:rFonts w:asciiTheme="minorHAnsi" w:hAnsiTheme="minorHAnsi"/>
          <w:sz w:val="36"/>
          <w:szCs w:val="36"/>
        </w:rPr>
        <w:t xml:space="preserve">Pressurised inhalation containing fluticasone propionate 50 micrograms with </w:t>
      </w:r>
      <w:proofErr w:type="spellStart"/>
      <w:r w:rsidRPr="00E73431">
        <w:rPr>
          <w:rFonts w:asciiTheme="minorHAnsi" w:hAnsiTheme="minorHAnsi"/>
          <w:sz w:val="36"/>
          <w:szCs w:val="36"/>
        </w:rPr>
        <w:t>formoterol</w:t>
      </w:r>
      <w:proofErr w:type="spellEnd"/>
      <w:r w:rsidRPr="00E73431">
        <w:rPr>
          <w:rFonts w:asciiTheme="minorHAnsi" w:hAnsiTheme="minorHAnsi"/>
          <w:sz w:val="36"/>
          <w:szCs w:val="36"/>
        </w:rPr>
        <w:t xml:space="preserve"> fumarate </w:t>
      </w:r>
      <w:proofErr w:type="spellStart"/>
      <w:r w:rsidRPr="00E73431">
        <w:rPr>
          <w:rFonts w:asciiTheme="minorHAnsi" w:hAnsiTheme="minorHAnsi"/>
          <w:sz w:val="36"/>
          <w:szCs w:val="36"/>
        </w:rPr>
        <w:t>dihydrate</w:t>
      </w:r>
      <w:proofErr w:type="spellEnd"/>
      <w:r w:rsidRPr="00E73431">
        <w:rPr>
          <w:rFonts w:asciiTheme="minorHAnsi" w:hAnsiTheme="minorHAnsi"/>
          <w:sz w:val="36"/>
          <w:szCs w:val="36"/>
        </w:rPr>
        <w:t xml:space="preserve"> 5 micrograms per dose, 120 doses</w:t>
      </w:r>
      <w:r w:rsidR="006D6493" w:rsidRPr="002B5596">
        <w:rPr>
          <w:rFonts w:asciiTheme="minorHAnsi" w:hAnsiTheme="minorHAnsi"/>
          <w:sz w:val="36"/>
          <w:szCs w:val="36"/>
        </w:rPr>
        <w:br/>
      </w:r>
      <w:proofErr w:type="spellStart"/>
      <w:r>
        <w:rPr>
          <w:rFonts w:asciiTheme="minorHAnsi" w:hAnsiTheme="minorHAnsi"/>
          <w:sz w:val="36"/>
          <w:szCs w:val="36"/>
        </w:rPr>
        <w:t>Flutiform</w:t>
      </w:r>
      <w:proofErr w:type="spellEnd"/>
      <w:r w:rsidR="006D6493" w:rsidRPr="00B830DA">
        <w:rPr>
          <w:rFonts w:asciiTheme="minorHAnsi" w:hAnsiTheme="minorHAnsi"/>
          <w:sz w:val="36"/>
          <w:szCs w:val="36"/>
        </w:rPr>
        <w:t>®</w:t>
      </w:r>
      <w:r>
        <w:rPr>
          <w:rFonts w:asciiTheme="minorHAnsi" w:hAnsiTheme="minorHAnsi"/>
          <w:sz w:val="36"/>
          <w:szCs w:val="36"/>
        </w:rPr>
        <w:t xml:space="preserve">, </w:t>
      </w:r>
      <w:proofErr w:type="spellStart"/>
      <w:r>
        <w:rPr>
          <w:rFonts w:asciiTheme="minorHAnsi" w:hAnsiTheme="minorHAnsi"/>
          <w:sz w:val="36"/>
          <w:szCs w:val="36"/>
        </w:rPr>
        <w:t>Mundipharma</w:t>
      </w:r>
      <w:proofErr w:type="spellEnd"/>
      <w:r>
        <w:rPr>
          <w:rFonts w:asciiTheme="minorHAnsi" w:hAnsiTheme="minorHAnsi"/>
          <w:sz w:val="36"/>
          <w:szCs w:val="36"/>
        </w:rPr>
        <w:t xml:space="preserve"> Pty Limited</w:t>
      </w:r>
    </w:p>
    <w:p w:rsidR="00A4082B" w:rsidRPr="0008054A" w:rsidRDefault="00A4082B" w:rsidP="00F25860">
      <w:pPr>
        <w:rPr>
          <w:rFonts w:asciiTheme="minorHAnsi" w:hAnsiTheme="minorHAnsi" w:cstheme="minorHAnsi"/>
          <w:i/>
        </w:rPr>
      </w:pPr>
      <w:r w:rsidRPr="0008054A">
        <w:rPr>
          <w:rFonts w:asciiTheme="minorHAnsi" w:hAnsiTheme="minorHAnsi" w:cstheme="minorHAnsi"/>
          <w:i/>
        </w:rPr>
        <w:t xml:space="preserve">Note: The LI and schedule name of </w:t>
      </w:r>
      <w:proofErr w:type="spellStart"/>
      <w:r w:rsidRPr="0008054A">
        <w:rPr>
          <w:rFonts w:asciiTheme="minorHAnsi" w:hAnsiTheme="minorHAnsi" w:cstheme="minorHAnsi"/>
          <w:i/>
        </w:rPr>
        <w:t>eformoterol</w:t>
      </w:r>
      <w:proofErr w:type="spellEnd"/>
      <w:r w:rsidRPr="0008054A">
        <w:rPr>
          <w:rFonts w:asciiTheme="minorHAnsi" w:hAnsiTheme="minorHAnsi" w:cstheme="minorHAnsi"/>
          <w:i/>
        </w:rPr>
        <w:t xml:space="preserve"> is currently being updated to </w:t>
      </w:r>
      <w:proofErr w:type="spellStart"/>
      <w:r w:rsidRPr="0008054A">
        <w:rPr>
          <w:rFonts w:asciiTheme="minorHAnsi" w:hAnsiTheme="minorHAnsi" w:cstheme="minorHAnsi"/>
          <w:i/>
        </w:rPr>
        <w:t>formoterol</w:t>
      </w:r>
      <w:proofErr w:type="spellEnd"/>
      <w:r w:rsidRPr="0008054A">
        <w:rPr>
          <w:rFonts w:asciiTheme="minorHAnsi" w:hAnsiTheme="minorHAnsi" w:cstheme="minorHAnsi"/>
          <w:i/>
        </w:rPr>
        <w:t xml:space="preserve"> in line with international harmonisation of drug names. </w:t>
      </w:r>
    </w:p>
    <w:p w:rsidR="008A50F1" w:rsidRPr="00D4572C" w:rsidRDefault="00CE10C4" w:rsidP="00805F51">
      <w:pPr>
        <w:pStyle w:val="Heading1"/>
      </w:pPr>
      <w:r w:rsidRPr="002B5596">
        <w:t xml:space="preserve">Purpose of </w:t>
      </w:r>
      <w:r w:rsidR="0004240E" w:rsidRPr="002B5596">
        <w:t>Application</w:t>
      </w:r>
    </w:p>
    <w:p w:rsidR="00EF44A0" w:rsidRPr="00037FC7"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requested</w:t>
      </w:r>
      <w:r w:rsidR="00E73431">
        <w:rPr>
          <w:rFonts w:asciiTheme="minorHAnsi" w:eastAsiaTheme="minorHAnsi" w:hAnsiTheme="minorHAnsi" w:cstheme="minorBidi"/>
          <w:snapToGrid/>
          <w:sz w:val="24"/>
          <w:szCs w:val="22"/>
        </w:rPr>
        <w:t xml:space="preserve"> the current </w:t>
      </w:r>
      <w:r w:rsidR="001370BF">
        <w:rPr>
          <w:rFonts w:asciiTheme="minorHAnsi" w:eastAsiaTheme="minorHAnsi" w:hAnsiTheme="minorHAnsi" w:cstheme="minorBidi"/>
          <w:snapToGrid/>
          <w:sz w:val="24"/>
          <w:szCs w:val="22"/>
        </w:rPr>
        <w:t>Authority Required (STREAMLINED</w:t>
      </w:r>
      <w:r w:rsidR="00E73431">
        <w:rPr>
          <w:rFonts w:asciiTheme="minorHAnsi" w:eastAsiaTheme="minorHAnsi" w:hAnsiTheme="minorHAnsi" w:cstheme="minorBidi"/>
          <w:snapToGrid/>
          <w:sz w:val="24"/>
          <w:szCs w:val="22"/>
        </w:rPr>
        <w:t xml:space="preserve">) listing of </w:t>
      </w:r>
      <w:r w:rsidR="00037FC7">
        <w:rPr>
          <w:rFonts w:asciiTheme="minorHAnsi" w:eastAsiaTheme="minorHAnsi" w:hAnsiTheme="minorHAnsi" w:cstheme="minorBidi"/>
          <w:snapToGrid/>
          <w:sz w:val="24"/>
          <w:szCs w:val="22"/>
        </w:rPr>
        <w:t xml:space="preserve">fluticasone propionate with </w:t>
      </w:r>
      <w:proofErr w:type="spellStart"/>
      <w:r w:rsidR="00037FC7">
        <w:rPr>
          <w:rFonts w:asciiTheme="minorHAnsi" w:eastAsiaTheme="minorHAnsi" w:hAnsiTheme="minorHAnsi" w:cstheme="minorBidi"/>
          <w:snapToGrid/>
          <w:sz w:val="24"/>
          <w:szCs w:val="22"/>
        </w:rPr>
        <w:t>formoterol</w:t>
      </w:r>
      <w:proofErr w:type="spellEnd"/>
      <w:r w:rsidR="00037FC7">
        <w:rPr>
          <w:rFonts w:asciiTheme="minorHAnsi" w:eastAsiaTheme="minorHAnsi" w:hAnsiTheme="minorHAnsi" w:cstheme="minorBidi"/>
          <w:snapToGrid/>
          <w:sz w:val="24"/>
          <w:szCs w:val="22"/>
        </w:rPr>
        <w:t xml:space="preserve"> fumarate </w:t>
      </w:r>
      <w:proofErr w:type="spellStart"/>
      <w:r w:rsidR="00D860F6">
        <w:rPr>
          <w:rFonts w:asciiTheme="minorHAnsi" w:eastAsiaTheme="minorHAnsi" w:hAnsiTheme="minorHAnsi" w:cstheme="minorBidi"/>
          <w:snapToGrid/>
          <w:sz w:val="24"/>
          <w:szCs w:val="22"/>
        </w:rPr>
        <w:t>dihydrate</w:t>
      </w:r>
      <w:proofErr w:type="spellEnd"/>
      <w:r w:rsidR="00D860F6">
        <w:rPr>
          <w:rFonts w:asciiTheme="minorHAnsi" w:eastAsiaTheme="minorHAnsi" w:hAnsiTheme="minorHAnsi" w:cstheme="minorBidi"/>
          <w:snapToGrid/>
          <w:sz w:val="24"/>
          <w:szCs w:val="22"/>
        </w:rPr>
        <w:t xml:space="preserve"> </w:t>
      </w:r>
      <w:r w:rsidR="00095303">
        <w:rPr>
          <w:rFonts w:asciiTheme="minorHAnsi" w:eastAsiaTheme="minorHAnsi" w:hAnsiTheme="minorHAnsi" w:cstheme="minorBidi"/>
          <w:snapToGrid/>
          <w:sz w:val="24"/>
          <w:szCs w:val="22"/>
        </w:rPr>
        <w:t xml:space="preserve">pressurised inhalation </w:t>
      </w:r>
      <w:r w:rsidR="00037FC7">
        <w:rPr>
          <w:rFonts w:asciiTheme="minorHAnsi" w:eastAsiaTheme="minorHAnsi" w:hAnsiTheme="minorHAnsi" w:cstheme="minorBidi"/>
          <w:snapToGrid/>
          <w:sz w:val="24"/>
          <w:szCs w:val="22"/>
        </w:rPr>
        <w:t xml:space="preserve">(hereafter </w:t>
      </w:r>
      <w:r w:rsidR="00095303">
        <w:rPr>
          <w:rFonts w:asciiTheme="minorHAnsi" w:eastAsiaTheme="minorHAnsi" w:hAnsiTheme="minorHAnsi" w:cstheme="minorBidi"/>
          <w:snapToGrid/>
          <w:sz w:val="24"/>
          <w:szCs w:val="22"/>
        </w:rPr>
        <w:t>referred to as fluticasone/</w:t>
      </w:r>
      <w:proofErr w:type="spellStart"/>
      <w:r w:rsidR="00D860F6">
        <w:rPr>
          <w:rFonts w:asciiTheme="minorHAnsi" w:eastAsiaTheme="minorHAnsi" w:hAnsiTheme="minorHAnsi" w:cstheme="minorBidi"/>
          <w:snapToGrid/>
          <w:sz w:val="24"/>
          <w:szCs w:val="22"/>
        </w:rPr>
        <w:t>formoterol</w:t>
      </w:r>
      <w:proofErr w:type="spellEnd"/>
      <w:r w:rsidR="00D860F6">
        <w:rPr>
          <w:rFonts w:asciiTheme="minorHAnsi" w:eastAsiaTheme="minorHAnsi" w:hAnsiTheme="minorHAnsi" w:cstheme="minorBidi"/>
          <w:snapToGrid/>
          <w:sz w:val="24"/>
          <w:szCs w:val="22"/>
        </w:rPr>
        <w:t>) be amended to a Restricted B</w:t>
      </w:r>
      <w:r w:rsidR="00037FC7">
        <w:rPr>
          <w:rFonts w:asciiTheme="minorHAnsi" w:eastAsiaTheme="minorHAnsi" w:hAnsiTheme="minorHAnsi" w:cstheme="minorBidi"/>
          <w:snapToGrid/>
          <w:sz w:val="24"/>
          <w:szCs w:val="22"/>
        </w:rPr>
        <w:t>enefit.</w:t>
      </w:r>
    </w:p>
    <w:p w:rsidR="006A12A5" w:rsidRPr="00577C4D" w:rsidRDefault="006A12A5" w:rsidP="00805F51">
      <w:pPr>
        <w:pStyle w:val="Heading1"/>
      </w:pPr>
      <w:r w:rsidRPr="002B5596">
        <w:t>Requested listing</w:t>
      </w:r>
    </w:p>
    <w:p w:rsidR="00BB7EC3" w:rsidRDefault="00EF44A0" w:rsidP="00AA30D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w:t>
      </w:r>
      <w:r w:rsidR="00037FC7">
        <w:rPr>
          <w:rFonts w:asciiTheme="minorHAnsi" w:eastAsiaTheme="minorHAnsi" w:hAnsiTheme="minorHAnsi" w:cstheme="minorBidi"/>
          <w:snapToGrid/>
          <w:sz w:val="24"/>
          <w:szCs w:val="22"/>
        </w:rPr>
        <w:t xml:space="preserve">minor submission requested a change of restriction level for the existing asthma indication only. No other changes to existing listings were requested. </w:t>
      </w:r>
    </w:p>
    <w:p w:rsidR="004307B9" w:rsidRPr="004307B9" w:rsidRDefault="004307B9" w:rsidP="004307B9">
      <w:pPr>
        <w:pStyle w:val="PBACHeading1"/>
        <w:ind w:firstLine="0"/>
        <w:rPr>
          <w:rFonts w:asciiTheme="minorHAnsi" w:hAnsiTheme="minorHAnsi" w:cstheme="minorHAnsi"/>
          <w:b w:val="0"/>
          <w:i/>
          <w:sz w:val="24"/>
          <w:szCs w:val="24"/>
        </w:rPr>
      </w:pPr>
      <w:r w:rsidRPr="00A51C57">
        <w:rPr>
          <w:rFonts w:asciiTheme="minorHAnsi" w:hAnsiTheme="minorHAnsi" w:cstheme="minorHAnsi"/>
          <w:b w:val="0"/>
          <w:i/>
          <w:sz w:val="24"/>
          <w:szCs w:val="24"/>
        </w:rPr>
        <w:t xml:space="preserve">For more detail on PBAC’s view, see section </w:t>
      </w:r>
      <w:r w:rsidR="008524FF">
        <w:rPr>
          <w:rFonts w:asciiTheme="minorHAnsi" w:hAnsiTheme="minorHAnsi" w:cstheme="minorHAnsi"/>
          <w:b w:val="0"/>
          <w:i/>
          <w:sz w:val="24"/>
          <w:szCs w:val="24"/>
        </w:rPr>
        <w:t>5</w:t>
      </w:r>
      <w:r w:rsidRPr="00A51C57">
        <w:rPr>
          <w:rFonts w:asciiTheme="minorHAnsi" w:hAnsiTheme="minorHAnsi" w:cstheme="minorHAnsi"/>
          <w:b w:val="0"/>
          <w:i/>
          <w:sz w:val="24"/>
          <w:szCs w:val="24"/>
        </w:rPr>
        <w:t xml:space="preserve"> PBAC outcome.</w:t>
      </w:r>
    </w:p>
    <w:p w:rsidR="00C603D4" w:rsidRPr="00FD6D8E" w:rsidRDefault="00CE10C4" w:rsidP="00805F51">
      <w:pPr>
        <w:pStyle w:val="Heading1"/>
      </w:pPr>
      <w:r w:rsidRPr="002B5596">
        <w:t>Background</w:t>
      </w:r>
    </w:p>
    <w:p w:rsidR="00095303" w:rsidRDefault="00095303" w:rsidP="0009530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Fluticasone/</w:t>
      </w:r>
      <w:proofErr w:type="spellStart"/>
      <w:r>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was </w:t>
      </w:r>
      <w:r w:rsidR="00476245" w:rsidRPr="001B2BBC">
        <w:rPr>
          <w:rFonts w:asciiTheme="minorHAnsi" w:eastAsiaTheme="minorHAnsi" w:hAnsiTheme="minorHAnsi" w:cstheme="minorBidi"/>
          <w:snapToGrid/>
          <w:sz w:val="24"/>
          <w:szCs w:val="22"/>
        </w:rPr>
        <w:t xml:space="preserve">TGA registered </w:t>
      </w:r>
      <w:r>
        <w:rPr>
          <w:rFonts w:asciiTheme="minorHAnsi" w:eastAsiaTheme="minorHAnsi" w:hAnsiTheme="minorHAnsi" w:cstheme="minorBidi"/>
          <w:snapToGrid/>
          <w:sz w:val="24"/>
          <w:szCs w:val="22"/>
        </w:rPr>
        <w:t xml:space="preserve">on 14 June 2013 for </w:t>
      </w:r>
      <w:r w:rsidRPr="00095303">
        <w:rPr>
          <w:rFonts w:asciiTheme="minorHAnsi" w:eastAsiaTheme="minorHAnsi" w:hAnsiTheme="minorHAnsi" w:cstheme="minorBidi"/>
          <w:snapToGrid/>
          <w:sz w:val="24"/>
          <w:szCs w:val="22"/>
        </w:rPr>
        <w:t xml:space="preserve">the regular maintenance treatment of asthma where the use of a combination product (an inhaled corticosteroid </w:t>
      </w:r>
      <w:r w:rsidR="005B1DE9">
        <w:rPr>
          <w:rFonts w:asciiTheme="minorHAnsi" w:eastAsiaTheme="minorHAnsi" w:hAnsiTheme="minorHAnsi" w:cstheme="minorBidi"/>
          <w:snapToGrid/>
          <w:sz w:val="24"/>
          <w:szCs w:val="22"/>
        </w:rPr>
        <w:t xml:space="preserve">(ICS) </w:t>
      </w:r>
      <w:r w:rsidRPr="00095303">
        <w:rPr>
          <w:rFonts w:asciiTheme="minorHAnsi" w:eastAsiaTheme="minorHAnsi" w:hAnsiTheme="minorHAnsi" w:cstheme="minorBidi"/>
          <w:snapToGrid/>
          <w:sz w:val="24"/>
          <w:szCs w:val="22"/>
        </w:rPr>
        <w:t>and a long-acting β2-agonist</w:t>
      </w:r>
      <w:r w:rsidR="005B1DE9">
        <w:rPr>
          <w:rFonts w:asciiTheme="minorHAnsi" w:eastAsiaTheme="minorHAnsi" w:hAnsiTheme="minorHAnsi" w:cstheme="minorBidi"/>
          <w:snapToGrid/>
          <w:sz w:val="24"/>
          <w:szCs w:val="22"/>
        </w:rPr>
        <w:t xml:space="preserve"> (LABA)</w:t>
      </w:r>
      <w:r w:rsidRPr="00095303">
        <w:rPr>
          <w:rFonts w:asciiTheme="minorHAnsi" w:eastAsiaTheme="minorHAnsi" w:hAnsiTheme="minorHAnsi" w:cstheme="minorBidi"/>
          <w:snapToGrid/>
          <w:sz w:val="24"/>
          <w:szCs w:val="22"/>
        </w:rPr>
        <w:t xml:space="preserve">) is appropriate. This includes patients not adequately controlled with </w:t>
      </w:r>
      <w:r w:rsidR="007C47F4">
        <w:rPr>
          <w:rFonts w:asciiTheme="minorHAnsi" w:eastAsiaTheme="minorHAnsi" w:hAnsiTheme="minorHAnsi" w:cstheme="minorBidi"/>
          <w:snapToGrid/>
          <w:sz w:val="24"/>
          <w:szCs w:val="22"/>
        </w:rPr>
        <w:t xml:space="preserve">maintenance </w:t>
      </w:r>
      <w:r w:rsidR="005B1DE9">
        <w:rPr>
          <w:rFonts w:asciiTheme="minorHAnsi" w:eastAsiaTheme="minorHAnsi" w:hAnsiTheme="minorHAnsi" w:cstheme="minorBidi"/>
          <w:snapToGrid/>
          <w:sz w:val="24"/>
          <w:szCs w:val="22"/>
        </w:rPr>
        <w:t>ICS</w:t>
      </w:r>
      <w:r w:rsidRPr="00095303">
        <w:rPr>
          <w:rFonts w:asciiTheme="minorHAnsi" w:eastAsiaTheme="minorHAnsi" w:hAnsiTheme="minorHAnsi" w:cstheme="minorBidi"/>
          <w:snapToGrid/>
          <w:sz w:val="24"/>
          <w:szCs w:val="22"/>
        </w:rPr>
        <w:t xml:space="preserve"> and inhaled short-acting β2-agonist </w:t>
      </w:r>
      <w:r w:rsidR="007C47F4">
        <w:rPr>
          <w:rFonts w:asciiTheme="minorHAnsi" w:eastAsiaTheme="minorHAnsi" w:hAnsiTheme="minorHAnsi" w:cstheme="minorBidi"/>
          <w:snapToGrid/>
          <w:sz w:val="24"/>
          <w:szCs w:val="22"/>
        </w:rPr>
        <w:t xml:space="preserve">used </w:t>
      </w:r>
      <w:r w:rsidRPr="00095303">
        <w:rPr>
          <w:rFonts w:asciiTheme="minorHAnsi" w:eastAsiaTheme="minorHAnsi" w:hAnsiTheme="minorHAnsi" w:cstheme="minorBidi"/>
          <w:snapToGrid/>
          <w:sz w:val="24"/>
          <w:szCs w:val="22"/>
        </w:rPr>
        <w:t>on an ‘as required’ basis.</w:t>
      </w:r>
      <w:r>
        <w:rPr>
          <w:rFonts w:asciiTheme="minorHAnsi" w:eastAsiaTheme="minorHAnsi" w:hAnsiTheme="minorHAnsi" w:cstheme="minorBidi"/>
          <w:snapToGrid/>
          <w:sz w:val="24"/>
          <w:szCs w:val="22"/>
        </w:rPr>
        <w:t xml:space="preserve"> F</w:t>
      </w:r>
      <w:r w:rsidR="0006708C">
        <w:rPr>
          <w:rFonts w:asciiTheme="minorHAnsi" w:eastAsiaTheme="minorHAnsi" w:hAnsiTheme="minorHAnsi" w:cstheme="minorBidi"/>
          <w:snapToGrid/>
          <w:sz w:val="24"/>
          <w:szCs w:val="22"/>
        </w:rPr>
        <w:t>luticasone/</w:t>
      </w:r>
      <w:proofErr w:type="spellStart"/>
      <w:r w:rsidR="0006708C">
        <w:rPr>
          <w:rFonts w:asciiTheme="minorHAnsi" w:eastAsiaTheme="minorHAnsi" w:hAnsiTheme="minorHAnsi" w:cstheme="minorBidi"/>
          <w:snapToGrid/>
          <w:sz w:val="24"/>
          <w:szCs w:val="22"/>
        </w:rPr>
        <w:t>formoterol</w:t>
      </w:r>
      <w:proofErr w:type="spellEnd"/>
      <w:r w:rsidR="0006708C">
        <w:rPr>
          <w:rFonts w:asciiTheme="minorHAnsi" w:eastAsiaTheme="minorHAnsi" w:hAnsiTheme="minorHAnsi" w:cstheme="minorBidi"/>
          <w:snapToGrid/>
          <w:sz w:val="24"/>
          <w:szCs w:val="22"/>
        </w:rPr>
        <w:t xml:space="preserve"> does not have a TGA approved indication for use in Chronic Obstructive Pulmonary Disease (COPD). </w:t>
      </w:r>
    </w:p>
    <w:p w:rsidR="00EA100A" w:rsidRDefault="00170223" w:rsidP="00EA100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July 2013, the PBAC recommended the listing of fluticasone/</w:t>
      </w:r>
      <w:proofErr w:type="spellStart"/>
      <w:r>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for maintenance treatment of asthma on a cost-minimisation basis with fluticasone with </w:t>
      </w:r>
      <w:proofErr w:type="spellStart"/>
      <w:r>
        <w:rPr>
          <w:rFonts w:asciiTheme="minorHAnsi" w:eastAsiaTheme="minorHAnsi" w:hAnsiTheme="minorHAnsi" w:cstheme="minorBidi"/>
          <w:snapToGrid/>
          <w:sz w:val="24"/>
          <w:szCs w:val="22"/>
        </w:rPr>
        <w:lastRenderedPageBreak/>
        <w:t>salmeterol</w:t>
      </w:r>
      <w:proofErr w:type="spellEnd"/>
      <w:r>
        <w:rPr>
          <w:rFonts w:asciiTheme="minorHAnsi" w:eastAsiaTheme="minorHAnsi" w:hAnsiTheme="minorHAnsi" w:cstheme="minorBidi"/>
          <w:snapToGrid/>
          <w:sz w:val="24"/>
          <w:szCs w:val="22"/>
        </w:rPr>
        <w:t xml:space="preserve"> pressurised me</w:t>
      </w:r>
      <w:r w:rsidR="00535542">
        <w:rPr>
          <w:rFonts w:asciiTheme="minorHAnsi" w:eastAsiaTheme="minorHAnsi" w:hAnsiTheme="minorHAnsi" w:cstheme="minorBidi"/>
          <w:snapToGrid/>
          <w:sz w:val="24"/>
          <w:szCs w:val="22"/>
        </w:rPr>
        <w:t>tered dose inhalers (Section 12,</w:t>
      </w:r>
      <w:r>
        <w:rPr>
          <w:rFonts w:asciiTheme="minorHAnsi" w:eastAsiaTheme="minorHAnsi" w:hAnsiTheme="minorHAnsi" w:cstheme="minorBidi"/>
          <w:snapToGrid/>
          <w:sz w:val="24"/>
          <w:szCs w:val="22"/>
        </w:rPr>
        <w:t xml:space="preserve"> fluticasone/</w:t>
      </w:r>
      <w:proofErr w:type="spellStart"/>
      <w:r>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Public Summary document (PSD), July 2013). </w:t>
      </w:r>
      <w:r w:rsidR="00AD572D">
        <w:rPr>
          <w:rFonts w:asciiTheme="minorHAnsi" w:eastAsiaTheme="minorHAnsi" w:hAnsiTheme="minorHAnsi" w:cstheme="minorBidi"/>
          <w:snapToGrid/>
          <w:sz w:val="24"/>
          <w:szCs w:val="22"/>
        </w:rPr>
        <w:t>The PBAC noted that TGA approval for fluticasone/</w:t>
      </w:r>
      <w:proofErr w:type="spellStart"/>
      <w:r w:rsidR="00AD572D">
        <w:rPr>
          <w:rFonts w:asciiTheme="minorHAnsi" w:eastAsiaTheme="minorHAnsi" w:hAnsiTheme="minorHAnsi" w:cstheme="minorBidi"/>
          <w:snapToGrid/>
          <w:sz w:val="24"/>
          <w:szCs w:val="22"/>
        </w:rPr>
        <w:t>formoterol</w:t>
      </w:r>
      <w:proofErr w:type="spellEnd"/>
      <w:r w:rsidR="00AD572D">
        <w:rPr>
          <w:rFonts w:asciiTheme="minorHAnsi" w:eastAsiaTheme="minorHAnsi" w:hAnsiTheme="minorHAnsi" w:cstheme="minorBidi"/>
          <w:snapToGrid/>
          <w:sz w:val="24"/>
          <w:szCs w:val="22"/>
        </w:rPr>
        <w:t xml:space="preserve"> is restricted to patients aged 12 years and over</w:t>
      </w:r>
      <w:r w:rsidR="0072157A">
        <w:rPr>
          <w:rFonts w:asciiTheme="minorHAnsi" w:eastAsiaTheme="minorHAnsi" w:hAnsiTheme="minorHAnsi" w:cstheme="minorBidi"/>
          <w:snapToGrid/>
          <w:sz w:val="24"/>
          <w:szCs w:val="22"/>
        </w:rPr>
        <w:t xml:space="preserve"> (Section 7</w:t>
      </w:r>
      <w:r w:rsidR="00535542">
        <w:rPr>
          <w:rFonts w:asciiTheme="minorHAnsi" w:eastAsiaTheme="minorHAnsi" w:hAnsiTheme="minorHAnsi" w:cstheme="minorBidi"/>
          <w:snapToGrid/>
          <w:sz w:val="24"/>
          <w:szCs w:val="22"/>
        </w:rPr>
        <w:t>,</w:t>
      </w:r>
      <w:r w:rsidR="007B3FA5">
        <w:rPr>
          <w:rFonts w:asciiTheme="minorHAnsi" w:eastAsiaTheme="minorHAnsi" w:hAnsiTheme="minorHAnsi" w:cstheme="minorBidi"/>
          <w:snapToGrid/>
          <w:sz w:val="24"/>
          <w:szCs w:val="22"/>
        </w:rPr>
        <w:t xml:space="preserve"> fluticasone/</w:t>
      </w:r>
      <w:proofErr w:type="spellStart"/>
      <w:r w:rsidR="007B3FA5">
        <w:rPr>
          <w:rFonts w:asciiTheme="minorHAnsi" w:eastAsiaTheme="minorHAnsi" w:hAnsiTheme="minorHAnsi" w:cstheme="minorBidi"/>
          <w:snapToGrid/>
          <w:sz w:val="24"/>
          <w:szCs w:val="22"/>
        </w:rPr>
        <w:t>formoterol</w:t>
      </w:r>
      <w:proofErr w:type="spellEnd"/>
      <w:r w:rsidR="007B3FA5">
        <w:rPr>
          <w:rFonts w:asciiTheme="minorHAnsi" w:eastAsiaTheme="minorHAnsi" w:hAnsiTheme="minorHAnsi" w:cstheme="minorBidi"/>
          <w:snapToGrid/>
          <w:sz w:val="24"/>
          <w:szCs w:val="22"/>
        </w:rPr>
        <w:t xml:space="preserve"> PSD, July 2013).</w:t>
      </w:r>
      <w:r w:rsidR="00AD572D">
        <w:rPr>
          <w:rFonts w:asciiTheme="minorHAnsi" w:eastAsiaTheme="minorHAnsi" w:hAnsiTheme="minorHAnsi" w:cstheme="minorBidi"/>
          <w:snapToGrid/>
          <w:sz w:val="24"/>
          <w:szCs w:val="22"/>
        </w:rPr>
        <w:t xml:space="preserve"> </w:t>
      </w:r>
      <w:r w:rsidR="00A642B4">
        <w:rPr>
          <w:rFonts w:asciiTheme="minorHAnsi" w:eastAsiaTheme="minorHAnsi" w:hAnsiTheme="minorHAnsi" w:cstheme="minorBidi"/>
          <w:snapToGrid/>
          <w:sz w:val="24"/>
          <w:szCs w:val="22"/>
        </w:rPr>
        <w:t>Fluticasone/</w:t>
      </w:r>
      <w:proofErr w:type="spellStart"/>
      <w:r w:rsidR="00A642B4">
        <w:rPr>
          <w:rFonts w:asciiTheme="minorHAnsi" w:eastAsiaTheme="minorHAnsi" w:hAnsiTheme="minorHAnsi" w:cstheme="minorBidi"/>
          <w:snapToGrid/>
          <w:sz w:val="24"/>
          <w:szCs w:val="22"/>
        </w:rPr>
        <w:t>formoterol</w:t>
      </w:r>
      <w:proofErr w:type="spellEnd"/>
      <w:r w:rsidR="00A642B4">
        <w:rPr>
          <w:rFonts w:asciiTheme="minorHAnsi" w:eastAsiaTheme="minorHAnsi" w:hAnsiTheme="minorHAnsi" w:cstheme="minorBidi"/>
          <w:snapToGrid/>
          <w:sz w:val="24"/>
          <w:szCs w:val="22"/>
        </w:rPr>
        <w:t xml:space="preserve"> was listed </w:t>
      </w:r>
      <w:r w:rsidR="00EA100A">
        <w:rPr>
          <w:rFonts w:asciiTheme="minorHAnsi" w:eastAsiaTheme="minorHAnsi" w:hAnsiTheme="minorHAnsi" w:cstheme="minorBidi"/>
          <w:snapToGrid/>
          <w:sz w:val="24"/>
          <w:szCs w:val="22"/>
        </w:rPr>
        <w:t xml:space="preserve">as a </w:t>
      </w:r>
      <w:proofErr w:type="gramStart"/>
      <w:r w:rsidR="00EA100A">
        <w:rPr>
          <w:rFonts w:asciiTheme="minorHAnsi" w:eastAsiaTheme="minorHAnsi" w:hAnsiTheme="minorHAnsi" w:cstheme="minorBidi"/>
          <w:snapToGrid/>
          <w:sz w:val="24"/>
          <w:szCs w:val="22"/>
        </w:rPr>
        <w:t>Restricted</w:t>
      </w:r>
      <w:proofErr w:type="gramEnd"/>
      <w:r w:rsidR="00EA100A">
        <w:rPr>
          <w:rFonts w:asciiTheme="minorHAnsi" w:eastAsiaTheme="minorHAnsi" w:hAnsiTheme="minorHAnsi" w:cstheme="minorBidi"/>
          <w:snapToGrid/>
          <w:sz w:val="24"/>
          <w:szCs w:val="22"/>
        </w:rPr>
        <w:t xml:space="preserve"> benefit </w:t>
      </w:r>
      <w:r w:rsidR="00A642B4">
        <w:rPr>
          <w:rFonts w:asciiTheme="minorHAnsi" w:eastAsiaTheme="minorHAnsi" w:hAnsiTheme="minorHAnsi" w:cstheme="minorBidi"/>
          <w:snapToGrid/>
          <w:sz w:val="24"/>
          <w:szCs w:val="22"/>
        </w:rPr>
        <w:t xml:space="preserve">on the PBS for this indication in December 2013. </w:t>
      </w:r>
      <w:r w:rsidR="007B3FA5">
        <w:rPr>
          <w:rFonts w:asciiTheme="minorHAnsi" w:eastAsiaTheme="minorHAnsi" w:hAnsiTheme="minorHAnsi" w:cstheme="minorBidi"/>
          <w:snapToGrid/>
          <w:sz w:val="24"/>
          <w:szCs w:val="22"/>
        </w:rPr>
        <w:t xml:space="preserve">The population criteria of the PBS restriction states that patients must be aged 12 years or over. </w:t>
      </w:r>
    </w:p>
    <w:p w:rsidR="00AA30D6" w:rsidRDefault="00AA30D6" w:rsidP="00AA30D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An increase in the restriction level from Restricted Benefit to Authority Required (STREAMLINED) for all ICS/LABA </w:t>
      </w:r>
      <w:r w:rsidR="00D860F6">
        <w:rPr>
          <w:rFonts w:asciiTheme="minorHAnsi" w:eastAsiaTheme="minorHAnsi" w:hAnsiTheme="minorHAnsi" w:cstheme="minorBidi"/>
          <w:snapToGrid/>
          <w:sz w:val="24"/>
          <w:szCs w:val="22"/>
        </w:rPr>
        <w:t>fixed dose combinations (FDC)</w:t>
      </w:r>
      <w:r>
        <w:rPr>
          <w:rFonts w:asciiTheme="minorHAnsi" w:eastAsiaTheme="minorHAnsi" w:hAnsiTheme="minorHAnsi" w:cstheme="minorBidi"/>
          <w:snapToGrid/>
          <w:sz w:val="24"/>
          <w:szCs w:val="22"/>
        </w:rPr>
        <w:t xml:space="preserve"> on the PBS came into effect on 1 August 2018. This change, among others, resulted from two Reviews which were considered by the PBAC:</w:t>
      </w:r>
    </w:p>
    <w:p w:rsidR="00AA30D6" w:rsidRPr="00AA30D6" w:rsidRDefault="00AA30D6" w:rsidP="00AA30D6">
      <w:pPr>
        <w:pStyle w:val="IntenseQuote"/>
        <w:numPr>
          <w:ilvl w:val="1"/>
          <w:numId w:val="16"/>
        </w:numPr>
        <w:ind w:left="993" w:hanging="284"/>
        <w:rPr>
          <w:i/>
        </w:rPr>
      </w:pPr>
      <w:r w:rsidRPr="00AA30D6">
        <w:rPr>
          <w:i/>
        </w:rPr>
        <w:t xml:space="preserve">Post-Market Review of PBS Medicines Used to Treat Asthma in Children </w:t>
      </w:r>
      <w:r w:rsidRPr="00AA30D6">
        <w:t xml:space="preserve">(hereafter referred to as </w:t>
      </w:r>
      <w:r>
        <w:t xml:space="preserve">the </w:t>
      </w:r>
      <w:r w:rsidRPr="00AA30D6">
        <w:t>Asthma in Children Review)</w:t>
      </w:r>
    </w:p>
    <w:p w:rsidR="00AA30D6" w:rsidRPr="00AA30D6" w:rsidRDefault="00AA30D6" w:rsidP="00AA30D6">
      <w:pPr>
        <w:pStyle w:val="IntenseQuote"/>
        <w:numPr>
          <w:ilvl w:val="1"/>
          <w:numId w:val="16"/>
        </w:numPr>
        <w:ind w:left="993" w:hanging="284"/>
        <w:rPr>
          <w:i/>
        </w:rPr>
      </w:pPr>
      <w:r w:rsidRPr="00AA30D6">
        <w:rPr>
          <w:i/>
        </w:rPr>
        <w:t xml:space="preserve">Post-Market Review of COPD medicines </w:t>
      </w:r>
      <w:r w:rsidRPr="00AA30D6">
        <w:t>(hereafter referred to as the COPD Review)</w:t>
      </w:r>
      <w:r w:rsidR="00D860F6">
        <w:t>.</w:t>
      </w:r>
    </w:p>
    <w:p w:rsidR="00A67CEB" w:rsidRPr="00A67CEB" w:rsidRDefault="00A67CEB" w:rsidP="00A67CE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At its August 2017 meeting, t</w:t>
      </w:r>
      <w:r w:rsidRPr="00A67CEB">
        <w:rPr>
          <w:rFonts w:asciiTheme="minorHAnsi" w:eastAsiaTheme="minorHAnsi" w:hAnsiTheme="minorHAnsi" w:cstheme="minorBidi"/>
          <w:snapToGrid/>
          <w:sz w:val="24"/>
          <w:szCs w:val="22"/>
        </w:rPr>
        <w:t xml:space="preserve">he PBAC noted that the ICS/LABA PBS item codes for COPD have dual indications for asthma. </w:t>
      </w:r>
      <w:r w:rsidR="007C47F4">
        <w:rPr>
          <w:rFonts w:asciiTheme="minorHAnsi" w:eastAsiaTheme="minorHAnsi" w:hAnsiTheme="minorHAnsi" w:cstheme="minorBidi"/>
          <w:snapToGrid/>
          <w:sz w:val="24"/>
          <w:szCs w:val="22"/>
        </w:rPr>
        <w:t xml:space="preserve">The PBAC also noted that ICS/LABA FDCs were available as Restricted Benefit in COPD </w:t>
      </w:r>
      <w:r w:rsidR="006A569F">
        <w:rPr>
          <w:rFonts w:asciiTheme="minorHAnsi" w:eastAsiaTheme="minorHAnsi" w:hAnsiTheme="minorHAnsi" w:cstheme="minorBidi"/>
          <w:snapToGrid/>
          <w:sz w:val="24"/>
          <w:szCs w:val="22"/>
        </w:rPr>
        <w:t xml:space="preserve">despite guideline recommendations that ICS should only be used after LAMA and LABA therapy in COPD and only where there is evidence of repeated exacerbations and where FEV1 is &lt;50% predicted.  </w:t>
      </w:r>
      <w:r w:rsidRPr="00A67CEB">
        <w:rPr>
          <w:rFonts w:asciiTheme="minorHAnsi" w:eastAsiaTheme="minorHAnsi" w:hAnsiTheme="minorHAnsi" w:cstheme="minorBidi"/>
          <w:snapToGrid/>
          <w:sz w:val="24"/>
          <w:szCs w:val="22"/>
        </w:rPr>
        <w:t>The PBAC discussed separating the item codes for COPD and asthma and only increasing the restriction level on the COPD item codes. However, the creation of separate PBS listings for COPD with a higher restriction level (STREAMLINED) was considered unlikely to be effective in modifying prescribing habits to use ICS/LABAs</w:t>
      </w:r>
      <w:r w:rsidR="007C47F4">
        <w:rPr>
          <w:rFonts w:asciiTheme="minorHAnsi" w:eastAsiaTheme="minorHAnsi" w:hAnsiTheme="minorHAnsi" w:cstheme="minorBidi"/>
          <w:snapToGrid/>
          <w:sz w:val="24"/>
          <w:szCs w:val="22"/>
        </w:rPr>
        <w:t xml:space="preserve"> to be</w:t>
      </w:r>
      <w:r w:rsidRPr="00A67CEB">
        <w:rPr>
          <w:rFonts w:asciiTheme="minorHAnsi" w:eastAsiaTheme="minorHAnsi" w:hAnsiTheme="minorHAnsi" w:cstheme="minorBidi"/>
          <w:snapToGrid/>
          <w:sz w:val="24"/>
          <w:szCs w:val="22"/>
        </w:rPr>
        <w:t xml:space="preserve"> in line with the guideline recommendations for COPD. The PBAC therefore supported increasing the restriction for high dose ICS/LABA item codes on the PBS that have dual listings for COPD and asthma. The PBAC considered that an Authority Required (STREAMLINED) listing for high dose ICS/LABAs in asthma would not be a burden on prescribers and would act as a reminder that ICS/LABAs should be used second line to other monotherapy preventers in patients initiating asthma treatment. This change was not considered to be a significant burden on prescribers by the Reference Group and the PBAC.  </w:t>
      </w:r>
    </w:p>
    <w:p w:rsidR="009320E7" w:rsidRDefault="00A67CEB" w:rsidP="009320E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67CEB">
        <w:rPr>
          <w:rFonts w:asciiTheme="minorHAnsi" w:eastAsiaTheme="minorHAnsi" w:hAnsiTheme="minorHAnsi" w:cstheme="minorBidi"/>
          <w:snapToGrid/>
          <w:sz w:val="24"/>
          <w:szCs w:val="22"/>
        </w:rPr>
        <w:t xml:space="preserve">In March 2018, the PBAC came to a similar conclusion regarding the Evaluation Report of the 2014 </w:t>
      </w:r>
      <w:r>
        <w:rPr>
          <w:rFonts w:asciiTheme="minorHAnsi" w:eastAsiaTheme="minorHAnsi" w:hAnsiTheme="minorHAnsi" w:cstheme="minorBidi"/>
          <w:snapToGrid/>
          <w:sz w:val="24"/>
          <w:szCs w:val="22"/>
        </w:rPr>
        <w:t>Asthma in C</w:t>
      </w:r>
      <w:r w:rsidRPr="00A67CEB">
        <w:rPr>
          <w:rFonts w:asciiTheme="minorHAnsi" w:eastAsiaTheme="minorHAnsi" w:hAnsiTheme="minorHAnsi" w:cstheme="minorBidi"/>
          <w:snapToGrid/>
          <w:sz w:val="24"/>
          <w:szCs w:val="22"/>
        </w:rPr>
        <w:t>hildren</w:t>
      </w:r>
      <w:r>
        <w:rPr>
          <w:rFonts w:asciiTheme="minorHAnsi" w:eastAsiaTheme="minorHAnsi" w:hAnsiTheme="minorHAnsi" w:cstheme="minorBidi"/>
          <w:snapToGrid/>
          <w:sz w:val="24"/>
          <w:szCs w:val="22"/>
        </w:rPr>
        <w:t xml:space="preserve"> Review</w:t>
      </w:r>
      <w:r w:rsidRPr="00A67CEB">
        <w:rPr>
          <w:rFonts w:asciiTheme="minorHAnsi" w:eastAsiaTheme="minorHAnsi" w:hAnsiTheme="minorHAnsi" w:cstheme="minorBidi"/>
          <w:snapToGrid/>
          <w:sz w:val="24"/>
          <w:szCs w:val="22"/>
        </w:rPr>
        <w:t xml:space="preserve">. The PBAC noted that the percentage of children initiating asthma treatment with an ICS/LABA FDC remained unacceptably high, and that this prescribing and use was not consistent with clinical guidelines. </w:t>
      </w:r>
      <w:r w:rsidRPr="00AA30D6">
        <w:rPr>
          <w:rFonts w:asciiTheme="minorHAnsi" w:eastAsiaTheme="minorHAnsi" w:hAnsiTheme="minorHAnsi" w:cstheme="minorBidi"/>
          <w:snapToGrid/>
          <w:sz w:val="24"/>
          <w:szCs w:val="22"/>
        </w:rPr>
        <w:t>The PBAC recommended the increase in restriction level to Authority Required (STREAMLINED) for all ICS/LABA FDC inhalers</w:t>
      </w:r>
      <w:r w:rsidR="00AA30D6">
        <w:rPr>
          <w:rFonts w:asciiTheme="minorHAnsi" w:eastAsiaTheme="minorHAnsi" w:hAnsiTheme="minorHAnsi" w:cstheme="minorBidi"/>
          <w:snapToGrid/>
          <w:sz w:val="24"/>
          <w:szCs w:val="22"/>
        </w:rPr>
        <w:t xml:space="preserve"> </w:t>
      </w:r>
      <w:r w:rsidR="00392D2C">
        <w:rPr>
          <w:rFonts w:asciiTheme="minorHAnsi" w:eastAsiaTheme="minorHAnsi" w:hAnsiTheme="minorHAnsi" w:cstheme="minorBidi"/>
          <w:snapToGrid/>
          <w:sz w:val="24"/>
          <w:szCs w:val="22"/>
        </w:rPr>
        <w:t xml:space="preserve">to encourage prescribers to consider first line treatment with ICS alone </w:t>
      </w:r>
      <w:r w:rsidR="00AA30D6">
        <w:rPr>
          <w:rFonts w:asciiTheme="minorHAnsi" w:eastAsiaTheme="minorHAnsi" w:hAnsiTheme="minorHAnsi" w:cstheme="minorBidi"/>
          <w:snapToGrid/>
          <w:sz w:val="24"/>
          <w:szCs w:val="22"/>
        </w:rPr>
        <w:t>(March 2018 PBAC Outcomes – Other Matters</w:t>
      </w:r>
      <w:r w:rsidR="0006237A">
        <w:rPr>
          <w:rFonts w:asciiTheme="minorHAnsi" w:eastAsiaTheme="minorHAnsi" w:hAnsiTheme="minorHAnsi" w:cstheme="minorBidi"/>
          <w:snapToGrid/>
          <w:sz w:val="24"/>
          <w:szCs w:val="22"/>
        </w:rPr>
        <w:t xml:space="preserve"> </w:t>
      </w:r>
      <w:r w:rsidR="00AA30D6">
        <w:rPr>
          <w:rFonts w:asciiTheme="minorHAnsi" w:eastAsiaTheme="minorHAnsi" w:hAnsiTheme="minorHAnsi" w:cstheme="minorBidi"/>
          <w:snapToGrid/>
          <w:sz w:val="24"/>
          <w:szCs w:val="22"/>
        </w:rPr>
        <w:t>PSD, March 2018)</w:t>
      </w:r>
      <w:r w:rsidRPr="00AA30D6">
        <w:rPr>
          <w:rFonts w:asciiTheme="minorHAnsi" w:eastAsiaTheme="minorHAnsi" w:hAnsiTheme="minorHAnsi" w:cstheme="minorBidi"/>
          <w:snapToGrid/>
          <w:sz w:val="24"/>
          <w:szCs w:val="22"/>
        </w:rPr>
        <w:t>.</w:t>
      </w:r>
      <w:r w:rsidR="00AA30D6" w:rsidRPr="00AA30D6">
        <w:rPr>
          <w:rFonts w:asciiTheme="minorHAnsi" w:eastAsiaTheme="minorHAnsi" w:hAnsiTheme="minorHAnsi" w:cstheme="minorBidi"/>
          <w:snapToGrid/>
          <w:sz w:val="24"/>
          <w:szCs w:val="22"/>
        </w:rPr>
        <w:t xml:space="preserve"> </w:t>
      </w:r>
    </w:p>
    <w:p w:rsidR="004307B9" w:rsidRPr="004307B9" w:rsidRDefault="004307B9" w:rsidP="004307B9">
      <w:pPr>
        <w:pStyle w:val="PBACHeading1"/>
        <w:ind w:firstLine="0"/>
      </w:pPr>
      <w:r w:rsidRPr="00A51C57">
        <w:rPr>
          <w:rFonts w:asciiTheme="minorHAnsi" w:hAnsiTheme="minorHAnsi" w:cstheme="minorHAnsi"/>
          <w:b w:val="0"/>
          <w:i/>
          <w:sz w:val="24"/>
          <w:szCs w:val="24"/>
        </w:rPr>
        <w:t xml:space="preserve">For more detail on PBAC’s view, see section </w:t>
      </w:r>
      <w:r w:rsidR="008524FF">
        <w:rPr>
          <w:rFonts w:asciiTheme="minorHAnsi" w:hAnsiTheme="minorHAnsi" w:cstheme="minorHAnsi"/>
          <w:b w:val="0"/>
          <w:i/>
          <w:sz w:val="24"/>
          <w:szCs w:val="24"/>
        </w:rPr>
        <w:t>5</w:t>
      </w:r>
      <w:r w:rsidRPr="00A51C57">
        <w:rPr>
          <w:rFonts w:asciiTheme="minorHAnsi" w:hAnsiTheme="minorHAnsi" w:cstheme="minorHAnsi"/>
          <w:b w:val="0"/>
          <w:i/>
          <w:sz w:val="24"/>
          <w:szCs w:val="24"/>
        </w:rPr>
        <w:t xml:space="preserve"> PBAC outcome</w:t>
      </w:r>
      <w:r w:rsidRPr="00A51C57">
        <w:t>.</w:t>
      </w:r>
    </w:p>
    <w:p w:rsidR="00963F16" w:rsidRPr="00805F51" w:rsidRDefault="00963F16" w:rsidP="00805F51">
      <w:pPr>
        <w:pStyle w:val="Heading1"/>
      </w:pPr>
      <w:r w:rsidRPr="00805F51">
        <w:lastRenderedPageBreak/>
        <w:t>Consideration of the evidence</w:t>
      </w:r>
    </w:p>
    <w:p w:rsidR="00963F16" w:rsidRDefault="00963F16" w:rsidP="00F038B1">
      <w:pPr>
        <w:pStyle w:val="Heading2"/>
      </w:pPr>
      <w:r>
        <w:t>Sponsor hearing</w:t>
      </w:r>
    </w:p>
    <w:p w:rsidR="00963F16" w:rsidRDefault="00963F16" w:rsidP="00963F1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A01AB6">
        <w:rPr>
          <w:rFonts w:asciiTheme="minorHAnsi" w:eastAsiaTheme="minorHAnsi" w:hAnsiTheme="minorHAnsi" w:cstheme="minorBidi"/>
          <w:snapToGrid/>
          <w:sz w:val="24"/>
          <w:szCs w:val="22"/>
        </w:rPr>
        <w:t>There was no hearing for this item as it was a minor submission.</w:t>
      </w:r>
    </w:p>
    <w:p w:rsidR="00963F16" w:rsidRDefault="00963F16" w:rsidP="00F038B1">
      <w:pPr>
        <w:pStyle w:val="Heading2"/>
      </w:pPr>
      <w:r w:rsidRPr="00A01AB6">
        <w:t>Consumer comments</w:t>
      </w:r>
    </w:p>
    <w:p w:rsidR="00963F16" w:rsidRPr="007664E3" w:rsidRDefault="00963F16" w:rsidP="00963F1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664E3">
        <w:rPr>
          <w:rFonts w:asciiTheme="minorHAnsi" w:eastAsiaTheme="minorHAnsi" w:hAnsiTheme="minorHAnsi" w:cstheme="minorBidi"/>
          <w:snapToGrid/>
          <w:sz w:val="24"/>
          <w:szCs w:val="22"/>
        </w:rPr>
        <w:t>The PBAC noted that no consumer comments were received for this item.</w:t>
      </w:r>
    </w:p>
    <w:p w:rsidR="00963F16" w:rsidRPr="00F038B1" w:rsidRDefault="008524FF" w:rsidP="00F038B1">
      <w:pPr>
        <w:pStyle w:val="Heading2"/>
      </w:pPr>
      <w:r w:rsidRPr="00F038B1">
        <w:t xml:space="preserve">Current situation </w:t>
      </w:r>
    </w:p>
    <w:p w:rsidR="008524FF" w:rsidRDefault="008524FF" w:rsidP="008524F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requested that the March 2018 PBAC recommendation to increase the</w:t>
      </w:r>
      <w:r w:rsidRPr="00AA30D6">
        <w:rPr>
          <w:rFonts w:asciiTheme="minorHAnsi" w:eastAsiaTheme="minorHAnsi" w:hAnsiTheme="minorHAnsi" w:cstheme="minorBidi"/>
          <w:snapToGrid/>
          <w:sz w:val="24"/>
          <w:szCs w:val="22"/>
        </w:rPr>
        <w:t xml:space="preserve"> restriction level to Authority Required (STREAMLINED) for all ICS/LABA FDC inhalers</w:t>
      </w:r>
      <w:r>
        <w:rPr>
          <w:rFonts w:asciiTheme="minorHAnsi" w:eastAsiaTheme="minorHAnsi" w:hAnsiTheme="minorHAnsi" w:cstheme="minorBidi"/>
          <w:snapToGrid/>
          <w:sz w:val="24"/>
          <w:szCs w:val="22"/>
        </w:rPr>
        <w:t xml:space="preserve"> be set aside for fluticasone/</w:t>
      </w:r>
      <w:proofErr w:type="spellStart"/>
      <w:r>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and that the Restricted benefit listing be reinstated. </w:t>
      </w:r>
    </w:p>
    <w:p w:rsidR="008524FF" w:rsidRDefault="008524FF" w:rsidP="008524F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stated that ‘the sponsor was not actively involved in the Review process, since fluticasone/</w:t>
      </w:r>
      <w:proofErr w:type="spellStart"/>
      <w:r>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was appropriately excluded from the Terms of Reference’ of the COPD Review and Asthma in Children Review. </w:t>
      </w:r>
    </w:p>
    <w:p w:rsidR="008524FF" w:rsidRDefault="008524FF" w:rsidP="008524F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argued that as fluticasone/</w:t>
      </w:r>
      <w:proofErr w:type="spellStart"/>
      <w:r>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does not have a PBS listing or a TGA indication for use in COPD it could not be included as relevant medicine in the COPD review. The minor submission noted that fluticasone/</w:t>
      </w:r>
      <w:proofErr w:type="spellStart"/>
      <w:r>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was not included in the item codes affected by the PBAC recommendation from the August 2017 meeting to increase </w:t>
      </w:r>
      <w:r w:rsidRPr="00F706A6">
        <w:rPr>
          <w:rFonts w:asciiTheme="minorHAnsi" w:eastAsiaTheme="minorHAnsi" w:hAnsiTheme="minorHAnsi" w:cstheme="minorBidi"/>
          <w:snapToGrid/>
          <w:sz w:val="24"/>
          <w:szCs w:val="22"/>
        </w:rPr>
        <w:t xml:space="preserve">the PBS restriction level to Authority Required (STREAMLINED) for ICS/LABAs that have dual listings on the PBS for the treatment of COPD and asthma. </w:t>
      </w:r>
    </w:p>
    <w:p w:rsidR="008524FF" w:rsidRDefault="008524FF" w:rsidP="008524F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argued that fluticasone/</w:t>
      </w:r>
      <w:proofErr w:type="spellStart"/>
      <w:r>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was not included in the Terms of Reference for the Asthma in Children Review, as it is not TGA nor PBS-indicated for use in children below 12 years of age and hence should</w:t>
      </w:r>
      <w:r w:rsidRPr="005936AA">
        <w:rPr>
          <w:rFonts w:asciiTheme="minorHAnsi" w:eastAsiaTheme="minorHAnsi" w:hAnsiTheme="minorHAnsi" w:cstheme="minorBidi"/>
          <w:snapToGrid/>
          <w:sz w:val="24"/>
          <w:szCs w:val="22"/>
        </w:rPr>
        <w:t xml:space="preserve"> not be covered by the subsequent DUSC review or PBAC decisions that directly arise from the review. </w:t>
      </w:r>
    </w:p>
    <w:p w:rsidR="008524FF" w:rsidRPr="00D56A8F" w:rsidRDefault="008524FF" w:rsidP="008524FF">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D56A8F">
        <w:rPr>
          <w:rFonts w:asciiTheme="minorHAnsi" w:eastAsiaTheme="minorHAnsi" w:hAnsiTheme="minorHAnsi" w:cstheme="minorBidi"/>
          <w:snapToGrid/>
          <w:sz w:val="24"/>
          <w:szCs w:val="22"/>
        </w:rPr>
        <w:t xml:space="preserve">The minor submission </w:t>
      </w:r>
      <w:r>
        <w:rPr>
          <w:rFonts w:asciiTheme="minorHAnsi" w:eastAsiaTheme="minorHAnsi" w:hAnsiTheme="minorHAnsi" w:cstheme="minorBidi"/>
          <w:snapToGrid/>
          <w:sz w:val="24"/>
          <w:szCs w:val="22"/>
        </w:rPr>
        <w:t xml:space="preserve">and pre-PBAC response </w:t>
      </w:r>
      <w:r w:rsidRPr="00D56A8F">
        <w:rPr>
          <w:rFonts w:asciiTheme="minorHAnsi" w:eastAsiaTheme="minorHAnsi" w:hAnsiTheme="minorHAnsi" w:cstheme="minorBidi"/>
          <w:snapToGrid/>
          <w:sz w:val="24"/>
          <w:szCs w:val="22"/>
        </w:rPr>
        <w:t>argued the PBS listings should be separated into adult/adolescent (</w:t>
      </w:r>
      <w:r w:rsidRPr="00D56A8F">
        <w:rPr>
          <w:rFonts w:asciiTheme="minorHAnsi" w:eastAsiaTheme="minorHAnsi" w:hAnsiTheme="minorHAnsi" w:cstheme="minorHAnsi"/>
          <w:snapToGrid/>
          <w:sz w:val="24"/>
          <w:szCs w:val="22"/>
        </w:rPr>
        <w:t>≥</w:t>
      </w:r>
      <w:r w:rsidRPr="00D56A8F">
        <w:rPr>
          <w:rFonts w:asciiTheme="minorHAnsi" w:eastAsiaTheme="minorHAnsi" w:hAnsiTheme="minorHAnsi" w:cstheme="minorBidi"/>
          <w:snapToGrid/>
          <w:sz w:val="24"/>
          <w:szCs w:val="22"/>
        </w:rPr>
        <w:t xml:space="preserve"> 12 years) and children’s PBS items (4 to 12 years) where necessary and change the restriction level for items that are indicated for use in children only. </w:t>
      </w:r>
      <w:r w:rsidRPr="00D56A8F">
        <w:rPr>
          <w:rFonts w:asciiTheme="minorHAnsi" w:eastAsiaTheme="minorHAnsi" w:hAnsiTheme="minorHAnsi" w:cstheme="minorBidi"/>
          <w:snapToGrid/>
          <w:sz w:val="24"/>
          <w:szCs w:val="24"/>
        </w:rPr>
        <w:t xml:space="preserve">The </w:t>
      </w:r>
      <w:r>
        <w:rPr>
          <w:rFonts w:asciiTheme="minorHAnsi" w:eastAsiaTheme="minorHAnsi" w:hAnsiTheme="minorHAnsi" w:cstheme="minorBidi"/>
          <w:snapToGrid/>
          <w:sz w:val="24"/>
          <w:szCs w:val="24"/>
        </w:rPr>
        <w:t>PBAC</w:t>
      </w:r>
      <w:r w:rsidRPr="00D56A8F">
        <w:rPr>
          <w:rFonts w:asciiTheme="minorHAnsi" w:eastAsiaTheme="minorHAnsi" w:hAnsiTheme="minorHAnsi" w:cstheme="minorBidi"/>
          <w:snapToGrid/>
          <w:sz w:val="24"/>
          <w:szCs w:val="24"/>
        </w:rPr>
        <w:t xml:space="preserve"> noted that term ‘children’ was used in relation to patients aged 0 to 18 years of age in the Asthma in Children Review. </w:t>
      </w:r>
    </w:p>
    <w:p w:rsidR="008524FF" w:rsidRPr="00D56A8F" w:rsidRDefault="008524FF" w:rsidP="008524FF">
      <w:pPr>
        <w:pStyle w:val="ListParagraph"/>
        <w:widowControl/>
        <w:numPr>
          <w:ilvl w:val="1"/>
          <w:numId w:val="14"/>
        </w:numPr>
        <w:spacing w:before="120" w:after="160"/>
        <w:contextualSpacing w:val="0"/>
        <w:rPr>
          <w:rFonts w:asciiTheme="minorHAnsi" w:eastAsiaTheme="minorHAnsi" w:hAnsiTheme="minorHAnsi" w:cstheme="minorHAnsi"/>
          <w:snapToGrid/>
          <w:sz w:val="24"/>
          <w:szCs w:val="24"/>
        </w:rPr>
      </w:pPr>
      <w:r w:rsidRPr="00D56A8F">
        <w:rPr>
          <w:rFonts w:asciiTheme="minorHAnsi" w:eastAsiaTheme="minorHAnsi" w:hAnsiTheme="minorHAnsi" w:cstheme="minorHAnsi"/>
          <w:snapToGrid/>
          <w:sz w:val="24"/>
          <w:szCs w:val="24"/>
        </w:rPr>
        <w:t>The minor submission stated that the results of the Evaluation Report of the 2014 Asthma in Children Review</w:t>
      </w:r>
      <w:r w:rsidRPr="00D56A8F">
        <w:rPr>
          <w:rFonts w:asciiTheme="minorHAnsi" w:hAnsiTheme="minorHAnsi" w:cstheme="minorHAnsi"/>
          <w:sz w:val="24"/>
          <w:szCs w:val="24"/>
        </w:rPr>
        <w:t xml:space="preserve"> indicate </w:t>
      </w:r>
      <w:r w:rsidRPr="00D56A8F">
        <w:rPr>
          <w:rFonts w:asciiTheme="minorHAnsi" w:eastAsiaTheme="minorHAnsi" w:hAnsiTheme="minorHAnsi" w:cstheme="minorHAnsi"/>
          <w:snapToGrid/>
          <w:sz w:val="24"/>
          <w:szCs w:val="24"/>
        </w:rPr>
        <w:t>fluticasone/</w:t>
      </w:r>
      <w:proofErr w:type="spellStart"/>
      <w:r w:rsidRPr="00D56A8F">
        <w:rPr>
          <w:rFonts w:asciiTheme="minorHAnsi" w:eastAsiaTheme="minorHAnsi" w:hAnsiTheme="minorHAnsi" w:cstheme="minorHAnsi"/>
          <w:snapToGrid/>
          <w:sz w:val="24"/>
          <w:szCs w:val="24"/>
        </w:rPr>
        <w:t>formoterol</w:t>
      </w:r>
      <w:proofErr w:type="spellEnd"/>
      <w:r w:rsidRPr="00D56A8F">
        <w:rPr>
          <w:rFonts w:asciiTheme="minorHAnsi" w:eastAsiaTheme="minorHAnsi" w:hAnsiTheme="minorHAnsi" w:cstheme="minorHAnsi"/>
          <w:snapToGrid/>
          <w:sz w:val="24"/>
          <w:szCs w:val="24"/>
        </w:rPr>
        <w:t xml:space="preserve"> is an infrequently used asthma therapy in children. </w:t>
      </w:r>
      <w:r w:rsidRPr="00D56A8F">
        <w:rPr>
          <w:rFonts w:asciiTheme="minorHAnsi" w:hAnsiTheme="minorHAnsi" w:cstheme="minorHAnsi"/>
          <w:sz w:val="24"/>
          <w:szCs w:val="24"/>
        </w:rPr>
        <w:t xml:space="preserve">The minor submission also stated that while the Evaluation Report identified a small amount of prescribing of </w:t>
      </w:r>
      <w:r w:rsidRPr="00D56A8F">
        <w:rPr>
          <w:rFonts w:asciiTheme="minorHAnsi" w:eastAsiaTheme="minorHAnsi" w:hAnsiTheme="minorHAnsi" w:cstheme="minorHAnsi"/>
          <w:snapToGrid/>
          <w:sz w:val="24"/>
          <w:szCs w:val="24"/>
        </w:rPr>
        <w:t>fluticasone/</w:t>
      </w:r>
      <w:proofErr w:type="spellStart"/>
      <w:r w:rsidRPr="00D56A8F">
        <w:rPr>
          <w:rFonts w:asciiTheme="minorHAnsi" w:eastAsiaTheme="minorHAnsi" w:hAnsiTheme="minorHAnsi" w:cstheme="minorHAnsi"/>
          <w:snapToGrid/>
          <w:sz w:val="24"/>
          <w:szCs w:val="24"/>
        </w:rPr>
        <w:t>formoterol</w:t>
      </w:r>
      <w:proofErr w:type="spellEnd"/>
      <w:r w:rsidRPr="00D56A8F">
        <w:rPr>
          <w:rFonts w:asciiTheme="minorHAnsi" w:eastAsiaTheme="minorHAnsi" w:hAnsiTheme="minorHAnsi" w:cstheme="minorHAnsi"/>
          <w:snapToGrid/>
          <w:sz w:val="24"/>
          <w:szCs w:val="24"/>
        </w:rPr>
        <w:t xml:space="preserve"> in younger children, the bulk of prescribing is appropriate in those 12 years or older, with prescribing of fluticasone/</w:t>
      </w:r>
      <w:proofErr w:type="spellStart"/>
      <w:r w:rsidRPr="00D56A8F">
        <w:rPr>
          <w:rFonts w:asciiTheme="minorHAnsi" w:eastAsiaTheme="minorHAnsi" w:hAnsiTheme="minorHAnsi" w:cstheme="minorHAnsi"/>
          <w:snapToGrid/>
          <w:sz w:val="24"/>
          <w:szCs w:val="24"/>
        </w:rPr>
        <w:t>formoterol</w:t>
      </w:r>
      <w:proofErr w:type="spellEnd"/>
      <w:r w:rsidRPr="00D56A8F">
        <w:rPr>
          <w:rFonts w:asciiTheme="minorHAnsi" w:eastAsiaTheme="minorHAnsi" w:hAnsiTheme="minorHAnsi" w:cstheme="minorHAnsi"/>
          <w:snapToGrid/>
          <w:sz w:val="24"/>
          <w:szCs w:val="24"/>
        </w:rPr>
        <w:t xml:space="preserve"> outside the restriction representing only 2% of all age-inappropriate ICS/LABA prescribing to children. The </w:t>
      </w:r>
      <w:r>
        <w:rPr>
          <w:rFonts w:asciiTheme="minorHAnsi" w:eastAsiaTheme="minorHAnsi" w:hAnsiTheme="minorHAnsi" w:cstheme="minorHAnsi"/>
          <w:snapToGrid/>
          <w:sz w:val="24"/>
          <w:szCs w:val="24"/>
        </w:rPr>
        <w:t>PBAC</w:t>
      </w:r>
      <w:r w:rsidRPr="00D56A8F">
        <w:rPr>
          <w:rFonts w:asciiTheme="minorHAnsi" w:eastAsiaTheme="minorHAnsi" w:hAnsiTheme="minorHAnsi" w:cstheme="minorHAnsi"/>
          <w:snapToGrid/>
          <w:sz w:val="24"/>
          <w:szCs w:val="24"/>
        </w:rPr>
        <w:t xml:space="preserve"> noted that in </w:t>
      </w:r>
      <w:r w:rsidRPr="00D56A8F">
        <w:rPr>
          <w:rFonts w:asciiTheme="minorHAnsi" w:eastAsiaTheme="minorHAnsi" w:hAnsiTheme="minorHAnsi" w:cstheme="minorHAnsi"/>
          <w:snapToGrid/>
          <w:sz w:val="24"/>
          <w:szCs w:val="24"/>
        </w:rPr>
        <w:lastRenderedPageBreak/>
        <w:t>2015–2016 1883 children received fluticasone/</w:t>
      </w:r>
      <w:proofErr w:type="spellStart"/>
      <w:r w:rsidRPr="00D56A8F">
        <w:rPr>
          <w:rFonts w:asciiTheme="minorHAnsi" w:eastAsiaTheme="minorHAnsi" w:hAnsiTheme="minorHAnsi" w:cstheme="minorHAnsi"/>
          <w:snapToGrid/>
          <w:sz w:val="24"/>
          <w:szCs w:val="24"/>
        </w:rPr>
        <w:t>formoterol</w:t>
      </w:r>
      <w:proofErr w:type="spellEnd"/>
      <w:r w:rsidRPr="00D56A8F">
        <w:rPr>
          <w:rFonts w:asciiTheme="minorHAnsi" w:eastAsiaTheme="minorHAnsi" w:hAnsiTheme="minorHAnsi" w:cstheme="minorHAnsi"/>
          <w:snapToGrid/>
          <w:sz w:val="24"/>
          <w:szCs w:val="24"/>
        </w:rPr>
        <w:t xml:space="preserve"> and that almost a third (32.9%) of those children were less than 12 years of age (Table 1). </w:t>
      </w:r>
    </w:p>
    <w:p w:rsidR="008524FF" w:rsidRPr="005B2A93" w:rsidRDefault="008524FF" w:rsidP="007C3220">
      <w:pPr>
        <w:pStyle w:val="ListParagraph"/>
        <w:keepNext/>
        <w:widowControl/>
        <w:spacing w:before="120"/>
        <w:ind w:left="0"/>
        <w:contextualSpacing w:val="0"/>
        <w:rPr>
          <w:rStyle w:val="CommentReference"/>
          <w:rFonts w:ascii="Arial Narrow" w:eastAsiaTheme="minorHAnsi" w:hAnsi="Arial Narrow"/>
          <w:b/>
          <w:sz w:val="20"/>
          <w:szCs w:val="20"/>
        </w:rPr>
      </w:pPr>
      <w:r w:rsidRPr="005B2A93">
        <w:rPr>
          <w:rStyle w:val="CommentReference"/>
          <w:rFonts w:ascii="Arial Narrow" w:eastAsiaTheme="minorHAnsi" w:hAnsi="Arial Narrow"/>
          <w:b/>
          <w:sz w:val="20"/>
          <w:szCs w:val="20"/>
        </w:rPr>
        <w:t>Table 1. Dispensing of FDCs by age and population inconsistent with age recommendations</w:t>
      </w:r>
    </w:p>
    <w:tbl>
      <w:tblPr>
        <w:tblStyle w:val="TableGrid"/>
        <w:tblW w:w="0" w:type="auto"/>
        <w:tblLook w:val="04A0" w:firstRow="1" w:lastRow="0" w:firstColumn="1" w:lastColumn="0" w:noHBand="0" w:noVBand="1"/>
        <w:tblCaption w:val="Dispensing of FDCs by age and population inconsistent with age recommendations"/>
      </w:tblPr>
      <w:tblGrid>
        <w:gridCol w:w="1237"/>
        <w:gridCol w:w="3333"/>
        <w:gridCol w:w="4446"/>
      </w:tblGrid>
      <w:tr w:rsidR="008524FF" w:rsidRPr="00180FC2" w:rsidTr="00475DCF">
        <w:trPr>
          <w:cantSplit/>
          <w:tblHeader/>
        </w:trPr>
        <w:tc>
          <w:tcPr>
            <w:tcW w:w="1242" w:type="dxa"/>
          </w:tcPr>
          <w:p w:rsidR="008524FF" w:rsidRPr="00180FC2" w:rsidRDefault="008524FF" w:rsidP="007C3220">
            <w:pPr>
              <w:keepNext/>
              <w:keepLines/>
              <w:rPr>
                <w:rFonts w:ascii="Arial Narrow" w:hAnsi="Arial Narrow"/>
                <w:b/>
                <w:sz w:val="20"/>
                <w:szCs w:val="20"/>
              </w:rPr>
            </w:pPr>
            <w:r w:rsidRPr="00180FC2">
              <w:rPr>
                <w:rFonts w:ascii="Arial Narrow" w:hAnsi="Arial Narrow"/>
                <w:b/>
                <w:sz w:val="20"/>
                <w:szCs w:val="20"/>
              </w:rPr>
              <w:t>Medicine</w:t>
            </w:r>
          </w:p>
        </w:tc>
        <w:tc>
          <w:tcPr>
            <w:tcW w:w="3402" w:type="dxa"/>
          </w:tcPr>
          <w:p w:rsidR="008524FF" w:rsidRPr="00180FC2" w:rsidRDefault="008524FF" w:rsidP="007C3220">
            <w:pPr>
              <w:pStyle w:val="Default"/>
              <w:keepNext/>
              <w:keepLines/>
              <w:rPr>
                <w:rFonts w:ascii="Arial Narrow" w:hAnsi="Arial Narrow"/>
                <w:b/>
                <w:sz w:val="20"/>
                <w:szCs w:val="20"/>
              </w:rPr>
            </w:pPr>
            <w:r w:rsidRPr="00180FC2">
              <w:rPr>
                <w:rFonts w:ascii="Arial Narrow" w:hAnsi="Arial Narrow"/>
                <w:b/>
                <w:bCs/>
                <w:sz w:val="20"/>
                <w:szCs w:val="20"/>
              </w:rPr>
              <w:t xml:space="preserve">Strength, </w:t>
            </w:r>
          </w:p>
          <w:p w:rsidR="008524FF" w:rsidRPr="00180FC2" w:rsidRDefault="008524FF" w:rsidP="007C3220">
            <w:pPr>
              <w:pStyle w:val="Default"/>
              <w:keepNext/>
              <w:keepLines/>
              <w:rPr>
                <w:rFonts w:ascii="Arial Narrow" w:hAnsi="Arial Narrow"/>
                <w:b/>
                <w:sz w:val="20"/>
                <w:szCs w:val="20"/>
              </w:rPr>
            </w:pPr>
            <w:r w:rsidRPr="00180FC2">
              <w:rPr>
                <w:rFonts w:ascii="Arial Narrow" w:hAnsi="Arial Narrow"/>
                <w:b/>
                <w:bCs/>
                <w:sz w:val="20"/>
                <w:szCs w:val="20"/>
              </w:rPr>
              <w:t xml:space="preserve">Number of children in 2015-2016 (N), </w:t>
            </w:r>
          </w:p>
          <w:p w:rsidR="008524FF" w:rsidRPr="00180FC2" w:rsidRDefault="008524FF" w:rsidP="007C3220">
            <w:pPr>
              <w:pStyle w:val="Default"/>
              <w:keepNext/>
              <w:keepLines/>
              <w:rPr>
                <w:rFonts w:ascii="Arial Narrow" w:hAnsi="Arial Narrow"/>
                <w:b/>
                <w:sz w:val="20"/>
                <w:szCs w:val="20"/>
              </w:rPr>
            </w:pPr>
            <w:r w:rsidRPr="00180FC2">
              <w:rPr>
                <w:rFonts w:ascii="Arial Narrow" w:hAnsi="Arial Narrow"/>
                <w:b/>
                <w:bCs/>
                <w:sz w:val="20"/>
                <w:szCs w:val="20"/>
              </w:rPr>
              <w:t xml:space="preserve">Number of </w:t>
            </w:r>
            <w:proofErr w:type="spellStart"/>
            <w:r w:rsidRPr="00180FC2">
              <w:rPr>
                <w:rFonts w:ascii="Arial Narrow" w:hAnsi="Arial Narrow"/>
                <w:b/>
                <w:bCs/>
                <w:sz w:val="20"/>
                <w:szCs w:val="20"/>
              </w:rPr>
              <w:t>dispensings</w:t>
            </w:r>
            <w:proofErr w:type="spellEnd"/>
            <w:r w:rsidRPr="00180FC2">
              <w:rPr>
                <w:rFonts w:ascii="Arial Narrow" w:hAnsi="Arial Narrow"/>
                <w:b/>
                <w:bCs/>
                <w:sz w:val="20"/>
                <w:szCs w:val="20"/>
              </w:rPr>
              <w:t xml:space="preserve"> in 2015-2016 (D) </w:t>
            </w:r>
          </w:p>
        </w:tc>
        <w:tc>
          <w:tcPr>
            <w:tcW w:w="4536" w:type="dxa"/>
          </w:tcPr>
          <w:p w:rsidR="008524FF" w:rsidRPr="00180FC2" w:rsidRDefault="008524FF" w:rsidP="007C3220">
            <w:pPr>
              <w:pStyle w:val="Default"/>
              <w:keepNext/>
              <w:keepLines/>
              <w:rPr>
                <w:rFonts w:ascii="Arial Narrow" w:hAnsi="Arial Narrow"/>
                <w:b/>
                <w:sz w:val="20"/>
                <w:szCs w:val="20"/>
              </w:rPr>
            </w:pPr>
            <w:r w:rsidRPr="00180FC2">
              <w:rPr>
                <w:rFonts w:ascii="Arial Narrow" w:hAnsi="Arial Narrow"/>
                <w:b/>
                <w:bCs/>
                <w:sz w:val="20"/>
                <w:szCs w:val="20"/>
              </w:rPr>
              <w:t xml:space="preserve">Product Information age recommendation </w:t>
            </w:r>
          </w:p>
          <w:p w:rsidR="008524FF" w:rsidRPr="00180FC2" w:rsidRDefault="008524FF" w:rsidP="007C3220">
            <w:pPr>
              <w:keepNext/>
              <w:keepLines/>
              <w:rPr>
                <w:rFonts w:ascii="Arial Narrow" w:hAnsi="Arial Narrow"/>
                <w:b/>
                <w:sz w:val="20"/>
                <w:szCs w:val="20"/>
              </w:rPr>
            </w:pP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Fluticasone with </w:t>
            </w:r>
          </w:p>
          <w:p w:rsidR="008524FF" w:rsidRPr="001B1F50" w:rsidRDefault="008524FF" w:rsidP="007C3220">
            <w:pPr>
              <w:pStyle w:val="Default"/>
              <w:keepNext/>
              <w:keepLines/>
              <w:rPr>
                <w:rFonts w:ascii="Arial Narrow" w:hAnsi="Arial Narrow"/>
                <w:sz w:val="20"/>
                <w:szCs w:val="20"/>
              </w:rPr>
            </w:pPr>
            <w:proofErr w:type="spellStart"/>
            <w:r w:rsidRPr="001B1F50">
              <w:rPr>
                <w:rFonts w:ascii="Arial Narrow" w:hAnsi="Arial Narrow"/>
                <w:sz w:val="20"/>
                <w:szCs w:val="20"/>
              </w:rPr>
              <w:t>Salmeterol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50/25mcg; 100/50mcg;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N=38309 children;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D=66996 </w:t>
            </w:r>
            <w:proofErr w:type="spellStart"/>
            <w:r w:rsidRPr="001B1F50">
              <w:rPr>
                <w:rFonts w:ascii="Arial Narrow" w:hAnsi="Arial Narrow"/>
                <w:iCs/>
                <w:sz w:val="20"/>
                <w:szCs w:val="20"/>
              </w:rPr>
              <w:t>dispensings</w:t>
            </w:r>
            <w:proofErr w:type="spellEnd"/>
            <w:r w:rsidRPr="001B1F50">
              <w:rPr>
                <w:rFonts w:ascii="Arial Narrow" w:hAnsi="Arial Narrow"/>
                <w:iCs/>
                <w:sz w:val="20"/>
                <w:szCs w:val="20"/>
              </w:rPr>
              <w:t xml:space="preserve">;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Recommended age &gt;=4 years, 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N=2561 (6.7%)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D=4122 (6.2%)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Fluticasone with </w:t>
            </w:r>
          </w:p>
          <w:p w:rsidR="008524FF" w:rsidRPr="001B1F50" w:rsidRDefault="008524FF" w:rsidP="007C3220">
            <w:pPr>
              <w:pStyle w:val="Default"/>
              <w:keepNext/>
              <w:keepLines/>
              <w:rPr>
                <w:rFonts w:ascii="Arial Narrow" w:hAnsi="Arial Narrow"/>
                <w:sz w:val="20"/>
                <w:szCs w:val="20"/>
              </w:rPr>
            </w:pPr>
            <w:proofErr w:type="spellStart"/>
            <w:r w:rsidRPr="001B1F50">
              <w:rPr>
                <w:rFonts w:ascii="Arial Narrow" w:hAnsi="Arial Narrow"/>
                <w:sz w:val="20"/>
                <w:szCs w:val="20"/>
              </w:rPr>
              <w:t>Salmeterol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125/25mcg; 250/50mcg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N=44861 children;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D=79171 </w:t>
            </w:r>
            <w:proofErr w:type="spellStart"/>
            <w:r w:rsidRPr="001B1F50">
              <w:rPr>
                <w:rFonts w:ascii="Arial Narrow" w:hAnsi="Arial Narrow"/>
                <w:iCs/>
                <w:sz w:val="20"/>
                <w:szCs w:val="20"/>
              </w:rPr>
              <w:t>dispensings</w:t>
            </w:r>
            <w:proofErr w:type="spellEnd"/>
            <w:r w:rsidRPr="001B1F50">
              <w:rPr>
                <w:rFonts w:ascii="Arial Narrow" w:hAnsi="Arial Narrow"/>
                <w:iCs/>
                <w:sz w:val="20"/>
                <w:szCs w:val="20"/>
              </w:rPr>
              <w:t xml:space="preserve">;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Recommended age &gt;=12 years, 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N=18968 (42.3%)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D=33419 (42.2%)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Fluticasone with </w:t>
            </w:r>
          </w:p>
          <w:p w:rsidR="008524FF" w:rsidRPr="001B1F50" w:rsidRDefault="008524FF" w:rsidP="007C3220">
            <w:pPr>
              <w:pStyle w:val="Default"/>
              <w:keepNext/>
              <w:keepLines/>
              <w:rPr>
                <w:rFonts w:ascii="Arial Narrow" w:hAnsi="Arial Narrow"/>
                <w:sz w:val="20"/>
                <w:szCs w:val="20"/>
              </w:rPr>
            </w:pPr>
            <w:proofErr w:type="spellStart"/>
            <w:r w:rsidRPr="001B1F50">
              <w:rPr>
                <w:rFonts w:ascii="Arial Narrow" w:hAnsi="Arial Narrow"/>
                <w:sz w:val="20"/>
                <w:szCs w:val="20"/>
              </w:rPr>
              <w:t>Salmeterol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250/25mcg; 500/50mcg;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N=19289 children;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D=33410 </w:t>
            </w:r>
            <w:proofErr w:type="spellStart"/>
            <w:r w:rsidRPr="001B1F50">
              <w:rPr>
                <w:rFonts w:ascii="Arial Narrow" w:hAnsi="Arial Narrow"/>
                <w:iCs/>
                <w:sz w:val="20"/>
                <w:szCs w:val="20"/>
              </w:rPr>
              <w:t>dispensings</w:t>
            </w:r>
            <w:proofErr w:type="spellEnd"/>
            <w:r w:rsidRPr="001B1F50">
              <w:rPr>
                <w:rFonts w:ascii="Arial Narrow" w:hAnsi="Arial Narrow"/>
                <w:iCs/>
                <w:sz w:val="20"/>
                <w:szCs w:val="20"/>
              </w:rPr>
              <w:t xml:space="preserve">;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Recommended age &gt;=12 years, 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N=2618 (13.6%)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D=4556 (13.6%)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Fluticasone with </w:t>
            </w:r>
          </w:p>
          <w:p w:rsidR="008524FF" w:rsidRPr="001B1F50" w:rsidRDefault="008524FF" w:rsidP="007C3220">
            <w:pPr>
              <w:pStyle w:val="Default"/>
              <w:keepNext/>
              <w:keepLines/>
              <w:rPr>
                <w:rFonts w:ascii="Arial Narrow" w:hAnsi="Arial Narrow"/>
                <w:sz w:val="20"/>
                <w:szCs w:val="20"/>
              </w:rPr>
            </w:pPr>
            <w:proofErr w:type="spellStart"/>
            <w:r w:rsidRPr="001B1F50">
              <w:rPr>
                <w:rFonts w:ascii="Arial Narrow" w:hAnsi="Arial Narrow"/>
                <w:sz w:val="20"/>
                <w:szCs w:val="20"/>
              </w:rPr>
              <w:t>Salmeterol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Distinct children: 79476;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Total </w:t>
            </w:r>
            <w:proofErr w:type="spellStart"/>
            <w:r w:rsidRPr="001B1F50">
              <w:rPr>
                <w:rFonts w:ascii="Arial Narrow" w:hAnsi="Arial Narrow"/>
                <w:b/>
                <w:bCs/>
                <w:iCs/>
                <w:sz w:val="20"/>
                <w:szCs w:val="20"/>
              </w:rPr>
              <w:t>dispensings</w:t>
            </w:r>
            <w:proofErr w:type="spellEnd"/>
            <w:r w:rsidRPr="001B1F50">
              <w:rPr>
                <w:rFonts w:ascii="Arial Narrow" w:hAnsi="Arial Narrow"/>
                <w:b/>
                <w:bCs/>
                <w:iCs/>
                <w:sz w:val="20"/>
                <w:szCs w:val="20"/>
              </w:rPr>
              <w:t xml:space="preserve">: 179577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Distinct children: 19967 (25.1%);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Total </w:t>
            </w:r>
            <w:proofErr w:type="spellStart"/>
            <w:r w:rsidRPr="001B1F50">
              <w:rPr>
                <w:rFonts w:ascii="Arial Narrow" w:hAnsi="Arial Narrow"/>
                <w:b/>
                <w:bCs/>
                <w:iCs/>
                <w:sz w:val="20"/>
                <w:szCs w:val="20"/>
              </w:rPr>
              <w:t>dispensings</w:t>
            </w:r>
            <w:proofErr w:type="spellEnd"/>
            <w:r w:rsidRPr="001B1F50">
              <w:rPr>
                <w:rFonts w:ascii="Arial Narrow" w:hAnsi="Arial Narrow"/>
                <w:b/>
                <w:bCs/>
                <w:iCs/>
                <w:sz w:val="20"/>
                <w:szCs w:val="20"/>
              </w:rPr>
              <w:t xml:space="preserve">: 42097 (23.4%)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Budesonide with </w:t>
            </w:r>
          </w:p>
          <w:p w:rsidR="008524FF" w:rsidRPr="001B1F50" w:rsidRDefault="008524FF" w:rsidP="007C3220">
            <w:pPr>
              <w:pStyle w:val="Default"/>
              <w:keepNext/>
              <w:keepLines/>
              <w:rPr>
                <w:rFonts w:ascii="Arial Narrow" w:hAnsi="Arial Narrow"/>
                <w:sz w:val="20"/>
                <w:szCs w:val="20"/>
              </w:rPr>
            </w:pPr>
            <w:proofErr w:type="spellStart"/>
            <w:r w:rsidRPr="001B1F50">
              <w:rPr>
                <w:rFonts w:ascii="Arial Narrow" w:hAnsi="Arial Narrow"/>
                <w:sz w:val="20"/>
                <w:szCs w:val="20"/>
              </w:rPr>
              <w:t>Formoterol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50/3mcg; 100/3mcg;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100/6mcg; 200/6mcg;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N=29707 children;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D=44816 </w:t>
            </w:r>
            <w:proofErr w:type="spellStart"/>
            <w:r w:rsidRPr="001B1F50">
              <w:rPr>
                <w:rFonts w:ascii="Arial Narrow" w:hAnsi="Arial Narrow"/>
                <w:iCs/>
                <w:sz w:val="20"/>
                <w:szCs w:val="20"/>
              </w:rPr>
              <w:t>dispensings</w:t>
            </w:r>
            <w:proofErr w:type="spellEnd"/>
            <w:r w:rsidRPr="001B1F50">
              <w:rPr>
                <w:rFonts w:ascii="Arial Narrow" w:hAnsi="Arial Narrow"/>
                <w:iCs/>
                <w:sz w:val="20"/>
                <w:szCs w:val="20"/>
              </w:rPr>
              <w:t xml:space="preserve">;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Recommended age &gt;=12 years, 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N=6384 (21.5%)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D=9209 (20.5%)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Budesonide with </w:t>
            </w:r>
          </w:p>
          <w:p w:rsidR="008524FF" w:rsidRPr="001B1F50" w:rsidRDefault="008524FF" w:rsidP="007C3220">
            <w:pPr>
              <w:pStyle w:val="Default"/>
              <w:keepNext/>
              <w:keepLines/>
              <w:rPr>
                <w:rFonts w:ascii="Arial Narrow" w:hAnsi="Arial Narrow"/>
                <w:sz w:val="20"/>
                <w:szCs w:val="20"/>
              </w:rPr>
            </w:pPr>
            <w:proofErr w:type="spellStart"/>
            <w:r w:rsidRPr="001B1F50">
              <w:rPr>
                <w:rFonts w:ascii="Arial Narrow" w:hAnsi="Arial Narrow"/>
                <w:sz w:val="20"/>
                <w:szCs w:val="20"/>
              </w:rPr>
              <w:t>Formoterol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400/12mcg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N=1674 children;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D=2916 </w:t>
            </w:r>
            <w:proofErr w:type="spellStart"/>
            <w:r w:rsidRPr="001B1F50">
              <w:rPr>
                <w:rFonts w:ascii="Arial Narrow" w:hAnsi="Arial Narrow"/>
                <w:iCs/>
                <w:sz w:val="20"/>
                <w:szCs w:val="20"/>
              </w:rPr>
              <w:t>dispensings</w:t>
            </w:r>
            <w:proofErr w:type="spellEnd"/>
            <w:r w:rsidRPr="001B1F50">
              <w:rPr>
                <w:rFonts w:ascii="Arial Narrow" w:hAnsi="Arial Narrow"/>
                <w:iCs/>
                <w:sz w:val="20"/>
                <w:szCs w:val="20"/>
              </w:rPr>
              <w:t xml:space="preserve">;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Recommended age &gt;=18 years, 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N=1244 (74.3%)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D=2150 (73.7%)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Budesonide with </w:t>
            </w:r>
          </w:p>
          <w:p w:rsidR="008524FF" w:rsidRPr="001B1F50" w:rsidRDefault="008524FF" w:rsidP="007C3220">
            <w:pPr>
              <w:pStyle w:val="Default"/>
              <w:keepNext/>
              <w:keepLines/>
              <w:rPr>
                <w:rFonts w:ascii="Arial Narrow" w:hAnsi="Arial Narrow"/>
                <w:sz w:val="20"/>
                <w:szCs w:val="20"/>
              </w:rPr>
            </w:pPr>
            <w:proofErr w:type="spellStart"/>
            <w:r w:rsidRPr="001B1F50">
              <w:rPr>
                <w:rFonts w:ascii="Arial Narrow" w:hAnsi="Arial Narrow"/>
                <w:sz w:val="20"/>
                <w:szCs w:val="20"/>
              </w:rPr>
              <w:t>Formoterol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Distinct children: 26672;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Total </w:t>
            </w:r>
            <w:proofErr w:type="spellStart"/>
            <w:r w:rsidRPr="001B1F50">
              <w:rPr>
                <w:rFonts w:ascii="Arial Narrow" w:hAnsi="Arial Narrow"/>
                <w:b/>
                <w:bCs/>
                <w:iCs/>
                <w:sz w:val="20"/>
                <w:szCs w:val="20"/>
              </w:rPr>
              <w:t>dispensings</w:t>
            </w:r>
            <w:proofErr w:type="spellEnd"/>
            <w:r w:rsidRPr="001B1F50">
              <w:rPr>
                <w:rFonts w:ascii="Arial Narrow" w:hAnsi="Arial Narrow"/>
                <w:b/>
                <w:bCs/>
                <w:iCs/>
                <w:sz w:val="20"/>
                <w:szCs w:val="20"/>
              </w:rPr>
              <w:t xml:space="preserve">: 47732;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Distinct children: 6621 (24.8%);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Total </w:t>
            </w:r>
            <w:proofErr w:type="spellStart"/>
            <w:r w:rsidRPr="001B1F50">
              <w:rPr>
                <w:rFonts w:ascii="Arial Narrow" w:hAnsi="Arial Narrow"/>
                <w:b/>
                <w:bCs/>
                <w:iCs/>
                <w:sz w:val="20"/>
                <w:szCs w:val="20"/>
              </w:rPr>
              <w:t>dispensings</w:t>
            </w:r>
            <w:proofErr w:type="spellEnd"/>
            <w:r w:rsidRPr="001B1F50">
              <w:rPr>
                <w:rFonts w:ascii="Arial Narrow" w:hAnsi="Arial Narrow"/>
                <w:b/>
                <w:bCs/>
                <w:iCs/>
                <w:sz w:val="20"/>
                <w:szCs w:val="20"/>
              </w:rPr>
              <w:t xml:space="preserve">: 11359 (23.8%)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Fluticasone with </w:t>
            </w:r>
          </w:p>
          <w:p w:rsidR="008524FF" w:rsidRPr="001B1F50" w:rsidRDefault="008524FF" w:rsidP="007C3220">
            <w:pPr>
              <w:pStyle w:val="Default"/>
              <w:keepNext/>
              <w:keepLines/>
              <w:rPr>
                <w:rFonts w:ascii="Arial Narrow" w:hAnsi="Arial Narrow"/>
                <w:sz w:val="20"/>
                <w:szCs w:val="20"/>
              </w:rPr>
            </w:pPr>
            <w:proofErr w:type="spellStart"/>
            <w:r w:rsidRPr="001B1F50">
              <w:rPr>
                <w:rFonts w:ascii="Arial Narrow" w:hAnsi="Arial Narrow"/>
                <w:sz w:val="20"/>
                <w:szCs w:val="20"/>
              </w:rPr>
              <w:t>Formoterol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50/5mcg; 125/5mcg;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250/10mcg;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N=2227 children;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D=3637 </w:t>
            </w:r>
            <w:proofErr w:type="spellStart"/>
            <w:r w:rsidRPr="001B1F50">
              <w:rPr>
                <w:rFonts w:ascii="Arial Narrow" w:hAnsi="Arial Narrow"/>
                <w:iCs/>
                <w:sz w:val="20"/>
                <w:szCs w:val="20"/>
              </w:rPr>
              <w:t>dispensings</w:t>
            </w:r>
            <w:proofErr w:type="spellEnd"/>
            <w:r w:rsidRPr="001B1F50">
              <w:rPr>
                <w:rFonts w:ascii="Arial Narrow" w:hAnsi="Arial Narrow"/>
                <w:iCs/>
                <w:sz w:val="20"/>
                <w:szCs w:val="20"/>
              </w:rPr>
              <w:t xml:space="preserve">;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Distinct children: 1883;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Recommended age &gt;=12 years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N=715 (32.1%)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D=1157 (31.8%)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Distinct children: 620 (32.9%);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Fluticasone with </w:t>
            </w:r>
            <w:proofErr w:type="spellStart"/>
            <w:r w:rsidRPr="001B1F50">
              <w:rPr>
                <w:rFonts w:ascii="Arial Narrow" w:hAnsi="Arial Narrow"/>
                <w:sz w:val="20"/>
                <w:szCs w:val="20"/>
              </w:rPr>
              <w:t>Vilanterol</w:t>
            </w:r>
            <w:proofErr w:type="spellEnd"/>
            <w:r w:rsidRPr="001B1F50">
              <w:rPr>
                <w:rFonts w:ascii="Arial Narrow" w:hAnsi="Arial Narrow"/>
                <w:sz w:val="20"/>
                <w:szCs w:val="20"/>
              </w:rPr>
              <w:t xml:space="preserve">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100/25mcg; 200/25mcg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N=2443 children;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D=4802 </w:t>
            </w:r>
            <w:proofErr w:type="spellStart"/>
            <w:r w:rsidRPr="001B1F50">
              <w:rPr>
                <w:rFonts w:ascii="Arial Narrow" w:hAnsi="Arial Narrow"/>
                <w:iCs/>
                <w:sz w:val="20"/>
                <w:szCs w:val="20"/>
              </w:rPr>
              <w:t>dispensings</w:t>
            </w:r>
            <w:proofErr w:type="spellEnd"/>
            <w:r w:rsidRPr="001B1F50">
              <w:rPr>
                <w:rFonts w:ascii="Arial Narrow" w:hAnsi="Arial Narrow"/>
                <w:iCs/>
                <w:sz w:val="20"/>
                <w:szCs w:val="20"/>
              </w:rPr>
              <w:t xml:space="preserve">;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Distinct children: 1994;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sz w:val="20"/>
                <w:szCs w:val="20"/>
              </w:rPr>
              <w:t xml:space="preserve">Recommended age &gt;=12 years, Outside recommendation: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N=261 (10.7%);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D=456 (9.5%);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iCs/>
                <w:sz w:val="20"/>
                <w:szCs w:val="20"/>
              </w:rPr>
              <w:t xml:space="preserve">Distinct children: 232 (11.6%); </w:t>
            </w:r>
          </w:p>
        </w:tc>
      </w:tr>
      <w:tr w:rsidR="008524FF" w:rsidRPr="001B1F50" w:rsidTr="00475DCF">
        <w:trPr>
          <w:cantSplit/>
          <w:tblHeader/>
        </w:trPr>
        <w:tc>
          <w:tcPr>
            <w:tcW w:w="124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sz w:val="20"/>
                <w:szCs w:val="20"/>
              </w:rPr>
              <w:t xml:space="preserve">ALL FDC products </w:t>
            </w:r>
          </w:p>
        </w:tc>
        <w:tc>
          <w:tcPr>
            <w:tcW w:w="3402"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Distinct children: 107882;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Total </w:t>
            </w:r>
            <w:proofErr w:type="spellStart"/>
            <w:r w:rsidRPr="001B1F50">
              <w:rPr>
                <w:rFonts w:ascii="Arial Narrow" w:hAnsi="Arial Narrow"/>
                <w:b/>
                <w:bCs/>
                <w:iCs/>
                <w:sz w:val="20"/>
                <w:szCs w:val="20"/>
              </w:rPr>
              <w:t>dispensings</w:t>
            </w:r>
            <w:proofErr w:type="spellEnd"/>
            <w:r w:rsidRPr="001B1F50">
              <w:rPr>
                <w:rFonts w:ascii="Arial Narrow" w:hAnsi="Arial Narrow"/>
                <w:b/>
                <w:bCs/>
                <w:iCs/>
                <w:sz w:val="20"/>
                <w:szCs w:val="20"/>
              </w:rPr>
              <w:t xml:space="preserve">: 235748 </w:t>
            </w:r>
          </w:p>
        </w:tc>
        <w:tc>
          <w:tcPr>
            <w:tcW w:w="4536" w:type="dxa"/>
          </w:tcPr>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Outside recommendations: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Distinct children: 27123 (25.1%); </w:t>
            </w:r>
          </w:p>
          <w:p w:rsidR="008524FF" w:rsidRPr="001B1F50" w:rsidRDefault="008524FF" w:rsidP="007C3220">
            <w:pPr>
              <w:pStyle w:val="Default"/>
              <w:keepNext/>
              <w:keepLines/>
              <w:rPr>
                <w:rFonts w:ascii="Arial Narrow" w:hAnsi="Arial Narrow"/>
                <w:sz w:val="20"/>
                <w:szCs w:val="20"/>
              </w:rPr>
            </w:pPr>
            <w:r w:rsidRPr="001B1F50">
              <w:rPr>
                <w:rFonts w:ascii="Arial Narrow" w:hAnsi="Arial Narrow"/>
                <w:b/>
                <w:bCs/>
                <w:iCs/>
                <w:sz w:val="20"/>
                <w:szCs w:val="20"/>
              </w:rPr>
              <w:t xml:space="preserve">Total </w:t>
            </w:r>
            <w:proofErr w:type="spellStart"/>
            <w:r w:rsidRPr="001B1F50">
              <w:rPr>
                <w:rFonts w:ascii="Arial Narrow" w:hAnsi="Arial Narrow"/>
                <w:b/>
                <w:bCs/>
                <w:iCs/>
                <w:sz w:val="20"/>
                <w:szCs w:val="20"/>
              </w:rPr>
              <w:t>dispensings</w:t>
            </w:r>
            <w:proofErr w:type="spellEnd"/>
            <w:r w:rsidRPr="001B1F50">
              <w:rPr>
                <w:rFonts w:ascii="Arial Narrow" w:hAnsi="Arial Narrow"/>
                <w:b/>
                <w:bCs/>
                <w:iCs/>
                <w:sz w:val="20"/>
                <w:szCs w:val="20"/>
              </w:rPr>
              <w:t xml:space="preserve">: 55069 (23.4%) </w:t>
            </w:r>
          </w:p>
        </w:tc>
      </w:tr>
    </w:tbl>
    <w:p w:rsidR="008524FF" w:rsidRPr="007C3220" w:rsidRDefault="008524FF" w:rsidP="007C3220">
      <w:pPr>
        <w:pStyle w:val="ListParagraph"/>
        <w:widowControl/>
        <w:spacing w:after="160"/>
        <w:ind w:left="0"/>
        <w:contextualSpacing w:val="0"/>
        <w:rPr>
          <w:rFonts w:ascii="Arial Narrow" w:eastAsiaTheme="minorHAnsi" w:hAnsi="Arial Narrow" w:cstheme="minorHAnsi"/>
          <w:snapToGrid/>
          <w:sz w:val="18"/>
          <w:szCs w:val="18"/>
        </w:rPr>
      </w:pPr>
      <w:r w:rsidRPr="007C3220">
        <w:rPr>
          <w:rStyle w:val="CommentReference"/>
          <w:rFonts w:ascii="Arial Narrow" w:eastAsiaTheme="minorHAnsi" w:hAnsi="Arial Narrow"/>
          <w:sz w:val="18"/>
          <w:szCs w:val="18"/>
        </w:rPr>
        <w:t xml:space="preserve">Source: Table 2, p26-27 </w:t>
      </w:r>
      <w:r w:rsidRPr="007C3220">
        <w:rPr>
          <w:rFonts w:ascii="Arial Narrow" w:eastAsiaTheme="minorHAnsi" w:hAnsi="Arial Narrow" w:cstheme="minorHAnsi"/>
          <w:snapToGrid/>
          <w:sz w:val="18"/>
          <w:szCs w:val="18"/>
        </w:rPr>
        <w:t>Evaluation Report of the 2014 Asthma in Children Review</w:t>
      </w:r>
    </w:p>
    <w:p w:rsidR="008524FF" w:rsidRPr="00F038B1" w:rsidRDefault="008524FF" w:rsidP="00F038B1">
      <w:pPr>
        <w:pStyle w:val="ListParagraph"/>
        <w:rPr>
          <w:rFonts w:asciiTheme="minorHAnsi" w:hAnsiTheme="minorHAnsi" w:cstheme="minorHAnsi"/>
          <w:i/>
          <w:sz w:val="24"/>
          <w:szCs w:val="24"/>
        </w:rPr>
      </w:pPr>
      <w:r w:rsidRPr="00F038B1">
        <w:rPr>
          <w:rFonts w:asciiTheme="minorHAnsi" w:hAnsiTheme="minorHAnsi" w:cstheme="minorHAnsi"/>
          <w:i/>
          <w:sz w:val="24"/>
          <w:szCs w:val="24"/>
        </w:rPr>
        <w:t>For more detail on PBAC’s view, see section 5 PBAC outcome.</w:t>
      </w:r>
    </w:p>
    <w:p w:rsidR="00475DCF" w:rsidRDefault="00475DCF">
      <w:pPr>
        <w:rPr>
          <w:rFonts w:asciiTheme="minorHAnsi" w:hAnsiTheme="minorHAnsi" w:cs="Arial"/>
          <w:b/>
          <w:snapToGrid w:val="0"/>
          <w:sz w:val="32"/>
          <w:szCs w:val="32"/>
          <w:lang w:eastAsia="en-US"/>
        </w:rPr>
      </w:pPr>
      <w:r>
        <w:br w:type="page"/>
      </w:r>
    </w:p>
    <w:p w:rsidR="00963F16" w:rsidRPr="00805F51" w:rsidRDefault="00963F16" w:rsidP="00805F51">
      <w:pPr>
        <w:pStyle w:val="Heading1"/>
      </w:pPr>
      <w:r w:rsidRPr="00805F51">
        <w:lastRenderedPageBreak/>
        <w:t>PBAC Outcome</w:t>
      </w:r>
    </w:p>
    <w:p w:rsidR="00EE2A40" w:rsidRDefault="00EE2A40" w:rsidP="00EA0838">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did not recommend amending the current Authority Required (STREAMLINED) listing of fluticasone</w:t>
      </w:r>
      <w:r w:rsidR="00E64546">
        <w:rPr>
          <w:rFonts w:asciiTheme="minorHAnsi" w:eastAsiaTheme="minorHAnsi" w:hAnsiTheme="minorHAnsi" w:cstheme="minorBidi"/>
          <w:snapToGrid/>
          <w:sz w:val="24"/>
          <w:szCs w:val="22"/>
        </w:rPr>
        <w:t>/</w:t>
      </w:r>
      <w:proofErr w:type="spellStart"/>
      <w:r w:rsidR="0012082B">
        <w:rPr>
          <w:rFonts w:asciiTheme="minorHAnsi" w:eastAsiaTheme="minorHAnsi" w:hAnsiTheme="minorHAnsi" w:cstheme="minorBidi"/>
          <w:snapToGrid/>
          <w:sz w:val="24"/>
          <w:szCs w:val="22"/>
        </w:rPr>
        <w:t>formoterol</w:t>
      </w:r>
      <w:proofErr w:type="spellEnd"/>
      <w:r w:rsidR="00E64546">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to a Restricted Benefit listing. The PBAC reaffirmed its March 2018 recommendation to increase the restriction level to </w:t>
      </w:r>
      <w:r w:rsidR="0038679D">
        <w:rPr>
          <w:rFonts w:asciiTheme="minorHAnsi" w:eastAsiaTheme="minorHAnsi" w:hAnsiTheme="minorHAnsi" w:cstheme="minorBidi"/>
          <w:snapToGrid/>
          <w:sz w:val="24"/>
          <w:szCs w:val="22"/>
        </w:rPr>
        <w:t xml:space="preserve">Authority Required (STREAMLINED) for all ICS/LABA FDC inhalers to encourage prescribers to consider first line treatment with ICS alone in asthma management. </w:t>
      </w:r>
    </w:p>
    <w:p w:rsidR="00994AE3" w:rsidRDefault="00C126D9" w:rsidP="00994AE3">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recalled that the</w:t>
      </w:r>
      <w:r w:rsidR="0038679D">
        <w:rPr>
          <w:rFonts w:asciiTheme="minorHAnsi" w:eastAsiaTheme="minorHAnsi" w:hAnsiTheme="minorHAnsi" w:cstheme="minorBidi"/>
          <w:snapToGrid/>
          <w:sz w:val="24"/>
          <w:szCs w:val="22"/>
        </w:rPr>
        <w:t xml:space="preserve"> March 2018 recommendation was made following </w:t>
      </w:r>
      <w:r>
        <w:rPr>
          <w:rFonts w:asciiTheme="minorHAnsi" w:eastAsiaTheme="minorHAnsi" w:hAnsiTheme="minorHAnsi" w:cstheme="minorBidi"/>
          <w:snapToGrid/>
          <w:sz w:val="24"/>
          <w:szCs w:val="22"/>
        </w:rPr>
        <w:t xml:space="preserve">its </w:t>
      </w:r>
      <w:r w:rsidR="0038679D">
        <w:rPr>
          <w:rFonts w:asciiTheme="minorHAnsi" w:eastAsiaTheme="minorHAnsi" w:hAnsiTheme="minorHAnsi" w:cstheme="minorBidi"/>
          <w:snapToGrid/>
          <w:sz w:val="24"/>
          <w:szCs w:val="22"/>
        </w:rPr>
        <w:t xml:space="preserve">consideration of the findings of the </w:t>
      </w:r>
      <w:r w:rsidR="0038679D" w:rsidRPr="00A67CEB">
        <w:rPr>
          <w:rFonts w:asciiTheme="minorHAnsi" w:eastAsiaTheme="minorHAnsi" w:hAnsiTheme="minorHAnsi" w:cstheme="minorBidi"/>
          <w:snapToGrid/>
          <w:sz w:val="24"/>
          <w:szCs w:val="22"/>
        </w:rPr>
        <w:t xml:space="preserve">Evaluation Report of the 2014 </w:t>
      </w:r>
      <w:r w:rsidR="0038679D">
        <w:rPr>
          <w:rFonts w:asciiTheme="minorHAnsi" w:eastAsiaTheme="minorHAnsi" w:hAnsiTheme="minorHAnsi" w:cstheme="minorBidi"/>
          <w:snapToGrid/>
          <w:sz w:val="24"/>
          <w:szCs w:val="22"/>
        </w:rPr>
        <w:t>Asthma in C</w:t>
      </w:r>
      <w:r w:rsidR="0038679D" w:rsidRPr="00A67CEB">
        <w:rPr>
          <w:rFonts w:asciiTheme="minorHAnsi" w:eastAsiaTheme="minorHAnsi" w:hAnsiTheme="minorHAnsi" w:cstheme="minorBidi"/>
          <w:snapToGrid/>
          <w:sz w:val="24"/>
          <w:szCs w:val="22"/>
        </w:rPr>
        <w:t>hildren</w:t>
      </w:r>
      <w:r w:rsidR="0038679D">
        <w:rPr>
          <w:rFonts w:asciiTheme="minorHAnsi" w:eastAsiaTheme="minorHAnsi" w:hAnsiTheme="minorHAnsi" w:cstheme="minorBidi"/>
          <w:snapToGrid/>
          <w:sz w:val="24"/>
          <w:szCs w:val="22"/>
        </w:rPr>
        <w:t xml:space="preserve"> Review. The </w:t>
      </w:r>
      <w:r w:rsidR="00126C6C">
        <w:rPr>
          <w:rFonts w:asciiTheme="minorHAnsi" w:eastAsiaTheme="minorHAnsi" w:hAnsiTheme="minorHAnsi" w:cstheme="minorBidi"/>
          <w:snapToGrid/>
          <w:sz w:val="24"/>
          <w:szCs w:val="22"/>
        </w:rPr>
        <w:t>PBAC did not accept the minor submissions claim that fluticasone/</w:t>
      </w:r>
      <w:proofErr w:type="spellStart"/>
      <w:r w:rsidR="00126C6C">
        <w:rPr>
          <w:rFonts w:asciiTheme="minorHAnsi" w:eastAsiaTheme="minorHAnsi" w:hAnsiTheme="minorHAnsi" w:cstheme="minorBidi"/>
          <w:snapToGrid/>
          <w:sz w:val="24"/>
          <w:szCs w:val="22"/>
        </w:rPr>
        <w:t>formoterol</w:t>
      </w:r>
      <w:proofErr w:type="spellEnd"/>
      <w:r w:rsidR="00126C6C">
        <w:rPr>
          <w:rFonts w:asciiTheme="minorHAnsi" w:eastAsiaTheme="minorHAnsi" w:hAnsiTheme="minorHAnsi" w:cstheme="minorBidi"/>
          <w:snapToGrid/>
          <w:sz w:val="24"/>
          <w:szCs w:val="22"/>
        </w:rPr>
        <w:t xml:space="preserve"> should not be covered</w:t>
      </w:r>
      <w:r w:rsidR="0012082B">
        <w:rPr>
          <w:rFonts w:asciiTheme="minorHAnsi" w:eastAsiaTheme="minorHAnsi" w:hAnsiTheme="minorHAnsi" w:cstheme="minorBidi"/>
          <w:snapToGrid/>
          <w:sz w:val="24"/>
          <w:szCs w:val="22"/>
        </w:rPr>
        <w:t xml:space="preserve"> by PBAC decisions</w:t>
      </w:r>
      <w:r w:rsidR="00126C6C">
        <w:rPr>
          <w:rFonts w:asciiTheme="minorHAnsi" w:eastAsiaTheme="minorHAnsi" w:hAnsiTheme="minorHAnsi" w:cstheme="minorBidi"/>
          <w:snapToGrid/>
          <w:sz w:val="24"/>
          <w:szCs w:val="22"/>
        </w:rPr>
        <w:t xml:space="preserve"> fro</w:t>
      </w:r>
      <w:r w:rsidR="0012082B">
        <w:rPr>
          <w:rFonts w:asciiTheme="minorHAnsi" w:eastAsiaTheme="minorHAnsi" w:hAnsiTheme="minorHAnsi" w:cstheme="minorBidi"/>
          <w:snapToGrid/>
          <w:sz w:val="24"/>
          <w:szCs w:val="22"/>
        </w:rPr>
        <w:t xml:space="preserve">m the Asthma in Children Review as it is not TGA </w:t>
      </w:r>
      <w:r w:rsidR="00126C6C">
        <w:rPr>
          <w:rFonts w:asciiTheme="minorHAnsi" w:eastAsiaTheme="minorHAnsi" w:hAnsiTheme="minorHAnsi" w:cstheme="minorBidi"/>
          <w:snapToGrid/>
          <w:sz w:val="24"/>
          <w:szCs w:val="22"/>
        </w:rPr>
        <w:t>or PBS-indicated for use in children below 12 years of age</w:t>
      </w:r>
      <w:r w:rsidR="00126C6C" w:rsidRPr="005936AA">
        <w:rPr>
          <w:rFonts w:asciiTheme="minorHAnsi" w:eastAsiaTheme="minorHAnsi" w:hAnsiTheme="minorHAnsi" w:cstheme="minorBidi"/>
          <w:snapToGrid/>
          <w:sz w:val="24"/>
          <w:szCs w:val="22"/>
        </w:rPr>
        <w:t>.</w:t>
      </w:r>
      <w:r w:rsidR="00DD49E1">
        <w:rPr>
          <w:rFonts w:asciiTheme="minorHAnsi" w:eastAsiaTheme="minorHAnsi" w:hAnsiTheme="minorHAnsi" w:cstheme="minorBidi"/>
          <w:snapToGrid/>
          <w:sz w:val="24"/>
          <w:szCs w:val="22"/>
        </w:rPr>
        <w:t xml:space="preserve"> </w:t>
      </w:r>
      <w:r w:rsidR="00DD49E1" w:rsidRPr="00994AE3">
        <w:rPr>
          <w:rFonts w:asciiTheme="minorHAnsi" w:eastAsiaTheme="minorHAnsi" w:hAnsiTheme="minorHAnsi" w:cstheme="minorBidi"/>
          <w:snapToGrid/>
          <w:sz w:val="24"/>
          <w:szCs w:val="22"/>
        </w:rPr>
        <w:t>The PBAC advised</w:t>
      </w:r>
      <w:r w:rsidR="00126C6C" w:rsidRPr="00994AE3">
        <w:rPr>
          <w:rFonts w:asciiTheme="minorHAnsi" w:eastAsiaTheme="minorHAnsi" w:hAnsiTheme="minorHAnsi" w:cstheme="minorBidi"/>
          <w:snapToGrid/>
          <w:sz w:val="24"/>
          <w:szCs w:val="22"/>
        </w:rPr>
        <w:t xml:space="preserve"> </w:t>
      </w:r>
      <w:r w:rsidR="00DD49E1" w:rsidRPr="00994AE3">
        <w:rPr>
          <w:rFonts w:asciiTheme="minorHAnsi" w:eastAsiaTheme="minorHAnsi" w:hAnsiTheme="minorHAnsi" w:cstheme="minorBidi"/>
          <w:snapToGrid/>
          <w:sz w:val="24"/>
          <w:szCs w:val="22"/>
        </w:rPr>
        <w:t xml:space="preserve">that in both the 2014 Asthma in Children Review report and the </w:t>
      </w:r>
      <w:r w:rsidR="00BB7EA4">
        <w:rPr>
          <w:rFonts w:asciiTheme="minorHAnsi" w:eastAsiaTheme="minorHAnsi" w:hAnsiTheme="minorHAnsi" w:cstheme="minorBidi"/>
          <w:snapToGrid/>
          <w:sz w:val="24"/>
          <w:szCs w:val="22"/>
        </w:rPr>
        <w:t xml:space="preserve">subsequent </w:t>
      </w:r>
      <w:r w:rsidR="00DD49E1" w:rsidRPr="00994AE3">
        <w:rPr>
          <w:rFonts w:asciiTheme="minorHAnsi" w:eastAsiaTheme="minorHAnsi" w:hAnsiTheme="minorHAnsi" w:cstheme="minorBidi"/>
          <w:snapToGrid/>
          <w:sz w:val="24"/>
          <w:szCs w:val="22"/>
        </w:rPr>
        <w:t xml:space="preserve">Evaluation Report of the </w:t>
      </w:r>
      <w:r w:rsidR="00BB7EA4">
        <w:rPr>
          <w:rFonts w:asciiTheme="minorHAnsi" w:eastAsiaTheme="minorHAnsi" w:hAnsiTheme="minorHAnsi" w:cstheme="minorBidi"/>
          <w:snapToGrid/>
          <w:sz w:val="24"/>
          <w:szCs w:val="22"/>
        </w:rPr>
        <w:t>r</w:t>
      </w:r>
      <w:r w:rsidR="00DD49E1" w:rsidRPr="00994AE3">
        <w:rPr>
          <w:rFonts w:asciiTheme="minorHAnsi" w:eastAsiaTheme="minorHAnsi" w:hAnsiTheme="minorHAnsi" w:cstheme="minorBidi"/>
          <w:snapToGrid/>
          <w:sz w:val="24"/>
          <w:szCs w:val="22"/>
        </w:rPr>
        <w:t>eview</w:t>
      </w:r>
      <w:r w:rsidR="00BB7EA4">
        <w:rPr>
          <w:rFonts w:asciiTheme="minorHAnsi" w:eastAsiaTheme="minorHAnsi" w:hAnsiTheme="minorHAnsi" w:cstheme="minorBidi"/>
          <w:snapToGrid/>
          <w:sz w:val="24"/>
          <w:szCs w:val="22"/>
        </w:rPr>
        <w:t>,</w:t>
      </w:r>
      <w:r w:rsidR="00DD49E1" w:rsidRPr="00994AE3">
        <w:rPr>
          <w:rFonts w:asciiTheme="minorHAnsi" w:eastAsiaTheme="minorHAnsi" w:hAnsiTheme="minorHAnsi" w:cstheme="minorBidi"/>
          <w:snapToGrid/>
          <w:sz w:val="24"/>
          <w:szCs w:val="22"/>
        </w:rPr>
        <w:t xml:space="preserve"> the term children was used in relation to patients aged 0 to 18 years of age.</w:t>
      </w:r>
      <w:r w:rsidR="00994AE3">
        <w:rPr>
          <w:rFonts w:asciiTheme="minorHAnsi" w:eastAsiaTheme="minorHAnsi" w:hAnsiTheme="minorHAnsi" w:cstheme="minorBidi"/>
          <w:snapToGrid/>
          <w:sz w:val="24"/>
          <w:szCs w:val="22"/>
        </w:rPr>
        <w:t xml:space="preserve"> </w:t>
      </w:r>
      <w:r w:rsidR="00994AE3" w:rsidRPr="00455FD9">
        <w:rPr>
          <w:rFonts w:asciiTheme="minorHAnsi" w:eastAsiaTheme="minorHAnsi" w:hAnsiTheme="minorHAnsi" w:cstheme="minorBidi"/>
          <w:snapToGrid/>
          <w:sz w:val="24"/>
          <w:szCs w:val="22"/>
        </w:rPr>
        <w:t xml:space="preserve">The PBAC </w:t>
      </w:r>
      <w:r w:rsidR="00994AE3">
        <w:rPr>
          <w:rFonts w:asciiTheme="minorHAnsi" w:eastAsiaTheme="minorHAnsi" w:hAnsiTheme="minorHAnsi" w:cstheme="minorBidi"/>
          <w:snapToGrid/>
          <w:sz w:val="24"/>
          <w:szCs w:val="22"/>
        </w:rPr>
        <w:t xml:space="preserve">also </w:t>
      </w:r>
      <w:r w:rsidR="00994AE3" w:rsidRPr="00455FD9">
        <w:rPr>
          <w:rFonts w:asciiTheme="minorHAnsi" w:eastAsiaTheme="minorHAnsi" w:hAnsiTheme="minorHAnsi" w:cstheme="minorBidi"/>
          <w:snapToGrid/>
          <w:sz w:val="24"/>
          <w:szCs w:val="22"/>
        </w:rPr>
        <w:t>noted that</w:t>
      </w:r>
      <w:r w:rsidR="00994AE3">
        <w:rPr>
          <w:rFonts w:asciiTheme="minorHAnsi" w:eastAsiaTheme="minorHAnsi" w:hAnsiTheme="minorHAnsi" w:cstheme="minorBidi"/>
          <w:snapToGrid/>
          <w:sz w:val="24"/>
          <w:szCs w:val="22"/>
        </w:rPr>
        <w:t xml:space="preserve"> </w:t>
      </w:r>
      <w:r w:rsidR="00994AE3" w:rsidRPr="00455FD9">
        <w:rPr>
          <w:rFonts w:asciiTheme="minorHAnsi" w:eastAsiaTheme="minorHAnsi" w:hAnsiTheme="minorHAnsi" w:cstheme="minorBidi"/>
          <w:snapToGrid/>
          <w:sz w:val="24"/>
          <w:szCs w:val="22"/>
        </w:rPr>
        <w:t>the change to an Authority Required (STREAMLINED) listing had been applied to other ICS/LABA FDC products w</w:t>
      </w:r>
      <w:r w:rsidR="00994AE3">
        <w:rPr>
          <w:rFonts w:asciiTheme="minorHAnsi" w:eastAsiaTheme="minorHAnsi" w:hAnsiTheme="minorHAnsi" w:cstheme="minorBidi"/>
          <w:snapToGrid/>
          <w:sz w:val="24"/>
          <w:szCs w:val="22"/>
        </w:rPr>
        <w:t>hose use is restricted to those aged 12 years and over</w:t>
      </w:r>
      <w:r w:rsidR="00994AE3" w:rsidRPr="00455FD9">
        <w:rPr>
          <w:rFonts w:asciiTheme="minorHAnsi" w:eastAsiaTheme="minorHAnsi" w:hAnsiTheme="minorHAnsi" w:cstheme="minorBidi"/>
          <w:snapToGrid/>
          <w:sz w:val="24"/>
          <w:szCs w:val="22"/>
        </w:rPr>
        <w:t>.</w:t>
      </w:r>
    </w:p>
    <w:p w:rsidR="00455FD9" w:rsidRPr="00994AE3" w:rsidRDefault="00994AE3" w:rsidP="00994AE3">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455FD9" w:rsidRPr="00994AE3">
        <w:rPr>
          <w:rFonts w:asciiTheme="minorHAnsi" w:eastAsiaTheme="minorHAnsi" w:hAnsiTheme="minorHAnsi" w:cstheme="minorBidi"/>
          <w:snapToGrid/>
          <w:sz w:val="24"/>
          <w:szCs w:val="22"/>
        </w:rPr>
        <w:t>he PBAC noted that fluticasone/</w:t>
      </w:r>
      <w:proofErr w:type="spellStart"/>
      <w:r w:rsidR="00455FD9" w:rsidRPr="00994AE3">
        <w:rPr>
          <w:rFonts w:asciiTheme="minorHAnsi" w:eastAsiaTheme="minorHAnsi" w:hAnsiTheme="minorHAnsi" w:cstheme="minorBidi"/>
          <w:snapToGrid/>
          <w:sz w:val="24"/>
          <w:szCs w:val="22"/>
        </w:rPr>
        <w:t>formoterol</w:t>
      </w:r>
      <w:proofErr w:type="spellEnd"/>
      <w:r w:rsidR="00455FD9" w:rsidRPr="00994AE3">
        <w:rPr>
          <w:rFonts w:asciiTheme="minorHAnsi" w:eastAsiaTheme="minorHAnsi" w:hAnsiTheme="minorHAnsi" w:cstheme="minorBidi"/>
          <w:snapToGrid/>
          <w:sz w:val="24"/>
          <w:szCs w:val="22"/>
        </w:rPr>
        <w:t xml:space="preserve"> was included in the Evaluation Report of the 2014 Asthma in Children Review</w:t>
      </w:r>
      <w:r w:rsidR="00BB7EA4">
        <w:rPr>
          <w:rFonts w:asciiTheme="minorHAnsi" w:eastAsiaTheme="minorHAnsi" w:hAnsiTheme="minorHAnsi" w:cstheme="minorBidi"/>
          <w:snapToGrid/>
          <w:sz w:val="24"/>
          <w:szCs w:val="22"/>
        </w:rPr>
        <w:t>, and</w:t>
      </w:r>
      <w:r>
        <w:rPr>
          <w:rFonts w:asciiTheme="minorHAnsi" w:eastAsiaTheme="minorHAnsi" w:hAnsiTheme="minorHAnsi" w:cstheme="minorBidi"/>
          <w:snapToGrid/>
          <w:sz w:val="24"/>
          <w:szCs w:val="22"/>
        </w:rPr>
        <w:t xml:space="preserve"> that </w:t>
      </w:r>
      <w:r w:rsidRPr="00D56A8F">
        <w:rPr>
          <w:rFonts w:asciiTheme="minorHAnsi" w:eastAsiaTheme="minorHAnsi" w:hAnsiTheme="minorHAnsi" w:cstheme="minorBidi"/>
          <w:snapToGrid/>
          <w:sz w:val="24"/>
          <w:szCs w:val="22"/>
        </w:rPr>
        <w:t>all sponsors, including the sponsor of fluticasone/</w:t>
      </w:r>
      <w:proofErr w:type="spellStart"/>
      <w:r w:rsidRPr="00D56A8F">
        <w:rPr>
          <w:rFonts w:asciiTheme="minorHAnsi" w:eastAsiaTheme="minorHAnsi" w:hAnsiTheme="minorHAnsi" w:cstheme="minorBidi"/>
          <w:snapToGrid/>
          <w:sz w:val="24"/>
          <w:szCs w:val="22"/>
        </w:rPr>
        <w:t>formoterol</w:t>
      </w:r>
      <w:proofErr w:type="spellEnd"/>
      <w:r>
        <w:rPr>
          <w:rFonts w:asciiTheme="minorHAnsi" w:eastAsiaTheme="minorHAnsi" w:hAnsiTheme="minorHAnsi" w:cstheme="minorBidi"/>
          <w:snapToGrid/>
          <w:sz w:val="24"/>
          <w:szCs w:val="22"/>
        </w:rPr>
        <w:t xml:space="preserve">, had been informed of and provided an opportunity to respond to the </w:t>
      </w:r>
      <w:r w:rsidRPr="00A67CEB">
        <w:rPr>
          <w:rFonts w:asciiTheme="minorHAnsi" w:eastAsiaTheme="minorHAnsi" w:hAnsiTheme="minorHAnsi" w:cstheme="minorBidi"/>
          <w:snapToGrid/>
          <w:sz w:val="24"/>
          <w:szCs w:val="22"/>
        </w:rPr>
        <w:t xml:space="preserve">Evaluation Report of the 2014 </w:t>
      </w:r>
      <w:r>
        <w:rPr>
          <w:rFonts w:asciiTheme="minorHAnsi" w:eastAsiaTheme="minorHAnsi" w:hAnsiTheme="minorHAnsi" w:cstheme="minorBidi"/>
          <w:snapToGrid/>
          <w:sz w:val="24"/>
          <w:szCs w:val="22"/>
        </w:rPr>
        <w:t>Asthma in C</w:t>
      </w:r>
      <w:r w:rsidRPr="00A67CEB">
        <w:rPr>
          <w:rFonts w:asciiTheme="minorHAnsi" w:eastAsiaTheme="minorHAnsi" w:hAnsiTheme="minorHAnsi" w:cstheme="minorBidi"/>
          <w:snapToGrid/>
          <w:sz w:val="24"/>
          <w:szCs w:val="22"/>
        </w:rPr>
        <w:t>hildren</w:t>
      </w:r>
      <w:r>
        <w:rPr>
          <w:rFonts w:asciiTheme="minorHAnsi" w:eastAsiaTheme="minorHAnsi" w:hAnsiTheme="minorHAnsi" w:cstheme="minorBidi"/>
          <w:snapToGrid/>
          <w:sz w:val="24"/>
          <w:szCs w:val="22"/>
        </w:rPr>
        <w:t xml:space="preserve"> Review</w:t>
      </w:r>
      <w:r w:rsidR="00BB7EA4">
        <w:rPr>
          <w:rFonts w:asciiTheme="minorHAnsi" w:eastAsiaTheme="minorHAnsi" w:hAnsiTheme="minorHAnsi" w:cstheme="minorBidi"/>
          <w:snapToGrid/>
          <w:sz w:val="24"/>
          <w:szCs w:val="22"/>
        </w:rPr>
        <w:t xml:space="preserve"> prior to the implementation of the change to restriction level</w:t>
      </w:r>
      <w:r>
        <w:rPr>
          <w:rFonts w:asciiTheme="minorHAnsi" w:eastAsiaTheme="minorHAnsi" w:hAnsiTheme="minorHAnsi" w:cstheme="minorBidi"/>
          <w:snapToGrid/>
          <w:sz w:val="24"/>
          <w:szCs w:val="22"/>
        </w:rPr>
        <w:t xml:space="preserve">. </w:t>
      </w:r>
    </w:p>
    <w:p w:rsidR="00455FD9" w:rsidRDefault="00C126D9" w:rsidP="00994AE3">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994AE3">
        <w:rPr>
          <w:rFonts w:asciiTheme="minorHAnsi" w:eastAsiaTheme="minorHAnsi" w:hAnsiTheme="minorHAnsi" w:cstheme="minorBidi"/>
          <w:snapToGrid/>
          <w:sz w:val="24"/>
          <w:szCs w:val="22"/>
        </w:rPr>
        <w:t>T</w:t>
      </w:r>
      <w:r w:rsidR="00DD49E1" w:rsidRPr="00994AE3">
        <w:rPr>
          <w:rFonts w:asciiTheme="minorHAnsi" w:eastAsiaTheme="minorHAnsi" w:hAnsiTheme="minorHAnsi" w:cstheme="minorBidi"/>
          <w:snapToGrid/>
          <w:sz w:val="24"/>
          <w:szCs w:val="22"/>
        </w:rPr>
        <w:t>he PBAC considered that concerns regarding high levels of initiation of asthma treatment with an ICS/LABA FDC rather than a</w:t>
      </w:r>
      <w:r w:rsidR="00D06DD1" w:rsidRPr="00994AE3">
        <w:rPr>
          <w:rFonts w:asciiTheme="minorHAnsi" w:eastAsiaTheme="minorHAnsi" w:hAnsiTheme="minorHAnsi" w:cstheme="minorBidi"/>
          <w:snapToGrid/>
          <w:sz w:val="24"/>
          <w:szCs w:val="22"/>
        </w:rPr>
        <w:t>n ICS alone were relevant to</w:t>
      </w:r>
      <w:r w:rsidR="00DD49E1" w:rsidRPr="00994AE3">
        <w:rPr>
          <w:rFonts w:asciiTheme="minorHAnsi" w:eastAsiaTheme="minorHAnsi" w:hAnsiTheme="minorHAnsi" w:cstheme="minorBidi"/>
          <w:snapToGrid/>
          <w:sz w:val="24"/>
          <w:szCs w:val="22"/>
        </w:rPr>
        <w:t xml:space="preserve"> both children a</w:t>
      </w:r>
      <w:r w:rsidR="00D06DD1" w:rsidRPr="00994AE3">
        <w:rPr>
          <w:rFonts w:asciiTheme="minorHAnsi" w:eastAsiaTheme="minorHAnsi" w:hAnsiTheme="minorHAnsi" w:cstheme="minorBidi"/>
          <w:snapToGrid/>
          <w:sz w:val="24"/>
          <w:szCs w:val="22"/>
        </w:rPr>
        <w:t>nd adults with the condition</w:t>
      </w:r>
      <w:r w:rsidR="00994AE3" w:rsidRPr="00994AE3">
        <w:rPr>
          <w:rFonts w:asciiTheme="minorHAnsi" w:eastAsiaTheme="minorHAnsi" w:hAnsiTheme="minorHAnsi" w:cstheme="minorBidi"/>
          <w:snapToGrid/>
          <w:sz w:val="24"/>
          <w:szCs w:val="22"/>
        </w:rPr>
        <w:t>. As such the PBAC reiterated that it</w:t>
      </w:r>
      <w:r w:rsidR="0012082B">
        <w:rPr>
          <w:rFonts w:asciiTheme="minorHAnsi" w:eastAsiaTheme="minorHAnsi" w:hAnsiTheme="minorHAnsi" w:cstheme="minorBidi"/>
          <w:snapToGrid/>
          <w:sz w:val="24"/>
          <w:szCs w:val="22"/>
        </w:rPr>
        <w:t xml:space="preserve">s </w:t>
      </w:r>
      <w:r w:rsidR="00994AE3" w:rsidRPr="00994AE3">
        <w:rPr>
          <w:rFonts w:asciiTheme="minorHAnsi" w:eastAsiaTheme="minorHAnsi" w:hAnsiTheme="minorHAnsi" w:cstheme="minorBidi"/>
          <w:snapToGrid/>
          <w:sz w:val="24"/>
          <w:szCs w:val="22"/>
        </w:rPr>
        <w:t>recommendation to increase the restriction level to Authority Required (STREAMLINED) remained appropriate for all ICS/LABA FDC inhalers, including fluticasone/</w:t>
      </w:r>
      <w:proofErr w:type="spellStart"/>
      <w:r w:rsidR="00994AE3" w:rsidRPr="00994AE3">
        <w:rPr>
          <w:rFonts w:asciiTheme="minorHAnsi" w:eastAsiaTheme="minorHAnsi" w:hAnsiTheme="minorHAnsi" w:cstheme="minorBidi"/>
          <w:snapToGrid/>
          <w:sz w:val="24"/>
          <w:szCs w:val="22"/>
        </w:rPr>
        <w:t>formoterol</w:t>
      </w:r>
      <w:proofErr w:type="spellEnd"/>
      <w:r w:rsidR="00994AE3" w:rsidRPr="00994AE3">
        <w:rPr>
          <w:rFonts w:asciiTheme="minorHAnsi" w:eastAsiaTheme="minorHAnsi" w:hAnsiTheme="minorHAnsi" w:cstheme="minorBidi"/>
          <w:snapToGrid/>
          <w:sz w:val="24"/>
          <w:szCs w:val="22"/>
        </w:rPr>
        <w:t xml:space="preserve">. </w:t>
      </w:r>
    </w:p>
    <w:p w:rsidR="00994AE3" w:rsidRPr="00994AE3" w:rsidRDefault="00994AE3" w:rsidP="00994AE3">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D56A8F">
        <w:rPr>
          <w:rFonts w:asciiTheme="minorHAnsi" w:eastAsiaTheme="minorHAnsi" w:hAnsiTheme="minorHAnsi" w:cstheme="minorBidi"/>
          <w:snapToGrid/>
          <w:sz w:val="24"/>
          <w:szCs w:val="22"/>
        </w:rPr>
        <w:t>T</w:t>
      </w:r>
      <w:r>
        <w:rPr>
          <w:rFonts w:asciiTheme="minorHAnsi" w:eastAsiaTheme="minorHAnsi" w:hAnsiTheme="minorHAnsi" w:cstheme="minorBidi"/>
          <w:snapToGrid/>
          <w:sz w:val="24"/>
          <w:szCs w:val="22"/>
        </w:rPr>
        <w:t xml:space="preserve">he PBAC considered </w:t>
      </w:r>
      <w:r w:rsidRPr="00D56A8F">
        <w:rPr>
          <w:rFonts w:asciiTheme="minorHAnsi" w:eastAsiaTheme="minorHAnsi" w:hAnsiTheme="minorHAnsi" w:cstheme="minorBidi"/>
          <w:snapToGrid/>
          <w:sz w:val="24"/>
          <w:szCs w:val="22"/>
        </w:rPr>
        <w:t xml:space="preserve">that the increase in restriction level of all ICS/LABA formulations </w:t>
      </w:r>
      <w:r w:rsidR="00BB7EA4">
        <w:rPr>
          <w:rFonts w:asciiTheme="minorHAnsi" w:eastAsiaTheme="minorHAnsi" w:hAnsiTheme="minorHAnsi" w:cstheme="minorBidi"/>
          <w:snapToGrid/>
          <w:sz w:val="24"/>
          <w:szCs w:val="22"/>
        </w:rPr>
        <w:t>does</w:t>
      </w:r>
      <w:r w:rsidR="00BB7EA4" w:rsidRPr="00D56A8F">
        <w:rPr>
          <w:rFonts w:asciiTheme="minorHAnsi" w:eastAsiaTheme="minorHAnsi" w:hAnsiTheme="minorHAnsi" w:cstheme="minorBidi"/>
          <w:snapToGrid/>
          <w:sz w:val="24"/>
          <w:szCs w:val="22"/>
        </w:rPr>
        <w:t xml:space="preserve"> </w:t>
      </w:r>
      <w:r w:rsidRPr="00D56A8F">
        <w:rPr>
          <w:rFonts w:asciiTheme="minorHAnsi" w:eastAsiaTheme="minorHAnsi" w:hAnsiTheme="minorHAnsi" w:cstheme="minorBidi"/>
          <w:snapToGrid/>
          <w:sz w:val="24"/>
          <w:szCs w:val="22"/>
        </w:rPr>
        <w:t xml:space="preserve">not limit or delay the </w:t>
      </w:r>
      <w:r w:rsidR="00425157">
        <w:rPr>
          <w:rFonts w:asciiTheme="minorHAnsi" w:eastAsiaTheme="minorHAnsi" w:hAnsiTheme="minorHAnsi" w:cstheme="minorBidi"/>
          <w:snapToGrid/>
          <w:sz w:val="24"/>
          <w:szCs w:val="22"/>
        </w:rPr>
        <w:t xml:space="preserve">appropriate </w:t>
      </w:r>
      <w:r w:rsidRPr="00D56A8F">
        <w:rPr>
          <w:rFonts w:asciiTheme="minorHAnsi" w:eastAsiaTheme="minorHAnsi" w:hAnsiTheme="minorHAnsi" w:cstheme="minorBidi"/>
          <w:snapToGrid/>
          <w:sz w:val="24"/>
          <w:szCs w:val="22"/>
        </w:rPr>
        <w:t xml:space="preserve">use of ICS/LABA FDCs in the populations which were prescribed these medicines under the previous Restricted Benefit listing. The </w:t>
      </w:r>
      <w:r>
        <w:rPr>
          <w:rFonts w:asciiTheme="minorHAnsi" w:eastAsiaTheme="minorHAnsi" w:hAnsiTheme="minorHAnsi" w:cstheme="minorBidi"/>
          <w:snapToGrid/>
          <w:sz w:val="24"/>
          <w:szCs w:val="22"/>
        </w:rPr>
        <w:t xml:space="preserve">PBAC noted that the </w:t>
      </w:r>
      <w:r w:rsidRPr="00D56A8F">
        <w:rPr>
          <w:rFonts w:asciiTheme="minorHAnsi" w:eastAsiaTheme="minorHAnsi" w:hAnsiTheme="minorHAnsi" w:cstheme="minorBidi"/>
          <w:snapToGrid/>
          <w:sz w:val="24"/>
          <w:szCs w:val="22"/>
        </w:rPr>
        <w:t>clinical criteria which determines patients’ eligibility for PBS subsidy of ICS/LABAs was not changed, despite the restriction level being increased to Authority Required (STREAMLINED).</w:t>
      </w:r>
    </w:p>
    <w:p w:rsidR="00C126D9" w:rsidRPr="00D56A8F" w:rsidRDefault="00C126D9" w:rsidP="00EA0838">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that this submission is not eligible for an Independent Review as an Independent Review is not available in response to a request to modify an existing restriction. </w:t>
      </w:r>
    </w:p>
    <w:p w:rsidR="00963F16" w:rsidRPr="00C126D9" w:rsidRDefault="00963F16" w:rsidP="00963F16">
      <w:pPr>
        <w:spacing w:before="240"/>
        <w:jc w:val="both"/>
        <w:rPr>
          <w:rFonts w:asciiTheme="minorHAnsi" w:hAnsiTheme="minorHAnsi" w:cs="Arial"/>
          <w:b/>
          <w:bCs/>
          <w:snapToGrid w:val="0"/>
          <w:lang w:val="en-GB"/>
        </w:rPr>
      </w:pPr>
      <w:r w:rsidRPr="00C126D9">
        <w:rPr>
          <w:rFonts w:asciiTheme="minorHAnsi" w:hAnsiTheme="minorHAnsi" w:cs="Arial"/>
          <w:b/>
          <w:bCs/>
          <w:snapToGrid w:val="0"/>
          <w:lang w:val="en-GB"/>
        </w:rPr>
        <w:t>Outcome:</w:t>
      </w:r>
    </w:p>
    <w:p w:rsidR="00963F16" w:rsidRPr="00535542" w:rsidRDefault="00963F16" w:rsidP="00535542">
      <w:pPr>
        <w:jc w:val="both"/>
        <w:rPr>
          <w:rFonts w:asciiTheme="minorHAnsi" w:hAnsiTheme="minorHAnsi" w:cs="Arial"/>
          <w:bCs/>
          <w:snapToGrid w:val="0"/>
          <w:lang w:val="en-GB"/>
        </w:rPr>
      </w:pPr>
      <w:r w:rsidRPr="00C126D9">
        <w:rPr>
          <w:rFonts w:asciiTheme="minorHAnsi" w:hAnsiTheme="minorHAnsi" w:cs="Arial"/>
          <w:bCs/>
          <w:snapToGrid w:val="0"/>
          <w:lang w:val="en-GB"/>
        </w:rPr>
        <w:t xml:space="preserve">Rejected </w:t>
      </w:r>
    </w:p>
    <w:p w:rsidR="00535542" w:rsidRPr="00C07617" w:rsidRDefault="00535542" w:rsidP="00535542">
      <w:pPr>
        <w:pStyle w:val="Heading1"/>
        <w:ind w:left="709" w:hanging="709"/>
        <w:rPr>
          <w:b w:val="0"/>
        </w:rPr>
      </w:pPr>
      <w:r w:rsidRPr="00C07617">
        <w:lastRenderedPageBreak/>
        <w:tab/>
        <w:t>Context for Decision</w:t>
      </w:r>
    </w:p>
    <w:p w:rsidR="00535542" w:rsidRPr="00535542" w:rsidRDefault="00535542" w:rsidP="00535542">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35542" w:rsidRPr="00C07617" w:rsidRDefault="00535542" w:rsidP="00535542">
      <w:pPr>
        <w:pStyle w:val="Heading1"/>
        <w:ind w:left="709" w:hanging="709"/>
        <w:rPr>
          <w:b w:val="0"/>
        </w:rPr>
      </w:pPr>
      <w:r>
        <w:t>Sponsor’s Comment</w:t>
      </w:r>
    </w:p>
    <w:p w:rsidR="00535542" w:rsidRPr="00C07617" w:rsidRDefault="00535542" w:rsidP="002E4DAD">
      <w:pPr>
        <w:spacing w:after="120"/>
        <w:jc w:val="both"/>
        <w:rPr>
          <w:rFonts w:asciiTheme="minorHAnsi" w:hAnsiTheme="minorHAnsi" w:cs="Arial"/>
          <w:bCs/>
        </w:rPr>
      </w:pPr>
      <w:r w:rsidRPr="00C07617">
        <w:rPr>
          <w:rFonts w:asciiTheme="minorHAnsi" w:hAnsiTheme="minorHAnsi" w:cs="Arial"/>
          <w:bCs/>
        </w:rPr>
        <w:t>The sponsor had no comment.</w:t>
      </w:r>
    </w:p>
    <w:p w:rsidR="00535542" w:rsidRPr="00095003" w:rsidRDefault="00535542" w:rsidP="00963F16">
      <w:pPr>
        <w:widowControl w:val="0"/>
        <w:jc w:val="both"/>
        <w:rPr>
          <w:rFonts w:asciiTheme="minorHAnsi" w:hAnsiTheme="minorHAnsi" w:cs="Arial"/>
          <w:b/>
          <w:bCs/>
          <w:snapToGrid w:val="0"/>
          <w:highlight w:val="yellow"/>
        </w:rPr>
      </w:pPr>
    </w:p>
    <w:sectPr w:rsidR="00535542" w:rsidRPr="0009500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554" w:rsidRDefault="00147554">
      <w:r>
        <w:separator/>
      </w:r>
    </w:p>
    <w:p w:rsidR="00147554" w:rsidRDefault="00147554"/>
  </w:endnote>
  <w:endnote w:type="continuationSeparator" w:id="0">
    <w:p w:rsidR="00147554" w:rsidRDefault="00147554">
      <w:r>
        <w:continuationSeparator/>
      </w:r>
    </w:p>
    <w:p w:rsidR="00147554" w:rsidRDefault="00147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algun Gothic Semilight"/>
    <w:panose1 w:val="02020500000000000000"/>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p w:rsidR="002B420D" w:rsidRDefault="002B42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117063"/>
      <w:docPartObj>
        <w:docPartGallery w:val="Page Numbers (Bottom of Page)"/>
        <w:docPartUnique/>
      </w:docPartObj>
    </w:sdtPr>
    <w:sdtEndPr>
      <w:rPr>
        <w:rFonts w:asciiTheme="minorHAnsi" w:hAnsiTheme="minorHAnsi" w:cstheme="minorHAnsi"/>
        <w:noProof/>
      </w:rPr>
    </w:sdtEndPr>
    <w:sdtContent>
      <w:p w:rsidR="00D56A8F" w:rsidRPr="00D56A8F" w:rsidRDefault="00D56A8F">
        <w:pPr>
          <w:pStyle w:val="Footer"/>
          <w:jc w:val="center"/>
          <w:rPr>
            <w:rFonts w:asciiTheme="minorHAnsi" w:hAnsiTheme="minorHAnsi" w:cstheme="minorHAnsi"/>
          </w:rPr>
        </w:pPr>
        <w:r w:rsidRPr="00D56A8F">
          <w:rPr>
            <w:rFonts w:asciiTheme="minorHAnsi" w:hAnsiTheme="minorHAnsi" w:cstheme="minorHAnsi"/>
          </w:rPr>
          <w:fldChar w:fldCharType="begin"/>
        </w:r>
        <w:r w:rsidRPr="00D56A8F">
          <w:rPr>
            <w:rFonts w:asciiTheme="minorHAnsi" w:hAnsiTheme="minorHAnsi" w:cstheme="minorHAnsi"/>
          </w:rPr>
          <w:instrText xml:space="preserve"> PAGE   \* MERGEFORMAT </w:instrText>
        </w:r>
        <w:r w:rsidRPr="00D56A8F">
          <w:rPr>
            <w:rFonts w:asciiTheme="minorHAnsi" w:hAnsiTheme="minorHAnsi" w:cstheme="minorHAnsi"/>
          </w:rPr>
          <w:fldChar w:fldCharType="separate"/>
        </w:r>
        <w:r w:rsidR="00475DCF">
          <w:rPr>
            <w:rFonts w:asciiTheme="minorHAnsi" w:hAnsiTheme="minorHAnsi" w:cstheme="minorHAnsi"/>
            <w:noProof/>
          </w:rPr>
          <w:t>3</w:t>
        </w:r>
        <w:r w:rsidRPr="00D56A8F">
          <w:rPr>
            <w:rFonts w:asciiTheme="minorHAnsi" w:hAnsiTheme="minorHAnsi" w:cstheme="minorHAnsi"/>
            <w:noProof/>
          </w:rPr>
          <w:fldChar w:fldCharType="end"/>
        </w:r>
      </w:p>
    </w:sdtContent>
  </w:sdt>
  <w:p w:rsidR="002B420D" w:rsidRDefault="002B420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p w:rsidR="002B420D" w:rsidRDefault="002B42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554" w:rsidRDefault="00147554">
      <w:r>
        <w:separator/>
      </w:r>
    </w:p>
    <w:p w:rsidR="00147554" w:rsidRDefault="00147554"/>
  </w:footnote>
  <w:footnote w:type="continuationSeparator" w:id="0">
    <w:p w:rsidR="00147554" w:rsidRDefault="00147554">
      <w:r>
        <w:continuationSeparator/>
      </w:r>
    </w:p>
    <w:p w:rsidR="00147554" w:rsidRDefault="001475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p w:rsidR="002B420D" w:rsidRDefault="002B42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8F" w:rsidRPr="00D56A8F" w:rsidRDefault="00F43A73" w:rsidP="00D56A8F">
    <w:pPr>
      <w:pStyle w:val="Header"/>
      <w:ind w:left="360"/>
      <w:jc w:val="center"/>
      <w:rPr>
        <w:rFonts w:asciiTheme="minorHAnsi" w:hAnsiTheme="minorHAnsi" w:cs="Arial"/>
        <w:i/>
      </w:rPr>
    </w:pPr>
    <w:r>
      <w:rPr>
        <w:rFonts w:asciiTheme="minorHAnsi" w:hAnsiTheme="minorHAnsi" w:cs="Arial"/>
        <w:i/>
      </w:rPr>
      <w:t>Public Summary Document</w:t>
    </w:r>
    <w:r w:rsidR="00D56A8F" w:rsidRPr="00D56A8F">
      <w:rPr>
        <w:rFonts w:asciiTheme="minorHAnsi" w:hAnsiTheme="minorHAnsi" w:cs="Arial"/>
        <w:i/>
      </w:rPr>
      <w:t xml:space="preserve"> – November 2018 PBAC Meeting</w:t>
    </w:r>
  </w:p>
  <w:p w:rsidR="002B420D" w:rsidRDefault="002B42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54" w:rsidRDefault="00147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6763"/>
    <w:multiLevelType w:val="hybridMultilevel"/>
    <w:tmpl w:val="15EA1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757387C"/>
    <w:multiLevelType w:val="hybridMultilevel"/>
    <w:tmpl w:val="2DC65D98"/>
    <w:lvl w:ilvl="0" w:tplc="BD2CB082">
      <w:start w:val="1"/>
      <w:numFmt w:val="bullet"/>
      <w:lvlText w:val=""/>
      <w:lvlJc w:val="left"/>
      <w:pPr>
        <w:tabs>
          <w:tab w:val="num" w:pos="360"/>
        </w:tabs>
        <w:ind w:left="360" w:hanging="360"/>
      </w:pPr>
      <w:rPr>
        <w:rFonts w:ascii="Symbol" w:hAnsi="Symbol" w:hint="default"/>
        <w:sz w:val="16"/>
        <w:szCs w:val="16"/>
      </w:rPr>
    </w:lvl>
    <w:lvl w:ilvl="1" w:tplc="6056252E">
      <w:start w:val="1"/>
      <w:numFmt w:val="bullet"/>
      <w:lvlText w:val="-"/>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36329A"/>
    <w:multiLevelType w:val="multilevel"/>
    <w:tmpl w:val="149AC0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366CB"/>
    <w:multiLevelType w:val="multilevel"/>
    <w:tmpl w:val="A97228E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D4E29142"/>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8"/>
  </w:num>
  <w:num w:numId="4">
    <w:abstractNumId w:val="18"/>
  </w:num>
  <w:num w:numId="5">
    <w:abstractNumId w:val="21"/>
  </w:num>
  <w:num w:numId="6">
    <w:abstractNumId w:val="9"/>
  </w:num>
  <w:num w:numId="7">
    <w:abstractNumId w:val="16"/>
  </w:num>
  <w:num w:numId="8">
    <w:abstractNumId w:val="5"/>
  </w:num>
  <w:num w:numId="9">
    <w:abstractNumId w:val="15"/>
  </w:num>
  <w:num w:numId="10">
    <w:abstractNumId w:val="14"/>
  </w:num>
  <w:num w:numId="11">
    <w:abstractNumId w:val="13"/>
  </w:num>
  <w:num w:numId="12">
    <w:abstractNumId w:val="1"/>
  </w:num>
  <w:num w:numId="13">
    <w:abstractNumId w:val="0"/>
  </w:num>
  <w:num w:numId="14">
    <w:abstractNumId w:val="21"/>
  </w:num>
  <w:num w:numId="15">
    <w:abstractNumId w:val="12"/>
  </w:num>
  <w:num w:numId="16">
    <w:abstractNumId w:val="17"/>
  </w:num>
  <w:num w:numId="17">
    <w:abstractNumId w:val="4"/>
  </w:num>
  <w:num w:numId="18">
    <w:abstractNumId w:val="6"/>
  </w:num>
  <w:num w:numId="19">
    <w:abstractNumId w:val="19"/>
  </w:num>
  <w:num w:numId="20">
    <w:abstractNumId w:val="20"/>
  </w:num>
  <w:num w:numId="21">
    <w:abstractNumId w:val="7"/>
  </w:num>
  <w:num w:numId="22">
    <w:abstractNumId w:val="2"/>
  </w:num>
  <w:num w:numId="23">
    <w:abstractNumId w:val="11"/>
  </w:num>
  <w:num w:numId="24">
    <w:abstractNumId w:val="21"/>
  </w:num>
  <w:num w:numId="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1644"/>
    <w:rsid w:val="0002464A"/>
    <w:rsid w:val="0003106B"/>
    <w:rsid w:val="00037FC7"/>
    <w:rsid w:val="000421A1"/>
    <w:rsid w:val="0004240E"/>
    <w:rsid w:val="00045E26"/>
    <w:rsid w:val="000514B5"/>
    <w:rsid w:val="00060E64"/>
    <w:rsid w:val="0006237A"/>
    <w:rsid w:val="00066755"/>
    <w:rsid w:val="0006708C"/>
    <w:rsid w:val="00077143"/>
    <w:rsid w:val="0008054A"/>
    <w:rsid w:val="00082169"/>
    <w:rsid w:val="00095003"/>
    <w:rsid w:val="00095303"/>
    <w:rsid w:val="000969AD"/>
    <w:rsid w:val="000B1739"/>
    <w:rsid w:val="000B558D"/>
    <w:rsid w:val="000C6996"/>
    <w:rsid w:val="000D23BA"/>
    <w:rsid w:val="000E2F7F"/>
    <w:rsid w:val="000E681E"/>
    <w:rsid w:val="000F0003"/>
    <w:rsid w:val="000F2A25"/>
    <w:rsid w:val="000F4E6A"/>
    <w:rsid w:val="00101EFE"/>
    <w:rsid w:val="00104227"/>
    <w:rsid w:val="001107BF"/>
    <w:rsid w:val="0012082B"/>
    <w:rsid w:val="0012417C"/>
    <w:rsid w:val="00126C6C"/>
    <w:rsid w:val="001370BF"/>
    <w:rsid w:val="00140A8C"/>
    <w:rsid w:val="00142395"/>
    <w:rsid w:val="00142714"/>
    <w:rsid w:val="001452ED"/>
    <w:rsid w:val="00145EE7"/>
    <w:rsid w:val="00147554"/>
    <w:rsid w:val="001603A7"/>
    <w:rsid w:val="00163329"/>
    <w:rsid w:val="00164623"/>
    <w:rsid w:val="00165B64"/>
    <w:rsid w:val="00170223"/>
    <w:rsid w:val="00180713"/>
    <w:rsid w:val="001830CE"/>
    <w:rsid w:val="0018643B"/>
    <w:rsid w:val="00196307"/>
    <w:rsid w:val="001A33EA"/>
    <w:rsid w:val="001B017F"/>
    <w:rsid w:val="001B1F50"/>
    <w:rsid w:val="001B2BBC"/>
    <w:rsid w:val="001B5129"/>
    <w:rsid w:val="001C1195"/>
    <w:rsid w:val="001F1850"/>
    <w:rsid w:val="00203FAC"/>
    <w:rsid w:val="00213CFB"/>
    <w:rsid w:val="00217BE1"/>
    <w:rsid w:val="00227BE5"/>
    <w:rsid w:val="00263763"/>
    <w:rsid w:val="00271BA1"/>
    <w:rsid w:val="002762FA"/>
    <w:rsid w:val="00277505"/>
    <w:rsid w:val="0028149A"/>
    <w:rsid w:val="00291225"/>
    <w:rsid w:val="0029458F"/>
    <w:rsid w:val="002A104C"/>
    <w:rsid w:val="002A4960"/>
    <w:rsid w:val="002A6AAC"/>
    <w:rsid w:val="002B1AE6"/>
    <w:rsid w:val="002B2DE8"/>
    <w:rsid w:val="002B30F8"/>
    <w:rsid w:val="002B420D"/>
    <w:rsid w:val="002B5596"/>
    <w:rsid w:val="002C0D82"/>
    <w:rsid w:val="002C212F"/>
    <w:rsid w:val="002D4543"/>
    <w:rsid w:val="002E3153"/>
    <w:rsid w:val="002E4DAD"/>
    <w:rsid w:val="002E72CA"/>
    <w:rsid w:val="002F600D"/>
    <w:rsid w:val="00300AD6"/>
    <w:rsid w:val="003068B9"/>
    <w:rsid w:val="00317C6C"/>
    <w:rsid w:val="00326E79"/>
    <w:rsid w:val="0033518A"/>
    <w:rsid w:val="003367EF"/>
    <w:rsid w:val="00341AE4"/>
    <w:rsid w:val="00353287"/>
    <w:rsid w:val="0038679D"/>
    <w:rsid w:val="003872CF"/>
    <w:rsid w:val="00392D2C"/>
    <w:rsid w:val="0039782C"/>
    <w:rsid w:val="003A5B4A"/>
    <w:rsid w:val="003B23C5"/>
    <w:rsid w:val="003B2A75"/>
    <w:rsid w:val="003B6124"/>
    <w:rsid w:val="003C2FB5"/>
    <w:rsid w:val="003D4AC4"/>
    <w:rsid w:val="003D63B7"/>
    <w:rsid w:val="003E2FE4"/>
    <w:rsid w:val="003E468B"/>
    <w:rsid w:val="003F3228"/>
    <w:rsid w:val="003F5C8C"/>
    <w:rsid w:val="00425157"/>
    <w:rsid w:val="004252EC"/>
    <w:rsid w:val="004307B9"/>
    <w:rsid w:val="004379C0"/>
    <w:rsid w:val="00440F7B"/>
    <w:rsid w:val="004465BD"/>
    <w:rsid w:val="00455FD9"/>
    <w:rsid w:val="00464D73"/>
    <w:rsid w:val="00466ADA"/>
    <w:rsid w:val="00475DCF"/>
    <w:rsid w:val="00476245"/>
    <w:rsid w:val="00483035"/>
    <w:rsid w:val="00485940"/>
    <w:rsid w:val="004A2484"/>
    <w:rsid w:val="004A5A85"/>
    <w:rsid w:val="004A71D1"/>
    <w:rsid w:val="004B0894"/>
    <w:rsid w:val="004B5640"/>
    <w:rsid w:val="004C1BD7"/>
    <w:rsid w:val="004C31FE"/>
    <w:rsid w:val="004C691D"/>
    <w:rsid w:val="004C6C07"/>
    <w:rsid w:val="004D7A2C"/>
    <w:rsid w:val="004E692D"/>
    <w:rsid w:val="00501554"/>
    <w:rsid w:val="00514CD7"/>
    <w:rsid w:val="005319B2"/>
    <w:rsid w:val="00532402"/>
    <w:rsid w:val="00532C74"/>
    <w:rsid w:val="00534E2E"/>
    <w:rsid w:val="00535542"/>
    <w:rsid w:val="005412C0"/>
    <w:rsid w:val="00544552"/>
    <w:rsid w:val="00546D03"/>
    <w:rsid w:val="00571DD2"/>
    <w:rsid w:val="00577C4D"/>
    <w:rsid w:val="00581932"/>
    <w:rsid w:val="005936AA"/>
    <w:rsid w:val="005963BB"/>
    <w:rsid w:val="00596961"/>
    <w:rsid w:val="005A3112"/>
    <w:rsid w:val="005A3173"/>
    <w:rsid w:val="005A3223"/>
    <w:rsid w:val="005A3DA3"/>
    <w:rsid w:val="005A52C4"/>
    <w:rsid w:val="005B1DE9"/>
    <w:rsid w:val="005B2A93"/>
    <w:rsid w:val="005D03AB"/>
    <w:rsid w:val="005D5017"/>
    <w:rsid w:val="005E1333"/>
    <w:rsid w:val="005E1982"/>
    <w:rsid w:val="00601A91"/>
    <w:rsid w:val="00602BA3"/>
    <w:rsid w:val="00606EED"/>
    <w:rsid w:val="00612E34"/>
    <w:rsid w:val="00614159"/>
    <w:rsid w:val="00617C00"/>
    <w:rsid w:val="006263BF"/>
    <w:rsid w:val="0062748A"/>
    <w:rsid w:val="00630A2C"/>
    <w:rsid w:val="006325EA"/>
    <w:rsid w:val="006340DD"/>
    <w:rsid w:val="0063682E"/>
    <w:rsid w:val="006436CD"/>
    <w:rsid w:val="00651169"/>
    <w:rsid w:val="00653D69"/>
    <w:rsid w:val="006670BE"/>
    <w:rsid w:val="00670A76"/>
    <w:rsid w:val="006711AA"/>
    <w:rsid w:val="00672B57"/>
    <w:rsid w:val="00675622"/>
    <w:rsid w:val="0067747D"/>
    <w:rsid w:val="006906DB"/>
    <w:rsid w:val="00691E6C"/>
    <w:rsid w:val="00696129"/>
    <w:rsid w:val="00697CF2"/>
    <w:rsid w:val="006A12A5"/>
    <w:rsid w:val="006A21DA"/>
    <w:rsid w:val="006A569F"/>
    <w:rsid w:val="006B0D94"/>
    <w:rsid w:val="006B485D"/>
    <w:rsid w:val="006C708E"/>
    <w:rsid w:val="006D14E7"/>
    <w:rsid w:val="006D6493"/>
    <w:rsid w:val="006D6EC7"/>
    <w:rsid w:val="006E68F5"/>
    <w:rsid w:val="006F5125"/>
    <w:rsid w:val="00702B6F"/>
    <w:rsid w:val="0071340B"/>
    <w:rsid w:val="007174BB"/>
    <w:rsid w:val="0072025D"/>
    <w:rsid w:val="0072157A"/>
    <w:rsid w:val="007353D3"/>
    <w:rsid w:val="0076420C"/>
    <w:rsid w:val="007753C2"/>
    <w:rsid w:val="007838B8"/>
    <w:rsid w:val="007A4D84"/>
    <w:rsid w:val="007B3FA5"/>
    <w:rsid w:val="007C0F57"/>
    <w:rsid w:val="007C3220"/>
    <w:rsid w:val="007C40B6"/>
    <w:rsid w:val="007C47F4"/>
    <w:rsid w:val="007C729F"/>
    <w:rsid w:val="007D6F5C"/>
    <w:rsid w:val="007E1D28"/>
    <w:rsid w:val="007F2641"/>
    <w:rsid w:val="007F7C36"/>
    <w:rsid w:val="00804F53"/>
    <w:rsid w:val="00805F51"/>
    <w:rsid w:val="00806796"/>
    <w:rsid w:val="008151D6"/>
    <w:rsid w:val="00826F6D"/>
    <w:rsid w:val="008306F3"/>
    <w:rsid w:val="008524FF"/>
    <w:rsid w:val="008564A4"/>
    <w:rsid w:val="00856ACF"/>
    <w:rsid w:val="00856DDD"/>
    <w:rsid w:val="0086160E"/>
    <w:rsid w:val="00863E68"/>
    <w:rsid w:val="00882085"/>
    <w:rsid w:val="00883188"/>
    <w:rsid w:val="00897D58"/>
    <w:rsid w:val="00897F22"/>
    <w:rsid w:val="008A1956"/>
    <w:rsid w:val="008A4937"/>
    <w:rsid w:val="008A50F1"/>
    <w:rsid w:val="008C6F0B"/>
    <w:rsid w:val="008D1B5C"/>
    <w:rsid w:val="008D3C82"/>
    <w:rsid w:val="008D447E"/>
    <w:rsid w:val="008D7A41"/>
    <w:rsid w:val="008E09A5"/>
    <w:rsid w:val="008E3680"/>
    <w:rsid w:val="008E5870"/>
    <w:rsid w:val="008F1434"/>
    <w:rsid w:val="008F4990"/>
    <w:rsid w:val="008F7355"/>
    <w:rsid w:val="009067B7"/>
    <w:rsid w:val="00930937"/>
    <w:rsid w:val="009320E7"/>
    <w:rsid w:val="00933E6C"/>
    <w:rsid w:val="0093484B"/>
    <w:rsid w:val="00937958"/>
    <w:rsid w:val="00942160"/>
    <w:rsid w:val="0095146F"/>
    <w:rsid w:val="009602C5"/>
    <w:rsid w:val="00962223"/>
    <w:rsid w:val="00963F16"/>
    <w:rsid w:val="00966D0D"/>
    <w:rsid w:val="00974C21"/>
    <w:rsid w:val="00994AE3"/>
    <w:rsid w:val="009B0F67"/>
    <w:rsid w:val="009B65C8"/>
    <w:rsid w:val="009C5446"/>
    <w:rsid w:val="009C703C"/>
    <w:rsid w:val="009D3CAA"/>
    <w:rsid w:val="009E40E1"/>
    <w:rsid w:val="009F4E46"/>
    <w:rsid w:val="009F507E"/>
    <w:rsid w:val="009F5B65"/>
    <w:rsid w:val="009F5F2E"/>
    <w:rsid w:val="00A06225"/>
    <w:rsid w:val="00A128E6"/>
    <w:rsid w:val="00A34E6C"/>
    <w:rsid w:val="00A37C8D"/>
    <w:rsid w:val="00A4082B"/>
    <w:rsid w:val="00A4116A"/>
    <w:rsid w:val="00A4663C"/>
    <w:rsid w:val="00A51C57"/>
    <w:rsid w:val="00A5273B"/>
    <w:rsid w:val="00A53A9D"/>
    <w:rsid w:val="00A55FEE"/>
    <w:rsid w:val="00A62C1A"/>
    <w:rsid w:val="00A6426D"/>
    <w:rsid w:val="00A642B4"/>
    <w:rsid w:val="00A665C1"/>
    <w:rsid w:val="00A67CEB"/>
    <w:rsid w:val="00A70622"/>
    <w:rsid w:val="00A70977"/>
    <w:rsid w:val="00A77613"/>
    <w:rsid w:val="00A8390C"/>
    <w:rsid w:val="00A85AFD"/>
    <w:rsid w:val="00A928BD"/>
    <w:rsid w:val="00AA03D9"/>
    <w:rsid w:val="00AA30D6"/>
    <w:rsid w:val="00AA4D1C"/>
    <w:rsid w:val="00AC193C"/>
    <w:rsid w:val="00AC5206"/>
    <w:rsid w:val="00AD572D"/>
    <w:rsid w:val="00AE11A5"/>
    <w:rsid w:val="00AE13E2"/>
    <w:rsid w:val="00AE22D3"/>
    <w:rsid w:val="00AF62DF"/>
    <w:rsid w:val="00AF68CC"/>
    <w:rsid w:val="00B1059E"/>
    <w:rsid w:val="00B16EB1"/>
    <w:rsid w:val="00B176C8"/>
    <w:rsid w:val="00B205AA"/>
    <w:rsid w:val="00B21CD6"/>
    <w:rsid w:val="00B22E84"/>
    <w:rsid w:val="00B25F75"/>
    <w:rsid w:val="00B26B3F"/>
    <w:rsid w:val="00B43E90"/>
    <w:rsid w:val="00B467DC"/>
    <w:rsid w:val="00B517E7"/>
    <w:rsid w:val="00B56118"/>
    <w:rsid w:val="00B6773F"/>
    <w:rsid w:val="00B801BA"/>
    <w:rsid w:val="00B830DA"/>
    <w:rsid w:val="00B84D5C"/>
    <w:rsid w:val="00B95DB2"/>
    <w:rsid w:val="00BB69F5"/>
    <w:rsid w:val="00BB7EA4"/>
    <w:rsid w:val="00BB7EC3"/>
    <w:rsid w:val="00BC4B9A"/>
    <w:rsid w:val="00BD784C"/>
    <w:rsid w:val="00BD7A6D"/>
    <w:rsid w:val="00BF4CB6"/>
    <w:rsid w:val="00C00DA7"/>
    <w:rsid w:val="00C126D9"/>
    <w:rsid w:val="00C12768"/>
    <w:rsid w:val="00C27B58"/>
    <w:rsid w:val="00C35996"/>
    <w:rsid w:val="00C4747E"/>
    <w:rsid w:val="00C5342C"/>
    <w:rsid w:val="00C603D4"/>
    <w:rsid w:val="00C6256A"/>
    <w:rsid w:val="00C65FD6"/>
    <w:rsid w:val="00C77891"/>
    <w:rsid w:val="00C91449"/>
    <w:rsid w:val="00C92D10"/>
    <w:rsid w:val="00C951BB"/>
    <w:rsid w:val="00CE10C4"/>
    <w:rsid w:val="00CE27B5"/>
    <w:rsid w:val="00D0321E"/>
    <w:rsid w:val="00D034A1"/>
    <w:rsid w:val="00D06CE5"/>
    <w:rsid w:val="00D06DD1"/>
    <w:rsid w:val="00D1455A"/>
    <w:rsid w:val="00D31150"/>
    <w:rsid w:val="00D3138B"/>
    <w:rsid w:val="00D3280C"/>
    <w:rsid w:val="00D3406A"/>
    <w:rsid w:val="00D4572C"/>
    <w:rsid w:val="00D469B2"/>
    <w:rsid w:val="00D46F58"/>
    <w:rsid w:val="00D56A8F"/>
    <w:rsid w:val="00D65A8F"/>
    <w:rsid w:val="00D741EB"/>
    <w:rsid w:val="00D83605"/>
    <w:rsid w:val="00D84934"/>
    <w:rsid w:val="00D860F6"/>
    <w:rsid w:val="00D91271"/>
    <w:rsid w:val="00D919F5"/>
    <w:rsid w:val="00D94F03"/>
    <w:rsid w:val="00DA2CB5"/>
    <w:rsid w:val="00DA4BAC"/>
    <w:rsid w:val="00DB1936"/>
    <w:rsid w:val="00DD49E1"/>
    <w:rsid w:val="00DE6D27"/>
    <w:rsid w:val="00DF217D"/>
    <w:rsid w:val="00DF26A7"/>
    <w:rsid w:val="00E15627"/>
    <w:rsid w:val="00E164B3"/>
    <w:rsid w:val="00E16910"/>
    <w:rsid w:val="00E231D2"/>
    <w:rsid w:val="00E42BDB"/>
    <w:rsid w:val="00E521F4"/>
    <w:rsid w:val="00E57EEB"/>
    <w:rsid w:val="00E62D94"/>
    <w:rsid w:val="00E64546"/>
    <w:rsid w:val="00E65E54"/>
    <w:rsid w:val="00E73431"/>
    <w:rsid w:val="00E80155"/>
    <w:rsid w:val="00E81F28"/>
    <w:rsid w:val="00E848C0"/>
    <w:rsid w:val="00E91B96"/>
    <w:rsid w:val="00E941A1"/>
    <w:rsid w:val="00E95CE3"/>
    <w:rsid w:val="00E969D0"/>
    <w:rsid w:val="00EA0838"/>
    <w:rsid w:val="00EA100A"/>
    <w:rsid w:val="00EA2825"/>
    <w:rsid w:val="00EB0B63"/>
    <w:rsid w:val="00EB1936"/>
    <w:rsid w:val="00EB1AEC"/>
    <w:rsid w:val="00EB5088"/>
    <w:rsid w:val="00ED1644"/>
    <w:rsid w:val="00ED2593"/>
    <w:rsid w:val="00ED7D9C"/>
    <w:rsid w:val="00EE2A40"/>
    <w:rsid w:val="00EF3DF1"/>
    <w:rsid w:val="00EF44A0"/>
    <w:rsid w:val="00EF4FED"/>
    <w:rsid w:val="00EF53B0"/>
    <w:rsid w:val="00F038B1"/>
    <w:rsid w:val="00F050BD"/>
    <w:rsid w:val="00F05657"/>
    <w:rsid w:val="00F25578"/>
    <w:rsid w:val="00F25860"/>
    <w:rsid w:val="00F258E5"/>
    <w:rsid w:val="00F300BC"/>
    <w:rsid w:val="00F3334E"/>
    <w:rsid w:val="00F36CCB"/>
    <w:rsid w:val="00F374E5"/>
    <w:rsid w:val="00F43A73"/>
    <w:rsid w:val="00F43AF2"/>
    <w:rsid w:val="00F5007E"/>
    <w:rsid w:val="00F50EC4"/>
    <w:rsid w:val="00F550CF"/>
    <w:rsid w:val="00F57A6D"/>
    <w:rsid w:val="00F62928"/>
    <w:rsid w:val="00F638CC"/>
    <w:rsid w:val="00F64CC1"/>
    <w:rsid w:val="00F706A6"/>
    <w:rsid w:val="00F72317"/>
    <w:rsid w:val="00F72C44"/>
    <w:rsid w:val="00F80475"/>
    <w:rsid w:val="00F8247A"/>
    <w:rsid w:val="00F9629A"/>
    <w:rsid w:val="00F97EFC"/>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805F51"/>
    <w:pPr>
      <w:keepNext/>
      <w:keepLines/>
      <w:widowControl/>
      <w:numPr>
        <w:numId w:val="5"/>
      </w:numPr>
      <w:spacing w:before="240" w:after="120"/>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F038B1"/>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805F51"/>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F038B1"/>
    <w:rPr>
      <w:rFonts w:asciiTheme="minorHAnsi" w:eastAsiaTheme="majorEastAsia" w:hAnsiTheme="minorHAnsi" w:cstheme="majorBidi"/>
      <w:b/>
      <w:i/>
      <w:sz w:val="28"/>
      <w:szCs w:val="28"/>
      <w:lang w:eastAsia="en-US"/>
    </w:rPr>
  </w:style>
  <w:style w:type="paragraph" w:customStyle="1" w:styleId="Default">
    <w:name w:val="Default"/>
    <w:rsid w:val="00EA100A"/>
    <w:pPr>
      <w:autoSpaceDE w:val="0"/>
      <w:autoSpaceDN w:val="0"/>
      <w:adjustRightInd w:val="0"/>
    </w:pPr>
    <w:rPr>
      <w:rFonts w:ascii="Arial" w:hAnsi="Arial" w:cs="Arial"/>
      <w:color w:val="000000"/>
      <w:sz w:val="24"/>
      <w:szCs w:val="24"/>
    </w:rPr>
  </w:style>
  <w:style w:type="paragraph" w:styleId="IntenseQuote">
    <w:name w:val="Intense Quote"/>
    <w:basedOn w:val="ListParagraph"/>
    <w:next w:val="Normal"/>
    <w:link w:val="IntenseQuoteChar"/>
    <w:uiPriority w:val="60"/>
    <w:qFormat/>
    <w:rsid w:val="007B3FA5"/>
    <w:pPr>
      <w:widowControl/>
      <w:spacing w:after="120"/>
      <w:ind w:left="0"/>
      <w:contextualSpacing w:val="0"/>
    </w:pPr>
    <w:rPr>
      <w:rFonts w:asciiTheme="minorHAnsi" w:eastAsiaTheme="minorHAnsi" w:hAnsiTheme="minorHAnsi" w:cstheme="minorBidi"/>
      <w:snapToGrid/>
      <w:sz w:val="24"/>
      <w:szCs w:val="22"/>
    </w:rPr>
  </w:style>
  <w:style w:type="character" w:customStyle="1" w:styleId="IntenseQuoteChar">
    <w:name w:val="Intense Quote Char"/>
    <w:basedOn w:val="DefaultParagraphFont"/>
    <w:link w:val="IntenseQuote"/>
    <w:uiPriority w:val="60"/>
    <w:rsid w:val="007B3FA5"/>
    <w:rPr>
      <w:rFonts w:asciiTheme="minorHAnsi" w:eastAsiaTheme="minorHAnsi" w:hAnsiTheme="minorHAnsi" w:cstheme="minorBidi"/>
      <w:sz w:val="24"/>
      <w:szCs w:val="22"/>
      <w:lang w:eastAsia="en-US"/>
    </w:rPr>
  </w:style>
  <w:style w:type="paragraph" w:customStyle="1" w:styleId="PBACheading10">
    <w:name w:val="PBAC heading 1"/>
    <w:qFormat/>
    <w:rsid w:val="00AA03D9"/>
    <w:pPr>
      <w:ind w:left="720" w:hanging="720"/>
      <w:outlineLvl w:val="0"/>
    </w:pPr>
    <w:rPr>
      <w:rFonts w:ascii="Arial" w:hAnsi="Arial" w:cs="Arial"/>
      <w:b/>
      <w:snapToGrid w:val="0"/>
      <w:sz w:val="22"/>
      <w:szCs w:val="22"/>
      <w:lang w:eastAsia="en-US"/>
    </w:rPr>
  </w:style>
  <w:style w:type="paragraph" w:styleId="Revision">
    <w:name w:val="Revision"/>
    <w:hidden/>
    <w:uiPriority w:val="71"/>
    <w:semiHidden/>
    <w:rsid w:val="00D06C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ABA0-EEEE-4519-9E91-56FA40AC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2019-02-21T22:56:00Z</dcterms:created>
  <dcterms:modified xsi:type="dcterms:W3CDTF">2019-02-26T02:34:00Z</dcterms:modified>
</cp:coreProperties>
</file>