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D9" w:rsidRDefault="006A11EC" w:rsidP="001F48D9">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6.13</w:t>
      </w:r>
      <w:r w:rsidR="006D6493" w:rsidRPr="002B5596">
        <w:rPr>
          <w:rFonts w:asciiTheme="minorHAnsi" w:hAnsiTheme="minorHAnsi"/>
          <w:sz w:val="36"/>
          <w:szCs w:val="36"/>
        </w:rPr>
        <w:tab/>
      </w:r>
      <w:r w:rsidR="00BD2057">
        <w:rPr>
          <w:rFonts w:asciiTheme="minorHAnsi" w:hAnsiTheme="minorHAnsi"/>
          <w:sz w:val="36"/>
          <w:szCs w:val="36"/>
        </w:rPr>
        <w:t>ETANERCEPT</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001F48D9" w:rsidRPr="001F48D9">
        <w:rPr>
          <w:rFonts w:asciiTheme="minorHAnsi" w:hAnsiTheme="minorHAnsi"/>
          <w:sz w:val="36"/>
          <w:szCs w:val="36"/>
        </w:rPr>
        <w:t>Injection 50 mg in 1 mL single use auto-injector, 4</w:t>
      </w:r>
      <w:r w:rsidR="001F48D9">
        <w:rPr>
          <w:rFonts w:asciiTheme="minorHAnsi" w:hAnsiTheme="minorHAnsi"/>
          <w:sz w:val="36"/>
          <w:szCs w:val="36"/>
        </w:rPr>
        <w:br/>
        <w:t>Injection</w:t>
      </w:r>
      <w:r w:rsidR="001F48D9" w:rsidRPr="001F48D9">
        <w:rPr>
          <w:rFonts w:asciiTheme="minorHAnsi" w:hAnsiTheme="minorHAnsi"/>
          <w:sz w:val="36"/>
          <w:szCs w:val="36"/>
        </w:rPr>
        <w:t xml:space="preserve"> 50 mg in 1 m</w:t>
      </w:r>
      <w:r w:rsidR="001F48D9">
        <w:rPr>
          <w:rFonts w:asciiTheme="minorHAnsi" w:hAnsiTheme="minorHAnsi"/>
          <w:sz w:val="36"/>
          <w:szCs w:val="36"/>
        </w:rPr>
        <w:t>L single use pre-filled syringe</w:t>
      </w:r>
      <w:r w:rsidR="001F48D9" w:rsidRPr="001F48D9">
        <w:rPr>
          <w:rFonts w:asciiTheme="minorHAnsi" w:hAnsiTheme="minorHAnsi"/>
          <w:sz w:val="36"/>
          <w:szCs w:val="36"/>
        </w:rPr>
        <w:t>, 4</w:t>
      </w:r>
      <w:r w:rsidR="006D6493" w:rsidRPr="002B5596">
        <w:rPr>
          <w:rFonts w:asciiTheme="minorHAnsi" w:hAnsiTheme="minorHAnsi"/>
          <w:sz w:val="36"/>
          <w:szCs w:val="36"/>
        </w:rPr>
        <w:br/>
      </w:r>
      <w:r w:rsidR="001F48D9">
        <w:rPr>
          <w:rFonts w:asciiTheme="minorHAnsi" w:hAnsiTheme="minorHAnsi"/>
          <w:sz w:val="36"/>
          <w:szCs w:val="36"/>
        </w:rPr>
        <w:t>Brenzys</w:t>
      </w:r>
      <w:r w:rsidR="006D6493" w:rsidRPr="00962F57">
        <w:rPr>
          <w:rFonts w:asciiTheme="minorHAnsi" w:hAnsiTheme="minorHAnsi"/>
          <w:sz w:val="36"/>
          <w:szCs w:val="36"/>
        </w:rPr>
        <w:t>®</w:t>
      </w:r>
      <w:r w:rsidR="006D6493" w:rsidRPr="002B5596">
        <w:rPr>
          <w:rFonts w:asciiTheme="minorHAnsi" w:hAnsiTheme="minorHAnsi"/>
          <w:sz w:val="36"/>
          <w:szCs w:val="36"/>
        </w:rPr>
        <w:t xml:space="preserve">, </w:t>
      </w:r>
      <w:r w:rsidR="001F48D9" w:rsidRPr="001F48D9">
        <w:rPr>
          <w:rFonts w:asciiTheme="minorHAnsi" w:hAnsiTheme="minorHAnsi"/>
          <w:sz w:val="36"/>
          <w:szCs w:val="36"/>
        </w:rPr>
        <w:t>Merck Sharp &amp; Dohme (Australia) Pty Ltd</w:t>
      </w:r>
    </w:p>
    <w:p w:rsidR="008A50F1" w:rsidRPr="00D4572C" w:rsidRDefault="00CE10C4" w:rsidP="00976F2A">
      <w:pPr>
        <w:pStyle w:val="PBACHeading1"/>
      </w:pPr>
      <w:r w:rsidRPr="00B678E6">
        <w:t xml:space="preserve">Purpose of </w:t>
      </w:r>
      <w:r w:rsidR="0004240E" w:rsidRPr="00B678E6">
        <w:t>Application</w:t>
      </w:r>
    </w:p>
    <w:p w:rsidR="00EF44A0" w:rsidRPr="00577C4D" w:rsidRDefault="00EF44A0" w:rsidP="001F48D9">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sought </w:t>
      </w:r>
      <w:r w:rsidR="00AF1FFB">
        <w:rPr>
          <w:rFonts w:asciiTheme="minorHAnsi" w:eastAsiaTheme="minorHAnsi" w:hAnsiTheme="minorHAnsi" w:cstheme="minorBidi"/>
          <w:snapToGrid/>
          <w:sz w:val="24"/>
          <w:szCs w:val="22"/>
        </w:rPr>
        <w:t>changes to the listing of the Brenzys</w:t>
      </w:r>
      <w:r w:rsidR="00BD0D8D" w:rsidRPr="00BD0D8D">
        <w:rPr>
          <w:rFonts w:asciiTheme="minorHAnsi" w:eastAsiaTheme="minorHAnsi" w:hAnsiTheme="minorHAnsi" w:cstheme="minorHAnsi"/>
          <w:snapToGrid/>
          <w:sz w:val="24"/>
          <w:szCs w:val="22"/>
        </w:rPr>
        <w:t>®</w:t>
      </w:r>
      <w:r w:rsidR="00AF1FFB">
        <w:rPr>
          <w:rFonts w:asciiTheme="minorHAnsi" w:eastAsiaTheme="minorHAnsi" w:hAnsiTheme="minorHAnsi" w:cstheme="minorBidi"/>
          <w:snapToGrid/>
          <w:sz w:val="24"/>
          <w:szCs w:val="22"/>
        </w:rPr>
        <w:t xml:space="preserve"> brand of etanercept with the intent of supporting</w:t>
      </w:r>
      <w:r w:rsidR="0076185B">
        <w:rPr>
          <w:rFonts w:asciiTheme="minorHAnsi" w:eastAsiaTheme="minorHAnsi" w:hAnsiTheme="minorHAnsi" w:cstheme="minorBidi"/>
          <w:snapToGrid/>
          <w:sz w:val="24"/>
          <w:szCs w:val="22"/>
        </w:rPr>
        <w:t xml:space="preserve"> further</w:t>
      </w:r>
      <w:r w:rsidR="00AF1FFB">
        <w:rPr>
          <w:rFonts w:asciiTheme="minorHAnsi" w:eastAsiaTheme="minorHAnsi" w:hAnsiTheme="minorHAnsi" w:cstheme="minorBidi"/>
          <w:snapToGrid/>
          <w:sz w:val="24"/>
          <w:szCs w:val="22"/>
        </w:rPr>
        <w:t xml:space="preserve"> uptake of </w:t>
      </w:r>
      <w:r w:rsidR="009C211E">
        <w:rPr>
          <w:rFonts w:asciiTheme="minorHAnsi" w:eastAsiaTheme="minorHAnsi" w:hAnsiTheme="minorHAnsi" w:cstheme="minorBidi"/>
          <w:snapToGrid/>
          <w:sz w:val="24"/>
          <w:szCs w:val="22"/>
        </w:rPr>
        <w:t>the biosimilar brand</w:t>
      </w:r>
      <w:r w:rsidR="00AF1FFB">
        <w:rPr>
          <w:rFonts w:asciiTheme="minorHAnsi" w:eastAsiaTheme="minorHAnsi" w:hAnsiTheme="minorHAnsi" w:cstheme="minorBidi"/>
          <w:snapToGrid/>
          <w:sz w:val="24"/>
          <w:szCs w:val="22"/>
        </w:rPr>
        <w:t>.</w:t>
      </w:r>
    </w:p>
    <w:p w:rsidR="006A12A5" w:rsidRPr="00577C4D" w:rsidRDefault="006A12A5" w:rsidP="00976F2A">
      <w:pPr>
        <w:pStyle w:val="PBACHeading1"/>
      </w:pPr>
      <w:r w:rsidRPr="002B5596">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AF1FFB">
        <w:rPr>
          <w:rFonts w:asciiTheme="minorHAnsi" w:eastAsiaTheme="minorHAnsi" w:hAnsiTheme="minorHAnsi" w:cstheme="minorBidi"/>
          <w:snapToGrid/>
          <w:sz w:val="24"/>
          <w:szCs w:val="22"/>
        </w:rPr>
        <w:t>requested three changes to the listing(s) of etanercept, including:</w:t>
      </w:r>
    </w:p>
    <w:p w:rsidR="00AF1FFB" w:rsidRDefault="00AF1FFB" w:rsidP="00AF1FFB">
      <w:pPr>
        <w:pStyle w:val="ListParagraph"/>
        <w:widowControl/>
        <w:numPr>
          <w:ilvl w:val="0"/>
          <w:numId w:val="15"/>
        </w:numPr>
        <w:spacing w:after="120"/>
        <w:ind w:left="1134" w:hanging="425"/>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Changing the authority level for initial 1, initial 2 and first continuing prescribing </w:t>
      </w:r>
      <w:r w:rsidR="00010936">
        <w:rPr>
          <w:rFonts w:asciiTheme="minorHAnsi" w:eastAsiaTheme="minorHAnsi" w:hAnsiTheme="minorHAnsi" w:cstheme="minorBidi"/>
          <w:snapToGrid/>
          <w:sz w:val="24"/>
          <w:szCs w:val="22"/>
        </w:rPr>
        <w:t xml:space="preserve">from a written authority </w:t>
      </w:r>
      <w:r>
        <w:rPr>
          <w:rFonts w:asciiTheme="minorHAnsi" w:eastAsiaTheme="minorHAnsi" w:hAnsiTheme="minorHAnsi" w:cstheme="minorBidi"/>
          <w:snapToGrid/>
          <w:sz w:val="24"/>
          <w:szCs w:val="22"/>
        </w:rPr>
        <w:t>to a telephone authority for the Brenzys brand of etanercept;</w:t>
      </w:r>
    </w:p>
    <w:p w:rsidR="00AF1FFB" w:rsidRDefault="002E53C5" w:rsidP="00AF1FFB">
      <w:pPr>
        <w:pStyle w:val="ListParagraph"/>
        <w:widowControl/>
        <w:numPr>
          <w:ilvl w:val="0"/>
          <w:numId w:val="15"/>
        </w:numPr>
        <w:spacing w:after="120"/>
        <w:ind w:left="1134" w:hanging="425"/>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For bDMARD/biologic-naïve patients,</w:t>
      </w:r>
      <w:r w:rsidR="00AF1FFB">
        <w:rPr>
          <w:rFonts w:asciiTheme="minorHAnsi" w:eastAsiaTheme="minorHAnsi" w:hAnsiTheme="minorHAnsi" w:cstheme="minorBidi"/>
          <w:snapToGrid/>
          <w:sz w:val="24"/>
          <w:szCs w:val="22"/>
        </w:rPr>
        <w:t xml:space="preserve"> having the use of a biosimilar</w:t>
      </w:r>
      <w:r>
        <w:rPr>
          <w:rFonts w:asciiTheme="minorHAnsi" w:eastAsiaTheme="minorHAnsi" w:hAnsiTheme="minorHAnsi" w:cstheme="minorBidi"/>
          <w:snapToGrid/>
          <w:sz w:val="24"/>
          <w:szCs w:val="22"/>
        </w:rPr>
        <w:t xml:space="preserve"> in the first instance not</w:t>
      </w:r>
      <w:r w:rsidR="00AF1FFB">
        <w:rPr>
          <w:rFonts w:asciiTheme="minorHAnsi" w:eastAsiaTheme="minorHAnsi" w:hAnsiTheme="minorHAnsi" w:cstheme="minorBidi"/>
          <w:snapToGrid/>
          <w:sz w:val="24"/>
          <w:szCs w:val="22"/>
        </w:rPr>
        <w:t xml:space="preserve"> count as a </w:t>
      </w:r>
      <w:r w:rsidR="00757B71">
        <w:rPr>
          <w:rFonts w:asciiTheme="minorHAnsi" w:eastAsiaTheme="minorHAnsi" w:hAnsiTheme="minorHAnsi" w:cstheme="minorBidi"/>
          <w:snapToGrid/>
          <w:sz w:val="24"/>
          <w:szCs w:val="22"/>
        </w:rPr>
        <w:t xml:space="preserve">treatment failure </w:t>
      </w:r>
      <w:r w:rsidR="00AF1FFB">
        <w:rPr>
          <w:rFonts w:asciiTheme="minorHAnsi" w:eastAsiaTheme="minorHAnsi" w:hAnsiTheme="minorHAnsi" w:cstheme="minorBidi"/>
          <w:snapToGrid/>
          <w:sz w:val="24"/>
          <w:szCs w:val="22"/>
        </w:rPr>
        <w:t>a</w:t>
      </w:r>
      <w:r w:rsidR="00757B71">
        <w:rPr>
          <w:rFonts w:asciiTheme="minorHAnsi" w:eastAsiaTheme="minorHAnsi" w:hAnsiTheme="minorHAnsi" w:cstheme="minorBidi"/>
          <w:snapToGrid/>
          <w:sz w:val="24"/>
          <w:szCs w:val="22"/>
        </w:rPr>
        <w:t>s part of a treatment cycle, as one of five agents in rheumatoid arthritis</w:t>
      </w:r>
      <w:r w:rsidR="00A34FEB">
        <w:rPr>
          <w:rFonts w:asciiTheme="minorHAnsi" w:eastAsiaTheme="minorHAnsi" w:hAnsiTheme="minorHAnsi" w:cstheme="minorBidi"/>
          <w:snapToGrid/>
          <w:sz w:val="24"/>
          <w:szCs w:val="22"/>
        </w:rPr>
        <w:t xml:space="preserve"> (RA)</w:t>
      </w:r>
      <w:r w:rsidR="00757B71">
        <w:rPr>
          <w:rFonts w:asciiTheme="minorHAnsi" w:eastAsiaTheme="minorHAnsi" w:hAnsiTheme="minorHAnsi" w:cstheme="minorBidi"/>
          <w:snapToGrid/>
          <w:sz w:val="24"/>
          <w:szCs w:val="22"/>
        </w:rPr>
        <w:t xml:space="preserve"> or three agents in ankylosing spondylitis</w:t>
      </w:r>
      <w:r w:rsidR="00A34FEB">
        <w:rPr>
          <w:rFonts w:asciiTheme="minorHAnsi" w:eastAsiaTheme="minorHAnsi" w:hAnsiTheme="minorHAnsi" w:cstheme="minorBidi"/>
          <w:snapToGrid/>
          <w:sz w:val="24"/>
          <w:szCs w:val="22"/>
        </w:rPr>
        <w:t xml:space="preserve"> (AS)</w:t>
      </w:r>
      <w:r w:rsidR="00757B71">
        <w:rPr>
          <w:rFonts w:asciiTheme="minorHAnsi" w:eastAsiaTheme="minorHAnsi" w:hAnsiTheme="minorHAnsi" w:cstheme="minorBidi"/>
          <w:snapToGrid/>
          <w:sz w:val="24"/>
          <w:szCs w:val="22"/>
        </w:rPr>
        <w:t>, psoriatic arthritis</w:t>
      </w:r>
      <w:r w:rsidR="00A34FEB">
        <w:rPr>
          <w:rFonts w:asciiTheme="minorHAnsi" w:eastAsiaTheme="minorHAnsi" w:hAnsiTheme="minorHAnsi" w:cstheme="minorBidi"/>
          <w:snapToGrid/>
          <w:sz w:val="24"/>
          <w:szCs w:val="22"/>
        </w:rPr>
        <w:t xml:space="preserve"> (PsA)</w:t>
      </w:r>
      <w:r w:rsidR="00757B71">
        <w:rPr>
          <w:rFonts w:asciiTheme="minorHAnsi" w:eastAsiaTheme="minorHAnsi" w:hAnsiTheme="minorHAnsi" w:cstheme="minorBidi"/>
          <w:snapToGrid/>
          <w:sz w:val="24"/>
          <w:szCs w:val="22"/>
        </w:rPr>
        <w:t xml:space="preserve"> or chronic plaque psoriasis</w:t>
      </w:r>
      <w:r w:rsidR="00A34FEB">
        <w:rPr>
          <w:rFonts w:asciiTheme="minorHAnsi" w:eastAsiaTheme="minorHAnsi" w:hAnsiTheme="minorHAnsi" w:cstheme="minorBidi"/>
          <w:snapToGrid/>
          <w:sz w:val="24"/>
          <w:szCs w:val="22"/>
        </w:rPr>
        <w:t xml:space="preserve"> (CPP)</w:t>
      </w:r>
      <w:r w:rsidR="00757B71">
        <w:rPr>
          <w:rFonts w:asciiTheme="minorHAnsi" w:eastAsiaTheme="minorHAnsi" w:hAnsiTheme="minorHAnsi" w:cstheme="minorBidi"/>
          <w:snapToGrid/>
          <w:sz w:val="24"/>
          <w:szCs w:val="22"/>
        </w:rPr>
        <w:t>; and</w:t>
      </w:r>
    </w:p>
    <w:p w:rsidR="00757B71" w:rsidRDefault="00757B71" w:rsidP="00AF1FFB">
      <w:pPr>
        <w:pStyle w:val="ListParagraph"/>
        <w:widowControl/>
        <w:numPr>
          <w:ilvl w:val="0"/>
          <w:numId w:val="15"/>
        </w:numPr>
        <w:spacing w:after="120"/>
        <w:ind w:left="1134" w:hanging="425"/>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Re-introduction of ‘a’ flagging the Brenzys</w:t>
      </w:r>
      <w:r w:rsidR="002E53C5">
        <w:rPr>
          <w:rFonts w:asciiTheme="minorHAnsi" w:eastAsiaTheme="minorHAnsi" w:hAnsiTheme="minorHAnsi" w:cstheme="minorBidi"/>
          <w:snapToGrid/>
          <w:sz w:val="24"/>
          <w:szCs w:val="22"/>
        </w:rPr>
        <w:t xml:space="preserve"> and Enbrel</w:t>
      </w:r>
      <w:r w:rsidR="002E53C5">
        <w:rPr>
          <w:rFonts w:asciiTheme="minorHAnsi" w:eastAsiaTheme="minorHAnsi" w:hAnsiTheme="minorHAnsi" w:cstheme="minorHAnsi"/>
          <w:snapToGrid/>
          <w:sz w:val="24"/>
          <w:szCs w:val="22"/>
          <w:vertAlign w:val="superscript"/>
        </w:rPr>
        <w:t>®</w:t>
      </w:r>
      <w:r>
        <w:rPr>
          <w:rFonts w:asciiTheme="minorHAnsi" w:eastAsiaTheme="minorHAnsi" w:hAnsiTheme="minorHAnsi" w:cstheme="minorBidi"/>
          <w:snapToGrid/>
          <w:sz w:val="24"/>
          <w:szCs w:val="22"/>
        </w:rPr>
        <w:t xml:space="preserve"> brand</w:t>
      </w:r>
      <w:r w:rsidR="002E53C5">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for the subsequent continuing treatment phase, such that written authority prescriptions for Enbrel can be substituted</w:t>
      </w:r>
      <w:r w:rsidR="0076185B">
        <w:rPr>
          <w:rFonts w:asciiTheme="minorHAnsi" w:eastAsiaTheme="minorHAnsi" w:hAnsiTheme="minorHAnsi" w:cstheme="minorBidi"/>
          <w:snapToGrid/>
          <w:sz w:val="24"/>
          <w:szCs w:val="22"/>
        </w:rPr>
        <w:t xml:space="preserve"> for biosimilars</w:t>
      </w:r>
      <w:r>
        <w:rPr>
          <w:rFonts w:asciiTheme="minorHAnsi" w:eastAsiaTheme="minorHAnsi" w:hAnsiTheme="minorHAnsi" w:cstheme="minorBidi"/>
          <w:snapToGrid/>
          <w:sz w:val="24"/>
          <w:szCs w:val="22"/>
        </w:rPr>
        <w:t xml:space="preserve"> at the ph</w:t>
      </w:r>
      <w:r w:rsidR="0076185B">
        <w:rPr>
          <w:rFonts w:asciiTheme="minorHAnsi" w:eastAsiaTheme="minorHAnsi" w:hAnsiTheme="minorHAnsi" w:cstheme="minorBidi"/>
          <w:snapToGrid/>
          <w:sz w:val="24"/>
          <w:szCs w:val="22"/>
        </w:rPr>
        <w:t>armacy level, in addition to the streamlined authority listing of Brenzys that currently exists.</w:t>
      </w:r>
    </w:p>
    <w:p w:rsidR="00C70F5A" w:rsidRDefault="00C456FA" w:rsidP="00C456F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w:t>
      </w:r>
      <w:r w:rsidR="00A62A9D" w:rsidRPr="00E20CFA">
        <w:rPr>
          <w:rFonts w:asciiTheme="minorHAnsi" w:eastAsiaTheme="minorHAnsi" w:hAnsiTheme="minorHAnsi" w:cstheme="minorBidi"/>
          <w:snapToGrid/>
          <w:sz w:val="24"/>
          <w:szCs w:val="22"/>
        </w:rPr>
        <w:t xml:space="preserve">ritten authorities for etanercept include </w:t>
      </w:r>
      <w:r w:rsidR="009456CA" w:rsidRPr="00E20CFA">
        <w:rPr>
          <w:rFonts w:asciiTheme="minorHAnsi" w:eastAsiaTheme="minorHAnsi" w:hAnsiTheme="minorHAnsi" w:cstheme="minorBidi"/>
          <w:snapToGrid/>
          <w:sz w:val="24"/>
          <w:szCs w:val="22"/>
        </w:rPr>
        <w:t xml:space="preserve">requirements for diagnostic test results and specific </w:t>
      </w:r>
      <w:r w:rsidR="00CC275F" w:rsidRPr="00E20CFA">
        <w:rPr>
          <w:rFonts w:asciiTheme="minorHAnsi" w:eastAsiaTheme="minorHAnsi" w:hAnsiTheme="minorHAnsi" w:cstheme="minorBidi"/>
          <w:snapToGrid/>
          <w:sz w:val="24"/>
          <w:szCs w:val="22"/>
        </w:rPr>
        <w:t xml:space="preserve">active joint counts and locations. These requirements cannot be verified by means of a telephone authority. As such, the implementation of a telephone authority for initial and first continuing prescriptions of etanercept would require a review of current </w:t>
      </w:r>
      <w:r w:rsidR="002E53C5" w:rsidRPr="00E20CFA">
        <w:rPr>
          <w:rFonts w:asciiTheme="minorHAnsi" w:eastAsiaTheme="minorHAnsi" w:hAnsiTheme="minorHAnsi" w:cstheme="minorBidi"/>
          <w:snapToGrid/>
          <w:sz w:val="24"/>
          <w:szCs w:val="22"/>
        </w:rPr>
        <w:t>restrictions to ensure</w:t>
      </w:r>
      <w:r w:rsidR="00CC275F" w:rsidRPr="00E20CFA">
        <w:rPr>
          <w:rFonts w:asciiTheme="minorHAnsi" w:eastAsiaTheme="minorHAnsi" w:hAnsiTheme="minorHAnsi" w:cstheme="minorBidi"/>
          <w:snapToGrid/>
          <w:sz w:val="24"/>
          <w:szCs w:val="22"/>
        </w:rPr>
        <w:t xml:space="preserve"> the</w:t>
      </w:r>
      <w:r>
        <w:rPr>
          <w:rFonts w:asciiTheme="minorHAnsi" w:eastAsiaTheme="minorHAnsi" w:hAnsiTheme="minorHAnsi" w:cstheme="minorBidi"/>
          <w:snapToGrid/>
          <w:sz w:val="24"/>
          <w:szCs w:val="22"/>
        </w:rPr>
        <w:t xml:space="preserve">y are assessable and auditable. </w:t>
      </w:r>
    </w:p>
    <w:p w:rsidR="000A2F7B" w:rsidRDefault="000A2F7B" w:rsidP="00C456F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456FA">
        <w:rPr>
          <w:rFonts w:asciiTheme="minorHAnsi" w:eastAsiaTheme="minorHAnsi" w:hAnsiTheme="minorHAnsi" w:cstheme="minorBidi"/>
          <w:snapToGrid/>
          <w:sz w:val="24"/>
          <w:szCs w:val="22"/>
        </w:rPr>
        <w:t>In its Pre-PBAC response, the sponsor provided a telephone authority checklist it considered may be an appropriate basis for administering a telephone authority listing of biosimilar etanercept on the PBS.</w:t>
      </w:r>
    </w:p>
    <w:p w:rsidR="006C2A1C" w:rsidRDefault="006C2A1C" w:rsidP="006C2A1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If a change to telephone authority was recommended for etanercept, it may also be appropriate for this to be extended to some or all of the other </w:t>
      </w:r>
      <w:r w:rsidR="00010936">
        <w:rPr>
          <w:rFonts w:asciiTheme="minorHAnsi" w:eastAsiaTheme="minorHAnsi" w:hAnsiTheme="minorHAnsi" w:cstheme="minorBidi"/>
          <w:snapToGrid/>
          <w:sz w:val="24"/>
          <w:szCs w:val="22"/>
        </w:rPr>
        <w:t>biosimilar medicines</w:t>
      </w:r>
      <w:r>
        <w:rPr>
          <w:rFonts w:asciiTheme="minorHAnsi" w:eastAsiaTheme="minorHAnsi" w:hAnsiTheme="minorHAnsi" w:cstheme="minorBidi"/>
          <w:snapToGrid/>
          <w:sz w:val="24"/>
          <w:szCs w:val="22"/>
        </w:rPr>
        <w:t xml:space="preserve"> </w:t>
      </w:r>
      <w:r w:rsidR="00010936">
        <w:rPr>
          <w:rFonts w:asciiTheme="minorHAnsi" w:eastAsiaTheme="minorHAnsi" w:hAnsiTheme="minorHAnsi" w:cstheme="minorBidi"/>
          <w:snapToGrid/>
          <w:sz w:val="24"/>
          <w:szCs w:val="22"/>
        </w:rPr>
        <w:t xml:space="preserve">listed on the PBS currently or into the future. </w:t>
      </w:r>
      <w:r>
        <w:rPr>
          <w:rFonts w:asciiTheme="minorHAnsi" w:eastAsiaTheme="minorHAnsi" w:hAnsiTheme="minorHAnsi" w:cstheme="minorBidi"/>
          <w:snapToGrid/>
          <w:sz w:val="24"/>
          <w:szCs w:val="22"/>
        </w:rPr>
        <w:t xml:space="preserve"> </w:t>
      </w:r>
    </w:p>
    <w:p w:rsidR="00010936" w:rsidRDefault="00CC275F" w:rsidP="000109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C2A1C">
        <w:rPr>
          <w:rFonts w:asciiTheme="minorHAnsi" w:eastAsiaTheme="minorHAnsi" w:hAnsiTheme="minorHAnsi" w:cstheme="minorBidi"/>
          <w:snapToGrid/>
          <w:sz w:val="24"/>
          <w:szCs w:val="22"/>
        </w:rPr>
        <w:t xml:space="preserve">The </w:t>
      </w:r>
      <w:r w:rsidR="00244D5A" w:rsidRPr="006C2A1C">
        <w:rPr>
          <w:rFonts w:asciiTheme="minorHAnsi" w:eastAsiaTheme="minorHAnsi" w:hAnsiTheme="minorHAnsi" w:cstheme="minorBidi"/>
          <w:snapToGrid/>
          <w:sz w:val="24"/>
          <w:szCs w:val="22"/>
        </w:rPr>
        <w:t>request</w:t>
      </w:r>
      <w:r w:rsidRPr="006C2A1C">
        <w:rPr>
          <w:rFonts w:asciiTheme="minorHAnsi" w:eastAsiaTheme="minorHAnsi" w:hAnsiTheme="minorHAnsi" w:cstheme="minorBidi"/>
          <w:snapToGrid/>
          <w:sz w:val="24"/>
          <w:szCs w:val="22"/>
        </w:rPr>
        <w:t xml:space="preserve"> for b</w:t>
      </w:r>
      <w:r w:rsidR="00A36396" w:rsidRPr="006C2A1C">
        <w:rPr>
          <w:rFonts w:asciiTheme="minorHAnsi" w:eastAsiaTheme="minorHAnsi" w:hAnsiTheme="minorHAnsi" w:cstheme="minorBidi"/>
          <w:snapToGrid/>
          <w:sz w:val="24"/>
          <w:szCs w:val="22"/>
        </w:rPr>
        <w:t>DMARD</w:t>
      </w:r>
      <w:r w:rsidRPr="006C2A1C">
        <w:rPr>
          <w:rFonts w:asciiTheme="minorHAnsi" w:eastAsiaTheme="minorHAnsi" w:hAnsiTheme="minorHAnsi" w:cstheme="minorBidi"/>
          <w:snapToGrid/>
          <w:sz w:val="24"/>
          <w:szCs w:val="22"/>
        </w:rPr>
        <w:t>-naïve patients</w:t>
      </w:r>
      <w:r w:rsidR="00A34FEB" w:rsidRPr="006C2A1C">
        <w:rPr>
          <w:rFonts w:asciiTheme="minorHAnsi" w:eastAsiaTheme="minorHAnsi" w:hAnsiTheme="minorHAnsi" w:cstheme="minorBidi"/>
          <w:snapToGrid/>
          <w:sz w:val="24"/>
          <w:szCs w:val="22"/>
        </w:rPr>
        <w:t xml:space="preserve"> to</w:t>
      </w:r>
      <w:r w:rsidR="00A36396" w:rsidRPr="006C2A1C">
        <w:rPr>
          <w:rFonts w:asciiTheme="minorHAnsi" w:eastAsiaTheme="minorHAnsi" w:hAnsiTheme="minorHAnsi" w:cstheme="minorBidi"/>
          <w:snapToGrid/>
          <w:sz w:val="24"/>
          <w:szCs w:val="22"/>
        </w:rPr>
        <w:t xml:space="preserve"> have use of a biosimilar brand</w:t>
      </w:r>
      <w:r w:rsidR="00A34FEB" w:rsidRPr="006C2A1C">
        <w:rPr>
          <w:rFonts w:asciiTheme="minorHAnsi" w:eastAsiaTheme="minorHAnsi" w:hAnsiTheme="minorHAnsi" w:cstheme="minorBidi"/>
          <w:snapToGrid/>
          <w:sz w:val="24"/>
          <w:szCs w:val="22"/>
        </w:rPr>
        <w:t xml:space="preserve"> in the first instance not</w:t>
      </w:r>
      <w:r w:rsidR="00A36396" w:rsidRPr="006C2A1C">
        <w:rPr>
          <w:rFonts w:asciiTheme="minorHAnsi" w:eastAsiaTheme="minorHAnsi" w:hAnsiTheme="minorHAnsi" w:cstheme="minorBidi"/>
          <w:snapToGrid/>
          <w:sz w:val="24"/>
          <w:szCs w:val="22"/>
        </w:rPr>
        <w:t xml:space="preserve"> count</w:t>
      </w:r>
      <w:r w:rsidR="00244D5A" w:rsidRPr="006C2A1C">
        <w:rPr>
          <w:rFonts w:asciiTheme="minorHAnsi" w:eastAsiaTheme="minorHAnsi" w:hAnsiTheme="minorHAnsi" w:cstheme="minorBidi"/>
          <w:snapToGrid/>
          <w:sz w:val="24"/>
          <w:szCs w:val="22"/>
        </w:rPr>
        <w:t>ed</w:t>
      </w:r>
      <w:r w:rsidR="00A36396" w:rsidRPr="006C2A1C">
        <w:rPr>
          <w:rFonts w:asciiTheme="minorHAnsi" w:eastAsiaTheme="minorHAnsi" w:hAnsiTheme="minorHAnsi" w:cstheme="minorBidi"/>
          <w:snapToGrid/>
          <w:sz w:val="24"/>
          <w:szCs w:val="22"/>
        </w:rPr>
        <w:t xml:space="preserve"> as</w:t>
      </w:r>
      <w:r w:rsidR="00244D5A" w:rsidRPr="006C2A1C">
        <w:rPr>
          <w:rFonts w:asciiTheme="minorHAnsi" w:eastAsiaTheme="minorHAnsi" w:hAnsiTheme="minorHAnsi" w:cstheme="minorBidi"/>
          <w:snapToGrid/>
          <w:sz w:val="24"/>
          <w:szCs w:val="22"/>
        </w:rPr>
        <w:t xml:space="preserve"> part of</w:t>
      </w:r>
      <w:r w:rsidR="00A36396" w:rsidRPr="006C2A1C">
        <w:rPr>
          <w:rFonts w:asciiTheme="minorHAnsi" w:eastAsiaTheme="minorHAnsi" w:hAnsiTheme="minorHAnsi" w:cstheme="minorBidi"/>
          <w:snapToGrid/>
          <w:sz w:val="24"/>
          <w:szCs w:val="22"/>
        </w:rPr>
        <w:t xml:space="preserve"> a </w:t>
      </w:r>
      <w:r w:rsidR="00244D5A" w:rsidRPr="006C2A1C">
        <w:rPr>
          <w:rFonts w:asciiTheme="minorHAnsi" w:eastAsiaTheme="minorHAnsi" w:hAnsiTheme="minorHAnsi" w:cstheme="minorBidi"/>
          <w:snapToGrid/>
          <w:sz w:val="24"/>
          <w:szCs w:val="22"/>
        </w:rPr>
        <w:t>t</w:t>
      </w:r>
      <w:r w:rsidR="00A36396" w:rsidRPr="006C2A1C">
        <w:rPr>
          <w:rFonts w:asciiTheme="minorHAnsi" w:eastAsiaTheme="minorHAnsi" w:hAnsiTheme="minorHAnsi" w:cstheme="minorBidi"/>
          <w:snapToGrid/>
          <w:sz w:val="24"/>
          <w:szCs w:val="22"/>
        </w:rPr>
        <w:t>reatment cycle</w:t>
      </w:r>
      <w:r w:rsidR="00A34FEB" w:rsidRPr="006C2A1C">
        <w:rPr>
          <w:rFonts w:asciiTheme="minorHAnsi" w:eastAsiaTheme="minorHAnsi" w:hAnsiTheme="minorHAnsi" w:cstheme="minorBidi"/>
          <w:snapToGrid/>
          <w:sz w:val="24"/>
          <w:szCs w:val="22"/>
        </w:rPr>
        <w:t xml:space="preserve"> (five treatments </w:t>
      </w:r>
      <w:r w:rsidR="006C2A1C" w:rsidRPr="006C2A1C">
        <w:rPr>
          <w:rFonts w:asciiTheme="minorHAnsi" w:eastAsiaTheme="minorHAnsi" w:hAnsiTheme="minorHAnsi" w:cstheme="minorBidi"/>
          <w:snapToGrid/>
          <w:sz w:val="24"/>
          <w:szCs w:val="22"/>
        </w:rPr>
        <w:t xml:space="preserve">in a lifetime </w:t>
      </w:r>
      <w:r w:rsidR="00A34FEB" w:rsidRPr="006C2A1C">
        <w:rPr>
          <w:rFonts w:asciiTheme="minorHAnsi" w:eastAsiaTheme="minorHAnsi" w:hAnsiTheme="minorHAnsi" w:cstheme="minorBidi"/>
          <w:snapToGrid/>
          <w:sz w:val="24"/>
          <w:szCs w:val="22"/>
        </w:rPr>
        <w:t xml:space="preserve">for RA, three </w:t>
      </w:r>
      <w:r w:rsidR="006C2A1C" w:rsidRPr="006C2A1C">
        <w:rPr>
          <w:rFonts w:asciiTheme="minorHAnsi" w:eastAsiaTheme="minorHAnsi" w:hAnsiTheme="minorHAnsi" w:cstheme="minorBidi"/>
          <w:snapToGrid/>
          <w:sz w:val="24"/>
          <w:szCs w:val="22"/>
        </w:rPr>
        <w:t xml:space="preserve">treatments </w:t>
      </w:r>
      <w:r w:rsidR="00AB00A4">
        <w:rPr>
          <w:rFonts w:asciiTheme="minorHAnsi" w:eastAsiaTheme="minorHAnsi" w:hAnsiTheme="minorHAnsi" w:cstheme="minorBidi"/>
          <w:snapToGrid/>
          <w:sz w:val="24"/>
          <w:szCs w:val="22"/>
        </w:rPr>
        <w:t xml:space="preserve">followed by a five year break </w:t>
      </w:r>
      <w:r w:rsidR="00A34FEB" w:rsidRPr="006C2A1C">
        <w:rPr>
          <w:rFonts w:asciiTheme="minorHAnsi" w:eastAsiaTheme="minorHAnsi" w:hAnsiTheme="minorHAnsi" w:cstheme="minorBidi"/>
          <w:snapToGrid/>
          <w:sz w:val="24"/>
          <w:szCs w:val="22"/>
        </w:rPr>
        <w:t>for PsA, AS and CPP)</w:t>
      </w:r>
      <w:r w:rsidR="00244D5A" w:rsidRPr="006C2A1C">
        <w:rPr>
          <w:rFonts w:asciiTheme="minorHAnsi" w:eastAsiaTheme="minorHAnsi" w:hAnsiTheme="minorHAnsi" w:cstheme="minorBidi"/>
          <w:snapToGrid/>
          <w:sz w:val="24"/>
          <w:szCs w:val="22"/>
        </w:rPr>
        <w:t xml:space="preserve"> </w:t>
      </w:r>
      <w:r w:rsidR="002E53C5" w:rsidRPr="006C2A1C">
        <w:rPr>
          <w:rFonts w:asciiTheme="minorHAnsi" w:eastAsiaTheme="minorHAnsi" w:hAnsiTheme="minorHAnsi" w:cstheme="minorBidi"/>
          <w:snapToGrid/>
          <w:sz w:val="24"/>
          <w:szCs w:val="22"/>
        </w:rPr>
        <w:t>would affect the</w:t>
      </w:r>
      <w:r w:rsidR="00E91F89" w:rsidRPr="006C2A1C">
        <w:rPr>
          <w:rFonts w:asciiTheme="minorHAnsi" w:eastAsiaTheme="minorHAnsi" w:hAnsiTheme="minorHAnsi" w:cstheme="minorBidi"/>
          <w:snapToGrid/>
          <w:sz w:val="24"/>
          <w:szCs w:val="22"/>
        </w:rPr>
        <w:t xml:space="preserve"> basis on which bDMARDs</w:t>
      </w:r>
      <w:r w:rsidR="002E53C5" w:rsidRPr="006C2A1C">
        <w:rPr>
          <w:rFonts w:asciiTheme="minorHAnsi" w:eastAsiaTheme="minorHAnsi" w:hAnsiTheme="minorHAnsi" w:cstheme="minorBidi"/>
          <w:snapToGrid/>
          <w:sz w:val="24"/>
          <w:szCs w:val="22"/>
        </w:rPr>
        <w:t xml:space="preserve"> (as a group of therapies)</w:t>
      </w:r>
      <w:r w:rsidR="00E91F89" w:rsidRPr="006C2A1C">
        <w:rPr>
          <w:rFonts w:asciiTheme="minorHAnsi" w:eastAsiaTheme="minorHAnsi" w:hAnsiTheme="minorHAnsi" w:cstheme="minorBidi"/>
          <w:snapToGrid/>
          <w:sz w:val="24"/>
          <w:szCs w:val="22"/>
        </w:rPr>
        <w:t xml:space="preserve"> are currently listed for a range </w:t>
      </w:r>
      <w:r w:rsidR="00E91F89" w:rsidRPr="006C2A1C">
        <w:rPr>
          <w:rFonts w:asciiTheme="minorHAnsi" w:eastAsiaTheme="minorHAnsi" w:hAnsiTheme="minorHAnsi" w:cstheme="minorBidi"/>
          <w:snapToGrid/>
          <w:sz w:val="24"/>
          <w:szCs w:val="22"/>
        </w:rPr>
        <w:lastRenderedPageBreak/>
        <w:t>of indications</w:t>
      </w:r>
      <w:r w:rsidR="00244D5A" w:rsidRPr="006C2A1C">
        <w:rPr>
          <w:rFonts w:asciiTheme="minorHAnsi" w:eastAsiaTheme="minorHAnsi" w:hAnsiTheme="minorHAnsi" w:cstheme="minorBidi"/>
          <w:snapToGrid/>
          <w:sz w:val="24"/>
          <w:szCs w:val="22"/>
        </w:rPr>
        <w:t xml:space="preserve">. </w:t>
      </w:r>
      <w:r w:rsidR="006C2A1C">
        <w:rPr>
          <w:rFonts w:asciiTheme="minorHAnsi" w:eastAsiaTheme="minorHAnsi" w:hAnsiTheme="minorHAnsi" w:cstheme="minorBidi"/>
          <w:snapToGrid/>
          <w:sz w:val="24"/>
          <w:szCs w:val="22"/>
        </w:rPr>
        <w:t xml:space="preserve">The </w:t>
      </w:r>
      <w:r w:rsidR="006C2A1C" w:rsidRPr="006C2A1C">
        <w:rPr>
          <w:rFonts w:asciiTheme="minorHAnsi" w:eastAsiaTheme="minorHAnsi" w:hAnsiTheme="minorHAnsi" w:cstheme="minorBidi"/>
          <w:snapToGrid/>
          <w:sz w:val="24"/>
          <w:szCs w:val="22"/>
        </w:rPr>
        <w:t xml:space="preserve">clinical and economic implications of </w:t>
      </w:r>
      <w:r w:rsidR="006C2A1C">
        <w:rPr>
          <w:rFonts w:asciiTheme="minorHAnsi" w:eastAsiaTheme="minorHAnsi" w:hAnsiTheme="minorHAnsi" w:cstheme="minorBidi"/>
          <w:snapToGrid/>
          <w:sz w:val="24"/>
          <w:szCs w:val="22"/>
        </w:rPr>
        <w:t xml:space="preserve">this change have not been </w:t>
      </w:r>
      <w:r w:rsidR="00010936">
        <w:rPr>
          <w:rFonts w:asciiTheme="minorHAnsi" w:eastAsiaTheme="minorHAnsi" w:hAnsiTheme="minorHAnsi" w:cstheme="minorBidi"/>
          <w:snapToGrid/>
          <w:sz w:val="24"/>
          <w:szCs w:val="22"/>
        </w:rPr>
        <w:t xml:space="preserve">discussed </w:t>
      </w:r>
      <w:r w:rsidR="006C2A1C">
        <w:rPr>
          <w:rFonts w:asciiTheme="minorHAnsi" w:eastAsiaTheme="minorHAnsi" w:hAnsiTheme="minorHAnsi" w:cstheme="minorBidi"/>
          <w:snapToGrid/>
          <w:sz w:val="24"/>
          <w:szCs w:val="22"/>
        </w:rPr>
        <w:t xml:space="preserve">in the submission. </w:t>
      </w:r>
      <w:r w:rsidR="006C2A1C" w:rsidRPr="006C2A1C">
        <w:rPr>
          <w:rFonts w:asciiTheme="minorHAnsi" w:eastAsiaTheme="minorHAnsi" w:hAnsiTheme="minorHAnsi" w:cstheme="minorBidi"/>
          <w:snapToGrid/>
          <w:sz w:val="24"/>
          <w:szCs w:val="22"/>
        </w:rPr>
        <w:t xml:space="preserve"> </w:t>
      </w:r>
    </w:p>
    <w:p w:rsidR="00244D5A" w:rsidRPr="00010936" w:rsidRDefault="00010936" w:rsidP="000109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B30FE">
        <w:rPr>
          <w:rFonts w:asciiTheme="minorHAnsi" w:eastAsiaTheme="minorHAnsi" w:hAnsiTheme="minorHAnsi" w:cstheme="minorBidi"/>
          <w:snapToGrid/>
          <w:sz w:val="24"/>
          <w:szCs w:val="22"/>
        </w:rPr>
        <w:t xml:space="preserve">The submission did not propose new restrictions for </w:t>
      </w:r>
      <w:r>
        <w:rPr>
          <w:rFonts w:asciiTheme="minorHAnsi" w:eastAsiaTheme="minorHAnsi" w:hAnsiTheme="minorHAnsi" w:cstheme="minorBidi"/>
          <w:snapToGrid/>
          <w:sz w:val="24"/>
          <w:szCs w:val="22"/>
        </w:rPr>
        <w:t xml:space="preserve">etanercept; however </w:t>
      </w:r>
      <w:r w:rsidRPr="00EB30FE">
        <w:rPr>
          <w:rFonts w:asciiTheme="minorHAnsi" w:eastAsiaTheme="minorHAnsi" w:hAnsiTheme="minorHAnsi" w:cstheme="minorBidi"/>
          <w:snapToGrid/>
          <w:sz w:val="24"/>
          <w:szCs w:val="22"/>
        </w:rPr>
        <w:t>some of the requested changes would require amendments to the restrictions of etanercept to facilitate implementation</w:t>
      </w:r>
      <w:r>
        <w:rPr>
          <w:rFonts w:asciiTheme="minorHAnsi" w:eastAsiaTheme="minorHAnsi" w:hAnsiTheme="minorHAnsi" w:cstheme="minorBidi"/>
          <w:snapToGrid/>
          <w:sz w:val="24"/>
          <w:szCs w:val="22"/>
        </w:rPr>
        <w:t xml:space="preserve">. </w:t>
      </w:r>
    </w:p>
    <w:p w:rsidR="003F3153" w:rsidRPr="00E20CFA" w:rsidRDefault="003F3153" w:rsidP="003F315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20CFA">
        <w:rPr>
          <w:rFonts w:asciiTheme="minorHAnsi" w:eastAsiaTheme="minorHAnsi" w:hAnsiTheme="minorHAnsi" w:cstheme="minorBidi"/>
          <w:snapToGrid/>
          <w:sz w:val="24"/>
          <w:szCs w:val="22"/>
        </w:rPr>
        <w:t>The requested restriction changes are considered to be complex.</w:t>
      </w:r>
    </w:p>
    <w:p w:rsidR="00C603D4" w:rsidRPr="00976F2A" w:rsidRDefault="00CE10C4" w:rsidP="00976F2A">
      <w:pPr>
        <w:pStyle w:val="PBACHeading1"/>
      </w:pPr>
      <w:r w:rsidRPr="00976F2A">
        <w:t>Background</w:t>
      </w:r>
    </w:p>
    <w:p w:rsidR="006B0D94" w:rsidRPr="001B2BBC" w:rsidRDefault="00696550"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refere</w:t>
      </w:r>
      <w:r w:rsidR="002E53C5">
        <w:rPr>
          <w:rFonts w:asciiTheme="minorHAnsi" w:eastAsiaTheme="minorHAnsi" w:hAnsiTheme="minorHAnsi" w:cstheme="minorBidi"/>
          <w:snapToGrid/>
          <w:sz w:val="24"/>
          <w:szCs w:val="22"/>
        </w:rPr>
        <w:t>nce brand of etanercept, Enbrel</w:t>
      </w:r>
      <w:r>
        <w:rPr>
          <w:rFonts w:asciiTheme="minorHAnsi" w:eastAsiaTheme="minorHAnsi" w:hAnsiTheme="minorHAnsi" w:cstheme="minorBidi"/>
          <w:snapToGrid/>
          <w:sz w:val="24"/>
          <w:szCs w:val="22"/>
        </w:rPr>
        <w:t>,</w:t>
      </w:r>
      <w:r w:rsidR="00476245" w:rsidRPr="001B2BBC">
        <w:rPr>
          <w:rFonts w:asciiTheme="minorHAnsi" w:eastAsiaTheme="minorHAnsi" w:hAnsiTheme="minorHAnsi" w:cstheme="minorBidi"/>
          <w:snapToGrid/>
          <w:sz w:val="24"/>
          <w:szCs w:val="22"/>
        </w:rPr>
        <w:t xml:space="preserve"> is TGA registered for</w:t>
      </w:r>
      <w:r w:rsidR="00783D15">
        <w:rPr>
          <w:rFonts w:asciiTheme="minorHAnsi" w:eastAsiaTheme="minorHAnsi" w:hAnsiTheme="minorHAnsi" w:cstheme="minorBidi"/>
          <w:snapToGrid/>
          <w:sz w:val="24"/>
          <w:szCs w:val="22"/>
        </w:rPr>
        <w:t xml:space="preserve"> RA, PsA, CPP, AS,</w:t>
      </w:r>
      <w:r>
        <w:rPr>
          <w:rFonts w:asciiTheme="minorHAnsi" w:eastAsiaTheme="minorHAnsi" w:hAnsiTheme="minorHAnsi" w:cstheme="minorBidi"/>
          <w:snapToGrid/>
          <w:sz w:val="24"/>
          <w:szCs w:val="22"/>
        </w:rPr>
        <w:t xml:space="preserve"> non-radiographic axial spondyloarthritis (NrAxSp), juvenile idiopathic arthritis (JIA) and juvenile plaque psoriasis (JPP)</w:t>
      </w:r>
      <w:r w:rsidR="002E53C5">
        <w:rPr>
          <w:rFonts w:asciiTheme="minorHAnsi" w:eastAsiaTheme="minorHAnsi" w:hAnsiTheme="minorHAnsi" w:cstheme="minorBidi"/>
          <w:snapToGrid/>
          <w:sz w:val="24"/>
          <w:szCs w:val="22"/>
        </w:rPr>
        <w:t xml:space="preserve"> and</w:t>
      </w:r>
      <w:r>
        <w:rPr>
          <w:rFonts w:asciiTheme="minorHAnsi" w:eastAsiaTheme="minorHAnsi" w:hAnsiTheme="minorHAnsi" w:cstheme="minorBidi"/>
          <w:snapToGrid/>
          <w:sz w:val="24"/>
          <w:szCs w:val="22"/>
        </w:rPr>
        <w:t xml:space="preserve"> is PBS-listed for all of these except NrAxSp. The Brenzys brand of etanercept is not TGA-registered or PBS-listed for juvenile indications.</w:t>
      </w:r>
    </w:p>
    <w:p w:rsidR="002C0AE1" w:rsidRDefault="002C0AE1" w:rsidP="002C0AE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 its August 2017 meeting, the PBAC considered an application from the sponsor of Brenzys which requested a range of biosimilar uptake drivers be applied to the listings for etanercept. The PBAC advised that there would not be clinical or other concerns about appropriate use of medicines if a policy decision were made to lower the authority requirement for only the biosimilar brand of etanercept under certain conditions. These conditions included</w:t>
      </w:r>
      <w:r>
        <w:rPr>
          <w:rStyle w:val="FootnoteReference"/>
          <w:rFonts w:asciiTheme="minorHAnsi" w:eastAsiaTheme="minorHAnsi" w:hAnsiTheme="minorHAnsi" w:cstheme="minorBidi"/>
          <w:snapToGrid/>
          <w:sz w:val="24"/>
          <w:szCs w:val="22"/>
        </w:rPr>
        <w:footnoteReference w:id="1"/>
      </w:r>
      <w:r>
        <w:rPr>
          <w:rFonts w:asciiTheme="minorHAnsi" w:eastAsiaTheme="minorHAnsi" w:hAnsiTheme="minorHAnsi" w:cstheme="minorBidi"/>
          <w:snapToGrid/>
          <w:sz w:val="24"/>
          <w:szCs w:val="22"/>
        </w:rPr>
        <w:t>:</w:t>
      </w:r>
    </w:p>
    <w:p w:rsidR="002C0AE1" w:rsidRDefault="002C0AE1" w:rsidP="002C0AE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All initial treatment restrictions for etanercept, including those for new patients, patients changing treatment and recommencing treatment, should remain Authority Required (in writing) listings;</w:t>
      </w:r>
    </w:p>
    <w:p w:rsidR="002C0AE1" w:rsidRDefault="002C0AE1" w:rsidP="002C0AE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Continuing restrictions for etanercept could be split into first continuing and subsequent continuing restrictions, with first continuing restrictions to remain Authority </w:t>
      </w:r>
      <w:r w:rsidR="00F123A2">
        <w:rPr>
          <w:rFonts w:asciiTheme="minorHAnsi" w:eastAsiaTheme="minorHAnsi" w:hAnsiTheme="minorHAnsi" w:cstheme="minorBidi"/>
          <w:snapToGrid/>
          <w:sz w:val="24"/>
          <w:szCs w:val="22"/>
        </w:rPr>
        <w:t>R</w:t>
      </w:r>
      <w:r>
        <w:rPr>
          <w:rFonts w:asciiTheme="minorHAnsi" w:eastAsiaTheme="minorHAnsi" w:hAnsiTheme="minorHAnsi" w:cstheme="minorBidi"/>
          <w:snapToGrid/>
          <w:sz w:val="24"/>
          <w:szCs w:val="22"/>
        </w:rPr>
        <w:t>equired (in writing)</w:t>
      </w:r>
      <w:r w:rsidR="00F123A2">
        <w:rPr>
          <w:rFonts w:asciiTheme="minorHAnsi" w:eastAsiaTheme="minorHAnsi" w:hAnsiTheme="minorHAnsi" w:cstheme="minorBidi"/>
          <w:snapToGrid/>
          <w:sz w:val="24"/>
          <w:szCs w:val="22"/>
        </w:rPr>
        <w:t xml:space="preserve"> and </w:t>
      </w:r>
      <w:r>
        <w:rPr>
          <w:rFonts w:asciiTheme="minorHAnsi" w:eastAsiaTheme="minorHAnsi" w:hAnsiTheme="minorHAnsi" w:cstheme="minorBidi"/>
          <w:snapToGrid/>
          <w:sz w:val="24"/>
          <w:szCs w:val="22"/>
        </w:rPr>
        <w:t xml:space="preserve">retaining </w:t>
      </w:r>
      <w:r w:rsidR="00F123A2">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response to treatment criteria that currently exist in continuing restrictions, whilst subsequent continuing restrictions be Authority Required (STREAMLINED) listings;</w:t>
      </w:r>
    </w:p>
    <w:p w:rsidR="002C0AE1" w:rsidRDefault="002C0AE1" w:rsidP="002C0AE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recommended that subsequent continuing restrictions for etanercept retain the requirement for patients to be responding to treatment</w:t>
      </w:r>
      <w:r w:rsidR="00F123A2">
        <w:rPr>
          <w:rFonts w:asciiTheme="minorHAnsi" w:eastAsiaTheme="minorHAnsi" w:hAnsiTheme="minorHAnsi" w:cstheme="minorBidi"/>
          <w:snapToGrid/>
          <w:sz w:val="24"/>
          <w:szCs w:val="22"/>
        </w:rPr>
        <w:t>. The PBAC</w:t>
      </w:r>
      <w:r>
        <w:rPr>
          <w:rFonts w:asciiTheme="minorHAnsi" w:eastAsiaTheme="minorHAnsi" w:hAnsiTheme="minorHAnsi" w:cstheme="minorBidi"/>
          <w:snapToGrid/>
          <w:sz w:val="24"/>
          <w:szCs w:val="22"/>
        </w:rPr>
        <w:t xml:space="preserve"> noted that being an Authority Required (STREAMLINED) listing, no evidence of response would be provided to the Department of Human Services (DHS) at time of prescribing, rather that ongoing treatment response would be documented in the patient’s medical notes.</w:t>
      </w:r>
    </w:p>
    <w:p w:rsidR="0044675F" w:rsidRPr="00963FD3" w:rsidRDefault="00581ECF" w:rsidP="00AE22D3">
      <w:pPr>
        <w:pStyle w:val="ListParagraph"/>
        <w:widowControl/>
        <w:numPr>
          <w:ilvl w:val="1"/>
          <w:numId w:val="14"/>
        </w:numPr>
        <w:spacing w:before="120" w:after="160"/>
        <w:contextualSpacing w:val="0"/>
        <w:rPr>
          <w:rFonts w:asciiTheme="minorHAnsi" w:hAnsiTheme="minorHAnsi"/>
          <w:szCs w:val="22"/>
        </w:rPr>
      </w:pPr>
      <w:r w:rsidRPr="00AB00A4">
        <w:rPr>
          <w:rFonts w:asciiTheme="minorHAnsi" w:eastAsiaTheme="minorHAnsi" w:hAnsiTheme="minorHAnsi" w:cstheme="minorBidi"/>
          <w:snapToGrid/>
          <w:sz w:val="24"/>
          <w:szCs w:val="22"/>
        </w:rPr>
        <w:t>A second biosimilar etanercept, Erelzi</w:t>
      </w:r>
      <w:r w:rsidRPr="00AB00A4">
        <w:rPr>
          <w:rFonts w:asciiTheme="minorHAnsi" w:eastAsiaTheme="minorHAnsi" w:hAnsiTheme="minorHAnsi" w:cstheme="minorHAnsi"/>
          <w:snapToGrid/>
          <w:sz w:val="24"/>
          <w:szCs w:val="22"/>
        </w:rPr>
        <w:t>®</w:t>
      </w:r>
      <w:r w:rsidRPr="00AB00A4">
        <w:rPr>
          <w:rFonts w:asciiTheme="minorHAnsi" w:eastAsiaTheme="minorHAnsi" w:hAnsiTheme="minorHAnsi" w:cstheme="minorBidi"/>
          <w:snapToGrid/>
          <w:sz w:val="24"/>
          <w:szCs w:val="22"/>
        </w:rPr>
        <w:t xml:space="preserve"> (</w:t>
      </w:r>
      <w:r w:rsidR="00031620">
        <w:rPr>
          <w:rFonts w:asciiTheme="minorHAnsi" w:eastAsiaTheme="minorHAnsi" w:hAnsiTheme="minorHAnsi" w:cstheme="minorBidi"/>
          <w:snapToGrid/>
          <w:sz w:val="24"/>
          <w:szCs w:val="22"/>
        </w:rPr>
        <w:t xml:space="preserve">sponsored by </w:t>
      </w:r>
      <w:r w:rsidRPr="00AB00A4">
        <w:rPr>
          <w:rFonts w:asciiTheme="minorHAnsi" w:eastAsiaTheme="minorHAnsi" w:hAnsiTheme="minorHAnsi" w:cstheme="minorBidi"/>
          <w:snapToGrid/>
          <w:sz w:val="24"/>
          <w:szCs w:val="22"/>
        </w:rPr>
        <w:t>Sandoz Pty Ltd)</w:t>
      </w:r>
      <w:r w:rsidR="002E53C5" w:rsidRPr="00AB00A4">
        <w:rPr>
          <w:rFonts w:asciiTheme="minorHAnsi" w:eastAsiaTheme="minorHAnsi" w:hAnsiTheme="minorHAnsi" w:cstheme="minorBidi"/>
          <w:snapToGrid/>
          <w:sz w:val="24"/>
          <w:szCs w:val="22"/>
        </w:rPr>
        <w:t>,</w:t>
      </w:r>
      <w:r w:rsidRPr="00AB00A4">
        <w:rPr>
          <w:rFonts w:asciiTheme="minorHAnsi" w:eastAsiaTheme="minorHAnsi" w:hAnsiTheme="minorHAnsi" w:cstheme="minorBidi"/>
          <w:snapToGrid/>
          <w:sz w:val="24"/>
          <w:szCs w:val="22"/>
        </w:rPr>
        <w:t xml:space="preserve"> was recommended by the PBAC at its March 2018 meeting, including for t</w:t>
      </w:r>
      <w:r w:rsidR="00CE2C30" w:rsidRPr="00AB00A4">
        <w:rPr>
          <w:rFonts w:asciiTheme="minorHAnsi" w:eastAsiaTheme="minorHAnsi" w:hAnsiTheme="minorHAnsi" w:cstheme="minorBidi"/>
          <w:snapToGrid/>
          <w:sz w:val="24"/>
          <w:szCs w:val="22"/>
        </w:rPr>
        <w:t>he juvenile indications, but is</w:t>
      </w:r>
      <w:r w:rsidRPr="00AB00A4">
        <w:rPr>
          <w:rFonts w:asciiTheme="minorHAnsi" w:eastAsiaTheme="minorHAnsi" w:hAnsiTheme="minorHAnsi" w:cstheme="minorBidi"/>
          <w:snapToGrid/>
          <w:sz w:val="24"/>
          <w:szCs w:val="22"/>
        </w:rPr>
        <w:t xml:space="preserve"> yet to be listed on the PBS.</w:t>
      </w:r>
    </w:p>
    <w:p w:rsidR="00963FD3" w:rsidRDefault="00963FD3" w:rsidP="00963FD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963FD3" w:rsidRDefault="00963FD3" w:rsidP="00963FD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01AB6">
        <w:rPr>
          <w:rFonts w:asciiTheme="minorHAnsi" w:eastAsiaTheme="minorHAnsi" w:hAnsiTheme="minorHAnsi" w:cstheme="minorBidi"/>
          <w:snapToGrid/>
          <w:sz w:val="24"/>
          <w:szCs w:val="22"/>
        </w:rPr>
        <w:t>There was no hearing for this item as it was a minor submission.</w:t>
      </w:r>
    </w:p>
    <w:p w:rsidR="00963FD3" w:rsidRDefault="00963FD3" w:rsidP="00963FD3">
      <w:pPr>
        <w:pStyle w:val="Heading2"/>
        <w:keepLines/>
        <w:spacing w:before="240" w:after="120"/>
        <w:rPr>
          <w:rFonts w:asciiTheme="minorHAnsi" w:eastAsiaTheme="majorEastAsia" w:hAnsiTheme="minorHAnsi" w:cstheme="majorBidi"/>
          <w:sz w:val="28"/>
          <w:szCs w:val="28"/>
          <w:lang w:eastAsia="en-US"/>
        </w:rPr>
      </w:pPr>
      <w:r w:rsidRPr="00A01AB6">
        <w:rPr>
          <w:rFonts w:asciiTheme="minorHAnsi" w:eastAsiaTheme="majorEastAsia" w:hAnsiTheme="minorHAnsi" w:cstheme="majorBidi"/>
          <w:sz w:val="28"/>
          <w:szCs w:val="28"/>
          <w:lang w:eastAsia="en-US"/>
        </w:rPr>
        <w:t>Consumer comments</w:t>
      </w:r>
    </w:p>
    <w:p w:rsidR="00963FD3" w:rsidRPr="007664E3" w:rsidRDefault="00963FD3" w:rsidP="00963FD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664E3">
        <w:rPr>
          <w:rFonts w:asciiTheme="minorHAnsi" w:eastAsiaTheme="minorHAnsi" w:hAnsiTheme="minorHAnsi" w:cstheme="minorBidi"/>
          <w:snapToGrid/>
          <w:sz w:val="24"/>
          <w:szCs w:val="22"/>
        </w:rPr>
        <w:t>The PBAC noted that no consumer comments were received for this item.</w:t>
      </w:r>
    </w:p>
    <w:p w:rsidR="0044675F" w:rsidRPr="0044675F" w:rsidRDefault="0044675F" w:rsidP="00976F2A">
      <w:pPr>
        <w:pStyle w:val="PBACHeading1"/>
      </w:pPr>
      <w:r w:rsidRPr="0044675F">
        <w:t>PBAC Outcome</w:t>
      </w:r>
    </w:p>
    <w:p w:rsidR="0044675F" w:rsidRPr="00525B39" w:rsidRDefault="00E20CFA" w:rsidP="0044675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deferred its consideration of the requested biosimilar uptake drivers on the basis that these matters had potentially broader </w:t>
      </w:r>
      <w:r w:rsidR="001A3824">
        <w:rPr>
          <w:rFonts w:asciiTheme="minorHAnsi" w:hAnsiTheme="minorHAnsi" w:cs="Arial"/>
          <w:bCs/>
          <w:snapToGrid w:val="0"/>
          <w:lang w:val="en-GB"/>
        </w:rPr>
        <w:t xml:space="preserve">biosimilar policy implications and </w:t>
      </w:r>
      <w:r w:rsidR="00AB00A4">
        <w:rPr>
          <w:rFonts w:asciiTheme="minorHAnsi" w:hAnsiTheme="minorHAnsi" w:cs="Arial"/>
          <w:bCs/>
          <w:snapToGrid w:val="0"/>
          <w:lang w:val="en-GB"/>
        </w:rPr>
        <w:t>considered that</w:t>
      </w:r>
      <w:r w:rsidR="001A3824">
        <w:rPr>
          <w:rFonts w:asciiTheme="minorHAnsi" w:hAnsiTheme="minorHAnsi" w:cs="Arial"/>
          <w:bCs/>
          <w:snapToGrid w:val="0"/>
          <w:lang w:val="en-GB"/>
        </w:rPr>
        <w:t xml:space="preserve"> </w:t>
      </w:r>
      <w:r w:rsidR="00AB00A4">
        <w:rPr>
          <w:rFonts w:asciiTheme="minorHAnsi" w:hAnsiTheme="minorHAnsi" w:cs="Arial"/>
          <w:bCs/>
          <w:snapToGrid w:val="0"/>
          <w:lang w:val="en-GB"/>
        </w:rPr>
        <w:t>further</w:t>
      </w:r>
      <w:r w:rsidR="001A3824">
        <w:rPr>
          <w:rFonts w:asciiTheme="minorHAnsi" w:hAnsiTheme="minorHAnsi" w:cs="Arial"/>
          <w:bCs/>
          <w:snapToGrid w:val="0"/>
          <w:lang w:val="en-GB"/>
        </w:rPr>
        <w:t xml:space="preserve"> dis</w:t>
      </w:r>
      <w:r w:rsidR="00AB00A4">
        <w:rPr>
          <w:rFonts w:asciiTheme="minorHAnsi" w:hAnsiTheme="minorHAnsi" w:cs="Arial"/>
          <w:bCs/>
          <w:snapToGrid w:val="0"/>
          <w:lang w:val="en-GB"/>
        </w:rPr>
        <w:t>cussions between the Department</w:t>
      </w:r>
      <w:r w:rsidR="001A3824">
        <w:rPr>
          <w:rFonts w:asciiTheme="minorHAnsi" w:hAnsiTheme="minorHAnsi" w:cs="Arial"/>
          <w:bCs/>
          <w:snapToGrid w:val="0"/>
          <w:lang w:val="en-GB"/>
        </w:rPr>
        <w:t xml:space="preserve"> </w:t>
      </w:r>
      <w:r w:rsidR="00AB00A4">
        <w:rPr>
          <w:rFonts w:asciiTheme="minorHAnsi" w:hAnsiTheme="minorHAnsi" w:cs="Arial"/>
          <w:bCs/>
          <w:snapToGrid w:val="0"/>
          <w:lang w:val="en-GB"/>
        </w:rPr>
        <w:t xml:space="preserve">and key stakeholders </w:t>
      </w:r>
      <w:r w:rsidR="009C211E">
        <w:rPr>
          <w:rFonts w:asciiTheme="minorHAnsi" w:hAnsiTheme="minorHAnsi" w:cs="Arial"/>
          <w:bCs/>
          <w:snapToGrid w:val="0"/>
          <w:lang w:val="en-GB"/>
        </w:rPr>
        <w:t xml:space="preserve">regarding these requests was necessary to inform decision making. </w:t>
      </w:r>
    </w:p>
    <w:p w:rsidR="0044675F" w:rsidRPr="00525B39" w:rsidRDefault="001A3824" w:rsidP="0044675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In deferring </w:t>
      </w:r>
      <w:r w:rsidR="00046955">
        <w:rPr>
          <w:rFonts w:asciiTheme="minorHAnsi" w:hAnsiTheme="minorHAnsi" w:cs="Arial"/>
          <w:bCs/>
          <w:snapToGrid w:val="0"/>
          <w:lang w:val="en-GB"/>
        </w:rPr>
        <w:t>its consideration</w:t>
      </w:r>
      <w:r>
        <w:rPr>
          <w:rFonts w:asciiTheme="minorHAnsi" w:hAnsiTheme="minorHAnsi" w:cs="Arial"/>
          <w:bCs/>
          <w:snapToGrid w:val="0"/>
          <w:lang w:val="en-GB"/>
        </w:rPr>
        <w:t xml:space="preserve">, the PBAC was of the view that </w:t>
      </w:r>
      <w:r w:rsidR="00031620">
        <w:rPr>
          <w:rFonts w:asciiTheme="minorHAnsi" w:hAnsiTheme="minorHAnsi" w:cs="Arial"/>
          <w:bCs/>
          <w:snapToGrid w:val="0"/>
          <w:lang w:val="en-GB"/>
        </w:rPr>
        <w:t>these requests were unlikely to be relevant</w:t>
      </w:r>
      <w:r>
        <w:rPr>
          <w:rFonts w:asciiTheme="minorHAnsi" w:hAnsiTheme="minorHAnsi" w:cs="Arial"/>
          <w:bCs/>
          <w:snapToGrid w:val="0"/>
          <w:lang w:val="en-GB"/>
        </w:rPr>
        <w:t xml:space="preserve"> solely </w:t>
      </w:r>
      <w:r w:rsidR="00AB00A4">
        <w:rPr>
          <w:rFonts w:asciiTheme="minorHAnsi" w:hAnsiTheme="minorHAnsi" w:cs="Arial"/>
          <w:bCs/>
          <w:snapToGrid w:val="0"/>
          <w:lang w:val="en-GB"/>
        </w:rPr>
        <w:t>to</w:t>
      </w:r>
      <w:r>
        <w:rPr>
          <w:rFonts w:asciiTheme="minorHAnsi" w:hAnsiTheme="minorHAnsi" w:cs="Arial"/>
          <w:bCs/>
          <w:snapToGrid w:val="0"/>
          <w:lang w:val="en-GB"/>
        </w:rPr>
        <w:t xml:space="preserve"> the Brenzys brand of etanercept</w:t>
      </w:r>
      <w:r w:rsidR="009C211E">
        <w:rPr>
          <w:rFonts w:asciiTheme="minorHAnsi" w:hAnsiTheme="minorHAnsi" w:cs="Arial"/>
          <w:bCs/>
          <w:snapToGrid w:val="0"/>
          <w:lang w:val="en-GB"/>
        </w:rPr>
        <w:t>, and should be considered in the context of all biosimilars for a range of</w:t>
      </w:r>
      <w:r>
        <w:rPr>
          <w:rFonts w:asciiTheme="minorHAnsi" w:hAnsiTheme="minorHAnsi" w:cs="Arial"/>
          <w:bCs/>
          <w:snapToGrid w:val="0"/>
          <w:lang w:val="en-GB"/>
        </w:rPr>
        <w:t xml:space="preserve"> indications.</w:t>
      </w:r>
    </w:p>
    <w:p w:rsidR="0044675F" w:rsidRPr="001A3824" w:rsidRDefault="001A3824" w:rsidP="0044675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requested the Department en</w:t>
      </w:r>
      <w:r w:rsidR="009C211E">
        <w:rPr>
          <w:rFonts w:asciiTheme="minorHAnsi" w:hAnsiTheme="minorHAnsi" w:cs="Arial"/>
          <w:bCs/>
          <w:snapToGrid w:val="0"/>
          <w:lang w:val="en-GB"/>
        </w:rPr>
        <w:t>gage in further discussions to determine the feasibility of the request for additional uptake drivers</w:t>
      </w:r>
      <w:r>
        <w:rPr>
          <w:rFonts w:asciiTheme="minorHAnsi" w:hAnsiTheme="minorHAnsi" w:cs="Arial"/>
          <w:bCs/>
          <w:snapToGrid w:val="0"/>
          <w:lang w:val="en-GB"/>
        </w:rPr>
        <w:t xml:space="preserve"> from a policy</w:t>
      </w:r>
      <w:r w:rsidR="009C211E">
        <w:rPr>
          <w:rFonts w:asciiTheme="minorHAnsi" w:hAnsiTheme="minorHAnsi" w:cs="Arial"/>
          <w:bCs/>
          <w:snapToGrid w:val="0"/>
          <w:lang w:val="en-GB"/>
        </w:rPr>
        <w:t xml:space="preserve"> and implementation perspective. </w:t>
      </w:r>
    </w:p>
    <w:p w:rsidR="0044675F" w:rsidRPr="008A153E" w:rsidRDefault="0044675F" w:rsidP="008A153E">
      <w:pPr>
        <w:widowControl w:val="0"/>
        <w:numPr>
          <w:ilvl w:val="1"/>
          <w:numId w:val="5"/>
        </w:numPr>
        <w:spacing w:after="120"/>
        <w:jc w:val="both"/>
        <w:rPr>
          <w:rFonts w:asciiTheme="minorHAnsi" w:hAnsiTheme="minorHAnsi" w:cs="Arial"/>
          <w:bCs/>
          <w:i/>
          <w:snapToGrid w:val="0"/>
          <w:lang w:val="en-GB"/>
        </w:rPr>
      </w:pPr>
      <w:r w:rsidRPr="00525B39">
        <w:rPr>
          <w:rFonts w:asciiTheme="minorHAnsi" w:hAnsiTheme="minorHAnsi" w:cs="Arial"/>
          <w:bCs/>
          <w:snapToGrid w:val="0"/>
          <w:lang w:val="en-GB"/>
        </w:rPr>
        <w:t>The PBA</w:t>
      </w:r>
      <w:r w:rsidR="008A153E">
        <w:rPr>
          <w:rFonts w:asciiTheme="minorHAnsi" w:hAnsiTheme="minorHAnsi" w:cs="Arial"/>
          <w:bCs/>
          <w:snapToGrid w:val="0"/>
          <w:lang w:val="en-GB"/>
        </w:rPr>
        <w:t xml:space="preserve">C noted that this submission </w:t>
      </w:r>
      <w:r w:rsidRPr="00525B39">
        <w:rPr>
          <w:rFonts w:asciiTheme="minorHAnsi" w:hAnsiTheme="minorHAnsi" w:cs="Arial"/>
          <w:bCs/>
          <w:snapToGrid w:val="0"/>
          <w:lang w:val="en-GB"/>
        </w:rPr>
        <w:t>is not eligible for an Independent Review</w:t>
      </w:r>
      <w:r w:rsidR="008A153E">
        <w:rPr>
          <w:rFonts w:asciiTheme="minorHAnsi" w:hAnsiTheme="minorHAnsi" w:cs="Arial"/>
          <w:bCs/>
          <w:snapToGrid w:val="0"/>
          <w:lang w:val="en-GB"/>
        </w:rPr>
        <w:t xml:space="preserve"> as </w:t>
      </w:r>
      <w:r w:rsidR="009C211E">
        <w:rPr>
          <w:rFonts w:asciiTheme="minorHAnsi" w:hAnsiTheme="minorHAnsi" w:cs="Arial"/>
          <w:bCs/>
          <w:snapToGrid w:val="0"/>
          <w:lang w:val="en-GB"/>
        </w:rPr>
        <w:t xml:space="preserve">the request was not for a different disease, condition, subtype, or patient population. </w:t>
      </w:r>
    </w:p>
    <w:p w:rsidR="0044675F" w:rsidRPr="00525B39" w:rsidRDefault="0044675F" w:rsidP="0044675F">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44675F" w:rsidRPr="00277113" w:rsidRDefault="008A153E" w:rsidP="00497AB7">
      <w:pPr>
        <w:jc w:val="both"/>
        <w:rPr>
          <w:lang w:val="en-GB"/>
        </w:rPr>
      </w:pPr>
      <w:r>
        <w:rPr>
          <w:rFonts w:asciiTheme="minorHAnsi" w:hAnsiTheme="minorHAnsi" w:cs="Arial"/>
          <w:bCs/>
          <w:snapToGrid w:val="0"/>
          <w:lang w:val="en-GB"/>
        </w:rPr>
        <w:t>Deferred</w:t>
      </w:r>
    </w:p>
    <w:p w:rsidR="00FD04AB" w:rsidRPr="00FD04AB" w:rsidRDefault="002B0C0D" w:rsidP="002B0C0D">
      <w:pPr>
        <w:pStyle w:val="PBACHeading1"/>
        <w:numPr>
          <w:ilvl w:val="0"/>
          <w:numId w:val="5"/>
        </w:numPr>
      </w:pPr>
      <w:r w:rsidRPr="00FD04AB">
        <w:t>Context for Decision</w:t>
      </w:r>
    </w:p>
    <w:p w:rsidR="002B0C0D" w:rsidRPr="00FD04AB" w:rsidRDefault="002B0C0D" w:rsidP="00A1029A">
      <w:pPr>
        <w:spacing w:after="120"/>
        <w:ind w:left="720"/>
        <w:jc w:val="both"/>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B0C0D" w:rsidRPr="00FD04AB" w:rsidRDefault="002B0C0D" w:rsidP="00A1029A">
      <w:pPr>
        <w:pStyle w:val="PBACHeading1"/>
        <w:numPr>
          <w:ilvl w:val="0"/>
          <w:numId w:val="5"/>
        </w:numPr>
        <w:jc w:val="both"/>
      </w:pPr>
      <w:r w:rsidRPr="00FD04AB">
        <w:t>Sponsor’s Comment</w:t>
      </w:r>
    </w:p>
    <w:p w:rsidR="00F64CC1" w:rsidRPr="00116C18" w:rsidRDefault="004469FF" w:rsidP="00497AB7">
      <w:pPr>
        <w:spacing w:after="120"/>
        <w:ind w:left="720"/>
        <w:jc w:val="both"/>
        <w:rPr>
          <w:rFonts w:ascii="Calibri" w:hAnsi="Calibri" w:cs="Calibri"/>
          <w:snapToGrid w:val="0"/>
          <w:sz w:val="22"/>
          <w:szCs w:val="20"/>
          <w:lang w:eastAsia="en-US"/>
        </w:rPr>
      </w:pPr>
      <w:r w:rsidRPr="004469FF">
        <w:rPr>
          <w:rFonts w:asciiTheme="minorHAnsi" w:eastAsiaTheme="minorHAnsi" w:hAnsiTheme="minorHAnsi"/>
          <w:bCs/>
          <w:lang w:val="en-GB"/>
        </w:rPr>
        <w:t>MSD is encouraged that the PBAC finds there are no implications to the PBS of adding Brenzys as an 'a' flagged brand alternative to Enbrel for written authority at the subsequent continuing treatment phase. MSD is further encouraged by the PBAC's request for the Department to engage in broader biosimilar policy discussions. We will continue to work with both the Department and the PBAC towards the timely implementation of the proposed uptake drivers, which are intended to give clinicians and patients reasons to use biosimilars, whilst retaining prescriber choice, in support of government policy.</w:t>
      </w:r>
    </w:p>
    <w:sectPr w:rsidR="00F64CC1" w:rsidRPr="00116C1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E7" w:rsidRDefault="00EB0AE7">
      <w:r>
        <w:separator/>
      </w:r>
    </w:p>
    <w:p w:rsidR="00EB0AE7" w:rsidRDefault="00EB0AE7"/>
  </w:endnote>
  <w:endnote w:type="continuationSeparator" w:id="0">
    <w:p w:rsidR="00EB0AE7" w:rsidRDefault="00EB0AE7">
      <w:r>
        <w:continuationSeparator/>
      </w:r>
    </w:p>
    <w:p w:rsidR="00EB0AE7" w:rsidRDefault="00EB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46955" w:rsidTr="005A3173">
      <w:trPr>
        <w:trHeight w:val="151"/>
      </w:trPr>
      <w:tc>
        <w:tcPr>
          <w:tcW w:w="2250" w:type="pct"/>
          <w:tcBorders>
            <w:top w:val="nil"/>
            <w:left w:val="nil"/>
            <w:bottom w:val="single" w:sz="4" w:space="0" w:color="4F81BD"/>
            <w:right w:val="nil"/>
          </w:tcBorders>
        </w:tcPr>
        <w:p w:rsidR="00046955" w:rsidRPr="005A3173" w:rsidRDefault="0004695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6955" w:rsidRPr="005A3173" w:rsidRDefault="0004695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6955" w:rsidRPr="005A3173" w:rsidRDefault="00046955" w:rsidP="005A3173">
          <w:pPr>
            <w:pStyle w:val="Header"/>
            <w:spacing w:line="276" w:lineRule="auto"/>
            <w:rPr>
              <w:rFonts w:ascii="Calibri" w:eastAsia="MS Gothic" w:hAnsi="Calibri"/>
              <w:b/>
              <w:bCs/>
              <w:color w:val="4F81BD"/>
            </w:rPr>
          </w:pPr>
        </w:p>
      </w:tc>
    </w:tr>
    <w:tr w:rsidR="00046955" w:rsidTr="005A3173">
      <w:trPr>
        <w:trHeight w:val="150"/>
      </w:trPr>
      <w:tc>
        <w:tcPr>
          <w:tcW w:w="2250" w:type="pct"/>
          <w:tcBorders>
            <w:top w:val="single" w:sz="4" w:space="0" w:color="4F81BD"/>
            <w:left w:val="nil"/>
            <w:bottom w:val="nil"/>
            <w:right w:val="nil"/>
          </w:tcBorders>
        </w:tcPr>
        <w:p w:rsidR="00046955" w:rsidRPr="005A3173" w:rsidRDefault="00046955" w:rsidP="005A3173">
          <w:pPr>
            <w:pStyle w:val="Header"/>
            <w:spacing w:line="276" w:lineRule="auto"/>
            <w:rPr>
              <w:rFonts w:ascii="Calibri" w:eastAsia="MS Gothic" w:hAnsi="Calibri"/>
              <w:b/>
              <w:bCs/>
              <w:color w:val="4F81BD"/>
            </w:rPr>
          </w:pPr>
        </w:p>
      </w:tc>
      <w:tc>
        <w:tcPr>
          <w:tcW w:w="0" w:type="auto"/>
          <w:vMerge/>
          <w:vAlign w:val="center"/>
          <w:hideMark/>
        </w:tcPr>
        <w:p w:rsidR="00046955" w:rsidRPr="005A3173" w:rsidRDefault="0004695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6955" w:rsidRPr="005A3173" w:rsidRDefault="00046955" w:rsidP="005A3173">
          <w:pPr>
            <w:pStyle w:val="Header"/>
            <w:spacing w:line="276" w:lineRule="auto"/>
            <w:rPr>
              <w:rFonts w:ascii="Calibri" w:eastAsia="MS Gothic" w:hAnsi="Calibri"/>
              <w:b/>
              <w:bCs/>
              <w:color w:val="4F81BD"/>
            </w:rPr>
          </w:pPr>
        </w:p>
      </w:tc>
    </w:tr>
  </w:tbl>
  <w:p w:rsidR="00046955" w:rsidRDefault="0004695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6955" w:rsidRDefault="00046955">
    <w:pPr>
      <w:pStyle w:val="Footer"/>
    </w:pPr>
  </w:p>
  <w:p w:rsidR="00046955" w:rsidRDefault="0004695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55" w:rsidRPr="002B0C0D" w:rsidRDefault="00046955" w:rsidP="0044675F">
    <w:pPr>
      <w:pStyle w:val="Footer"/>
      <w:ind w:left="360"/>
      <w:jc w:val="center"/>
      <w:rPr>
        <w:rFonts w:ascii="Calibri" w:hAnsi="Calibri" w:cs="Arial"/>
      </w:rPr>
    </w:pPr>
    <w:r w:rsidRPr="002B0C0D">
      <w:rPr>
        <w:rFonts w:ascii="Calibri" w:hAnsi="Calibri" w:cs="Arial"/>
      </w:rPr>
      <w:fldChar w:fldCharType="begin"/>
    </w:r>
    <w:r w:rsidRPr="002B0C0D">
      <w:rPr>
        <w:rFonts w:ascii="Calibri" w:hAnsi="Calibri" w:cs="Arial"/>
      </w:rPr>
      <w:instrText xml:space="preserve"> PAGE   \* MERGEFORMAT </w:instrText>
    </w:r>
    <w:r w:rsidRPr="002B0C0D">
      <w:rPr>
        <w:rFonts w:ascii="Calibri" w:hAnsi="Calibri" w:cs="Arial"/>
      </w:rPr>
      <w:fldChar w:fldCharType="separate"/>
    </w:r>
    <w:r w:rsidR="00EB0AE7">
      <w:rPr>
        <w:rFonts w:ascii="Calibri" w:hAnsi="Calibri" w:cs="Arial"/>
        <w:noProof/>
      </w:rPr>
      <w:t>3</w:t>
    </w:r>
    <w:r w:rsidRPr="002B0C0D">
      <w:rPr>
        <w:rFonts w:ascii="Calibri" w:hAnsi="Calibri"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46955" w:rsidTr="005A3173">
      <w:trPr>
        <w:trHeight w:val="151"/>
      </w:trPr>
      <w:tc>
        <w:tcPr>
          <w:tcW w:w="2250" w:type="pct"/>
          <w:tcBorders>
            <w:top w:val="nil"/>
            <w:left w:val="nil"/>
            <w:bottom w:val="single" w:sz="4" w:space="0" w:color="4F81BD"/>
            <w:right w:val="nil"/>
          </w:tcBorders>
        </w:tcPr>
        <w:p w:rsidR="00046955" w:rsidRPr="005A3173" w:rsidRDefault="0004695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6955" w:rsidRPr="005A3173" w:rsidRDefault="0004695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6955" w:rsidRPr="005A3173" w:rsidRDefault="00046955" w:rsidP="005A3173">
          <w:pPr>
            <w:pStyle w:val="Header"/>
            <w:spacing w:line="276" w:lineRule="auto"/>
            <w:rPr>
              <w:rFonts w:ascii="Calibri" w:eastAsia="MS Gothic" w:hAnsi="Calibri"/>
              <w:b/>
              <w:bCs/>
              <w:color w:val="4F81BD"/>
            </w:rPr>
          </w:pPr>
        </w:p>
      </w:tc>
    </w:tr>
    <w:tr w:rsidR="00046955" w:rsidTr="005A3173">
      <w:trPr>
        <w:trHeight w:val="150"/>
      </w:trPr>
      <w:tc>
        <w:tcPr>
          <w:tcW w:w="2250" w:type="pct"/>
          <w:tcBorders>
            <w:top w:val="single" w:sz="4" w:space="0" w:color="4F81BD"/>
            <w:left w:val="nil"/>
            <w:bottom w:val="nil"/>
            <w:right w:val="nil"/>
          </w:tcBorders>
        </w:tcPr>
        <w:p w:rsidR="00046955" w:rsidRPr="005A3173" w:rsidRDefault="00046955" w:rsidP="005A3173">
          <w:pPr>
            <w:pStyle w:val="Header"/>
            <w:spacing w:line="276" w:lineRule="auto"/>
            <w:rPr>
              <w:rFonts w:ascii="Calibri" w:eastAsia="MS Gothic" w:hAnsi="Calibri"/>
              <w:b/>
              <w:bCs/>
              <w:color w:val="4F81BD"/>
            </w:rPr>
          </w:pPr>
        </w:p>
      </w:tc>
      <w:tc>
        <w:tcPr>
          <w:tcW w:w="0" w:type="auto"/>
          <w:vMerge/>
          <w:vAlign w:val="center"/>
          <w:hideMark/>
        </w:tcPr>
        <w:p w:rsidR="00046955" w:rsidRPr="005A3173" w:rsidRDefault="0004695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6955" w:rsidRPr="005A3173" w:rsidRDefault="0004695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46955" w:rsidTr="005A3173">
      <w:trPr>
        <w:trHeight w:val="151"/>
      </w:trPr>
      <w:tc>
        <w:tcPr>
          <w:tcW w:w="2250" w:type="pct"/>
          <w:tcBorders>
            <w:top w:val="nil"/>
            <w:left w:val="nil"/>
            <w:bottom w:val="single" w:sz="4" w:space="0" w:color="4F81BD"/>
            <w:right w:val="nil"/>
          </w:tcBorders>
        </w:tcPr>
        <w:p w:rsidR="00046955" w:rsidRPr="005A3173" w:rsidRDefault="0004695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6955" w:rsidRPr="005A3173" w:rsidRDefault="0004695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6955" w:rsidRPr="005A3173" w:rsidRDefault="00046955" w:rsidP="005A3173">
          <w:pPr>
            <w:pStyle w:val="Header"/>
            <w:spacing w:line="276" w:lineRule="auto"/>
            <w:rPr>
              <w:rFonts w:ascii="Calibri" w:eastAsia="MS Gothic" w:hAnsi="Calibri"/>
              <w:b/>
              <w:bCs/>
              <w:color w:val="4F81BD"/>
            </w:rPr>
          </w:pPr>
        </w:p>
      </w:tc>
    </w:tr>
    <w:tr w:rsidR="00046955" w:rsidTr="005A3173">
      <w:trPr>
        <w:trHeight w:val="150"/>
      </w:trPr>
      <w:tc>
        <w:tcPr>
          <w:tcW w:w="2250" w:type="pct"/>
          <w:tcBorders>
            <w:top w:val="single" w:sz="4" w:space="0" w:color="4F81BD"/>
            <w:left w:val="nil"/>
            <w:bottom w:val="nil"/>
            <w:right w:val="nil"/>
          </w:tcBorders>
        </w:tcPr>
        <w:p w:rsidR="00046955" w:rsidRPr="005A3173" w:rsidRDefault="00046955" w:rsidP="005A3173">
          <w:pPr>
            <w:pStyle w:val="Header"/>
            <w:spacing w:line="276" w:lineRule="auto"/>
            <w:rPr>
              <w:rFonts w:ascii="Calibri" w:eastAsia="MS Gothic" w:hAnsi="Calibri"/>
              <w:b/>
              <w:bCs/>
              <w:color w:val="4F81BD"/>
            </w:rPr>
          </w:pPr>
        </w:p>
      </w:tc>
      <w:tc>
        <w:tcPr>
          <w:tcW w:w="0" w:type="auto"/>
          <w:vMerge/>
          <w:vAlign w:val="center"/>
          <w:hideMark/>
        </w:tcPr>
        <w:p w:rsidR="00046955" w:rsidRPr="005A3173" w:rsidRDefault="00046955"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6955" w:rsidRPr="005A3173" w:rsidRDefault="00046955" w:rsidP="005A3173">
          <w:pPr>
            <w:pStyle w:val="Header"/>
            <w:spacing w:line="276" w:lineRule="auto"/>
            <w:rPr>
              <w:rFonts w:ascii="Calibri" w:eastAsia="MS Gothic" w:hAnsi="Calibri"/>
              <w:b/>
              <w:bCs/>
              <w:color w:val="4F81BD"/>
            </w:rPr>
          </w:pPr>
        </w:p>
      </w:tc>
    </w:tr>
  </w:tbl>
  <w:p w:rsidR="00046955" w:rsidRPr="007C0F57" w:rsidRDefault="0004695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46955" w:rsidRPr="007C0F57" w:rsidRDefault="00046955" w:rsidP="007C0F57">
    <w:pPr>
      <w:pStyle w:val="Footer"/>
      <w:jc w:val="center"/>
      <w:rPr>
        <w:b/>
        <w:i/>
        <w:sz w:val="20"/>
        <w:szCs w:val="20"/>
      </w:rPr>
    </w:pPr>
    <w:r w:rsidRPr="007C0F57">
      <w:rPr>
        <w:b/>
        <w:i/>
        <w:sz w:val="20"/>
        <w:szCs w:val="20"/>
      </w:rPr>
      <w:t>Commercial-in-Confidence</w:t>
    </w:r>
  </w:p>
  <w:p w:rsidR="00046955" w:rsidRDefault="000469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E7" w:rsidRDefault="00EB0AE7">
      <w:r>
        <w:separator/>
      </w:r>
    </w:p>
    <w:p w:rsidR="00EB0AE7" w:rsidRDefault="00EB0AE7"/>
  </w:footnote>
  <w:footnote w:type="continuationSeparator" w:id="0">
    <w:p w:rsidR="00EB0AE7" w:rsidRDefault="00EB0AE7">
      <w:r>
        <w:continuationSeparator/>
      </w:r>
    </w:p>
    <w:p w:rsidR="00EB0AE7" w:rsidRDefault="00EB0AE7"/>
  </w:footnote>
  <w:footnote w:id="1">
    <w:p w:rsidR="00046955" w:rsidRPr="002D3E76" w:rsidRDefault="00046955" w:rsidP="002C0AE1">
      <w:pPr>
        <w:pStyle w:val="FootnoteText"/>
        <w:rPr>
          <w:rFonts w:asciiTheme="minorHAnsi" w:hAnsiTheme="minorHAnsi"/>
          <w:sz w:val="16"/>
          <w:szCs w:val="16"/>
        </w:rPr>
      </w:pPr>
      <w:r w:rsidRPr="002D3E76">
        <w:rPr>
          <w:rStyle w:val="FootnoteReference"/>
          <w:rFonts w:asciiTheme="minorHAnsi" w:hAnsiTheme="minorHAnsi"/>
          <w:sz w:val="16"/>
          <w:szCs w:val="16"/>
        </w:rPr>
        <w:footnoteRef/>
      </w:r>
      <w:r w:rsidRPr="002D3E76">
        <w:rPr>
          <w:rFonts w:asciiTheme="minorHAnsi" w:hAnsiTheme="minorHAnsi"/>
          <w:sz w:val="16"/>
          <w:szCs w:val="16"/>
        </w:rPr>
        <w:t xml:space="preserve"> August 2017 PBAC, Etanercept (Brenzys) Public Summary Document. Available at </w:t>
      </w:r>
      <w:hyperlink r:id="rId1" w:history="1">
        <w:r w:rsidRPr="002D3E76">
          <w:rPr>
            <w:rStyle w:val="Hyperlink"/>
            <w:rFonts w:asciiTheme="minorHAnsi" w:hAnsiTheme="minorHAnsi"/>
            <w:sz w:val="16"/>
            <w:szCs w:val="16"/>
          </w:rPr>
          <w:t>PBAC PSD website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46955" w:rsidRPr="008E0D90" w:rsidTr="00A06225">
      <w:trPr>
        <w:trHeight w:val="151"/>
      </w:trPr>
      <w:tc>
        <w:tcPr>
          <w:tcW w:w="2389" w:type="pct"/>
          <w:tcBorders>
            <w:top w:val="nil"/>
            <w:left w:val="nil"/>
            <w:bottom w:val="single" w:sz="4" w:space="0" w:color="4F81BD"/>
            <w:right w:val="nil"/>
          </w:tcBorders>
        </w:tcPr>
        <w:p w:rsidR="00046955" w:rsidRPr="00A06225" w:rsidRDefault="00046955">
          <w:pPr>
            <w:pStyle w:val="Header"/>
            <w:spacing w:line="276" w:lineRule="auto"/>
            <w:rPr>
              <w:rFonts w:ascii="Cambria" w:eastAsia="MS Gothic" w:hAnsi="Cambria"/>
              <w:b/>
              <w:bCs/>
              <w:color w:val="4F81BD"/>
            </w:rPr>
          </w:pPr>
        </w:p>
      </w:tc>
      <w:tc>
        <w:tcPr>
          <w:tcW w:w="333" w:type="pct"/>
          <w:vMerge w:val="restart"/>
          <w:noWrap/>
          <w:vAlign w:val="center"/>
          <w:hideMark/>
        </w:tcPr>
        <w:p w:rsidR="00046955" w:rsidRPr="00A06225" w:rsidRDefault="0004695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46955" w:rsidRPr="00A06225" w:rsidRDefault="00046955">
          <w:pPr>
            <w:pStyle w:val="Header"/>
            <w:spacing w:line="276" w:lineRule="auto"/>
            <w:rPr>
              <w:rFonts w:ascii="Cambria" w:eastAsia="MS Gothic" w:hAnsi="Cambria"/>
              <w:b/>
              <w:bCs/>
              <w:color w:val="4F81BD"/>
            </w:rPr>
          </w:pPr>
        </w:p>
      </w:tc>
    </w:tr>
    <w:tr w:rsidR="00046955" w:rsidRPr="008E0D90" w:rsidTr="00A06225">
      <w:trPr>
        <w:trHeight w:val="150"/>
      </w:trPr>
      <w:tc>
        <w:tcPr>
          <w:tcW w:w="2389" w:type="pct"/>
          <w:tcBorders>
            <w:top w:val="single" w:sz="4" w:space="0" w:color="4F81BD"/>
            <w:left w:val="nil"/>
            <w:bottom w:val="nil"/>
            <w:right w:val="nil"/>
          </w:tcBorders>
        </w:tcPr>
        <w:p w:rsidR="00046955" w:rsidRPr="00A06225" w:rsidRDefault="00046955">
          <w:pPr>
            <w:pStyle w:val="Header"/>
            <w:spacing w:line="276" w:lineRule="auto"/>
            <w:rPr>
              <w:rFonts w:ascii="Cambria" w:eastAsia="MS Gothic" w:hAnsi="Cambria"/>
              <w:b/>
              <w:bCs/>
              <w:color w:val="4F81BD"/>
            </w:rPr>
          </w:pPr>
        </w:p>
      </w:tc>
      <w:tc>
        <w:tcPr>
          <w:tcW w:w="0" w:type="auto"/>
          <w:vMerge/>
          <w:vAlign w:val="center"/>
          <w:hideMark/>
        </w:tcPr>
        <w:p w:rsidR="00046955" w:rsidRPr="00A06225" w:rsidRDefault="00046955">
          <w:pPr>
            <w:rPr>
              <w:rFonts w:ascii="Cambria" w:hAnsi="Cambria"/>
              <w:color w:val="4F81BD"/>
              <w:sz w:val="22"/>
              <w:szCs w:val="22"/>
            </w:rPr>
          </w:pPr>
        </w:p>
      </w:tc>
      <w:tc>
        <w:tcPr>
          <w:tcW w:w="2278" w:type="pct"/>
          <w:tcBorders>
            <w:top w:val="single" w:sz="4" w:space="0" w:color="4F81BD"/>
            <w:left w:val="nil"/>
            <w:bottom w:val="nil"/>
            <w:right w:val="nil"/>
          </w:tcBorders>
        </w:tcPr>
        <w:p w:rsidR="00046955" w:rsidRPr="00A06225" w:rsidRDefault="00046955">
          <w:pPr>
            <w:pStyle w:val="Header"/>
            <w:spacing w:line="276" w:lineRule="auto"/>
            <w:rPr>
              <w:rFonts w:ascii="Cambria" w:eastAsia="MS Gothic" w:hAnsi="Cambria"/>
              <w:b/>
              <w:bCs/>
              <w:color w:val="4F81BD"/>
            </w:rPr>
          </w:pPr>
        </w:p>
      </w:tc>
    </w:tr>
  </w:tbl>
  <w:p w:rsidR="00046955" w:rsidRDefault="00046955">
    <w:pPr>
      <w:pStyle w:val="Header"/>
    </w:pPr>
  </w:p>
  <w:p w:rsidR="00046955" w:rsidRDefault="000469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C0D" w:rsidRPr="002B0C0D" w:rsidRDefault="002B0C0D" w:rsidP="002B0C0D">
    <w:pPr>
      <w:jc w:val="center"/>
      <w:rPr>
        <w:rFonts w:asciiTheme="minorHAnsi" w:hAnsiTheme="minorHAnsi" w:cstheme="minorHAnsi"/>
        <w:i/>
      </w:rPr>
    </w:pPr>
    <w:r w:rsidRPr="002B0C0D">
      <w:rPr>
        <w:rFonts w:asciiTheme="minorHAnsi" w:hAnsiTheme="minorHAnsi" w:cstheme="minorHAnsi"/>
        <w:i/>
      </w:rPr>
      <w:t>Public Summary Document – November 2018 PBAC Meeting</w:t>
    </w:r>
  </w:p>
  <w:p w:rsidR="00046955" w:rsidRPr="00976F2A" w:rsidRDefault="00046955" w:rsidP="00A128E6">
    <w:pPr>
      <w:pStyle w:val="NoSpacing"/>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AE7" w:rsidRDefault="00EB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AB1715"/>
    <w:multiLevelType w:val="hybridMultilevel"/>
    <w:tmpl w:val="81F04E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E13DD"/>
    <w:multiLevelType w:val="hybridMultilevel"/>
    <w:tmpl w:val="965271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A73"/>
    <w:multiLevelType w:val="hybridMultilevel"/>
    <w:tmpl w:val="4EE4E432"/>
    <w:lvl w:ilvl="0" w:tplc="0C090001">
      <w:start w:val="1"/>
      <w:numFmt w:val="bullet"/>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90FA290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0"/>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15"/>
  </w:num>
  <w:num w:numId="16">
    <w:abstractNumId w:val="17"/>
  </w:num>
  <w:num w:numId="17">
    <w:abstractNumId w:val="9"/>
  </w:num>
  <w:num w:numId="18">
    <w:abstractNumId w:val="20"/>
  </w:num>
  <w:num w:numId="19">
    <w:abstractNumId w:val="18"/>
  </w:num>
  <w:num w:numId="20">
    <w:abstractNumId w:val="19"/>
  </w:num>
  <w:num w:numId="21">
    <w:abstractNumId w:val="5"/>
  </w:num>
  <w:num w:numId="22">
    <w:abstractNumId w:val="2"/>
  </w:num>
  <w:num w:numId="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0936"/>
    <w:rsid w:val="0002464A"/>
    <w:rsid w:val="0003106B"/>
    <w:rsid w:val="00031620"/>
    <w:rsid w:val="000421A1"/>
    <w:rsid w:val="0004240E"/>
    <w:rsid w:val="00045E26"/>
    <w:rsid w:val="00046955"/>
    <w:rsid w:val="000514B5"/>
    <w:rsid w:val="00060E64"/>
    <w:rsid w:val="00066755"/>
    <w:rsid w:val="00077143"/>
    <w:rsid w:val="00082169"/>
    <w:rsid w:val="000969AD"/>
    <w:rsid w:val="000A2F7B"/>
    <w:rsid w:val="000B558D"/>
    <w:rsid w:val="000C6996"/>
    <w:rsid w:val="000D23BA"/>
    <w:rsid w:val="000E681E"/>
    <w:rsid w:val="000F0003"/>
    <w:rsid w:val="000F4E6A"/>
    <w:rsid w:val="00104227"/>
    <w:rsid w:val="001107BF"/>
    <w:rsid w:val="00116C18"/>
    <w:rsid w:val="0012417C"/>
    <w:rsid w:val="001266FB"/>
    <w:rsid w:val="00142395"/>
    <w:rsid w:val="00142714"/>
    <w:rsid w:val="001452ED"/>
    <w:rsid w:val="00163329"/>
    <w:rsid w:val="00164623"/>
    <w:rsid w:val="00165B64"/>
    <w:rsid w:val="001662CB"/>
    <w:rsid w:val="00180713"/>
    <w:rsid w:val="001830CE"/>
    <w:rsid w:val="0018643B"/>
    <w:rsid w:val="00190BDB"/>
    <w:rsid w:val="00196307"/>
    <w:rsid w:val="001A33EA"/>
    <w:rsid w:val="001A3824"/>
    <w:rsid w:val="001B017F"/>
    <w:rsid w:val="001B038D"/>
    <w:rsid w:val="001B2BBC"/>
    <w:rsid w:val="001B5129"/>
    <w:rsid w:val="001C1195"/>
    <w:rsid w:val="001E6BB2"/>
    <w:rsid w:val="001F1850"/>
    <w:rsid w:val="001F48D9"/>
    <w:rsid w:val="00203FAC"/>
    <w:rsid w:val="00213CFB"/>
    <w:rsid w:val="00217BE1"/>
    <w:rsid w:val="00241CA6"/>
    <w:rsid w:val="00244D5A"/>
    <w:rsid w:val="00250F8F"/>
    <w:rsid w:val="00271BA1"/>
    <w:rsid w:val="00276111"/>
    <w:rsid w:val="002762FA"/>
    <w:rsid w:val="00277505"/>
    <w:rsid w:val="0029458F"/>
    <w:rsid w:val="002A104C"/>
    <w:rsid w:val="002A4960"/>
    <w:rsid w:val="002B0C0D"/>
    <w:rsid w:val="002B1AE6"/>
    <w:rsid w:val="002B2DE8"/>
    <w:rsid w:val="002B30F8"/>
    <w:rsid w:val="002B5596"/>
    <w:rsid w:val="002C0AE1"/>
    <w:rsid w:val="002C212F"/>
    <w:rsid w:val="002D4543"/>
    <w:rsid w:val="002E3153"/>
    <w:rsid w:val="002E53C5"/>
    <w:rsid w:val="002E72CA"/>
    <w:rsid w:val="002F600D"/>
    <w:rsid w:val="00300AD6"/>
    <w:rsid w:val="00317C6C"/>
    <w:rsid w:val="00326E79"/>
    <w:rsid w:val="0033518A"/>
    <w:rsid w:val="003367EF"/>
    <w:rsid w:val="00341AE4"/>
    <w:rsid w:val="00361133"/>
    <w:rsid w:val="003872CF"/>
    <w:rsid w:val="00394F1B"/>
    <w:rsid w:val="0039782C"/>
    <w:rsid w:val="003A5B4A"/>
    <w:rsid w:val="003B23C5"/>
    <w:rsid w:val="003B2A75"/>
    <w:rsid w:val="003B6124"/>
    <w:rsid w:val="003C1B2F"/>
    <w:rsid w:val="003C2FB5"/>
    <w:rsid w:val="003D4AC4"/>
    <w:rsid w:val="003D63B7"/>
    <w:rsid w:val="003D7E60"/>
    <w:rsid w:val="003E468B"/>
    <w:rsid w:val="003F3153"/>
    <w:rsid w:val="003F3228"/>
    <w:rsid w:val="003F5C8C"/>
    <w:rsid w:val="0041214D"/>
    <w:rsid w:val="004252EC"/>
    <w:rsid w:val="004311F5"/>
    <w:rsid w:val="004465BD"/>
    <w:rsid w:val="0044675F"/>
    <w:rsid w:val="004469FF"/>
    <w:rsid w:val="004570CD"/>
    <w:rsid w:val="00460021"/>
    <w:rsid w:val="00466ADA"/>
    <w:rsid w:val="00476245"/>
    <w:rsid w:val="00483035"/>
    <w:rsid w:val="004853A2"/>
    <w:rsid w:val="00485940"/>
    <w:rsid w:val="00497AB7"/>
    <w:rsid w:val="004A2484"/>
    <w:rsid w:val="004A5A85"/>
    <w:rsid w:val="004A71D1"/>
    <w:rsid w:val="004B5640"/>
    <w:rsid w:val="004C1BD7"/>
    <w:rsid w:val="004C31FE"/>
    <w:rsid w:val="004C691D"/>
    <w:rsid w:val="004C6C07"/>
    <w:rsid w:val="004E692D"/>
    <w:rsid w:val="004F25D5"/>
    <w:rsid w:val="00501554"/>
    <w:rsid w:val="00514CD7"/>
    <w:rsid w:val="00527E55"/>
    <w:rsid w:val="005319B2"/>
    <w:rsid w:val="00532402"/>
    <w:rsid w:val="00532C74"/>
    <w:rsid w:val="00534E2E"/>
    <w:rsid w:val="00541A0C"/>
    <w:rsid w:val="00544552"/>
    <w:rsid w:val="005607B1"/>
    <w:rsid w:val="00577C4D"/>
    <w:rsid w:val="00581932"/>
    <w:rsid w:val="00581ECF"/>
    <w:rsid w:val="005963BB"/>
    <w:rsid w:val="0059672F"/>
    <w:rsid w:val="005A3173"/>
    <w:rsid w:val="005A3223"/>
    <w:rsid w:val="005A3DA3"/>
    <w:rsid w:val="005A52C4"/>
    <w:rsid w:val="005D03AB"/>
    <w:rsid w:val="005D5017"/>
    <w:rsid w:val="005E1333"/>
    <w:rsid w:val="00601A91"/>
    <w:rsid w:val="00602BA3"/>
    <w:rsid w:val="00612E34"/>
    <w:rsid w:val="00614159"/>
    <w:rsid w:val="00617C00"/>
    <w:rsid w:val="006263BF"/>
    <w:rsid w:val="0062748A"/>
    <w:rsid w:val="00630A2C"/>
    <w:rsid w:val="0063682E"/>
    <w:rsid w:val="006436CD"/>
    <w:rsid w:val="00651169"/>
    <w:rsid w:val="00653D69"/>
    <w:rsid w:val="00654A67"/>
    <w:rsid w:val="006670BE"/>
    <w:rsid w:val="00670A76"/>
    <w:rsid w:val="006711AA"/>
    <w:rsid w:val="0067266C"/>
    <w:rsid w:val="00672B57"/>
    <w:rsid w:val="00675622"/>
    <w:rsid w:val="0067747D"/>
    <w:rsid w:val="00686F3D"/>
    <w:rsid w:val="006906DB"/>
    <w:rsid w:val="00691E6C"/>
    <w:rsid w:val="00692D08"/>
    <w:rsid w:val="0069494C"/>
    <w:rsid w:val="00696129"/>
    <w:rsid w:val="00696550"/>
    <w:rsid w:val="00697CF2"/>
    <w:rsid w:val="006A11EC"/>
    <w:rsid w:val="006A12A5"/>
    <w:rsid w:val="006A41D4"/>
    <w:rsid w:val="006B0D94"/>
    <w:rsid w:val="006B485D"/>
    <w:rsid w:val="006C2A1C"/>
    <w:rsid w:val="006C708E"/>
    <w:rsid w:val="006D14E7"/>
    <w:rsid w:val="006D6493"/>
    <w:rsid w:val="006D6EC7"/>
    <w:rsid w:val="006E2D7F"/>
    <w:rsid w:val="006F5125"/>
    <w:rsid w:val="00702B6F"/>
    <w:rsid w:val="007107D7"/>
    <w:rsid w:val="0071340B"/>
    <w:rsid w:val="007174BB"/>
    <w:rsid w:val="0072025D"/>
    <w:rsid w:val="007236E3"/>
    <w:rsid w:val="007353D3"/>
    <w:rsid w:val="00757B71"/>
    <w:rsid w:val="0076185B"/>
    <w:rsid w:val="0076420C"/>
    <w:rsid w:val="007753C2"/>
    <w:rsid w:val="007838B8"/>
    <w:rsid w:val="00783D15"/>
    <w:rsid w:val="007C0F57"/>
    <w:rsid w:val="007C40B6"/>
    <w:rsid w:val="007C729F"/>
    <w:rsid w:val="007E1D28"/>
    <w:rsid w:val="007F2641"/>
    <w:rsid w:val="007F7C36"/>
    <w:rsid w:val="00806796"/>
    <w:rsid w:val="008151D6"/>
    <w:rsid w:val="00826F6D"/>
    <w:rsid w:val="008306F3"/>
    <w:rsid w:val="00856DDD"/>
    <w:rsid w:val="00863E68"/>
    <w:rsid w:val="00863F4F"/>
    <w:rsid w:val="00882085"/>
    <w:rsid w:val="00883188"/>
    <w:rsid w:val="00897D58"/>
    <w:rsid w:val="00897F22"/>
    <w:rsid w:val="008A153E"/>
    <w:rsid w:val="008A1956"/>
    <w:rsid w:val="008A4937"/>
    <w:rsid w:val="008A50F1"/>
    <w:rsid w:val="008C3D98"/>
    <w:rsid w:val="008D1B5C"/>
    <w:rsid w:val="008D3C82"/>
    <w:rsid w:val="008D447E"/>
    <w:rsid w:val="008D7A41"/>
    <w:rsid w:val="008E3680"/>
    <w:rsid w:val="008E5870"/>
    <w:rsid w:val="008F1434"/>
    <w:rsid w:val="008F7355"/>
    <w:rsid w:val="009067B7"/>
    <w:rsid w:val="00930937"/>
    <w:rsid w:val="00933E6C"/>
    <w:rsid w:val="00937958"/>
    <w:rsid w:val="00940B07"/>
    <w:rsid w:val="00942160"/>
    <w:rsid w:val="0094316B"/>
    <w:rsid w:val="009456CA"/>
    <w:rsid w:val="0095146F"/>
    <w:rsid w:val="0095633E"/>
    <w:rsid w:val="009602C5"/>
    <w:rsid w:val="00962223"/>
    <w:rsid w:val="00962F57"/>
    <w:rsid w:val="00963FD3"/>
    <w:rsid w:val="00966D0D"/>
    <w:rsid w:val="00974C21"/>
    <w:rsid w:val="00976F2A"/>
    <w:rsid w:val="009A0C7D"/>
    <w:rsid w:val="009A5C93"/>
    <w:rsid w:val="009B0F67"/>
    <w:rsid w:val="009C211E"/>
    <w:rsid w:val="009C703C"/>
    <w:rsid w:val="009D3CAA"/>
    <w:rsid w:val="009E40E1"/>
    <w:rsid w:val="009E7FF1"/>
    <w:rsid w:val="009F4E46"/>
    <w:rsid w:val="009F5B65"/>
    <w:rsid w:val="009F5F2E"/>
    <w:rsid w:val="00A02186"/>
    <w:rsid w:val="00A06225"/>
    <w:rsid w:val="00A1029A"/>
    <w:rsid w:val="00A128E6"/>
    <w:rsid w:val="00A26435"/>
    <w:rsid w:val="00A34E6C"/>
    <w:rsid w:val="00A34FEB"/>
    <w:rsid w:val="00A36396"/>
    <w:rsid w:val="00A37C8D"/>
    <w:rsid w:val="00A5273B"/>
    <w:rsid w:val="00A53A9D"/>
    <w:rsid w:val="00A55FEE"/>
    <w:rsid w:val="00A62A9D"/>
    <w:rsid w:val="00A62C1A"/>
    <w:rsid w:val="00A6426D"/>
    <w:rsid w:val="00A665C1"/>
    <w:rsid w:val="00A70622"/>
    <w:rsid w:val="00A70977"/>
    <w:rsid w:val="00A75AAF"/>
    <w:rsid w:val="00A77613"/>
    <w:rsid w:val="00A8390C"/>
    <w:rsid w:val="00A928BD"/>
    <w:rsid w:val="00AA4D1C"/>
    <w:rsid w:val="00AB00A4"/>
    <w:rsid w:val="00AC193C"/>
    <w:rsid w:val="00AC5206"/>
    <w:rsid w:val="00AE11A5"/>
    <w:rsid w:val="00AE13E2"/>
    <w:rsid w:val="00AE22D3"/>
    <w:rsid w:val="00AF0C45"/>
    <w:rsid w:val="00AF1FFB"/>
    <w:rsid w:val="00AF62DF"/>
    <w:rsid w:val="00AF68CC"/>
    <w:rsid w:val="00B1059E"/>
    <w:rsid w:val="00B17658"/>
    <w:rsid w:val="00B176C8"/>
    <w:rsid w:val="00B205AA"/>
    <w:rsid w:val="00B22E84"/>
    <w:rsid w:val="00B25F75"/>
    <w:rsid w:val="00B26B3F"/>
    <w:rsid w:val="00B43E90"/>
    <w:rsid w:val="00B467DC"/>
    <w:rsid w:val="00B56118"/>
    <w:rsid w:val="00B6773F"/>
    <w:rsid w:val="00B678E6"/>
    <w:rsid w:val="00B801BA"/>
    <w:rsid w:val="00B84D5C"/>
    <w:rsid w:val="00B910EE"/>
    <w:rsid w:val="00BB69F5"/>
    <w:rsid w:val="00BB7EC3"/>
    <w:rsid w:val="00BC4B9A"/>
    <w:rsid w:val="00BD0D8D"/>
    <w:rsid w:val="00BD2057"/>
    <w:rsid w:val="00BD784C"/>
    <w:rsid w:val="00BF4CB6"/>
    <w:rsid w:val="00C00DA7"/>
    <w:rsid w:val="00C12768"/>
    <w:rsid w:val="00C27B58"/>
    <w:rsid w:val="00C35996"/>
    <w:rsid w:val="00C456FA"/>
    <w:rsid w:val="00C4747E"/>
    <w:rsid w:val="00C5342C"/>
    <w:rsid w:val="00C603D4"/>
    <w:rsid w:val="00C6256A"/>
    <w:rsid w:val="00C70F5A"/>
    <w:rsid w:val="00C77891"/>
    <w:rsid w:val="00C91449"/>
    <w:rsid w:val="00C92D10"/>
    <w:rsid w:val="00CC275F"/>
    <w:rsid w:val="00CE10C4"/>
    <w:rsid w:val="00CE27B5"/>
    <w:rsid w:val="00CE2C30"/>
    <w:rsid w:val="00D0321E"/>
    <w:rsid w:val="00D1455A"/>
    <w:rsid w:val="00D31150"/>
    <w:rsid w:val="00D3138B"/>
    <w:rsid w:val="00D3280C"/>
    <w:rsid w:val="00D3406A"/>
    <w:rsid w:val="00D4572C"/>
    <w:rsid w:val="00D469B2"/>
    <w:rsid w:val="00D741EB"/>
    <w:rsid w:val="00D83605"/>
    <w:rsid w:val="00D84934"/>
    <w:rsid w:val="00D91271"/>
    <w:rsid w:val="00D919F5"/>
    <w:rsid w:val="00D94F03"/>
    <w:rsid w:val="00DA2CB5"/>
    <w:rsid w:val="00DA4BAC"/>
    <w:rsid w:val="00DD10F7"/>
    <w:rsid w:val="00DE6D27"/>
    <w:rsid w:val="00DF217D"/>
    <w:rsid w:val="00DF26A7"/>
    <w:rsid w:val="00E15627"/>
    <w:rsid w:val="00E164B3"/>
    <w:rsid w:val="00E16910"/>
    <w:rsid w:val="00E20CFA"/>
    <w:rsid w:val="00E42BDB"/>
    <w:rsid w:val="00E540C0"/>
    <w:rsid w:val="00E57EEB"/>
    <w:rsid w:val="00E62D94"/>
    <w:rsid w:val="00E65E54"/>
    <w:rsid w:val="00E80155"/>
    <w:rsid w:val="00E81F28"/>
    <w:rsid w:val="00E848C0"/>
    <w:rsid w:val="00E87D81"/>
    <w:rsid w:val="00E91B96"/>
    <w:rsid w:val="00E91F89"/>
    <w:rsid w:val="00E93467"/>
    <w:rsid w:val="00E941A1"/>
    <w:rsid w:val="00E95CE3"/>
    <w:rsid w:val="00EA2825"/>
    <w:rsid w:val="00EB0AE7"/>
    <w:rsid w:val="00EB0B63"/>
    <w:rsid w:val="00EB1936"/>
    <w:rsid w:val="00EB30FE"/>
    <w:rsid w:val="00EB5088"/>
    <w:rsid w:val="00EC394F"/>
    <w:rsid w:val="00ED1644"/>
    <w:rsid w:val="00ED2593"/>
    <w:rsid w:val="00ED7D9C"/>
    <w:rsid w:val="00EE4629"/>
    <w:rsid w:val="00EF44A0"/>
    <w:rsid w:val="00EF4FED"/>
    <w:rsid w:val="00F050BD"/>
    <w:rsid w:val="00F05657"/>
    <w:rsid w:val="00F123A2"/>
    <w:rsid w:val="00F25578"/>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629A"/>
    <w:rsid w:val="00F97EFC"/>
    <w:rsid w:val="00FA5883"/>
    <w:rsid w:val="00FA6055"/>
    <w:rsid w:val="00FB322F"/>
    <w:rsid w:val="00FB442F"/>
    <w:rsid w:val="00FC1929"/>
    <w:rsid w:val="00FC5B46"/>
    <w:rsid w:val="00FD6D8E"/>
    <w:rsid w:val="00FE0E94"/>
    <w:rsid w:val="00FE337B"/>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976F2A"/>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2C0AE1"/>
    <w:rPr>
      <w:sz w:val="20"/>
      <w:szCs w:val="20"/>
    </w:rPr>
  </w:style>
  <w:style w:type="character" w:customStyle="1" w:styleId="FootnoteTextChar">
    <w:name w:val="Footnote Text Char"/>
    <w:basedOn w:val="DefaultParagraphFont"/>
    <w:link w:val="FootnoteText"/>
    <w:rsid w:val="002C0AE1"/>
  </w:style>
  <w:style w:type="character" w:styleId="FootnoteReference">
    <w:name w:val="footnote reference"/>
    <w:basedOn w:val="DefaultParagraphFont"/>
    <w:rsid w:val="002C0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405474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listing/elements/pbac-meetings/psd/2017-08/etanercept-brenzys-psd-august-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C4F2-C720-4A0A-999A-0F6999E6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2019-02-21T23:31:00Z</dcterms:created>
  <dcterms:modified xsi:type="dcterms:W3CDTF">2019-02-21T23:32:00Z</dcterms:modified>
</cp:coreProperties>
</file>