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AD0" w:rsidRDefault="004C1A90" w:rsidP="00465BB6">
      <w:pPr>
        <w:widowControl/>
        <w:ind w:left="993" w:hanging="993"/>
        <w:jc w:val="left"/>
        <w:rPr>
          <w:b/>
          <w:sz w:val="36"/>
          <w:szCs w:val="36"/>
        </w:rPr>
      </w:pPr>
      <w:r w:rsidRPr="004C2D88">
        <w:rPr>
          <w:b/>
          <w:sz w:val="36"/>
          <w:szCs w:val="36"/>
        </w:rPr>
        <w:t>5.05</w:t>
      </w:r>
      <w:r w:rsidR="00B60939" w:rsidRPr="004C2D88">
        <w:rPr>
          <w:b/>
          <w:sz w:val="36"/>
          <w:szCs w:val="36"/>
        </w:rPr>
        <w:tab/>
      </w:r>
      <w:r w:rsidR="00CA6382" w:rsidRPr="004C2D88">
        <w:rPr>
          <w:b/>
          <w:sz w:val="36"/>
          <w:szCs w:val="36"/>
        </w:rPr>
        <w:t>ENCORAFENIB</w:t>
      </w:r>
      <w:r w:rsidR="0013514A">
        <w:rPr>
          <w:b/>
          <w:sz w:val="36"/>
          <w:szCs w:val="36"/>
        </w:rPr>
        <w:t>,</w:t>
      </w:r>
      <w:r w:rsidR="005B12FE" w:rsidRPr="004C2D88">
        <w:rPr>
          <w:b/>
          <w:sz w:val="32"/>
          <w:szCs w:val="36"/>
        </w:rPr>
        <w:br/>
      </w:r>
      <w:r w:rsidRPr="00E15AD0">
        <w:rPr>
          <w:b/>
          <w:sz w:val="36"/>
          <w:szCs w:val="36"/>
        </w:rPr>
        <w:t>C</w:t>
      </w:r>
      <w:r w:rsidR="00CA6382" w:rsidRPr="00E15AD0">
        <w:rPr>
          <w:b/>
          <w:sz w:val="36"/>
          <w:szCs w:val="36"/>
        </w:rPr>
        <w:t>apsule</w:t>
      </w:r>
      <w:r w:rsidR="00C71389" w:rsidRPr="00E15AD0">
        <w:rPr>
          <w:b/>
          <w:sz w:val="36"/>
          <w:szCs w:val="36"/>
        </w:rPr>
        <w:t>s, 50mg and 75mg</w:t>
      </w:r>
      <w:r w:rsidR="00CA6382" w:rsidRPr="00E15AD0">
        <w:rPr>
          <w:b/>
          <w:sz w:val="36"/>
          <w:szCs w:val="36"/>
        </w:rPr>
        <w:t xml:space="preserve">, </w:t>
      </w:r>
    </w:p>
    <w:p w:rsidR="00E15AD0" w:rsidRDefault="00DA7EDA" w:rsidP="00E15AD0">
      <w:pPr>
        <w:widowControl/>
        <w:ind w:left="993"/>
        <w:jc w:val="left"/>
        <w:rPr>
          <w:b/>
          <w:sz w:val="36"/>
          <w:szCs w:val="36"/>
        </w:rPr>
      </w:pPr>
      <w:r w:rsidRPr="00E15AD0">
        <w:rPr>
          <w:b/>
          <w:sz w:val="36"/>
          <w:szCs w:val="36"/>
        </w:rPr>
        <w:t>Braftovi</w:t>
      </w:r>
      <w:r w:rsidR="00CA6382" w:rsidRPr="00E15AD0">
        <w:rPr>
          <w:b/>
          <w:sz w:val="36"/>
          <w:szCs w:val="36"/>
        </w:rPr>
        <w:t>®</w:t>
      </w:r>
      <w:r w:rsidRPr="00E15AD0">
        <w:rPr>
          <w:b/>
          <w:sz w:val="36"/>
          <w:szCs w:val="36"/>
        </w:rPr>
        <w:t xml:space="preserve">; </w:t>
      </w:r>
      <w:r w:rsidR="008628F4" w:rsidRPr="00E15AD0">
        <w:rPr>
          <w:b/>
          <w:sz w:val="36"/>
          <w:szCs w:val="36"/>
        </w:rPr>
        <w:t>and</w:t>
      </w:r>
      <w:r w:rsidR="005B12FE" w:rsidRPr="00E15AD0">
        <w:rPr>
          <w:b/>
          <w:sz w:val="36"/>
          <w:szCs w:val="36"/>
        </w:rPr>
        <w:br/>
      </w:r>
      <w:r w:rsidR="004C1A90" w:rsidRPr="004C2D88">
        <w:rPr>
          <w:b/>
          <w:sz w:val="36"/>
          <w:szCs w:val="36"/>
        </w:rPr>
        <w:t>BINIMETINIB</w:t>
      </w:r>
      <w:r w:rsidR="00C71389" w:rsidRPr="004C2D88">
        <w:rPr>
          <w:b/>
          <w:sz w:val="32"/>
          <w:szCs w:val="36"/>
        </w:rPr>
        <w:t>,</w:t>
      </w:r>
      <w:r w:rsidR="00CA6382" w:rsidRPr="004C2D88">
        <w:rPr>
          <w:b/>
          <w:sz w:val="32"/>
          <w:szCs w:val="36"/>
        </w:rPr>
        <w:t xml:space="preserve"> </w:t>
      </w:r>
      <w:r w:rsidR="005B12FE" w:rsidRPr="004C2D88">
        <w:rPr>
          <w:b/>
          <w:sz w:val="32"/>
          <w:szCs w:val="36"/>
        </w:rPr>
        <w:br/>
      </w:r>
      <w:r w:rsidR="004C1A90" w:rsidRPr="00E15AD0">
        <w:rPr>
          <w:b/>
          <w:sz w:val="36"/>
          <w:szCs w:val="36"/>
        </w:rPr>
        <w:t>T</w:t>
      </w:r>
      <w:r w:rsidR="00CA6382" w:rsidRPr="00E15AD0">
        <w:rPr>
          <w:b/>
          <w:sz w:val="36"/>
          <w:szCs w:val="36"/>
        </w:rPr>
        <w:t>ablet</w:t>
      </w:r>
      <w:r w:rsidR="00C71389" w:rsidRPr="00E15AD0">
        <w:rPr>
          <w:b/>
          <w:sz w:val="36"/>
          <w:szCs w:val="36"/>
        </w:rPr>
        <w:t>s,</w:t>
      </w:r>
      <w:r w:rsidR="00CA6382" w:rsidRPr="00E15AD0">
        <w:rPr>
          <w:b/>
          <w:sz w:val="36"/>
          <w:szCs w:val="36"/>
        </w:rPr>
        <w:t xml:space="preserve"> 15mg</w:t>
      </w:r>
      <w:r w:rsidR="00795F66" w:rsidRPr="00E15AD0">
        <w:rPr>
          <w:b/>
          <w:sz w:val="36"/>
          <w:szCs w:val="36"/>
        </w:rPr>
        <w:t>,</w:t>
      </w:r>
      <w:r w:rsidR="00CA6382" w:rsidRPr="00E15AD0">
        <w:rPr>
          <w:b/>
          <w:sz w:val="36"/>
          <w:szCs w:val="36"/>
        </w:rPr>
        <w:t xml:space="preserve"> </w:t>
      </w:r>
    </w:p>
    <w:p w:rsidR="00B60939" w:rsidRPr="00E15AD0" w:rsidRDefault="00DA7EDA" w:rsidP="00B1102B">
      <w:pPr>
        <w:widowControl/>
        <w:ind w:left="993"/>
        <w:jc w:val="left"/>
        <w:rPr>
          <w:b/>
          <w:sz w:val="36"/>
          <w:szCs w:val="36"/>
        </w:rPr>
      </w:pPr>
      <w:r w:rsidRPr="00E15AD0">
        <w:rPr>
          <w:b/>
          <w:sz w:val="36"/>
          <w:szCs w:val="36"/>
        </w:rPr>
        <w:t>Mektovi</w:t>
      </w:r>
      <w:r w:rsidR="00CA6382" w:rsidRPr="00E15AD0">
        <w:rPr>
          <w:b/>
          <w:sz w:val="36"/>
          <w:szCs w:val="36"/>
        </w:rPr>
        <w:t>®</w:t>
      </w:r>
      <w:r w:rsidR="00C71389" w:rsidRPr="00E15AD0">
        <w:rPr>
          <w:b/>
          <w:sz w:val="36"/>
          <w:szCs w:val="36"/>
        </w:rPr>
        <w:t>,</w:t>
      </w:r>
      <w:r w:rsidR="00CA6382" w:rsidRPr="00E15AD0">
        <w:rPr>
          <w:b/>
          <w:sz w:val="36"/>
          <w:szCs w:val="36"/>
        </w:rPr>
        <w:t xml:space="preserve"> Pierre Fabre Australia</w:t>
      </w:r>
      <w:r w:rsidR="00B60939" w:rsidRPr="00E15AD0">
        <w:rPr>
          <w:b/>
          <w:sz w:val="36"/>
          <w:szCs w:val="36"/>
        </w:rPr>
        <w:t>.</w:t>
      </w:r>
    </w:p>
    <w:p w:rsidR="00390833" w:rsidRPr="004C2D88" w:rsidRDefault="00390833" w:rsidP="00465BB6">
      <w:pPr>
        <w:widowControl/>
      </w:pPr>
    </w:p>
    <w:p w:rsidR="00390833" w:rsidRPr="004C2D88" w:rsidRDefault="00390833" w:rsidP="00465BB6">
      <w:pPr>
        <w:pStyle w:val="Heading1"/>
      </w:pPr>
      <w:bookmarkStart w:id="0" w:name="_Toc371170699"/>
      <w:bookmarkStart w:id="1" w:name="_Toc524515803"/>
      <w:r w:rsidRPr="004C2D88">
        <w:t>Purpose of Application</w:t>
      </w:r>
      <w:bookmarkEnd w:id="0"/>
      <w:bookmarkEnd w:id="1"/>
    </w:p>
    <w:p w:rsidR="00390833" w:rsidRPr="004C2D88" w:rsidRDefault="00390833" w:rsidP="00D073C6">
      <w:pPr>
        <w:pStyle w:val="ListParagraph"/>
        <w:keepNext/>
        <w:widowControl/>
        <w:numPr>
          <w:ilvl w:val="1"/>
          <w:numId w:val="4"/>
        </w:numPr>
        <w:snapToGrid w:val="0"/>
      </w:pPr>
      <w:r w:rsidRPr="004C2D88">
        <w:t>The submission requested an Authority Required (</w:t>
      </w:r>
      <w:r w:rsidR="004C1A90" w:rsidRPr="004C2D88">
        <w:t>STREAMLINED</w:t>
      </w:r>
      <w:r w:rsidRPr="004C2D88">
        <w:t xml:space="preserve">) listing for encorafenib in combination with binimetinib for the treatment of unresectable or metastatic melanoma with a BRAF V600 mutation. This is the first application to PBAC for encorafenib and binimetinib in combination. Listing is not sought for either </w:t>
      </w:r>
      <w:r w:rsidR="00B5564F" w:rsidRPr="004C2D88">
        <w:t xml:space="preserve">component </w:t>
      </w:r>
      <w:r w:rsidRPr="004C2D88">
        <w:t xml:space="preserve">as monotherapy.  </w:t>
      </w:r>
    </w:p>
    <w:p w:rsidR="00390833" w:rsidRPr="004C2D88" w:rsidRDefault="00390833" w:rsidP="00D073C6">
      <w:pPr>
        <w:pStyle w:val="ListParagraph"/>
        <w:widowControl/>
        <w:numPr>
          <w:ilvl w:val="1"/>
          <w:numId w:val="4"/>
        </w:numPr>
        <w:snapToGrid w:val="0"/>
        <w:spacing w:after="120"/>
      </w:pPr>
      <w:r w:rsidRPr="004C2D88">
        <w:t>The requested listing was based on a cost-minimisation analysis of encorafenib+binimetinib to dabrafenib+trametinib</w:t>
      </w:r>
      <w:r w:rsidR="00FC58CC" w:rsidRPr="004C2D88">
        <w:t xml:space="preserve"> </w:t>
      </w:r>
      <w:r w:rsidR="00906FEB" w:rsidRPr="004C2D88">
        <w:t>and</w:t>
      </w:r>
      <w:r w:rsidR="00FC58CC" w:rsidRPr="004C2D88">
        <w:t xml:space="preserve"> to vemurafenib+cobimetinib</w:t>
      </w:r>
      <w:r w:rsidRPr="004C2D88">
        <w:t>. The key components of the clinical issue addressed by the submission are summarised below.</w:t>
      </w:r>
    </w:p>
    <w:p w:rsidR="00390833" w:rsidRPr="004C2D88" w:rsidRDefault="00390833" w:rsidP="00465BB6">
      <w:pPr>
        <w:pStyle w:val="Caption"/>
        <w:keepNext/>
        <w:widowControl/>
        <w:rPr>
          <w:rStyle w:val="CommentReference"/>
          <w:b/>
          <w:bCs w:val="0"/>
        </w:rPr>
      </w:pPr>
      <w:r w:rsidRPr="004C2D88">
        <w:rPr>
          <w:rStyle w:val="CommentReference"/>
          <w:b/>
          <w:bCs w:val="0"/>
        </w:rPr>
        <w:t xml:space="preserve">Table </w:t>
      </w:r>
      <w:r w:rsidR="00CC25ED" w:rsidRPr="004C2D88">
        <w:rPr>
          <w:rStyle w:val="CommentReference"/>
          <w:b/>
          <w:bCs w:val="0"/>
        </w:rPr>
        <w:t>1</w:t>
      </w:r>
      <w:r w:rsidRPr="004C2D88">
        <w:rPr>
          <w:rStyle w:val="CommentReference"/>
          <w:b/>
          <w:bCs w:val="0"/>
        </w:rPr>
        <w:t>: Key components of the clinical issue addressed by the submission</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8025"/>
      </w:tblGrid>
      <w:tr w:rsidR="00390833" w:rsidRPr="004C2D88" w:rsidTr="00BE46AE">
        <w:trPr>
          <w:cantSplit/>
          <w:tblHeader/>
        </w:trPr>
        <w:tc>
          <w:tcPr>
            <w:tcW w:w="1047"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rPr>
                <w:b/>
                <w:szCs w:val="20"/>
              </w:rPr>
            </w:pPr>
            <w:r w:rsidRPr="004C2D88">
              <w:rPr>
                <w:b/>
                <w:szCs w:val="20"/>
              </w:rPr>
              <w:t>Component</w:t>
            </w:r>
          </w:p>
        </w:tc>
        <w:tc>
          <w:tcPr>
            <w:tcW w:w="802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jc w:val="center"/>
              <w:rPr>
                <w:b/>
                <w:szCs w:val="20"/>
              </w:rPr>
            </w:pPr>
            <w:r w:rsidRPr="004C2D88">
              <w:rPr>
                <w:b/>
                <w:szCs w:val="20"/>
              </w:rPr>
              <w:t>Description</w:t>
            </w:r>
          </w:p>
        </w:tc>
      </w:tr>
      <w:tr w:rsidR="00390833" w:rsidRPr="004C2D88" w:rsidTr="00BE46AE">
        <w:trPr>
          <w:cantSplit/>
        </w:trPr>
        <w:tc>
          <w:tcPr>
            <w:tcW w:w="1047"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rPr>
                <w:szCs w:val="20"/>
              </w:rPr>
            </w:pPr>
            <w:r w:rsidRPr="004C2D88">
              <w:rPr>
                <w:szCs w:val="20"/>
              </w:rPr>
              <w:t>Population</w:t>
            </w:r>
          </w:p>
        </w:tc>
        <w:tc>
          <w:tcPr>
            <w:tcW w:w="802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rPr>
                <w:szCs w:val="20"/>
              </w:rPr>
            </w:pPr>
            <w:r w:rsidRPr="004C2D88">
              <w:rPr>
                <w:szCs w:val="20"/>
              </w:rPr>
              <w:t xml:space="preserve">Patients with unresectable or metastatic melanoma with a BRAF V600 mutation. </w:t>
            </w:r>
          </w:p>
        </w:tc>
      </w:tr>
      <w:tr w:rsidR="00390833" w:rsidRPr="004C2D88" w:rsidTr="00BE46AE">
        <w:trPr>
          <w:cantSplit/>
        </w:trPr>
        <w:tc>
          <w:tcPr>
            <w:tcW w:w="1047"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rPr>
                <w:szCs w:val="20"/>
              </w:rPr>
            </w:pPr>
            <w:r w:rsidRPr="004C2D88">
              <w:rPr>
                <w:szCs w:val="20"/>
              </w:rPr>
              <w:t>Intervention</w:t>
            </w:r>
          </w:p>
        </w:tc>
        <w:tc>
          <w:tcPr>
            <w:tcW w:w="802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rPr>
                <w:szCs w:val="20"/>
              </w:rPr>
            </w:pPr>
            <w:r w:rsidRPr="004C2D88">
              <w:rPr>
                <w:szCs w:val="20"/>
              </w:rPr>
              <w:t xml:space="preserve">Treatment (oral) in combination as follows: </w:t>
            </w:r>
          </w:p>
          <w:p w:rsidR="00390833" w:rsidRPr="004C2D88" w:rsidRDefault="00390833" w:rsidP="00465BB6">
            <w:pPr>
              <w:pStyle w:val="Tabletext"/>
              <w:rPr>
                <w:szCs w:val="20"/>
              </w:rPr>
            </w:pPr>
            <w:r w:rsidRPr="004C2D88">
              <w:rPr>
                <w:szCs w:val="20"/>
              </w:rPr>
              <w:t>Encorafenib 450 mg (six 75 mg capsules) once daily</w:t>
            </w:r>
          </w:p>
          <w:p w:rsidR="00390833" w:rsidRPr="004C2D88" w:rsidRDefault="00390833" w:rsidP="00465BB6">
            <w:pPr>
              <w:pStyle w:val="Tabletext"/>
              <w:rPr>
                <w:szCs w:val="20"/>
              </w:rPr>
            </w:pPr>
            <w:r w:rsidRPr="004C2D88">
              <w:rPr>
                <w:szCs w:val="20"/>
              </w:rPr>
              <w:t>Binimetinib 45 mg (three 15 mg tablets) twice daily approximately 12 hours apart</w:t>
            </w:r>
          </w:p>
        </w:tc>
      </w:tr>
      <w:tr w:rsidR="00390833" w:rsidRPr="004C2D88" w:rsidTr="00BE46AE">
        <w:trPr>
          <w:cantSplit/>
        </w:trPr>
        <w:tc>
          <w:tcPr>
            <w:tcW w:w="1047"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rPr>
                <w:szCs w:val="20"/>
              </w:rPr>
            </w:pPr>
            <w:r w:rsidRPr="004C2D88">
              <w:rPr>
                <w:szCs w:val="20"/>
              </w:rPr>
              <w:t>Comparator</w:t>
            </w:r>
          </w:p>
        </w:tc>
        <w:tc>
          <w:tcPr>
            <w:tcW w:w="802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rPr>
                <w:szCs w:val="20"/>
              </w:rPr>
            </w:pPr>
            <w:r w:rsidRPr="004C2D88">
              <w:rPr>
                <w:szCs w:val="20"/>
              </w:rPr>
              <w:t>The submission nominated other PBS-listed BRAF inhibitor/MEK inhibitor combinations as the comparator. A primary comparison with dabrafenib+trametinib supported by a secondary comparison with vemurafenib+cobimetinib was presented in the submission.</w:t>
            </w:r>
          </w:p>
        </w:tc>
      </w:tr>
      <w:tr w:rsidR="00390833" w:rsidRPr="004C2D88" w:rsidTr="00BE46AE">
        <w:trPr>
          <w:cantSplit/>
        </w:trPr>
        <w:tc>
          <w:tcPr>
            <w:tcW w:w="1047"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rPr>
                <w:szCs w:val="20"/>
              </w:rPr>
            </w:pPr>
            <w:r w:rsidRPr="004C2D88">
              <w:rPr>
                <w:szCs w:val="20"/>
              </w:rPr>
              <w:t>Outcomes</w:t>
            </w:r>
          </w:p>
        </w:tc>
        <w:tc>
          <w:tcPr>
            <w:tcW w:w="802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rPr>
                <w:szCs w:val="20"/>
              </w:rPr>
            </w:pPr>
            <w:r w:rsidRPr="004C2D88">
              <w:rPr>
                <w:szCs w:val="20"/>
              </w:rPr>
              <w:t xml:space="preserve">Primary: PFS </w:t>
            </w:r>
          </w:p>
          <w:p w:rsidR="00390833" w:rsidRPr="004C2D88" w:rsidRDefault="00390833" w:rsidP="00BE46AE">
            <w:pPr>
              <w:pStyle w:val="Tabletext"/>
              <w:rPr>
                <w:szCs w:val="20"/>
              </w:rPr>
            </w:pPr>
            <w:r w:rsidRPr="004C2D88">
              <w:rPr>
                <w:szCs w:val="20"/>
              </w:rPr>
              <w:t xml:space="preserve">Secondary: OS; ORR; </w:t>
            </w:r>
            <w:r w:rsidRPr="004C2D88">
              <w:rPr>
                <w:rStyle w:val="SmallItalics"/>
                <w:rFonts w:ascii="Arial Narrow" w:hAnsi="Arial Narrow"/>
                <w:i w:val="0"/>
                <w:szCs w:val="20"/>
              </w:rPr>
              <w:t>best overall response, time to response, duration of response, patient-reported outcomes (FACT-M, EORTC QLQ-C30, EQ-5D); incidence of adverse events</w:t>
            </w:r>
          </w:p>
        </w:tc>
      </w:tr>
      <w:tr w:rsidR="00390833" w:rsidRPr="004C2D88" w:rsidTr="00BE46AE">
        <w:trPr>
          <w:cantSplit/>
        </w:trPr>
        <w:tc>
          <w:tcPr>
            <w:tcW w:w="1047"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rPr>
                <w:szCs w:val="20"/>
              </w:rPr>
            </w:pPr>
            <w:r w:rsidRPr="004C2D88">
              <w:rPr>
                <w:szCs w:val="20"/>
              </w:rPr>
              <w:t>Clinical claim</w:t>
            </w:r>
          </w:p>
        </w:tc>
        <w:tc>
          <w:tcPr>
            <w:tcW w:w="802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Bullets"/>
              <w:numPr>
                <w:ilvl w:val="0"/>
                <w:numId w:val="0"/>
              </w:numPr>
              <w:rPr>
                <w:rStyle w:val="SmallItalics"/>
                <w:rFonts w:ascii="Arial Narrow" w:hAnsi="Arial Narrow"/>
                <w:i w:val="0"/>
              </w:rPr>
            </w:pPr>
            <w:r w:rsidRPr="004C2D88">
              <w:rPr>
                <w:rStyle w:val="SmallItalics"/>
                <w:rFonts w:ascii="Arial Narrow" w:hAnsi="Arial Narrow"/>
                <w:i w:val="0"/>
                <w:szCs w:val="20"/>
              </w:rPr>
              <w:t>Encorafenib+binimetinib is at least non-inferior to dabrafenib+trametinib in terms of effectiveness and safety.</w:t>
            </w:r>
          </w:p>
          <w:p w:rsidR="00390833" w:rsidRPr="004C2D88" w:rsidRDefault="00390833" w:rsidP="00465BB6">
            <w:pPr>
              <w:pStyle w:val="TableBullets"/>
              <w:numPr>
                <w:ilvl w:val="0"/>
                <w:numId w:val="0"/>
              </w:numPr>
            </w:pPr>
            <w:r w:rsidRPr="004C2D88">
              <w:rPr>
                <w:rStyle w:val="SmallItalics"/>
                <w:rFonts w:ascii="Arial Narrow" w:hAnsi="Arial Narrow"/>
                <w:i w:val="0"/>
                <w:szCs w:val="20"/>
              </w:rPr>
              <w:t>Encorafenib+binimetinib is at least non-inferior to vemurafenib+cobimetinib in terms of effectiveness and safety.</w:t>
            </w:r>
          </w:p>
        </w:tc>
      </w:tr>
    </w:tbl>
    <w:p w:rsidR="00BE46AE" w:rsidRPr="004C2D88" w:rsidRDefault="00BE46AE" w:rsidP="00465BB6">
      <w:pPr>
        <w:pStyle w:val="TableFooter"/>
        <w:widowControl/>
      </w:pPr>
      <w:r w:rsidRPr="004C2D88">
        <w:t>ORR = overall response rate; OS = overall survival; PFS = progression free survival</w:t>
      </w:r>
    </w:p>
    <w:p w:rsidR="00390833" w:rsidRPr="004C2D88" w:rsidRDefault="00390833" w:rsidP="00465BB6">
      <w:pPr>
        <w:pStyle w:val="TableFooter"/>
        <w:widowControl/>
      </w:pPr>
      <w:r w:rsidRPr="004C2D88">
        <w:t>Source: Table 1.1, p16 of the submission</w:t>
      </w:r>
    </w:p>
    <w:p w:rsidR="006A1183" w:rsidRPr="004C2D88" w:rsidRDefault="006A1183" w:rsidP="00465BB6">
      <w:pPr>
        <w:pStyle w:val="TableFooter"/>
        <w:widowControl/>
        <w:rPr>
          <w:sz w:val="20"/>
        </w:rPr>
      </w:pPr>
    </w:p>
    <w:p w:rsidR="002610C7" w:rsidRPr="004C2D88" w:rsidRDefault="002610C7" w:rsidP="002610C7">
      <w:pPr>
        <w:ind w:left="720"/>
        <w:rPr>
          <w:i/>
        </w:rPr>
      </w:pPr>
      <w:r w:rsidRPr="004C2D88">
        <w:rPr>
          <w:i/>
        </w:rPr>
        <w:t>For more details on the PBAC’s view, see Section 7 PBAC outcome.</w:t>
      </w:r>
    </w:p>
    <w:p w:rsidR="00703CD2" w:rsidRPr="004C2D88" w:rsidRDefault="00703CD2" w:rsidP="002610C7">
      <w:pPr>
        <w:ind w:left="720"/>
        <w:rPr>
          <w:i/>
        </w:rPr>
      </w:pPr>
    </w:p>
    <w:p w:rsidR="00390833" w:rsidRPr="004C2D88" w:rsidRDefault="00390833" w:rsidP="00465BB6">
      <w:pPr>
        <w:pStyle w:val="Heading1"/>
      </w:pPr>
      <w:bookmarkStart w:id="2" w:name="_Toc371170700"/>
      <w:bookmarkStart w:id="3" w:name="_Toc524515804"/>
      <w:r w:rsidRPr="004C2D88">
        <w:t>Requested listing</w:t>
      </w:r>
      <w:bookmarkEnd w:id="2"/>
      <w:bookmarkEnd w:id="3"/>
    </w:p>
    <w:p w:rsidR="00703CD2" w:rsidRPr="004C2D88" w:rsidRDefault="00703CD2" w:rsidP="00703CD2">
      <w:pPr>
        <w:pStyle w:val="ListParagraph"/>
        <w:widowControl/>
        <w:numPr>
          <w:ilvl w:val="1"/>
          <w:numId w:val="4"/>
        </w:numPr>
        <w:snapToGrid w:val="0"/>
        <w:rPr>
          <w:rFonts w:asciiTheme="minorHAnsi" w:hAnsiTheme="minorHAnsi" w:cstheme="minorHAnsi"/>
          <w:szCs w:val="24"/>
        </w:rPr>
      </w:pPr>
      <w:r w:rsidRPr="004C2D88">
        <w:rPr>
          <w:rFonts w:asciiTheme="minorHAnsi" w:hAnsiTheme="minorHAnsi" w:cstheme="minorHAnsi"/>
          <w:szCs w:val="24"/>
        </w:rPr>
        <w:t>The requested PBS listings are shown below. Suggestions and additions proposed by the Secretariat to the requested listing are added in italics and suggested deletions are crossed out with strikethrough.</w:t>
      </w:r>
    </w:p>
    <w:p w:rsidR="00703CD2" w:rsidRPr="004C2D88" w:rsidRDefault="00703CD2" w:rsidP="00465BB6">
      <w:pPr>
        <w:keepNext/>
        <w:widowControl/>
        <w:rPr>
          <w:rStyle w:val="CommentReference"/>
        </w:rPr>
      </w:pPr>
    </w:p>
    <w:p w:rsidR="00390833" w:rsidRPr="004C2D88" w:rsidRDefault="00390833" w:rsidP="00465BB6">
      <w:pPr>
        <w:keepNext/>
        <w:widowControl/>
      </w:pPr>
      <w:r w:rsidRPr="004C2D88">
        <w:rPr>
          <w:rStyle w:val="CommentReference"/>
        </w:rPr>
        <w:t>Requested restriction – encorafenib 50 mg; encorafenib 75 mg (initial and continuing)</w:t>
      </w:r>
    </w:p>
    <w:tbl>
      <w:tblPr>
        <w:tblStyle w:val="TableGrid1"/>
        <w:tblW w:w="9072" w:type="dxa"/>
        <w:tblInd w:w="108" w:type="dxa"/>
        <w:shd w:val="clear" w:color="auto" w:fill="FFFFFF" w:themeFill="background1"/>
        <w:tblLayout w:type="fixed"/>
        <w:tblLook w:val="04A0" w:firstRow="1" w:lastRow="0" w:firstColumn="1" w:lastColumn="0" w:noHBand="0" w:noVBand="1"/>
        <w:tblCaption w:val="Requested restriction – encorafenib 50 mg; encorafenib 75 mg (initial and continuing)"/>
      </w:tblPr>
      <w:tblGrid>
        <w:gridCol w:w="2835"/>
        <w:gridCol w:w="1701"/>
        <w:gridCol w:w="851"/>
        <w:gridCol w:w="1276"/>
        <w:gridCol w:w="2409"/>
      </w:tblGrid>
      <w:tr w:rsidR="00DD2A5A" w:rsidRPr="004C2D88" w:rsidTr="00D64A17">
        <w:trPr>
          <w:cantSplit/>
          <w:tblHeader/>
        </w:trPr>
        <w:tc>
          <w:tcPr>
            <w:tcW w:w="2835" w:type="dxa"/>
            <w:tcBorders>
              <w:top w:val="single" w:sz="4" w:space="0" w:color="000000" w:themeColor="text1"/>
              <w:left w:val="nil"/>
              <w:bottom w:val="single" w:sz="4" w:space="0" w:color="000000" w:themeColor="text1"/>
              <w:right w:val="nil"/>
            </w:tcBorders>
            <w:shd w:val="clear" w:color="auto" w:fill="FFFFFF" w:themeFill="background1"/>
            <w:hideMark/>
          </w:tcPr>
          <w:p w:rsidR="001B674E" w:rsidRPr="004C2D88" w:rsidRDefault="001B674E" w:rsidP="00465BB6">
            <w:pPr>
              <w:pStyle w:val="TableLeft"/>
              <w:keepNext/>
              <w:rPr>
                <w:rFonts w:ascii="Arial Narrow" w:hAnsi="Arial Narrow"/>
                <w:b/>
                <w:sz w:val="20"/>
                <w:szCs w:val="20"/>
                <w:lang w:val="en-AU"/>
              </w:rPr>
            </w:pPr>
            <w:r w:rsidRPr="004C2D88">
              <w:rPr>
                <w:rFonts w:ascii="Arial Narrow" w:hAnsi="Arial Narrow"/>
                <w:b/>
                <w:sz w:val="20"/>
                <w:szCs w:val="20"/>
                <w:lang w:val="en-AU"/>
              </w:rPr>
              <w:t>Name, restriction, manner of administration, form</w:t>
            </w:r>
          </w:p>
        </w:tc>
        <w:tc>
          <w:tcPr>
            <w:tcW w:w="1701" w:type="dxa"/>
            <w:tcBorders>
              <w:top w:val="single" w:sz="4" w:space="0" w:color="000000" w:themeColor="text1"/>
              <w:left w:val="nil"/>
              <w:bottom w:val="single" w:sz="4" w:space="0" w:color="000000" w:themeColor="text1"/>
              <w:right w:val="nil"/>
            </w:tcBorders>
            <w:shd w:val="clear" w:color="auto" w:fill="FFFFFF" w:themeFill="background1"/>
            <w:hideMark/>
          </w:tcPr>
          <w:p w:rsidR="001B674E" w:rsidRPr="004C2D88" w:rsidRDefault="001B674E" w:rsidP="00465BB6">
            <w:pPr>
              <w:pStyle w:val="TableLeft"/>
              <w:keepNext/>
              <w:jc w:val="center"/>
              <w:rPr>
                <w:rFonts w:ascii="Arial Narrow" w:hAnsi="Arial Narrow"/>
                <w:b/>
                <w:sz w:val="20"/>
                <w:szCs w:val="20"/>
                <w:lang w:val="en-AU"/>
              </w:rPr>
            </w:pPr>
            <w:r w:rsidRPr="004C2D88">
              <w:rPr>
                <w:rFonts w:ascii="Arial Narrow" w:hAnsi="Arial Narrow"/>
                <w:b/>
                <w:sz w:val="20"/>
                <w:szCs w:val="20"/>
                <w:lang w:val="en-AU"/>
              </w:rPr>
              <w:t>Maximum quantity (packs)</w:t>
            </w:r>
          </w:p>
        </w:tc>
        <w:tc>
          <w:tcPr>
            <w:tcW w:w="851" w:type="dxa"/>
            <w:tcBorders>
              <w:top w:val="single" w:sz="4" w:space="0" w:color="000000" w:themeColor="text1"/>
              <w:left w:val="nil"/>
              <w:bottom w:val="single" w:sz="4" w:space="0" w:color="000000" w:themeColor="text1"/>
              <w:right w:val="nil"/>
            </w:tcBorders>
            <w:shd w:val="clear" w:color="auto" w:fill="FFFFFF" w:themeFill="background1"/>
            <w:hideMark/>
          </w:tcPr>
          <w:p w:rsidR="001B674E" w:rsidRPr="004C2D88" w:rsidRDefault="001B674E" w:rsidP="00465BB6">
            <w:pPr>
              <w:pStyle w:val="TableLeft"/>
              <w:keepNext/>
              <w:jc w:val="center"/>
              <w:rPr>
                <w:rFonts w:ascii="Arial Narrow" w:hAnsi="Arial Narrow"/>
                <w:b/>
                <w:sz w:val="20"/>
                <w:szCs w:val="20"/>
                <w:lang w:val="en-AU"/>
              </w:rPr>
            </w:pPr>
            <w:r w:rsidRPr="004C2D88">
              <w:rPr>
                <w:rFonts w:ascii="Arial Narrow" w:hAnsi="Arial Narrow"/>
                <w:b/>
                <w:sz w:val="20"/>
                <w:szCs w:val="20"/>
                <w:lang w:val="en-AU"/>
              </w:rPr>
              <w:t>No. of repeats</w:t>
            </w:r>
          </w:p>
        </w:tc>
        <w:tc>
          <w:tcPr>
            <w:tcW w:w="1276" w:type="dxa"/>
            <w:tcBorders>
              <w:top w:val="single" w:sz="4" w:space="0" w:color="000000" w:themeColor="text1"/>
              <w:left w:val="nil"/>
              <w:bottom w:val="single" w:sz="4" w:space="0" w:color="000000" w:themeColor="text1"/>
              <w:right w:val="nil"/>
            </w:tcBorders>
            <w:shd w:val="clear" w:color="auto" w:fill="FFFFFF" w:themeFill="background1"/>
            <w:hideMark/>
          </w:tcPr>
          <w:p w:rsidR="001B674E" w:rsidRPr="004C2D88" w:rsidRDefault="001B674E" w:rsidP="00465BB6">
            <w:pPr>
              <w:pStyle w:val="TableLeft"/>
              <w:keepNext/>
              <w:jc w:val="center"/>
              <w:rPr>
                <w:rFonts w:ascii="Arial Narrow" w:hAnsi="Arial Narrow"/>
                <w:b/>
                <w:sz w:val="20"/>
                <w:szCs w:val="20"/>
                <w:lang w:val="en-AU"/>
              </w:rPr>
            </w:pPr>
            <w:r w:rsidRPr="004C2D88">
              <w:rPr>
                <w:rFonts w:ascii="Arial Narrow" w:hAnsi="Arial Narrow"/>
                <w:b/>
                <w:sz w:val="20"/>
                <w:szCs w:val="20"/>
                <w:lang w:val="en-AU"/>
              </w:rPr>
              <w:t>DPMQ</w:t>
            </w:r>
          </w:p>
        </w:tc>
        <w:tc>
          <w:tcPr>
            <w:tcW w:w="2409" w:type="dxa"/>
            <w:tcBorders>
              <w:top w:val="single" w:sz="4" w:space="0" w:color="000000" w:themeColor="text1"/>
              <w:left w:val="nil"/>
              <w:bottom w:val="single" w:sz="4" w:space="0" w:color="000000" w:themeColor="text1"/>
              <w:right w:val="nil"/>
            </w:tcBorders>
            <w:shd w:val="clear" w:color="auto" w:fill="FFFFFF" w:themeFill="background1"/>
            <w:hideMark/>
          </w:tcPr>
          <w:p w:rsidR="001B674E" w:rsidRPr="004C2D88" w:rsidRDefault="001B674E" w:rsidP="00465BB6">
            <w:pPr>
              <w:pStyle w:val="TableLeft"/>
              <w:keepNext/>
              <w:rPr>
                <w:rFonts w:ascii="Arial Narrow" w:hAnsi="Arial Narrow"/>
                <w:b/>
                <w:sz w:val="20"/>
                <w:szCs w:val="20"/>
                <w:lang w:val="en-AU"/>
              </w:rPr>
            </w:pPr>
            <w:r w:rsidRPr="004C2D88">
              <w:rPr>
                <w:rFonts w:ascii="Arial Narrow" w:hAnsi="Arial Narrow"/>
                <w:b/>
                <w:sz w:val="20"/>
                <w:szCs w:val="20"/>
                <w:lang w:val="en-AU"/>
              </w:rPr>
              <w:t>Proprietary name and manufacturer</w:t>
            </w:r>
          </w:p>
        </w:tc>
      </w:tr>
      <w:tr w:rsidR="00DD2A5A" w:rsidRPr="004C2D88" w:rsidTr="005D6C6B">
        <w:tc>
          <w:tcPr>
            <w:tcW w:w="2835" w:type="dxa"/>
            <w:tcBorders>
              <w:top w:val="single" w:sz="4" w:space="0" w:color="000000" w:themeColor="text1"/>
              <w:left w:val="nil"/>
              <w:bottom w:val="nil"/>
              <w:right w:val="nil"/>
            </w:tcBorders>
            <w:shd w:val="clear" w:color="auto" w:fill="FFFFFF" w:themeFill="background1"/>
            <w:hideMark/>
          </w:tcPr>
          <w:p w:rsidR="001B674E" w:rsidRPr="004C2D88" w:rsidRDefault="001B674E" w:rsidP="00465BB6">
            <w:pPr>
              <w:pStyle w:val="TableLeft"/>
              <w:keepNext/>
              <w:rPr>
                <w:rStyle w:val="SmallItalics"/>
                <w:rFonts w:ascii="Arial Narrow" w:hAnsi="Arial Narrow"/>
                <w:i w:val="0"/>
                <w:lang w:val="en-AU"/>
              </w:rPr>
            </w:pPr>
            <w:r w:rsidRPr="004C2D88">
              <w:rPr>
                <w:rStyle w:val="SmallItalics"/>
                <w:rFonts w:ascii="Arial Narrow" w:hAnsi="Arial Narrow"/>
                <w:i w:val="0"/>
                <w:szCs w:val="20"/>
                <w:lang w:val="en-AU"/>
              </w:rPr>
              <w:t>Initial treatment:</w:t>
            </w:r>
          </w:p>
          <w:p w:rsidR="001B674E" w:rsidRPr="004C2D88" w:rsidRDefault="001B674E" w:rsidP="00465BB6">
            <w:pPr>
              <w:pStyle w:val="TableLeft"/>
              <w:keepNext/>
              <w:rPr>
                <w:lang w:val="en-AU"/>
              </w:rPr>
            </w:pPr>
            <w:r w:rsidRPr="004C2D88">
              <w:rPr>
                <w:rStyle w:val="SmallItalics"/>
                <w:rFonts w:ascii="Arial Narrow" w:hAnsi="Arial Narrow"/>
                <w:i w:val="0"/>
                <w:szCs w:val="20"/>
                <w:lang w:val="en-AU"/>
              </w:rPr>
              <w:t>ENCORAFENIB 50 mg capsule, 28</w:t>
            </w:r>
          </w:p>
        </w:tc>
        <w:tc>
          <w:tcPr>
            <w:tcW w:w="1701" w:type="dxa"/>
            <w:tcBorders>
              <w:top w:val="single" w:sz="4" w:space="0" w:color="000000" w:themeColor="text1"/>
              <w:left w:val="nil"/>
              <w:bottom w:val="nil"/>
              <w:right w:val="nil"/>
            </w:tcBorders>
            <w:shd w:val="clear" w:color="auto" w:fill="FFFFFF" w:themeFill="background1"/>
          </w:tcPr>
          <w:p w:rsidR="001B674E" w:rsidRPr="004C2D88" w:rsidRDefault="001B674E" w:rsidP="00465BB6">
            <w:pPr>
              <w:pStyle w:val="TableLeft"/>
              <w:keepNext/>
              <w:jc w:val="center"/>
              <w:rPr>
                <w:rFonts w:ascii="Arial Narrow" w:hAnsi="Arial Narrow"/>
                <w:sz w:val="20"/>
                <w:szCs w:val="20"/>
                <w:highlight w:val="green"/>
                <w:lang w:val="en-AU"/>
              </w:rPr>
            </w:pPr>
          </w:p>
          <w:p w:rsidR="001B674E" w:rsidRPr="004C2D88" w:rsidRDefault="00593B69" w:rsidP="00593B69">
            <w:pPr>
              <w:pStyle w:val="TableLeft"/>
              <w:keepNext/>
              <w:jc w:val="center"/>
              <w:rPr>
                <w:rFonts w:ascii="Arial Narrow" w:hAnsi="Arial Narrow"/>
                <w:sz w:val="20"/>
                <w:szCs w:val="20"/>
                <w:highlight w:val="green"/>
                <w:lang w:val="en-AU"/>
              </w:rPr>
            </w:pPr>
            <w:r w:rsidRPr="004C2D88">
              <w:rPr>
                <w:rFonts w:ascii="Arial Narrow" w:hAnsi="Arial Narrow"/>
                <w:sz w:val="20"/>
                <w:szCs w:val="20"/>
                <w:lang w:val="en-AU"/>
              </w:rPr>
              <w:t>9</w:t>
            </w:r>
          </w:p>
        </w:tc>
        <w:tc>
          <w:tcPr>
            <w:tcW w:w="851" w:type="dxa"/>
            <w:tcBorders>
              <w:top w:val="single" w:sz="4" w:space="0" w:color="000000" w:themeColor="text1"/>
              <w:left w:val="nil"/>
              <w:bottom w:val="nil"/>
              <w:right w:val="nil"/>
            </w:tcBorders>
            <w:shd w:val="clear" w:color="auto" w:fill="FFFFFF" w:themeFill="background1"/>
          </w:tcPr>
          <w:p w:rsidR="001B674E" w:rsidRPr="004C2D88" w:rsidRDefault="001B674E" w:rsidP="00465BB6">
            <w:pPr>
              <w:pStyle w:val="TableLeft"/>
              <w:keepNext/>
              <w:jc w:val="center"/>
              <w:rPr>
                <w:rFonts w:ascii="Arial Narrow" w:hAnsi="Arial Narrow"/>
                <w:sz w:val="20"/>
                <w:szCs w:val="20"/>
                <w:lang w:val="en-AU"/>
              </w:rPr>
            </w:pPr>
          </w:p>
          <w:p w:rsidR="001B674E" w:rsidRPr="004C2D88" w:rsidRDefault="001B674E" w:rsidP="00465BB6">
            <w:pPr>
              <w:pStyle w:val="TableLeft"/>
              <w:keepNext/>
              <w:jc w:val="center"/>
              <w:rPr>
                <w:rFonts w:ascii="Arial Narrow" w:hAnsi="Arial Narrow"/>
                <w:sz w:val="20"/>
                <w:szCs w:val="20"/>
                <w:lang w:val="en-AU"/>
              </w:rPr>
            </w:pPr>
            <w:r w:rsidRPr="004C2D88">
              <w:rPr>
                <w:rFonts w:ascii="Arial Narrow" w:hAnsi="Arial Narrow"/>
                <w:sz w:val="20"/>
                <w:szCs w:val="20"/>
                <w:lang w:val="en-AU"/>
              </w:rPr>
              <w:t>3</w:t>
            </w:r>
          </w:p>
        </w:tc>
        <w:tc>
          <w:tcPr>
            <w:tcW w:w="1276" w:type="dxa"/>
            <w:tcBorders>
              <w:top w:val="single" w:sz="4" w:space="0" w:color="000000" w:themeColor="text1"/>
              <w:left w:val="nil"/>
              <w:bottom w:val="nil"/>
              <w:right w:val="nil"/>
            </w:tcBorders>
            <w:shd w:val="clear" w:color="auto" w:fill="FFFFFF" w:themeFill="background1"/>
          </w:tcPr>
          <w:p w:rsidR="001B674E" w:rsidRPr="004C2D88" w:rsidRDefault="001B674E" w:rsidP="00465BB6">
            <w:pPr>
              <w:pStyle w:val="TableLeft"/>
              <w:keepNext/>
              <w:jc w:val="center"/>
              <w:rPr>
                <w:rFonts w:ascii="Arial Narrow" w:hAnsi="Arial Narrow"/>
                <w:sz w:val="20"/>
                <w:szCs w:val="20"/>
                <w:lang w:val="en-AU"/>
              </w:rPr>
            </w:pPr>
          </w:p>
          <w:p w:rsidR="001B674E" w:rsidRPr="004C2D88" w:rsidRDefault="001B674E" w:rsidP="00465BB6">
            <w:pPr>
              <w:pStyle w:val="TableLeft"/>
              <w:keepNext/>
              <w:jc w:val="center"/>
              <w:rPr>
                <w:rStyle w:val="SmallHighlight"/>
                <w:rFonts w:ascii="Arial Narrow" w:hAnsi="Arial Narrow"/>
                <w:lang w:val="en-AU"/>
              </w:rPr>
            </w:pPr>
            <w:r w:rsidRPr="004C2D88">
              <w:rPr>
                <w:rFonts w:ascii="Arial Narrow" w:hAnsi="Arial Narrow"/>
                <w:sz w:val="20"/>
                <w:szCs w:val="20"/>
                <w:lang w:val="en-AU"/>
              </w:rPr>
              <w:t>$ [TBD]</w:t>
            </w:r>
          </w:p>
        </w:tc>
        <w:tc>
          <w:tcPr>
            <w:tcW w:w="2409" w:type="dxa"/>
            <w:tcBorders>
              <w:top w:val="single" w:sz="4" w:space="0" w:color="000000" w:themeColor="text1"/>
              <w:left w:val="nil"/>
              <w:bottom w:val="nil"/>
              <w:right w:val="nil"/>
            </w:tcBorders>
            <w:shd w:val="clear" w:color="auto" w:fill="FFFFFF" w:themeFill="background1"/>
          </w:tcPr>
          <w:p w:rsidR="001B674E" w:rsidRPr="004C2D88" w:rsidRDefault="001B674E" w:rsidP="00465BB6">
            <w:pPr>
              <w:pStyle w:val="TableLeft"/>
              <w:keepNext/>
              <w:rPr>
                <w:rFonts w:ascii="Arial Narrow" w:hAnsi="Arial Narrow"/>
                <w:sz w:val="20"/>
                <w:szCs w:val="20"/>
                <w:lang w:val="en-AU"/>
              </w:rPr>
            </w:pPr>
          </w:p>
          <w:p w:rsidR="001B674E" w:rsidRPr="004C2D88" w:rsidRDefault="001B674E" w:rsidP="00465BB6">
            <w:pPr>
              <w:pStyle w:val="TableLeft"/>
              <w:keepNext/>
              <w:rPr>
                <w:rFonts w:ascii="Arial Narrow" w:hAnsi="Arial Narrow"/>
                <w:sz w:val="20"/>
                <w:szCs w:val="20"/>
                <w:lang w:val="en-AU"/>
              </w:rPr>
            </w:pPr>
            <w:r w:rsidRPr="004C2D88">
              <w:rPr>
                <w:rFonts w:ascii="Arial Narrow" w:hAnsi="Arial Narrow"/>
                <w:sz w:val="20"/>
                <w:szCs w:val="20"/>
                <w:lang w:val="en-AU"/>
              </w:rPr>
              <w:t>BRAFTOVI</w:t>
            </w:r>
            <w:r w:rsidRPr="004C2D88">
              <w:rPr>
                <w:rFonts w:ascii="Arial Narrow" w:hAnsi="Arial Narrow"/>
                <w:sz w:val="20"/>
                <w:szCs w:val="20"/>
                <w:vertAlign w:val="superscript"/>
                <w:lang w:val="en-AU"/>
              </w:rPr>
              <w:t>®</w:t>
            </w:r>
            <w:r w:rsidRPr="004C2D88">
              <w:rPr>
                <w:rFonts w:ascii="Arial Narrow" w:hAnsi="Arial Narrow"/>
                <w:sz w:val="20"/>
                <w:szCs w:val="20"/>
                <w:lang w:val="en-AU"/>
              </w:rPr>
              <w:t>, Pierre Fabre</w:t>
            </w:r>
          </w:p>
        </w:tc>
      </w:tr>
      <w:tr w:rsidR="00DD2A5A" w:rsidRPr="004C2D88" w:rsidTr="005D6C6B">
        <w:tc>
          <w:tcPr>
            <w:tcW w:w="2835" w:type="dxa"/>
            <w:tcBorders>
              <w:top w:val="nil"/>
              <w:left w:val="nil"/>
              <w:bottom w:val="nil"/>
              <w:right w:val="nil"/>
            </w:tcBorders>
            <w:shd w:val="clear" w:color="auto" w:fill="FFFFFF" w:themeFill="background1"/>
            <w:hideMark/>
          </w:tcPr>
          <w:p w:rsidR="001B674E" w:rsidRPr="004C2D88" w:rsidRDefault="001B674E" w:rsidP="00465BB6">
            <w:pPr>
              <w:pStyle w:val="TableLeft"/>
              <w:keepNext/>
              <w:rPr>
                <w:rStyle w:val="SmallItalics"/>
                <w:rFonts w:ascii="Arial Narrow" w:hAnsi="Arial Narrow"/>
                <w:i w:val="0"/>
                <w:lang w:val="en-AU"/>
              </w:rPr>
            </w:pPr>
            <w:r w:rsidRPr="004C2D88">
              <w:rPr>
                <w:rStyle w:val="SmallItalics"/>
                <w:rFonts w:ascii="Arial Narrow" w:hAnsi="Arial Narrow"/>
                <w:i w:val="0"/>
                <w:szCs w:val="20"/>
                <w:lang w:val="en-AU"/>
              </w:rPr>
              <w:t>ENCORAFENIB 75 mg capsule, 42</w:t>
            </w:r>
          </w:p>
        </w:tc>
        <w:tc>
          <w:tcPr>
            <w:tcW w:w="1701" w:type="dxa"/>
            <w:tcBorders>
              <w:top w:val="nil"/>
              <w:left w:val="nil"/>
              <w:bottom w:val="nil"/>
              <w:right w:val="nil"/>
            </w:tcBorders>
            <w:shd w:val="clear" w:color="auto" w:fill="FFFFFF" w:themeFill="background1"/>
            <w:hideMark/>
          </w:tcPr>
          <w:p w:rsidR="001B674E" w:rsidRPr="004C2D88" w:rsidRDefault="001B674E" w:rsidP="00465BB6">
            <w:pPr>
              <w:pStyle w:val="TableLeft"/>
              <w:keepNext/>
              <w:jc w:val="center"/>
              <w:rPr>
                <w:lang w:val="en-AU"/>
              </w:rPr>
            </w:pPr>
            <w:r w:rsidRPr="004C2D88">
              <w:rPr>
                <w:rFonts w:ascii="Arial Narrow" w:hAnsi="Arial Narrow"/>
                <w:sz w:val="20"/>
                <w:szCs w:val="20"/>
                <w:lang w:val="en-AU"/>
              </w:rPr>
              <w:t>4</w:t>
            </w:r>
          </w:p>
        </w:tc>
        <w:tc>
          <w:tcPr>
            <w:tcW w:w="851" w:type="dxa"/>
            <w:tcBorders>
              <w:top w:val="nil"/>
              <w:left w:val="nil"/>
              <w:bottom w:val="nil"/>
              <w:right w:val="nil"/>
            </w:tcBorders>
            <w:shd w:val="clear" w:color="auto" w:fill="FFFFFF" w:themeFill="background1"/>
            <w:hideMark/>
          </w:tcPr>
          <w:p w:rsidR="001B674E" w:rsidRPr="004C2D88" w:rsidRDefault="001B674E" w:rsidP="00465BB6">
            <w:pPr>
              <w:pStyle w:val="TableLeft"/>
              <w:keepNext/>
              <w:jc w:val="center"/>
              <w:rPr>
                <w:rFonts w:ascii="Arial Narrow" w:hAnsi="Arial Narrow"/>
                <w:sz w:val="20"/>
                <w:szCs w:val="20"/>
                <w:lang w:val="en-AU"/>
              </w:rPr>
            </w:pPr>
            <w:r w:rsidRPr="004C2D88">
              <w:rPr>
                <w:rFonts w:ascii="Arial Narrow" w:hAnsi="Arial Narrow"/>
                <w:sz w:val="20"/>
                <w:szCs w:val="20"/>
                <w:lang w:val="en-AU"/>
              </w:rPr>
              <w:t>3</w:t>
            </w:r>
          </w:p>
        </w:tc>
        <w:tc>
          <w:tcPr>
            <w:tcW w:w="1276" w:type="dxa"/>
            <w:tcBorders>
              <w:top w:val="nil"/>
              <w:left w:val="nil"/>
              <w:bottom w:val="nil"/>
              <w:right w:val="nil"/>
            </w:tcBorders>
            <w:shd w:val="clear" w:color="auto" w:fill="FFFFFF" w:themeFill="background1"/>
            <w:hideMark/>
          </w:tcPr>
          <w:p w:rsidR="001B674E" w:rsidRPr="004C2D88" w:rsidRDefault="001B674E" w:rsidP="00465BB6">
            <w:pPr>
              <w:pStyle w:val="TableLeft"/>
              <w:keepNext/>
              <w:jc w:val="center"/>
              <w:rPr>
                <w:rFonts w:ascii="Arial Narrow" w:hAnsi="Arial Narrow"/>
                <w:sz w:val="20"/>
                <w:szCs w:val="20"/>
                <w:lang w:val="en-AU"/>
              </w:rPr>
            </w:pPr>
            <w:r w:rsidRPr="004C2D88">
              <w:rPr>
                <w:rFonts w:ascii="Arial Narrow" w:hAnsi="Arial Narrow"/>
                <w:sz w:val="20"/>
                <w:szCs w:val="20"/>
                <w:lang w:val="en-AU"/>
              </w:rPr>
              <w:t>$ [TBD]</w:t>
            </w:r>
          </w:p>
        </w:tc>
        <w:tc>
          <w:tcPr>
            <w:tcW w:w="2409" w:type="dxa"/>
            <w:tcBorders>
              <w:top w:val="nil"/>
              <w:left w:val="nil"/>
              <w:bottom w:val="nil"/>
              <w:right w:val="nil"/>
            </w:tcBorders>
            <w:shd w:val="clear" w:color="auto" w:fill="FFFFFF" w:themeFill="background1"/>
          </w:tcPr>
          <w:p w:rsidR="001B674E" w:rsidRPr="004C2D88" w:rsidRDefault="001B674E" w:rsidP="00465BB6">
            <w:pPr>
              <w:pStyle w:val="TableLeft"/>
              <w:keepNext/>
              <w:rPr>
                <w:rFonts w:ascii="Arial Narrow" w:hAnsi="Arial Narrow"/>
                <w:sz w:val="20"/>
                <w:szCs w:val="20"/>
                <w:lang w:val="en-AU"/>
              </w:rPr>
            </w:pPr>
          </w:p>
        </w:tc>
      </w:tr>
      <w:tr w:rsidR="00DD2A5A" w:rsidRPr="004C2D88" w:rsidTr="005D6C6B">
        <w:tc>
          <w:tcPr>
            <w:tcW w:w="2835" w:type="dxa"/>
            <w:tcBorders>
              <w:top w:val="nil"/>
              <w:left w:val="nil"/>
              <w:bottom w:val="nil"/>
              <w:right w:val="nil"/>
            </w:tcBorders>
            <w:shd w:val="clear" w:color="auto" w:fill="FFFFFF" w:themeFill="background1"/>
            <w:hideMark/>
          </w:tcPr>
          <w:p w:rsidR="001B674E" w:rsidRPr="004C2D88" w:rsidRDefault="001B674E" w:rsidP="00465BB6">
            <w:pPr>
              <w:pStyle w:val="TableLeft"/>
              <w:keepNext/>
              <w:rPr>
                <w:rStyle w:val="SmallItalics"/>
                <w:rFonts w:ascii="Arial Narrow" w:hAnsi="Arial Narrow"/>
                <w:i w:val="0"/>
                <w:lang w:val="en-AU"/>
              </w:rPr>
            </w:pPr>
            <w:r w:rsidRPr="004C2D88">
              <w:rPr>
                <w:rStyle w:val="SmallItalics"/>
                <w:rFonts w:ascii="Arial Narrow" w:hAnsi="Arial Narrow"/>
                <w:i w:val="0"/>
                <w:szCs w:val="20"/>
                <w:lang w:val="en-AU"/>
              </w:rPr>
              <w:t>Continuing treatment:</w:t>
            </w:r>
          </w:p>
          <w:p w:rsidR="001B674E" w:rsidRPr="004C2D88" w:rsidRDefault="001B674E" w:rsidP="00465BB6">
            <w:pPr>
              <w:pStyle w:val="TableLeft"/>
              <w:keepNext/>
              <w:rPr>
                <w:lang w:val="en-AU"/>
              </w:rPr>
            </w:pPr>
            <w:r w:rsidRPr="004C2D88">
              <w:rPr>
                <w:rStyle w:val="SmallItalics"/>
                <w:rFonts w:ascii="Arial Narrow" w:hAnsi="Arial Narrow"/>
                <w:i w:val="0"/>
                <w:szCs w:val="20"/>
                <w:lang w:val="en-AU"/>
              </w:rPr>
              <w:t>ENCORAFENIB 50 mg capsule, 28</w:t>
            </w:r>
          </w:p>
        </w:tc>
        <w:tc>
          <w:tcPr>
            <w:tcW w:w="1701" w:type="dxa"/>
            <w:tcBorders>
              <w:top w:val="nil"/>
              <w:left w:val="nil"/>
              <w:bottom w:val="nil"/>
              <w:right w:val="nil"/>
            </w:tcBorders>
            <w:shd w:val="clear" w:color="auto" w:fill="FFFFFF" w:themeFill="background1"/>
          </w:tcPr>
          <w:p w:rsidR="001B674E" w:rsidRPr="004C2D88" w:rsidRDefault="001B674E" w:rsidP="00465BB6">
            <w:pPr>
              <w:pStyle w:val="TableLeft"/>
              <w:keepNext/>
              <w:jc w:val="center"/>
              <w:rPr>
                <w:rFonts w:ascii="Arial Narrow" w:hAnsi="Arial Narrow"/>
                <w:sz w:val="20"/>
                <w:szCs w:val="20"/>
                <w:lang w:val="en-AU"/>
              </w:rPr>
            </w:pPr>
          </w:p>
          <w:p w:rsidR="001B674E" w:rsidRPr="004C2D88" w:rsidRDefault="00593B69" w:rsidP="00465BB6">
            <w:pPr>
              <w:pStyle w:val="TableLeft"/>
              <w:keepNext/>
              <w:jc w:val="center"/>
              <w:rPr>
                <w:rFonts w:ascii="Arial Narrow" w:hAnsi="Arial Narrow"/>
                <w:strike/>
                <w:sz w:val="20"/>
                <w:szCs w:val="20"/>
                <w:lang w:val="en-AU"/>
              </w:rPr>
            </w:pPr>
            <w:r w:rsidRPr="004C2D88">
              <w:rPr>
                <w:rFonts w:ascii="Arial Narrow" w:hAnsi="Arial Narrow"/>
                <w:sz w:val="20"/>
                <w:szCs w:val="20"/>
                <w:lang w:val="en-AU"/>
              </w:rPr>
              <w:t>9</w:t>
            </w:r>
          </w:p>
        </w:tc>
        <w:tc>
          <w:tcPr>
            <w:tcW w:w="851" w:type="dxa"/>
            <w:tcBorders>
              <w:top w:val="nil"/>
              <w:left w:val="nil"/>
              <w:bottom w:val="nil"/>
              <w:right w:val="nil"/>
            </w:tcBorders>
            <w:shd w:val="clear" w:color="auto" w:fill="FFFFFF" w:themeFill="background1"/>
          </w:tcPr>
          <w:p w:rsidR="001B674E" w:rsidRPr="004C2D88" w:rsidRDefault="001B674E" w:rsidP="00465BB6">
            <w:pPr>
              <w:pStyle w:val="TableLeft"/>
              <w:keepNext/>
              <w:jc w:val="center"/>
              <w:rPr>
                <w:rFonts w:ascii="Arial Narrow" w:hAnsi="Arial Narrow"/>
                <w:sz w:val="20"/>
                <w:szCs w:val="20"/>
                <w:lang w:val="en-AU"/>
              </w:rPr>
            </w:pPr>
          </w:p>
          <w:p w:rsidR="001B674E" w:rsidRPr="004C2D88" w:rsidRDefault="001B674E" w:rsidP="00465BB6">
            <w:pPr>
              <w:pStyle w:val="TableLeft"/>
              <w:keepNext/>
              <w:jc w:val="center"/>
              <w:rPr>
                <w:rFonts w:ascii="Arial Narrow" w:hAnsi="Arial Narrow"/>
                <w:sz w:val="20"/>
                <w:szCs w:val="20"/>
                <w:lang w:val="en-AU"/>
              </w:rPr>
            </w:pPr>
            <w:r w:rsidRPr="004C2D88">
              <w:rPr>
                <w:rFonts w:ascii="Arial Narrow" w:hAnsi="Arial Narrow"/>
                <w:sz w:val="20"/>
                <w:szCs w:val="20"/>
                <w:lang w:val="en-AU"/>
              </w:rPr>
              <w:t>5</w:t>
            </w:r>
          </w:p>
        </w:tc>
        <w:tc>
          <w:tcPr>
            <w:tcW w:w="1276" w:type="dxa"/>
            <w:tcBorders>
              <w:top w:val="nil"/>
              <w:left w:val="nil"/>
              <w:bottom w:val="nil"/>
              <w:right w:val="nil"/>
            </w:tcBorders>
            <w:shd w:val="clear" w:color="auto" w:fill="FFFFFF" w:themeFill="background1"/>
          </w:tcPr>
          <w:p w:rsidR="001B674E" w:rsidRPr="004C2D88" w:rsidRDefault="001B674E" w:rsidP="00465BB6">
            <w:pPr>
              <w:pStyle w:val="TableLeft"/>
              <w:keepNext/>
              <w:jc w:val="center"/>
              <w:rPr>
                <w:rFonts w:ascii="Arial Narrow" w:hAnsi="Arial Narrow"/>
                <w:sz w:val="20"/>
                <w:szCs w:val="20"/>
                <w:lang w:val="en-AU"/>
              </w:rPr>
            </w:pPr>
          </w:p>
          <w:p w:rsidR="001B674E" w:rsidRPr="004C2D88" w:rsidRDefault="001B674E" w:rsidP="00465BB6">
            <w:pPr>
              <w:pStyle w:val="TableLeft"/>
              <w:keepNext/>
              <w:jc w:val="center"/>
              <w:rPr>
                <w:rStyle w:val="SmallHighlight"/>
                <w:rFonts w:ascii="Arial Narrow" w:hAnsi="Arial Narrow"/>
                <w:lang w:val="en-AU"/>
              </w:rPr>
            </w:pPr>
            <w:r w:rsidRPr="004C2D88">
              <w:rPr>
                <w:rFonts w:ascii="Arial Narrow" w:hAnsi="Arial Narrow"/>
                <w:sz w:val="20"/>
                <w:szCs w:val="20"/>
                <w:lang w:val="en-AU"/>
              </w:rPr>
              <w:t>$ [TBD]</w:t>
            </w:r>
          </w:p>
        </w:tc>
        <w:tc>
          <w:tcPr>
            <w:tcW w:w="2409" w:type="dxa"/>
            <w:tcBorders>
              <w:top w:val="nil"/>
              <w:left w:val="nil"/>
              <w:bottom w:val="nil"/>
              <w:right w:val="nil"/>
            </w:tcBorders>
            <w:shd w:val="clear" w:color="auto" w:fill="FFFFFF" w:themeFill="background1"/>
          </w:tcPr>
          <w:p w:rsidR="001B674E" w:rsidRPr="004C2D88" w:rsidRDefault="001B674E" w:rsidP="00465BB6">
            <w:pPr>
              <w:pStyle w:val="TableLeft"/>
              <w:keepNext/>
              <w:rPr>
                <w:rFonts w:ascii="Arial Narrow" w:hAnsi="Arial Narrow"/>
                <w:sz w:val="20"/>
                <w:szCs w:val="20"/>
                <w:lang w:val="en-AU"/>
              </w:rPr>
            </w:pPr>
          </w:p>
          <w:p w:rsidR="001B674E" w:rsidRPr="004C2D88" w:rsidRDefault="001B674E" w:rsidP="00465BB6">
            <w:pPr>
              <w:pStyle w:val="TableLeft"/>
              <w:keepNext/>
              <w:rPr>
                <w:rFonts w:ascii="Arial Narrow" w:hAnsi="Arial Narrow"/>
                <w:sz w:val="20"/>
                <w:szCs w:val="20"/>
                <w:lang w:val="en-AU"/>
              </w:rPr>
            </w:pPr>
            <w:r w:rsidRPr="004C2D88">
              <w:rPr>
                <w:rFonts w:ascii="Arial Narrow" w:hAnsi="Arial Narrow"/>
                <w:sz w:val="20"/>
                <w:szCs w:val="20"/>
                <w:lang w:val="en-AU"/>
              </w:rPr>
              <w:t>BRAFTOVI</w:t>
            </w:r>
            <w:r w:rsidRPr="004C2D88">
              <w:rPr>
                <w:rFonts w:ascii="Arial Narrow" w:hAnsi="Arial Narrow"/>
                <w:sz w:val="20"/>
                <w:szCs w:val="20"/>
                <w:vertAlign w:val="superscript"/>
                <w:lang w:val="en-AU"/>
              </w:rPr>
              <w:t>®</w:t>
            </w:r>
            <w:r w:rsidRPr="004C2D88">
              <w:rPr>
                <w:rFonts w:ascii="Arial Narrow" w:hAnsi="Arial Narrow"/>
                <w:sz w:val="20"/>
                <w:szCs w:val="20"/>
                <w:lang w:val="en-AU"/>
              </w:rPr>
              <w:t>, Pierre Fabre</w:t>
            </w:r>
          </w:p>
        </w:tc>
      </w:tr>
      <w:tr w:rsidR="00DD2A5A" w:rsidRPr="004C2D88" w:rsidTr="005D6C6B">
        <w:tc>
          <w:tcPr>
            <w:tcW w:w="2835" w:type="dxa"/>
            <w:tcBorders>
              <w:top w:val="nil"/>
              <w:left w:val="nil"/>
              <w:bottom w:val="single" w:sz="4" w:space="0" w:color="000000" w:themeColor="text1"/>
              <w:right w:val="nil"/>
            </w:tcBorders>
            <w:shd w:val="clear" w:color="auto" w:fill="FFFFFF" w:themeFill="background1"/>
            <w:hideMark/>
          </w:tcPr>
          <w:p w:rsidR="001B674E" w:rsidRPr="004C2D88" w:rsidRDefault="001B674E" w:rsidP="00465BB6">
            <w:pPr>
              <w:pStyle w:val="TableLeft"/>
              <w:keepNext/>
              <w:rPr>
                <w:rStyle w:val="SmallItalics"/>
                <w:rFonts w:ascii="Arial Narrow" w:hAnsi="Arial Narrow"/>
                <w:i w:val="0"/>
                <w:lang w:val="en-AU"/>
              </w:rPr>
            </w:pPr>
            <w:r w:rsidRPr="004C2D88">
              <w:rPr>
                <w:rStyle w:val="SmallItalics"/>
                <w:rFonts w:ascii="Arial Narrow" w:hAnsi="Arial Narrow"/>
                <w:i w:val="0"/>
                <w:szCs w:val="20"/>
                <w:lang w:val="en-AU"/>
              </w:rPr>
              <w:t>ENCORAFENIB 75 mg capsule, 42</w:t>
            </w:r>
          </w:p>
        </w:tc>
        <w:tc>
          <w:tcPr>
            <w:tcW w:w="1701" w:type="dxa"/>
            <w:tcBorders>
              <w:top w:val="nil"/>
              <w:left w:val="nil"/>
              <w:bottom w:val="single" w:sz="4" w:space="0" w:color="000000" w:themeColor="text1"/>
              <w:right w:val="nil"/>
            </w:tcBorders>
            <w:shd w:val="clear" w:color="auto" w:fill="FFFFFF" w:themeFill="background1"/>
            <w:hideMark/>
          </w:tcPr>
          <w:p w:rsidR="001B674E" w:rsidRPr="004C2D88" w:rsidRDefault="001B674E" w:rsidP="00465BB6">
            <w:pPr>
              <w:pStyle w:val="TableLeft"/>
              <w:keepNext/>
              <w:jc w:val="center"/>
              <w:rPr>
                <w:lang w:val="en-AU"/>
              </w:rPr>
            </w:pPr>
            <w:r w:rsidRPr="004C2D88">
              <w:rPr>
                <w:rFonts w:ascii="Arial Narrow" w:hAnsi="Arial Narrow"/>
                <w:sz w:val="20"/>
                <w:szCs w:val="20"/>
                <w:lang w:val="en-AU"/>
              </w:rPr>
              <w:t>4</w:t>
            </w:r>
          </w:p>
        </w:tc>
        <w:tc>
          <w:tcPr>
            <w:tcW w:w="851" w:type="dxa"/>
            <w:tcBorders>
              <w:top w:val="nil"/>
              <w:left w:val="nil"/>
              <w:bottom w:val="single" w:sz="4" w:space="0" w:color="000000" w:themeColor="text1"/>
              <w:right w:val="nil"/>
            </w:tcBorders>
            <w:shd w:val="clear" w:color="auto" w:fill="FFFFFF" w:themeFill="background1"/>
            <w:hideMark/>
          </w:tcPr>
          <w:p w:rsidR="001B674E" w:rsidRPr="004C2D88" w:rsidRDefault="001B674E" w:rsidP="00465BB6">
            <w:pPr>
              <w:pStyle w:val="TableLeft"/>
              <w:keepNext/>
              <w:jc w:val="center"/>
              <w:rPr>
                <w:rFonts w:ascii="Arial Narrow" w:hAnsi="Arial Narrow"/>
                <w:sz w:val="20"/>
                <w:szCs w:val="20"/>
                <w:lang w:val="en-AU"/>
              </w:rPr>
            </w:pPr>
            <w:r w:rsidRPr="004C2D88">
              <w:rPr>
                <w:rFonts w:ascii="Arial Narrow" w:hAnsi="Arial Narrow"/>
                <w:sz w:val="20"/>
                <w:szCs w:val="20"/>
                <w:lang w:val="en-AU"/>
              </w:rPr>
              <w:t>5</w:t>
            </w:r>
          </w:p>
        </w:tc>
        <w:tc>
          <w:tcPr>
            <w:tcW w:w="1276" w:type="dxa"/>
            <w:tcBorders>
              <w:top w:val="nil"/>
              <w:left w:val="nil"/>
              <w:bottom w:val="single" w:sz="4" w:space="0" w:color="000000" w:themeColor="text1"/>
              <w:right w:val="nil"/>
            </w:tcBorders>
            <w:shd w:val="clear" w:color="auto" w:fill="FFFFFF" w:themeFill="background1"/>
            <w:hideMark/>
          </w:tcPr>
          <w:p w:rsidR="001B674E" w:rsidRPr="004C2D88" w:rsidRDefault="001B674E" w:rsidP="00465BB6">
            <w:pPr>
              <w:pStyle w:val="TableLeft"/>
              <w:keepNext/>
              <w:jc w:val="center"/>
              <w:rPr>
                <w:rFonts w:ascii="Arial Narrow" w:hAnsi="Arial Narrow"/>
                <w:sz w:val="20"/>
                <w:szCs w:val="20"/>
                <w:lang w:val="en-AU"/>
              </w:rPr>
            </w:pPr>
            <w:r w:rsidRPr="004C2D88">
              <w:rPr>
                <w:rFonts w:ascii="Arial Narrow" w:hAnsi="Arial Narrow"/>
                <w:sz w:val="20"/>
                <w:szCs w:val="20"/>
                <w:lang w:val="en-AU"/>
              </w:rPr>
              <w:t>$</w:t>
            </w:r>
            <w:r w:rsidR="00B1102B" w:rsidRPr="004C2D88">
              <w:rPr>
                <w:rFonts w:ascii="Arial Narrow" w:hAnsi="Arial Narrow"/>
                <w:sz w:val="20"/>
                <w:szCs w:val="20"/>
                <w:lang w:val="en-AU"/>
              </w:rPr>
              <w:t xml:space="preserve"> </w:t>
            </w:r>
            <w:r w:rsidRPr="004C2D88">
              <w:rPr>
                <w:rFonts w:ascii="Arial Narrow" w:hAnsi="Arial Narrow"/>
                <w:sz w:val="20"/>
                <w:szCs w:val="20"/>
                <w:lang w:val="en-AU"/>
              </w:rPr>
              <w:t>[TBD]</w:t>
            </w:r>
          </w:p>
        </w:tc>
        <w:tc>
          <w:tcPr>
            <w:tcW w:w="2409" w:type="dxa"/>
            <w:tcBorders>
              <w:top w:val="nil"/>
              <w:left w:val="nil"/>
              <w:bottom w:val="single" w:sz="4" w:space="0" w:color="000000" w:themeColor="text1"/>
              <w:right w:val="nil"/>
            </w:tcBorders>
            <w:shd w:val="clear" w:color="auto" w:fill="FFFFFF" w:themeFill="background1"/>
          </w:tcPr>
          <w:p w:rsidR="001B674E" w:rsidRPr="004C2D88" w:rsidRDefault="001B674E" w:rsidP="00465BB6">
            <w:pPr>
              <w:pStyle w:val="TableLeft"/>
              <w:keepNext/>
              <w:rPr>
                <w:rFonts w:ascii="Arial Narrow" w:hAnsi="Arial Narrow"/>
                <w:sz w:val="20"/>
                <w:szCs w:val="20"/>
                <w:lang w:val="en-AU"/>
              </w:rPr>
            </w:pPr>
          </w:p>
        </w:tc>
      </w:tr>
    </w:tbl>
    <w:p w:rsidR="00390833" w:rsidRPr="004C2D88" w:rsidRDefault="00390833" w:rsidP="00465BB6">
      <w:pPr>
        <w:pStyle w:val="TableFooter"/>
        <w:widowControl/>
      </w:pPr>
      <w:r w:rsidRPr="004C2D88">
        <w:t>$[TBD] = price to be decided, price related to proposed special price arrangement</w:t>
      </w:r>
    </w:p>
    <w:p w:rsidR="00390833" w:rsidRPr="004C2D88" w:rsidRDefault="00390833" w:rsidP="00465BB6">
      <w:pPr>
        <w:pStyle w:val="TableFooter"/>
        <w:widowControl/>
      </w:pPr>
    </w:p>
    <w:p w:rsidR="009535ED" w:rsidRPr="004C2D88" w:rsidRDefault="009535ED" w:rsidP="00465BB6">
      <w:pPr>
        <w:pStyle w:val="TableFooter"/>
        <w:widowControl/>
      </w:pPr>
    </w:p>
    <w:tbl>
      <w:tblPr>
        <w:tblW w:w="9072" w:type="dxa"/>
        <w:tblInd w:w="108" w:type="dxa"/>
        <w:tblLayout w:type="fixed"/>
        <w:tblLook w:val="04A0" w:firstRow="1" w:lastRow="0" w:firstColumn="1" w:lastColumn="0" w:noHBand="0" w:noVBand="1"/>
      </w:tblPr>
      <w:tblGrid>
        <w:gridCol w:w="1985"/>
        <w:gridCol w:w="7087"/>
      </w:tblGrid>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b/>
                <w:sz w:val="18"/>
                <w:szCs w:val="18"/>
              </w:rPr>
            </w:pPr>
            <w:r w:rsidRPr="004C2D88">
              <w:rPr>
                <w:b/>
                <w:sz w:val="18"/>
                <w:szCs w:val="18"/>
              </w:rPr>
              <w:t>Category / Program</w:t>
            </w:r>
          </w:p>
        </w:tc>
        <w:tc>
          <w:tcPr>
            <w:tcW w:w="7087"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sz w:val="18"/>
                <w:szCs w:val="18"/>
              </w:rPr>
            </w:pPr>
            <w:r w:rsidRPr="004C2D88">
              <w:rPr>
                <w:sz w:val="18"/>
                <w:szCs w:val="18"/>
              </w:rPr>
              <w:t>General Schedule</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b/>
                <w:sz w:val="18"/>
                <w:szCs w:val="18"/>
              </w:rPr>
            </w:pPr>
            <w:r w:rsidRPr="004C2D88">
              <w:rPr>
                <w:b/>
                <w:sz w:val="18"/>
                <w:szCs w:val="18"/>
              </w:rPr>
              <w:t>Prescriber type:</w:t>
            </w:r>
          </w:p>
        </w:tc>
        <w:tc>
          <w:tcPr>
            <w:tcW w:w="7087"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sz w:val="18"/>
                <w:szCs w:val="18"/>
              </w:rPr>
            </w:pPr>
            <w:r w:rsidRPr="004C2D88">
              <w:rPr>
                <w:sz w:val="18"/>
                <w:szCs w:val="18"/>
              </w:rPr>
              <w:fldChar w:fldCharType="begin">
                <w:ffData>
                  <w:name w:val="Check1"/>
                  <w:enabled/>
                  <w:calcOnExit w:val="0"/>
                  <w:checkBox>
                    <w:sizeAuto/>
                    <w:default w:val="0"/>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 xml:space="preserve">Dental  </w:t>
            </w:r>
            <w:r w:rsidRPr="004C2D88">
              <w:rPr>
                <w:sz w:val="18"/>
                <w:szCs w:val="18"/>
              </w:rPr>
              <w:fldChar w:fldCharType="begin">
                <w:ffData>
                  <w:name w:val=""/>
                  <w:enabled/>
                  <w:calcOnExit w:val="0"/>
                  <w:checkBox>
                    <w:sizeAuto/>
                    <w:default w:val="1"/>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 xml:space="preserve">Medical Practitioners  </w:t>
            </w:r>
            <w:r w:rsidRPr="004C2D88">
              <w:rPr>
                <w:sz w:val="18"/>
                <w:szCs w:val="18"/>
              </w:rPr>
              <w:fldChar w:fldCharType="begin">
                <w:ffData>
                  <w:name w:val="Check3"/>
                  <w:enabled/>
                  <w:calcOnExit w:val="0"/>
                  <w:checkBox>
                    <w:sizeAuto/>
                    <w:default w:val="0"/>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 xml:space="preserve">Nurse practitioners  </w:t>
            </w:r>
            <w:r w:rsidRPr="004C2D88">
              <w:rPr>
                <w:sz w:val="18"/>
                <w:szCs w:val="18"/>
              </w:rPr>
              <w:fldChar w:fldCharType="begin">
                <w:ffData>
                  <w:name w:val=""/>
                  <w:enabled/>
                  <w:calcOnExit w:val="0"/>
                  <w:checkBox>
                    <w:sizeAuto/>
                    <w:default w:val="0"/>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 xml:space="preserve">Optometrists </w:t>
            </w:r>
            <w:r w:rsidRPr="004C2D88">
              <w:rPr>
                <w:sz w:val="18"/>
                <w:szCs w:val="18"/>
              </w:rPr>
              <w:fldChar w:fldCharType="begin">
                <w:ffData>
                  <w:name w:val="Check5"/>
                  <w:enabled/>
                  <w:calcOnExit w:val="0"/>
                  <w:checkBox>
                    <w:sizeAuto/>
                    <w:default w:val="0"/>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Midwives</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b/>
                <w:sz w:val="18"/>
                <w:szCs w:val="18"/>
              </w:rPr>
            </w:pPr>
            <w:r w:rsidRPr="004C2D88">
              <w:rPr>
                <w:b/>
                <w:sz w:val="18"/>
                <w:szCs w:val="18"/>
              </w:rPr>
              <w:t>Severity:</w:t>
            </w:r>
          </w:p>
        </w:tc>
        <w:tc>
          <w:tcPr>
            <w:tcW w:w="7087"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sz w:val="18"/>
                <w:szCs w:val="18"/>
              </w:rPr>
            </w:pPr>
            <w:r w:rsidRPr="004C2D88">
              <w:rPr>
                <w:sz w:val="18"/>
                <w:szCs w:val="18"/>
              </w:rPr>
              <w:t>Unresectable Stage III or Stage IV</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b/>
                <w:sz w:val="18"/>
                <w:szCs w:val="18"/>
              </w:rPr>
            </w:pPr>
            <w:r w:rsidRPr="004C2D88">
              <w:rPr>
                <w:b/>
                <w:sz w:val="18"/>
                <w:szCs w:val="18"/>
              </w:rPr>
              <w:t>Condition:</w:t>
            </w:r>
          </w:p>
        </w:tc>
        <w:tc>
          <w:tcPr>
            <w:tcW w:w="7087"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sz w:val="18"/>
                <w:szCs w:val="18"/>
              </w:rPr>
            </w:pPr>
            <w:r w:rsidRPr="004C2D88">
              <w:rPr>
                <w:sz w:val="18"/>
                <w:szCs w:val="18"/>
              </w:rPr>
              <w:t>Malignant melanoma</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b/>
                <w:sz w:val="18"/>
                <w:szCs w:val="18"/>
              </w:rPr>
            </w:pPr>
            <w:r w:rsidRPr="004C2D88">
              <w:rPr>
                <w:b/>
                <w:sz w:val="18"/>
                <w:szCs w:val="18"/>
              </w:rPr>
              <w:t>PBS Indication:</w:t>
            </w:r>
          </w:p>
        </w:tc>
        <w:tc>
          <w:tcPr>
            <w:tcW w:w="7087"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sz w:val="18"/>
                <w:szCs w:val="18"/>
              </w:rPr>
            </w:pPr>
            <w:r w:rsidRPr="004C2D88">
              <w:rPr>
                <w:sz w:val="18"/>
                <w:szCs w:val="18"/>
              </w:rPr>
              <w:t>Unresectable Stage III or Stage IV malignant melanoma</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sz w:val="18"/>
                <w:szCs w:val="18"/>
              </w:rPr>
            </w:pPr>
            <w:r w:rsidRPr="004C2D88">
              <w:rPr>
                <w:b/>
                <w:sz w:val="18"/>
                <w:szCs w:val="18"/>
              </w:rPr>
              <w:t>Treatment phase:</w:t>
            </w:r>
          </w:p>
        </w:tc>
        <w:tc>
          <w:tcPr>
            <w:tcW w:w="7087"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i/>
                <w:sz w:val="18"/>
                <w:szCs w:val="18"/>
              </w:rPr>
            </w:pPr>
            <w:r w:rsidRPr="004C2D88">
              <w:rPr>
                <w:sz w:val="18"/>
                <w:szCs w:val="18"/>
              </w:rPr>
              <w:t>Initial</w:t>
            </w:r>
            <w:r w:rsidR="00C5749E" w:rsidRPr="004C2D88">
              <w:rPr>
                <w:sz w:val="18"/>
                <w:szCs w:val="18"/>
              </w:rPr>
              <w:t xml:space="preserve"> </w:t>
            </w:r>
            <w:r w:rsidR="00C5749E" w:rsidRPr="004C2D88">
              <w:rPr>
                <w:i/>
                <w:sz w:val="18"/>
                <w:szCs w:val="18"/>
              </w:rPr>
              <w:t>treatment</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BE46AE" w:rsidP="00465BB6">
            <w:pPr>
              <w:pStyle w:val="Tabletext"/>
              <w:keepNext/>
              <w:rPr>
                <w:b/>
                <w:sz w:val="18"/>
                <w:szCs w:val="18"/>
              </w:rPr>
            </w:pPr>
            <w:r w:rsidRPr="004C2D88">
              <w:rPr>
                <w:b/>
                <w:sz w:val="18"/>
                <w:szCs w:val="18"/>
              </w:rPr>
              <w:t>Restriction:</w:t>
            </w:r>
          </w:p>
        </w:tc>
        <w:tc>
          <w:tcPr>
            <w:tcW w:w="7087"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sz w:val="18"/>
                <w:szCs w:val="18"/>
              </w:rPr>
            </w:pPr>
            <w:r w:rsidRPr="004C2D88">
              <w:rPr>
                <w:sz w:val="18"/>
                <w:szCs w:val="18"/>
              </w:rPr>
              <w:fldChar w:fldCharType="begin">
                <w:ffData>
                  <w:name w:val=""/>
                  <w:enabled/>
                  <w:calcOnExit w:val="0"/>
                  <w:checkBox>
                    <w:sizeAuto/>
                    <w:default w:val="1"/>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Streamlined</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b/>
                <w:sz w:val="18"/>
                <w:szCs w:val="18"/>
              </w:rPr>
            </w:pPr>
            <w:r w:rsidRPr="004C2D88">
              <w:rPr>
                <w:b/>
                <w:sz w:val="18"/>
                <w:szCs w:val="18"/>
              </w:rPr>
              <w:t>Clinical criteria:</w:t>
            </w:r>
          </w:p>
          <w:p w:rsidR="00390833" w:rsidRPr="004C2D88" w:rsidRDefault="00390833" w:rsidP="00465BB6">
            <w:pPr>
              <w:pStyle w:val="Tabletext"/>
              <w:keepNext/>
              <w:rPr>
                <w:i/>
                <w:sz w:val="18"/>
                <w:szCs w:val="18"/>
              </w:rPr>
            </w:pPr>
          </w:p>
        </w:tc>
        <w:tc>
          <w:tcPr>
            <w:tcW w:w="7087" w:type="dxa"/>
            <w:tcBorders>
              <w:top w:val="single" w:sz="4" w:space="0" w:color="auto"/>
              <w:left w:val="single" w:sz="4" w:space="0" w:color="auto"/>
              <w:bottom w:val="single" w:sz="4" w:space="0" w:color="auto"/>
              <w:right w:val="single" w:sz="4" w:space="0" w:color="auto"/>
            </w:tcBorders>
          </w:tcPr>
          <w:p w:rsidR="00390833" w:rsidRPr="004C2D88" w:rsidRDefault="00390833" w:rsidP="00465BB6">
            <w:pPr>
              <w:pStyle w:val="Tabletext"/>
              <w:keepNext/>
              <w:rPr>
                <w:rFonts w:cs="Arial"/>
                <w:sz w:val="18"/>
                <w:szCs w:val="18"/>
              </w:rPr>
            </w:pPr>
            <w:r w:rsidRPr="004C2D88">
              <w:rPr>
                <w:rFonts w:cs="Arial"/>
                <w:sz w:val="18"/>
                <w:szCs w:val="18"/>
              </w:rPr>
              <w:t>The condition must be positive for a BRAF V600 mutation,</w:t>
            </w:r>
          </w:p>
          <w:p w:rsidR="00390833" w:rsidRPr="004C2D88" w:rsidRDefault="00390833" w:rsidP="00465BB6">
            <w:pPr>
              <w:pStyle w:val="Tabletext"/>
              <w:keepNext/>
              <w:rPr>
                <w:rFonts w:cs="Arial"/>
                <w:sz w:val="18"/>
                <w:szCs w:val="18"/>
              </w:rPr>
            </w:pPr>
            <w:r w:rsidRPr="004C2D88">
              <w:rPr>
                <w:rFonts w:cs="Arial"/>
                <w:sz w:val="18"/>
                <w:szCs w:val="18"/>
              </w:rPr>
              <w:t>AND</w:t>
            </w:r>
          </w:p>
          <w:p w:rsidR="00390833" w:rsidRPr="004C2D88" w:rsidRDefault="00390833" w:rsidP="00465BB6">
            <w:pPr>
              <w:pStyle w:val="Tabletext"/>
              <w:keepNext/>
              <w:rPr>
                <w:rFonts w:cs="Arial"/>
                <w:sz w:val="18"/>
                <w:szCs w:val="18"/>
              </w:rPr>
            </w:pPr>
            <w:r w:rsidRPr="004C2D88">
              <w:rPr>
                <w:rFonts w:cs="Arial"/>
                <w:sz w:val="18"/>
                <w:szCs w:val="18"/>
              </w:rPr>
              <w:t>Patient must be receiving PBS-subsidised binimetinib concomitantly for this condition;</w:t>
            </w:r>
            <w:r w:rsidRPr="004C2D88">
              <w:rPr>
                <w:rFonts w:cs="Arial"/>
                <w:i/>
                <w:sz w:val="18"/>
                <w:szCs w:val="18"/>
              </w:rPr>
              <w:t xml:space="preserve"> </w:t>
            </w:r>
          </w:p>
          <w:p w:rsidR="00390833" w:rsidRPr="004C2D88" w:rsidRDefault="00390833" w:rsidP="00465BB6">
            <w:pPr>
              <w:pStyle w:val="Tabletext"/>
              <w:keepNext/>
              <w:rPr>
                <w:rFonts w:cs="Arial"/>
                <w:sz w:val="18"/>
                <w:szCs w:val="18"/>
              </w:rPr>
            </w:pPr>
            <w:r w:rsidRPr="004C2D88">
              <w:rPr>
                <w:rFonts w:cs="Arial"/>
                <w:sz w:val="18"/>
                <w:szCs w:val="18"/>
              </w:rPr>
              <w:t>AND</w:t>
            </w:r>
          </w:p>
          <w:p w:rsidR="00390833" w:rsidRPr="004C2D88" w:rsidRDefault="00390833" w:rsidP="00465BB6">
            <w:pPr>
              <w:pStyle w:val="Tabletext"/>
              <w:keepNext/>
              <w:rPr>
                <w:rFonts w:cs="Arial"/>
                <w:sz w:val="18"/>
                <w:szCs w:val="18"/>
              </w:rPr>
            </w:pPr>
            <w:r w:rsidRPr="004C2D88">
              <w:rPr>
                <w:rFonts w:cs="Arial"/>
                <w:sz w:val="18"/>
                <w:szCs w:val="18"/>
              </w:rPr>
              <w:t>The condition must not have been treated previously with PBS subsidised therapy; OR</w:t>
            </w:r>
          </w:p>
          <w:p w:rsidR="00390833" w:rsidRPr="004C2D88" w:rsidRDefault="00390833" w:rsidP="00465BB6">
            <w:pPr>
              <w:pStyle w:val="Tabletext"/>
              <w:keepNext/>
              <w:rPr>
                <w:rFonts w:cs="Arial"/>
                <w:sz w:val="18"/>
                <w:szCs w:val="18"/>
              </w:rPr>
            </w:pPr>
            <w:r w:rsidRPr="004C2D88">
              <w:rPr>
                <w:rFonts w:cs="Arial"/>
                <w:sz w:val="18"/>
                <w:szCs w:val="18"/>
              </w:rPr>
              <w:t>Patient must have developed intolerance to another BRAF inhibitor of a severity necessitating permanent treatment withdrawal,</w:t>
            </w:r>
          </w:p>
          <w:p w:rsidR="00390833" w:rsidRPr="004C2D88" w:rsidRDefault="00390833" w:rsidP="00465BB6">
            <w:pPr>
              <w:pStyle w:val="Tabletext"/>
              <w:keepNext/>
              <w:rPr>
                <w:rFonts w:cs="Arial"/>
                <w:sz w:val="18"/>
                <w:szCs w:val="18"/>
              </w:rPr>
            </w:pPr>
            <w:r w:rsidRPr="004C2D88">
              <w:rPr>
                <w:rFonts w:cs="Arial"/>
                <w:sz w:val="18"/>
                <w:szCs w:val="18"/>
              </w:rPr>
              <w:t>AND</w:t>
            </w:r>
          </w:p>
          <w:p w:rsidR="00390833" w:rsidRPr="004C2D88" w:rsidRDefault="00390833" w:rsidP="00465BB6">
            <w:pPr>
              <w:pStyle w:val="Tabletext"/>
              <w:keepNext/>
              <w:rPr>
                <w:rFonts w:cs="Arial"/>
                <w:sz w:val="18"/>
                <w:szCs w:val="18"/>
              </w:rPr>
            </w:pPr>
            <w:r w:rsidRPr="004C2D88">
              <w:rPr>
                <w:rFonts w:cs="Arial"/>
                <w:sz w:val="18"/>
                <w:szCs w:val="18"/>
              </w:rPr>
              <w:t>Patient must have a WHO performance status of 2 or less.</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keepNext/>
              <w:rPr>
                <w:b/>
                <w:sz w:val="18"/>
                <w:szCs w:val="18"/>
              </w:rPr>
            </w:pPr>
            <w:r w:rsidRPr="004C2D88">
              <w:rPr>
                <w:b/>
                <w:sz w:val="18"/>
                <w:szCs w:val="18"/>
              </w:rPr>
              <w:t>Administrative Advice:</w:t>
            </w:r>
          </w:p>
        </w:tc>
        <w:tc>
          <w:tcPr>
            <w:tcW w:w="7087" w:type="dxa"/>
            <w:tcBorders>
              <w:top w:val="single" w:sz="4" w:space="0" w:color="auto"/>
              <w:left w:val="single" w:sz="4" w:space="0" w:color="auto"/>
              <w:bottom w:val="single" w:sz="4" w:space="0" w:color="auto"/>
              <w:right w:val="single" w:sz="4" w:space="0" w:color="auto"/>
            </w:tcBorders>
          </w:tcPr>
          <w:p w:rsidR="00390833" w:rsidRPr="004C2D88" w:rsidRDefault="00390833" w:rsidP="00465BB6">
            <w:pPr>
              <w:pStyle w:val="Tabletext"/>
              <w:keepNext/>
              <w:rPr>
                <w:sz w:val="18"/>
                <w:szCs w:val="18"/>
              </w:rPr>
            </w:pPr>
            <w:r w:rsidRPr="004C2D88">
              <w:rPr>
                <w:sz w:val="18"/>
                <w:szCs w:val="18"/>
              </w:rPr>
              <w:t xml:space="preserve">A patient who has had progressive disease when treated with another BRAF inhibitor is not eligible to receive PBS-subsidised treatment with this drug. </w:t>
            </w:r>
          </w:p>
          <w:p w:rsidR="00390833" w:rsidRPr="004C2D88" w:rsidRDefault="00390833" w:rsidP="00465BB6">
            <w:pPr>
              <w:pStyle w:val="Tabletext"/>
              <w:keepNext/>
              <w:rPr>
                <w:sz w:val="18"/>
                <w:szCs w:val="18"/>
              </w:rPr>
            </w:pPr>
          </w:p>
          <w:p w:rsidR="00390833" w:rsidRPr="004C2D88" w:rsidRDefault="00390833" w:rsidP="00465BB6">
            <w:pPr>
              <w:pStyle w:val="Tabletext"/>
              <w:keepNext/>
              <w:rPr>
                <w:sz w:val="18"/>
                <w:szCs w:val="18"/>
              </w:rPr>
            </w:pPr>
            <w:r w:rsidRPr="004C2D88">
              <w:rPr>
                <w:sz w:val="18"/>
                <w:szCs w:val="18"/>
              </w:rPr>
              <w:t xml:space="preserve">No increase in the maximum quantity or number of units may be authorised. </w:t>
            </w:r>
          </w:p>
          <w:p w:rsidR="00390833" w:rsidRPr="004C2D88" w:rsidRDefault="00390833" w:rsidP="00465BB6">
            <w:pPr>
              <w:pStyle w:val="Tabletext"/>
              <w:keepNext/>
              <w:rPr>
                <w:sz w:val="18"/>
                <w:szCs w:val="18"/>
              </w:rPr>
            </w:pPr>
          </w:p>
          <w:p w:rsidR="00390833" w:rsidRPr="004C2D88" w:rsidRDefault="00390833" w:rsidP="00465BB6">
            <w:pPr>
              <w:pStyle w:val="Tabletext"/>
              <w:keepNext/>
              <w:rPr>
                <w:sz w:val="18"/>
                <w:szCs w:val="18"/>
              </w:rPr>
            </w:pPr>
            <w:r w:rsidRPr="004C2D88">
              <w:rPr>
                <w:sz w:val="18"/>
                <w:szCs w:val="18"/>
              </w:rPr>
              <w:t xml:space="preserve">No increase in the maximum number of repeats may be authorised. </w:t>
            </w:r>
          </w:p>
          <w:p w:rsidR="00390833" w:rsidRPr="004C2D88" w:rsidRDefault="00390833" w:rsidP="00465BB6">
            <w:pPr>
              <w:pStyle w:val="Tabletext"/>
              <w:keepNext/>
              <w:rPr>
                <w:sz w:val="18"/>
                <w:szCs w:val="18"/>
              </w:rPr>
            </w:pPr>
          </w:p>
          <w:p w:rsidR="00390833" w:rsidRPr="004C2D88" w:rsidRDefault="00390833" w:rsidP="00465BB6">
            <w:pPr>
              <w:pStyle w:val="Tabletext"/>
              <w:keepNext/>
              <w:rPr>
                <w:sz w:val="18"/>
                <w:szCs w:val="18"/>
              </w:rPr>
            </w:pPr>
            <w:r w:rsidRPr="004C2D88">
              <w:rPr>
                <w:sz w:val="18"/>
                <w:szCs w:val="18"/>
              </w:rPr>
              <w:t>Special Pricing Arrangements apply</w:t>
            </w:r>
          </w:p>
        </w:tc>
      </w:tr>
      <w:tr w:rsidR="00390833" w:rsidRPr="004C2D88" w:rsidTr="005D6C6B">
        <w:trPr>
          <w:cantSplit/>
        </w:trPr>
        <w:tc>
          <w:tcPr>
            <w:tcW w:w="1985" w:type="dxa"/>
            <w:tcBorders>
              <w:top w:val="single" w:sz="4" w:space="0" w:color="auto"/>
              <w:left w:val="nil"/>
              <w:bottom w:val="single" w:sz="4" w:space="0" w:color="auto"/>
              <w:right w:val="nil"/>
            </w:tcBorders>
          </w:tcPr>
          <w:p w:rsidR="00194D9B" w:rsidRPr="004C2D88" w:rsidRDefault="00194D9B" w:rsidP="00465BB6">
            <w:pPr>
              <w:pStyle w:val="Tabletext"/>
              <w:rPr>
                <w:b/>
                <w:sz w:val="18"/>
                <w:szCs w:val="18"/>
              </w:rPr>
            </w:pPr>
          </w:p>
        </w:tc>
        <w:tc>
          <w:tcPr>
            <w:tcW w:w="7087" w:type="dxa"/>
            <w:tcBorders>
              <w:top w:val="single" w:sz="4" w:space="0" w:color="auto"/>
              <w:left w:val="nil"/>
              <w:bottom w:val="single" w:sz="4" w:space="0" w:color="auto"/>
              <w:right w:val="nil"/>
            </w:tcBorders>
          </w:tcPr>
          <w:p w:rsidR="00390833" w:rsidRPr="004C2D88" w:rsidRDefault="00390833" w:rsidP="00465BB6">
            <w:pPr>
              <w:pStyle w:val="Tabletext"/>
              <w:rPr>
                <w:sz w:val="18"/>
                <w:szCs w:val="18"/>
              </w:rPr>
            </w:pP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b/>
                <w:sz w:val="18"/>
                <w:szCs w:val="18"/>
              </w:rPr>
              <w:t>Treatment phase:</w:t>
            </w:r>
          </w:p>
        </w:tc>
        <w:tc>
          <w:tcPr>
            <w:tcW w:w="7087"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i/>
                <w:sz w:val="18"/>
                <w:szCs w:val="18"/>
              </w:rPr>
            </w:pPr>
            <w:r w:rsidRPr="004C2D88">
              <w:rPr>
                <w:sz w:val="18"/>
                <w:szCs w:val="18"/>
              </w:rPr>
              <w:t>Continuing</w:t>
            </w:r>
            <w:r w:rsidR="00C5749E" w:rsidRPr="004C2D88">
              <w:rPr>
                <w:sz w:val="18"/>
                <w:szCs w:val="18"/>
              </w:rPr>
              <w:t xml:space="preserve"> </w:t>
            </w:r>
            <w:r w:rsidR="00C5749E" w:rsidRPr="004C2D88">
              <w:rPr>
                <w:i/>
                <w:sz w:val="18"/>
                <w:szCs w:val="18"/>
              </w:rPr>
              <w:t>treatment</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BE46AE" w:rsidP="00465BB6">
            <w:pPr>
              <w:pStyle w:val="Tabletext"/>
              <w:rPr>
                <w:b/>
                <w:sz w:val="18"/>
                <w:szCs w:val="18"/>
              </w:rPr>
            </w:pPr>
            <w:r w:rsidRPr="004C2D88">
              <w:rPr>
                <w:b/>
                <w:sz w:val="18"/>
                <w:szCs w:val="18"/>
              </w:rPr>
              <w:t>Restriction:</w:t>
            </w:r>
          </w:p>
        </w:tc>
        <w:tc>
          <w:tcPr>
            <w:tcW w:w="7087"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sz w:val="18"/>
                <w:szCs w:val="18"/>
              </w:rPr>
              <w:fldChar w:fldCharType="begin">
                <w:ffData>
                  <w:name w:val=""/>
                  <w:enabled/>
                  <w:calcOnExit w:val="0"/>
                  <w:checkBox>
                    <w:sizeAuto/>
                    <w:default w:val="1"/>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Streamlined</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Clinical criteria:</w:t>
            </w:r>
          </w:p>
          <w:p w:rsidR="00390833" w:rsidRPr="004C2D88" w:rsidRDefault="00390833" w:rsidP="00465BB6">
            <w:pPr>
              <w:pStyle w:val="Tabletext"/>
              <w:rPr>
                <w:i/>
                <w:sz w:val="18"/>
                <w:szCs w:val="18"/>
              </w:rPr>
            </w:pPr>
          </w:p>
        </w:tc>
        <w:tc>
          <w:tcPr>
            <w:tcW w:w="7087" w:type="dxa"/>
            <w:tcBorders>
              <w:top w:val="single" w:sz="4" w:space="0" w:color="auto"/>
              <w:left w:val="single" w:sz="4" w:space="0" w:color="auto"/>
              <w:bottom w:val="single" w:sz="4" w:space="0" w:color="auto"/>
              <w:right w:val="single" w:sz="4" w:space="0" w:color="auto"/>
            </w:tcBorders>
          </w:tcPr>
          <w:p w:rsidR="00390833" w:rsidRPr="004C2D88" w:rsidRDefault="00390833" w:rsidP="00465BB6">
            <w:pPr>
              <w:pStyle w:val="Tabletext"/>
              <w:rPr>
                <w:rFonts w:cs="Arial"/>
                <w:sz w:val="18"/>
                <w:szCs w:val="18"/>
              </w:rPr>
            </w:pPr>
            <w:r w:rsidRPr="004C2D88">
              <w:rPr>
                <w:rFonts w:cs="Arial"/>
                <w:sz w:val="18"/>
                <w:szCs w:val="18"/>
              </w:rPr>
              <w:t>Patient must have previously been issued with an authority prescription for this drug,</w:t>
            </w:r>
          </w:p>
          <w:p w:rsidR="00390833" w:rsidRPr="004C2D88" w:rsidRDefault="00390833" w:rsidP="00465BB6">
            <w:pPr>
              <w:pStyle w:val="Tabletext"/>
              <w:rPr>
                <w:rFonts w:cs="Arial"/>
                <w:sz w:val="18"/>
                <w:szCs w:val="18"/>
              </w:rPr>
            </w:pPr>
            <w:r w:rsidRPr="004C2D88">
              <w:rPr>
                <w:rFonts w:cs="Arial"/>
                <w:sz w:val="18"/>
                <w:szCs w:val="18"/>
              </w:rPr>
              <w:t>AND</w:t>
            </w:r>
          </w:p>
          <w:p w:rsidR="00390833" w:rsidRPr="004C2D88" w:rsidRDefault="00390833" w:rsidP="00465BB6">
            <w:pPr>
              <w:pStyle w:val="Tabletext"/>
              <w:rPr>
                <w:rFonts w:cs="Arial"/>
                <w:sz w:val="18"/>
                <w:szCs w:val="18"/>
              </w:rPr>
            </w:pPr>
            <w:r w:rsidRPr="004C2D88">
              <w:rPr>
                <w:rFonts w:cs="Arial"/>
                <w:sz w:val="18"/>
                <w:szCs w:val="18"/>
              </w:rPr>
              <w:t>Patient must be receiving PBS-subsidised binimetinib concomitantly for this condition;</w:t>
            </w:r>
            <w:r w:rsidRPr="004C2D88">
              <w:rPr>
                <w:rFonts w:cs="Arial"/>
                <w:i/>
                <w:sz w:val="18"/>
                <w:szCs w:val="18"/>
              </w:rPr>
              <w:t xml:space="preserve"> </w:t>
            </w:r>
          </w:p>
          <w:p w:rsidR="00390833" w:rsidRPr="004C2D88" w:rsidRDefault="00390833" w:rsidP="00465BB6">
            <w:pPr>
              <w:pStyle w:val="Tabletext"/>
              <w:rPr>
                <w:rFonts w:cs="Arial"/>
                <w:sz w:val="18"/>
                <w:szCs w:val="18"/>
              </w:rPr>
            </w:pPr>
            <w:r w:rsidRPr="004C2D88">
              <w:rPr>
                <w:rFonts w:cs="Arial"/>
                <w:sz w:val="18"/>
                <w:szCs w:val="18"/>
              </w:rPr>
              <w:t>AND</w:t>
            </w:r>
          </w:p>
          <w:p w:rsidR="00390833" w:rsidRPr="004C2D88" w:rsidRDefault="00390833" w:rsidP="00465BB6">
            <w:pPr>
              <w:pStyle w:val="Tabletext"/>
              <w:rPr>
                <w:rFonts w:cs="Arial"/>
                <w:sz w:val="18"/>
                <w:szCs w:val="18"/>
              </w:rPr>
            </w:pPr>
            <w:r w:rsidRPr="004C2D88">
              <w:rPr>
                <w:rFonts w:cs="Arial"/>
                <w:sz w:val="18"/>
                <w:szCs w:val="18"/>
              </w:rPr>
              <w:t>Patient must have stable or responding disease</w:t>
            </w:r>
          </w:p>
        </w:tc>
      </w:tr>
      <w:tr w:rsidR="00390833" w:rsidRPr="004C2D88" w:rsidTr="005D6C6B">
        <w:trPr>
          <w:cantSplit/>
        </w:trPr>
        <w:tc>
          <w:tcPr>
            <w:tcW w:w="1985"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Administrative Advice:</w:t>
            </w:r>
          </w:p>
        </w:tc>
        <w:tc>
          <w:tcPr>
            <w:tcW w:w="7087" w:type="dxa"/>
            <w:tcBorders>
              <w:top w:val="single" w:sz="4" w:space="0" w:color="auto"/>
              <w:left w:val="single" w:sz="4" w:space="0" w:color="auto"/>
              <w:bottom w:val="single" w:sz="4" w:space="0" w:color="auto"/>
              <w:right w:val="single" w:sz="4" w:space="0" w:color="auto"/>
            </w:tcBorders>
          </w:tcPr>
          <w:p w:rsidR="00390833" w:rsidRPr="004C2D88" w:rsidRDefault="00390833" w:rsidP="00465BB6">
            <w:pPr>
              <w:pStyle w:val="Tabletext"/>
              <w:rPr>
                <w:sz w:val="18"/>
                <w:szCs w:val="18"/>
              </w:rPr>
            </w:pPr>
            <w:r w:rsidRPr="004C2D88">
              <w:rPr>
                <w:sz w:val="18"/>
                <w:szCs w:val="18"/>
              </w:rPr>
              <w:t>A patient who has progressive disease when treated with this drug is no longer eligible for PBS-subsidised treatment with this drug</w:t>
            </w:r>
          </w:p>
          <w:p w:rsidR="005C2B9D" w:rsidRPr="004C2D88" w:rsidRDefault="005C2B9D" w:rsidP="00465BB6">
            <w:pPr>
              <w:pStyle w:val="Tabletext"/>
              <w:rPr>
                <w:sz w:val="18"/>
                <w:szCs w:val="18"/>
              </w:rPr>
            </w:pPr>
          </w:p>
          <w:p w:rsidR="005C2B9D" w:rsidRPr="004C2D88" w:rsidRDefault="005C2B9D" w:rsidP="00465BB6">
            <w:pPr>
              <w:pStyle w:val="Tabletext"/>
              <w:rPr>
                <w:i/>
                <w:sz w:val="18"/>
                <w:szCs w:val="18"/>
              </w:rPr>
            </w:pPr>
            <w:r w:rsidRPr="004C2D88">
              <w:rPr>
                <w:i/>
                <w:sz w:val="18"/>
                <w:szCs w:val="18"/>
              </w:rPr>
              <w:t>A patient who has had progressive disease when treated with another BRAF inhibitor is not eligible to receive PBS-subsidised treatment with this drug.</w:t>
            </w:r>
          </w:p>
          <w:p w:rsidR="00390833" w:rsidRPr="004C2D88" w:rsidRDefault="00390833" w:rsidP="00465BB6">
            <w:pPr>
              <w:pStyle w:val="Tabletext"/>
              <w:rPr>
                <w:sz w:val="18"/>
                <w:szCs w:val="18"/>
              </w:rPr>
            </w:pPr>
          </w:p>
          <w:p w:rsidR="00390833" w:rsidRPr="004C2D88" w:rsidRDefault="00390833" w:rsidP="00465BB6">
            <w:pPr>
              <w:pStyle w:val="Tabletext"/>
              <w:rPr>
                <w:sz w:val="18"/>
                <w:szCs w:val="18"/>
              </w:rPr>
            </w:pPr>
            <w:r w:rsidRPr="004C2D88">
              <w:rPr>
                <w:sz w:val="18"/>
                <w:szCs w:val="18"/>
              </w:rPr>
              <w:t xml:space="preserve">No increase in the maximum quantity or number of units may be authorised. </w:t>
            </w:r>
          </w:p>
          <w:p w:rsidR="00390833" w:rsidRPr="004C2D88" w:rsidRDefault="00390833" w:rsidP="00465BB6">
            <w:pPr>
              <w:pStyle w:val="Tabletext"/>
              <w:rPr>
                <w:sz w:val="18"/>
                <w:szCs w:val="18"/>
              </w:rPr>
            </w:pPr>
          </w:p>
          <w:p w:rsidR="00390833" w:rsidRPr="004C2D88" w:rsidRDefault="00390833" w:rsidP="00465BB6">
            <w:pPr>
              <w:pStyle w:val="Tabletext"/>
              <w:rPr>
                <w:sz w:val="18"/>
                <w:szCs w:val="18"/>
              </w:rPr>
            </w:pPr>
            <w:r w:rsidRPr="004C2D88">
              <w:rPr>
                <w:sz w:val="18"/>
                <w:szCs w:val="18"/>
              </w:rPr>
              <w:t xml:space="preserve">No increase in the maximum number of repeats may be authorised. </w:t>
            </w:r>
          </w:p>
          <w:p w:rsidR="00390833" w:rsidRPr="004C2D88" w:rsidRDefault="00390833" w:rsidP="00465BB6">
            <w:pPr>
              <w:pStyle w:val="Tabletext"/>
              <w:rPr>
                <w:sz w:val="18"/>
                <w:szCs w:val="18"/>
              </w:rPr>
            </w:pPr>
          </w:p>
          <w:p w:rsidR="00390833" w:rsidRPr="004C2D88" w:rsidRDefault="00390833" w:rsidP="00465BB6">
            <w:pPr>
              <w:pStyle w:val="Tabletext"/>
              <w:rPr>
                <w:sz w:val="18"/>
                <w:szCs w:val="18"/>
              </w:rPr>
            </w:pPr>
            <w:r w:rsidRPr="004C2D88">
              <w:rPr>
                <w:sz w:val="18"/>
                <w:szCs w:val="18"/>
              </w:rPr>
              <w:t>Special Pricing Arrangements apply</w:t>
            </w:r>
          </w:p>
        </w:tc>
      </w:tr>
    </w:tbl>
    <w:p w:rsidR="00390833" w:rsidRPr="004C2D88" w:rsidRDefault="00390833" w:rsidP="00465BB6">
      <w:pPr>
        <w:widowControl/>
      </w:pPr>
    </w:p>
    <w:p w:rsidR="00390833" w:rsidRPr="004C2D88" w:rsidRDefault="00390833" w:rsidP="00465BB6">
      <w:pPr>
        <w:keepNext/>
        <w:widowControl/>
        <w:rPr>
          <w:rStyle w:val="CommentReference"/>
        </w:rPr>
      </w:pPr>
      <w:r w:rsidRPr="004C2D88">
        <w:rPr>
          <w:rStyle w:val="CommentReference"/>
        </w:rPr>
        <w:lastRenderedPageBreak/>
        <w:t>Requested restriction – binimetinib 15 mg (initial and continuing)</w:t>
      </w:r>
    </w:p>
    <w:tbl>
      <w:tblPr>
        <w:tblStyle w:val="TableGrid1"/>
        <w:tblW w:w="9086" w:type="dxa"/>
        <w:tblInd w:w="94" w:type="dxa"/>
        <w:shd w:val="clear" w:color="auto" w:fill="FFFFFF" w:themeFill="background1"/>
        <w:tblLayout w:type="fixed"/>
        <w:tblLook w:val="04A0" w:firstRow="1" w:lastRow="0" w:firstColumn="1" w:lastColumn="0" w:noHBand="0" w:noVBand="1"/>
        <w:tblCaption w:val="Requested restriction – binimetinib 15 mg (initial and continuing)"/>
      </w:tblPr>
      <w:tblGrid>
        <w:gridCol w:w="2736"/>
        <w:gridCol w:w="1531"/>
        <w:gridCol w:w="992"/>
        <w:gridCol w:w="1418"/>
        <w:gridCol w:w="2409"/>
      </w:tblGrid>
      <w:tr w:rsidR="00DD2A5A" w:rsidRPr="004C2D88" w:rsidTr="00D64A17">
        <w:trPr>
          <w:cantSplit/>
          <w:tblHeader/>
        </w:trPr>
        <w:tc>
          <w:tcPr>
            <w:tcW w:w="2736" w:type="dxa"/>
            <w:tcBorders>
              <w:top w:val="single" w:sz="4" w:space="0" w:color="000000" w:themeColor="text1"/>
              <w:left w:val="nil"/>
              <w:bottom w:val="single" w:sz="4" w:space="0" w:color="000000" w:themeColor="text1"/>
              <w:right w:val="nil"/>
            </w:tcBorders>
            <w:shd w:val="clear" w:color="auto" w:fill="FFFFFF" w:themeFill="background1"/>
            <w:hideMark/>
          </w:tcPr>
          <w:p w:rsidR="00DD2A5A" w:rsidRPr="004C2D88" w:rsidRDefault="00DD2A5A" w:rsidP="00465BB6">
            <w:pPr>
              <w:pStyle w:val="TableLeft"/>
              <w:keepNext/>
              <w:rPr>
                <w:szCs w:val="20"/>
                <w:lang w:val="en-AU"/>
              </w:rPr>
            </w:pPr>
            <w:r w:rsidRPr="004C2D88">
              <w:rPr>
                <w:rFonts w:ascii="Arial Narrow" w:hAnsi="Arial Narrow"/>
                <w:b/>
                <w:sz w:val="20"/>
                <w:szCs w:val="20"/>
                <w:lang w:val="en-AU"/>
              </w:rPr>
              <w:t>Name, restriction, manner of administration, form</w:t>
            </w:r>
          </w:p>
        </w:tc>
        <w:tc>
          <w:tcPr>
            <w:tcW w:w="1531" w:type="dxa"/>
            <w:tcBorders>
              <w:top w:val="single" w:sz="4" w:space="0" w:color="000000" w:themeColor="text1"/>
              <w:left w:val="nil"/>
              <w:bottom w:val="single" w:sz="4" w:space="0" w:color="000000" w:themeColor="text1"/>
              <w:right w:val="nil"/>
            </w:tcBorders>
            <w:shd w:val="clear" w:color="auto" w:fill="FFFFFF" w:themeFill="background1"/>
            <w:hideMark/>
          </w:tcPr>
          <w:p w:rsidR="00DD2A5A" w:rsidRPr="004C2D88" w:rsidRDefault="00DD2A5A" w:rsidP="00465BB6">
            <w:pPr>
              <w:pStyle w:val="TableLeft"/>
              <w:keepNext/>
              <w:jc w:val="center"/>
              <w:rPr>
                <w:rFonts w:ascii="Arial Narrow" w:hAnsi="Arial Narrow"/>
                <w:b/>
                <w:sz w:val="20"/>
                <w:szCs w:val="20"/>
                <w:lang w:val="en-AU"/>
              </w:rPr>
            </w:pPr>
            <w:r w:rsidRPr="004C2D88">
              <w:rPr>
                <w:rFonts w:ascii="Arial Narrow" w:hAnsi="Arial Narrow"/>
                <w:b/>
                <w:sz w:val="20"/>
                <w:szCs w:val="20"/>
                <w:lang w:val="en-AU"/>
              </w:rPr>
              <w:t>Maximum quantity (packs)</w:t>
            </w:r>
          </w:p>
        </w:tc>
        <w:tc>
          <w:tcPr>
            <w:tcW w:w="992" w:type="dxa"/>
            <w:tcBorders>
              <w:top w:val="single" w:sz="4" w:space="0" w:color="000000" w:themeColor="text1"/>
              <w:left w:val="nil"/>
              <w:bottom w:val="single" w:sz="4" w:space="0" w:color="000000" w:themeColor="text1"/>
              <w:right w:val="nil"/>
            </w:tcBorders>
            <w:shd w:val="clear" w:color="auto" w:fill="FFFFFF" w:themeFill="background1"/>
            <w:hideMark/>
          </w:tcPr>
          <w:p w:rsidR="00DD2A5A" w:rsidRPr="004C2D88" w:rsidRDefault="00DD2A5A" w:rsidP="00465BB6">
            <w:pPr>
              <w:pStyle w:val="TableLeft"/>
              <w:keepNext/>
              <w:jc w:val="center"/>
              <w:rPr>
                <w:rFonts w:ascii="Arial Narrow" w:hAnsi="Arial Narrow"/>
                <w:b/>
                <w:sz w:val="20"/>
                <w:szCs w:val="20"/>
                <w:lang w:val="en-AU"/>
              </w:rPr>
            </w:pPr>
            <w:r w:rsidRPr="004C2D88">
              <w:rPr>
                <w:rFonts w:ascii="Arial Narrow" w:hAnsi="Arial Narrow"/>
                <w:b/>
                <w:sz w:val="20"/>
                <w:szCs w:val="20"/>
                <w:lang w:val="en-AU"/>
              </w:rPr>
              <w:t>No. of repeats</w:t>
            </w:r>
          </w:p>
        </w:tc>
        <w:tc>
          <w:tcPr>
            <w:tcW w:w="1418" w:type="dxa"/>
            <w:tcBorders>
              <w:top w:val="single" w:sz="4" w:space="0" w:color="000000" w:themeColor="text1"/>
              <w:left w:val="nil"/>
              <w:bottom w:val="single" w:sz="4" w:space="0" w:color="000000" w:themeColor="text1"/>
              <w:right w:val="nil"/>
            </w:tcBorders>
            <w:shd w:val="clear" w:color="auto" w:fill="FFFFFF" w:themeFill="background1"/>
            <w:hideMark/>
          </w:tcPr>
          <w:p w:rsidR="00DD2A5A" w:rsidRPr="004C2D88" w:rsidRDefault="00DD2A5A" w:rsidP="00465BB6">
            <w:pPr>
              <w:pStyle w:val="TableLeft"/>
              <w:keepNext/>
              <w:jc w:val="center"/>
              <w:rPr>
                <w:rFonts w:ascii="Arial Narrow" w:hAnsi="Arial Narrow"/>
                <w:b/>
                <w:sz w:val="20"/>
                <w:szCs w:val="20"/>
                <w:lang w:val="en-AU"/>
              </w:rPr>
            </w:pPr>
            <w:r w:rsidRPr="004C2D88">
              <w:rPr>
                <w:rFonts w:ascii="Arial Narrow" w:hAnsi="Arial Narrow"/>
                <w:b/>
                <w:sz w:val="20"/>
                <w:szCs w:val="20"/>
                <w:lang w:val="en-AU"/>
              </w:rPr>
              <w:t>DPMQ</w:t>
            </w:r>
          </w:p>
        </w:tc>
        <w:tc>
          <w:tcPr>
            <w:tcW w:w="2409" w:type="dxa"/>
            <w:tcBorders>
              <w:top w:val="single" w:sz="4" w:space="0" w:color="000000" w:themeColor="text1"/>
              <w:left w:val="nil"/>
              <w:bottom w:val="single" w:sz="4" w:space="0" w:color="000000" w:themeColor="text1"/>
              <w:right w:val="nil"/>
            </w:tcBorders>
            <w:shd w:val="clear" w:color="auto" w:fill="FFFFFF" w:themeFill="background1"/>
            <w:hideMark/>
          </w:tcPr>
          <w:p w:rsidR="00DD2A5A" w:rsidRPr="004C2D88" w:rsidRDefault="00DD2A5A" w:rsidP="00465BB6">
            <w:pPr>
              <w:pStyle w:val="TableLeft"/>
              <w:keepNext/>
              <w:rPr>
                <w:rFonts w:ascii="Arial Narrow" w:hAnsi="Arial Narrow"/>
                <w:b/>
                <w:sz w:val="20"/>
                <w:szCs w:val="20"/>
                <w:lang w:val="en-AU"/>
              </w:rPr>
            </w:pPr>
            <w:r w:rsidRPr="004C2D88">
              <w:rPr>
                <w:rFonts w:ascii="Arial Narrow" w:hAnsi="Arial Narrow"/>
                <w:b/>
                <w:sz w:val="20"/>
                <w:szCs w:val="20"/>
                <w:lang w:val="en-AU"/>
              </w:rPr>
              <w:t>Proprietary name and manufacturer</w:t>
            </w:r>
          </w:p>
        </w:tc>
      </w:tr>
      <w:tr w:rsidR="00DD2A5A" w:rsidRPr="004C2D88" w:rsidTr="005D6C6B">
        <w:tc>
          <w:tcPr>
            <w:tcW w:w="2736" w:type="dxa"/>
            <w:tcBorders>
              <w:top w:val="single" w:sz="4" w:space="0" w:color="000000" w:themeColor="text1"/>
              <w:left w:val="nil"/>
              <w:bottom w:val="nil"/>
              <w:right w:val="nil"/>
            </w:tcBorders>
            <w:shd w:val="clear" w:color="auto" w:fill="FFFFFF" w:themeFill="background1"/>
            <w:hideMark/>
          </w:tcPr>
          <w:p w:rsidR="00DD2A5A" w:rsidRPr="004C2D88" w:rsidRDefault="00DD2A5A" w:rsidP="00465BB6">
            <w:pPr>
              <w:pStyle w:val="TableLeft"/>
              <w:keepNext/>
              <w:rPr>
                <w:rStyle w:val="SmallItalics"/>
                <w:rFonts w:ascii="Arial Narrow" w:hAnsi="Arial Narrow"/>
                <w:i w:val="0"/>
                <w:lang w:val="en-AU"/>
              </w:rPr>
            </w:pPr>
            <w:r w:rsidRPr="004C2D88">
              <w:rPr>
                <w:rStyle w:val="SmallItalics"/>
                <w:rFonts w:ascii="Arial Narrow" w:hAnsi="Arial Narrow"/>
                <w:i w:val="0"/>
                <w:szCs w:val="20"/>
                <w:lang w:val="en-AU"/>
              </w:rPr>
              <w:t>Initial treatment:</w:t>
            </w:r>
          </w:p>
          <w:p w:rsidR="00DD2A5A" w:rsidRPr="004C2D88" w:rsidRDefault="00DD2A5A" w:rsidP="00465BB6">
            <w:pPr>
              <w:pStyle w:val="TableLeft"/>
              <w:keepNext/>
              <w:rPr>
                <w:lang w:val="en-AU"/>
              </w:rPr>
            </w:pPr>
            <w:r w:rsidRPr="004C2D88">
              <w:rPr>
                <w:rFonts w:ascii="Arial Narrow" w:hAnsi="Arial Narrow"/>
                <w:sz w:val="20"/>
                <w:szCs w:val="20"/>
                <w:lang w:val="en-AU"/>
              </w:rPr>
              <w:t>BINIMETINIB</w:t>
            </w:r>
            <w:r w:rsidRPr="004C2D88">
              <w:rPr>
                <w:rStyle w:val="SmallItalics"/>
                <w:rFonts w:ascii="Arial Narrow" w:hAnsi="Arial Narrow"/>
                <w:i w:val="0"/>
                <w:szCs w:val="20"/>
                <w:lang w:val="en-AU"/>
              </w:rPr>
              <w:t xml:space="preserve"> 15 mg tablet, 84</w:t>
            </w:r>
          </w:p>
        </w:tc>
        <w:tc>
          <w:tcPr>
            <w:tcW w:w="1531" w:type="dxa"/>
            <w:tcBorders>
              <w:top w:val="single" w:sz="4" w:space="0" w:color="000000" w:themeColor="text1"/>
              <w:left w:val="nil"/>
              <w:bottom w:val="nil"/>
              <w:right w:val="nil"/>
            </w:tcBorders>
            <w:shd w:val="clear" w:color="auto" w:fill="FFFFFF" w:themeFill="background1"/>
          </w:tcPr>
          <w:p w:rsidR="00DD2A5A" w:rsidRPr="004C2D88" w:rsidRDefault="00DD2A5A" w:rsidP="00465BB6">
            <w:pPr>
              <w:pStyle w:val="TableLeft"/>
              <w:keepNext/>
              <w:jc w:val="center"/>
              <w:rPr>
                <w:rFonts w:ascii="Arial Narrow" w:hAnsi="Arial Narrow"/>
                <w:sz w:val="20"/>
                <w:szCs w:val="20"/>
                <w:lang w:val="en-AU"/>
              </w:rPr>
            </w:pPr>
          </w:p>
          <w:p w:rsidR="00DD2A5A" w:rsidRPr="004C2D88" w:rsidRDefault="00DD2A5A" w:rsidP="00465BB6">
            <w:pPr>
              <w:pStyle w:val="TableLeft"/>
              <w:keepNext/>
              <w:jc w:val="center"/>
              <w:rPr>
                <w:rFonts w:ascii="Arial Narrow" w:hAnsi="Arial Narrow"/>
                <w:sz w:val="20"/>
                <w:szCs w:val="20"/>
                <w:lang w:val="en-AU"/>
              </w:rPr>
            </w:pPr>
            <w:r w:rsidRPr="004C2D88">
              <w:rPr>
                <w:rFonts w:ascii="Arial Narrow" w:hAnsi="Arial Narrow"/>
                <w:sz w:val="20"/>
                <w:szCs w:val="20"/>
                <w:lang w:val="en-AU"/>
              </w:rPr>
              <w:t>2</w:t>
            </w:r>
          </w:p>
        </w:tc>
        <w:tc>
          <w:tcPr>
            <w:tcW w:w="992" w:type="dxa"/>
            <w:tcBorders>
              <w:top w:val="single" w:sz="4" w:space="0" w:color="000000" w:themeColor="text1"/>
              <w:left w:val="nil"/>
              <w:bottom w:val="nil"/>
              <w:right w:val="nil"/>
            </w:tcBorders>
            <w:shd w:val="clear" w:color="auto" w:fill="FFFFFF" w:themeFill="background1"/>
          </w:tcPr>
          <w:p w:rsidR="00DD2A5A" w:rsidRPr="004C2D88" w:rsidRDefault="00DD2A5A" w:rsidP="00465BB6">
            <w:pPr>
              <w:pStyle w:val="TableLeft"/>
              <w:keepNext/>
              <w:jc w:val="center"/>
              <w:rPr>
                <w:rFonts w:ascii="Arial Narrow" w:hAnsi="Arial Narrow"/>
                <w:sz w:val="20"/>
                <w:szCs w:val="20"/>
                <w:lang w:val="en-AU"/>
              </w:rPr>
            </w:pPr>
          </w:p>
          <w:p w:rsidR="00DD2A5A" w:rsidRPr="004C2D88" w:rsidRDefault="00DD2A5A" w:rsidP="00465BB6">
            <w:pPr>
              <w:pStyle w:val="TableLeft"/>
              <w:keepNext/>
              <w:jc w:val="center"/>
              <w:rPr>
                <w:rFonts w:ascii="Arial Narrow" w:hAnsi="Arial Narrow"/>
                <w:sz w:val="20"/>
                <w:szCs w:val="20"/>
                <w:lang w:val="en-AU"/>
              </w:rPr>
            </w:pPr>
            <w:r w:rsidRPr="004C2D88">
              <w:rPr>
                <w:rFonts w:ascii="Arial Narrow" w:hAnsi="Arial Narrow"/>
                <w:sz w:val="20"/>
                <w:szCs w:val="20"/>
                <w:lang w:val="en-AU"/>
              </w:rPr>
              <w:t>3</w:t>
            </w:r>
          </w:p>
        </w:tc>
        <w:tc>
          <w:tcPr>
            <w:tcW w:w="1418" w:type="dxa"/>
            <w:tcBorders>
              <w:top w:val="single" w:sz="4" w:space="0" w:color="000000" w:themeColor="text1"/>
              <w:left w:val="nil"/>
              <w:bottom w:val="nil"/>
              <w:right w:val="nil"/>
            </w:tcBorders>
            <w:shd w:val="clear" w:color="auto" w:fill="FFFFFF" w:themeFill="background1"/>
          </w:tcPr>
          <w:p w:rsidR="00DD2A5A" w:rsidRPr="004C2D88" w:rsidRDefault="00DD2A5A" w:rsidP="00465BB6">
            <w:pPr>
              <w:pStyle w:val="TableLeft"/>
              <w:keepNext/>
              <w:jc w:val="center"/>
              <w:rPr>
                <w:rFonts w:ascii="Arial Narrow" w:hAnsi="Arial Narrow"/>
                <w:sz w:val="20"/>
                <w:szCs w:val="20"/>
                <w:lang w:val="en-AU"/>
              </w:rPr>
            </w:pPr>
          </w:p>
          <w:p w:rsidR="00DD2A5A" w:rsidRPr="004C2D88" w:rsidRDefault="00DD2A5A" w:rsidP="00465BB6">
            <w:pPr>
              <w:pStyle w:val="TableLeft"/>
              <w:keepNext/>
              <w:jc w:val="center"/>
              <w:rPr>
                <w:rStyle w:val="SmallHighlight"/>
                <w:rFonts w:ascii="Arial Narrow" w:hAnsi="Arial Narrow"/>
                <w:lang w:val="en-AU"/>
              </w:rPr>
            </w:pPr>
            <w:r w:rsidRPr="004C2D88">
              <w:rPr>
                <w:rFonts w:ascii="Arial Narrow" w:hAnsi="Arial Narrow"/>
                <w:sz w:val="20"/>
                <w:szCs w:val="20"/>
                <w:lang w:val="en-AU"/>
              </w:rPr>
              <w:t>$ [TBD]</w:t>
            </w:r>
          </w:p>
        </w:tc>
        <w:tc>
          <w:tcPr>
            <w:tcW w:w="2409" w:type="dxa"/>
            <w:tcBorders>
              <w:top w:val="single" w:sz="4" w:space="0" w:color="000000" w:themeColor="text1"/>
              <w:left w:val="nil"/>
              <w:bottom w:val="nil"/>
              <w:right w:val="nil"/>
            </w:tcBorders>
            <w:shd w:val="clear" w:color="auto" w:fill="FFFFFF" w:themeFill="background1"/>
          </w:tcPr>
          <w:p w:rsidR="00DD2A5A" w:rsidRPr="004C2D88" w:rsidRDefault="00DD2A5A" w:rsidP="00465BB6">
            <w:pPr>
              <w:pStyle w:val="TableLeft"/>
              <w:keepNext/>
              <w:rPr>
                <w:rFonts w:ascii="Arial Narrow" w:hAnsi="Arial Narrow"/>
                <w:sz w:val="20"/>
                <w:szCs w:val="20"/>
                <w:lang w:val="en-AU"/>
              </w:rPr>
            </w:pPr>
          </w:p>
          <w:p w:rsidR="00DD2A5A" w:rsidRPr="004C2D88" w:rsidRDefault="00DD2A5A" w:rsidP="00465BB6">
            <w:pPr>
              <w:pStyle w:val="TableLeft"/>
              <w:keepNext/>
              <w:rPr>
                <w:rFonts w:ascii="Arial Narrow" w:hAnsi="Arial Narrow"/>
                <w:sz w:val="20"/>
                <w:szCs w:val="20"/>
                <w:lang w:val="en-AU"/>
              </w:rPr>
            </w:pPr>
            <w:r w:rsidRPr="004C2D88">
              <w:rPr>
                <w:rFonts w:ascii="Arial Narrow" w:hAnsi="Arial Narrow"/>
                <w:sz w:val="20"/>
                <w:szCs w:val="20"/>
                <w:lang w:val="en-AU"/>
              </w:rPr>
              <w:t>MEKTOVI</w:t>
            </w:r>
            <w:r w:rsidRPr="004C2D88">
              <w:rPr>
                <w:rFonts w:ascii="Arial Narrow" w:hAnsi="Arial Narrow"/>
                <w:sz w:val="20"/>
                <w:szCs w:val="20"/>
                <w:vertAlign w:val="superscript"/>
                <w:lang w:val="en-AU"/>
              </w:rPr>
              <w:t>®</w:t>
            </w:r>
            <w:r w:rsidRPr="004C2D88">
              <w:rPr>
                <w:rFonts w:ascii="Arial Narrow" w:hAnsi="Arial Narrow"/>
                <w:sz w:val="20"/>
                <w:szCs w:val="20"/>
                <w:lang w:val="en-AU"/>
              </w:rPr>
              <w:t>, Pierre Fabre</w:t>
            </w:r>
          </w:p>
        </w:tc>
      </w:tr>
      <w:tr w:rsidR="00DD2A5A" w:rsidRPr="004C2D88" w:rsidTr="005D6C6B">
        <w:tc>
          <w:tcPr>
            <w:tcW w:w="2736" w:type="dxa"/>
            <w:tcBorders>
              <w:top w:val="nil"/>
              <w:left w:val="nil"/>
              <w:bottom w:val="single" w:sz="4" w:space="0" w:color="000000" w:themeColor="text1"/>
              <w:right w:val="nil"/>
            </w:tcBorders>
            <w:shd w:val="clear" w:color="auto" w:fill="FFFFFF" w:themeFill="background1"/>
            <w:hideMark/>
          </w:tcPr>
          <w:p w:rsidR="00DD2A5A" w:rsidRPr="004C2D88" w:rsidRDefault="00DD2A5A" w:rsidP="00465BB6">
            <w:pPr>
              <w:pStyle w:val="TableLeft"/>
              <w:keepNext/>
              <w:rPr>
                <w:rStyle w:val="SmallItalics"/>
                <w:rFonts w:ascii="Arial Narrow" w:hAnsi="Arial Narrow"/>
                <w:i w:val="0"/>
                <w:lang w:val="en-AU"/>
              </w:rPr>
            </w:pPr>
            <w:r w:rsidRPr="004C2D88">
              <w:rPr>
                <w:rFonts w:ascii="Arial Narrow" w:hAnsi="Arial Narrow"/>
                <w:sz w:val="20"/>
                <w:szCs w:val="20"/>
                <w:lang w:val="en-AU"/>
              </w:rPr>
              <w:t>C</w:t>
            </w:r>
            <w:r w:rsidRPr="004C2D88">
              <w:rPr>
                <w:rStyle w:val="SmallItalics"/>
                <w:rFonts w:ascii="Arial Narrow" w:hAnsi="Arial Narrow"/>
                <w:i w:val="0"/>
                <w:szCs w:val="20"/>
                <w:lang w:val="en-AU"/>
              </w:rPr>
              <w:t>ontinuing treatment:</w:t>
            </w:r>
          </w:p>
          <w:p w:rsidR="00DD2A5A" w:rsidRPr="004C2D88" w:rsidRDefault="00DD2A5A" w:rsidP="00465BB6">
            <w:pPr>
              <w:pStyle w:val="TableLeft"/>
              <w:keepNext/>
              <w:rPr>
                <w:lang w:val="en-AU"/>
              </w:rPr>
            </w:pPr>
            <w:r w:rsidRPr="004C2D88">
              <w:rPr>
                <w:rFonts w:ascii="Arial Narrow" w:hAnsi="Arial Narrow"/>
                <w:sz w:val="20"/>
                <w:szCs w:val="20"/>
                <w:lang w:val="en-AU"/>
              </w:rPr>
              <w:t>BINIMETINIB</w:t>
            </w:r>
            <w:r w:rsidRPr="004C2D88">
              <w:rPr>
                <w:rStyle w:val="SmallItalics"/>
                <w:rFonts w:ascii="Arial Narrow" w:hAnsi="Arial Narrow"/>
                <w:i w:val="0"/>
                <w:szCs w:val="20"/>
                <w:lang w:val="en-AU"/>
              </w:rPr>
              <w:t xml:space="preserve"> 15 mg tablet, 84</w:t>
            </w:r>
          </w:p>
        </w:tc>
        <w:tc>
          <w:tcPr>
            <w:tcW w:w="1531" w:type="dxa"/>
            <w:tcBorders>
              <w:top w:val="nil"/>
              <w:left w:val="nil"/>
              <w:bottom w:val="single" w:sz="4" w:space="0" w:color="000000" w:themeColor="text1"/>
              <w:right w:val="nil"/>
            </w:tcBorders>
            <w:shd w:val="clear" w:color="auto" w:fill="FFFFFF" w:themeFill="background1"/>
          </w:tcPr>
          <w:p w:rsidR="00DD2A5A" w:rsidRPr="004C2D88" w:rsidRDefault="00DD2A5A" w:rsidP="00465BB6">
            <w:pPr>
              <w:pStyle w:val="TableLeft"/>
              <w:keepNext/>
              <w:jc w:val="center"/>
              <w:rPr>
                <w:rFonts w:ascii="Arial Narrow" w:hAnsi="Arial Narrow"/>
                <w:sz w:val="20"/>
                <w:szCs w:val="20"/>
                <w:lang w:val="en-AU"/>
              </w:rPr>
            </w:pPr>
          </w:p>
          <w:p w:rsidR="00DD2A5A" w:rsidRPr="004C2D88" w:rsidRDefault="00DD2A5A" w:rsidP="00465BB6">
            <w:pPr>
              <w:pStyle w:val="TableLeft"/>
              <w:keepNext/>
              <w:jc w:val="center"/>
              <w:rPr>
                <w:rFonts w:ascii="Arial Narrow" w:hAnsi="Arial Narrow"/>
                <w:sz w:val="20"/>
                <w:szCs w:val="20"/>
                <w:lang w:val="en-AU"/>
              </w:rPr>
            </w:pPr>
            <w:r w:rsidRPr="004C2D88">
              <w:rPr>
                <w:rFonts w:ascii="Arial Narrow" w:hAnsi="Arial Narrow"/>
                <w:sz w:val="20"/>
                <w:szCs w:val="20"/>
                <w:lang w:val="en-AU"/>
              </w:rPr>
              <w:t>2</w:t>
            </w:r>
          </w:p>
        </w:tc>
        <w:tc>
          <w:tcPr>
            <w:tcW w:w="992" w:type="dxa"/>
            <w:tcBorders>
              <w:top w:val="nil"/>
              <w:left w:val="nil"/>
              <w:bottom w:val="single" w:sz="4" w:space="0" w:color="000000" w:themeColor="text1"/>
              <w:right w:val="nil"/>
            </w:tcBorders>
            <w:shd w:val="clear" w:color="auto" w:fill="FFFFFF" w:themeFill="background1"/>
          </w:tcPr>
          <w:p w:rsidR="00DD2A5A" w:rsidRPr="004C2D88" w:rsidRDefault="00DD2A5A" w:rsidP="00465BB6">
            <w:pPr>
              <w:pStyle w:val="TableLeft"/>
              <w:keepNext/>
              <w:jc w:val="center"/>
              <w:rPr>
                <w:rFonts w:ascii="Arial Narrow" w:hAnsi="Arial Narrow"/>
                <w:sz w:val="20"/>
                <w:szCs w:val="20"/>
                <w:lang w:val="en-AU"/>
              </w:rPr>
            </w:pPr>
          </w:p>
          <w:p w:rsidR="00DD2A5A" w:rsidRPr="004C2D88" w:rsidRDefault="00DD2A5A" w:rsidP="00465BB6">
            <w:pPr>
              <w:pStyle w:val="TableLeft"/>
              <w:keepNext/>
              <w:jc w:val="center"/>
              <w:rPr>
                <w:rFonts w:ascii="Arial Narrow" w:hAnsi="Arial Narrow"/>
                <w:sz w:val="20"/>
                <w:szCs w:val="20"/>
                <w:lang w:val="en-AU"/>
              </w:rPr>
            </w:pPr>
            <w:r w:rsidRPr="004C2D88">
              <w:rPr>
                <w:rFonts w:ascii="Arial Narrow" w:hAnsi="Arial Narrow"/>
                <w:sz w:val="20"/>
                <w:szCs w:val="20"/>
                <w:lang w:val="en-AU"/>
              </w:rPr>
              <w:t>5</w:t>
            </w:r>
          </w:p>
        </w:tc>
        <w:tc>
          <w:tcPr>
            <w:tcW w:w="1418" w:type="dxa"/>
            <w:tcBorders>
              <w:top w:val="nil"/>
              <w:left w:val="nil"/>
              <w:bottom w:val="single" w:sz="4" w:space="0" w:color="000000" w:themeColor="text1"/>
              <w:right w:val="nil"/>
            </w:tcBorders>
            <w:shd w:val="clear" w:color="auto" w:fill="FFFFFF" w:themeFill="background1"/>
          </w:tcPr>
          <w:p w:rsidR="00DD2A5A" w:rsidRPr="004C2D88" w:rsidRDefault="00DD2A5A" w:rsidP="00465BB6">
            <w:pPr>
              <w:pStyle w:val="TableLeft"/>
              <w:keepNext/>
              <w:jc w:val="center"/>
              <w:rPr>
                <w:rFonts w:ascii="Arial Narrow" w:hAnsi="Arial Narrow"/>
                <w:sz w:val="20"/>
                <w:szCs w:val="20"/>
                <w:lang w:val="en-AU"/>
              </w:rPr>
            </w:pPr>
          </w:p>
          <w:p w:rsidR="00DD2A5A" w:rsidRPr="004C2D88" w:rsidRDefault="00DD2A5A" w:rsidP="00465BB6">
            <w:pPr>
              <w:pStyle w:val="TableLeft"/>
              <w:keepNext/>
              <w:jc w:val="center"/>
              <w:rPr>
                <w:rStyle w:val="SmallHighlight"/>
                <w:rFonts w:ascii="Arial Narrow" w:hAnsi="Arial Narrow"/>
                <w:lang w:val="en-AU"/>
              </w:rPr>
            </w:pPr>
            <w:r w:rsidRPr="004C2D88">
              <w:rPr>
                <w:rFonts w:ascii="Arial Narrow" w:hAnsi="Arial Narrow"/>
                <w:sz w:val="20"/>
                <w:szCs w:val="20"/>
                <w:lang w:val="en-AU"/>
              </w:rPr>
              <w:t>$ [TBD]</w:t>
            </w:r>
          </w:p>
        </w:tc>
        <w:tc>
          <w:tcPr>
            <w:tcW w:w="2409" w:type="dxa"/>
            <w:tcBorders>
              <w:top w:val="nil"/>
              <w:left w:val="nil"/>
              <w:bottom w:val="single" w:sz="4" w:space="0" w:color="000000" w:themeColor="text1"/>
              <w:right w:val="nil"/>
            </w:tcBorders>
            <w:shd w:val="clear" w:color="auto" w:fill="FFFFFF" w:themeFill="background1"/>
          </w:tcPr>
          <w:p w:rsidR="00DD2A5A" w:rsidRPr="004C2D88" w:rsidRDefault="00DD2A5A" w:rsidP="00465BB6">
            <w:pPr>
              <w:pStyle w:val="TableLeft"/>
              <w:keepNext/>
              <w:rPr>
                <w:rFonts w:ascii="Arial Narrow" w:hAnsi="Arial Narrow"/>
                <w:sz w:val="20"/>
                <w:szCs w:val="20"/>
                <w:lang w:val="en-AU"/>
              </w:rPr>
            </w:pPr>
          </w:p>
          <w:p w:rsidR="00DD2A5A" w:rsidRPr="004C2D88" w:rsidRDefault="00DD2A5A" w:rsidP="00465BB6">
            <w:pPr>
              <w:pStyle w:val="TableLeft"/>
              <w:keepNext/>
              <w:rPr>
                <w:rFonts w:ascii="Arial Narrow" w:hAnsi="Arial Narrow"/>
                <w:sz w:val="20"/>
                <w:szCs w:val="20"/>
                <w:lang w:val="en-AU"/>
              </w:rPr>
            </w:pPr>
            <w:r w:rsidRPr="004C2D88">
              <w:rPr>
                <w:rFonts w:ascii="Arial Narrow" w:hAnsi="Arial Narrow"/>
                <w:sz w:val="20"/>
                <w:szCs w:val="20"/>
                <w:lang w:val="en-AU"/>
              </w:rPr>
              <w:t>MEKTOVI</w:t>
            </w:r>
            <w:r w:rsidRPr="004C2D88">
              <w:rPr>
                <w:rFonts w:ascii="Arial Narrow" w:hAnsi="Arial Narrow"/>
                <w:sz w:val="20"/>
                <w:szCs w:val="20"/>
                <w:vertAlign w:val="superscript"/>
                <w:lang w:val="en-AU"/>
              </w:rPr>
              <w:t>®</w:t>
            </w:r>
            <w:r w:rsidRPr="004C2D88">
              <w:rPr>
                <w:rFonts w:ascii="Arial Narrow" w:hAnsi="Arial Narrow"/>
                <w:sz w:val="20"/>
                <w:szCs w:val="20"/>
                <w:lang w:val="en-AU"/>
              </w:rPr>
              <w:t>, Pierre Fabre</w:t>
            </w:r>
          </w:p>
        </w:tc>
      </w:tr>
    </w:tbl>
    <w:p w:rsidR="00390833" w:rsidRPr="004C2D88" w:rsidRDefault="00390833" w:rsidP="00465BB6">
      <w:pPr>
        <w:keepNext/>
        <w:widowControl/>
        <w:rPr>
          <w:rFonts w:ascii="Arial Narrow" w:hAnsi="Arial Narrow"/>
          <w:sz w:val="18"/>
          <w:szCs w:val="18"/>
        </w:rPr>
      </w:pPr>
      <w:r w:rsidRPr="004C2D88">
        <w:rPr>
          <w:rFonts w:ascii="Arial Narrow" w:hAnsi="Arial Narrow"/>
          <w:sz w:val="18"/>
          <w:szCs w:val="18"/>
        </w:rPr>
        <w:t>$[TBD] = price to be decided, price related to proposed special price arrangement</w:t>
      </w:r>
    </w:p>
    <w:p w:rsidR="009535ED" w:rsidRPr="004C2D88" w:rsidRDefault="009535ED" w:rsidP="00465BB6">
      <w:pPr>
        <w:widowControl/>
        <w:rPr>
          <w:sz w:val="18"/>
          <w:szCs w:val="18"/>
        </w:rPr>
      </w:pPr>
    </w:p>
    <w:tbl>
      <w:tblPr>
        <w:tblW w:w="9072" w:type="dxa"/>
        <w:tblInd w:w="108" w:type="dxa"/>
        <w:tblLayout w:type="fixed"/>
        <w:tblLook w:val="04A0" w:firstRow="1" w:lastRow="0" w:firstColumn="1" w:lastColumn="0" w:noHBand="0" w:noVBand="1"/>
      </w:tblPr>
      <w:tblGrid>
        <w:gridCol w:w="1701"/>
        <w:gridCol w:w="7371"/>
      </w:tblGrid>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Category / Program</w:t>
            </w:r>
          </w:p>
        </w:tc>
        <w:tc>
          <w:tcPr>
            <w:tcW w:w="737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sz w:val="18"/>
                <w:szCs w:val="18"/>
              </w:rPr>
              <w:t>General Schedule</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Prescriber type:</w:t>
            </w:r>
          </w:p>
        </w:tc>
        <w:tc>
          <w:tcPr>
            <w:tcW w:w="737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sz w:val="18"/>
                <w:szCs w:val="18"/>
              </w:rPr>
              <w:fldChar w:fldCharType="begin">
                <w:ffData>
                  <w:name w:val="Check1"/>
                  <w:enabled/>
                  <w:calcOnExit w:val="0"/>
                  <w:checkBox>
                    <w:sizeAuto/>
                    <w:default w:val="0"/>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 xml:space="preserve">Dental  </w:t>
            </w:r>
            <w:r w:rsidRPr="004C2D88">
              <w:rPr>
                <w:sz w:val="18"/>
                <w:szCs w:val="18"/>
              </w:rPr>
              <w:fldChar w:fldCharType="begin">
                <w:ffData>
                  <w:name w:val=""/>
                  <w:enabled/>
                  <w:calcOnExit w:val="0"/>
                  <w:checkBox>
                    <w:sizeAuto/>
                    <w:default w:val="1"/>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 xml:space="preserve">Medical Practitioners  </w:t>
            </w:r>
            <w:r w:rsidRPr="004C2D88">
              <w:rPr>
                <w:sz w:val="18"/>
                <w:szCs w:val="18"/>
              </w:rPr>
              <w:fldChar w:fldCharType="begin">
                <w:ffData>
                  <w:name w:val="Check3"/>
                  <w:enabled/>
                  <w:calcOnExit w:val="0"/>
                  <w:checkBox>
                    <w:sizeAuto/>
                    <w:default w:val="0"/>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 xml:space="preserve">Nurse practitioners  </w:t>
            </w:r>
            <w:r w:rsidRPr="004C2D88">
              <w:rPr>
                <w:sz w:val="18"/>
                <w:szCs w:val="18"/>
              </w:rPr>
              <w:fldChar w:fldCharType="begin">
                <w:ffData>
                  <w:name w:val=""/>
                  <w:enabled/>
                  <w:calcOnExit w:val="0"/>
                  <w:checkBox>
                    <w:sizeAuto/>
                    <w:default w:val="0"/>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 xml:space="preserve">Optometrists </w:t>
            </w:r>
            <w:r w:rsidRPr="004C2D88">
              <w:rPr>
                <w:sz w:val="18"/>
                <w:szCs w:val="18"/>
              </w:rPr>
              <w:fldChar w:fldCharType="begin">
                <w:ffData>
                  <w:name w:val="Check5"/>
                  <w:enabled/>
                  <w:calcOnExit w:val="0"/>
                  <w:checkBox>
                    <w:sizeAuto/>
                    <w:default w:val="0"/>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Midwives</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Severity:</w:t>
            </w:r>
          </w:p>
        </w:tc>
        <w:tc>
          <w:tcPr>
            <w:tcW w:w="737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sz w:val="18"/>
                <w:szCs w:val="18"/>
              </w:rPr>
              <w:t>Unresectable Stage III or Stage IV</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Condition:</w:t>
            </w:r>
          </w:p>
        </w:tc>
        <w:tc>
          <w:tcPr>
            <w:tcW w:w="737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sz w:val="18"/>
                <w:szCs w:val="18"/>
              </w:rPr>
              <w:t>Malignant melanoma</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PBS Indication:</w:t>
            </w:r>
          </w:p>
        </w:tc>
        <w:tc>
          <w:tcPr>
            <w:tcW w:w="737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sz w:val="18"/>
                <w:szCs w:val="18"/>
              </w:rPr>
              <w:t>Unresectable Stage III or Stage IV malignant melanoma</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b/>
                <w:sz w:val="18"/>
                <w:szCs w:val="18"/>
              </w:rPr>
              <w:t>Treatment phase:</w:t>
            </w:r>
          </w:p>
        </w:tc>
        <w:tc>
          <w:tcPr>
            <w:tcW w:w="737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i/>
                <w:sz w:val="18"/>
                <w:szCs w:val="18"/>
              </w:rPr>
            </w:pPr>
            <w:r w:rsidRPr="004C2D88">
              <w:rPr>
                <w:sz w:val="18"/>
                <w:szCs w:val="18"/>
              </w:rPr>
              <w:t>Initial</w:t>
            </w:r>
            <w:r w:rsidR="00C5749E" w:rsidRPr="004C2D88">
              <w:rPr>
                <w:sz w:val="18"/>
                <w:szCs w:val="18"/>
              </w:rPr>
              <w:t xml:space="preserve"> </w:t>
            </w:r>
            <w:r w:rsidR="00C5749E" w:rsidRPr="004C2D88">
              <w:rPr>
                <w:i/>
                <w:sz w:val="18"/>
                <w:szCs w:val="18"/>
              </w:rPr>
              <w:t>treatment</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BE46AE" w:rsidP="00465BB6">
            <w:pPr>
              <w:pStyle w:val="Tabletext"/>
              <w:rPr>
                <w:b/>
                <w:sz w:val="18"/>
                <w:szCs w:val="18"/>
              </w:rPr>
            </w:pPr>
            <w:r w:rsidRPr="004C2D88">
              <w:rPr>
                <w:b/>
                <w:sz w:val="18"/>
                <w:szCs w:val="18"/>
              </w:rPr>
              <w:t>Restriction:</w:t>
            </w:r>
          </w:p>
        </w:tc>
        <w:tc>
          <w:tcPr>
            <w:tcW w:w="737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sz w:val="18"/>
                <w:szCs w:val="18"/>
              </w:rPr>
              <w:fldChar w:fldCharType="begin">
                <w:ffData>
                  <w:name w:val=""/>
                  <w:enabled/>
                  <w:calcOnExit w:val="0"/>
                  <w:checkBox>
                    <w:sizeAuto/>
                    <w:default w:val="1"/>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Streamlined</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Clinical criteria:</w:t>
            </w:r>
          </w:p>
          <w:p w:rsidR="00390833" w:rsidRPr="004C2D88" w:rsidRDefault="00390833" w:rsidP="00465BB6">
            <w:pPr>
              <w:pStyle w:val="Tabletext"/>
              <w:rPr>
                <w:i/>
                <w:sz w:val="18"/>
                <w:szCs w:val="18"/>
              </w:rPr>
            </w:pPr>
          </w:p>
        </w:tc>
        <w:tc>
          <w:tcPr>
            <w:tcW w:w="7371" w:type="dxa"/>
            <w:tcBorders>
              <w:top w:val="single" w:sz="4" w:space="0" w:color="auto"/>
              <w:left w:val="single" w:sz="4" w:space="0" w:color="auto"/>
              <w:bottom w:val="single" w:sz="4" w:space="0" w:color="auto"/>
              <w:right w:val="single" w:sz="4" w:space="0" w:color="auto"/>
            </w:tcBorders>
          </w:tcPr>
          <w:p w:rsidR="00390833" w:rsidRPr="004C2D88" w:rsidRDefault="00390833" w:rsidP="00465BB6">
            <w:pPr>
              <w:pStyle w:val="Tabletext"/>
              <w:rPr>
                <w:rFonts w:cs="Arial"/>
                <w:sz w:val="18"/>
                <w:szCs w:val="18"/>
              </w:rPr>
            </w:pPr>
            <w:r w:rsidRPr="004C2D88">
              <w:rPr>
                <w:rFonts w:cs="Arial"/>
                <w:sz w:val="18"/>
                <w:szCs w:val="18"/>
              </w:rPr>
              <w:t>Patient must be receiving PBS-subsidised encorafenib concomitantly for this condition;</w:t>
            </w:r>
          </w:p>
          <w:p w:rsidR="00390833" w:rsidRPr="004C2D88" w:rsidRDefault="00390833" w:rsidP="00465BB6">
            <w:pPr>
              <w:pStyle w:val="Tabletext"/>
              <w:rPr>
                <w:rFonts w:cs="Arial"/>
                <w:sz w:val="18"/>
                <w:szCs w:val="18"/>
              </w:rPr>
            </w:pPr>
            <w:r w:rsidRPr="004C2D88">
              <w:rPr>
                <w:rFonts w:cs="Arial"/>
                <w:sz w:val="18"/>
                <w:szCs w:val="18"/>
              </w:rPr>
              <w:t>AND</w:t>
            </w:r>
          </w:p>
          <w:p w:rsidR="00390833" w:rsidRPr="004C2D88" w:rsidRDefault="00390833" w:rsidP="00465BB6">
            <w:pPr>
              <w:pStyle w:val="Tabletext"/>
              <w:rPr>
                <w:rFonts w:cs="Arial"/>
                <w:sz w:val="18"/>
                <w:szCs w:val="18"/>
              </w:rPr>
            </w:pPr>
            <w:r w:rsidRPr="004C2D88">
              <w:rPr>
                <w:rFonts w:cs="Arial"/>
                <w:sz w:val="18"/>
                <w:szCs w:val="18"/>
              </w:rPr>
              <w:t>Patient must not have had progressive disease when treated with a BRAF inhibitor.</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Administrative Advice:</w:t>
            </w:r>
          </w:p>
        </w:tc>
        <w:tc>
          <w:tcPr>
            <w:tcW w:w="7371" w:type="dxa"/>
            <w:tcBorders>
              <w:top w:val="single" w:sz="4" w:space="0" w:color="auto"/>
              <w:left w:val="single" w:sz="4" w:space="0" w:color="auto"/>
              <w:bottom w:val="single" w:sz="4" w:space="0" w:color="auto"/>
              <w:right w:val="single" w:sz="4" w:space="0" w:color="auto"/>
            </w:tcBorders>
          </w:tcPr>
          <w:p w:rsidR="00390833" w:rsidRPr="004C2D88" w:rsidRDefault="00390833" w:rsidP="00465BB6">
            <w:pPr>
              <w:pStyle w:val="Tabletext"/>
              <w:rPr>
                <w:sz w:val="18"/>
                <w:szCs w:val="18"/>
              </w:rPr>
            </w:pPr>
            <w:r w:rsidRPr="004C2D88">
              <w:rPr>
                <w:sz w:val="18"/>
                <w:szCs w:val="18"/>
              </w:rPr>
              <w:t xml:space="preserve">No increase in the maximum quantity or number of units may be authorised. </w:t>
            </w:r>
          </w:p>
          <w:p w:rsidR="00390833" w:rsidRPr="004C2D88" w:rsidRDefault="00390833" w:rsidP="00465BB6">
            <w:pPr>
              <w:pStyle w:val="Tabletext"/>
              <w:rPr>
                <w:sz w:val="18"/>
                <w:szCs w:val="18"/>
              </w:rPr>
            </w:pPr>
          </w:p>
          <w:p w:rsidR="00390833" w:rsidRPr="004C2D88" w:rsidRDefault="00390833" w:rsidP="00465BB6">
            <w:pPr>
              <w:pStyle w:val="Tabletext"/>
              <w:rPr>
                <w:sz w:val="18"/>
                <w:szCs w:val="18"/>
              </w:rPr>
            </w:pPr>
            <w:r w:rsidRPr="004C2D88">
              <w:rPr>
                <w:sz w:val="18"/>
                <w:szCs w:val="18"/>
              </w:rPr>
              <w:t xml:space="preserve">No increase in the maximum number of repeats may be authorised. </w:t>
            </w:r>
          </w:p>
          <w:p w:rsidR="00390833" w:rsidRPr="004C2D88" w:rsidRDefault="00390833" w:rsidP="00465BB6">
            <w:pPr>
              <w:pStyle w:val="Tabletext"/>
              <w:rPr>
                <w:sz w:val="18"/>
                <w:szCs w:val="18"/>
              </w:rPr>
            </w:pPr>
          </w:p>
          <w:p w:rsidR="00390833" w:rsidRPr="004C2D88" w:rsidRDefault="00390833" w:rsidP="00465BB6">
            <w:pPr>
              <w:pStyle w:val="Tabletext"/>
              <w:rPr>
                <w:sz w:val="18"/>
                <w:szCs w:val="18"/>
              </w:rPr>
            </w:pPr>
            <w:r w:rsidRPr="004C2D88">
              <w:rPr>
                <w:sz w:val="18"/>
                <w:szCs w:val="18"/>
              </w:rPr>
              <w:t>Special Pricing Arrangements apply</w:t>
            </w:r>
          </w:p>
        </w:tc>
      </w:tr>
      <w:tr w:rsidR="00390833" w:rsidRPr="004C2D88" w:rsidTr="005D6C6B">
        <w:trPr>
          <w:cantSplit/>
        </w:trPr>
        <w:tc>
          <w:tcPr>
            <w:tcW w:w="1701" w:type="dxa"/>
            <w:tcBorders>
              <w:top w:val="single" w:sz="4" w:space="0" w:color="auto"/>
              <w:left w:val="nil"/>
              <w:bottom w:val="single" w:sz="4" w:space="0" w:color="auto"/>
              <w:right w:val="nil"/>
            </w:tcBorders>
          </w:tcPr>
          <w:p w:rsidR="00390833" w:rsidRPr="004C2D88" w:rsidRDefault="00390833" w:rsidP="00465BB6">
            <w:pPr>
              <w:pStyle w:val="Tabletext"/>
              <w:rPr>
                <w:b/>
                <w:sz w:val="18"/>
                <w:szCs w:val="18"/>
              </w:rPr>
            </w:pPr>
          </w:p>
        </w:tc>
        <w:tc>
          <w:tcPr>
            <w:tcW w:w="7371" w:type="dxa"/>
            <w:tcBorders>
              <w:top w:val="single" w:sz="4" w:space="0" w:color="auto"/>
              <w:left w:val="nil"/>
              <w:bottom w:val="single" w:sz="4" w:space="0" w:color="auto"/>
              <w:right w:val="nil"/>
            </w:tcBorders>
          </w:tcPr>
          <w:p w:rsidR="00390833" w:rsidRPr="004C2D88" w:rsidRDefault="00390833" w:rsidP="00465BB6">
            <w:pPr>
              <w:pStyle w:val="Tabletext"/>
              <w:rPr>
                <w:sz w:val="18"/>
                <w:szCs w:val="18"/>
              </w:rPr>
            </w:pP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b/>
                <w:sz w:val="18"/>
                <w:szCs w:val="18"/>
              </w:rPr>
              <w:t>Treatment phase:</w:t>
            </w:r>
          </w:p>
        </w:tc>
        <w:tc>
          <w:tcPr>
            <w:tcW w:w="737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i/>
                <w:sz w:val="18"/>
                <w:szCs w:val="18"/>
              </w:rPr>
            </w:pPr>
            <w:r w:rsidRPr="004C2D88">
              <w:rPr>
                <w:sz w:val="18"/>
                <w:szCs w:val="18"/>
              </w:rPr>
              <w:t>Continuing</w:t>
            </w:r>
            <w:r w:rsidR="00C5749E" w:rsidRPr="004C2D88">
              <w:rPr>
                <w:sz w:val="18"/>
                <w:szCs w:val="18"/>
              </w:rPr>
              <w:t xml:space="preserve"> </w:t>
            </w:r>
            <w:r w:rsidR="00C5749E" w:rsidRPr="004C2D88">
              <w:rPr>
                <w:i/>
                <w:sz w:val="18"/>
                <w:szCs w:val="18"/>
              </w:rPr>
              <w:t>treatment</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BE46AE" w:rsidP="00465BB6">
            <w:pPr>
              <w:pStyle w:val="Tabletext"/>
              <w:rPr>
                <w:b/>
                <w:sz w:val="18"/>
                <w:szCs w:val="18"/>
              </w:rPr>
            </w:pPr>
            <w:r w:rsidRPr="004C2D88">
              <w:rPr>
                <w:b/>
                <w:sz w:val="18"/>
                <w:szCs w:val="18"/>
              </w:rPr>
              <w:t>Restriction:</w:t>
            </w:r>
          </w:p>
        </w:tc>
        <w:tc>
          <w:tcPr>
            <w:tcW w:w="737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sz w:val="18"/>
                <w:szCs w:val="18"/>
              </w:rPr>
            </w:pPr>
            <w:r w:rsidRPr="004C2D88">
              <w:rPr>
                <w:sz w:val="18"/>
                <w:szCs w:val="18"/>
              </w:rPr>
              <w:fldChar w:fldCharType="begin">
                <w:ffData>
                  <w:name w:val=""/>
                  <w:enabled/>
                  <w:calcOnExit w:val="0"/>
                  <w:checkBox>
                    <w:sizeAuto/>
                    <w:default w:val="1"/>
                  </w:checkBox>
                </w:ffData>
              </w:fldChar>
            </w:r>
            <w:r w:rsidRPr="004C2D88">
              <w:rPr>
                <w:sz w:val="18"/>
                <w:szCs w:val="18"/>
              </w:rPr>
              <w:instrText xml:space="preserve"> FORMCHECKBOX </w:instrText>
            </w:r>
            <w:r w:rsidR="007D0A9E">
              <w:rPr>
                <w:sz w:val="18"/>
                <w:szCs w:val="18"/>
              </w:rPr>
            </w:r>
            <w:r w:rsidR="007D0A9E">
              <w:rPr>
                <w:sz w:val="18"/>
                <w:szCs w:val="18"/>
              </w:rPr>
              <w:fldChar w:fldCharType="separate"/>
            </w:r>
            <w:r w:rsidRPr="004C2D88">
              <w:rPr>
                <w:sz w:val="18"/>
                <w:szCs w:val="18"/>
              </w:rPr>
              <w:fldChar w:fldCharType="end"/>
            </w:r>
            <w:r w:rsidRPr="004C2D88">
              <w:rPr>
                <w:sz w:val="18"/>
                <w:szCs w:val="18"/>
              </w:rPr>
              <w:t>Streamlined</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Clinical criteria:</w:t>
            </w:r>
          </w:p>
          <w:p w:rsidR="00390833" w:rsidRPr="004C2D88" w:rsidRDefault="00390833" w:rsidP="00465BB6">
            <w:pPr>
              <w:pStyle w:val="Tabletext"/>
              <w:rPr>
                <w:i/>
                <w:sz w:val="18"/>
                <w:szCs w:val="18"/>
              </w:rPr>
            </w:pPr>
          </w:p>
        </w:tc>
        <w:tc>
          <w:tcPr>
            <w:tcW w:w="7371" w:type="dxa"/>
            <w:tcBorders>
              <w:top w:val="single" w:sz="4" w:space="0" w:color="auto"/>
              <w:left w:val="single" w:sz="4" w:space="0" w:color="auto"/>
              <w:bottom w:val="single" w:sz="4" w:space="0" w:color="auto"/>
              <w:right w:val="single" w:sz="4" w:space="0" w:color="auto"/>
            </w:tcBorders>
          </w:tcPr>
          <w:p w:rsidR="00390833" w:rsidRPr="004C2D88" w:rsidRDefault="00390833" w:rsidP="00465BB6">
            <w:pPr>
              <w:pStyle w:val="Tabletext"/>
              <w:rPr>
                <w:rFonts w:cs="Arial"/>
                <w:sz w:val="18"/>
                <w:szCs w:val="18"/>
              </w:rPr>
            </w:pPr>
            <w:r w:rsidRPr="004C2D88">
              <w:rPr>
                <w:rFonts w:cs="Arial"/>
                <w:sz w:val="18"/>
                <w:szCs w:val="18"/>
              </w:rPr>
              <w:t>Patient must have previously been issued with an authority prescription for this drug,</w:t>
            </w:r>
          </w:p>
          <w:p w:rsidR="00390833" w:rsidRPr="004C2D88" w:rsidRDefault="00390833" w:rsidP="00465BB6">
            <w:pPr>
              <w:pStyle w:val="Tabletext"/>
              <w:rPr>
                <w:rFonts w:cs="Arial"/>
                <w:sz w:val="18"/>
                <w:szCs w:val="18"/>
              </w:rPr>
            </w:pPr>
            <w:r w:rsidRPr="004C2D88">
              <w:rPr>
                <w:rFonts w:cs="Arial"/>
                <w:sz w:val="18"/>
                <w:szCs w:val="18"/>
              </w:rPr>
              <w:t>AND</w:t>
            </w:r>
          </w:p>
          <w:p w:rsidR="00390833" w:rsidRPr="004C2D88" w:rsidRDefault="00390833" w:rsidP="00465BB6">
            <w:pPr>
              <w:pStyle w:val="Tabletext"/>
              <w:rPr>
                <w:rFonts w:cs="Arial"/>
                <w:sz w:val="18"/>
                <w:szCs w:val="18"/>
              </w:rPr>
            </w:pPr>
            <w:r w:rsidRPr="004C2D88">
              <w:rPr>
                <w:rFonts w:cs="Arial"/>
                <w:sz w:val="18"/>
                <w:szCs w:val="18"/>
              </w:rPr>
              <w:t>Patient must be receiving PBS-subsidised encorafenib concomitantly for this condition,</w:t>
            </w:r>
          </w:p>
          <w:p w:rsidR="00390833" w:rsidRPr="004C2D88" w:rsidRDefault="00390833" w:rsidP="00465BB6">
            <w:pPr>
              <w:pStyle w:val="Tabletext"/>
              <w:rPr>
                <w:rFonts w:cs="Arial"/>
                <w:sz w:val="18"/>
                <w:szCs w:val="18"/>
              </w:rPr>
            </w:pPr>
            <w:r w:rsidRPr="004C2D88">
              <w:rPr>
                <w:rFonts w:cs="Arial"/>
                <w:sz w:val="18"/>
                <w:szCs w:val="18"/>
              </w:rPr>
              <w:t>AND</w:t>
            </w:r>
          </w:p>
          <w:p w:rsidR="00390833" w:rsidRPr="004C2D88" w:rsidRDefault="00390833" w:rsidP="00465BB6">
            <w:pPr>
              <w:pStyle w:val="Tabletext"/>
              <w:rPr>
                <w:rFonts w:cs="Arial"/>
                <w:sz w:val="18"/>
                <w:szCs w:val="18"/>
              </w:rPr>
            </w:pPr>
            <w:r w:rsidRPr="004C2D88">
              <w:rPr>
                <w:rFonts w:cs="Arial"/>
                <w:sz w:val="18"/>
                <w:szCs w:val="18"/>
              </w:rPr>
              <w:t>Patient must have stable or responding disease</w:t>
            </w:r>
          </w:p>
        </w:tc>
      </w:tr>
      <w:tr w:rsidR="00390833" w:rsidRPr="004C2D88" w:rsidTr="005D6C6B">
        <w:trPr>
          <w:cantSplit/>
        </w:trPr>
        <w:tc>
          <w:tcPr>
            <w:tcW w:w="1701" w:type="dxa"/>
            <w:tcBorders>
              <w:top w:val="single" w:sz="4" w:space="0" w:color="auto"/>
              <w:left w:val="single" w:sz="4" w:space="0" w:color="auto"/>
              <w:bottom w:val="single" w:sz="4" w:space="0" w:color="auto"/>
              <w:right w:val="single" w:sz="4" w:space="0" w:color="auto"/>
            </w:tcBorders>
            <w:hideMark/>
          </w:tcPr>
          <w:p w:rsidR="00390833" w:rsidRPr="004C2D88" w:rsidRDefault="00390833" w:rsidP="00465BB6">
            <w:pPr>
              <w:pStyle w:val="Tabletext"/>
              <w:rPr>
                <w:b/>
                <w:sz w:val="18"/>
                <w:szCs w:val="18"/>
              </w:rPr>
            </w:pPr>
            <w:r w:rsidRPr="004C2D88">
              <w:rPr>
                <w:b/>
                <w:sz w:val="18"/>
                <w:szCs w:val="18"/>
              </w:rPr>
              <w:t>Administrative Advice:</w:t>
            </w:r>
          </w:p>
        </w:tc>
        <w:tc>
          <w:tcPr>
            <w:tcW w:w="7371" w:type="dxa"/>
            <w:tcBorders>
              <w:top w:val="single" w:sz="4" w:space="0" w:color="auto"/>
              <w:left w:val="single" w:sz="4" w:space="0" w:color="auto"/>
              <w:bottom w:val="single" w:sz="4" w:space="0" w:color="auto"/>
              <w:right w:val="single" w:sz="4" w:space="0" w:color="auto"/>
            </w:tcBorders>
          </w:tcPr>
          <w:p w:rsidR="00390833" w:rsidRPr="004C2D88" w:rsidRDefault="00390833" w:rsidP="00465BB6">
            <w:pPr>
              <w:pStyle w:val="Tabletext"/>
              <w:rPr>
                <w:sz w:val="18"/>
                <w:szCs w:val="18"/>
              </w:rPr>
            </w:pPr>
            <w:r w:rsidRPr="004C2D88">
              <w:rPr>
                <w:sz w:val="18"/>
                <w:szCs w:val="18"/>
              </w:rPr>
              <w:t>A patient who has had progressive disease when treated with this drug is no longer eligible for PBS subsidised treatment with this drug.</w:t>
            </w:r>
          </w:p>
          <w:p w:rsidR="00390833" w:rsidRPr="004C2D88" w:rsidRDefault="00390833" w:rsidP="00465BB6">
            <w:pPr>
              <w:pStyle w:val="Tabletext"/>
              <w:rPr>
                <w:sz w:val="18"/>
                <w:szCs w:val="18"/>
              </w:rPr>
            </w:pPr>
          </w:p>
          <w:p w:rsidR="00390833" w:rsidRPr="004C2D88" w:rsidRDefault="00390833" w:rsidP="00465BB6">
            <w:pPr>
              <w:pStyle w:val="Tabletext"/>
              <w:rPr>
                <w:sz w:val="18"/>
                <w:szCs w:val="18"/>
              </w:rPr>
            </w:pPr>
            <w:r w:rsidRPr="004C2D88">
              <w:rPr>
                <w:sz w:val="18"/>
                <w:szCs w:val="18"/>
              </w:rPr>
              <w:t xml:space="preserve">No increase in the maximum quantity or number of units may be authorised. </w:t>
            </w:r>
          </w:p>
          <w:p w:rsidR="00390833" w:rsidRPr="004C2D88" w:rsidRDefault="00390833" w:rsidP="00465BB6">
            <w:pPr>
              <w:pStyle w:val="Tabletext"/>
              <w:rPr>
                <w:sz w:val="18"/>
                <w:szCs w:val="18"/>
              </w:rPr>
            </w:pPr>
          </w:p>
          <w:p w:rsidR="00390833" w:rsidRPr="004C2D88" w:rsidRDefault="00390833" w:rsidP="00465BB6">
            <w:pPr>
              <w:pStyle w:val="Tabletext"/>
              <w:rPr>
                <w:sz w:val="18"/>
                <w:szCs w:val="18"/>
              </w:rPr>
            </w:pPr>
            <w:r w:rsidRPr="004C2D88">
              <w:rPr>
                <w:sz w:val="18"/>
                <w:szCs w:val="18"/>
              </w:rPr>
              <w:t xml:space="preserve">No increase in the maximum number of repeats may be authorised. </w:t>
            </w:r>
          </w:p>
          <w:p w:rsidR="00390833" w:rsidRPr="004C2D88" w:rsidRDefault="00390833" w:rsidP="00465BB6">
            <w:pPr>
              <w:pStyle w:val="Tabletext"/>
              <w:rPr>
                <w:sz w:val="18"/>
                <w:szCs w:val="18"/>
              </w:rPr>
            </w:pPr>
          </w:p>
          <w:p w:rsidR="00390833" w:rsidRPr="004C2D88" w:rsidRDefault="00390833" w:rsidP="00465BB6">
            <w:pPr>
              <w:pStyle w:val="Tabletext"/>
              <w:rPr>
                <w:sz w:val="18"/>
                <w:szCs w:val="18"/>
              </w:rPr>
            </w:pPr>
            <w:r w:rsidRPr="004C2D88">
              <w:rPr>
                <w:sz w:val="18"/>
                <w:szCs w:val="18"/>
              </w:rPr>
              <w:t>Special Pricing Arrangements apply</w:t>
            </w:r>
          </w:p>
        </w:tc>
      </w:tr>
    </w:tbl>
    <w:p w:rsidR="00390833" w:rsidRPr="004C2D88" w:rsidRDefault="00390833" w:rsidP="00465BB6">
      <w:pPr>
        <w:widowControl/>
        <w:rPr>
          <w:sz w:val="20"/>
          <w:szCs w:val="20"/>
        </w:rPr>
      </w:pPr>
    </w:p>
    <w:p w:rsidR="00390833" w:rsidRPr="004C2D88" w:rsidRDefault="00390833" w:rsidP="00D073C6">
      <w:pPr>
        <w:pStyle w:val="ListParagraph"/>
        <w:widowControl/>
        <w:numPr>
          <w:ilvl w:val="1"/>
          <w:numId w:val="4"/>
        </w:numPr>
        <w:snapToGrid w:val="0"/>
      </w:pPr>
      <w:r w:rsidRPr="004C2D88">
        <w:t xml:space="preserve">It </w:t>
      </w:r>
      <w:r w:rsidR="004173D2" w:rsidRPr="004C2D88">
        <w:t>wa</w:t>
      </w:r>
      <w:r w:rsidRPr="004C2D88">
        <w:t xml:space="preserve">s noted </w:t>
      </w:r>
      <w:r w:rsidR="004173D2" w:rsidRPr="004C2D88">
        <w:t xml:space="preserve">in the submission </w:t>
      </w:r>
      <w:r w:rsidR="00611C10" w:rsidRPr="004C2D88">
        <w:t>that a S</w:t>
      </w:r>
      <w:r w:rsidRPr="004C2D88">
        <w:t xml:space="preserve">pecial </w:t>
      </w:r>
      <w:r w:rsidR="00611C10" w:rsidRPr="004C2D88">
        <w:t>P</w:t>
      </w:r>
      <w:r w:rsidRPr="004C2D88">
        <w:t xml:space="preserve">ricing </w:t>
      </w:r>
      <w:r w:rsidR="00611C10" w:rsidRPr="004C2D88">
        <w:t>Arrangement (SPA) and a R</w:t>
      </w:r>
      <w:r w:rsidRPr="004C2D88">
        <w:t xml:space="preserve">isk </w:t>
      </w:r>
      <w:r w:rsidR="00611C10" w:rsidRPr="004C2D88">
        <w:t>S</w:t>
      </w:r>
      <w:r w:rsidRPr="004C2D88">
        <w:t xml:space="preserve">haring </w:t>
      </w:r>
      <w:r w:rsidR="00611C10" w:rsidRPr="004C2D88">
        <w:t>A</w:t>
      </w:r>
      <w:r w:rsidRPr="004C2D88">
        <w:t>rrangement (RSA) are currently in place for the comparators</w:t>
      </w:r>
      <w:r w:rsidR="00334B53" w:rsidRPr="004C2D88">
        <w:t xml:space="preserve"> (</w:t>
      </w:r>
      <w:r w:rsidRPr="004C2D88">
        <w:t>dabrafenib+trametinib and vemurafenib+cobimetinib</w:t>
      </w:r>
      <w:r w:rsidR="00334B53" w:rsidRPr="004C2D88">
        <w:t>)</w:t>
      </w:r>
      <w:r w:rsidRPr="004C2D88">
        <w:t xml:space="preserve">. The submission’s cost-minimisation analysis was based on the published price of these targeted combination therapies. The </w:t>
      </w:r>
      <w:r w:rsidR="00FC58CC" w:rsidRPr="004C2D88">
        <w:t>submission stated that</w:t>
      </w:r>
      <w:r w:rsidRPr="004C2D88">
        <w:t xml:space="preserve"> the effective price will be made available post a positive PBAC recommendation.</w:t>
      </w:r>
    </w:p>
    <w:p w:rsidR="00390833" w:rsidRPr="004C2D88" w:rsidRDefault="00390833" w:rsidP="00D073C6">
      <w:pPr>
        <w:pStyle w:val="ListParagraph"/>
        <w:widowControl/>
        <w:numPr>
          <w:ilvl w:val="1"/>
          <w:numId w:val="4"/>
        </w:numPr>
        <w:snapToGrid w:val="0"/>
      </w:pPr>
      <w:r w:rsidRPr="004C2D88">
        <w:t>The proposed listing was for patients with WHO 0-2 status</w:t>
      </w:r>
      <w:r w:rsidR="00487104" w:rsidRPr="004C2D88">
        <w:t>, which was consistent with the comparator restrictions</w:t>
      </w:r>
      <w:r w:rsidRPr="004C2D88">
        <w:t>. However, the clinical evidence for the proposed combination only include</w:t>
      </w:r>
      <w:r w:rsidR="004173D2" w:rsidRPr="004C2D88">
        <w:t>d</w:t>
      </w:r>
      <w:r w:rsidRPr="004C2D88">
        <w:t xml:space="preserve"> patients with </w:t>
      </w:r>
      <w:r w:rsidR="00E9562D" w:rsidRPr="004C2D88">
        <w:t xml:space="preserve">Eastern Cooperative Oncology Group (ECOG) performance status of </w:t>
      </w:r>
      <w:r w:rsidRPr="004C2D88">
        <w:t>0-1.</w:t>
      </w:r>
      <w:r w:rsidR="00703CD2" w:rsidRPr="004C2D88">
        <w:t xml:space="preserve"> The PBAC considered a WHO 0-2 status was appropriate</w:t>
      </w:r>
      <w:r w:rsidR="00315CD0" w:rsidRPr="004C2D88">
        <w:t xml:space="preserve"> for inclusion in the initiation restriction</w:t>
      </w:r>
      <w:r w:rsidR="00703CD2" w:rsidRPr="004C2D88">
        <w:t>.</w:t>
      </w:r>
    </w:p>
    <w:p w:rsidR="00390833" w:rsidRPr="004C2D88" w:rsidRDefault="00390833" w:rsidP="00D073C6">
      <w:pPr>
        <w:pStyle w:val="ListParagraph"/>
        <w:widowControl/>
        <w:numPr>
          <w:ilvl w:val="1"/>
          <w:numId w:val="4"/>
        </w:numPr>
        <w:snapToGrid w:val="0"/>
      </w:pPr>
      <w:r w:rsidRPr="004C2D88">
        <w:lastRenderedPageBreak/>
        <w:t xml:space="preserve">The proposed listing allowed patients with non-cutaneous melanoma (that is, melanoma of non-skin sites such as mucosa) to be treated. The key trial COLUMBUS recruited patients </w:t>
      </w:r>
      <w:r w:rsidR="003D1E96" w:rsidRPr="004C2D88">
        <w:t>with cutaneous melanoma or melanoma of unknown origin</w:t>
      </w:r>
      <w:r w:rsidRPr="004C2D88">
        <w:t xml:space="preserve">. </w:t>
      </w:r>
    </w:p>
    <w:p w:rsidR="002610C7" w:rsidRPr="004C2D88" w:rsidRDefault="002610C7" w:rsidP="002610C7">
      <w:pPr>
        <w:ind w:firstLine="720"/>
        <w:rPr>
          <w:i/>
        </w:rPr>
      </w:pPr>
      <w:r w:rsidRPr="004C2D88">
        <w:rPr>
          <w:i/>
        </w:rPr>
        <w:t>For more details on the PBAC’s view, see Section 7 PBAC outcome.</w:t>
      </w:r>
    </w:p>
    <w:p w:rsidR="002610C7" w:rsidRPr="004C2D88" w:rsidRDefault="002610C7" w:rsidP="002610C7">
      <w:pPr>
        <w:ind w:firstLine="720"/>
        <w:rPr>
          <w:i/>
        </w:rPr>
      </w:pPr>
    </w:p>
    <w:p w:rsidR="00390833" w:rsidRPr="004C2D88" w:rsidRDefault="00390833" w:rsidP="00465BB6">
      <w:pPr>
        <w:pStyle w:val="Heading1"/>
      </w:pPr>
      <w:bookmarkStart w:id="4" w:name="_Toc371170701"/>
      <w:bookmarkStart w:id="5" w:name="_Toc524515805"/>
      <w:r w:rsidRPr="004C2D88">
        <w:t>Background</w:t>
      </w:r>
      <w:bookmarkEnd w:id="4"/>
      <w:bookmarkEnd w:id="5"/>
    </w:p>
    <w:p w:rsidR="00390833" w:rsidRPr="004C2D88" w:rsidRDefault="00390833" w:rsidP="00465BB6">
      <w:pPr>
        <w:pStyle w:val="Heading2"/>
        <w:widowControl/>
      </w:pPr>
      <w:bookmarkStart w:id="6" w:name="_Toc524515806"/>
      <w:r w:rsidRPr="004C2D88">
        <w:t>Registration status</w:t>
      </w:r>
      <w:bookmarkEnd w:id="6"/>
    </w:p>
    <w:p w:rsidR="00B32892" w:rsidRPr="004C2D88" w:rsidRDefault="00B32892" w:rsidP="00D073C6">
      <w:pPr>
        <w:pStyle w:val="ListParagraph"/>
        <w:widowControl/>
        <w:numPr>
          <w:ilvl w:val="1"/>
          <w:numId w:val="4"/>
        </w:numPr>
        <w:snapToGrid w:val="0"/>
      </w:pPr>
      <w:r w:rsidRPr="004C2D88">
        <w:t>TGA status a</w:t>
      </w:r>
      <w:r w:rsidR="00D549DB" w:rsidRPr="004C2D88">
        <w:t>t</w:t>
      </w:r>
      <w:r w:rsidRPr="004C2D88">
        <w:t xml:space="preserve"> time of </w:t>
      </w:r>
      <w:r w:rsidR="004816AD" w:rsidRPr="004C2D88">
        <w:t>PBAC consideration</w:t>
      </w:r>
      <w:r w:rsidRPr="004C2D88">
        <w:t xml:space="preserve">: </w:t>
      </w:r>
      <w:r w:rsidR="006866D6" w:rsidRPr="004C2D88">
        <w:t>Encorafenib+binimetinib remains under evaluation by the TGA.</w:t>
      </w:r>
    </w:p>
    <w:p w:rsidR="00035F71" w:rsidRPr="004C2D88" w:rsidRDefault="00390833" w:rsidP="00C26D32">
      <w:pPr>
        <w:pStyle w:val="ListParagraph"/>
        <w:widowControl/>
        <w:numPr>
          <w:ilvl w:val="1"/>
          <w:numId w:val="4"/>
        </w:numPr>
        <w:snapToGrid w:val="0"/>
      </w:pPr>
      <w:r w:rsidRPr="004C2D88">
        <w:t xml:space="preserve">The submission was made under TGA/PBAC Parallel Process.  </w:t>
      </w:r>
      <w:r w:rsidR="00C26D32" w:rsidRPr="004C2D88">
        <w:t>The TGA delegate’s overview was available at the time of PBAC for consideration. The overview indicated that consideration a</w:t>
      </w:r>
      <w:r w:rsidR="00703CD2" w:rsidRPr="004C2D88">
        <w:t>t the ACPM meeting in O</w:t>
      </w:r>
      <w:r w:rsidR="004816AD" w:rsidRPr="004C2D88">
        <w:t>c</w:t>
      </w:r>
      <w:r w:rsidR="00703CD2" w:rsidRPr="004C2D88">
        <w:t>tober</w:t>
      </w:r>
      <w:r w:rsidR="00C26D32" w:rsidRPr="004C2D88">
        <w:t xml:space="preserve"> 2018 was not required to register </w:t>
      </w:r>
      <w:r w:rsidR="00703CD2" w:rsidRPr="004C2D88">
        <w:t>e</w:t>
      </w:r>
      <w:r w:rsidR="00C26D32" w:rsidRPr="004C2D88">
        <w:t>ncorafenib+binimetinib.</w:t>
      </w:r>
    </w:p>
    <w:p w:rsidR="00390833" w:rsidRPr="004C2D88" w:rsidRDefault="00035F71" w:rsidP="00D073C6">
      <w:pPr>
        <w:pStyle w:val="ListParagraph"/>
        <w:widowControl/>
        <w:numPr>
          <w:ilvl w:val="1"/>
          <w:numId w:val="4"/>
        </w:numPr>
        <w:snapToGrid w:val="0"/>
      </w:pPr>
      <w:r w:rsidRPr="004C2D88">
        <w:t xml:space="preserve">The </w:t>
      </w:r>
      <w:r w:rsidR="00390833" w:rsidRPr="004C2D88">
        <w:t xml:space="preserve"> </w:t>
      </w:r>
      <w:r w:rsidRPr="004C2D88">
        <w:t xml:space="preserve">indication sought for both </w:t>
      </w:r>
      <w:r w:rsidR="005D6C6B" w:rsidRPr="004C2D88">
        <w:t>encorafenib and binimetinib</w:t>
      </w:r>
      <w:r w:rsidRPr="004C2D88">
        <w:t xml:space="preserve"> is:</w:t>
      </w:r>
    </w:p>
    <w:p w:rsidR="00035F71" w:rsidRPr="004C2D88" w:rsidRDefault="00035F71" w:rsidP="00465BB6">
      <w:pPr>
        <w:pStyle w:val="ListParagraph"/>
        <w:widowControl/>
        <w:snapToGrid w:val="0"/>
      </w:pPr>
      <w:r w:rsidRPr="004C2D88">
        <w:t>“Encorafenib in combination with binimetinib for the treatment of adult patients with unresectable or metastatic melanoma with a BRAF V600 mutation.”</w:t>
      </w:r>
    </w:p>
    <w:p w:rsidR="00390833" w:rsidRPr="004C2D88" w:rsidRDefault="00390833" w:rsidP="00465BB6">
      <w:pPr>
        <w:pStyle w:val="Heading2"/>
        <w:widowControl/>
      </w:pPr>
      <w:bookmarkStart w:id="7" w:name="_Toc524515807"/>
      <w:r w:rsidRPr="004C2D88">
        <w:t>Previous PBAC consideration</w:t>
      </w:r>
      <w:bookmarkEnd w:id="7"/>
    </w:p>
    <w:p w:rsidR="00390833" w:rsidRPr="004C2D88" w:rsidRDefault="00390833" w:rsidP="00D073C6">
      <w:pPr>
        <w:pStyle w:val="ListParagraph"/>
        <w:widowControl/>
        <w:numPr>
          <w:ilvl w:val="1"/>
          <w:numId w:val="4"/>
        </w:numPr>
        <w:snapToGrid w:val="0"/>
      </w:pPr>
      <w:r w:rsidRPr="004C2D88">
        <w:t>There have been no previous submissions for either encorafenib or binimetinib.</w:t>
      </w:r>
    </w:p>
    <w:p w:rsidR="0005310F" w:rsidRPr="004C2D88" w:rsidRDefault="0005310F" w:rsidP="00D073C6">
      <w:pPr>
        <w:pStyle w:val="ListParagraph"/>
        <w:widowControl/>
        <w:numPr>
          <w:ilvl w:val="1"/>
          <w:numId w:val="4"/>
        </w:numPr>
        <w:snapToGrid w:val="0"/>
      </w:pPr>
      <w:r w:rsidRPr="004C2D88">
        <w:t>Dabrafenib was recommended for listing on the PBS in July 2013. The combination of dabrafenib+trametinib was recommended in November 2014. The combination of vemurafenib</w:t>
      </w:r>
      <w:r w:rsidR="004C2007" w:rsidRPr="004C2D88">
        <w:t>+</w:t>
      </w:r>
      <w:r w:rsidRPr="004C2D88">
        <w:t xml:space="preserve">cobimetinib </w:t>
      </w:r>
      <w:r w:rsidR="00713E70" w:rsidRPr="004C2D88">
        <w:t xml:space="preserve">was </w:t>
      </w:r>
      <w:r w:rsidR="004C2007" w:rsidRPr="004C2D88">
        <w:t xml:space="preserve">considered to be non-inferior to dabrafenib+trametinib </w:t>
      </w:r>
      <w:r w:rsidR="00713E70" w:rsidRPr="004C2D88">
        <w:t xml:space="preserve">by the PBAC </w:t>
      </w:r>
      <w:r w:rsidRPr="004C2D88">
        <w:t>in March 2016.</w:t>
      </w:r>
    </w:p>
    <w:p w:rsidR="002610C7" w:rsidRPr="004C2D88" w:rsidRDefault="002610C7" w:rsidP="002610C7">
      <w:pPr>
        <w:widowControl/>
        <w:snapToGrid w:val="0"/>
      </w:pPr>
    </w:p>
    <w:p w:rsidR="00390833" w:rsidRPr="004C2D88" w:rsidRDefault="00390833" w:rsidP="00465BB6">
      <w:pPr>
        <w:pStyle w:val="Heading1"/>
      </w:pPr>
      <w:bookmarkStart w:id="8" w:name="_Toc371170702"/>
      <w:bookmarkStart w:id="9" w:name="_Toc524515808"/>
      <w:r w:rsidRPr="004C2D88">
        <w:t>Population and disease</w:t>
      </w:r>
      <w:bookmarkEnd w:id="8"/>
      <w:bookmarkEnd w:id="9"/>
    </w:p>
    <w:p w:rsidR="00390833" w:rsidRPr="004C2D88" w:rsidRDefault="00390833" w:rsidP="00D073C6">
      <w:pPr>
        <w:pStyle w:val="ListParagraph"/>
        <w:widowControl/>
        <w:numPr>
          <w:ilvl w:val="1"/>
          <w:numId w:val="4"/>
        </w:numPr>
        <w:snapToGrid w:val="0"/>
      </w:pPr>
      <w:r w:rsidRPr="004C2D88">
        <w:t xml:space="preserve">Melanoma is the third </w:t>
      </w:r>
      <w:r w:rsidR="003B455F" w:rsidRPr="004C2D88">
        <w:t>most common cancer in Australia</w:t>
      </w:r>
      <w:r w:rsidRPr="004C2D88">
        <w:t xml:space="preserve">. </w:t>
      </w:r>
      <w:r w:rsidRPr="004C2D88">
        <w:rPr>
          <w:color w:val="000000" w:themeColor="text1"/>
        </w:rPr>
        <w:t>Advanced melanoma</w:t>
      </w:r>
      <w:r w:rsidRPr="004C2D88">
        <w:rPr>
          <w:i/>
          <w:color w:val="000000" w:themeColor="text1"/>
          <w:shd w:val="clear" w:color="auto" w:fill="FFFFFF"/>
        </w:rPr>
        <w:t xml:space="preserve"> </w:t>
      </w:r>
      <w:r w:rsidRPr="004C2D88">
        <w:rPr>
          <w:color w:val="000000" w:themeColor="text1"/>
          <w:shd w:val="clear" w:color="auto" w:fill="FFFFFF"/>
        </w:rPr>
        <w:t xml:space="preserve">has a median survival of around </w:t>
      </w:r>
      <w:r w:rsidR="00BA638F" w:rsidRPr="004C2D88">
        <w:rPr>
          <w:color w:val="000000" w:themeColor="text1"/>
          <w:shd w:val="clear" w:color="auto" w:fill="FFFFFF"/>
        </w:rPr>
        <w:t>six to nine</w:t>
      </w:r>
      <w:r w:rsidRPr="004C2D88">
        <w:rPr>
          <w:color w:val="000000" w:themeColor="text1"/>
          <w:shd w:val="clear" w:color="auto" w:fill="FFFFFF"/>
        </w:rPr>
        <w:t xml:space="preserve"> months</w:t>
      </w:r>
      <w:r w:rsidRPr="004C2D88">
        <w:rPr>
          <w:rStyle w:val="FootnoteReference"/>
          <w:color w:val="000000" w:themeColor="text1"/>
          <w:shd w:val="clear" w:color="auto" w:fill="FFFFFF"/>
        </w:rPr>
        <w:footnoteReference w:id="1"/>
      </w:r>
      <w:r w:rsidRPr="004C2D88">
        <w:rPr>
          <w:color w:val="222222"/>
          <w:shd w:val="clear" w:color="auto" w:fill="FFFFFF"/>
        </w:rPr>
        <w:t>.</w:t>
      </w:r>
      <w:r w:rsidRPr="004C2D88">
        <w:rPr>
          <w:rFonts w:ascii="Arial" w:hAnsi="Arial"/>
          <w:color w:val="222222"/>
          <w:sz w:val="20"/>
          <w:szCs w:val="20"/>
          <w:shd w:val="clear" w:color="auto" w:fill="FFFFFF"/>
        </w:rPr>
        <w:t xml:space="preserve"> </w:t>
      </w:r>
      <w:r w:rsidRPr="004C2D88">
        <w:rPr>
          <w:color w:val="000000"/>
        </w:rPr>
        <w:t>In 2015, there were 1,520 deaths attributed to melanoma of the skin</w:t>
      </w:r>
      <w:r w:rsidR="003B455F" w:rsidRPr="004C2D88">
        <w:rPr>
          <w:rStyle w:val="FootnoteReference"/>
          <w:color w:val="000000"/>
        </w:rPr>
        <w:footnoteReference w:id="2"/>
      </w:r>
      <w:r w:rsidRPr="004C2D88">
        <w:rPr>
          <w:color w:val="000000"/>
        </w:rPr>
        <w:t>. The most common mutation identified for metastatic melanoma is BRAF V600, occurring in between 40 to 60 percent of cases</w:t>
      </w:r>
      <w:r w:rsidR="00C51359" w:rsidRPr="004C2D88">
        <w:rPr>
          <w:rStyle w:val="FootnoteReference"/>
          <w:color w:val="000000"/>
        </w:rPr>
        <w:footnoteReference w:id="3"/>
      </w:r>
      <w:r w:rsidR="00C51359" w:rsidRPr="004C2D88">
        <w:rPr>
          <w:color w:val="000000"/>
        </w:rPr>
        <w:t>.</w:t>
      </w:r>
    </w:p>
    <w:p w:rsidR="00390833" w:rsidRPr="004C2D88" w:rsidRDefault="00390833" w:rsidP="00D073C6">
      <w:pPr>
        <w:pStyle w:val="ListParagraph"/>
        <w:widowControl/>
        <w:numPr>
          <w:ilvl w:val="1"/>
          <w:numId w:val="4"/>
        </w:numPr>
        <w:snapToGrid w:val="0"/>
      </w:pPr>
      <w:r w:rsidRPr="004C2D88">
        <w:t>BRAF/MEK inhibitor</w:t>
      </w:r>
      <w:r w:rsidR="006055D2" w:rsidRPr="004C2D88">
        <w:t>s are</w:t>
      </w:r>
      <w:r w:rsidRPr="004C2D88">
        <w:t xml:space="preserve"> currently the standard first-line treatment for unresectable </w:t>
      </w:r>
      <w:r w:rsidR="00035F71" w:rsidRPr="004C2D88">
        <w:t>S</w:t>
      </w:r>
      <w:r w:rsidRPr="004C2D88">
        <w:t xml:space="preserve">tage III or Stage IV malignant melanoma patients who have positive BRAF V600 </w:t>
      </w:r>
      <w:r w:rsidRPr="004C2D88">
        <w:lastRenderedPageBreak/>
        <w:t xml:space="preserve">mutations. The currently PBS-listed BRAF/MEK inhibitors are dabrafenib+trametinib and vemurafenib+cobimetinib. The submission requested encorafenib+binimetinib as an alternative to existing listed treatments. The proposed listing is the same as for the other two combinations, and would offer a third option for first line treatment of patients with unresectable </w:t>
      </w:r>
      <w:r w:rsidR="00035F71" w:rsidRPr="004C2D88">
        <w:t>S</w:t>
      </w:r>
      <w:r w:rsidRPr="004C2D88">
        <w:t xml:space="preserve">tage III or </w:t>
      </w:r>
      <w:r w:rsidR="00035F71" w:rsidRPr="004C2D88">
        <w:t>S</w:t>
      </w:r>
      <w:r w:rsidRPr="004C2D88">
        <w:t xml:space="preserve">tage IV (metastatic) BRAF V600 mutation positive melanoma. </w:t>
      </w:r>
    </w:p>
    <w:p w:rsidR="00390833" w:rsidRPr="004C2D88" w:rsidRDefault="00390833" w:rsidP="00D073C6">
      <w:pPr>
        <w:pStyle w:val="ListParagraph"/>
        <w:widowControl/>
        <w:numPr>
          <w:ilvl w:val="1"/>
          <w:numId w:val="4"/>
        </w:numPr>
        <w:snapToGrid w:val="0"/>
      </w:pPr>
      <w:r w:rsidRPr="004C2D88">
        <w:t xml:space="preserve">The </w:t>
      </w:r>
      <w:r w:rsidR="00906FEB" w:rsidRPr="004C2D88">
        <w:t>submission did not propose</w:t>
      </w:r>
      <w:r w:rsidRPr="004C2D88">
        <w:t xml:space="preserve"> monotherapy for the BRAF inhibitor (encorafenib).  In comparison, the current PBS listings permit monotherapy with the BRAF inhibitors vemurafenib and dabrafenib. The current place in therapy for BRAF inhibitors has moved away from monotherapy in favour of use in combination with a MEK inhibitor according to current </w:t>
      </w:r>
      <w:r w:rsidR="00C33D8F" w:rsidRPr="004C2D88">
        <w:t xml:space="preserve">Australian </w:t>
      </w:r>
      <w:r w:rsidRPr="004C2D88">
        <w:t>melanoma guidelines</w:t>
      </w:r>
      <w:r w:rsidR="00B217D7" w:rsidRPr="004C2D88">
        <w:rPr>
          <w:rStyle w:val="FootnoteReference"/>
        </w:rPr>
        <w:footnoteReference w:id="4"/>
      </w:r>
      <w:r w:rsidRPr="004C2D88">
        <w:t xml:space="preserve">.  </w:t>
      </w:r>
    </w:p>
    <w:p w:rsidR="002610C7" w:rsidRPr="004C2D88" w:rsidRDefault="002610C7" w:rsidP="002610C7">
      <w:pPr>
        <w:ind w:firstLine="720"/>
        <w:rPr>
          <w:i/>
        </w:rPr>
      </w:pPr>
      <w:r w:rsidRPr="004C2D88">
        <w:rPr>
          <w:i/>
        </w:rPr>
        <w:t>For more details on the PBAC’s view, see Section 7 PBAC outcome.</w:t>
      </w:r>
    </w:p>
    <w:p w:rsidR="002610C7" w:rsidRPr="004C2D88" w:rsidRDefault="002610C7" w:rsidP="002610C7">
      <w:pPr>
        <w:widowControl/>
        <w:snapToGrid w:val="0"/>
      </w:pPr>
    </w:p>
    <w:p w:rsidR="00390833" w:rsidRPr="004C2D88" w:rsidRDefault="00390833" w:rsidP="00465BB6">
      <w:pPr>
        <w:pStyle w:val="Heading1"/>
      </w:pPr>
      <w:bookmarkStart w:id="10" w:name="_Toc371170703"/>
      <w:bookmarkStart w:id="11" w:name="_Toc524515809"/>
      <w:r w:rsidRPr="004C2D88">
        <w:t>Comparator</w:t>
      </w:r>
      <w:bookmarkEnd w:id="10"/>
      <w:bookmarkEnd w:id="11"/>
    </w:p>
    <w:p w:rsidR="00035F71" w:rsidRPr="004C2D88" w:rsidRDefault="00390833" w:rsidP="00D073C6">
      <w:pPr>
        <w:pStyle w:val="ListParagraph"/>
        <w:widowControl/>
        <w:numPr>
          <w:ilvl w:val="1"/>
          <w:numId w:val="4"/>
        </w:numPr>
        <w:snapToGrid w:val="0"/>
      </w:pPr>
      <w:r w:rsidRPr="004C2D88">
        <w:rPr>
          <w:rFonts w:cs="Calibri"/>
          <w:szCs w:val="24"/>
          <w:lang w:eastAsia="en-AU"/>
        </w:rPr>
        <w:t>The submission nominated PBS-listed combination</w:t>
      </w:r>
      <w:r w:rsidR="00035F71" w:rsidRPr="004C2D88">
        <w:rPr>
          <w:rFonts w:cs="Calibri"/>
          <w:szCs w:val="24"/>
          <w:lang w:eastAsia="en-AU"/>
        </w:rPr>
        <w:t>s</w:t>
      </w:r>
      <w:r w:rsidRPr="004C2D88">
        <w:rPr>
          <w:rFonts w:cs="Calibri"/>
          <w:szCs w:val="24"/>
          <w:lang w:eastAsia="en-AU"/>
        </w:rPr>
        <w:t xml:space="preserve"> of BRAF/MEK inhibitors as the comparators</w:t>
      </w:r>
      <w:r w:rsidR="00D50317" w:rsidRPr="004C2D88">
        <w:rPr>
          <w:rFonts w:cs="Calibri"/>
          <w:szCs w:val="24"/>
          <w:lang w:eastAsia="en-AU"/>
        </w:rPr>
        <w:t>:</w:t>
      </w:r>
      <w:r w:rsidRPr="004C2D88">
        <w:rPr>
          <w:rFonts w:cs="Calibri"/>
          <w:szCs w:val="24"/>
          <w:lang w:eastAsia="en-AU"/>
        </w:rPr>
        <w:t xml:space="preserve"> </w:t>
      </w:r>
    </w:p>
    <w:p w:rsidR="00035F71" w:rsidRPr="004C2D88" w:rsidRDefault="00035F71" w:rsidP="00D073C6">
      <w:pPr>
        <w:pStyle w:val="ListParagraph"/>
        <w:widowControl/>
        <w:numPr>
          <w:ilvl w:val="1"/>
          <w:numId w:val="16"/>
        </w:numPr>
        <w:snapToGrid w:val="0"/>
        <w:ind w:left="1077" w:hanging="357"/>
      </w:pPr>
      <w:r w:rsidRPr="004C2D88">
        <w:rPr>
          <w:rFonts w:cs="Calibri"/>
          <w:szCs w:val="24"/>
          <w:lang w:eastAsia="en-AU"/>
        </w:rPr>
        <w:t>dabrafenib+trametinib was nominated as the primary comparator; and</w:t>
      </w:r>
    </w:p>
    <w:p w:rsidR="00035F71" w:rsidRPr="004C2D88" w:rsidRDefault="00035F71" w:rsidP="00D073C6">
      <w:pPr>
        <w:pStyle w:val="ListParagraph"/>
        <w:widowControl/>
        <w:numPr>
          <w:ilvl w:val="1"/>
          <w:numId w:val="16"/>
        </w:numPr>
        <w:snapToGrid w:val="0"/>
        <w:ind w:left="1077" w:hanging="357"/>
      </w:pPr>
      <w:r w:rsidRPr="004C2D88">
        <w:rPr>
          <w:rFonts w:cs="Calibri"/>
          <w:szCs w:val="24"/>
          <w:lang w:eastAsia="en-AU"/>
        </w:rPr>
        <w:t xml:space="preserve"> vemurafenib+cobimetinib was nominated as a secondary comparator. </w:t>
      </w:r>
    </w:p>
    <w:p w:rsidR="00035F71" w:rsidRPr="004C2D88" w:rsidRDefault="00D45E0B" w:rsidP="00D073C6">
      <w:pPr>
        <w:pStyle w:val="ListParagraph"/>
        <w:widowControl/>
        <w:numPr>
          <w:ilvl w:val="1"/>
          <w:numId w:val="4"/>
        </w:numPr>
        <w:snapToGrid w:val="0"/>
      </w:pPr>
      <w:r w:rsidRPr="004C2D88">
        <w:t xml:space="preserve">The ESC considered </w:t>
      </w:r>
      <w:r w:rsidR="004C2007" w:rsidRPr="004C2D88">
        <w:t xml:space="preserve">that </w:t>
      </w:r>
      <w:r w:rsidRPr="004C2D88">
        <w:t xml:space="preserve">the </w:t>
      </w:r>
      <w:r w:rsidR="0005310F" w:rsidRPr="004C2D88">
        <w:t xml:space="preserve">nominated </w:t>
      </w:r>
      <w:r w:rsidRPr="004C2D88">
        <w:t>comparators were appropriate.</w:t>
      </w:r>
      <w:r w:rsidR="00C26D32" w:rsidRPr="004C2D88">
        <w:t xml:space="preserve"> </w:t>
      </w:r>
    </w:p>
    <w:p w:rsidR="002610C7" w:rsidRPr="004C2D88" w:rsidRDefault="002610C7" w:rsidP="002610C7">
      <w:pPr>
        <w:ind w:firstLine="720"/>
        <w:rPr>
          <w:i/>
        </w:rPr>
      </w:pPr>
      <w:r w:rsidRPr="004C2D88">
        <w:rPr>
          <w:i/>
        </w:rPr>
        <w:t>For more details on the PBAC’s view, see Section 7 PBAC outcome.</w:t>
      </w:r>
    </w:p>
    <w:p w:rsidR="002610C7" w:rsidRPr="004C2D88" w:rsidRDefault="002610C7" w:rsidP="002610C7">
      <w:pPr>
        <w:widowControl/>
        <w:snapToGrid w:val="0"/>
      </w:pPr>
    </w:p>
    <w:p w:rsidR="00390833" w:rsidRPr="004C2D88" w:rsidRDefault="00390833" w:rsidP="00465BB6">
      <w:pPr>
        <w:pStyle w:val="Heading1"/>
      </w:pPr>
      <w:bookmarkStart w:id="12" w:name="_Toc371170704"/>
      <w:bookmarkStart w:id="13" w:name="_Toc524515810"/>
      <w:r w:rsidRPr="004C2D88">
        <w:t>Consideration of the evidence</w:t>
      </w:r>
      <w:bookmarkEnd w:id="12"/>
      <w:bookmarkEnd w:id="13"/>
    </w:p>
    <w:p w:rsidR="004E21CE" w:rsidRPr="004C2D88" w:rsidRDefault="004E21CE" w:rsidP="007059FD">
      <w:pPr>
        <w:pStyle w:val="Heading2"/>
      </w:pPr>
      <w:bookmarkStart w:id="14" w:name="_Toc371170705"/>
      <w:bookmarkStart w:id="15" w:name="_Toc524515811"/>
      <w:r w:rsidRPr="004C2D88">
        <w:t>Sponsor hearing</w:t>
      </w:r>
    </w:p>
    <w:p w:rsidR="004E21CE" w:rsidRPr="004C2D88" w:rsidRDefault="004E21CE" w:rsidP="004E21CE">
      <w:pPr>
        <w:numPr>
          <w:ilvl w:val="1"/>
          <w:numId w:val="1"/>
        </w:numPr>
        <w:spacing w:after="120"/>
        <w:rPr>
          <w:rFonts w:asciiTheme="minorHAnsi" w:hAnsiTheme="minorHAnsi"/>
          <w:bCs/>
        </w:rPr>
      </w:pPr>
      <w:r w:rsidRPr="004C2D88">
        <w:rPr>
          <w:rFonts w:asciiTheme="minorHAnsi" w:hAnsiTheme="minorHAnsi"/>
          <w:bCs/>
        </w:rPr>
        <w:t>The</w:t>
      </w:r>
      <w:r w:rsidR="0019482A" w:rsidRPr="004C2D88">
        <w:rPr>
          <w:rFonts w:asciiTheme="minorHAnsi" w:hAnsiTheme="minorHAnsi"/>
          <w:bCs/>
        </w:rPr>
        <w:t>re was no hearing for this item</w:t>
      </w:r>
      <w:r w:rsidRPr="004C2D88">
        <w:rPr>
          <w:rFonts w:asciiTheme="minorHAnsi" w:hAnsiTheme="minorHAnsi"/>
          <w:bCs/>
        </w:rPr>
        <w:t>.</w:t>
      </w:r>
    </w:p>
    <w:p w:rsidR="004E21CE" w:rsidRPr="004C2D88" w:rsidRDefault="004E21CE" w:rsidP="007059FD">
      <w:pPr>
        <w:pStyle w:val="Heading2"/>
      </w:pPr>
      <w:r w:rsidRPr="004C2D88">
        <w:t>Consumer comments</w:t>
      </w:r>
    </w:p>
    <w:p w:rsidR="004E21CE" w:rsidRPr="004C2D88" w:rsidRDefault="004E21CE" w:rsidP="004E21CE">
      <w:pPr>
        <w:numPr>
          <w:ilvl w:val="1"/>
          <w:numId w:val="1"/>
        </w:numPr>
        <w:spacing w:after="120"/>
        <w:rPr>
          <w:rFonts w:asciiTheme="minorHAnsi" w:hAnsiTheme="minorHAnsi"/>
          <w:bCs/>
        </w:rPr>
      </w:pPr>
      <w:r w:rsidRPr="004C2D88">
        <w:rPr>
          <w:rFonts w:asciiTheme="minorHAnsi" w:hAnsiTheme="minorHAnsi"/>
          <w:bCs/>
        </w:rPr>
        <w:t>The PBAC noted and welcom</w:t>
      </w:r>
      <w:r w:rsidR="00907D34" w:rsidRPr="004C2D88">
        <w:rPr>
          <w:rFonts w:asciiTheme="minorHAnsi" w:hAnsiTheme="minorHAnsi"/>
          <w:bCs/>
        </w:rPr>
        <w:t>ed the input from individuals (6), health care professionals (6) and organisations (</w:t>
      </w:r>
      <w:r w:rsidR="00BA638F" w:rsidRPr="004C2D88">
        <w:rPr>
          <w:rFonts w:asciiTheme="minorHAnsi" w:hAnsiTheme="minorHAnsi"/>
          <w:bCs/>
        </w:rPr>
        <w:t>3</w:t>
      </w:r>
      <w:r w:rsidRPr="004C2D88">
        <w:rPr>
          <w:rFonts w:asciiTheme="minorHAnsi" w:hAnsiTheme="minorHAnsi"/>
          <w:bCs/>
        </w:rPr>
        <w:t xml:space="preserve">) via the Consumer Comments facility on the PBS website.  The </w:t>
      </w:r>
      <w:r w:rsidR="00C31C84" w:rsidRPr="004C2D88">
        <w:rPr>
          <w:rFonts w:asciiTheme="minorHAnsi" w:hAnsiTheme="minorHAnsi"/>
          <w:bCs/>
        </w:rPr>
        <w:t xml:space="preserve">consumer </w:t>
      </w:r>
      <w:r w:rsidRPr="004C2D88">
        <w:rPr>
          <w:rFonts w:asciiTheme="minorHAnsi" w:hAnsiTheme="minorHAnsi"/>
          <w:bCs/>
        </w:rPr>
        <w:t xml:space="preserve">comments described a range of benefits of treatment with </w:t>
      </w:r>
      <w:r w:rsidR="00907D34" w:rsidRPr="004C2D88">
        <w:rPr>
          <w:rFonts w:asciiTheme="minorHAnsi" w:hAnsiTheme="minorHAnsi"/>
          <w:bCs/>
        </w:rPr>
        <w:t>encorafenib+binimetinib</w:t>
      </w:r>
      <w:r w:rsidRPr="004C2D88">
        <w:rPr>
          <w:rFonts w:asciiTheme="minorHAnsi" w:hAnsiTheme="minorHAnsi"/>
          <w:bCs/>
        </w:rPr>
        <w:t xml:space="preserve"> including </w:t>
      </w:r>
      <w:r w:rsidR="00907D34" w:rsidRPr="004C2D88">
        <w:rPr>
          <w:rFonts w:asciiTheme="minorHAnsi" w:hAnsiTheme="minorHAnsi"/>
          <w:bCs/>
        </w:rPr>
        <w:t>fewer side effects and prolonged survival.</w:t>
      </w:r>
      <w:r w:rsidRPr="004C2D88">
        <w:rPr>
          <w:rFonts w:asciiTheme="minorHAnsi" w:hAnsiTheme="minorHAnsi"/>
          <w:bCs/>
        </w:rPr>
        <w:t xml:space="preserve">  </w:t>
      </w:r>
    </w:p>
    <w:p w:rsidR="004E21CE" w:rsidRPr="004C2D88" w:rsidRDefault="004E21CE" w:rsidP="004E21CE">
      <w:pPr>
        <w:numPr>
          <w:ilvl w:val="1"/>
          <w:numId w:val="1"/>
        </w:numPr>
        <w:spacing w:after="120"/>
        <w:rPr>
          <w:rFonts w:asciiTheme="minorHAnsi" w:hAnsiTheme="minorHAnsi"/>
          <w:bCs/>
        </w:rPr>
      </w:pPr>
      <w:r w:rsidRPr="004C2D88">
        <w:rPr>
          <w:rFonts w:asciiTheme="minorHAnsi" w:hAnsiTheme="minorHAnsi"/>
          <w:bCs/>
        </w:rPr>
        <w:t xml:space="preserve">The PBAC noted the advice received from </w:t>
      </w:r>
      <w:r w:rsidR="00907D34" w:rsidRPr="004C2D88">
        <w:rPr>
          <w:rFonts w:asciiTheme="minorHAnsi" w:hAnsiTheme="minorHAnsi"/>
          <w:bCs/>
        </w:rPr>
        <w:t xml:space="preserve">the Melanoma Institute, Australia supporting the access of encorafenib+binimetinib for the treatment of </w:t>
      </w:r>
      <w:r w:rsidR="00907D34" w:rsidRPr="004C2D88">
        <w:t>unresectable or metastatic melanoma with a BRAF V600 mutation</w:t>
      </w:r>
      <w:r w:rsidR="00907D34" w:rsidRPr="004C2D88">
        <w:rPr>
          <w:rFonts w:asciiTheme="minorHAnsi" w:hAnsiTheme="minorHAnsi"/>
          <w:bCs/>
        </w:rPr>
        <w:t xml:space="preserve"> </w:t>
      </w:r>
      <w:r w:rsidRPr="004C2D88">
        <w:rPr>
          <w:rFonts w:asciiTheme="minorHAnsi" w:hAnsiTheme="minorHAnsi"/>
          <w:bCs/>
        </w:rPr>
        <w:t xml:space="preserve">in clinical practice.  The PBAC </w:t>
      </w:r>
      <w:r w:rsidRPr="004C2D88">
        <w:rPr>
          <w:rFonts w:asciiTheme="minorHAnsi" w:hAnsiTheme="minorHAnsi"/>
          <w:bCs/>
        </w:rPr>
        <w:lastRenderedPageBreak/>
        <w:t>noted that this advice was supportive of the evidence provided in the submission.</w:t>
      </w:r>
    </w:p>
    <w:p w:rsidR="004E21CE" w:rsidRPr="004C2D88" w:rsidRDefault="004E21CE" w:rsidP="004E21CE">
      <w:pPr>
        <w:numPr>
          <w:ilvl w:val="1"/>
          <w:numId w:val="1"/>
        </w:numPr>
        <w:spacing w:after="120"/>
        <w:rPr>
          <w:rFonts w:asciiTheme="minorHAnsi" w:hAnsiTheme="minorHAnsi"/>
          <w:bCs/>
        </w:rPr>
      </w:pPr>
      <w:r w:rsidRPr="004C2D88">
        <w:rPr>
          <w:rFonts w:asciiTheme="minorHAnsi" w:hAnsiTheme="minorHAnsi"/>
          <w:bCs/>
        </w:rPr>
        <w:t xml:space="preserve">The Medical Oncology Group of Australia (MOGA) also expressed its support for the </w:t>
      </w:r>
      <w:r w:rsidR="00907D34" w:rsidRPr="004C2D88">
        <w:rPr>
          <w:rFonts w:asciiTheme="minorHAnsi" w:hAnsiTheme="minorHAnsi"/>
          <w:bCs/>
        </w:rPr>
        <w:t xml:space="preserve">encorafenib+binimetinib </w:t>
      </w:r>
      <w:r w:rsidRPr="004C2D88">
        <w:rPr>
          <w:rFonts w:asciiTheme="minorHAnsi" w:hAnsiTheme="minorHAnsi"/>
          <w:bCs/>
        </w:rPr>
        <w:t xml:space="preserve">submission, on the basis of </w:t>
      </w:r>
      <w:r w:rsidR="00907D34" w:rsidRPr="004C2D88">
        <w:rPr>
          <w:rFonts w:asciiTheme="minorHAnsi" w:hAnsiTheme="minorHAnsi"/>
          <w:bCs/>
        </w:rPr>
        <w:t>phase III clinical evidence</w:t>
      </w:r>
      <w:r w:rsidRPr="004C2D88">
        <w:rPr>
          <w:rFonts w:asciiTheme="minorHAnsi" w:hAnsiTheme="minorHAnsi"/>
          <w:bCs/>
        </w:rPr>
        <w:t xml:space="preserve">. The PBAC noted that the MOGA </w:t>
      </w:r>
      <w:r w:rsidR="00907D34" w:rsidRPr="004C2D88">
        <w:rPr>
          <w:rFonts w:asciiTheme="minorHAnsi" w:hAnsiTheme="minorHAnsi"/>
          <w:bCs/>
        </w:rPr>
        <w:t xml:space="preserve">considered that encorafenib+binimetinib appeared less toxic than the comparators </w:t>
      </w:r>
      <w:r w:rsidRPr="004C2D88">
        <w:rPr>
          <w:rFonts w:asciiTheme="minorHAnsi" w:hAnsiTheme="minorHAnsi"/>
          <w:bCs/>
        </w:rPr>
        <w:t xml:space="preserve">based on </w:t>
      </w:r>
      <w:r w:rsidR="00907D34" w:rsidRPr="004C2D88">
        <w:rPr>
          <w:rFonts w:asciiTheme="minorHAnsi" w:hAnsiTheme="minorHAnsi"/>
          <w:bCs/>
        </w:rPr>
        <w:t>evidence presented in the COLUMBUS trial</w:t>
      </w:r>
      <w:r w:rsidRPr="004C2D88">
        <w:rPr>
          <w:rFonts w:asciiTheme="minorHAnsi" w:hAnsiTheme="minorHAnsi"/>
          <w:bCs/>
        </w:rPr>
        <w:t>.</w:t>
      </w:r>
    </w:p>
    <w:p w:rsidR="0047290B" w:rsidRPr="004C2D88" w:rsidRDefault="0047290B" w:rsidP="004E21CE">
      <w:pPr>
        <w:numPr>
          <w:ilvl w:val="1"/>
          <w:numId w:val="1"/>
        </w:numPr>
        <w:spacing w:after="120"/>
        <w:rPr>
          <w:rFonts w:asciiTheme="minorHAnsi" w:hAnsiTheme="minorHAnsi"/>
          <w:bCs/>
        </w:rPr>
      </w:pPr>
      <w:r w:rsidRPr="004C2D88">
        <w:rPr>
          <w:rFonts w:asciiTheme="minorHAnsi" w:hAnsiTheme="minorHAnsi"/>
          <w:bCs/>
        </w:rPr>
        <w:t>The MOGA Melanoma Expert Group expressed further support for the encorafenib+binimetinib submission, stating it was the preferred BRAF/MEK combination for melanoma due to improved efficacy and reduced toxicity.</w:t>
      </w:r>
    </w:p>
    <w:p w:rsidR="00390833" w:rsidRPr="004C2D88" w:rsidRDefault="00390833" w:rsidP="00465BB6">
      <w:pPr>
        <w:pStyle w:val="Heading2"/>
        <w:widowControl/>
      </w:pPr>
      <w:r w:rsidRPr="004C2D88">
        <w:t>Clinical trials</w:t>
      </w:r>
      <w:bookmarkEnd w:id="14"/>
      <w:bookmarkEnd w:id="15"/>
    </w:p>
    <w:p w:rsidR="00390833" w:rsidRPr="004C2D88" w:rsidRDefault="00390833" w:rsidP="00D073C6">
      <w:pPr>
        <w:pStyle w:val="ListParagraph"/>
        <w:widowControl/>
        <w:numPr>
          <w:ilvl w:val="1"/>
          <w:numId w:val="4"/>
        </w:numPr>
        <w:snapToGrid w:val="0"/>
        <w:spacing w:after="0"/>
      </w:pPr>
      <w:r w:rsidRPr="004C2D88">
        <w:rPr>
          <w:rFonts w:cs="Calibri"/>
          <w:szCs w:val="24"/>
          <w:lang w:eastAsia="en-AU"/>
        </w:rPr>
        <w:t xml:space="preserve">The submission was based on indirect comparisons of encorafenib+binimetinib versus dabrafenib+trametinib or vemurafenib+cobimetinib </w:t>
      </w:r>
      <w:r w:rsidR="0092377B" w:rsidRPr="004C2D88">
        <w:rPr>
          <w:rFonts w:cs="Calibri"/>
          <w:szCs w:val="24"/>
          <w:lang w:eastAsia="en-AU"/>
        </w:rPr>
        <w:t xml:space="preserve">via a BRAF inhibitor (vemurafenib or dabrafenib) as the common reference. The </w:t>
      </w:r>
      <w:r w:rsidRPr="004C2D88">
        <w:rPr>
          <w:rFonts w:cs="Calibri"/>
          <w:szCs w:val="24"/>
          <w:lang w:eastAsia="en-AU"/>
        </w:rPr>
        <w:t xml:space="preserve">following </w:t>
      </w:r>
      <w:r w:rsidR="00693EC2" w:rsidRPr="004C2D88">
        <w:rPr>
          <w:rFonts w:cs="Calibri"/>
          <w:szCs w:val="24"/>
          <w:lang w:eastAsia="en-AU"/>
        </w:rPr>
        <w:t>trials were</w:t>
      </w:r>
      <w:r w:rsidR="0092377B" w:rsidRPr="004C2D88">
        <w:rPr>
          <w:rFonts w:cs="Calibri"/>
          <w:szCs w:val="24"/>
          <w:lang w:eastAsia="en-AU"/>
        </w:rPr>
        <w:t xml:space="preserve"> presented</w:t>
      </w:r>
      <w:r w:rsidRPr="004C2D88">
        <w:rPr>
          <w:rFonts w:cs="Calibri"/>
          <w:szCs w:val="24"/>
          <w:lang w:eastAsia="en-AU"/>
        </w:rPr>
        <w:t>:</w:t>
      </w:r>
    </w:p>
    <w:p w:rsidR="00390833" w:rsidRPr="004C2D88" w:rsidRDefault="00390833" w:rsidP="00D073C6">
      <w:pPr>
        <w:pStyle w:val="ListParagraph"/>
        <w:widowControl/>
        <w:numPr>
          <w:ilvl w:val="1"/>
          <w:numId w:val="5"/>
        </w:numPr>
        <w:tabs>
          <w:tab w:val="left" w:pos="993"/>
        </w:tabs>
        <w:snapToGrid w:val="0"/>
        <w:spacing w:after="0"/>
        <w:ind w:left="993" w:hanging="284"/>
      </w:pPr>
      <w:r w:rsidRPr="004C2D88">
        <w:t>COLUMBUS trial: a Phase III, randomised, open-label, multicentre trial in patients with unresectable or metastatic (Stage IIIB, IIIC or IV) BRAF V600-mutant melanoma comparing encorafenib+binimetinib to vemurafenib monotherapy and/or encorafenib monotherapy (n=577);</w:t>
      </w:r>
    </w:p>
    <w:p w:rsidR="00390833" w:rsidRPr="004C2D88" w:rsidRDefault="00390833" w:rsidP="00D073C6">
      <w:pPr>
        <w:pStyle w:val="ListParagraph"/>
        <w:widowControl/>
        <w:numPr>
          <w:ilvl w:val="1"/>
          <w:numId w:val="5"/>
        </w:numPr>
        <w:tabs>
          <w:tab w:val="left" w:pos="993"/>
        </w:tabs>
        <w:snapToGrid w:val="0"/>
        <w:spacing w:after="0"/>
        <w:ind w:left="993" w:hanging="284"/>
      </w:pPr>
      <w:r w:rsidRPr="004C2D88">
        <w:t xml:space="preserve">COMBI-V trial: a Phase III, randomised, open-label trial comparing the combination of dabrafenib and trametinib to vemurafenib in </w:t>
      </w:r>
      <w:r w:rsidR="006055D2" w:rsidRPr="004C2D88">
        <w:t xml:space="preserve">patients </w:t>
      </w:r>
      <w:r w:rsidRPr="004C2D88">
        <w:t>with unresectable or metastatic (Stage IIIC or Stage IV) BRAF V600E/K mutation positive cutaneous melanoma (n=704);</w:t>
      </w:r>
    </w:p>
    <w:p w:rsidR="00390833" w:rsidRPr="004C2D88" w:rsidRDefault="00390833" w:rsidP="00D073C6">
      <w:pPr>
        <w:pStyle w:val="ListParagraph"/>
        <w:widowControl/>
        <w:numPr>
          <w:ilvl w:val="1"/>
          <w:numId w:val="5"/>
        </w:numPr>
        <w:tabs>
          <w:tab w:val="left" w:pos="993"/>
        </w:tabs>
        <w:snapToGrid w:val="0"/>
        <w:spacing w:after="0"/>
        <w:ind w:left="993" w:hanging="284"/>
      </w:pPr>
      <w:r w:rsidRPr="004C2D88">
        <w:t xml:space="preserve">COMBI-D trial: a Phase III, randomised, double-blinded trial comparing the combination of dabrafenib and trametinib to dabrafenib and placebo in </w:t>
      </w:r>
      <w:r w:rsidR="006055D2" w:rsidRPr="004C2D88">
        <w:t xml:space="preserve">patients </w:t>
      </w:r>
      <w:r w:rsidRPr="004C2D88">
        <w:t>with unresectable or metastatic (Stage IIIC or Stage IV) BRAF V600E/K mutation-positive cutaneous melanoma (n=423);</w:t>
      </w:r>
    </w:p>
    <w:p w:rsidR="00390833" w:rsidRPr="004C2D88" w:rsidRDefault="00390833" w:rsidP="00D073C6">
      <w:pPr>
        <w:pStyle w:val="ListParagraph"/>
        <w:widowControl/>
        <w:numPr>
          <w:ilvl w:val="1"/>
          <w:numId w:val="5"/>
        </w:numPr>
        <w:tabs>
          <w:tab w:val="left" w:pos="993"/>
        </w:tabs>
        <w:snapToGrid w:val="0"/>
        <w:spacing w:after="0"/>
        <w:ind w:left="993" w:hanging="284"/>
      </w:pPr>
      <w:r w:rsidRPr="004C2D88">
        <w:t>coBRIM trial: a Phase III, double-blind, placebo-controlled trial of vemurafenib versus vemurafenib plus cobimetinib in BRAF V600-mutation positive patients with unresectable locally advanced or metastatic (Stage IIIC or Stage IV) melanoma (n=495).</w:t>
      </w:r>
    </w:p>
    <w:p w:rsidR="00390833" w:rsidRPr="004C2D88" w:rsidRDefault="00390833" w:rsidP="00465BB6">
      <w:pPr>
        <w:pStyle w:val="ListParagraph"/>
        <w:widowControl/>
        <w:tabs>
          <w:tab w:val="left" w:pos="993"/>
        </w:tabs>
        <w:spacing w:after="0"/>
        <w:ind w:left="993"/>
      </w:pPr>
    </w:p>
    <w:p w:rsidR="00390833" w:rsidRPr="004C2D88" w:rsidRDefault="00390833" w:rsidP="00D073C6">
      <w:pPr>
        <w:pStyle w:val="ListParagraph"/>
        <w:widowControl/>
        <w:numPr>
          <w:ilvl w:val="1"/>
          <w:numId w:val="4"/>
        </w:numPr>
        <w:snapToGrid w:val="0"/>
        <w:spacing w:after="0"/>
      </w:pPr>
      <w:r w:rsidRPr="004C2D88">
        <w:t>The COLUMBUS trial was intended as a three-arm trial to compare:</w:t>
      </w:r>
    </w:p>
    <w:p w:rsidR="00390833" w:rsidRPr="004C2D88" w:rsidRDefault="00390833" w:rsidP="00D073C6">
      <w:pPr>
        <w:pStyle w:val="ListParagraph"/>
        <w:widowControl/>
        <w:numPr>
          <w:ilvl w:val="1"/>
          <w:numId w:val="5"/>
        </w:numPr>
        <w:tabs>
          <w:tab w:val="left" w:pos="993"/>
        </w:tabs>
        <w:snapToGrid w:val="0"/>
        <w:spacing w:after="0"/>
        <w:ind w:left="993" w:hanging="284"/>
      </w:pPr>
      <w:r w:rsidRPr="004C2D88">
        <w:t>Combo 450: encorafenib (450</w:t>
      </w:r>
      <w:r w:rsidR="0092377B" w:rsidRPr="004C2D88">
        <w:t xml:space="preserve"> </w:t>
      </w:r>
      <w:r w:rsidRPr="004C2D88">
        <w:t xml:space="preserve">mg </w:t>
      </w:r>
      <w:r w:rsidR="00F17D43" w:rsidRPr="004C2D88">
        <w:t>once daily</w:t>
      </w:r>
      <w:r w:rsidRPr="004C2D88">
        <w:t>) + binimetinib (45</w:t>
      </w:r>
      <w:r w:rsidR="0092377B" w:rsidRPr="004C2D88">
        <w:t xml:space="preserve"> </w:t>
      </w:r>
      <w:r w:rsidRPr="004C2D88">
        <w:t xml:space="preserve">mg </w:t>
      </w:r>
      <w:r w:rsidR="00F17D43" w:rsidRPr="004C2D88">
        <w:t>twice daily</w:t>
      </w:r>
      <w:r w:rsidRPr="004C2D88">
        <w:t>);</w:t>
      </w:r>
    </w:p>
    <w:p w:rsidR="00390833" w:rsidRPr="004C2D88" w:rsidRDefault="00390833" w:rsidP="00D073C6">
      <w:pPr>
        <w:pStyle w:val="ListParagraph"/>
        <w:widowControl/>
        <w:numPr>
          <w:ilvl w:val="1"/>
          <w:numId w:val="5"/>
        </w:numPr>
        <w:tabs>
          <w:tab w:val="left" w:pos="993"/>
        </w:tabs>
        <w:snapToGrid w:val="0"/>
        <w:spacing w:after="0"/>
        <w:ind w:left="993" w:hanging="284"/>
      </w:pPr>
      <w:r w:rsidRPr="004C2D88">
        <w:t>Vemurafenib monotherapy (at the recommended dose; 960</w:t>
      </w:r>
      <w:r w:rsidR="0092377B" w:rsidRPr="004C2D88">
        <w:t xml:space="preserve"> </w:t>
      </w:r>
      <w:r w:rsidRPr="004C2D88">
        <w:t xml:space="preserve">mg </w:t>
      </w:r>
      <w:r w:rsidR="00F17D43" w:rsidRPr="004C2D88">
        <w:t>twice daily</w:t>
      </w:r>
      <w:r w:rsidRPr="004C2D88">
        <w:t>);</w:t>
      </w:r>
      <w:r w:rsidR="0092377B" w:rsidRPr="004C2D88">
        <w:t xml:space="preserve"> and</w:t>
      </w:r>
    </w:p>
    <w:p w:rsidR="00390833" w:rsidRPr="004C2D88" w:rsidRDefault="00390833" w:rsidP="00D073C6">
      <w:pPr>
        <w:pStyle w:val="ListParagraph"/>
        <w:widowControl/>
        <w:numPr>
          <w:ilvl w:val="1"/>
          <w:numId w:val="5"/>
        </w:numPr>
        <w:tabs>
          <w:tab w:val="left" w:pos="993"/>
        </w:tabs>
        <w:snapToGrid w:val="0"/>
        <w:spacing w:after="0"/>
        <w:ind w:left="993" w:hanging="284"/>
      </w:pPr>
      <w:r w:rsidRPr="004C2D88">
        <w:t>Encorafenib monotherapy at 300</w:t>
      </w:r>
      <w:r w:rsidR="0092377B" w:rsidRPr="004C2D88">
        <w:t xml:space="preserve"> </w:t>
      </w:r>
      <w:r w:rsidRPr="004C2D88">
        <w:t>mg</w:t>
      </w:r>
      <w:r w:rsidR="006055D2" w:rsidRPr="004C2D88">
        <w:t xml:space="preserve"> once </w:t>
      </w:r>
      <w:r w:rsidRPr="004C2D88">
        <w:t>da</w:t>
      </w:r>
      <w:r w:rsidR="006055D2" w:rsidRPr="004C2D88">
        <w:t>il</w:t>
      </w:r>
      <w:r w:rsidRPr="004C2D88">
        <w:t>y.</w:t>
      </w:r>
    </w:p>
    <w:p w:rsidR="00390833" w:rsidRPr="004C2D88" w:rsidRDefault="00390833" w:rsidP="00465BB6">
      <w:pPr>
        <w:pStyle w:val="ListParagraph"/>
        <w:widowControl/>
        <w:tabs>
          <w:tab w:val="left" w:pos="993"/>
        </w:tabs>
        <w:spacing w:after="0"/>
        <w:ind w:left="993"/>
      </w:pPr>
    </w:p>
    <w:p w:rsidR="00390833" w:rsidRPr="004C2D88" w:rsidRDefault="00390833" w:rsidP="00D073C6">
      <w:pPr>
        <w:pStyle w:val="ListParagraph"/>
        <w:widowControl/>
        <w:numPr>
          <w:ilvl w:val="1"/>
          <w:numId w:val="4"/>
        </w:numPr>
        <w:snapToGrid w:val="0"/>
        <w:spacing w:after="0"/>
      </w:pPr>
      <w:r w:rsidRPr="004C2D88">
        <w:t>Part 2 of COLUMBUS was introduced by protocol amendment in November 2014, and explored:</w:t>
      </w:r>
    </w:p>
    <w:p w:rsidR="00390833" w:rsidRPr="004C2D88" w:rsidRDefault="00390833" w:rsidP="00D073C6">
      <w:pPr>
        <w:pStyle w:val="ListParagraph"/>
        <w:widowControl/>
        <w:numPr>
          <w:ilvl w:val="1"/>
          <w:numId w:val="5"/>
        </w:numPr>
        <w:tabs>
          <w:tab w:val="left" w:pos="993"/>
        </w:tabs>
        <w:snapToGrid w:val="0"/>
        <w:spacing w:after="0"/>
        <w:ind w:left="993" w:hanging="284"/>
      </w:pPr>
      <w:r w:rsidRPr="004C2D88">
        <w:t>Combo 300: encorafenib (300</w:t>
      </w:r>
      <w:r w:rsidR="0092377B" w:rsidRPr="004C2D88">
        <w:t xml:space="preserve"> </w:t>
      </w:r>
      <w:r w:rsidRPr="004C2D88">
        <w:t xml:space="preserve">mg </w:t>
      </w:r>
      <w:r w:rsidR="00F17D43" w:rsidRPr="004C2D88">
        <w:t>once daily</w:t>
      </w:r>
      <w:r w:rsidRPr="004C2D88">
        <w:t>) + binimetinib (45</w:t>
      </w:r>
      <w:r w:rsidR="0092377B" w:rsidRPr="004C2D88">
        <w:t xml:space="preserve"> </w:t>
      </w:r>
      <w:r w:rsidRPr="004C2D88">
        <w:t xml:space="preserve">mg </w:t>
      </w:r>
      <w:r w:rsidR="00F17D43" w:rsidRPr="004C2D88">
        <w:t>twice daily</w:t>
      </w:r>
      <w:r w:rsidRPr="004C2D88">
        <w:t xml:space="preserve">);  </w:t>
      </w:r>
      <w:r w:rsidR="0092377B" w:rsidRPr="004C2D88">
        <w:t>and</w:t>
      </w:r>
    </w:p>
    <w:p w:rsidR="00390833" w:rsidRPr="004C2D88" w:rsidRDefault="00390833" w:rsidP="00D073C6">
      <w:pPr>
        <w:pStyle w:val="ListParagraph"/>
        <w:widowControl/>
        <w:numPr>
          <w:ilvl w:val="1"/>
          <w:numId w:val="5"/>
        </w:numPr>
        <w:tabs>
          <w:tab w:val="left" w:pos="993"/>
        </w:tabs>
        <w:snapToGrid w:val="0"/>
        <w:spacing w:after="0"/>
        <w:ind w:left="993" w:hanging="284"/>
      </w:pPr>
      <w:r w:rsidRPr="004C2D88">
        <w:t>Encorafenib monotherapy at 300</w:t>
      </w:r>
      <w:r w:rsidR="0092377B" w:rsidRPr="004C2D88">
        <w:t xml:space="preserve"> </w:t>
      </w:r>
      <w:r w:rsidRPr="004C2D88">
        <w:t>mg</w:t>
      </w:r>
      <w:r w:rsidR="00B90A11" w:rsidRPr="004C2D88">
        <w:t xml:space="preserve"> once daily</w:t>
      </w:r>
      <w:r w:rsidRPr="004C2D88">
        <w:t>.</w:t>
      </w:r>
    </w:p>
    <w:p w:rsidR="00390833" w:rsidRPr="004C2D88" w:rsidRDefault="00390833" w:rsidP="00465BB6">
      <w:pPr>
        <w:pStyle w:val="ListParagraph"/>
        <w:widowControl/>
        <w:tabs>
          <w:tab w:val="left" w:pos="993"/>
        </w:tabs>
        <w:spacing w:after="0"/>
        <w:ind w:left="993"/>
      </w:pPr>
    </w:p>
    <w:p w:rsidR="00390833" w:rsidRPr="004C2D88" w:rsidRDefault="00390833" w:rsidP="00D073C6">
      <w:pPr>
        <w:pStyle w:val="ListParagraph"/>
        <w:widowControl/>
        <w:numPr>
          <w:ilvl w:val="1"/>
          <w:numId w:val="4"/>
        </w:numPr>
        <w:snapToGrid w:val="0"/>
      </w:pPr>
      <w:r w:rsidRPr="004C2D88">
        <w:lastRenderedPageBreak/>
        <w:t xml:space="preserve">Only Part I of </w:t>
      </w:r>
      <w:r w:rsidR="00B90A11" w:rsidRPr="004C2D88">
        <w:t xml:space="preserve">the </w:t>
      </w:r>
      <w:r w:rsidRPr="004C2D88">
        <w:t xml:space="preserve">COLUMBUS trial provided data for Combo 450 and the common reference arm (vemurafenib monotherapy) </w:t>
      </w:r>
      <w:r w:rsidR="0092377B" w:rsidRPr="004C2D88">
        <w:t>which were</w:t>
      </w:r>
      <w:r w:rsidRPr="004C2D88">
        <w:t xml:space="preserve"> used in the indirect comparison.</w:t>
      </w:r>
    </w:p>
    <w:p w:rsidR="00390833" w:rsidRPr="004C2D88" w:rsidRDefault="00B90A11" w:rsidP="00D073C6">
      <w:pPr>
        <w:pStyle w:val="ListParagraph"/>
        <w:widowControl/>
        <w:numPr>
          <w:ilvl w:val="1"/>
          <w:numId w:val="4"/>
        </w:numPr>
        <w:snapToGrid w:val="0"/>
      </w:pPr>
      <w:r w:rsidRPr="004C2D88">
        <w:rPr>
          <w:bCs/>
        </w:rPr>
        <w:t>I</w:t>
      </w:r>
      <w:r w:rsidR="00563CD5" w:rsidRPr="004C2D88">
        <w:rPr>
          <w:bCs/>
        </w:rPr>
        <w:t>n COLUMBUS</w:t>
      </w:r>
      <w:r w:rsidRPr="004C2D88">
        <w:rPr>
          <w:bCs/>
        </w:rPr>
        <w:t>, 30% of patients</w:t>
      </w:r>
      <w:r w:rsidR="00563CD5" w:rsidRPr="004C2D88">
        <w:rPr>
          <w:bCs/>
        </w:rPr>
        <w:t xml:space="preserve"> received prior immunotherapy</w:t>
      </w:r>
      <w:r w:rsidR="00E9562D" w:rsidRPr="004C2D88">
        <w:rPr>
          <w:bCs/>
        </w:rPr>
        <w:t>, largely in the adjuvant setting following resection but also including a small number treated in first line</w:t>
      </w:r>
      <w:r w:rsidR="008F0345" w:rsidRPr="004C2D88">
        <w:rPr>
          <w:bCs/>
        </w:rPr>
        <w:t xml:space="preserve"> </w:t>
      </w:r>
      <w:r w:rsidR="00A11B1F" w:rsidRPr="004C2D88">
        <w:rPr>
          <w:bCs/>
        </w:rPr>
        <w:t xml:space="preserve">with monoclonal antibodies </w:t>
      </w:r>
      <w:r w:rsidR="008F0345" w:rsidRPr="004C2D88">
        <w:rPr>
          <w:bCs/>
        </w:rPr>
        <w:t>(approximately 5% of COLUMBUS patients)</w:t>
      </w:r>
      <w:r w:rsidR="00E9562D" w:rsidRPr="004C2D88">
        <w:rPr>
          <w:bCs/>
        </w:rPr>
        <w:t>.</w:t>
      </w:r>
      <w:r w:rsidR="00A11B1F" w:rsidRPr="004C2D88">
        <w:rPr>
          <w:bCs/>
        </w:rPr>
        <w:t xml:space="preserve">  This is unlikely to be representative of the current PBS population. </w:t>
      </w:r>
      <w:r w:rsidR="008F0345" w:rsidRPr="004C2D88">
        <w:rPr>
          <w:bCs/>
        </w:rPr>
        <w:t>Adjuvant treatment was mostly</w:t>
      </w:r>
      <w:r w:rsidR="00A11B1F" w:rsidRPr="004C2D88">
        <w:rPr>
          <w:bCs/>
        </w:rPr>
        <w:t xml:space="preserve"> with</w:t>
      </w:r>
      <w:r w:rsidR="008F0345" w:rsidRPr="004C2D88">
        <w:rPr>
          <w:bCs/>
        </w:rPr>
        <w:t xml:space="preserve"> inte</w:t>
      </w:r>
      <w:r w:rsidR="00A11B1F" w:rsidRPr="004C2D88">
        <w:rPr>
          <w:bCs/>
        </w:rPr>
        <w:t>rferon</w:t>
      </w:r>
      <w:r w:rsidR="009D50C3" w:rsidRPr="004C2D88">
        <w:rPr>
          <w:bCs/>
        </w:rPr>
        <w:t xml:space="preserve"> in this trial,</w:t>
      </w:r>
      <w:r w:rsidR="008F0345" w:rsidRPr="004C2D88">
        <w:rPr>
          <w:bCs/>
        </w:rPr>
        <w:t xml:space="preserve"> </w:t>
      </w:r>
      <w:r w:rsidR="009D50C3" w:rsidRPr="004C2D88">
        <w:rPr>
          <w:bCs/>
        </w:rPr>
        <w:t xml:space="preserve">which is </w:t>
      </w:r>
      <w:r w:rsidR="008F0345" w:rsidRPr="004C2D88">
        <w:rPr>
          <w:bCs/>
        </w:rPr>
        <w:t xml:space="preserve">no longer recommended for this use in Australia. </w:t>
      </w:r>
    </w:p>
    <w:p w:rsidR="00390833" w:rsidRPr="004C2D88" w:rsidRDefault="00390833" w:rsidP="00D073C6">
      <w:pPr>
        <w:pStyle w:val="ListParagraph"/>
        <w:widowControl/>
        <w:numPr>
          <w:ilvl w:val="1"/>
          <w:numId w:val="4"/>
        </w:numPr>
        <w:snapToGrid w:val="0"/>
      </w:pPr>
      <w:r w:rsidRPr="004C2D88">
        <w:rPr>
          <w:rFonts w:cs="Calibri"/>
          <w:szCs w:val="24"/>
          <w:lang w:eastAsia="en-AU"/>
        </w:rPr>
        <w:t xml:space="preserve">Details of the trials presented in the submission are provided in the table below.  </w:t>
      </w:r>
    </w:p>
    <w:p w:rsidR="00390833" w:rsidRPr="004C2D88" w:rsidRDefault="00390833" w:rsidP="00465BB6">
      <w:pPr>
        <w:pStyle w:val="Caption"/>
        <w:keepNext/>
        <w:widowControl/>
        <w:rPr>
          <w:rStyle w:val="CommentReference"/>
          <w:b/>
          <w:bCs w:val="0"/>
        </w:rPr>
      </w:pPr>
      <w:r w:rsidRPr="004C2D88">
        <w:rPr>
          <w:rStyle w:val="CommentReference"/>
          <w:b/>
          <w:bCs w:val="0"/>
        </w:rPr>
        <w:t xml:space="preserve">Table </w:t>
      </w:r>
      <w:r w:rsidR="00CC25ED" w:rsidRPr="004C2D88">
        <w:rPr>
          <w:rStyle w:val="CommentReference"/>
          <w:b/>
          <w:bCs w:val="0"/>
        </w:rPr>
        <w:t>2</w:t>
      </w:r>
      <w:r w:rsidRPr="004C2D88">
        <w:rPr>
          <w:rStyle w:val="CommentReference"/>
          <w:b/>
          <w:bCs w:val="0"/>
        </w:rPr>
        <w:t>: Trials and associated reports</w:t>
      </w:r>
      <w:r w:rsidR="00D03F2F" w:rsidRPr="004C2D88">
        <w:rPr>
          <w:rStyle w:val="CommentReference"/>
          <w:b/>
          <w:bCs w:val="0"/>
          <w:vertAlign w:val="superscript"/>
        </w:rPr>
        <w:t>a</w:t>
      </w:r>
      <w:r w:rsidRPr="004C2D88">
        <w:rPr>
          <w:rStyle w:val="CommentReference"/>
          <w:b/>
          <w:bCs w:val="0"/>
        </w:rPr>
        <w:t xml:space="preserve"> presented in the submission</w:t>
      </w:r>
    </w:p>
    <w:tbl>
      <w:tblPr>
        <w:tblStyle w:val="TableGrid1"/>
        <w:tblW w:w="4994" w:type="pct"/>
        <w:tblInd w:w="28" w:type="dxa"/>
        <w:shd w:val="clear" w:color="auto" w:fill="FFFFFF" w:themeFill="background1"/>
        <w:tblLook w:val="0020" w:firstRow="1" w:lastRow="0" w:firstColumn="0" w:lastColumn="0" w:noHBand="0" w:noVBand="0"/>
        <w:tblCaption w:val="Trials and associated reportsa presented in the submission"/>
      </w:tblPr>
      <w:tblGrid>
        <w:gridCol w:w="1367"/>
        <w:gridCol w:w="5247"/>
        <w:gridCol w:w="2392"/>
      </w:tblGrid>
      <w:tr w:rsidR="00DE527D" w:rsidRPr="004C2D88" w:rsidTr="00BE46AE">
        <w:trPr>
          <w:tblHeader/>
        </w:trPr>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hideMark/>
          </w:tcPr>
          <w:p w:rsidR="00DE527D" w:rsidRPr="004C2D88" w:rsidRDefault="00DE527D" w:rsidP="00465BB6">
            <w:pPr>
              <w:pStyle w:val="TableLeft"/>
              <w:keepNext/>
              <w:rPr>
                <w:rStyle w:val="SmallBold"/>
                <w:rFonts w:ascii="Arial Narrow" w:hAnsi="Arial Narrow"/>
                <w:szCs w:val="20"/>
              </w:rPr>
            </w:pPr>
            <w:r w:rsidRPr="004C2D88">
              <w:rPr>
                <w:rStyle w:val="SmallBold"/>
                <w:rFonts w:ascii="Arial Narrow" w:hAnsi="Arial Narrow"/>
                <w:szCs w:val="20"/>
              </w:rPr>
              <w:t>Trial ID</w:t>
            </w:r>
          </w:p>
        </w:tc>
        <w:tc>
          <w:tcPr>
            <w:tcW w:w="29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hideMark/>
          </w:tcPr>
          <w:p w:rsidR="00DE527D" w:rsidRPr="004C2D88" w:rsidRDefault="00DE527D" w:rsidP="00465BB6">
            <w:pPr>
              <w:pStyle w:val="TableLeft"/>
              <w:keepNext/>
              <w:rPr>
                <w:rStyle w:val="SmallBold"/>
                <w:rFonts w:ascii="Arial Narrow" w:hAnsi="Arial Narrow"/>
                <w:szCs w:val="20"/>
              </w:rPr>
            </w:pPr>
            <w:r w:rsidRPr="004C2D88">
              <w:rPr>
                <w:rStyle w:val="SmallBold"/>
                <w:rFonts w:ascii="Arial Narrow" w:hAnsi="Arial Narrow"/>
                <w:szCs w:val="20"/>
              </w:rPr>
              <w:t>Protocol title/ Publication title</w:t>
            </w: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hideMark/>
          </w:tcPr>
          <w:p w:rsidR="00DE527D" w:rsidRPr="004C2D88" w:rsidRDefault="00DE527D" w:rsidP="005D6C6B">
            <w:pPr>
              <w:pStyle w:val="TableLeft"/>
              <w:keepNext/>
              <w:rPr>
                <w:rStyle w:val="SmallBold"/>
                <w:rFonts w:ascii="Arial Narrow" w:hAnsi="Arial Narrow"/>
                <w:szCs w:val="20"/>
              </w:rPr>
            </w:pPr>
            <w:r w:rsidRPr="004C2D88">
              <w:rPr>
                <w:rStyle w:val="SmallBold"/>
                <w:rFonts w:ascii="Arial Narrow" w:hAnsi="Arial Narrow"/>
                <w:szCs w:val="20"/>
              </w:rPr>
              <w:t>Publication citation</w:t>
            </w:r>
          </w:p>
        </w:tc>
      </w:tr>
      <w:tr w:rsidR="005D6C6B" w:rsidRPr="004C2D88" w:rsidTr="00BE46AE">
        <w:trPr>
          <w:trHeight w:val="135"/>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hideMark/>
          </w:tcPr>
          <w:p w:rsidR="005D6C6B" w:rsidRPr="004C2D88" w:rsidRDefault="005D6C6B" w:rsidP="005D6C6B">
            <w:pPr>
              <w:pStyle w:val="TableLeft"/>
              <w:keepNext/>
              <w:rPr>
                <w:rStyle w:val="SmallBold"/>
                <w:rFonts w:ascii="Arial Narrow" w:hAnsi="Arial Narrow"/>
                <w:szCs w:val="20"/>
                <w:highlight w:val="yellow"/>
              </w:rPr>
            </w:pPr>
            <w:r w:rsidRPr="004C2D88">
              <w:rPr>
                <w:rStyle w:val="SmallBold"/>
                <w:rFonts w:ascii="Arial Narrow" w:hAnsi="Arial Narrow"/>
                <w:szCs w:val="20"/>
              </w:rPr>
              <w:t>Encorafenib+ binimetinib</w:t>
            </w:r>
          </w:p>
        </w:tc>
      </w:tr>
      <w:tr w:rsidR="00390833" w:rsidRPr="004C2D88" w:rsidTr="00BE46AE">
        <w:tc>
          <w:tcPr>
            <w:tcW w:w="759"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390833" w:rsidRPr="004C2D88" w:rsidRDefault="00104F7A" w:rsidP="00465BB6">
            <w:pPr>
              <w:pStyle w:val="TableLeft"/>
              <w:keepNext/>
              <w:rPr>
                <w:rStyle w:val="Small"/>
                <w:rFonts w:ascii="Arial Narrow" w:hAnsi="Arial Narrow"/>
                <w:sz w:val="20"/>
                <w:szCs w:val="20"/>
                <w:lang w:val="en-AU"/>
              </w:rPr>
            </w:pPr>
            <w:r w:rsidRPr="004C2D88">
              <w:rPr>
                <w:rStyle w:val="Small"/>
                <w:rFonts w:ascii="Arial Narrow" w:hAnsi="Arial Narrow"/>
                <w:sz w:val="20"/>
                <w:szCs w:val="20"/>
                <w:lang w:val="en-AU"/>
              </w:rPr>
              <w:t>COLUMBUS (</w:t>
            </w:r>
            <w:r w:rsidR="00390833" w:rsidRPr="004C2D88">
              <w:rPr>
                <w:rStyle w:val="Small"/>
                <w:rFonts w:ascii="Arial Narrow" w:hAnsi="Arial Narrow"/>
                <w:sz w:val="20"/>
                <w:szCs w:val="20"/>
                <w:lang w:val="en-AU"/>
              </w:rPr>
              <w:t>NCT01909453</w:t>
            </w:r>
            <w:r w:rsidRPr="004C2D88">
              <w:rPr>
                <w:rStyle w:val="Small"/>
                <w:rFonts w:ascii="Arial Narrow" w:hAnsi="Arial Narrow"/>
                <w:sz w:val="20"/>
                <w:szCs w:val="20"/>
                <w:lang w:val="en-AU"/>
              </w:rPr>
              <w:t>)</w:t>
            </w:r>
          </w:p>
        </w:tc>
        <w:tc>
          <w:tcPr>
            <w:tcW w:w="2913"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390833" w:rsidRPr="004C2D88" w:rsidRDefault="00390833" w:rsidP="00465BB6">
            <w:pPr>
              <w:pStyle w:val="TableLeft"/>
              <w:keepNext/>
              <w:rPr>
                <w:rStyle w:val="Small"/>
                <w:rFonts w:ascii="Arial Narrow" w:hAnsi="Arial Narrow"/>
                <w:b/>
                <w:sz w:val="20"/>
                <w:szCs w:val="20"/>
                <w:lang w:val="en-AU"/>
              </w:rPr>
            </w:pPr>
            <w:r w:rsidRPr="004C2D88">
              <w:rPr>
                <w:rFonts w:ascii="Arial Narrow" w:hAnsi="Arial Narrow"/>
                <w:sz w:val="20"/>
                <w:szCs w:val="20"/>
                <w:lang w:val="en-AU"/>
              </w:rPr>
              <w:t>A 2-part phase III randomised, open label, multicentre study of LGX818 plus MEK162 versus vemurafenib and LGX818 monotherapy in patients with unresectable or metastatic BRAF V600 mutant melanoma</w:t>
            </w:r>
          </w:p>
        </w:tc>
        <w:tc>
          <w:tcPr>
            <w:tcW w:w="1328"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7221E1" w:rsidRPr="004C2D88" w:rsidRDefault="007221E1" w:rsidP="005D6C6B">
            <w:pPr>
              <w:pStyle w:val="TableLeft"/>
              <w:keepNext/>
              <w:rPr>
                <w:rFonts w:ascii="Arial Narrow" w:hAnsi="Arial Narrow"/>
                <w:sz w:val="20"/>
                <w:szCs w:val="20"/>
                <w:lang w:val="en-AU"/>
              </w:rPr>
            </w:pPr>
            <w:r w:rsidRPr="004C2D88">
              <w:rPr>
                <w:rFonts w:ascii="Arial Narrow" w:hAnsi="Arial Narrow"/>
                <w:sz w:val="20"/>
                <w:szCs w:val="20"/>
                <w:lang w:val="en-AU"/>
              </w:rPr>
              <w:t>Part 1 CSR</w:t>
            </w:r>
            <w:r w:rsidR="005D6C6B" w:rsidRPr="004C2D88">
              <w:rPr>
                <w:rFonts w:ascii="Arial Narrow" w:hAnsi="Arial Narrow"/>
                <w:sz w:val="20"/>
                <w:szCs w:val="20"/>
                <w:lang w:val="en-AU"/>
              </w:rPr>
              <w:t>,</w:t>
            </w:r>
            <w:r w:rsidRPr="004C2D88">
              <w:rPr>
                <w:rFonts w:ascii="Arial Narrow" w:hAnsi="Arial Narrow"/>
                <w:sz w:val="20"/>
                <w:szCs w:val="20"/>
                <w:lang w:val="en-AU"/>
              </w:rPr>
              <w:t xml:space="preserve"> Feb 2017</w:t>
            </w:r>
            <w:r w:rsidR="005D6C6B" w:rsidRPr="004C2D88">
              <w:rPr>
                <w:rFonts w:ascii="Arial Narrow" w:hAnsi="Arial Narrow"/>
                <w:sz w:val="20"/>
                <w:szCs w:val="20"/>
                <w:lang w:val="en-AU"/>
              </w:rPr>
              <w:t xml:space="preserve">; </w:t>
            </w:r>
            <w:r w:rsidR="00AB2EC7" w:rsidRPr="004C2D88">
              <w:rPr>
                <w:rFonts w:ascii="Arial Narrow" w:hAnsi="Arial Narrow"/>
                <w:sz w:val="20"/>
                <w:szCs w:val="20"/>
                <w:lang w:val="en-AU"/>
              </w:rPr>
              <w:t>a</w:t>
            </w:r>
            <w:r w:rsidRPr="004C2D88">
              <w:rPr>
                <w:rFonts w:ascii="Arial Narrow" w:hAnsi="Arial Narrow"/>
                <w:sz w:val="20"/>
                <w:szCs w:val="20"/>
                <w:lang w:val="en-AU"/>
              </w:rPr>
              <w:t>ddendum</w:t>
            </w:r>
            <w:r w:rsidR="005D6C6B" w:rsidRPr="004C2D88">
              <w:rPr>
                <w:rFonts w:ascii="Arial Narrow" w:hAnsi="Arial Narrow"/>
                <w:sz w:val="20"/>
                <w:szCs w:val="20"/>
                <w:lang w:val="en-AU"/>
              </w:rPr>
              <w:t xml:space="preserve">, </w:t>
            </w:r>
            <w:r w:rsidRPr="004C2D88">
              <w:rPr>
                <w:rFonts w:ascii="Arial Narrow" w:hAnsi="Arial Narrow"/>
                <w:sz w:val="20"/>
                <w:szCs w:val="20"/>
                <w:lang w:val="en-AU"/>
              </w:rPr>
              <w:t>Feb 2018</w:t>
            </w:r>
            <w:r w:rsidR="005D6C6B" w:rsidRPr="004C2D88">
              <w:rPr>
                <w:rFonts w:ascii="Arial Narrow" w:hAnsi="Arial Narrow"/>
                <w:sz w:val="20"/>
                <w:szCs w:val="20"/>
                <w:lang w:val="en-AU"/>
              </w:rPr>
              <w:t xml:space="preserve">; </w:t>
            </w:r>
            <w:r w:rsidRPr="004C2D88">
              <w:rPr>
                <w:rFonts w:ascii="Arial Narrow" w:hAnsi="Arial Narrow"/>
                <w:sz w:val="20"/>
                <w:szCs w:val="20"/>
                <w:lang w:val="en-AU"/>
              </w:rPr>
              <w:t xml:space="preserve">OS </w:t>
            </w:r>
            <w:r w:rsidR="00AB2EC7" w:rsidRPr="004C2D88">
              <w:rPr>
                <w:rFonts w:ascii="Arial Narrow" w:hAnsi="Arial Narrow"/>
                <w:sz w:val="20"/>
                <w:szCs w:val="20"/>
                <w:lang w:val="en-AU"/>
              </w:rPr>
              <w:t>r</w:t>
            </w:r>
            <w:r w:rsidRPr="004C2D88">
              <w:rPr>
                <w:rFonts w:ascii="Arial Narrow" w:hAnsi="Arial Narrow"/>
                <w:sz w:val="20"/>
                <w:szCs w:val="20"/>
                <w:lang w:val="en-AU"/>
              </w:rPr>
              <w:t>esults</w:t>
            </w:r>
            <w:r w:rsidR="005D6C6B" w:rsidRPr="004C2D88">
              <w:rPr>
                <w:rFonts w:ascii="Arial Narrow" w:hAnsi="Arial Narrow"/>
                <w:sz w:val="20"/>
                <w:szCs w:val="20"/>
                <w:lang w:val="en-AU"/>
              </w:rPr>
              <w:t>,</w:t>
            </w:r>
            <w:r w:rsidRPr="004C2D88">
              <w:rPr>
                <w:rFonts w:ascii="Arial Narrow" w:hAnsi="Arial Narrow"/>
                <w:sz w:val="20"/>
                <w:szCs w:val="20"/>
                <w:lang w:val="en-AU"/>
              </w:rPr>
              <w:t xml:space="preserve"> Feb 2018</w:t>
            </w:r>
            <w:r w:rsidR="005D6C6B" w:rsidRPr="004C2D88">
              <w:rPr>
                <w:rFonts w:ascii="Arial Narrow" w:hAnsi="Arial Narrow"/>
                <w:sz w:val="20"/>
                <w:szCs w:val="20"/>
                <w:lang w:val="en-AU"/>
              </w:rPr>
              <w:t xml:space="preserve">; </w:t>
            </w:r>
            <w:r w:rsidR="00AB2EC7" w:rsidRPr="004C2D88">
              <w:rPr>
                <w:rFonts w:ascii="Arial Narrow" w:hAnsi="Arial Narrow"/>
                <w:sz w:val="20"/>
                <w:szCs w:val="20"/>
                <w:lang w:val="en-AU"/>
              </w:rPr>
              <w:t>e</w:t>
            </w:r>
            <w:r w:rsidR="00DE527D" w:rsidRPr="004C2D88">
              <w:rPr>
                <w:rFonts w:ascii="Arial Narrow" w:hAnsi="Arial Narrow"/>
                <w:sz w:val="20"/>
                <w:szCs w:val="20"/>
                <w:lang w:val="en-AU"/>
              </w:rPr>
              <w:t xml:space="preserve">fficacy </w:t>
            </w:r>
            <w:r w:rsidR="00AB2EC7" w:rsidRPr="004C2D88">
              <w:rPr>
                <w:rFonts w:ascii="Arial Narrow" w:hAnsi="Arial Narrow"/>
                <w:sz w:val="20"/>
                <w:szCs w:val="20"/>
                <w:lang w:val="en-AU"/>
              </w:rPr>
              <w:t>u</w:t>
            </w:r>
            <w:r w:rsidR="00DE527D" w:rsidRPr="004C2D88">
              <w:rPr>
                <w:rFonts w:ascii="Arial Narrow" w:hAnsi="Arial Narrow"/>
                <w:sz w:val="20"/>
                <w:szCs w:val="20"/>
                <w:lang w:val="en-AU"/>
              </w:rPr>
              <w:t>pdate</w:t>
            </w:r>
            <w:r w:rsidR="005D6C6B" w:rsidRPr="004C2D88">
              <w:rPr>
                <w:rFonts w:ascii="Arial Narrow" w:hAnsi="Arial Narrow"/>
                <w:sz w:val="20"/>
                <w:szCs w:val="20"/>
                <w:lang w:val="en-AU"/>
              </w:rPr>
              <w:t>,</w:t>
            </w:r>
            <w:r w:rsidR="00DE527D" w:rsidRPr="004C2D88">
              <w:rPr>
                <w:rFonts w:ascii="Arial Narrow" w:hAnsi="Arial Narrow"/>
                <w:sz w:val="20"/>
                <w:szCs w:val="20"/>
                <w:lang w:val="en-AU"/>
              </w:rPr>
              <w:t xml:space="preserve"> </w:t>
            </w:r>
            <w:r w:rsidRPr="004C2D88">
              <w:rPr>
                <w:rFonts w:ascii="Arial Narrow" w:hAnsi="Arial Narrow"/>
                <w:sz w:val="20"/>
                <w:szCs w:val="20"/>
                <w:lang w:val="en-AU"/>
              </w:rPr>
              <w:t>Mar 2018</w:t>
            </w:r>
          </w:p>
          <w:p w:rsidR="00390833" w:rsidRPr="004C2D88" w:rsidRDefault="007221E1" w:rsidP="005D6C6B">
            <w:pPr>
              <w:pStyle w:val="TableLeft"/>
              <w:keepNext/>
              <w:spacing w:after="60"/>
              <w:rPr>
                <w:rStyle w:val="Small"/>
                <w:rFonts w:ascii="Arial Narrow" w:hAnsi="Arial Narrow"/>
                <w:sz w:val="20"/>
                <w:szCs w:val="20"/>
                <w:lang w:val="en-AU"/>
              </w:rPr>
            </w:pPr>
            <w:r w:rsidRPr="004C2D88">
              <w:rPr>
                <w:rFonts w:ascii="Arial Narrow" w:hAnsi="Arial Narrow"/>
                <w:sz w:val="20"/>
                <w:szCs w:val="20"/>
                <w:lang w:val="en-AU"/>
              </w:rPr>
              <w:t>Part 2</w:t>
            </w:r>
            <w:r w:rsidR="005D6C6B" w:rsidRPr="004C2D88">
              <w:rPr>
                <w:rFonts w:ascii="Arial Narrow" w:hAnsi="Arial Narrow"/>
                <w:sz w:val="20"/>
                <w:szCs w:val="20"/>
                <w:lang w:val="en-AU"/>
              </w:rPr>
              <w:t>,</w:t>
            </w:r>
            <w:r w:rsidRPr="004C2D88">
              <w:rPr>
                <w:rFonts w:ascii="Arial Narrow" w:hAnsi="Arial Narrow"/>
                <w:sz w:val="20"/>
                <w:szCs w:val="20"/>
                <w:lang w:val="en-AU"/>
              </w:rPr>
              <w:t xml:space="preserve"> May 2017</w:t>
            </w:r>
          </w:p>
        </w:tc>
      </w:tr>
      <w:tr w:rsidR="007221E1"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7221E1" w:rsidRPr="004C2D88" w:rsidRDefault="007221E1" w:rsidP="00465BB6">
            <w:pPr>
              <w:pStyle w:val="TableLeft"/>
              <w:keepNext/>
              <w:rPr>
                <w:rStyle w:val="Small"/>
                <w:rFonts w:ascii="Arial Narrow" w:hAnsi="Arial Narrow"/>
                <w:sz w:val="20"/>
                <w:szCs w:val="20"/>
                <w:lang w:val="en-AU"/>
              </w:rPr>
            </w:pPr>
          </w:p>
        </w:tc>
        <w:tc>
          <w:tcPr>
            <w:tcW w:w="2913" w:type="pc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rsidR="007221E1" w:rsidRPr="004C2D88" w:rsidRDefault="00DE527D" w:rsidP="00465BB6">
            <w:pPr>
              <w:pStyle w:val="TableLeft"/>
              <w:keepNext/>
              <w:rPr>
                <w:rFonts w:ascii="Arial Narrow" w:hAnsi="Arial Narrow"/>
                <w:sz w:val="20"/>
                <w:szCs w:val="20"/>
                <w:lang w:val="en-AU"/>
              </w:rPr>
            </w:pPr>
            <w:r w:rsidRPr="004C2D88">
              <w:rPr>
                <w:rFonts w:ascii="Arial Narrow" w:hAnsi="Arial Narrow"/>
                <w:sz w:val="20"/>
                <w:szCs w:val="20"/>
                <w:lang w:val="en-AU"/>
              </w:rPr>
              <w:t>Dummer R, Ascierto PA, Gogas HJ, et al. Encorafenib plus binimetinib versus vemurafenib or encorafenib in patients with BRAF-mutant melanoma (COLUMBUS): a multicentre, open-label, randomised phase 3 trial</w:t>
            </w:r>
          </w:p>
        </w:tc>
        <w:tc>
          <w:tcPr>
            <w:tcW w:w="1328" w:type="pc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rsidR="007221E1" w:rsidRPr="004C2D88" w:rsidRDefault="007221E1" w:rsidP="005D6C6B">
            <w:pPr>
              <w:pStyle w:val="TableLeft"/>
              <w:keepNext/>
              <w:rPr>
                <w:rStyle w:val="Small"/>
                <w:rFonts w:ascii="Arial Narrow" w:hAnsi="Arial Narrow"/>
                <w:sz w:val="20"/>
                <w:szCs w:val="20"/>
                <w:lang w:val="en-AU"/>
              </w:rPr>
            </w:pPr>
            <w:r w:rsidRPr="004C2D88">
              <w:rPr>
                <w:rStyle w:val="Small"/>
                <w:rFonts w:ascii="Arial Narrow" w:hAnsi="Arial Narrow"/>
                <w:i/>
                <w:sz w:val="20"/>
                <w:szCs w:val="20"/>
                <w:lang w:val="en-AU"/>
              </w:rPr>
              <w:t>Lancet Oncol</w:t>
            </w:r>
            <w:r w:rsidRPr="004C2D88">
              <w:rPr>
                <w:rStyle w:val="Small"/>
                <w:rFonts w:ascii="Arial Narrow" w:hAnsi="Arial Narrow"/>
                <w:sz w:val="20"/>
                <w:szCs w:val="20"/>
                <w:lang w:val="en-AU"/>
              </w:rPr>
              <w:t xml:space="preserve"> </w:t>
            </w:r>
            <w:r w:rsidR="0056230E" w:rsidRPr="004C2D88">
              <w:rPr>
                <w:rStyle w:val="Small"/>
                <w:rFonts w:ascii="Arial Narrow" w:hAnsi="Arial Narrow"/>
                <w:sz w:val="20"/>
                <w:szCs w:val="20"/>
                <w:lang w:val="en-AU"/>
              </w:rPr>
              <w:t>2018</w:t>
            </w:r>
            <w:r w:rsidRPr="004C2D88">
              <w:rPr>
                <w:rStyle w:val="Small"/>
                <w:rFonts w:ascii="Arial Narrow" w:hAnsi="Arial Narrow"/>
                <w:sz w:val="20"/>
                <w:szCs w:val="20"/>
                <w:lang w:val="en-AU"/>
              </w:rPr>
              <w:t>;</w:t>
            </w:r>
            <w:r w:rsidR="0056230E" w:rsidRPr="004C2D88">
              <w:rPr>
                <w:rStyle w:val="Small"/>
                <w:rFonts w:ascii="Arial Narrow" w:hAnsi="Arial Narrow"/>
                <w:sz w:val="20"/>
                <w:szCs w:val="20"/>
                <w:lang w:val="en-AU"/>
              </w:rPr>
              <w:t xml:space="preserve"> </w:t>
            </w:r>
            <w:r w:rsidRPr="004C2D88">
              <w:rPr>
                <w:rStyle w:val="Small"/>
                <w:rFonts w:ascii="Arial Narrow" w:hAnsi="Arial Narrow"/>
                <w:sz w:val="20"/>
                <w:szCs w:val="20"/>
                <w:lang w:val="en-AU"/>
              </w:rPr>
              <w:t>19(5):</w:t>
            </w:r>
            <w:r w:rsidR="00DE527D" w:rsidRPr="004C2D88">
              <w:rPr>
                <w:rStyle w:val="Small"/>
                <w:rFonts w:ascii="Arial Narrow" w:hAnsi="Arial Narrow"/>
                <w:sz w:val="20"/>
                <w:szCs w:val="20"/>
                <w:lang w:val="en-AU"/>
              </w:rPr>
              <w:t xml:space="preserve"> </w:t>
            </w:r>
            <w:r w:rsidRPr="004C2D88">
              <w:rPr>
                <w:rStyle w:val="Small"/>
                <w:rFonts w:ascii="Arial Narrow" w:hAnsi="Arial Narrow"/>
                <w:sz w:val="20"/>
                <w:szCs w:val="20"/>
                <w:lang w:val="en-AU"/>
              </w:rPr>
              <w:t>60</w:t>
            </w:r>
            <w:r w:rsidR="009B0911" w:rsidRPr="004C2D88">
              <w:rPr>
                <w:rStyle w:val="Small"/>
                <w:rFonts w:ascii="Arial Narrow" w:hAnsi="Arial Narrow"/>
                <w:sz w:val="20"/>
                <w:szCs w:val="20"/>
                <w:lang w:val="en-AU"/>
              </w:rPr>
              <w:t>3-6</w:t>
            </w:r>
            <w:r w:rsidRPr="004C2D88">
              <w:rPr>
                <w:rStyle w:val="Small"/>
                <w:rFonts w:ascii="Arial Narrow" w:hAnsi="Arial Narrow"/>
                <w:sz w:val="20"/>
                <w:szCs w:val="20"/>
                <w:lang w:val="en-AU"/>
              </w:rPr>
              <w:t>15</w:t>
            </w:r>
          </w:p>
        </w:tc>
      </w:tr>
      <w:tr w:rsidR="005D6C6B" w:rsidRPr="004C2D88" w:rsidTr="00BE46AE">
        <w:trPr>
          <w:trHeight w:val="135"/>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hideMark/>
          </w:tcPr>
          <w:p w:rsidR="005D6C6B" w:rsidRPr="004C2D88" w:rsidRDefault="005D6C6B" w:rsidP="005D6C6B">
            <w:pPr>
              <w:pStyle w:val="TableLeft"/>
              <w:rPr>
                <w:rStyle w:val="SmallBold"/>
                <w:rFonts w:ascii="Arial Narrow" w:hAnsi="Arial Narrow"/>
                <w:szCs w:val="20"/>
              </w:rPr>
            </w:pPr>
            <w:r w:rsidRPr="004C2D88">
              <w:rPr>
                <w:rStyle w:val="SmallBold"/>
                <w:rFonts w:ascii="Arial Narrow" w:hAnsi="Arial Narrow"/>
                <w:szCs w:val="20"/>
              </w:rPr>
              <w:t>Dabrafenib+trametinib</w:t>
            </w:r>
          </w:p>
        </w:tc>
      </w:tr>
      <w:tr w:rsidR="00390833" w:rsidRPr="004C2D88" w:rsidTr="00BE46AE">
        <w:tc>
          <w:tcPr>
            <w:tcW w:w="759"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DE527D" w:rsidRPr="004C2D88" w:rsidRDefault="00DE527D" w:rsidP="00465BB6">
            <w:pPr>
              <w:pStyle w:val="TableLeft"/>
              <w:rPr>
                <w:rStyle w:val="Small"/>
                <w:rFonts w:ascii="Arial Narrow" w:hAnsi="Arial Narrow"/>
                <w:sz w:val="20"/>
                <w:szCs w:val="20"/>
                <w:lang w:val="en-AU"/>
              </w:rPr>
            </w:pPr>
            <w:r w:rsidRPr="004C2D88">
              <w:rPr>
                <w:rStyle w:val="Small"/>
                <w:rFonts w:ascii="Arial Narrow" w:hAnsi="Arial Narrow"/>
                <w:sz w:val="20"/>
                <w:szCs w:val="20"/>
                <w:lang w:val="en-AU"/>
              </w:rPr>
              <w:t>COMBI-V (NCT01597908)</w:t>
            </w:r>
          </w:p>
          <w:p w:rsidR="00390833" w:rsidRPr="004C2D88" w:rsidRDefault="00390833" w:rsidP="00465BB6">
            <w:pPr>
              <w:pStyle w:val="TableLeft"/>
              <w:rPr>
                <w:rStyle w:val="Small"/>
                <w:rFonts w:ascii="Arial Narrow" w:hAnsi="Arial Narrow"/>
                <w:sz w:val="20"/>
                <w:szCs w:val="20"/>
                <w:lang w:val="en-AU"/>
              </w:rPr>
            </w:pPr>
          </w:p>
        </w:tc>
        <w:tc>
          <w:tcPr>
            <w:tcW w:w="2913"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390833" w:rsidRPr="004C2D88" w:rsidRDefault="00DE527D" w:rsidP="00465BB6">
            <w:pPr>
              <w:pStyle w:val="TableLeft"/>
              <w:spacing w:after="60"/>
              <w:rPr>
                <w:rFonts w:ascii="Arial Narrow" w:hAnsi="Arial Narrow"/>
                <w:sz w:val="20"/>
                <w:szCs w:val="20"/>
                <w:lang w:val="en-AU"/>
              </w:rPr>
            </w:pPr>
            <w:r w:rsidRPr="004C2D88">
              <w:rPr>
                <w:rFonts w:ascii="Arial Narrow" w:hAnsi="Arial Narrow"/>
                <w:sz w:val="20"/>
                <w:szCs w:val="20"/>
                <w:lang w:val="en-AU"/>
              </w:rPr>
              <w:t xml:space="preserve">A phase III, randomised, open-label study comparing the combination of the BRAF inhibitor, dabrafenib and the MEK inhibitor, trametinib to the </w:t>
            </w:r>
            <w:r w:rsidR="00AB2EC7" w:rsidRPr="004C2D88">
              <w:rPr>
                <w:rFonts w:ascii="Arial Narrow" w:hAnsi="Arial Narrow"/>
                <w:sz w:val="20"/>
                <w:szCs w:val="20"/>
                <w:lang w:val="en-AU"/>
              </w:rPr>
              <w:t>BRAF</w:t>
            </w:r>
            <w:r w:rsidRPr="004C2D88">
              <w:rPr>
                <w:rFonts w:ascii="Arial Narrow" w:hAnsi="Arial Narrow"/>
                <w:sz w:val="20"/>
                <w:szCs w:val="20"/>
                <w:lang w:val="en-AU"/>
              </w:rPr>
              <w:t xml:space="preserve"> inhibitor vemurafenib in subjects with unresectable (stage </w:t>
            </w:r>
            <w:r w:rsidR="00AB2EC7" w:rsidRPr="004C2D88">
              <w:rPr>
                <w:rFonts w:ascii="Arial Narrow" w:hAnsi="Arial Narrow"/>
                <w:sz w:val="20"/>
                <w:szCs w:val="20"/>
                <w:lang w:val="en-AU"/>
              </w:rPr>
              <w:t>IIIc</w:t>
            </w:r>
            <w:r w:rsidRPr="004C2D88">
              <w:rPr>
                <w:rFonts w:ascii="Arial Narrow" w:hAnsi="Arial Narrow"/>
                <w:sz w:val="20"/>
                <w:szCs w:val="20"/>
                <w:lang w:val="en-AU"/>
              </w:rPr>
              <w:t xml:space="preserve">) or metastatic (stage </w:t>
            </w:r>
            <w:r w:rsidR="00AB2EC7" w:rsidRPr="004C2D88">
              <w:rPr>
                <w:rFonts w:ascii="Arial Narrow" w:hAnsi="Arial Narrow"/>
                <w:sz w:val="20"/>
                <w:szCs w:val="20"/>
                <w:lang w:val="en-AU"/>
              </w:rPr>
              <w:t>IV</w:t>
            </w:r>
            <w:r w:rsidRPr="004C2D88">
              <w:rPr>
                <w:rFonts w:ascii="Arial Narrow" w:hAnsi="Arial Narrow"/>
                <w:sz w:val="20"/>
                <w:szCs w:val="20"/>
                <w:lang w:val="en-AU"/>
              </w:rPr>
              <w:t xml:space="preserve">) </w:t>
            </w:r>
            <w:r w:rsidR="00AB2EC7" w:rsidRPr="004C2D88">
              <w:rPr>
                <w:rFonts w:ascii="Arial Narrow" w:hAnsi="Arial Narrow"/>
                <w:sz w:val="20"/>
                <w:szCs w:val="20"/>
                <w:lang w:val="en-AU"/>
              </w:rPr>
              <w:t>BRAF V</w:t>
            </w:r>
            <w:r w:rsidRPr="004C2D88">
              <w:rPr>
                <w:rFonts w:ascii="Arial Narrow" w:hAnsi="Arial Narrow"/>
                <w:sz w:val="20"/>
                <w:szCs w:val="20"/>
                <w:lang w:val="en-AU"/>
              </w:rPr>
              <w:t>600</w:t>
            </w:r>
            <w:r w:rsidR="00AB2EC7" w:rsidRPr="004C2D88">
              <w:rPr>
                <w:rFonts w:ascii="Arial Narrow" w:hAnsi="Arial Narrow"/>
                <w:sz w:val="20"/>
                <w:szCs w:val="20"/>
                <w:lang w:val="en-AU"/>
              </w:rPr>
              <w:t>E</w:t>
            </w:r>
            <w:r w:rsidRPr="004C2D88">
              <w:rPr>
                <w:rFonts w:ascii="Arial Narrow" w:hAnsi="Arial Narrow"/>
                <w:sz w:val="20"/>
                <w:szCs w:val="20"/>
                <w:lang w:val="en-AU"/>
              </w:rPr>
              <w:t>/</w:t>
            </w:r>
            <w:r w:rsidR="00AB2EC7" w:rsidRPr="004C2D88">
              <w:rPr>
                <w:rFonts w:ascii="Arial Narrow" w:hAnsi="Arial Narrow"/>
                <w:sz w:val="20"/>
                <w:szCs w:val="20"/>
                <w:lang w:val="en-AU"/>
              </w:rPr>
              <w:t>K</w:t>
            </w:r>
            <w:r w:rsidRPr="004C2D88">
              <w:rPr>
                <w:rFonts w:ascii="Arial Narrow" w:hAnsi="Arial Narrow"/>
                <w:sz w:val="20"/>
                <w:szCs w:val="20"/>
                <w:lang w:val="en-AU"/>
              </w:rPr>
              <w:t xml:space="preserve"> mutation positive cutaneous melanoma</w:t>
            </w:r>
            <w:r w:rsidR="00AB2EC7" w:rsidRPr="004C2D88">
              <w:rPr>
                <w:rFonts w:ascii="Arial Narrow" w:hAnsi="Arial Narrow"/>
                <w:sz w:val="20"/>
                <w:szCs w:val="20"/>
                <w:lang w:val="en-AU"/>
              </w:rPr>
              <w:t xml:space="preserve">. </w:t>
            </w:r>
          </w:p>
        </w:tc>
        <w:tc>
          <w:tcPr>
            <w:tcW w:w="1328"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390833" w:rsidRPr="004C2D88" w:rsidRDefault="00AB2EC7" w:rsidP="005D6C6B">
            <w:pPr>
              <w:widowControl/>
              <w:jc w:val="left"/>
              <w:rPr>
                <w:rFonts w:ascii="Arial Narrow" w:hAnsi="Arial Narrow"/>
                <w:sz w:val="20"/>
                <w:szCs w:val="20"/>
                <w:lang w:val="en-AU"/>
              </w:rPr>
            </w:pPr>
            <w:r w:rsidRPr="004C2D88">
              <w:rPr>
                <w:rFonts w:ascii="Arial Narrow" w:hAnsi="Arial Narrow"/>
                <w:sz w:val="20"/>
                <w:szCs w:val="20"/>
                <w:lang w:val="en-AU"/>
              </w:rPr>
              <w:t>Protocol</w:t>
            </w:r>
            <w:r w:rsidR="00D50A5B" w:rsidRPr="004C2D88">
              <w:rPr>
                <w:rFonts w:ascii="Arial Narrow" w:hAnsi="Arial Narrow"/>
                <w:sz w:val="20"/>
                <w:szCs w:val="20"/>
                <w:lang w:val="en-AU"/>
              </w:rPr>
              <w:t xml:space="preserve"> amendment</w:t>
            </w:r>
            <w:r w:rsidRPr="004C2D88">
              <w:rPr>
                <w:rFonts w:ascii="Arial Narrow" w:hAnsi="Arial Narrow"/>
                <w:sz w:val="20"/>
                <w:szCs w:val="20"/>
                <w:lang w:val="en-AU"/>
              </w:rPr>
              <w:t xml:space="preserve">. </w:t>
            </w:r>
            <w:r w:rsidR="00D50A5B" w:rsidRPr="004C2D88">
              <w:rPr>
                <w:rFonts w:ascii="Arial Narrow" w:hAnsi="Arial Narrow"/>
                <w:sz w:val="20"/>
                <w:szCs w:val="20"/>
                <w:lang w:val="en-AU"/>
              </w:rPr>
              <w:t>August 2014</w:t>
            </w:r>
            <w:r w:rsidRPr="004C2D88">
              <w:rPr>
                <w:rFonts w:ascii="Arial Narrow" w:hAnsi="Arial Narrow"/>
                <w:sz w:val="20"/>
                <w:szCs w:val="20"/>
                <w:lang w:val="en-AU"/>
              </w:rPr>
              <w:t xml:space="preserve"> </w:t>
            </w:r>
          </w:p>
        </w:tc>
      </w:tr>
      <w:tr w:rsidR="00AB2EC7"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AB2EC7" w:rsidRPr="004C2D88" w:rsidRDefault="00AB2EC7"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AB2EC7" w:rsidRPr="004C2D88" w:rsidRDefault="00AB2EC7" w:rsidP="00465BB6">
            <w:pPr>
              <w:pStyle w:val="TableLeft"/>
              <w:spacing w:after="60"/>
              <w:rPr>
                <w:rFonts w:ascii="Arial Narrow" w:hAnsi="Arial Narrow"/>
                <w:sz w:val="20"/>
                <w:szCs w:val="20"/>
                <w:lang w:val="en-AU"/>
              </w:rPr>
            </w:pPr>
            <w:r w:rsidRPr="004C2D88">
              <w:rPr>
                <w:rStyle w:val="Small"/>
                <w:rFonts w:ascii="Arial Narrow" w:hAnsi="Arial Narrow"/>
                <w:sz w:val="20"/>
                <w:szCs w:val="20"/>
                <w:lang w:val="en-AU"/>
              </w:rPr>
              <w:t xml:space="preserve">Robert C, Karaszewska B, Schachter J, et al. </w:t>
            </w:r>
            <w:r w:rsidRPr="004C2D88">
              <w:rPr>
                <w:rFonts w:ascii="Arial Narrow" w:hAnsi="Arial Narrow"/>
                <w:sz w:val="20"/>
                <w:szCs w:val="20"/>
                <w:lang w:val="en-AU"/>
              </w:rPr>
              <w:t xml:space="preserve">Improved overall survival in melanoma with combined dabrafenib and trametinib. </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AB2EC7" w:rsidRPr="004C2D88" w:rsidRDefault="00AB2EC7" w:rsidP="005D6C6B">
            <w:pPr>
              <w:widowControl/>
              <w:jc w:val="left"/>
              <w:rPr>
                <w:rStyle w:val="Small"/>
                <w:rFonts w:ascii="Arial Narrow" w:hAnsi="Arial Narrow"/>
                <w:sz w:val="20"/>
                <w:szCs w:val="20"/>
                <w:lang w:val="en-AU"/>
              </w:rPr>
            </w:pPr>
            <w:r w:rsidRPr="004C2D88">
              <w:rPr>
                <w:rStyle w:val="Small"/>
                <w:rFonts w:ascii="Arial Narrow" w:hAnsi="Arial Narrow"/>
                <w:i/>
                <w:sz w:val="20"/>
                <w:szCs w:val="20"/>
                <w:lang w:val="en-AU"/>
              </w:rPr>
              <w:t>N Engl J Med</w:t>
            </w:r>
            <w:r w:rsidRPr="004C2D88">
              <w:rPr>
                <w:rStyle w:val="Small"/>
                <w:rFonts w:ascii="Arial Narrow" w:hAnsi="Arial Narrow"/>
                <w:sz w:val="20"/>
                <w:szCs w:val="20"/>
                <w:lang w:val="en-AU"/>
              </w:rPr>
              <w:t xml:space="preserve"> 2015</w:t>
            </w:r>
            <w:r w:rsidR="0056230E" w:rsidRPr="004C2D88">
              <w:rPr>
                <w:rStyle w:val="Small"/>
                <w:rFonts w:ascii="Arial Narrow" w:hAnsi="Arial Narrow"/>
                <w:sz w:val="20"/>
                <w:szCs w:val="20"/>
                <w:lang w:val="en-AU"/>
              </w:rPr>
              <w:t xml:space="preserve">; </w:t>
            </w:r>
            <w:r w:rsidRPr="004C2D88">
              <w:rPr>
                <w:rStyle w:val="Small"/>
                <w:rFonts w:ascii="Arial Narrow" w:hAnsi="Arial Narrow"/>
                <w:sz w:val="20"/>
                <w:szCs w:val="20"/>
                <w:lang w:val="en-AU"/>
              </w:rPr>
              <w:t>372</w:t>
            </w:r>
            <w:r w:rsidR="0056230E" w:rsidRPr="004C2D88">
              <w:rPr>
                <w:rStyle w:val="Small"/>
                <w:rFonts w:ascii="Arial Narrow" w:hAnsi="Arial Narrow"/>
                <w:sz w:val="20"/>
                <w:szCs w:val="20"/>
                <w:lang w:val="en-AU"/>
              </w:rPr>
              <w:t>(1):</w:t>
            </w:r>
            <w:r w:rsidRPr="004C2D88">
              <w:rPr>
                <w:rStyle w:val="Small"/>
                <w:rFonts w:ascii="Arial Narrow" w:hAnsi="Arial Narrow"/>
                <w:sz w:val="20"/>
                <w:szCs w:val="20"/>
                <w:lang w:val="en-AU"/>
              </w:rPr>
              <w:t xml:space="preserve"> 30-</w:t>
            </w:r>
            <w:r w:rsidR="009B0911" w:rsidRPr="004C2D88">
              <w:rPr>
                <w:rStyle w:val="Small"/>
                <w:rFonts w:ascii="Arial Narrow" w:hAnsi="Arial Narrow"/>
                <w:sz w:val="20"/>
                <w:szCs w:val="20"/>
                <w:lang w:val="en-AU"/>
              </w:rPr>
              <w:t>3</w:t>
            </w:r>
            <w:r w:rsidRPr="004C2D88">
              <w:rPr>
                <w:rStyle w:val="Small"/>
                <w:rFonts w:ascii="Arial Narrow" w:hAnsi="Arial Narrow"/>
                <w:sz w:val="20"/>
                <w:szCs w:val="20"/>
                <w:lang w:val="en-AU"/>
              </w:rPr>
              <w:t>9</w:t>
            </w:r>
          </w:p>
          <w:p w:rsidR="00AB2EC7" w:rsidRPr="004C2D88" w:rsidRDefault="00AB2EC7" w:rsidP="005D6C6B">
            <w:pPr>
              <w:widowControl/>
              <w:jc w:val="left"/>
              <w:rPr>
                <w:rStyle w:val="Small"/>
                <w:rFonts w:ascii="Arial Narrow" w:hAnsi="Arial Narrow"/>
                <w:sz w:val="20"/>
                <w:szCs w:val="20"/>
                <w:lang w:val="en-AU"/>
              </w:rPr>
            </w:pPr>
          </w:p>
        </w:tc>
      </w:tr>
      <w:tr w:rsidR="00DE527D"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E527D" w:rsidRPr="004C2D88" w:rsidRDefault="00DE527D"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E527D" w:rsidRPr="004C2D88" w:rsidRDefault="006349AB" w:rsidP="00465BB6">
            <w:pPr>
              <w:pStyle w:val="TableLeft"/>
              <w:spacing w:after="60"/>
              <w:rPr>
                <w:rStyle w:val="Small"/>
                <w:rFonts w:ascii="Arial Narrow" w:hAnsi="Arial Narrow"/>
                <w:sz w:val="20"/>
                <w:szCs w:val="20"/>
                <w:lang w:val="en-AU"/>
              </w:rPr>
            </w:pPr>
            <w:r w:rsidRPr="004C2D88">
              <w:rPr>
                <w:rStyle w:val="Small"/>
                <w:rFonts w:ascii="Arial Narrow" w:hAnsi="Arial Narrow"/>
                <w:sz w:val="20"/>
                <w:szCs w:val="20"/>
                <w:lang w:val="en-AU"/>
              </w:rPr>
              <w:t>Grob JJ, Amonkar MM, Karaszewska B, et al. Comparison of dabrafenib and trametinib combination therapy with vemurafenib monotherapy on health-related quality of life in patients with unresectable or metastatic cutaneous BRAF Val600-mutation-positive melanoma (COMBI-v): results of a phase 3, open-label, randomised trial</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E527D" w:rsidRPr="004C2D88" w:rsidRDefault="0056230E" w:rsidP="005D6C6B">
            <w:pPr>
              <w:widowControl/>
              <w:jc w:val="left"/>
              <w:rPr>
                <w:rStyle w:val="Small"/>
                <w:rFonts w:ascii="Arial Narrow" w:hAnsi="Arial Narrow"/>
                <w:sz w:val="20"/>
                <w:szCs w:val="20"/>
                <w:lang w:val="en-AU"/>
              </w:rPr>
            </w:pPr>
            <w:r w:rsidRPr="004C2D88">
              <w:rPr>
                <w:rStyle w:val="Small"/>
                <w:rFonts w:ascii="Arial Narrow" w:hAnsi="Arial Narrow"/>
                <w:i/>
                <w:sz w:val="20"/>
                <w:szCs w:val="20"/>
                <w:lang w:val="en-AU"/>
              </w:rPr>
              <w:t>Lancet Oncol</w:t>
            </w:r>
            <w:r w:rsidRPr="004C2D88">
              <w:rPr>
                <w:rStyle w:val="Small"/>
                <w:rFonts w:ascii="Arial Narrow" w:hAnsi="Arial Narrow"/>
                <w:sz w:val="20"/>
                <w:szCs w:val="20"/>
                <w:lang w:val="en-AU"/>
              </w:rPr>
              <w:t xml:space="preserve"> </w:t>
            </w:r>
            <w:r w:rsidR="00736E66" w:rsidRPr="004C2D88">
              <w:rPr>
                <w:rStyle w:val="Small"/>
                <w:rFonts w:ascii="Arial Narrow" w:hAnsi="Arial Narrow"/>
                <w:sz w:val="20"/>
                <w:szCs w:val="20"/>
                <w:lang w:val="en-AU"/>
              </w:rPr>
              <w:t>2015</w:t>
            </w:r>
            <w:r w:rsidR="009B0911" w:rsidRPr="004C2D88">
              <w:rPr>
                <w:rStyle w:val="Small"/>
                <w:rFonts w:ascii="Arial Narrow" w:hAnsi="Arial Narrow"/>
                <w:sz w:val="20"/>
                <w:szCs w:val="20"/>
                <w:lang w:val="en-AU"/>
              </w:rPr>
              <w:t xml:space="preserve">; </w:t>
            </w:r>
            <w:r w:rsidRPr="004C2D88">
              <w:rPr>
                <w:rStyle w:val="Small"/>
                <w:rFonts w:ascii="Arial Narrow" w:hAnsi="Arial Narrow"/>
                <w:sz w:val="20"/>
                <w:szCs w:val="20"/>
                <w:lang w:val="en-AU"/>
              </w:rPr>
              <w:t>16</w:t>
            </w:r>
            <w:r w:rsidR="00736E66" w:rsidRPr="004C2D88">
              <w:rPr>
                <w:rStyle w:val="Small"/>
                <w:rFonts w:ascii="Arial Narrow" w:hAnsi="Arial Narrow"/>
                <w:sz w:val="20"/>
                <w:szCs w:val="20"/>
                <w:lang w:val="en-AU"/>
              </w:rPr>
              <w:t>(13)</w:t>
            </w:r>
            <w:r w:rsidR="009B0911" w:rsidRPr="004C2D88">
              <w:rPr>
                <w:rStyle w:val="Small"/>
                <w:rFonts w:ascii="Arial Narrow" w:hAnsi="Arial Narrow"/>
                <w:sz w:val="20"/>
                <w:szCs w:val="20"/>
                <w:lang w:val="en-AU"/>
              </w:rPr>
              <w:t>:</w:t>
            </w:r>
            <w:r w:rsidRPr="004C2D88">
              <w:rPr>
                <w:rStyle w:val="Small"/>
                <w:rFonts w:ascii="Arial Narrow" w:hAnsi="Arial Narrow"/>
                <w:sz w:val="20"/>
                <w:szCs w:val="20"/>
                <w:lang w:val="en-AU"/>
              </w:rPr>
              <w:t xml:space="preserve"> 1389-</w:t>
            </w:r>
            <w:r w:rsidR="009B0911" w:rsidRPr="004C2D88">
              <w:rPr>
                <w:rStyle w:val="Small"/>
                <w:rFonts w:ascii="Arial Narrow" w:hAnsi="Arial Narrow"/>
                <w:sz w:val="20"/>
                <w:szCs w:val="20"/>
                <w:lang w:val="en-AU"/>
              </w:rPr>
              <w:t>13</w:t>
            </w:r>
            <w:r w:rsidR="005B481B" w:rsidRPr="004C2D88">
              <w:rPr>
                <w:rStyle w:val="Small"/>
                <w:rFonts w:ascii="Arial Narrow" w:hAnsi="Arial Narrow"/>
                <w:sz w:val="20"/>
                <w:szCs w:val="20"/>
                <w:lang w:val="en-AU"/>
              </w:rPr>
              <w:t>98</w:t>
            </w:r>
          </w:p>
        </w:tc>
      </w:tr>
      <w:tr w:rsidR="00DE527D"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E527D" w:rsidRPr="004C2D88" w:rsidRDefault="00DE527D"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E527D" w:rsidRPr="004C2D88" w:rsidRDefault="009B0911" w:rsidP="00465BB6">
            <w:pPr>
              <w:pStyle w:val="TableLeft"/>
              <w:spacing w:after="60"/>
              <w:rPr>
                <w:rStyle w:val="Small"/>
                <w:rFonts w:ascii="Arial Narrow" w:hAnsi="Arial Narrow"/>
                <w:sz w:val="20"/>
                <w:szCs w:val="20"/>
                <w:lang w:val="en-AU"/>
              </w:rPr>
            </w:pPr>
            <w:r w:rsidRPr="004C2D88">
              <w:rPr>
                <w:rStyle w:val="Small"/>
                <w:rFonts w:ascii="Arial Narrow" w:hAnsi="Arial Narrow"/>
                <w:sz w:val="20"/>
                <w:szCs w:val="20"/>
                <w:lang w:val="en-AU"/>
              </w:rPr>
              <w:t>Long GV, Grob JJ, Nathan P, et al. Factors predictive of response, disease progression, and overall survival after dabrafenib and trametinib combination treatment: a pooled analysis of individual patient data from randomised trials</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E527D" w:rsidRPr="004C2D88" w:rsidRDefault="009B0911" w:rsidP="005D6C6B">
            <w:pPr>
              <w:widowControl/>
              <w:jc w:val="left"/>
              <w:rPr>
                <w:rStyle w:val="Small"/>
                <w:rFonts w:ascii="Arial Narrow" w:hAnsi="Arial Narrow"/>
                <w:sz w:val="20"/>
                <w:szCs w:val="20"/>
                <w:lang w:val="en-AU"/>
              </w:rPr>
            </w:pPr>
            <w:r w:rsidRPr="004C2D88">
              <w:rPr>
                <w:rStyle w:val="Small"/>
                <w:rFonts w:ascii="Arial Narrow" w:hAnsi="Arial Narrow"/>
                <w:i/>
                <w:sz w:val="20"/>
                <w:szCs w:val="20"/>
                <w:lang w:val="en-AU"/>
              </w:rPr>
              <w:t>Lancet Oncol</w:t>
            </w:r>
            <w:r w:rsidR="00736E66" w:rsidRPr="004C2D88">
              <w:rPr>
                <w:rStyle w:val="Small"/>
                <w:rFonts w:ascii="Arial Narrow" w:hAnsi="Arial Narrow"/>
                <w:sz w:val="20"/>
                <w:szCs w:val="20"/>
                <w:lang w:val="en-AU"/>
              </w:rPr>
              <w:t xml:space="preserve"> 2016; 17(12)</w:t>
            </w:r>
            <w:r w:rsidRPr="004C2D88">
              <w:rPr>
                <w:rStyle w:val="Small"/>
                <w:rFonts w:ascii="Arial Narrow" w:hAnsi="Arial Narrow"/>
                <w:sz w:val="20"/>
                <w:szCs w:val="20"/>
                <w:lang w:val="en-AU"/>
              </w:rPr>
              <w:t>: 1743-1754</w:t>
            </w:r>
          </w:p>
        </w:tc>
      </w:tr>
      <w:tr w:rsidR="00DE527D"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E527D" w:rsidRPr="004C2D88" w:rsidRDefault="00DE527D"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E527D" w:rsidRPr="004C2D88" w:rsidRDefault="009B0911" w:rsidP="00465BB6">
            <w:pPr>
              <w:pStyle w:val="TableLeft"/>
              <w:spacing w:after="60"/>
              <w:rPr>
                <w:rStyle w:val="Small"/>
                <w:rFonts w:ascii="Arial Narrow" w:hAnsi="Arial Narrow"/>
                <w:sz w:val="20"/>
                <w:szCs w:val="20"/>
                <w:lang w:val="en-AU"/>
              </w:rPr>
            </w:pPr>
            <w:r w:rsidRPr="004C2D88">
              <w:rPr>
                <w:rStyle w:val="Small"/>
                <w:rFonts w:ascii="Arial Narrow" w:hAnsi="Arial Narrow"/>
                <w:sz w:val="20"/>
                <w:szCs w:val="20"/>
                <w:lang w:val="en-AU"/>
              </w:rPr>
              <w:t>Robert C, Karaszewska B, Schachter J, et al. Two year estimate of overall survival in COMBI-v, a randomized, open-label, phase III study comparing the combination of dabrafenib (D) and trametinib (T) with vemurafenib (Vem) as first-line therapy in patients (pts) with unresectable or metastatic BRAF V600E/K mutation-positive cutaneous melanoma (conference abstract</w:t>
            </w:r>
            <w:r w:rsidR="002862FA" w:rsidRPr="004C2D88">
              <w:rPr>
                <w:rStyle w:val="Small"/>
                <w:rFonts w:ascii="Arial Narrow" w:hAnsi="Arial Narrow"/>
                <w:sz w:val="20"/>
                <w:szCs w:val="20"/>
                <w:lang w:val="en-AU"/>
              </w:rPr>
              <w:t xml:space="preserve"> 3301</w:t>
            </w:r>
            <w:r w:rsidRPr="004C2D88">
              <w:rPr>
                <w:rStyle w:val="Small"/>
                <w:rFonts w:ascii="Arial Narrow" w:hAnsi="Arial Narrow"/>
                <w:sz w:val="20"/>
                <w:szCs w:val="20"/>
                <w:lang w:val="en-AU"/>
              </w:rPr>
              <w:t>)</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E527D" w:rsidRPr="004C2D88" w:rsidRDefault="0005340A" w:rsidP="005D6C6B">
            <w:pPr>
              <w:widowControl/>
              <w:jc w:val="left"/>
              <w:rPr>
                <w:rStyle w:val="Small"/>
                <w:rFonts w:ascii="Arial Narrow" w:hAnsi="Arial Narrow"/>
                <w:sz w:val="20"/>
                <w:szCs w:val="20"/>
                <w:lang w:val="en-AU"/>
              </w:rPr>
            </w:pPr>
            <w:r w:rsidRPr="004C2D88">
              <w:rPr>
                <w:rStyle w:val="Small"/>
                <w:rFonts w:ascii="Arial Narrow" w:hAnsi="Arial Narrow"/>
                <w:i/>
                <w:sz w:val="20"/>
                <w:szCs w:val="20"/>
                <w:lang w:val="en-AU"/>
              </w:rPr>
              <w:t xml:space="preserve">Eur J Cancer </w:t>
            </w:r>
            <w:r w:rsidR="00736E66" w:rsidRPr="004C2D88">
              <w:rPr>
                <w:rStyle w:val="Small"/>
                <w:rFonts w:ascii="Arial Narrow" w:hAnsi="Arial Narrow"/>
                <w:sz w:val="20"/>
                <w:szCs w:val="20"/>
                <w:lang w:val="en-AU"/>
              </w:rPr>
              <w:t>2015; 51(Suppl. 3)</w:t>
            </w:r>
            <w:r w:rsidRPr="004C2D88">
              <w:rPr>
                <w:rStyle w:val="Small"/>
                <w:rFonts w:ascii="Arial Narrow" w:hAnsi="Arial Narrow"/>
                <w:sz w:val="20"/>
                <w:szCs w:val="20"/>
                <w:lang w:val="en-AU"/>
              </w:rPr>
              <w:t>: S663</w:t>
            </w:r>
          </w:p>
        </w:tc>
      </w:tr>
      <w:tr w:rsidR="0005340A" w:rsidRPr="004C2D88" w:rsidTr="00BE46AE">
        <w:tc>
          <w:tcPr>
            <w:tcW w:w="759" w:type="pc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rsidR="0005340A" w:rsidRPr="004C2D88" w:rsidRDefault="0005340A"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rsidR="0005340A" w:rsidRPr="004C2D88" w:rsidRDefault="0050367C" w:rsidP="00465BB6">
            <w:pPr>
              <w:pStyle w:val="TableLeft"/>
              <w:spacing w:after="60"/>
              <w:rPr>
                <w:rStyle w:val="Small"/>
                <w:rFonts w:ascii="Arial Narrow" w:hAnsi="Arial Narrow"/>
                <w:sz w:val="20"/>
                <w:szCs w:val="20"/>
                <w:lang w:val="en-AU"/>
              </w:rPr>
            </w:pPr>
            <w:r w:rsidRPr="004C2D88">
              <w:rPr>
                <w:rStyle w:val="Small"/>
                <w:rFonts w:ascii="Arial Narrow" w:hAnsi="Arial Narrow"/>
                <w:sz w:val="20"/>
                <w:szCs w:val="20"/>
                <w:lang w:val="en-AU"/>
              </w:rPr>
              <w:t xml:space="preserve">Robert C, Karaszewska B, Schachter J, et al. </w:t>
            </w:r>
            <w:r w:rsidR="0005340A" w:rsidRPr="004C2D88">
              <w:rPr>
                <w:rStyle w:val="Small"/>
                <w:rFonts w:ascii="Arial Narrow" w:hAnsi="Arial Narrow"/>
                <w:sz w:val="20"/>
                <w:szCs w:val="20"/>
                <w:lang w:val="en-AU"/>
              </w:rPr>
              <w:t xml:space="preserve">Three-year estimate of overall survival in COMBI-v, a randomized phase 3 study evaluating first-line dabrafenib (D) + trametinib (T) in patients (pts) with </w:t>
            </w:r>
            <w:r w:rsidR="0005340A" w:rsidRPr="004C2D88">
              <w:rPr>
                <w:rStyle w:val="Small"/>
                <w:rFonts w:ascii="Arial Narrow" w:hAnsi="Arial Narrow"/>
                <w:sz w:val="20"/>
                <w:szCs w:val="20"/>
                <w:lang w:val="en-AU"/>
              </w:rPr>
              <w:lastRenderedPageBreak/>
              <w:t>unresectable or metastatic BRAF V600E/K-mutant cutaneous melanoma (conference abstract</w:t>
            </w:r>
            <w:r w:rsidR="002862FA" w:rsidRPr="004C2D88">
              <w:rPr>
                <w:rStyle w:val="Small"/>
                <w:rFonts w:ascii="Arial Narrow" w:hAnsi="Arial Narrow"/>
                <w:sz w:val="20"/>
                <w:szCs w:val="20"/>
                <w:lang w:val="en-AU"/>
              </w:rPr>
              <w:t xml:space="preserve"> LBA40</w:t>
            </w:r>
            <w:r w:rsidR="0005340A" w:rsidRPr="004C2D88">
              <w:rPr>
                <w:rStyle w:val="Small"/>
                <w:rFonts w:ascii="Arial Narrow" w:hAnsi="Arial Narrow"/>
                <w:sz w:val="20"/>
                <w:szCs w:val="20"/>
                <w:lang w:val="en-AU"/>
              </w:rPr>
              <w:t>)</w:t>
            </w:r>
          </w:p>
        </w:tc>
        <w:tc>
          <w:tcPr>
            <w:tcW w:w="1328" w:type="pc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rsidR="0005340A" w:rsidRPr="004C2D88" w:rsidRDefault="0005340A" w:rsidP="005D6C6B">
            <w:pPr>
              <w:widowControl/>
              <w:jc w:val="left"/>
              <w:rPr>
                <w:rStyle w:val="Small"/>
                <w:sz w:val="24"/>
                <w:lang w:val="en-AU"/>
              </w:rPr>
            </w:pPr>
            <w:r w:rsidRPr="004C2D88">
              <w:rPr>
                <w:rStyle w:val="Small"/>
                <w:rFonts w:ascii="Arial Narrow" w:hAnsi="Arial Narrow"/>
                <w:i/>
                <w:sz w:val="20"/>
                <w:szCs w:val="20"/>
                <w:lang w:val="en-AU"/>
              </w:rPr>
              <w:lastRenderedPageBreak/>
              <w:t xml:space="preserve">Ann Oncol </w:t>
            </w:r>
            <w:r w:rsidR="00736E66" w:rsidRPr="004C2D88">
              <w:rPr>
                <w:rStyle w:val="Small"/>
                <w:rFonts w:ascii="Arial Narrow" w:hAnsi="Arial Narrow"/>
                <w:sz w:val="20"/>
                <w:szCs w:val="20"/>
                <w:lang w:val="en-AU"/>
              </w:rPr>
              <w:t>2016; 27 (Suppl. 6)</w:t>
            </w:r>
            <w:r w:rsidRPr="004C2D88">
              <w:rPr>
                <w:rStyle w:val="Small"/>
                <w:rFonts w:ascii="Arial Narrow" w:hAnsi="Arial Narrow"/>
                <w:sz w:val="20"/>
                <w:szCs w:val="20"/>
                <w:lang w:val="en-AU"/>
              </w:rPr>
              <w:t>: vi552–vi587</w:t>
            </w:r>
          </w:p>
        </w:tc>
      </w:tr>
      <w:tr w:rsidR="00390833" w:rsidRPr="004C2D88" w:rsidTr="00BE46AE">
        <w:tc>
          <w:tcPr>
            <w:tcW w:w="759"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DE527D" w:rsidRPr="004C2D88" w:rsidRDefault="00DE527D" w:rsidP="00465BB6">
            <w:pPr>
              <w:pStyle w:val="TableLeft"/>
              <w:keepNext/>
              <w:rPr>
                <w:rStyle w:val="Small"/>
                <w:rFonts w:ascii="Arial Narrow" w:hAnsi="Arial Narrow"/>
                <w:sz w:val="20"/>
                <w:szCs w:val="20"/>
                <w:lang w:val="en-AU"/>
              </w:rPr>
            </w:pPr>
            <w:r w:rsidRPr="004C2D88">
              <w:rPr>
                <w:rStyle w:val="Small"/>
                <w:rFonts w:ascii="Arial Narrow" w:hAnsi="Arial Narrow"/>
                <w:sz w:val="20"/>
                <w:szCs w:val="20"/>
                <w:lang w:val="en-AU"/>
              </w:rPr>
              <w:t>COMBI-D (NCT01584648)</w:t>
            </w:r>
          </w:p>
          <w:p w:rsidR="00390833" w:rsidRPr="004C2D88" w:rsidRDefault="00390833" w:rsidP="00465BB6">
            <w:pPr>
              <w:pStyle w:val="TableLeft"/>
              <w:keepNext/>
              <w:rPr>
                <w:rStyle w:val="Small"/>
                <w:rFonts w:ascii="Arial Narrow" w:hAnsi="Arial Narrow"/>
                <w:sz w:val="20"/>
                <w:szCs w:val="20"/>
                <w:lang w:val="en-AU"/>
              </w:rPr>
            </w:pPr>
          </w:p>
        </w:tc>
        <w:tc>
          <w:tcPr>
            <w:tcW w:w="2913"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390833" w:rsidRPr="004C2D88" w:rsidRDefault="002862FA" w:rsidP="00465BB6">
            <w:pPr>
              <w:pStyle w:val="TableLeft"/>
              <w:keepNext/>
              <w:spacing w:after="60"/>
              <w:rPr>
                <w:rStyle w:val="Small"/>
                <w:rFonts w:ascii="Arial Narrow" w:hAnsi="Arial Narrow"/>
                <w:sz w:val="20"/>
                <w:szCs w:val="20"/>
                <w:lang w:val="en-AU"/>
              </w:rPr>
            </w:pPr>
            <w:r w:rsidRPr="004C2D88">
              <w:rPr>
                <w:rFonts w:ascii="Arial Narrow" w:hAnsi="Arial Narrow"/>
                <w:sz w:val="20"/>
                <w:szCs w:val="20"/>
                <w:lang w:val="en-AU"/>
              </w:rPr>
              <w:t xml:space="preserve">A phase III, randomised, double-blinded study comparing the combination of the </w:t>
            </w:r>
            <w:r w:rsidR="005A4385" w:rsidRPr="004C2D88">
              <w:rPr>
                <w:rFonts w:ascii="Arial Narrow" w:hAnsi="Arial Narrow"/>
                <w:sz w:val="20"/>
                <w:szCs w:val="20"/>
                <w:lang w:val="en-AU"/>
              </w:rPr>
              <w:t>BRAF</w:t>
            </w:r>
            <w:r w:rsidRPr="004C2D88">
              <w:rPr>
                <w:rFonts w:ascii="Arial Narrow" w:hAnsi="Arial Narrow"/>
                <w:sz w:val="20"/>
                <w:szCs w:val="20"/>
                <w:lang w:val="en-AU"/>
              </w:rPr>
              <w:t xml:space="preserve"> inhibitor, dabrafenib and the MEK inhibitor, trametinib to dabrafenib and placebo as first-line therapy in subjects with unresectable (stage IIIc) or metastatic (stage IV) BRAF V600E/K mutation-positive cutaneous melanoma</w:t>
            </w:r>
          </w:p>
        </w:tc>
        <w:tc>
          <w:tcPr>
            <w:tcW w:w="1328"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390833" w:rsidRPr="004C2D88" w:rsidRDefault="002862FA" w:rsidP="005D6C6B">
            <w:pPr>
              <w:pStyle w:val="TableLeft"/>
              <w:keepNext/>
              <w:rPr>
                <w:rStyle w:val="Small"/>
                <w:rFonts w:ascii="Arial Narrow" w:hAnsi="Arial Narrow"/>
                <w:sz w:val="20"/>
                <w:szCs w:val="20"/>
                <w:lang w:val="en-AU"/>
              </w:rPr>
            </w:pPr>
            <w:r w:rsidRPr="004C2D88">
              <w:rPr>
                <w:rStyle w:val="Small"/>
                <w:rFonts w:ascii="Arial Narrow" w:hAnsi="Arial Narrow"/>
                <w:sz w:val="20"/>
                <w:szCs w:val="20"/>
                <w:lang w:val="en-AU"/>
              </w:rPr>
              <w:t>Protocol</w:t>
            </w:r>
            <w:r w:rsidR="00D50A5B" w:rsidRPr="004C2D88">
              <w:rPr>
                <w:rStyle w:val="Small"/>
                <w:rFonts w:ascii="Arial Narrow" w:hAnsi="Arial Narrow"/>
                <w:sz w:val="20"/>
                <w:szCs w:val="20"/>
                <w:lang w:val="en-AU"/>
              </w:rPr>
              <w:t xml:space="preserve"> amendment</w:t>
            </w:r>
            <w:r w:rsidRPr="004C2D88">
              <w:rPr>
                <w:rStyle w:val="Small"/>
                <w:rFonts w:ascii="Arial Narrow" w:hAnsi="Arial Narrow"/>
                <w:sz w:val="20"/>
                <w:szCs w:val="20"/>
                <w:lang w:val="en-AU"/>
              </w:rPr>
              <w:t xml:space="preserve">. </w:t>
            </w:r>
            <w:r w:rsidR="00D50A5B" w:rsidRPr="004C2D88">
              <w:rPr>
                <w:rStyle w:val="Small"/>
                <w:rFonts w:ascii="Arial Narrow" w:hAnsi="Arial Narrow"/>
                <w:sz w:val="20"/>
                <w:szCs w:val="20"/>
                <w:lang w:val="en-AU"/>
              </w:rPr>
              <w:t>October 2013</w:t>
            </w:r>
          </w:p>
        </w:tc>
      </w:tr>
      <w:tr w:rsidR="002862FA"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2862FA" w:rsidRPr="004C2D88" w:rsidRDefault="002862FA"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2862FA" w:rsidRPr="004C2D88" w:rsidRDefault="002862FA" w:rsidP="00465BB6">
            <w:pPr>
              <w:pStyle w:val="TableLeft"/>
              <w:spacing w:after="60"/>
              <w:rPr>
                <w:rFonts w:ascii="Arial Narrow" w:hAnsi="Arial Narrow"/>
                <w:sz w:val="20"/>
                <w:szCs w:val="20"/>
                <w:lang w:val="en-AU"/>
              </w:rPr>
            </w:pPr>
            <w:r w:rsidRPr="004C2D88">
              <w:rPr>
                <w:rFonts w:ascii="Arial Narrow" w:hAnsi="Arial Narrow"/>
                <w:sz w:val="20"/>
                <w:szCs w:val="20"/>
                <w:lang w:val="en-AU"/>
              </w:rPr>
              <w:t>Long GV, Stroyakovskiy D, Gogas H, et al. Combined BRAF and MEK inhibition versus BRAF inhibition alone in melanoma</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2862FA" w:rsidRPr="004C2D88" w:rsidRDefault="002862FA" w:rsidP="005D6C6B">
            <w:pPr>
              <w:pStyle w:val="TableLeft"/>
              <w:rPr>
                <w:rStyle w:val="Small"/>
                <w:rFonts w:ascii="Arial Narrow" w:hAnsi="Arial Narrow"/>
                <w:sz w:val="20"/>
                <w:szCs w:val="20"/>
                <w:lang w:val="en-AU"/>
              </w:rPr>
            </w:pPr>
            <w:r w:rsidRPr="004C2D88">
              <w:rPr>
                <w:rStyle w:val="Small"/>
                <w:rFonts w:ascii="Arial Narrow" w:hAnsi="Arial Narrow"/>
                <w:i/>
                <w:sz w:val="20"/>
                <w:szCs w:val="20"/>
                <w:lang w:val="en-AU"/>
              </w:rPr>
              <w:t>N</w:t>
            </w:r>
            <w:r w:rsidR="007A7607" w:rsidRPr="004C2D88">
              <w:rPr>
                <w:rStyle w:val="Small"/>
                <w:rFonts w:ascii="Arial Narrow" w:hAnsi="Arial Narrow"/>
                <w:i/>
                <w:sz w:val="20"/>
                <w:szCs w:val="20"/>
                <w:lang w:val="en-AU"/>
              </w:rPr>
              <w:t xml:space="preserve"> Engl J Med</w:t>
            </w:r>
            <w:r w:rsidR="007A7607" w:rsidRPr="004C2D88">
              <w:rPr>
                <w:rStyle w:val="Small"/>
                <w:rFonts w:ascii="Arial Narrow" w:hAnsi="Arial Narrow"/>
                <w:sz w:val="20"/>
                <w:szCs w:val="20"/>
                <w:lang w:val="en-AU"/>
              </w:rPr>
              <w:t xml:space="preserve"> 2014; </w:t>
            </w:r>
            <w:r w:rsidRPr="004C2D88">
              <w:rPr>
                <w:rStyle w:val="Small"/>
                <w:rFonts w:ascii="Arial Narrow" w:hAnsi="Arial Narrow"/>
                <w:sz w:val="20"/>
                <w:szCs w:val="20"/>
                <w:lang w:val="en-AU"/>
              </w:rPr>
              <w:t>371</w:t>
            </w:r>
            <w:r w:rsidR="007A7607" w:rsidRPr="004C2D88">
              <w:rPr>
                <w:rStyle w:val="Small"/>
                <w:rFonts w:ascii="Arial Narrow" w:hAnsi="Arial Narrow"/>
                <w:sz w:val="20"/>
                <w:szCs w:val="20"/>
                <w:lang w:val="en-AU"/>
              </w:rPr>
              <w:t>(20):</w:t>
            </w:r>
            <w:r w:rsidRPr="004C2D88">
              <w:rPr>
                <w:rStyle w:val="Small"/>
                <w:rFonts w:ascii="Arial Narrow" w:hAnsi="Arial Narrow"/>
                <w:sz w:val="20"/>
                <w:szCs w:val="20"/>
                <w:lang w:val="en-AU"/>
              </w:rPr>
              <w:t xml:space="preserve"> 1877-</w:t>
            </w:r>
            <w:r w:rsidR="007A7607" w:rsidRPr="004C2D88">
              <w:rPr>
                <w:rStyle w:val="Small"/>
                <w:rFonts w:ascii="Arial Narrow" w:hAnsi="Arial Narrow"/>
                <w:sz w:val="20"/>
                <w:szCs w:val="20"/>
                <w:lang w:val="en-AU"/>
              </w:rPr>
              <w:t>18</w:t>
            </w:r>
            <w:r w:rsidRPr="004C2D88">
              <w:rPr>
                <w:rStyle w:val="Small"/>
                <w:rFonts w:ascii="Arial Narrow" w:hAnsi="Arial Narrow"/>
                <w:sz w:val="20"/>
                <w:szCs w:val="20"/>
                <w:lang w:val="en-AU"/>
              </w:rPr>
              <w:t>88</w:t>
            </w:r>
          </w:p>
          <w:p w:rsidR="002862FA" w:rsidRPr="004C2D88" w:rsidRDefault="002862FA" w:rsidP="005D6C6B">
            <w:pPr>
              <w:pStyle w:val="TableLeft"/>
              <w:rPr>
                <w:rStyle w:val="Small"/>
                <w:rFonts w:ascii="Arial Narrow" w:hAnsi="Arial Narrow"/>
                <w:sz w:val="20"/>
                <w:szCs w:val="20"/>
                <w:lang w:val="en-AU"/>
              </w:rPr>
            </w:pPr>
          </w:p>
        </w:tc>
      </w:tr>
      <w:tr w:rsidR="002862FA"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2862FA" w:rsidRPr="004C2D88" w:rsidRDefault="002862FA"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2862FA" w:rsidRPr="004C2D88" w:rsidRDefault="007A7607" w:rsidP="00465BB6">
            <w:pPr>
              <w:pStyle w:val="TableLeft"/>
              <w:spacing w:after="60"/>
              <w:rPr>
                <w:rFonts w:ascii="Arial Narrow" w:hAnsi="Arial Narrow"/>
                <w:sz w:val="20"/>
                <w:szCs w:val="20"/>
                <w:lang w:val="en-AU"/>
              </w:rPr>
            </w:pPr>
            <w:r w:rsidRPr="004C2D88">
              <w:rPr>
                <w:rFonts w:ascii="Arial Narrow" w:hAnsi="Arial Narrow"/>
                <w:sz w:val="20"/>
                <w:szCs w:val="20"/>
                <w:lang w:val="en-AU"/>
              </w:rPr>
              <w:t>Long GV, Stroyakovskiy D, Gogas H, et al. Dabrafenib and trametinib versus dabrafenib and placebo for Val600 BRAF-mutant melanoma: a multicentre, double-blind, phase 3 randomised controlled trial</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7A7607" w:rsidRPr="004C2D88" w:rsidRDefault="007A7607" w:rsidP="005D6C6B">
            <w:pPr>
              <w:pStyle w:val="TableLeft"/>
              <w:rPr>
                <w:rStyle w:val="Small"/>
                <w:rFonts w:ascii="Arial Narrow" w:hAnsi="Arial Narrow"/>
                <w:sz w:val="20"/>
                <w:szCs w:val="20"/>
                <w:lang w:val="en-AU"/>
              </w:rPr>
            </w:pPr>
            <w:r w:rsidRPr="004C2D88">
              <w:rPr>
                <w:rStyle w:val="Small"/>
                <w:rFonts w:ascii="Arial Narrow" w:hAnsi="Arial Narrow"/>
                <w:i/>
                <w:sz w:val="20"/>
                <w:szCs w:val="20"/>
                <w:lang w:val="en-AU"/>
              </w:rPr>
              <w:t xml:space="preserve">Lancet </w:t>
            </w:r>
            <w:r w:rsidR="00736E66" w:rsidRPr="004C2D88">
              <w:rPr>
                <w:rStyle w:val="Small"/>
                <w:rFonts w:ascii="Arial Narrow" w:hAnsi="Arial Narrow"/>
                <w:sz w:val="20"/>
                <w:szCs w:val="20"/>
                <w:lang w:val="en-AU"/>
              </w:rPr>
              <w:t>2015</w:t>
            </w:r>
            <w:r w:rsidRPr="004C2D88">
              <w:rPr>
                <w:rStyle w:val="Small"/>
                <w:rFonts w:ascii="Arial Narrow" w:hAnsi="Arial Narrow"/>
                <w:sz w:val="20"/>
                <w:szCs w:val="20"/>
                <w:lang w:val="en-AU"/>
              </w:rPr>
              <w:t>; 386(9992): 444-451</w:t>
            </w:r>
          </w:p>
          <w:p w:rsidR="002862FA" w:rsidRPr="004C2D88" w:rsidRDefault="002862FA" w:rsidP="005D6C6B">
            <w:pPr>
              <w:pStyle w:val="TableLeft"/>
              <w:rPr>
                <w:rStyle w:val="Small"/>
                <w:rFonts w:ascii="Arial Narrow" w:hAnsi="Arial Narrow"/>
                <w:sz w:val="20"/>
                <w:szCs w:val="20"/>
                <w:lang w:val="en-AU"/>
              </w:rPr>
            </w:pPr>
          </w:p>
        </w:tc>
      </w:tr>
      <w:tr w:rsidR="002862FA"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2862FA" w:rsidRPr="004C2D88" w:rsidRDefault="002862FA"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2862FA" w:rsidRPr="004C2D88" w:rsidRDefault="007A7607" w:rsidP="00465BB6">
            <w:pPr>
              <w:pStyle w:val="TableLeft"/>
              <w:spacing w:after="60"/>
              <w:rPr>
                <w:rFonts w:ascii="Arial Narrow" w:hAnsi="Arial Narrow"/>
                <w:sz w:val="20"/>
                <w:szCs w:val="20"/>
                <w:lang w:val="en-AU"/>
              </w:rPr>
            </w:pPr>
            <w:r w:rsidRPr="004C2D88">
              <w:rPr>
                <w:rFonts w:ascii="Arial Narrow" w:hAnsi="Arial Narrow"/>
                <w:sz w:val="20"/>
                <w:szCs w:val="20"/>
                <w:lang w:val="en-AU"/>
              </w:rPr>
              <w:t>Schadendorf D, Amonkar MM, Stroyakovskiy D, et al. Health-related quality of life impact in a randomised phase III study of the combination of dabrafenib and trametinib versus dabrafenib monotherapy in patients with BRAF V600 metastatic melanoma</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7A7607" w:rsidRPr="004C2D88" w:rsidRDefault="007A7607" w:rsidP="005D6C6B">
            <w:pPr>
              <w:pStyle w:val="TableLeft"/>
              <w:rPr>
                <w:rStyle w:val="Small"/>
                <w:rFonts w:ascii="Arial Narrow" w:hAnsi="Arial Narrow"/>
                <w:sz w:val="20"/>
                <w:szCs w:val="20"/>
                <w:lang w:val="en-AU"/>
              </w:rPr>
            </w:pPr>
            <w:r w:rsidRPr="004C2D88">
              <w:rPr>
                <w:rStyle w:val="Small"/>
                <w:rFonts w:ascii="Arial Narrow" w:hAnsi="Arial Narrow"/>
                <w:i/>
                <w:sz w:val="20"/>
                <w:szCs w:val="20"/>
                <w:lang w:val="en-AU"/>
              </w:rPr>
              <w:t xml:space="preserve">Eur J Cancer </w:t>
            </w:r>
            <w:r w:rsidRPr="004C2D88">
              <w:rPr>
                <w:rStyle w:val="Small"/>
                <w:rFonts w:ascii="Arial Narrow" w:hAnsi="Arial Narrow"/>
                <w:sz w:val="20"/>
                <w:szCs w:val="20"/>
                <w:lang w:val="en-AU"/>
              </w:rPr>
              <w:t>2015;</w:t>
            </w:r>
            <w:r w:rsidRPr="004C2D88">
              <w:rPr>
                <w:rStyle w:val="Small"/>
                <w:rFonts w:ascii="Arial Narrow" w:hAnsi="Arial Narrow"/>
                <w:i/>
                <w:sz w:val="20"/>
                <w:szCs w:val="20"/>
                <w:lang w:val="en-AU"/>
              </w:rPr>
              <w:t xml:space="preserve"> </w:t>
            </w:r>
            <w:r w:rsidRPr="004C2D88">
              <w:rPr>
                <w:rStyle w:val="Small"/>
                <w:rFonts w:ascii="Arial Narrow" w:hAnsi="Arial Narrow"/>
                <w:sz w:val="20"/>
                <w:szCs w:val="20"/>
                <w:lang w:val="en-AU"/>
              </w:rPr>
              <w:t xml:space="preserve">51 (7): 833-840 </w:t>
            </w:r>
          </w:p>
          <w:p w:rsidR="002862FA" w:rsidRPr="004C2D88" w:rsidRDefault="002862FA" w:rsidP="005D6C6B">
            <w:pPr>
              <w:pStyle w:val="TableLeft"/>
              <w:rPr>
                <w:rStyle w:val="Small"/>
                <w:rFonts w:ascii="Arial Narrow" w:hAnsi="Arial Narrow"/>
                <w:sz w:val="20"/>
                <w:szCs w:val="20"/>
                <w:highlight w:val="yellow"/>
                <w:lang w:val="en-AU"/>
              </w:rPr>
            </w:pPr>
          </w:p>
        </w:tc>
      </w:tr>
      <w:tr w:rsidR="007A7607"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7A7607" w:rsidRPr="004C2D88" w:rsidRDefault="007A7607"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7A7607" w:rsidRPr="004C2D88" w:rsidRDefault="007A7607" w:rsidP="00465BB6">
            <w:pPr>
              <w:pStyle w:val="TableLeft"/>
              <w:spacing w:after="60"/>
              <w:rPr>
                <w:rFonts w:ascii="Arial Narrow" w:hAnsi="Arial Narrow"/>
                <w:sz w:val="20"/>
                <w:szCs w:val="20"/>
                <w:lang w:val="en-AU"/>
              </w:rPr>
            </w:pPr>
            <w:r w:rsidRPr="004C2D88">
              <w:rPr>
                <w:rFonts w:ascii="Arial Narrow" w:hAnsi="Arial Narrow"/>
                <w:sz w:val="20"/>
                <w:szCs w:val="20"/>
                <w:lang w:val="en-AU"/>
              </w:rPr>
              <w:t>Menzies AM, Ashworth MT, Swann S, et al. Characteristics of pyrexia in BRAFV600E/K metastatic melanoma patients treated with combined dabrafenib and trametinib in a phase I/II clinical trial</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7A7607" w:rsidRPr="004C2D88" w:rsidRDefault="007A7607" w:rsidP="005D6C6B">
            <w:pPr>
              <w:pStyle w:val="TableLeft"/>
              <w:rPr>
                <w:rStyle w:val="Small"/>
                <w:rFonts w:ascii="Arial Narrow" w:hAnsi="Arial Narrow"/>
                <w:sz w:val="20"/>
                <w:szCs w:val="20"/>
                <w:lang w:val="en-AU"/>
              </w:rPr>
            </w:pPr>
            <w:r w:rsidRPr="004C2D88">
              <w:rPr>
                <w:rStyle w:val="Small"/>
                <w:rFonts w:ascii="Arial Narrow" w:hAnsi="Arial Narrow"/>
                <w:i/>
                <w:sz w:val="20"/>
                <w:szCs w:val="20"/>
                <w:lang w:val="en-AU"/>
              </w:rPr>
              <w:t xml:space="preserve">Ann Oncol </w:t>
            </w:r>
            <w:r w:rsidRPr="004C2D88">
              <w:rPr>
                <w:rStyle w:val="Small"/>
                <w:rFonts w:ascii="Arial Narrow" w:hAnsi="Arial Narrow"/>
                <w:sz w:val="20"/>
                <w:szCs w:val="20"/>
                <w:lang w:val="en-AU"/>
              </w:rPr>
              <w:t>2015; 26(2): 415-421</w:t>
            </w:r>
          </w:p>
          <w:p w:rsidR="007A7607" w:rsidRPr="004C2D88" w:rsidRDefault="007A7607" w:rsidP="005D6C6B">
            <w:pPr>
              <w:pStyle w:val="TableLeft"/>
              <w:rPr>
                <w:rStyle w:val="Small"/>
                <w:rFonts w:ascii="Arial Narrow" w:hAnsi="Arial Narrow"/>
                <w:i/>
                <w:sz w:val="20"/>
                <w:szCs w:val="20"/>
                <w:lang w:val="en-AU"/>
              </w:rPr>
            </w:pPr>
          </w:p>
        </w:tc>
      </w:tr>
      <w:tr w:rsidR="007A7607"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7A7607" w:rsidRPr="004C2D88" w:rsidRDefault="007A7607"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7A7607" w:rsidRPr="004C2D88" w:rsidRDefault="007A7607" w:rsidP="00465BB6">
            <w:pPr>
              <w:pStyle w:val="TableLeft"/>
              <w:spacing w:after="60"/>
              <w:rPr>
                <w:rFonts w:ascii="Arial Narrow" w:hAnsi="Arial Narrow"/>
                <w:sz w:val="20"/>
                <w:szCs w:val="20"/>
                <w:lang w:val="en-AU"/>
              </w:rPr>
            </w:pPr>
            <w:r w:rsidRPr="004C2D88">
              <w:rPr>
                <w:rFonts w:ascii="Arial Narrow" w:hAnsi="Arial Narrow"/>
                <w:sz w:val="20"/>
                <w:szCs w:val="20"/>
                <w:lang w:val="en-AU"/>
              </w:rPr>
              <w:t>Long GV, Grob JJ, Nathan P, et al. Factors predictive of response, disease progression, and overall survival after dabrafenib and trametinib combination treatment: a pooled analysis of individual patient data from randomised trials</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7A7607" w:rsidRPr="004C2D88" w:rsidRDefault="007A7607" w:rsidP="005D6C6B">
            <w:pPr>
              <w:pStyle w:val="TableLeft"/>
              <w:rPr>
                <w:rStyle w:val="Small"/>
                <w:rFonts w:ascii="Arial Narrow" w:hAnsi="Arial Narrow"/>
                <w:sz w:val="20"/>
                <w:szCs w:val="20"/>
                <w:lang w:val="en-AU"/>
              </w:rPr>
            </w:pPr>
            <w:r w:rsidRPr="004C2D88">
              <w:rPr>
                <w:rStyle w:val="Small"/>
                <w:rFonts w:ascii="Arial Narrow" w:hAnsi="Arial Narrow"/>
                <w:i/>
                <w:sz w:val="20"/>
                <w:szCs w:val="20"/>
                <w:lang w:val="en-AU"/>
              </w:rPr>
              <w:t xml:space="preserve">Lancet Oncol </w:t>
            </w:r>
            <w:r w:rsidRPr="004C2D88">
              <w:rPr>
                <w:rStyle w:val="Small"/>
                <w:rFonts w:ascii="Arial Narrow" w:hAnsi="Arial Narrow"/>
                <w:sz w:val="20"/>
                <w:szCs w:val="20"/>
                <w:lang w:val="en-AU"/>
              </w:rPr>
              <w:t>2016; 17(12): 1743-1754</w:t>
            </w:r>
          </w:p>
        </w:tc>
      </w:tr>
      <w:tr w:rsidR="007A7607" w:rsidRPr="004C2D88" w:rsidTr="00BE46AE">
        <w:trPr>
          <w:trHeight w:val="158"/>
        </w:trPr>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7A7607" w:rsidRPr="004C2D88" w:rsidRDefault="007A7607"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rsidR="007A7607" w:rsidRPr="004C2D88" w:rsidRDefault="005B481B" w:rsidP="00465BB6">
            <w:pPr>
              <w:pStyle w:val="TableLeft"/>
              <w:spacing w:after="60"/>
              <w:rPr>
                <w:rFonts w:ascii="Arial Narrow" w:hAnsi="Arial Narrow"/>
                <w:sz w:val="20"/>
                <w:szCs w:val="20"/>
                <w:lang w:val="en-AU"/>
              </w:rPr>
            </w:pPr>
            <w:r w:rsidRPr="004C2D88">
              <w:rPr>
                <w:rFonts w:ascii="Arial Narrow" w:hAnsi="Arial Narrow"/>
                <w:sz w:val="20"/>
                <w:szCs w:val="20"/>
                <w:lang w:val="en-AU"/>
              </w:rPr>
              <w:t>Long GV, Flaherty KT, Stroyakovskiy D, et al. Dabrafenib plus trametinib versus dabrafenib monotherapy in patients with metastatic BRAF V600E/K-mutant melanoma: long-term survival and safety analysis of a phase 3 study</w:t>
            </w:r>
          </w:p>
        </w:tc>
        <w:tc>
          <w:tcPr>
            <w:tcW w:w="1328" w:type="pc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rsidR="007A7607" w:rsidRPr="004C2D88" w:rsidRDefault="005B481B" w:rsidP="005D6C6B">
            <w:pPr>
              <w:pStyle w:val="TableLeft"/>
              <w:rPr>
                <w:rStyle w:val="Small"/>
                <w:rFonts w:ascii="Arial Narrow" w:hAnsi="Arial Narrow"/>
                <w:sz w:val="20"/>
                <w:szCs w:val="20"/>
                <w:lang w:val="en-AU"/>
              </w:rPr>
            </w:pPr>
            <w:r w:rsidRPr="004C2D88">
              <w:rPr>
                <w:rStyle w:val="Small"/>
                <w:rFonts w:ascii="Arial Narrow" w:hAnsi="Arial Narrow"/>
                <w:i/>
                <w:sz w:val="20"/>
                <w:szCs w:val="20"/>
                <w:lang w:val="en-AU"/>
              </w:rPr>
              <w:t>Ann Oncol</w:t>
            </w:r>
            <w:r w:rsidRPr="004C2D88">
              <w:rPr>
                <w:rStyle w:val="Small"/>
                <w:rFonts w:ascii="Arial Narrow" w:hAnsi="Arial Narrow"/>
                <w:sz w:val="20"/>
                <w:szCs w:val="20"/>
                <w:lang w:val="en-AU"/>
              </w:rPr>
              <w:t xml:space="preserve"> 2017; 28(7): 1631-1639</w:t>
            </w:r>
          </w:p>
        </w:tc>
      </w:tr>
      <w:tr w:rsidR="005D6C6B" w:rsidRPr="004C2D88" w:rsidTr="00BE46AE">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hideMark/>
          </w:tcPr>
          <w:p w:rsidR="005D6C6B" w:rsidRPr="004C2D88" w:rsidRDefault="005D6C6B" w:rsidP="005D6C6B">
            <w:pPr>
              <w:pStyle w:val="TableLeft"/>
              <w:rPr>
                <w:rStyle w:val="SmallBold"/>
                <w:rFonts w:ascii="Arial Narrow" w:hAnsi="Arial Narrow"/>
                <w:szCs w:val="20"/>
                <w:highlight w:val="yellow"/>
              </w:rPr>
            </w:pPr>
            <w:r w:rsidRPr="004C2D88">
              <w:rPr>
                <w:rStyle w:val="SmallBold"/>
                <w:rFonts w:ascii="Arial Narrow" w:hAnsi="Arial Narrow"/>
                <w:szCs w:val="20"/>
              </w:rPr>
              <w:t>Vemurafenib+cobimetinib</w:t>
            </w:r>
          </w:p>
        </w:tc>
      </w:tr>
      <w:tr w:rsidR="00390833" w:rsidRPr="004C2D88" w:rsidTr="00BE46AE">
        <w:tc>
          <w:tcPr>
            <w:tcW w:w="759"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5B481B" w:rsidRPr="004C2D88" w:rsidRDefault="005B481B" w:rsidP="00465BB6">
            <w:pPr>
              <w:pStyle w:val="TableLeft"/>
              <w:rPr>
                <w:rStyle w:val="Small"/>
                <w:rFonts w:ascii="Arial Narrow" w:hAnsi="Arial Narrow"/>
                <w:sz w:val="20"/>
                <w:szCs w:val="20"/>
                <w:lang w:val="en-AU"/>
              </w:rPr>
            </w:pPr>
            <w:r w:rsidRPr="004C2D88">
              <w:rPr>
                <w:rStyle w:val="Small"/>
                <w:rFonts w:ascii="Arial Narrow" w:hAnsi="Arial Narrow"/>
                <w:sz w:val="20"/>
                <w:szCs w:val="20"/>
                <w:lang w:val="en-AU"/>
              </w:rPr>
              <w:t>coBRIM</w:t>
            </w:r>
          </w:p>
          <w:p w:rsidR="00390833" w:rsidRPr="004C2D88" w:rsidRDefault="005B481B" w:rsidP="00465BB6">
            <w:pPr>
              <w:pStyle w:val="TableLeft"/>
              <w:rPr>
                <w:rStyle w:val="Small"/>
                <w:rFonts w:ascii="Arial Narrow" w:hAnsi="Arial Narrow"/>
                <w:sz w:val="20"/>
                <w:szCs w:val="20"/>
                <w:lang w:val="en-AU"/>
              </w:rPr>
            </w:pPr>
            <w:r w:rsidRPr="004C2D88">
              <w:rPr>
                <w:rStyle w:val="Small"/>
                <w:rFonts w:ascii="Arial Narrow" w:hAnsi="Arial Narrow"/>
                <w:sz w:val="20"/>
                <w:szCs w:val="20"/>
                <w:lang w:val="en-AU"/>
              </w:rPr>
              <w:t>(</w:t>
            </w:r>
            <w:r w:rsidR="00390833" w:rsidRPr="004C2D88">
              <w:rPr>
                <w:rFonts w:ascii="Arial Narrow" w:hAnsi="Arial Narrow"/>
                <w:sz w:val="20"/>
                <w:szCs w:val="20"/>
                <w:lang w:val="en-AU"/>
              </w:rPr>
              <w:t>NCT01689519</w:t>
            </w:r>
            <w:r w:rsidRPr="004C2D88">
              <w:rPr>
                <w:rFonts w:ascii="Arial Narrow" w:hAnsi="Arial Narrow"/>
                <w:sz w:val="20"/>
                <w:szCs w:val="20"/>
                <w:lang w:val="en-AU"/>
              </w:rPr>
              <w:t>)</w:t>
            </w:r>
          </w:p>
          <w:p w:rsidR="00390833" w:rsidRPr="004C2D88" w:rsidRDefault="00390833" w:rsidP="00465BB6">
            <w:pPr>
              <w:pStyle w:val="TableLeft"/>
              <w:rPr>
                <w:rStyle w:val="Small"/>
                <w:rFonts w:ascii="Arial Narrow" w:hAnsi="Arial Narrow"/>
                <w:sz w:val="20"/>
                <w:szCs w:val="20"/>
                <w:lang w:val="en-AU"/>
              </w:rPr>
            </w:pPr>
          </w:p>
        </w:tc>
        <w:tc>
          <w:tcPr>
            <w:tcW w:w="2913"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390833" w:rsidRPr="004C2D88" w:rsidRDefault="00D50A5B" w:rsidP="00465BB6">
            <w:pPr>
              <w:pStyle w:val="TableLeft"/>
              <w:spacing w:after="60"/>
              <w:rPr>
                <w:rFonts w:ascii="Arial Narrow" w:hAnsi="Arial Narrow"/>
                <w:sz w:val="20"/>
                <w:szCs w:val="20"/>
                <w:lang w:val="en-AU"/>
              </w:rPr>
            </w:pPr>
            <w:r w:rsidRPr="004C2D88">
              <w:rPr>
                <w:rFonts w:ascii="Arial Narrow" w:hAnsi="Arial Narrow"/>
                <w:sz w:val="20"/>
                <w:szCs w:val="20"/>
                <w:lang w:val="en-AU"/>
              </w:rPr>
              <w:t>Larkin J, Ascierto PA, Dréno B, et al. Combined vemurafenib and cobimetinib in BRAF-mutated melanoma</w:t>
            </w:r>
          </w:p>
        </w:tc>
        <w:tc>
          <w:tcPr>
            <w:tcW w:w="1328"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left w:w="28" w:type="dxa"/>
              <w:right w:w="28" w:type="dxa"/>
            </w:tcMar>
            <w:hideMark/>
          </w:tcPr>
          <w:p w:rsidR="00390833" w:rsidRPr="004C2D88" w:rsidRDefault="00D50A5B" w:rsidP="005D6C6B">
            <w:pPr>
              <w:pStyle w:val="TableLeft"/>
              <w:ind w:left="57"/>
              <w:rPr>
                <w:rFonts w:ascii="Arial Narrow" w:hAnsi="Arial Narrow"/>
                <w:bCs/>
                <w:sz w:val="20"/>
                <w:szCs w:val="20"/>
                <w:lang w:val="en-AU"/>
              </w:rPr>
            </w:pPr>
            <w:r w:rsidRPr="004C2D88">
              <w:rPr>
                <w:rFonts w:ascii="Arial Narrow" w:hAnsi="Arial Narrow"/>
                <w:bCs/>
                <w:i/>
                <w:sz w:val="20"/>
                <w:szCs w:val="20"/>
                <w:lang w:val="en-AU"/>
              </w:rPr>
              <w:t xml:space="preserve">N Engl J Med </w:t>
            </w:r>
            <w:r w:rsidRPr="004C2D88">
              <w:rPr>
                <w:rFonts w:ascii="Arial Narrow" w:hAnsi="Arial Narrow"/>
                <w:bCs/>
                <w:sz w:val="20"/>
                <w:szCs w:val="20"/>
                <w:lang w:val="en-AU"/>
              </w:rPr>
              <w:t>2014; 371(20): 1867-76</w:t>
            </w:r>
          </w:p>
        </w:tc>
      </w:tr>
      <w:tr w:rsidR="005B481B"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5B481B" w:rsidRPr="004C2D88" w:rsidRDefault="005B481B"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5B481B" w:rsidRPr="004C2D88" w:rsidRDefault="00D50A5B" w:rsidP="00465BB6">
            <w:pPr>
              <w:pStyle w:val="TableLeft"/>
              <w:spacing w:after="60"/>
              <w:rPr>
                <w:rFonts w:ascii="Arial Narrow" w:hAnsi="Arial Narrow"/>
                <w:sz w:val="20"/>
                <w:szCs w:val="20"/>
                <w:lang w:val="en-AU"/>
              </w:rPr>
            </w:pPr>
            <w:r w:rsidRPr="004C2D88">
              <w:rPr>
                <w:rFonts w:ascii="Arial Narrow" w:hAnsi="Arial Narrow"/>
                <w:sz w:val="20"/>
                <w:szCs w:val="20"/>
                <w:lang w:val="en-AU"/>
              </w:rPr>
              <w:t>Ascierto PA, McArthur GA, Dréno B, et al. Cobimetinib combined with vemurafenib in advanced BRAF(V600)-mutant melanoma (coBRIM): updated efficacy results from a randomised, double-blind, phase 3 trial</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5B481B" w:rsidRPr="004C2D88" w:rsidRDefault="005B481B" w:rsidP="005D6C6B">
            <w:pPr>
              <w:widowControl/>
              <w:ind w:left="57"/>
              <w:contextualSpacing/>
              <w:jc w:val="left"/>
              <w:rPr>
                <w:rFonts w:ascii="Arial Narrow" w:hAnsi="Arial Narrow"/>
                <w:sz w:val="20"/>
                <w:szCs w:val="20"/>
                <w:lang w:val="en-AU"/>
              </w:rPr>
            </w:pPr>
            <w:r w:rsidRPr="004C2D88">
              <w:rPr>
                <w:rFonts w:ascii="Arial Narrow" w:hAnsi="Arial Narrow"/>
                <w:sz w:val="20"/>
                <w:szCs w:val="20"/>
                <w:lang w:val="en-AU"/>
              </w:rPr>
              <w:t>Lancet Oncol</w:t>
            </w:r>
            <w:r w:rsidR="00D50A5B" w:rsidRPr="004C2D88">
              <w:rPr>
                <w:rFonts w:ascii="Arial Narrow" w:hAnsi="Arial Narrow"/>
                <w:sz w:val="20"/>
                <w:szCs w:val="20"/>
                <w:lang w:val="en-AU"/>
              </w:rPr>
              <w:t xml:space="preserve"> 2016; (17(9): 1248-1260</w:t>
            </w:r>
          </w:p>
        </w:tc>
      </w:tr>
      <w:tr w:rsidR="005B481B"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5B481B" w:rsidRPr="004C2D88" w:rsidRDefault="005B481B"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5B481B" w:rsidRPr="004C2D88" w:rsidRDefault="00D50A5B" w:rsidP="00465BB6">
            <w:pPr>
              <w:pStyle w:val="TableLeft"/>
              <w:spacing w:after="60"/>
              <w:rPr>
                <w:rFonts w:ascii="Arial Narrow" w:hAnsi="Arial Narrow"/>
                <w:sz w:val="20"/>
                <w:szCs w:val="20"/>
                <w:lang w:val="en-AU"/>
              </w:rPr>
            </w:pPr>
            <w:r w:rsidRPr="004C2D88">
              <w:rPr>
                <w:rFonts w:ascii="Arial Narrow" w:hAnsi="Arial Narrow"/>
                <w:sz w:val="20"/>
                <w:szCs w:val="20"/>
                <w:lang w:val="en-AU"/>
              </w:rPr>
              <w:t>de la Cruz-Merino L, Di Guardo L, Grob JJ, et al. Clinical features of serous retinopathy observed with cobimetinib in patients with BRAF-mutated melanoma treated in the randomized coBRIM study. Journal of Translational Medicine</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50A5B" w:rsidRPr="004C2D88" w:rsidRDefault="00D50A5B" w:rsidP="005D6C6B">
            <w:pPr>
              <w:pStyle w:val="TableLeft"/>
              <w:ind w:left="57"/>
              <w:rPr>
                <w:rFonts w:ascii="Arial Narrow" w:hAnsi="Arial Narrow"/>
                <w:bCs/>
                <w:sz w:val="20"/>
                <w:szCs w:val="20"/>
                <w:lang w:val="en-AU"/>
              </w:rPr>
            </w:pPr>
            <w:r w:rsidRPr="004C2D88">
              <w:rPr>
                <w:rFonts w:ascii="Arial Narrow" w:hAnsi="Arial Narrow"/>
                <w:bCs/>
                <w:i/>
                <w:sz w:val="20"/>
                <w:szCs w:val="20"/>
                <w:lang w:val="en-AU"/>
              </w:rPr>
              <w:t>J Transl Med</w:t>
            </w:r>
            <w:r w:rsidRPr="004C2D88">
              <w:rPr>
                <w:rFonts w:ascii="Arial Narrow" w:hAnsi="Arial Narrow"/>
                <w:bCs/>
                <w:sz w:val="20"/>
                <w:szCs w:val="20"/>
                <w:lang w:val="en-AU"/>
              </w:rPr>
              <w:t xml:space="preserve"> 2017; 15(1): 146</w:t>
            </w:r>
          </w:p>
          <w:p w:rsidR="005B481B" w:rsidRPr="004C2D88" w:rsidRDefault="005B481B" w:rsidP="005D6C6B">
            <w:pPr>
              <w:pStyle w:val="TableLeft"/>
              <w:ind w:left="57" w:firstLine="720"/>
              <w:rPr>
                <w:rFonts w:ascii="Arial Narrow" w:hAnsi="Arial Narrow"/>
                <w:sz w:val="20"/>
                <w:szCs w:val="20"/>
                <w:lang w:val="en-AU"/>
              </w:rPr>
            </w:pPr>
          </w:p>
        </w:tc>
      </w:tr>
      <w:tr w:rsidR="005B481B" w:rsidRPr="004C2D88" w:rsidTr="00BE46AE">
        <w:tc>
          <w:tcPr>
            <w:tcW w:w="759"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5B481B" w:rsidRPr="004C2D88" w:rsidRDefault="005B481B"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5B481B" w:rsidRPr="004C2D88" w:rsidRDefault="00D50A5B" w:rsidP="00465BB6">
            <w:pPr>
              <w:pStyle w:val="TableLeft"/>
              <w:spacing w:after="60"/>
              <w:rPr>
                <w:rFonts w:ascii="Arial Narrow" w:hAnsi="Arial Narrow"/>
                <w:sz w:val="20"/>
                <w:szCs w:val="20"/>
                <w:lang w:val="en-AU"/>
              </w:rPr>
            </w:pPr>
            <w:r w:rsidRPr="004C2D88">
              <w:rPr>
                <w:rFonts w:ascii="Arial Narrow" w:hAnsi="Arial Narrow"/>
                <w:sz w:val="20"/>
                <w:szCs w:val="20"/>
                <w:lang w:val="en-AU"/>
              </w:rPr>
              <w:t>Dréno B, Ribas A, Larkin J, et al. Incidence, course, and management of toxicities associated with cobimetinib in combination with vemurafenib in the coBRIM study</w:t>
            </w:r>
          </w:p>
        </w:tc>
        <w:tc>
          <w:tcPr>
            <w:tcW w:w="1328" w:type="pct"/>
            <w:tcBorders>
              <w:top w:val="nil"/>
              <w:left w:val="single" w:sz="4" w:space="0" w:color="000000" w:themeColor="text1"/>
              <w:bottom w:val="nil"/>
              <w:right w:val="single" w:sz="4" w:space="0" w:color="000000" w:themeColor="text1"/>
            </w:tcBorders>
            <w:shd w:val="clear" w:color="auto" w:fill="FFFFFF" w:themeFill="background1"/>
            <w:tcMar>
              <w:left w:w="28" w:type="dxa"/>
              <w:right w:w="28" w:type="dxa"/>
            </w:tcMar>
          </w:tcPr>
          <w:p w:rsidR="00D50A5B" w:rsidRPr="004C2D88" w:rsidRDefault="00567452" w:rsidP="005D6C6B">
            <w:pPr>
              <w:pStyle w:val="TableLeft"/>
              <w:ind w:left="57"/>
              <w:rPr>
                <w:rFonts w:ascii="Arial Narrow" w:hAnsi="Arial Narrow"/>
                <w:sz w:val="20"/>
                <w:szCs w:val="20"/>
                <w:lang w:val="en-AU"/>
              </w:rPr>
            </w:pPr>
            <w:r w:rsidRPr="004C2D88">
              <w:rPr>
                <w:rFonts w:ascii="Arial Narrow" w:hAnsi="Arial Narrow"/>
                <w:i/>
                <w:sz w:val="20"/>
                <w:szCs w:val="20"/>
                <w:lang w:val="en-AU"/>
              </w:rPr>
              <w:t>Ann O</w:t>
            </w:r>
            <w:r w:rsidR="00D50A5B" w:rsidRPr="004C2D88">
              <w:rPr>
                <w:rFonts w:ascii="Arial Narrow" w:hAnsi="Arial Narrow"/>
                <w:i/>
                <w:sz w:val="20"/>
                <w:szCs w:val="20"/>
                <w:lang w:val="en-AU"/>
              </w:rPr>
              <w:t>ncol</w:t>
            </w:r>
            <w:r w:rsidR="00D50A5B" w:rsidRPr="004C2D88">
              <w:rPr>
                <w:rFonts w:ascii="Arial Narrow" w:hAnsi="Arial Narrow"/>
                <w:sz w:val="20"/>
                <w:szCs w:val="20"/>
                <w:lang w:val="en-AU"/>
              </w:rPr>
              <w:t xml:space="preserve"> 2017; 28(5): 1137-1144</w:t>
            </w:r>
          </w:p>
          <w:p w:rsidR="005B481B" w:rsidRPr="004C2D88" w:rsidRDefault="005B481B" w:rsidP="005D6C6B">
            <w:pPr>
              <w:pStyle w:val="TableLeft"/>
              <w:rPr>
                <w:rFonts w:ascii="Arial Narrow" w:hAnsi="Arial Narrow"/>
                <w:sz w:val="20"/>
                <w:szCs w:val="20"/>
                <w:lang w:val="en-AU"/>
              </w:rPr>
            </w:pPr>
          </w:p>
        </w:tc>
      </w:tr>
      <w:tr w:rsidR="00D50A5B" w:rsidRPr="004C2D88" w:rsidTr="00BE46AE">
        <w:tc>
          <w:tcPr>
            <w:tcW w:w="759" w:type="pc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rsidR="00D50A5B" w:rsidRPr="004C2D88" w:rsidRDefault="00D50A5B" w:rsidP="00465BB6">
            <w:pPr>
              <w:pStyle w:val="TableLeft"/>
              <w:rPr>
                <w:rStyle w:val="Small"/>
                <w:rFonts w:ascii="Arial Narrow" w:hAnsi="Arial Narrow"/>
                <w:sz w:val="20"/>
                <w:szCs w:val="20"/>
                <w:lang w:val="en-AU"/>
              </w:rPr>
            </w:pPr>
          </w:p>
        </w:tc>
        <w:tc>
          <w:tcPr>
            <w:tcW w:w="2913" w:type="pc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rsidR="00D50A5B" w:rsidRPr="004C2D88" w:rsidRDefault="00D50A5B" w:rsidP="00465BB6">
            <w:pPr>
              <w:pStyle w:val="TableLeft"/>
              <w:spacing w:after="60"/>
              <w:rPr>
                <w:rFonts w:ascii="Arial Narrow" w:hAnsi="Arial Narrow"/>
                <w:sz w:val="20"/>
                <w:szCs w:val="20"/>
                <w:lang w:val="en-AU"/>
              </w:rPr>
            </w:pPr>
            <w:r w:rsidRPr="004C2D88">
              <w:rPr>
                <w:rFonts w:ascii="Arial Narrow" w:hAnsi="Arial Narrow"/>
                <w:sz w:val="20"/>
                <w:szCs w:val="20"/>
                <w:lang w:val="en-AU"/>
              </w:rPr>
              <w:t>Dréno B, Ascierto PA, Atkinson V, et al. Health-related quality of life impact of cobimetinib in combination with vemurafenib in patients with advanced or metastatic BRAFV600 mutation-positive melanoma</w:t>
            </w:r>
          </w:p>
        </w:tc>
        <w:tc>
          <w:tcPr>
            <w:tcW w:w="1328" w:type="pc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rsidR="00D50A5B" w:rsidRPr="004C2D88" w:rsidRDefault="00D50A5B" w:rsidP="005D6C6B">
            <w:pPr>
              <w:pStyle w:val="TableLeft"/>
              <w:ind w:left="57"/>
              <w:rPr>
                <w:rFonts w:ascii="Arial Narrow" w:hAnsi="Arial Narrow"/>
                <w:sz w:val="20"/>
                <w:szCs w:val="20"/>
                <w:lang w:val="en-AU"/>
              </w:rPr>
            </w:pPr>
            <w:r w:rsidRPr="004C2D88">
              <w:rPr>
                <w:rFonts w:ascii="Arial Narrow" w:hAnsi="Arial Narrow"/>
                <w:i/>
                <w:sz w:val="20"/>
                <w:szCs w:val="20"/>
                <w:lang w:val="en-AU"/>
              </w:rPr>
              <w:t>Br J Cancer</w:t>
            </w:r>
            <w:r w:rsidRPr="004C2D88">
              <w:rPr>
                <w:rFonts w:ascii="Arial Narrow" w:hAnsi="Arial Narrow"/>
                <w:sz w:val="20"/>
                <w:szCs w:val="20"/>
                <w:lang w:val="en-AU"/>
              </w:rPr>
              <w:t xml:space="preserve"> 2018; 118(6): 777-784</w:t>
            </w:r>
          </w:p>
        </w:tc>
      </w:tr>
    </w:tbl>
    <w:p w:rsidR="00390833" w:rsidRPr="004C2D88" w:rsidRDefault="00104F7A" w:rsidP="00465BB6">
      <w:pPr>
        <w:pStyle w:val="TableFooter"/>
        <w:widowControl/>
        <w:rPr>
          <w:rStyle w:val="CommentReference"/>
        </w:rPr>
      </w:pPr>
      <w:r w:rsidRPr="004C2D88">
        <w:rPr>
          <w:vertAlign w:val="superscript"/>
        </w:rPr>
        <w:t>a</w:t>
      </w:r>
      <w:r w:rsidR="00D03F2F" w:rsidRPr="004C2D88">
        <w:t xml:space="preserve"> </w:t>
      </w:r>
      <w:r w:rsidRPr="004C2D88">
        <w:t>Conference</w:t>
      </w:r>
      <w:r w:rsidR="00D03F2F" w:rsidRPr="004C2D88">
        <w:t xml:space="preserve"> abstracts which were not used in the submission are not presented in this table. </w:t>
      </w:r>
    </w:p>
    <w:p w:rsidR="004731C7" w:rsidRPr="004C2D88" w:rsidRDefault="004731C7" w:rsidP="00465BB6">
      <w:pPr>
        <w:pStyle w:val="TableFooter"/>
        <w:widowControl/>
      </w:pPr>
      <w:r w:rsidRPr="004C2D88">
        <w:t>Source: Table 2.5, p51 and Table 2.9, pp54-56 of the submission</w:t>
      </w:r>
      <w:r w:rsidR="008628F4" w:rsidRPr="004C2D88">
        <w:t>.</w:t>
      </w:r>
    </w:p>
    <w:p w:rsidR="008628F4" w:rsidRPr="004C2D88" w:rsidRDefault="008628F4" w:rsidP="00465BB6">
      <w:pPr>
        <w:pStyle w:val="TableFooter"/>
        <w:widowControl/>
      </w:pPr>
    </w:p>
    <w:p w:rsidR="00390833" w:rsidRPr="004C2D88" w:rsidRDefault="00390833" w:rsidP="00D073C6">
      <w:pPr>
        <w:pStyle w:val="ListParagraph"/>
        <w:widowControl/>
        <w:numPr>
          <w:ilvl w:val="1"/>
          <w:numId w:val="4"/>
        </w:numPr>
        <w:snapToGrid w:val="0"/>
      </w:pPr>
      <w:r w:rsidRPr="004C2D88">
        <w:t xml:space="preserve">The indirect comparison of encorafenib+binimetinib versus the PBS-listed BRAF+MEK inhibitors relied on the results of the Part I of COLUMBUS and the published data for the COMBI-V, COMBI-D and coBRIM trials previously presented to PBAC for the </w:t>
      </w:r>
      <w:r w:rsidRPr="004C2D88">
        <w:lastRenderedPageBreak/>
        <w:t>respective comparators.</w:t>
      </w:r>
      <w:r w:rsidRPr="004C2D88">
        <w:rPr>
          <w:rFonts w:asciiTheme="minorHAnsi" w:hAnsiTheme="minorHAnsi"/>
        </w:rPr>
        <w:t xml:space="preserve"> Since </w:t>
      </w:r>
      <w:r w:rsidR="00B90A11" w:rsidRPr="004C2D88">
        <w:rPr>
          <w:rFonts w:asciiTheme="minorHAnsi" w:hAnsiTheme="minorHAnsi"/>
        </w:rPr>
        <w:t xml:space="preserve">the </w:t>
      </w:r>
      <w:r w:rsidRPr="004C2D88">
        <w:rPr>
          <w:rFonts w:asciiTheme="minorHAnsi" w:hAnsiTheme="minorHAnsi"/>
        </w:rPr>
        <w:t>PBAC’s last consideration of these comparator medicines, further publications have appeared in the literature with updated outcomes data for the comparator trials COMBI-D, COMBI-V and CoBRIM.</w:t>
      </w:r>
    </w:p>
    <w:p w:rsidR="00390833" w:rsidRPr="004C2D88" w:rsidRDefault="00390833" w:rsidP="00D073C6">
      <w:pPr>
        <w:pStyle w:val="ListParagraph"/>
        <w:widowControl/>
        <w:numPr>
          <w:ilvl w:val="1"/>
          <w:numId w:val="4"/>
        </w:numPr>
        <w:snapToGrid w:val="0"/>
      </w:pPr>
      <w:r w:rsidRPr="004C2D88">
        <w:t>The key features of the randomised trials included in the indirect comparison are summarised in the table below.</w:t>
      </w:r>
    </w:p>
    <w:p w:rsidR="00390833" w:rsidRPr="004C2D88" w:rsidRDefault="00390833" w:rsidP="00465BB6">
      <w:pPr>
        <w:pStyle w:val="Caption"/>
        <w:keepNext/>
        <w:widowControl/>
        <w:rPr>
          <w:rStyle w:val="CommentReference"/>
          <w:b/>
          <w:bCs w:val="0"/>
        </w:rPr>
      </w:pPr>
      <w:r w:rsidRPr="004C2D88">
        <w:rPr>
          <w:rStyle w:val="CommentReference"/>
          <w:b/>
          <w:bCs w:val="0"/>
        </w:rPr>
        <w:t xml:space="preserve">Table </w:t>
      </w:r>
      <w:r w:rsidR="00CC25ED" w:rsidRPr="004C2D88">
        <w:rPr>
          <w:rStyle w:val="CommentReference"/>
          <w:b/>
          <w:bCs w:val="0"/>
        </w:rPr>
        <w:t>3</w:t>
      </w:r>
      <w:r w:rsidRPr="004C2D88">
        <w:rPr>
          <w:rStyle w:val="CommentReference"/>
          <w:b/>
          <w:bCs w:val="0"/>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9"/>
        <w:gridCol w:w="840"/>
        <w:gridCol w:w="1405"/>
        <w:gridCol w:w="1113"/>
        <w:gridCol w:w="3122"/>
        <w:gridCol w:w="1248"/>
      </w:tblGrid>
      <w:tr w:rsidR="00390833" w:rsidRPr="004C2D88" w:rsidTr="00D50317">
        <w:trPr>
          <w:tblHeader/>
        </w:trPr>
        <w:tc>
          <w:tcPr>
            <w:tcW w:w="715"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rPr>
                <w:b/>
              </w:rPr>
            </w:pPr>
            <w:r w:rsidRPr="004C2D88">
              <w:rPr>
                <w:b/>
              </w:rPr>
              <w:t>Trial</w:t>
            </w:r>
          </w:p>
        </w:tc>
        <w:tc>
          <w:tcPr>
            <w:tcW w:w="466"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rPr>
                <w:b/>
              </w:rPr>
            </w:pPr>
            <w:r w:rsidRPr="004C2D88">
              <w:rPr>
                <w:b/>
              </w:rPr>
              <w:t>N</w:t>
            </w:r>
          </w:p>
        </w:tc>
        <w:tc>
          <w:tcPr>
            <w:tcW w:w="779"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5D6C6B" w:rsidP="00465BB6">
            <w:pPr>
              <w:pStyle w:val="Tabletext"/>
              <w:keepNext/>
              <w:jc w:val="center"/>
              <w:rPr>
                <w:b/>
              </w:rPr>
            </w:pPr>
            <w:r w:rsidRPr="004C2D88">
              <w:rPr>
                <w:b/>
              </w:rPr>
              <w:t>Design/</w:t>
            </w:r>
            <w:r w:rsidR="00390833" w:rsidRPr="004C2D88">
              <w:rPr>
                <w:b/>
              </w:rPr>
              <w:t>duration</w:t>
            </w:r>
          </w:p>
        </w:tc>
        <w:tc>
          <w:tcPr>
            <w:tcW w:w="617"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rPr>
                <w:b/>
              </w:rPr>
            </w:pPr>
            <w:r w:rsidRPr="004C2D88">
              <w:rPr>
                <w:b/>
              </w:rPr>
              <w:t>Risk of bias</w:t>
            </w:r>
            <w:r w:rsidR="00104F7A" w:rsidRPr="004C2D88">
              <w:rPr>
                <w:b/>
                <w:vertAlign w:val="superscript"/>
              </w:rPr>
              <w:t>a</w:t>
            </w:r>
          </w:p>
        </w:tc>
        <w:tc>
          <w:tcPr>
            <w:tcW w:w="1731"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rPr>
                <w:b/>
              </w:rPr>
            </w:pPr>
            <w:r w:rsidRPr="004C2D88">
              <w:rPr>
                <w:b/>
              </w:rPr>
              <w:t>Patient population</w:t>
            </w:r>
          </w:p>
        </w:tc>
        <w:tc>
          <w:tcPr>
            <w:tcW w:w="693"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rPr>
                <w:b/>
              </w:rPr>
            </w:pPr>
            <w:r w:rsidRPr="004C2D88">
              <w:rPr>
                <w:b/>
              </w:rPr>
              <w:t>Outcomes</w:t>
            </w:r>
            <w:r w:rsidR="004748E7" w:rsidRPr="004C2D88">
              <w:rPr>
                <w:b/>
                <w:vertAlign w:val="superscript"/>
              </w:rPr>
              <w:t>b</w:t>
            </w:r>
          </w:p>
        </w:tc>
      </w:tr>
      <w:tr w:rsidR="00390833" w:rsidRPr="004C2D88" w:rsidTr="00DD2A5A">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rPr>
                <w:b/>
              </w:rPr>
            </w:pPr>
            <w:r w:rsidRPr="004C2D88">
              <w:rPr>
                <w:b/>
              </w:rPr>
              <w:t>Encorafenib+binimetin</w:t>
            </w:r>
            <w:r w:rsidR="00C5075E" w:rsidRPr="004C2D88">
              <w:rPr>
                <w:b/>
              </w:rPr>
              <w:t>i</w:t>
            </w:r>
            <w:r w:rsidRPr="004C2D88">
              <w:rPr>
                <w:b/>
              </w:rPr>
              <w:t>b vs. vemurafenib</w:t>
            </w:r>
          </w:p>
        </w:tc>
      </w:tr>
      <w:tr w:rsidR="00390833" w:rsidRPr="004C2D88" w:rsidTr="00D50317">
        <w:tc>
          <w:tcPr>
            <w:tcW w:w="715"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COLUMBUS</w:t>
            </w:r>
          </w:p>
        </w:tc>
        <w:tc>
          <w:tcPr>
            <w:tcW w:w="466"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577</w:t>
            </w:r>
            <w:r w:rsidR="004748E7" w:rsidRPr="004C2D88">
              <w:rPr>
                <w:vertAlign w:val="superscript"/>
              </w:rPr>
              <w:t>c</w:t>
            </w:r>
          </w:p>
        </w:tc>
        <w:tc>
          <w:tcPr>
            <w:tcW w:w="779"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R, MC, OL</w:t>
            </w:r>
          </w:p>
          <w:p w:rsidR="00390833" w:rsidRPr="004C2D88" w:rsidRDefault="00390833" w:rsidP="00465BB6">
            <w:pPr>
              <w:pStyle w:val="Tabletext"/>
              <w:keepNext/>
              <w:jc w:val="center"/>
            </w:pPr>
            <w:r w:rsidRPr="004C2D88">
              <w:t>30 m</w:t>
            </w:r>
            <w:r w:rsidR="005D6C6B" w:rsidRPr="004C2D88">
              <w:t>on</w:t>
            </w:r>
            <w:r w:rsidRPr="004C2D88">
              <w:t>ths</w:t>
            </w:r>
            <w:r w:rsidR="004748E7" w:rsidRPr="004C2D88">
              <w:rPr>
                <w:vertAlign w:val="superscript"/>
              </w:rPr>
              <w:t>d</w:t>
            </w:r>
          </w:p>
        </w:tc>
        <w:tc>
          <w:tcPr>
            <w:tcW w:w="617"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Low</w:t>
            </w:r>
          </w:p>
        </w:tc>
        <w:tc>
          <w:tcPr>
            <w:tcW w:w="1731"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 xml:space="preserve">Unresectable </w:t>
            </w:r>
            <w:r w:rsidR="0092377B" w:rsidRPr="004C2D88">
              <w:t>S</w:t>
            </w:r>
            <w:r w:rsidRPr="004C2D88">
              <w:t xml:space="preserve">tage IIIb, IIIc or </w:t>
            </w:r>
            <w:r w:rsidR="0092377B" w:rsidRPr="004C2D88">
              <w:t>S</w:t>
            </w:r>
            <w:r w:rsidRPr="004C2D88">
              <w:t xml:space="preserve">tage IV </w:t>
            </w:r>
            <w:r w:rsidR="004748E7" w:rsidRPr="004C2D88">
              <w:t>cutaneous m</w:t>
            </w:r>
            <w:r w:rsidRPr="004C2D88">
              <w:t>elanoma</w:t>
            </w:r>
            <w:r w:rsidR="004748E7" w:rsidRPr="004C2D88">
              <w:t xml:space="preserve"> or </w:t>
            </w:r>
            <w:r w:rsidR="00B760A0" w:rsidRPr="004C2D88">
              <w:t xml:space="preserve">melanoma </w:t>
            </w:r>
            <w:r w:rsidR="004748E7" w:rsidRPr="004C2D88">
              <w:t>of unknown primary</w:t>
            </w:r>
          </w:p>
        </w:tc>
        <w:tc>
          <w:tcPr>
            <w:tcW w:w="693"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PFS, OS</w:t>
            </w:r>
          </w:p>
        </w:tc>
      </w:tr>
      <w:tr w:rsidR="00390833" w:rsidRPr="004C2D88" w:rsidTr="00DD2A5A">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rPr>
                <w:b/>
              </w:rPr>
            </w:pPr>
            <w:r w:rsidRPr="004C2D88">
              <w:rPr>
                <w:b/>
              </w:rPr>
              <w:t>Dabrafenib+trametinib vs. dabrafenib</w:t>
            </w:r>
          </w:p>
        </w:tc>
      </w:tr>
      <w:tr w:rsidR="00390833" w:rsidRPr="004C2D88" w:rsidTr="00D50317">
        <w:tc>
          <w:tcPr>
            <w:tcW w:w="715"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COMBI-D</w:t>
            </w:r>
          </w:p>
        </w:tc>
        <w:tc>
          <w:tcPr>
            <w:tcW w:w="466"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423</w:t>
            </w:r>
          </w:p>
        </w:tc>
        <w:tc>
          <w:tcPr>
            <w:tcW w:w="779"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 xml:space="preserve">R, </w:t>
            </w:r>
            <w:r w:rsidR="00104F7A" w:rsidRPr="004C2D88">
              <w:t xml:space="preserve">MC, </w:t>
            </w:r>
            <w:r w:rsidRPr="004C2D88">
              <w:t>DB</w:t>
            </w:r>
          </w:p>
          <w:p w:rsidR="00390833" w:rsidRPr="004C2D88" w:rsidRDefault="00B760A0" w:rsidP="00465BB6">
            <w:pPr>
              <w:pStyle w:val="Tabletext"/>
              <w:keepNext/>
              <w:jc w:val="center"/>
            </w:pPr>
            <w:r w:rsidRPr="004C2D88">
              <w:t>&gt;20</w:t>
            </w:r>
            <w:r w:rsidR="00390833" w:rsidRPr="004C2D88">
              <w:t xml:space="preserve"> m</w:t>
            </w:r>
            <w:r w:rsidR="005D6C6B" w:rsidRPr="004C2D88">
              <w:t>on</w:t>
            </w:r>
            <w:r w:rsidR="00390833" w:rsidRPr="004C2D88">
              <w:t>ths</w:t>
            </w:r>
            <w:r w:rsidRPr="004C2D88">
              <w:rPr>
                <w:vertAlign w:val="superscript"/>
              </w:rPr>
              <w:t>e</w:t>
            </w:r>
          </w:p>
        </w:tc>
        <w:tc>
          <w:tcPr>
            <w:tcW w:w="617"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Low</w:t>
            </w:r>
          </w:p>
        </w:tc>
        <w:tc>
          <w:tcPr>
            <w:tcW w:w="1731"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 xml:space="preserve">Previously untreated unresectable </w:t>
            </w:r>
            <w:r w:rsidR="0092377B" w:rsidRPr="004C2D88">
              <w:t>S</w:t>
            </w:r>
            <w:r w:rsidRPr="004C2D88">
              <w:t xml:space="preserve">tage IIIc or </w:t>
            </w:r>
            <w:r w:rsidR="0092377B" w:rsidRPr="004C2D88">
              <w:t>S</w:t>
            </w:r>
            <w:r w:rsidRPr="004C2D88">
              <w:t xml:space="preserve">tage IV </w:t>
            </w:r>
            <w:r w:rsidR="00B760A0" w:rsidRPr="004C2D88">
              <w:t xml:space="preserve">cutaneous </w:t>
            </w:r>
            <w:r w:rsidRPr="004C2D88">
              <w:t>melanoma</w:t>
            </w:r>
          </w:p>
        </w:tc>
        <w:tc>
          <w:tcPr>
            <w:tcW w:w="693"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PFS, OS</w:t>
            </w:r>
          </w:p>
        </w:tc>
      </w:tr>
      <w:tr w:rsidR="00390833" w:rsidRPr="004C2D88" w:rsidTr="00DD2A5A">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rPr>
                <w:b/>
              </w:rPr>
              <w:t>Dabrafenib+trametinib vs. vemurafenib</w:t>
            </w:r>
          </w:p>
        </w:tc>
      </w:tr>
      <w:tr w:rsidR="00390833" w:rsidRPr="004C2D88" w:rsidTr="00D50317">
        <w:tc>
          <w:tcPr>
            <w:tcW w:w="715"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COMBI-V</w:t>
            </w:r>
          </w:p>
        </w:tc>
        <w:tc>
          <w:tcPr>
            <w:tcW w:w="466"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704</w:t>
            </w:r>
          </w:p>
        </w:tc>
        <w:tc>
          <w:tcPr>
            <w:tcW w:w="779"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R,</w:t>
            </w:r>
            <w:r w:rsidR="00104F7A" w:rsidRPr="004C2D88">
              <w:t xml:space="preserve"> MC, </w:t>
            </w:r>
            <w:r w:rsidRPr="004C2D88">
              <w:t>OL</w:t>
            </w:r>
          </w:p>
          <w:p w:rsidR="00390833" w:rsidRPr="004C2D88" w:rsidRDefault="00390833" w:rsidP="00465BB6">
            <w:pPr>
              <w:pStyle w:val="Tabletext"/>
              <w:keepNext/>
              <w:jc w:val="center"/>
            </w:pPr>
            <w:r w:rsidRPr="004C2D88">
              <w:t>23 m</w:t>
            </w:r>
            <w:r w:rsidR="005D6C6B" w:rsidRPr="004C2D88">
              <w:t>on</w:t>
            </w:r>
            <w:r w:rsidRPr="004C2D88">
              <w:t>ths</w:t>
            </w:r>
            <w:r w:rsidR="004731C7" w:rsidRPr="004C2D88">
              <w:rPr>
                <w:vertAlign w:val="superscript"/>
              </w:rPr>
              <w:t>f</w:t>
            </w:r>
          </w:p>
        </w:tc>
        <w:tc>
          <w:tcPr>
            <w:tcW w:w="617"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Low</w:t>
            </w:r>
          </w:p>
        </w:tc>
        <w:tc>
          <w:tcPr>
            <w:tcW w:w="1731"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As above</w:t>
            </w:r>
          </w:p>
        </w:tc>
        <w:tc>
          <w:tcPr>
            <w:tcW w:w="693"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PFS, OS</w:t>
            </w:r>
          </w:p>
        </w:tc>
      </w:tr>
      <w:tr w:rsidR="00390833" w:rsidRPr="004C2D88" w:rsidTr="00DD2A5A">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rPr>
                <w:b/>
              </w:rPr>
            </w:pPr>
            <w:r w:rsidRPr="004C2D88">
              <w:rPr>
                <w:b/>
              </w:rPr>
              <w:t>Vemurafenib+cobimetinib vs. vemurafenib</w:t>
            </w:r>
          </w:p>
        </w:tc>
      </w:tr>
      <w:tr w:rsidR="00390833" w:rsidRPr="004C2D88" w:rsidTr="00D50317">
        <w:tc>
          <w:tcPr>
            <w:tcW w:w="715"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4731C7" w:rsidP="00465BB6">
            <w:pPr>
              <w:pStyle w:val="Tabletext"/>
              <w:keepNext/>
            </w:pPr>
            <w:r w:rsidRPr="004C2D88">
              <w:t>c</w:t>
            </w:r>
            <w:r w:rsidR="00390833" w:rsidRPr="004C2D88">
              <w:t>oBRIM</w:t>
            </w:r>
          </w:p>
        </w:tc>
        <w:tc>
          <w:tcPr>
            <w:tcW w:w="466"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495</w:t>
            </w:r>
          </w:p>
        </w:tc>
        <w:tc>
          <w:tcPr>
            <w:tcW w:w="779"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 xml:space="preserve">R, </w:t>
            </w:r>
            <w:r w:rsidR="00104F7A" w:rsidRPr="004C2D88">
              <w:t xml:space="preserve">MC, </w:t>
            </w:r>
            <w:r w:rsidRPr="004C2D88">
              <w:t>DB</w:t>
            </w:r>
          </w:p>
          <w:p w:rsidR="00390833" w:rsidRPr="004C2D88" w:rsidRDefault="00EA5855" w:rsidP="00465BB6">
            <w:pPr>
              <w:pStyle w:val="Tabletext"/>
              <w:keepNext/>
              <w:jc w:val="center"/>
            </w:pPr>
            <w:r w:rsidRPr="004C2D88">
              <w:t>19</w:t>
            </w:r>
            <w:r w:rsidR="00390833" w:rsidRPr="004C2D88">
              <w:t xml:space="preserve"> m</w:t>
            </w:r>
            <w:r w:rsidR="005D6C6B" w:rsidRPr="004C2D88">
              <w:t>on</w:t>
            </w:r>
            <w:r w:rsidR="00390833" w:rsidRPr="004C2D88">
              <w:t>ths</w:t>
            </w:r>
          </w:p>
        </w:tc>
        <w:tc>
          <w:tcPr>
            <w:tcW w:w="617"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Low</w:t>
            </w:r>
          </w:p>
        </w:tc>
        <w:tc>
          <w:tcPr>
            <w:tcW w:w="1731"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As above</w:t>
            </w:r>
          </w:p>
        </w:tc>
        <w:tc>
          <w:tcPr>
            <w:tcW w:w="693"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PFS, OS</w:t>
            </w:r>
          </w:p>
        </w:tc>
      </w:tr>
    </w:tbl>
    <w:p w:rsidR="00390833" w:rsidRPr="004C2D88" w:rsidRDefault="00390833" w:rsidP="00465BB6">
      <w:pPr>
        <w:pStyle w:val="TableFooter"/>
        <w:widowControl/>
      </w:pPr>
      <w:r w:rsidRPr="004C2D88">
        <w:t>DB</w:t>
      </w:r>
      <w:r w:rsidR="00104F7A" w:rsidRPr="004C2D88">
        <w:t xml:space="preserve"> </w:t>
      </w:r>
      <w:r w:rsidRPr="004C2D88">
        <w:t>=</w:t>
      </w:r>
      <w:r w:rsidR="00104F7A" w:rsidRPr="004C2D88">
        <w:t xml:space="preserve"> </w:t>
      </w:r>
      <w:r w:rsidRPr="004C2D88">
        <w:t xml:space="preserve">double blind; </w:t>
      </w:r>
      <w:r w:rsidR="00563CD5" w:rsidRPr="004C2D88">
        <w:t>MC</w:t>
      </w:r>
      <w:r w:rsidR="00104F7A" w:rsidRPr="004C2D88">
        <w:t xml:space="preserve"> </w:t>
      </w:r>
      <w:r w:rsidR="00563CD5" w:rsidRPr="004C2D88">
        <w:t>=</w:t>
      </w:r>
      <w:r w:rsidR="00104F7A" w:rsidRPr="004C2D88">
        <w:t xml:space="preserve"> </w:t>
      </w:r>
      <w:r w:rsidR="00563CD5" w:rsidRPr="004C2D88">
        <w:t>multi-centre</w:t>
      </w:r>
      <w:r w:rsidRPr="004C2D88">
        <w:t>; OL</w:t>
      </w:r>
      <w:r w:rsidR="00104F7A" w:rsidRPr="004C2D88">
        <w:t xml:space="preserve"> </w:t>
      </w:r>
      <w:r w:rsidRPr="004C2D88">
        <w:t>=</w:t>
      </w:r>
      <w:r w:rsidR="00104F7A" w:rsidRPr="004C2D88">
        <w:t xml:space="preserve"> </w:t>
      </w:r>
      <w:r w:rsidRPr="004C2D88">
        <w:t>open label; OS</w:t>
      </w:r>
      <w:r w:rsidR="00104F7A" w:rsidRPr="004C2D88">
        <w:t xml:space="preserve"> </w:t>
      </w:r>
      <w:r w:rsidRPr="004C2D88">
        <w:t>=</w:t>
      </w:r>
      <w:r w:rsidR="00104F7A" w:rsidRPr="004C2D88">
        <w:t xml:space="preserve"> </w:t>
      </w:r>
      <w:r w:rsidRPr="004C2D88">
        <w:t>overall survival; PFS</w:t>
      </w:r>
      <w:r w:rsidR="00104F7A" w:rsidRPr="004C2D88">
        <w:t xml:space="preserve"> </w:t>
      </w:r>
      <w:r w:rsidRPr="004C2D88">
        <w:t>=</w:t>
      </w:r>
      <w:r w:rsidR="00104F7A" w:rsidRPr="004C2D88">
        <w:t xml:space="preserve"> </w:t>
      </w:r>
      <w:r w:rsidRPr="004C2D88">
        <w:t>progression-free survival; R</w:t>
      </w:r>
      <w:r w:rsidR="00104F7A" w:rsidRPr="004C2D88">
        <w:t xml:space="preserve"> </w:t>
      </w:r>
      <w:r w:rsidRPr="004C2D88">
        <w:t>=</w:t>
      </w:r>
      <w:r w:rsidR="00104F7A" w:rsidRPr="004C2D88">
        <w:t xml:space="preserve"> </w:t>
      </w:r>
      <w:r w:rsidRPr="004C2D88">
        <w:t>randomised</w:t>
      </w:r>
    </w:p>
    <w:p w:rsidR="00390833" w:rsidRPr="004C2D88" w:rsidRDefault="004748E7" w:rsidP="00465BB6">
      <w:pPr>
        <w:pStyle w:val="TableFooter"/>
        <w:widowControl/>
      </w:pPr>
      <w:r w:rsidRPr="004C2D88">
        <w:rPr>
          <w:vertAlign w:val="superscript"/>
        </w:rPr>
        <w:t>a</w:t>
      </w:r>
      <w:r w:rsidR="00390833" w:rsidRPr="004C2D88">
        <w:t xml:space="preserve"> </w:t>
      </w:r>
      <w:r w:rsidRPr="004C2D88">
        <w:t xml:space="preserve">Although the risk of bias within each trial was considered low, there was some potential for bias in the indirect comparison, given issues with transitivity of the trials </w:t>
      </w:r>
    </w:p>
    <w:p w:rsidR="004748E7" w:rsidRPr="004C2D88" w:rsidRDefault="004748E7" w:rsidP="00465BB6">
      <w:pPr>
        <w:pStyle w:val="TableFooter"/>
        <w:widowControl/>
      </w:pPr>
      <w:r w:rsidRPr="004C2D88">
        <w:rPr>
          <w:vertAlign w:val="superscript"/>
        </w:rPr>
        <w:t>b</w:t>
      </w:r>
      <w:r w:rsidRPr="004C2D88">
        <w:t xml:space="preserve"> PFS assessed by blinded independent review committee (BIRC) using Response Evaluation Criteria in Solid Tumours version 1.1 (RECIST v1.1) was reported in COLUMBUS and coBRIM. Investigator-assessed PFS was reported by all four trials. </w:t>
      </w:r>
    </w:p>
    <w:p w:rsidR="00390833" w:rsidRPr="004C2D88" w:rsidRDefault="004748E7" w:rsidP="00465BB6">
      <w:pPr>
        <w:pStyle w:val="TableFooter"/>
        <w:widowControl/>
      </w:pPr>
      <w:r w:rsidRPr="004C2D88">
        <w:rPr>
          <w:vertAlign w:val="superscript"/>
        </w:rPr>
        <w:t>c</w:t>
      </w:r>
      <w:r w:rsidR="00EA5855" w:rsidRPr="004C2D88">
        <w:t xml:space="preserve"> Part 1</w:t>
      </w:r>
      <w:r w:rsidR="00390833" w:rsidRPr="004C2D88">
        <w:t xml:space="preserve"> of the trial</w:t>
      </w:r>
    </w:p>
    <w:p w:rsidR="00390833" w:rsidRPr="004C2D88" w:rsidRDefault="004748E7" w:rsidP="00465BB6">
      <w:pPr>
        <w:pStyle w:val="TableFooter"/>
        <w:widowControl/>
      </w:pPr>
      <w:r w:rsidRPr="004C2D88">
        <w:rPr>
          <w:vertAlign w:val="superscript"/>
        </w:rPr>
        <w:t xml:space="preserve">d </w:t>
      </w:r>
      <w:r w:rsidRPr="004C2D88">
        <w:t>M</w:t>
      </w:r>
      <w:r w:rsidR="00390833" w:rsidRPr="004C2D88">
        <w:t xml:space="preserve">edian duration of follow-up for Part 1 of </w:t>
      </w:r>
      <w:r w:rsidR="00B760A0" w:rsidRPr="004C2D88">
        <w:t>COLUMBUS</w:t>
      </w:r>
      <w:r w:rsidR="00390833" w:rsidRPr="004C2D88">
        <w:t xml:space="preserve"> was 30 months for </w:t>
      </w:r>
      <w:r w:rsidRPr="004C2D88">
        <w:t xml:space="preserve">the </w:t>
      </w:r>
      <w:r w:rsidR="00390833" w:rsidRPr="004C2D88">
        <w:t>COMBO 450 arm</w:t>
      </w:r>
      <w:r w:rsidR="00BB6318" w:rsidRPr="004C2D88">
        <w:t>,</w:t>
      </w:r>
      <w:r w:rsidR="00390833" w:rsidRPr="004C2D88">
        <w:t xml:space="preserve"> 16 months for </w:t>
      </w:r>
      <w:r w:rsidRPr="004C2D88">
        <w:t xml:space="preserve">the </w:t>
      </w:r>
      <w:r w:rsidR="00390833" w:rsidRPr="004C2D88">
        <w:t xml:space="preserve">vemurafenib arm and 20 months for </w:t>
      </w:r>
      <w:r w:rsidRPr="004C2D88">
        <w:t xml:space="preserve">the </w:t>
      </w:r>
      <w:r w:rsidR="00390833" w:rsidRPr="004C2D88">
        <w:t>encorafenib arm</w:t>
      </w:r>
    </w:p>
    <w:p w:rsidR="00B760A0" w:rsidRPr="004C2D88" w:rsidRDefault="00B760A0" w:rsidP="00465BB6">
      <w:pPr>
        <w:pStyle w:val="TableFooter"/>
        <w:widowControl/>
      </w:pPr>
      <w:r w:rsidRPr="004C2D88">
        <w:rPr>
          <w:vertAlign w:val="superscript"/>
        </w:rPr>
        <w:t>e</w:t>
      </w:r>
      <w:r w:rsidR="004731C7" w:rsidRPr="004C2D88">
        <w:t xml:space="preserve"> M</w:t>
      </w:r>
      <w:r w:rsidRPr="004C2D88">
        <w:t xml:space="preserve">edian follow-up at the latest data cut-off in COMBI-D (February 2016) was not reported, but </w:t>
      </w:r>
      <w:r w:rsidR="004731C7" w:rsidRPr="004C2D88">
        <w:t xml:space="preserve">should be </w:t>
      </w:r>
      <w:r w:rsidRPr="004C2D88">
        <w:t xml:space="preserve">longer than 20.0 months in the dabrafenib+trametinib arm and 16.0 months in the dabrafenib arm (the median follow-up at </w:t>
      </w:r>
      <w:r w:rsidR="004731C7" w:rsidRPr="004C2D88">
        <w:t xml:space="preserve">an earlier data </w:t>
      </w:r>
      <w:r w:rsidRPr="004C2D88">
        <w:t xml:space="preserve">cut-off </w:t>
      </w:r>
      <w:r w:rsidR="00EA5855" w:rsidRPr="004C2D88">
        <w:t>January</w:t>
      </w:r>
      <w:r w:rsidRPr="004C2D88">
        <w:t xml:space="preserve"> 2015)</w:t>
      </w:r>
      <w:r w:rsidR="004731C7" w:rsidRPr="004C2D88">
        <w:t>.</w:t>
      </w:r>
    </w:p>
    <w:p w:rsidR="004731C7" w:rsidRPr="004C2D88" w:rsidRDefault="004731C7" w:rsidP="00465BB6">
      <w:pPr>
        <w:pStyle w:val="TableFooter"/>
        <w:widowControl/>
      </w:pPr>
      <w:r w:rsidRPr="004C2D88">
        <w:rPr>
          <w:vertAlign w:val="superscript"/>
        </w:rPr>
        <w:t>f</w:t>
      </w:r>
      <w:r w:rsidRPr="004C2D88">
        <w:t xml:space="preserve"> Median duration of follow-up in </w:t>
      </w:r>
      <w:r w:rsidR="00BB6318" w:rsidRPr="004C2D88">
        <w:t>COMBI-V</w:t>
      </w:r>
      <w:r w:rsidRPr="004C2D88">
        <w:t xml:space="preserve"> was 23 months in the dabrafenib+trametinib arm. </w:t>
      </w:r>
      <w:r w:rsidR="00BB6318" w:rsidRPr="004C2D88">
        <w:t>D</w:t>
      </w:r>
      <w:r w:rsidRPr="004C2D88">
        <w:t>uration of follow-up in the vemurafenib arm was not reported</w:t>
      </w:r>
      <w:r w:rsidR="00EA5855" w:rsidRPr="004C2D88">
        <w:t xml:space="preserve"> (data cut-off July 2016)</w:t>
      </w:r>
      <w:r w:rsidRPr="004C2D88">
        <w:t>.</w:t>
      </w:r>
    </w:p>
    <w:p w:rsidR="00390833" w:rsidRPr="004C2D88" w:rsidRDefault="00390833" w:rsidP="00465BB6">
      <w:pPr>
        <w:pStyle w:val="TableFooter"/>
        <w:widowControl/>
      </w:pPr>
      <w:r w:rsidRPr="004C2D88">
        <w:t xml:space="preserve">Source: </w:t>
      </w:r>
      <w:r w:rsidR="004731C7" w:rsidRPr="004C2D88">
        <w:t>Table c</w:t>
      </w:r>
      <w:r w:rsidRPr="004C2D88">
        <w:t>ompiled during evaluation</w:t>
      </w:r>
      <w:r w:rsidR="004748E7" w:rsidRPr="004C2D88">
        <w:t>,</w:t>
      </w:r>
      <w:r w:rsidRPr="004C2D88">
        <w:t xml:space="preserve"> based on Sections 2.2-2.4 of the submission</w:t>
      </w:r>
      <w:r w:rsidR="008628F4" w:rsidRPr="004C2D88">
        <w:t>.</w:t>
      </w:r>
    </w:p>
    <w:p w:rsidR="008628F4" w:rsidRPr="004C2D88" w:rsidRDefault="008628F4" w:rsidP="00465BB6">
      <w:pPr>
        <w:pStyle w:val="TableFooter"/>
        <w:widowControl/>
        <w:rPr>
          <w:szCs w:val="18"/>
        </w:rPr>
      </w:pPr>
    </w:p>
    <w:p w:rsidR="00390833" w:rsidRPr="004C2D88" w:rsidRDefault="00390833" w:rsidP="00D073C6">
      <w:pPr>
        <w:pStyle w:val="ListParagraph"/>
        <w:widowControl/>
        <w:numPr>
          <w:ilvl w:val="1"/>
          <w:numId w:val="4"/>
        </w:numPr>
        <w:snapToGrid w:val="0"/>
      </w:pPr>
      <w:r w:rsidRPr="004C2D88">
        <w:t xml:space="preserve">For the indirect comparison, </w:t>
      </w:r>
      <w:r w:rsidR="00B90A11" w:rsidRPr="004C2D88">
        <w:t xml:space="preserve">a </w:t>
      </w:r>
      <w:r w:rsidRPr="004C2D88">
        <w:t>BRAF inhibitor was selected as the common reference, and treatment effects observed in COMBI-V and COMBI-D for dabrafenib+trametinib were pooled via a meta-analysis.</w:t>
      </w:r>
    </w:p>
    <w:p w:rsidR="009D50C3" w:rsidRPr="004C2D88" w:rsidRDefault="009D50C3" w:rsidP="00D073C6">
      <w:pPr>
        <w:pStyle w:val="ListParagraph"/>
        <w:widowControl/>
        <w:numPr>
          <w:ilvl w:val="1"/>
          <w:numId w:val="4"/>
        </w:numPr>
        <w:snapToGrid w:val="0"/>
        <w:rPr>
          <w:snapToGrid/>
        </w:rPr>
      </w:pPr>
      <w:r w:rsidRPr="004C2D88">
        <w:t xml:space="preserve">There are key transitivity concerns </w:t>
      </w:r>
      <w:r w:rsidR="006956B2" w:rsidRPr="004C2D88">
        <w:t xml:space="preserve">between </w:t>
      </w:r>
      <w:r w:rsidRPr="004C2D88">
        <w:t xml:space="preserve">the trials included in the indirect comparison. </w:t>
      </w:r>
    </w:p>
    <w:p w:rsidR="009D50C3" w:rsidRPr="004C2D88" w:rsidRDefault="009D50C3" w:rsidP="00D073C6">
      <w:pPr>
        <w:pStyle w:val="ListParagraph"/>
        <w:widowControl/>
        <w:numPr>
          <w:ilvl w:val="1"/>
          <w:numId w:val="14"/>
        </w:numPr>
        <w:tabs>
          <w:tab w:val="left" w:pos="993"/>
        </w:tabs>
        <w:snapToGrid w:val="0"/>
        <w:spacing w:after="0"/>
        <w:ind w:left="993" w:hanging="284"/>
      </w:pPr>
      <w:r w:rsidRPr="004C2D88">
        <w:t>A lower proportion of patients in COLUMBUS had elevated lactate dehydrogenase level at baseline than in other trials (28% vs 33%-45%);</w:t>
      </w:r>
    </w:p>
    <w:p w:rsidR="009D50C3" w:rsidRPr="004C2D88" w:rsidRDefault="009D50C3" w:rsidP="00D073C6">
      <w:pPr>
        <w:pStyle w:val="ListParagraph"/>
        <w:widowControl/>
        <w:numPr>
          <w:ilvl w:val="1"/>
          <w:numId w:val="14"/>
        </w:numPr>
        <w:tabs>
          <w:tab w:val="left" w:pos="993"/>
        </w:tabs>
        <w:snapToGrid w:val="0"/>
        <w:spacing w:after="0"/>
        <w:ind w:left="993" w:hanging="284"/>
      </w:pPr>
      <w:r w:rsidRPr="004C2D88">
        <w:t>The median duration of follow-up varied across trials</w:t>
      </w:r>
      <w:r w:rsidR="006956B2" w:rsidRPr="004C2D88">
        <w:t xml:space="preserve"> (19 to 30 months)</w:t>
      </w:r>
      <w:r w:rsidRPr="004C2D88">
        <w:t>;</w:t>
      </w:r>
    </w:p>
    <w:p w:rsidR="009D50C3" w:rsidRPr="004C2D88" w:rsidRDefault="009D50C3" w:rsidP="00D073C6">
      <w:pPr>
        <w:pStyle w:val="ListParagraph"/>
        <w:widowControl/>
        <w:numPr>
          <w:ilvl w:val="1"/>
          <w:numId w:val="14"/>
        </w:numPr>
        <w:tabs>
          <w:tab w:val="left" w:pos="993"/>
        </w:tabs>
        <w:snapToGrid w:val="0"/>
        <w:spacing w:after="0"/>
        <w:ind w:left="993" w:hanging="284"/>
      </w:pPr>
      <w:r w:rsidRPr="004C2D88">
        <w:t xml:space="preserve">Cross-over from monotherapy to combination therapy was allowed in the two dabrafenib+trametinib trials (COMBI-D </w:t>
      </w:r>
      <w:r w:rsidR="00567452" w:rsidRPr="004C2D88">
        <w:t xml:space="preserve">(12%) </w:t>
      </w:r>
      <w:r w:rsidRPr="004C2D88">
        <w:t>and COMBI-V</w:t>
      </w:r>
      <w:r w:rsidR="00567452" w:rsidRPr="004C2D88">
        <w:t xml:space="preserve"> (10%)</w:t>
      </w:r>
      <w:r w:rsidRPr="004C2D88">
        <w:t>), but not in COLUMBUS or coBRIM;</w:t>
      </w:r>
    </w:p>
    <w:p w:rsidR="009D50C3" w:rsidRPr="004C2D88" w:rsidRDefault="009D50C3" w:rsidP="00D073C6">
      <w:pPr>
        <w:pStyle w:val="ListParagraph"/>
        <w:widowControl/>
        <w:numPr>
          <w:ilvl w:val="1"/>
          <w:numId w:val="14"/>
        </w:numPr>
        <w:tabs>
          <w:tab w:val="left" w:pos="993"/>
        </w:tabs>
        <w:snapToGrid w:val="0"/>
        <w:spacing w:after="0"/>
        <w:ind w:left="993" w:hanging="284"/>
      </w:pPr>
      <w:r w:rsidRPr="004C2D88">
        <w:t>Patients and investigators were blinded to treatment allocation in COMBI-D and coBRIM, as opposed to the open-label design of Trials COLUMBUS and COMBI-V.</w:t>
      </w:r>
    </w:p>
    <w:p w:rsidR="00390833" w:rsidRPr="004C2D88" w:rsidRDefault="009D50C3" w:rsidP="00465BB6">
      <w:pPr>
        <w:pStyle w:val="ListParagraph"/>
        <w:widowControl/>
        <w:spacing w:before="120"/>
      </w:pPr>
      <w:r w:rsidRPr="004C2D88">
        <w:lastRenderedPageBreak/>
        <w:t xml:space="preserve">The </w:t>
      </w:r>
      <w:r w:rsidR="004C2007" w:rsidRPr="004C2D88">
        <w:t xml:space="preserve">ESC considered that the </w:t>
      </w:r>
      <w:r w:rsidRPr="004C2D88">
        <w:t xml:space="preserve">overall impact </w:t>
      </w:r>
      <w:r w:rsidR="006055D2" w:rsidRPr="004C2D88">
        <w:t xml:space="preserve">of these differences </w:t>
      </w:r>
      <w:r w:rsidRPr="004C2D88">
        <w:t>on the results of indirect comparison</w:t>
      </w:r>
      <w:r w:rsidR="006055D2" w:rsidRPr="004C2D88">
        <w:t>s</w:t>
      </w:r>
      <w:r w:rsidRPr="004C2D88">
        <w:t xml:space="preserve"> </w:t>
      </w:r>
      <w:r w:rsidR="004C2007" w:rsidRPr="004C2D88">
        <w:t xml:space="preserve">was </w:t>
      </w:r>
      <w:r w:rsidRPr="004C2D88">
        <w:t>unclear</w:t>
      </w:r>
      <w:r w:rsidR="004C2007" w:rsidRPr="004C2D88">
        <w:t>, but noted that similar issues were previously accepted in the consideration of vemurafenib+cobimetinib</w:t>
      </w:r>
      <w:r w:rsidRPr="004C2D88">
        <w:t>.</w:t>
      </w:r>
      <w:r w:rsidR="00D45E0B" w:rsidRPr="004C2D88">
        <w:t xml:space="preserve"> </w:t>
      </w:r>
    </w:p>
    <w:p w:rsidR="00390833" w:rsidRPr="004C2D88" w:rsidRDefault="00390833" w:rsidP="00465BB6">
      <w:pPr>
        <w:pStyle w:val="Heading2"/>
        <w:widowControl/>
      </w:pPr>
      <w:bookmarkStart w:id="16" w:name="_Toc371170706"/>
      <w:bookmarkStart w:id="17" w:name="_Toc524515812"/>
      <w:r w:rsidRPr="004C2D88">
        <w:t>Comparative effectiveness</w:t>
      </w:r>
      <w:bookmarkEnd w:id="16"/>
      <w:bookmarkEnd w:id="17"/>
    </w:p>
    <w:p w:rsidR="006C1741" w:rsidRPr="004C2D88" w:rsidRDefault="00390833" w:rsidP="00D073C6">
      <w:pPr>
        <w:pStyle w:val="ListParagraph"/>
        <w:widowControl/>
        <w:numPr>
          <w:ilvl w:val="1"/>
          <w:numId w:val="4"/>
        </w:numPr>
        <w:snapToGrid w:val="0"/>
      </w:pPr>
      <w:r w:rsidRPr="004C2D88">
        <w:rPr>
          <w:rFonts w:asciiTheme="minorHAnsi" w:hAnsiTheme="minorHAnsi" w:cstheme="minorHAnsi"/>
        </w:rPr>
        <w:t>The results for PFS and OS in COL</w:t>
      </w:r>
      <w:r w:rsidR="00563CD5" w:rsidRPr="004C2D88">
        <w:rPr>
          <w:rFonts w:asciiTheme="minorHAnsi" w:hAnsiTheme="minorHAnsi" w:cstheme="minorHAnsi"/>
        </w:rPr>
        <w:t>U</w:t>
      </w:r>
      <w:r w:rsidRPr="004C2D88">
        <w:rPr>
          <w:rFonts w:asciiTheme="minorHAnsi" w:hAnsiTheme="minorHAnsi" w:cstheme="minorHAnsi"/>
        </w:rPr>
        <w:t xml:space="preserve">MBUS Part 1 are summarised below. </w:t>
      </w:r>
    </w:p>
    <w:p w:rsidR="00390833" w:rsidRPr="004C2D88" w:rsidRDefault="00390833" w:rsidP="00465BB6">
      <w:pPr>
        <w:pStyle w:val="Caption"/>
        <w:keepNext/>
        <w:widowControl/>
        <w:rPr>
          <w:rStyle w:val="CommentReference"/>
          <w:bCs w:val="0"/>
        </w:rPr>
      </w:pPr>
      <w:r w:rsidRPr="004C2D88">
        <w:rPr>
          <w:rStyle w:val="CommentReference"/>
          <w:b/>
          <w:bCs w:val="0"/>
        </w:rPr>
        <w:t xml:space="preserve">Table </w:t>
      </w:r>
      <w:r w:rsidR="00CC25ED" w:rsidRPr="004C2D88">
        <w:rPr>
          <w:rStyle w:val="CommentReference"/>
          <w:b/>
          <w:bCs w:val="0"/>
        </w:rPr>
        <w:t>4</w:t>
      </w:r>
      <w:r w:rsidRPr="004C2D88">
        <w:rPr>
          <w:rStyle w:val="CommentReference"/>
          <w:b/>
          <w:bCs w:val="0"/>
        </w:rPr>
        <w:t>: Results of PFS for encorafenib+binimetinib vs. vemurafenib vs. encorafenib (COLUMBUS Part 1)</w:t>
      </w:r>
      <w:r w:rsidR="008324CE" w:rsidRPr="004C2D88">
        <w:rPr>
          <w:rStyle w:val="CommentReference"/>
          <w:b/>
          <w:bCs w:val="0"/>
          <w:vertAlign w:val="superscript"/>
        </w:rPr>
        <w:t>a</w:t>
      </w:r>
    </w:p>
    <w:tbl>
      <w:tblPr>
        <w:tblStyle w:val="Submissionstandard1"/>
        <w:tblW w:w="9072" w:type="dxa"/>
        <w:tblInd w:w="28" w:type="dxa"/>
        <w:shd w:val="clear" w:color="auto" w:fill="FFFFFF" w:themeFill="background1"/>
        <w:tblLook w:val="04A0" w:firstRow="1" w:lastRow="0" w:firstColumn="1" w:lastColumn="0" w:noHBand="0" w:noVBand="1"/>
        <w:tblCaption w:val="Results of PFS for encorafenib+binimetinib vs. vemurafenib vs. encorafenib (COLUMBUS Part 1)a"/>
      </w:tblPr>
      <w:tblGrid>
        <w:gridCol w:w="2410"/>
        <w:gridCol w:w="1418"/>
        <w:gridCol w:w="1417"/>
        <w:gridCol w:w="1276"/>
        <w:gridCol w:w="1276"/>
        <w:gridCol w:w="1275"/>
      </w:tblGrid>
      <w:tr w:rsidR="00B1102B" w:rsidRPr="004C2D88" w:rsidTr="00D64A17">
        <w:trPr>
          <w:cnfStyle w:val="100000000000" w:firstRow="1" w:lastRow="0" w:firstColumn="0" w:lastColumn="0" w:oddVBand="0" w:evenVBand="0" w:oddHBand="0" w:evenHBand="0" w:firstRowFirstColumn="0" w:firstRowLastColumn="0" w:lastRowFirstColumn="0" w:lastRowLastColumn="0"/>
          <w:cantSplit/>
          <w:tblHeader/>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rsidR="00390833" w:rsidRPr="004C2D88" w:rsidRDefault="00390833" w:rsidP="00465BB6">
            <w:pPr>
              <w:widowControl/>
              <w:jc w:val="left"/>
              <w:rPr>
                <w:rFonts w:ascii="Arial Narrow" w:hAnsi="Arial Narrow" w:cs="Times New Roman"/>
                <w:sz w:val="20"/>
                <w:szCs w:val="20"/>
                <w:lang w:val="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Combo 450 </w:t>
            </w:r>
            <w:r w:rsidR="00B1102B" w:rsidRPr="004C2D88">
              <w:rPr>
                <w:rFonts w:ascii="Arial Narrow" w:hAnsi="Arial Narrow" w:cs="Times New Roman"/>
                <w:sz w:val="20"/>
                <w:szCs w:val="20"/>
                <w:lang w:val="en-AU"/>
              </w:rPr>
              <w:br/>
            </w:r>
            <w:r w:rsidRPr="004C2D88">
              <w:rPr>
                <w:rFonts w:ascii="Arial Narrow" w:hAnsi="Arial Narrow" w:cs="Times New Roman"/>
                <w:sz w:val="20"/>
                <w:szCs w:val="20"/>
                <w:lang w:val="en-AU"/>
              </w:rPr>
              <w:t>(E+B)</w:t>
            </w:r>
          </w:p>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N = 192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Vemurafenib</w:t>
            </w:r>
          </w:p>
          <w:p w:rsidR="00252FEC" w:rsidRPr="004C2D88" w:rsidRDefault="00252FEC"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(V)</w:t>
            </w:r>
          </w:p>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N = 191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Encorafenib</w:t>
            </w:r>
          </w:p>
          <w:p w:rsidR="00252FEC" w:rsidRPr="004C2D88" w:rsidRDefault="00252FEC"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(E)</w:t>
            </w:r>
          </w:p>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N = 194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E+B vs. V </w:t>
            </w:r>
          </w:p>
          <w:p w:rsidR="00390833" w:rsidRPr="004C2D88" w:rsidRDefault="00252FEC"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Stratified </w:t>
            </w:r>
            <w:r w:rsidR="00390833" w:rsidRPr="004C2D88">
              <w:rPr>
                <w:rFonts w:ascii="Arial Narrow" w:hAnsi="Arial Narrow" w:cs="Times New Roman"/>
                <w:sz w:val="20"/>
                <w:szCs w:val="20"/>
                <w:lang w:val="en-AU"/>
              </w:rPr>
              <w:t xml:space="preserve">HR </w:t>
            </w:r>
            <w:r w:rsidR="00B1102B" w:rsidRPr="004C2D88">
              <w:rPr>
                <w:rFonts w:ascii="Arial Narrow" w:hAnsi="Arial Narrow" w:cs="Times New Roman"/>
                <w:sz w:val="20"/>
                <w:szCs w:val="20"/>
                <w:lang w:val="en-AU"/>
              </w:rPr>
              <w:br/>
            </w:r>
            <w:r w:rsidR="00390833" w:rsidRPr="004C2D88">
              <w:rPr>
                <w:rFonts w:ascii="Arial Narrow" w:hAnsi="Arial Narrow" w:cs="Times New Roman"/>
                <w:sz w:val="20"/>
                <w:szCs w:val="20"/>
                <w:lang w:val="en-AU"/>
              </w:rPr>
              <w:t>(95% CI)</w:t>
            </w:r>
          </w:p>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p-value</w:t>
            </w:r>
            <w:r w:rsidR="006C1B8F" w:rsidRPr="004C2D88">
              <w:rPr>
                <w:rFonts w:ascii="Arial Narrow" w:hAnsi="Arial Narrow" w:cs="Times New Roman"/>
                <w:sz w:val="20"/>
                <w:szCs w:val="20"/>
                <w:lang w:val="en-AU"/>
              </w:rPr>
              <w:t xml:space="preserve"> (1-side)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E+B vs. E </w:t>
            </w:r>
          </w:p>
          <w:p w:rsidR="00390833" w:rsidRPr="004C2D88" w:rsidRDefault="00252FEC"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Stratified </w:t>
            </w:r>
            <w:r w:rsidR="00390833" w:rsidRPr="004C2D88">
              <w:rPr>
                <w:rFonts w:ascii="Arial Narrow" w:hAnsi="Arial Narrow" w:cs="Times New Roman"/>
                <w:sz w:val="20"/>
                <w:szCs w:val="20"/>
                <w:lang w:val="en-AU"/>
              </w:rPr>
              <w:t>HR (95% CI)</w:t>
            </w:r>
          </w:p>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p-value</w:t>
            </w:r>
            <w:r w:rsidR="006C1B8F" w:rsidRPr="004C2D88">
              <w:rPr>
                <w:rFonts w:ascii="Arial Narrow" w:hAnsi="Arial Narrow" w:cs="Times New Roman"/>
                <w:sz w:val="20"/>
                <w:szCs w:val="20"/>
                <w:lang w:val="en-AU"/>
              </w:rPr>
              <w:t xml:space="preserve"> (1-side)</w:t>
            </w:r>
          </w:p>
        </w:tc>
      </w:tr>
      <w:tr w:rsidR="00390833" w:rsidRPr="004C2D88" w:rsidTr="005D6C6B">
        <w:tc>
          <w:tcPr>
            <w:tcW w:w="907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8324CE" w:rsidP="00465BB6">
            <w:pPr>
              <w:widowControl/>
              <w:rPr>
                <w:rFonts w:ascii="Arial Narrow" w:hAnsi="Arial Narrow" w:cs="Times New Roman"/>
                <w:b/>
                <w:sz w:val="20"/>
                <w:szCs w:val="20"/>
                <w:lang w:val="en-AU"/>
              </w:rPr>
            </w:pPr>
            <w:r w:rsidRPr="004C2D88">
              <w:rPr>
                <w:rFonts w:ascii="Arial Narrow" w:hAnsi="Arial Narrow" w:cs="Times New Roman"/>
                <w:b/>
                <w:sz w:val="20"/>
                <w:szCs w:val="20"/>
                <w:lang w:val="en-AU"/>
              </w:rPr>
              <w:t>Data cut-off 19 May 2016</w:t>
            </w:r>
            <w:r w:rsidRPr="004C2D88">
              <w:rPr>
                <w:rFonts w:ascii="Arial Narrow" w:hAnsi="Arial Narrow" w:cs="Times New Roman"/>
                <w:b/>
                <w:sz w:val="20"/>
                <w:szCs w:val="20"/>
                <w:vertAlign w:val="superscript"/>
                <w:lang w:val="en-AU"/>
              </w:rPr>
              <w:t>b</w:t>
            </w:r>
            <w:r w:rsidR="00390833" w:rsidRPr="004C2D88">
              <w:rPr>
                <w:rFonts w:ascii="Arial Narrow" w:hAnsi="Arial Narrow" w:cs="Times New Roman"/>
                <w:b/>
                <w:sz w:val="20"/>
                <w:szCs w:val="20"/>
                <w:vertAlign w:val="superscript"/>
                <w:lang w:val="en-AU"/>
              </w:rPr>
              <w:t xml:space="preserve"> </w:t>
            </w:r>
            <w:r w:rsidR="00390833" w:rsidRPr="004C2D88">
              <w:rPr>
                <w:rFonts w:ascii="Arial Narrow" w:hAnsi="Arial Narrow" w:cs="Times New Roman"/>
                <w:b/>
                <w:sz w:val="20"/>
                <w:szCs w:val="20"/>
                <w:lang w:val="en-AU"/>
              </w:rPr>
              <w:t>(primary analysis)</w:t>
            </w:r>
            <w:r w:rsidR="00390833" w:rsidRPr="004C2D88">
              <w:rPr>
                <w:rFonts w:ascii="Arial Narrow" w:hAnsi="Arial Narrow" w:cs="Times New Roman"/>
                <w:b/>
                <w:sz w:val="20"/>
                <w:szCs w:val="20"/>
                <w:vertAlign w:val="superscript"/>
                <w:lang w:val="en-AU"/>
              </w:rPr>
              <w:t xml:space="preserve"> </w:t>
            </w:r>
          </w:p>
        </w:tc>
      </w:tr>
      <w:tr w:rsidR="00B1102B" w:rsidRPr="004C2D88" w:rsidTr="005D6C6B">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right="-57"/>
              <w:jc w:val="left"/>
              <w:rPr>
                <w:rFonts w:ascii="Arial Narrow" w:hAnsi="Arial Narrow" w:cs="Times New Roman"/>
                <w:sz w:val="20"/>
                <w:szCs w:val="20"/>
                <w:lang w:val="en-AU"/>
              </w:rPr>
            </w:pPr>
            <w:r w:rsidRPr="004C2D88">
              <w:rPr>
                <w:rFonts w:ascii="Arial Narrow" w:hAnsi="Arial Narrow" w:cs="Times New Roman"/>
                <w:sz w:val="20"/>
                <w:szCs w:val="20"/>
                <w:lang w:val="en-AU"/>
              </w:rPr>
              <w:t>Patients with events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98/192 (51.0</w:t>
            </w:r>
            <w:r w:rsidR="006C1741" w:rsidRPr="004C2D88">
              <w:rPr>
                <w:rFonts w:ascii="Arial Narrow" w:hAnsi="Arial Narrow" w:cs="Times New Roman"/>
                <w:sz w:val="20"/>
                <w:szCs w:val="20"/>
                <w:lang w:val="en-AU"/>
              </w:rPr>
              <w:t>%</w:t>
            </w:r>
            <w:r w:rsidRPr="004C2D88">
              <w:rPr>
                <w:rFonts w:ascii="Arial Narrow" w:hAnsi="Arial Narrow" w:cs="Times New Roman"/>
                <w:sz w:val="20"/>
                <w:szCs w:val="20"/>
                <w:lang w:val="en-A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106/191 (55.5</w:t>
            </w:r>
            <w:r w:rsidR="006C1741" w:rsidRPr="004C2D88">
              <w:rPr>
                <w:rFonts w:ascii="Arial Narrow" w:hAnsi="Arial Narrow" w:cs="Times New Roman"/>
                <w:sz w:val="20"/>
                <w:szCs w:val="20"/>
                <w:lang w:val="en-AU"/>
              </w:rPr>
              <w:t>%</w:t>
            </w:r>
            <w:r w:rsidRPr="004C2D88">
              <w:rPr>
                <w:rFonts w:ascii="Arial Narrow" w:hAnsi="Arial Narrow" w:cs="Times New Roman"/>
                <w:sz w:val="20"/>
                <w:szCs w:val="20"/>
                <w:lang w:val="en-A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96/194 (49.5</w:t>
            </w:r>
            <w:r w:rsidR="006C1741" w:rsidRPr="004C2D88">
              <w:rPr>
                <w:rFonts w:ascii="Arial Narrow" w:hAnsi="Arial Narrow" w:cs="Times New Roman"/>
                <w:sz w:val="20"/>
                <w:szCs w:val="20"/>
                <w:lang w:val="en-AU"/>
              </w:rPr>
              <w:t>%</w:t>
            </w:r>
            <w:r w:rsidRPr="004C2D88">
              <w:rPr>
                <w:rFonts w:ascii="Arial Narrow" w:hAnsi="Arial Narrow" w:cs="Times New Roman"/>
                <w:sz w:val="20"/>
                <w:szCs w:val="20"/>
                <w:lang w:val="en-AU"/>
              </w:rPr>
              <w:t>)</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w:t>
            </w:r>
          </w:p>
        </w:tc>
        <w:tc>
          <w:tcPr>
            <w:tcW w:w="1275"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w:t>
            </w:r>
          </w:p>
        </w:tc>
      </w:tr>
      <w:tr w:rsidR="00B1102B" w:rsidRPr="004C2D88" w:rsidTr="005D6C6B">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5D6C6B">
            <w:pPr>
              <w:widowControl/>
              <w:ind w:right="-57"/>
              <w:jc w:val="left"/>
              <w:rPr>
                <w:rFonts w:ascii="Arial Narrow" w:hAnsi="Arial Narrow" w:cs="Times New Roman"/>
                <w:sz w:val="20"/>
                <w:szCs w:val="20"/>
                <w:lang w:val="en-AU"/>
              </w:rPr>
            </w:pPr>
            <w:r w:rsidRPr="004C2D88">
              <w:rPr>
                <w:rFonts w:ascii="Arial Narrow" w:hAnsi="Arial Narrow" w:cs="Times New Roman"/>
                <w:sz w:val="20"/>
                <w:szCs w:val="20"/>
                <w:lang w:val="en-AU"/>
              </w:rPr>
              <w:t>Median PFS, months (95% CI)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14.9 (11.0</w:t>
            </w:r>
            <w:r w:rsidR="00EA5798" w:rsidRPr="004C2D88">
              <w:rPr>
                <w:rFonts w:ascii="Arial Narrow" w:hAnsi="Arial Narrow"/>
                <w:sz w:val="20"/>
                <w:szCs w:val="20"/>
                <w:lang w:val="en-AU"/>
              </w:rPr>
              <w:t xml:space="preserve">, </w:t>
            </w:r>
            <w:r w:rsidRPr="004C2D88">
              <w:rPr>
                <w:rFonts w:ascii="Arial Narrow" w:hAnsi="Arial Narrow" w:cs="Times New Roman"/>
                <w:sz w:val="20"/>
                <w:szCs w:val="20"/>
                <w:lang w:val="en-AU"/>
              </w:rPr>
              <w:t>18.5)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7.3 (5.6</w:t>
            </w:r>
            <w:r w:rsidR="00EA5798" w:rsidRPr="004C2D88">
              <w:rPr>
                <w:rFonts w:ascii="Arial Narrow" w:hAnsi="Arial Narrow"/>
                <w:sz w:val="20"/>
                <w:szCs w:val="20"/>
                <w:lang w:val="en-AU"/>
              </w:rPr>
              <w:t xml:space="preserve">, </w:t>
            </w:r>
            <w:r w:rsidRPr="004C2D88">
              <w:rPr>
                <w:rFonts w:ascii="Arial Narrow" w:hAnsi="Arial Narrow" w:cs="Times New Roman"/>
                <w:sz w:val="20"/>
                <w:szCs w:val="20"/>
                <w:lang w:val="en-AU"/>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9.6 (7.5</w:t>
            </w:r>
            <w:r w:rsidR="00EA5798" w:rsidRPr="004C2D88">
              <w:rPr>
                <w:rFonts w:ascii="Arial Narrow" w:hAnsi="Arial Narrow"/>
                <w:sz w:val="20"/>
                <w:szCs w:val="20"/>
                <w:lang w:val="en-AU"/>
              </w:rPr>
              <w:t xml:space="preserve">, </w:t>
            </w:r>
            <w:r w:rsidRPr="004C2D88">
              <w:rPr>
                <w:rFonts w:ascii="Arial Narrow" w:hAnsi="Arial Narrow" w:cs="Times New Roman"/>
                <w:sz w:val="20"/>
                <w:szCs w:val="20"/>
                <w:lang w:val="en-AU"/>
              </w:rPr>
              <w:t>14.8)</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b/>
                <w:sz w:val="20"/>
                <w:szCs w:val="20"/>
                <w:lang w:val="en-AU"/>
              </w:rPr>
            </w:pPr>
            <w:r w:rsidRPr="004C2D88">
              <w:rPr>
                <w:rFonts w:ascii="Arial Narrow" w:hAnsi="Arial Narrow" w:cs="Times New Roman"/>
                <w:b/>
                <w:sz w:val="20"/>
                <w:szCs w:val="20"/>
                <w:lang w:val="en-AU"/>
              </w:rPr>
              <w:t>0.54 (0.41</w:t>
            </w:r>
            <w:r w:rsidR="009B6A2F" w:rsidRPr="004C2D88">
              <w:rPr>
                <w:rFonts w:ascii="Arial Narrow" w:hAnsi="Arial Narrow"/>
                <w:b/>
                <w:sz w:val="20"/>
                <w:szCs w:val="20"/>
                <w:lang w:val="en-AU"/>
              </w:rPr>
              <w:t xml:space="preserve">, </w:t>
            </w:r>
            <w:r w:rsidRPr="004C2D88">
              <w:rPr>
                <w:rFonts w:ascii="Arial Narrow" w:hAnsi="Arial Narrow" w:cs="Times New Roman"/>
                <w:b/>
                <w:sz w:val="20"/>
                <w:szCs w:val="20"/>
                <w:lang w:val="en-AU"/>
              </w:rPr>
              <w:t>0.71)</w:t>
            </w:r>
          </w:p>
          <w:p w:rsidR="00390833" w:rsidRPr="004C2D88" w:rsidRDefault="00B90A11"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p</w:t>
            </w:r>
            <w:r w:rsidR="00390833" w:rsidRPr="004C2D88">
              <w:rPr>
                <w:rFonts w:ascii="Arial Narrow" w:hAnsi="Arial Narrow" w:cs="Times New Roman"/>
                <w:sz w:val="20"/>
                <w:szCs w:val="20"/>
                <w:lang w:val="en-AU"/>
              </w:rPr>
              <w:t>&lt;0.0001</w:t>
            </w:r>
          </w:p>
        </w:tc>
        <w:tc>
          <w:tcPr>
            <w:tcW w:w="1275"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0.75 (0.56</w:t>
            </w:r>
            <w:r w:rsidR="009B6A2F" w:rsidRPr="004C2D88">
              <w:rPr>
                <w:rFonts w:ascii="Arial Narrow" w:hAnsi="Arial Narrow"/>
                <w:sz w:val="20"/>
                <w:szCs w:val="20"/>
                <w:lang w:val="en-AU"/>
              </w:rPr>
              <w:t xml:space="preserve">, </w:t>
            </w:r>
            <w:r w:rsidRPr="004C2D88">
              <w:rPr>
                <w:rFonts w:ascii="Arial Narrow" w:hAnsi="Arial Narrow" w:cs="Times New Roman"/>
                <w:sz w:val="20"/>
                <w:szCs w:val="20"/>
                <w:lang w:val="en-AU"/>
              </w:rPr>
              <w:t>1.00)</w:t>
            </w:r>
          </w:p>
          <w:p w:rsidR="00390833" w:rsidRPr="004C2D88" w:rsidRDefault="008324CE"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p=0.0256</w:t>
            </w:r>
          </w:p>
        </w:tc>
      </w:tr>
      <w:tr w:rsidR="00390833" w:rsidRPr="004C2D88" w:rsidTr="005D6C6B">
        <w:tc>
          <w:tcPr>
            <w:tcW w:w="907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right="-57"/>
              <w:rPr>
                <w:rFonts w:ascii="Arial Narrow" w:hAnsi="Arial Narrow" w:cs="Times New Roman"/>
                <w:b/>
                <w:sz w:val="20"/>
                <w:szCs w:val="20"/>
                <w:lang w:val="en-AU"/>
              </w:rPr>
            </w:pPr>
            <w:r w:rsidRPr="004C2D88">
              <w:rPr>
                <w:rFonts w:ascii="Arial Narrow" w:hAnsi="Arial Narrow" w:cs="Times New Roman"/>
                <w:b/>
                <w:sz w:val="20"/>
                <w:szCs w:val="20"/>
                <w:lang w:val="en-AU"/>
              </w:rPr>
              <w:t>Data cut-off 7 November 2017</w:t>
            </w:r>
            <w:r w:rsidR="008324CE" w:rsidRPr="004C2D88">
              <w:rPr>
                <w:rFonts w:ascii="Arial Narrow" w:hAnsi="Arial Narrow" w:cs="Times New Roman"/>
                <w:b/>
                <w:sz w:val="20"/>
                <w:szCs w:val="20"/>
                <w:vertAlign w:val="superscript"/>
                <w:lang w:val="en-AU"/>
              </w:rPr>
              <w:t>c</w:t>
            </w:r>
            <w:r w:rsidRPr="004C2D88">
              <w:rPr>
                <w:rFonts w:ascii="Arial Narrow" w:hAnsi="Arial Narrow" w:cs="Times New Roman"/>
                <w:b/>
                <w:sz w:val="20"/>
                <w:szCs w:val="20"/>
                <w:lang w:val="en-AU"/>
              </w:rPr>
              <w:t xml:space="preserve"> (updated analysis) </w:t>
            </w:r>
          </w:p>
        </w:tc>
      </w:tr>
      <w:tr w:rsidR="00B1102B" w:rsidRPr="004C2D88" w:rsidTr="005D6C6B">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right="-57"/>
              <w:jc w:val="left"/>
              <w:rPr>
                <w:rFonts w:ascii="Arial Narrow" w:hAnsi="Arial Narrow" w:cs="Times New Roman"/>
                <w:sz w:val="20"/>
                <w:szCs w:val="20"/>
                <w:lang w:val="en-AU"/>
              </w:rPr>
            </w:pPr>
            <w:r w:rsidRPr="004C2D88">
              <w:rPr>
                <w:rFonts w:ascii="Arial Narrow" w:hAnsi="Arial Narrow" w:cs="Times New Roman"/>
                <w:sz w:val="20"/>
                <w:szCs w:val="20"/>
                <w:lang w:val="en-AU"/>
              </w:rPr>
              <w:t>Patients with events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113/192 (58.9</w:t>
            </w:r>
            <w:r w:rsidR="006C1741" w:rsidRPr="004C2D88">
              <w:rPr>
                <w:rFonts w:ascii="Arial Narrow" w:hAnsi="Arial Narrow" w:cs="Times New Roman"/>
                <w:sz w:val="20"/>
                <w:szCs w:val="20"/>
                <w:lang w:val="en-AU"/>
              </w:rPr>
              <w:t>%</w:t>
            </w:r>
            <w:r w:rsidRPr="004C2D88">
              <w:rPr>
                <w:rFonts w:ascii="Arial Narrow" w:hAnsi="Arial Narrow" w:cs="Times New Roman"/>
                <w:sz w:val="20"/>
                <w:szCs w:val="20"/>
                <w:lang w:val="en-A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9B6A2F"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118/191 (61.8</w:t>
            </w:r>
            <w:r w:rsidR="006C1741" w:rsidRPr="004C2D88">
              <w:rPr>
                <w:rFonts w:ascii="Arial Narrow" w:hAnsi="Arial Narrow" w:cs="Times New Roman"/>
                <w:sz w:val="20"/>
                <w:szCs w:val="20"/>
                <w:lang w:val="en-AU"/>
              </w:rPr>
              <w:t>%</w:t>
            </w:r>
            <w:r w:rsidR="00390833" w:rsidRPr="004C2D88">
              <w:rPr>
                <w:rFonts w:ascii="Arial Narrow" w:hAnsi="Arial Narrow" w:cs="Times New Roman"/>
                <w:sz w:val="20"/>
                <w:szCs w:val="20"/>
                <w:lang w:val="en-A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112/194 (57.7%)</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w:t>
            </w:r>
          </w:p>
        </w:tc>
        <w:tc>
          <w:tcPr>
            <w:tcW w:w="1275"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w:t>
            </w:r>
          </w:p>
        </w:tc>
      </w:tr>
      <w:tr w:rsidR="00B1102B" w:rsidRPr="004C2D88" w:rsidTr="005D6C6B">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5D6C6B">
            <w:pPr>
              <w:widowControl/>
              <w:ind w:right="-57"/>
              <w:jc w:val="left"/>
              <w:rPr>
                <w:rFonts w:ascii="Arial Narrow" w:hAnsi="Arial Narrow" w:cs="Times New Roman"/>
                <w:sz w:val="20"/>
                <w:szCs w:val="20"/>
                <w:lang w:val="en-AU"/>
              </w:rPr>
            </w:pPr>
            <w:r w:rsidRPr="004C2D88">
              <w:rPr>
                <w:rFonts w:ascii="Arial Narrow" w:hAnsi="Arial Narrow" w:cs="Times New Roman"/>
                <w:sz w:val="20"/>
                <w:szCs w:val="20"/>
                <w:lang w:val="en-AU"/>
              </w:rPr>
              <w:t>Median PFS, months (95% CI)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14.9 (11.0, 20.2)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7.3 (5.6, 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9.6 (7.4, 14.8)</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B90A11"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b/>
                <w:sz w:val="20"/>
                <w:szCs w:val="20"/>
                <w:lang w:val="en-AU"/>
              </w:rPr>
              <w:t xml:space="preserve">0.51 (0.39, 0.67) </w:t>
            </w:r>
            <w:r w:rsidRPr="004C2D88">
              <w:rPr>
                <w:rFonts w:ascii="Arial Narrow" w:hAnsi="Arial Narrow" w:cs="Times New Roman"/>
                <w:sz w:val="20"/>
                <w:szCs w:val="20"/>
                <w:lang w:val="en-AU"/>
              </w:rPr>
              <w:t>p&lt;</w:t>
            </w:r>
            <w:r w:rsidR="00390833" w:rsidRPr="004C2D88">
              <w:rPr>
                <w:rFonts w:ascii="Arial Narrow" w:hAnsi="Arial Narrow" w:cs="Times New Roman"/>
                <w:sz w:val="20"/>
                <w:szCs w:val="20"/>
                <w:lang w:val="en-AU"/>
              </w:rPr>
              <w:t>0.0</w:t>
            </w:r>
            <w:r w:rsidR="001B2985" w:rsidRPr="004C2D88">
              <w:rPr>
                <w:rFonts w:ascii="Arial Narrow" w:hAnsi="Arial Narrow" w:cs="Times New Roman"/>
                <w:sz w:val="20"/>
                <w:szCs w:val="20"/>
                <w:lang w:val="en-AU"/>
              </w:rPr>
              <w:t>0</w:t>
            </w:r>
            <w:r w:rsidR="00390833" w:rsidRPr="004C2D88">
              <w:rPr>
                <w:rFonts w:ascii="Arial Narrow" w:hAnsi="Arial Narrow" w:cs="Times New Roman"/>
                <w:sz w:val="20"/>
                <w:szCs w:val="20"/>
                <w:lang w:val="en-AU"/>
              </w:rPr>
              <w:t>01</w:t>
            </w:r>
          </w:p>
        </w:tc>
        <w:tc>
          <w:tcPr>
            <w:tcW w:w="1275"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0.77 (0.59, 1.00) </w:t>
            </w:r>
          </w:p>
          <w:p w:rsidR="00390833" w:rsidRPr="004C2D88" w:rsidRDefault="008324CE"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p=0.0249</w:t>
            </w:r>
          </w:p>
        </w:tc>
      </w:tr>
    </w:tbl>
    <w:p w:rsidR="00390833" w:rsidRPr="004C2D88" w:rsidRDefault="00390833" w:rsidP="00465BB6">
      <w:pPr>
        <w:pStyle w:val="TableFooter"/>
        <w:widowControl/>
      </w:pPr>
      <w:r w:rsidRPr="004C2D88">
        <w:t xml:space="preserve">B = binimetinib; CI = confidence interval; E = encorafenib; HR = hazard ratio; PFS = progression-free survival; V = vemurafenib </w:t>
      </w:r>
    </w:p>
    <w:p w:rsidR="00390833" w:rsidRPr="004C2D88" w:rsidRDefault="008324CE" w:rsidP="00465BB6">
      <w:pPr>
        <w:pStyle w:val="TableFooter"/>
        <w:widowControl/>
      </w:pPr>
      <w:r w:rsidRPr="004C2D88">
        <w:rPr>
          <w:vertAlign w:val="superscript"/>
        </w:rPr>
        <w:t>a</w:t>
      </w:r>
      <w:r w:rsidRPr="004C2D88">
        <w:t xml:space="preserve"> </w:t>
      </w:r>
      <w:r w:rsidR="0080027A" w:rsidRPr="004C2D88">
        <w:t>Method: f</w:t>
      </w:r>
      <w:r w:rsidR="00390833" w:rsidRPr="004C2D88">
        <w:t>ull analysis set</w:t>
      </w:r>
      <w:r w:rsidR="0080027A" w:rsidRPr="004C2D88">
        <w:t>.</w:t>
      </w:r>
      <w:r w:rsidR="00390833" w:rsidRPr="004C2D88">
        <w:t xml:space="preserve"> </w:t>
      </w:r>
      <w:r w:rsidR="00252FEC" w:rsidRPr="004C2D88">
        <w:t>Blinded Independent Review Committee (</w:t>
      </w:r>
      <w:r w:rsidR="00390833" w:rsidRPr="004C2D88">
        <w:t>BIRC</w:t>
      </w:r>
      <w:r w:rsidR="00252FEC" w:rsidRPr="004C2D88">
        <w:t>)</w:t>
      </w:r>
      <w:r w:rsidR="00390833" w:rsidRPr="004C2D88">
        <w:t>-assessed tumour response.</w:t>
      </w:r>
      <w:r w:rsidR="0080027A" w:rsidRPr="004C2D88">
        <w:t xml:space="preserve"> A Cox regression model stratified by randomisation stratification factors (cancer stage and performance status) was used to estimate the HR of PFS, along with 95% CI based on the Wald test. The p-values were one-sided and were based on the stratified log-rank test.</w:t>
      </w:r>
    </w:p>
    <w:p w:rsidR="00390833" w:rsidRPr="004C2D88" w:rsidRDefault="003D40CB" w:rsidP="00465BB6">
      <w:pPr>
        <w:pStyle w:val="TableFooter"/>
        <w:widowControl/>
      </w:pPr>
      <w:r w:rsidRPr="004C2D88">
        <w:rPr>
          <w:vertAlign w:val="superscript"/>
        </w:rPr>
        <w:t>b</w:t>
      </w:r>
      <w:r w:rsidR="00390833" w:rsidRPr="004C2D88">
        <w:t xml:space="preserve"> Median duration of follow-up: 14.9 months in the Combo 450 arm vs 7.3 months in the vemurafenib vs 9.6 months in the encorafenib arm</w:t>
      </w:r>
      <w:r w:rsidR="008628F4" w:rsidRPr="004C2D88">
        <w:t>.</w:t>
      </w:r>
    </w:p>
    <w:p w:rsidR="00390833" w:rsidRPr="004C2D88" w:rsidRDefault="003D40CB" w:rsidP="00465BB6">
      <w:pPr>
        <w:pStyle w:val="TableFooter"/>
        <w:widowControl/>
      </w:pPr>
      <w:r w:rsidRPr="004C2D88">
        <w:rPr>
          <w:vertAlign w:val="superscript"/>
        </w:rPr>
        <w:t>c</w:t>
      </w:r>
      <w:r w:rsidR="00390833" w:rsidRPr="004C2D88">
        <w:t xml:space="preserve"> Median duration of follow-up: 30.0 months in the Combo 450 arm vs 15.8 months in the vemurafenib vs 20.3 months in the encorafenib arm</w:t>
      </w:r>
      <w:r w:rsidR="008628F4" w:rsidRPr="004C2D88">
        <w:t>.</w:t>
      </w:r>
    </w:p>
    <w:p w:rsidR="00EA5798" w:rsidRPr="004C2D88" w:rsidRDefault="008324CE" w:rsidP="00465BB6">
      <w:pPr>
        <w:widowControl/>
        <w:rPr>
          <w:rFonts w:ascii="Arial Narrow" w:hAnsi="Arial Narrow"/>
          <w:sz w:val="18"/>
        </w:rPr>
      </w:pPr>
      <w:r w:rsidRPr="004C2D88">
        <w:rPr>
          <w:rFonts w:ascii="Arial Narrow" w:hAnsi="Arial Narrow"/>
          <w:sz w:val="18"/>
        </w:rPr>
        <w:t xml:space="preserve">Source: </w:t>
      </w:r>
      <w:r w:rsidR="00EA5798" w:rsidRPr="004C2D88">
        <w:rPr>
          <w:rFonts w:ascii="Arial Narrow" w:hAnsi="Arial Narrow"/>
          <w:sz w:val="18"/>
        </w:rPr>
        <w:t>Table compiled during the evaluation, based on Table 2.33, p89, Figure 2.4, p89, Figure 2.5, p90, Table 2.37, p96, Figure 2.38, p97 of the submission; Table 14.2-1.2a, p6 of</w:t>
      </w:r>
      <w:r w:rsidR="001E74DC" w:rsidRPr="004C2D88">
        <w:rPr>
          <w:rFonts w:ascii="Arial Narrow" w:hAnsi="Arial Narrow"/>
          <w:sz w:val="18"/>
        </w:rPr>
        <w:t xml:space="preserve"> COLUMBUS Part 1 efficacy update</w:t>
      </w:r>
      <w:r w:rsidR="00EA5798" w:rsidRPr="004C2D88">
        <w:rPr>
          <w:rFonts w:ascii="Arial Narrow" w:hAnsi="Arial Narrow"/>
          <w:sz w:val="18"/>
        </w:rPr>
        <w:t xml:space="preserve"> </w:t>
      </w:r>
      <w:r w:rsidR="008628F4" w:rsidRPr="004C2D88">
        <w:rPr>
          <w:rFonts w:ascii="Arial Narrow" w:hAnsi="Arial Narrow"/>
          <w:sz w:val="18"/>
        </w:rPr>
        <w:t>.</w:t>
      </w:r>
    </w:p>
    <w:p w:rsidR="00390833" w:rsidRPr="004C2D88" w:rsidRDefault="00390833" w:rsidP="00465BB6">
      <w:pPr>
        <w:pStyle w:val="Caption"/>
        <w:widowControl/>
        <w:rPr>
          <w:sz w:val="18"/>
        </w:rPr>
      </w:pPr>
    </w:p>
    <w:p w:rsidR="00390833" w:rsidRPr="004C2D88" w:rsidRDefault="00390833" w:rsidP="00465BB6">
      <w:pPr>
        <w:pStyle w:val="Caption"/>
        <w:widowControl/>
      </w:pPr>
      <w:r w:rsidRPr="004C2D88">
        <w:rPr>
          <w:rStyle w:val="CommentReference"/>
          <w:b/>
          <w:bCs w:val="0"/>
        </w:rPr>
        <w:t xml:space="preserve">Table </w:t>
      </w:r>
      <w:r w:rsidR="00CC25ED" w:rsidRPr="004C2D88">
        <w:rPr>
          <w:rStyle w:val="CommentReference"/>
          <w:b/>
          <w:bCs w:val="0"/>
        </w:rPr>
        <w:t>5</w:t>
      </w:r>
      <w:r w:rsidRPr="004C2D88">
        <w:rPr>
          <w:rStyle w:val="CommentReference"/>
          <w:b/>
          <w:bCs w:val="0"/>
        </w:rPr>
        <w:t xml:space="preserve">: </w:t>
      </w:r>
      <w:r w:rsidR="001E74DC" w:rsidRPr="004C2D88">
        <w:t>Results of OS for encorafenib+binimetinib vs. vemurafenib vs. encorafenib (COLUMBUS Part 1)</w:t>
      </w:r>
      <w:r w:rsidR="001E74DC" w:rsidRPr="004C2D88">
        <w:rPr>
          <w:vertAlign w:val="superscript"/>
        </w:rPr>
        <w:t>a</w:t>
      </w:r>
    </w:p>
    <w:tbl>
      <w:tblPr>
        <w:tblStyle w:val="Submissionstandard1"/>
        <w:tblW w:w="9100" w:type="dxa"/>
        <w:shd w:val="clear" w:color="auto" w:fill="FFFFFF" w:themeFill="background1"/>
        <w:tblLook w:val="04A0" w:firstRow="1" w:lastRow="0" w:firstColumn="1" w:lastColumn="0" w:noHBand="0" w:noVBand="1"/>
        <w:tblCaption w:val="Results of OS for encorafenib+binimetinib vs. vemurafenib vs. encorafenib (COLUMBUS Part 1)a"/>
      </w:tblPr>
      <w:tblGrid>
        <w:gridCol w:w="2438"/>
        <w:gridCol w:w="1418"/>
        <w:gridCol w:w="1417"/>
        <w:gridCol w:w="1276"/>
        <w:gridCol w:w="1243"/>
        <w:gridCol w:w="1308"/>
      </w:tblGrid>
      <w:tr w:rsidR="00390833" w:rsidRPr="004C2D88" w:rsidTr="00D64A17">
        <w:trPr>
          <w:cnfStyle w:val="100000000000" w:firstRow="1" w:lastRow="0" w:firstColumn="0" w:lastColumn="0" w:oddVBand="0" w:evenVBand="0" w:oddHBand="0" w:evenHBand="0" w:firstRowFirstColumn="0" w:firstRowLastColumn="0" w:lastRowFirstColumn="0" w:lastRowLastColumn="0"/>
          <w:cantSplit/>
          <w:tblHeader/>
        </w:trPr>
        <w:tc>
          <w:tcPr>
            <w:tcW w:w="243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rsidR="00390833" w:rsidRPr="004C2D88" w:rsidRDefault="00390833" w:rsidP="00465BB6">
            <w:pPr>
              <w:widowControl/>
              <w:jc w:val="left"/>
              <w:rPr>
                <w:rFonts w:ascii="Arial Narrow" w:hAnsi="Arial Narrow" w:cs="Times New Roman"/>
                <w:sz w:val="20"/>
                <w:szCs w:val="20"/>
                <w:lang w:val="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Combo 450 </w:t>
            </w:r>
            <w:r w:rsidR="00B1102B" w:rsidRPr="004C2D88">
              <w:rPr>
                <w:rFonts w:ascii="Arial Narrow" w:hAnsi="Arial Narrow" w:cs="Times New Roman"/>
                <w:sz w:val="20"/>
                <w:szCs w:val="20"/>
                <w:lang w:val="en-AU"/>
              </w:rPr>
              <w:br/>
            </w:r>
            <w:r w:rsidRPr="004C2D88">
              <w:rPr>
                <w:rFonts w:ascii="Arial Narrow" w:hAnsi="Arial Narrow" w:cs="Times New Roman"/>
                <w:sz w:val="20"/>
                <w:szCs w:val="20"/>
                <w:lang w:val="en-AU"/>
              </w:rPr>
              <w:t>(E+B)</w:t>
            </w:r>
          </w:p>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N = 192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Vemurafenib</w:t>
            </w:r>
          </w:p>
          <w:p w:rsidR="006C1B8F" w:rsidRPr="004C2D88" w:rsidRDefault="006C1B8F"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(V)</w:t>
            </w:r>
          </w:p>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N = 191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Encorafenib</w:t>
            </w:r>
          </w:p>
          <w:p w:rsidR="006C1B8F" w:rsidRPr="004C2D88" w:rsidRDefault="006C1B8F"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(E)</w:t>
            </w:r>
          </w:p>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N = 194</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E+B vs. V </w:t>
            </w:r>
          </w:p>
          <w:p w:rsidR="00390833" w:rsidRPr="004C2D88" w:rsidRDefault="006C1B8F"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Stratified </w:t>
            </w:r>
            <w:r w:rsidR="00390833" w:rsidRPr="004C2D88">
              <w:rPr>
                <w:rFonts w:ascii="Arial Narrow" w:hAnsi="Arial Narrow" w:cs="Times New Roman"/>
                <w:sz w:val="20"/>
                <w:szCs w:val="20"/>
                <w:lang w:val="en-AU"/>
              </w:rPr>
              <w:t xml:space="preserve">HR </w:t>
            </w:r>
            <w:r w:rsidR="00B1102B" w:rsidRPr="004C2D88">
              <w:rPr>
                <w:rFonts w:ascii="Arial Narrow" w:hAnsi="Arial Narrow" w:cs="Times New Roman"/>
                <w:sz w:val="20"/>
                <w:szCs w:val="20"/>
                <w:lang w:val="en-AU"/>
              </w:rPr>
              <w:br/>
            </w:r>
            <w:r w:rsidR="00390833" w:rsidRPr="004C2D88">
              <w:rPr>
                <w:rFonts w:ascii="Arial Narrow" w:hAnsi="Arial Narrow" w:cs="Times New Roman"/>
                <w:sz w:val="20"/>
                <w:szCs w:val="20"/>
                <w:lang w:val="en-AU"/>
              </w:rPr>
              <w:t>(95% CI)</w:t>
            </w:r>
          </w:p>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p-value</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E+B vs. E </w:t>
            </w:r>
          </w:p>
          <w:p w:rsidR="00390833" w:rsidRPr="004C2D88" w:rsidRDefault="006C1B8F"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 xml:space="preserve">Stratified </w:t>
            </w:r>
            <w:r w:rsidR="00390833" w:rsidRPr="004C2D88">
              <w:rPr>
                <w:rFonts w:ascii="Arial Narrow" w:hAnsi="Arial Narrow" w:cs="Times New Roman"/>
                <w:sz w:val="20"/>
                <w:szCs w:val="20"/>
                <w:lang w:val="en-AU"/>
              </w:rPr>
              <w:t>HR (95% CI)</w:t>
            </w:r>
          </w:p>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p-value</w:t>
            </w:r>
          </w:p>
        </w:tc>
      </w:tr>
      <w:tr w:rsidR="00390833" w:rsidRPr="004C2D88" w:rsidTr="00B1102B">
        <w:tc>
          <w:tcPr>
            <w:tcW w:w="9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rPr>
                <w:rFonts w:ascii="Arial Narrow" w:hAnsi="Arial Narrow" w:cs="Times New Roman"/>
                <w:b/>
                <w:sz w:val="20"/>
                <w:szCs w:val="20"/>
                <w:lang w:val="en-AU"/>
              </w:rPr>
            </w:pPr>
            <w:r w:rsidRPr="004C2D88">
              <w:rPr>
                <w:rFonts w:ascii="Arial Narrow" w:hAnsi="Arial Narrow" w:cs="Times New Roman"/>
                <w:b/>
                <w:sz w:val="20"/>
                <w:szCs w:val="20"/>
                <w:lang w:val="en-AU"/>
              </w:rPr>
              <w:t>Data cut-off 7 November 2017</w:t>
            </w:r>
            <w:r w:rsidR="001E74DC" w:rsidRPr="004C2D88">
              <w:rPr>
                <w:rFonts w:ascii="Arial Narrow" w:hAnsi="Arial Narrow" w:cs="Times New Roman"/>
                <w:b/>
                <w:sz w:val="20"/>
                <w:szCs w:val="20"/>
                <w:vertAlign w:val="superscript"/>
                <w:lang w:val="en-AU"/>
              </w:rPr>
              <w:t>b</w:t>
            </w:r>
            <w:r w:rsidRPr="004C2D88">
              <w:rPr>
                <w:rFonts w:ascii="Arial Narrow" w:hAnsi="Arial Narrow" w:cs="Times New Roman"/>
                <w:b/>
                <w:sz w:val="20"/>
                <w:szCs w:val="20"/>
                <w:lang w:val="en-AU"/>
              </w:rPr>
              <w:t xml:space="preserve"> (interim analysis) </w:t>
            </w:r>
          </w:p>
        </w:tc>
      </w:tr>
      <w:tr w:rsidR="00390833" w:rsidRPr="004C2D88" w:rsidTr="00B1102B">
        <w:tc>
          <w:tcPr>
            <w:tcW w:w="243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left"/>
              <w:rPr>
                <w:rFonts w:ascii="Arial Narrow" w:hAnsi="Arial Narrow" w:cs="Times New Roman"/>
                <w:sz w:val="20"/>
                <w:szCs w:val="20"/>
                <w:lang w:val="en-AU"/>
              </w:rPr>
            </w:pPr>
            <w:r w:rsidRPr="004C2D88">
              <w:rPr>
                <w:rFonts w:ascii="Arial Narrow" w:hAnsi="Arial Narrow" w:cs="Times New Roman"/>
                <w:sz w:val="20"/>
                <w:szCs w:val="20"/>
                <w:lang w:val="en-AU"/>
              </w:rPr>
              <w:t>Patients with events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105/192 (54.7</w:t>
            </w:r>
            <w:r w:rsidR="006C1741" w:rsidRPr="004C2D88">
              <w:rPr>
                <w:rFonts w:ascii="Arial Narrow" w:hAnsi="Arial Narrow" w:cs="Times New Roman"/>
                <w:sz w:val="20"/>
                <w:szCs w:val="20"/>
                <w:lang w:val="en-AU"/>
              </w:rPr>
              <w:t>%</w:t>
            </w:r>
            <w:r w:rsidRPr="004C2D88">
              <w:rPr>
                <w:rFonts w:ascii="Arial Narrow" w:hAnsi="Arial Narrow" w:cs="Times New Roman"/>
                <w:sz w:val="20"/>
                <w:szCs w:val="20"/>
                <w:lang w:val="en-A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9B6A2F"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127/191 (66.5</w:t>
            </w:r>
            <w:r w:rsidR="006C1741" w:rsidRPr="004C2D88">
              <w:rPr>
                <w:rFonts w:ascii="Arial Narrow" w:hAnsi="Arial Narrow" w:cs="Times New Roman"/>
                <w:sz w:val="20"/>
                <w:szCs w:val="20"/>
                <w:lang w:val="en-AU"/>
              </w:rPr>
              <w:t>%</w:t>
            </w:r>
            <w:r w:rsidR="00390833" w:rsidRPr="004C2D88">
              <w:rPr>
                <w:rFonts w:ascii="Arial Narrow" w:hAnsi="Arial Narrow" w:cs="Times New Roman"/>
                <w:sz w:val="20"/>
                <w:szCs w:val="20"/>
                <w:lang w:val="en-A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9B6A2F"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106/194 (54.6</w:t>
            </w:r>
            <w:r w:rsidR="006C1741" w:rsidRPr="004C2D88">
              <w:rPr>
                <w:rFonts w:ascii="Arial Narrow" w:hAnsi="Arial Narrow" w:cs="Times New Roman"/>
                <w:sz w:val="20"/>
                <w:szCs w:val="20"/>
                <w:lang w:val="en-AU"/>
              </w:rPr>
              <w:t>%</w:t>
            </w:r>
            <w:r w:rsidR="00390833" w:rsidRPr="004C2D88">
              <w:rPr>
                <w:rFonts w:ascii="Arial Narrow" w:hAnsi="Arial Narrow" w:cs="Times New Roman"/>
                <w:sz w:val="20"/>
                <w:szCs w:val="20"/>
                <w:lang w:val="en-AU"/>
              </w:rPr>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w:t>
            </w:r>
          </w:p>
        </w:tc>
      </w:tr>
      <w:tr w:rsidR="00390833" w:rsidRPr="004C2D88" w:rsidTr="005D6C6B">
        <w:tc>
          <w:tcPr>
            <w:tcW w:w="243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5D6C6B">
            <w:pPr>
              <w:widowControl/>
              <w:jc w:val="left"/>
              <w:rPr>
                <w:rFonts w:ascii="Arial Narrow" w:hAnsi="Arial Narrow" w:cs="Times New Roman"/>
                <w:sz w:val="20"/>
                <w:szCs w:val="20"/>
                <w:lang w:val="en-AU"/>
              </w:rPr>
            </w:pPr>
            <w:r w:rsidRPr="004C2D88">
              <w:rPr>
                <w:rFonts w:ascii="Arial Narrow" w:hAnsi="Arial Narrow" w:cs="Times New Roman"/>
                <w:sz w:val="20"/>
                <w:szCs w:val="20"/>
                <w:lang w:val="en-AU"/>
              </w:rPr>
              <w:t>Median OS, months (95% CI)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465BB6">
            <w:pPr>
              <w:widowControl/>
              <w:jc w:val="center"/>
              <w:rPr>
                <w:rFonts w:ascii="Arial Narrow" w:hAnsi="Arial Narrow" w:cs="Times New Roman"/>
                <w:sz w:val="20"/>
                <w:szCs w:val="20"/>
                <w:lang w:val="en-AU"/>
              </w:rPr>
            </w:pPr>
            <w:r w:rsidRPr="004C2D88">
              <w:rPr>
                <w:rFonts w:ascii="Arial Narrow" w:hAnsi="Arial Narrow" w:cs="Times New Roman"/>
                <w:sz w:val="20"/>
                <w:szCs w:val="20"/>
                <w:lang w:val="en-AU"/>
              </w:rPr>
              <w:t>33.6 (24.4, 39.2)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16.9 (14.0, 24.5)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23.5 (19.6, 33.6)</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b/>
                <w:sz w:val="20"/>
                <w:szCs w:val="20"/>
                <w:lang w:val="en-AU"/>
              </w:rPr>
            </w:pPr>
            <w:r w:rsidRPr="004C2D88">
              <w:rPr>
                <w:rFonts w:ascii="Arial Narrow" w:hAnsi="Arial Narrow" w:cs="Times New Roman"/>
                <w:b/>
                <w:sz w:val="20"/>
                <w:szCs w:val="20"/>
                <w:lang w:val="en-AU"/>
              </w:rPr>
              <w:t>0.61 (0.47, 0.79)</w:t>
            </w:r>
          </w:p>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p&lt; 0.001</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0.81 (0.61, 1.06)</w:t>
            </w:r>
          </w:p>
          <w:p w:rsidR="00390833" w:rsidRPr="004C2D88" w:rsidRDefault="00B90A11" w:rsidP="00465BB6">
            <w:pPr>
              <w:widowControl/>
              <w:ind w:left="-57" w:right="-57"/>
              <w:jc w:val="center"/>
              <w:rPr>
                <w:rFonts w:ascii="Arial Narrow" w:hAnsi="Arial Narrow" w:cs="Times New Roman"/>
                <w:sz w:val="20"/>
                <w:szCs w:val="20"/>
                <w:lang w:val="en-AU"/>
              </w:rPr>
            </w:pPr>
            <w:r w:rsidRPr="004C2D88">
              <w:rPr>
                <w:rFonts w:ascii="Arial Narrow" w:hAnsi="Arial Narrow" w:cs="Times New Roman"/>
                <w:sz w:val="20"/>
                <w:szCs w:val="20"/>
                <w:lang w:val="en-AU"/>
              </w:rPr>
              <w:t>p</w:t>
            </w:r>
            <w:r w:rsidR="00390833" w:rsidRPr="004C2D88">
              <w:rPr>
                <w:rFonts w:ascii="Arial Narrow" w:hAnsi="Arial Narrow" w:cs="Times New Roman"/>
                <w:sz w:val="20"/>
                <w:szCs w:val="20"/>
                <w:lang w:val="en-AU"/>
              </w:rPr>
              <w:t>=0.0613</w:t>
            </w:r>
          </w:p>
        </w:tc>
      </w:tr>
    </w:tbl>
    <w:p w:rsidR="00390833" w:rsidRPr="004C2D88" w:rsidRDefault="001E74DC" w:rsidP="00465BB6">
      <w:pPr>
        <w:widowControl/>
        <w:rPr>
          <w:rFonts w:ascii="Arial Narrow" w:hAnsi="Arial Narrow" w:cs="Times New Roman"/>
          <w:kern w:val="28"/>
          <w:sz w:val="18"/>
          <w:szCs w:val="24"/>
          <w:lang w:eastAsia="en-GB"/>
        </w:rPr>
      </w:pPr>
      <w:r w:rsidRPr="004C2D88">
        <w:rPr>
          <w:rFonts w:ascii="Arial Narrow" w:hAnsi="Arial Narrow" w:cs="Times New Roman"/>
          <w:kern w:val="28"/>
          <w:sz w:val="18"/>
          <w:szCs w:val="24"/>
          <w:lang w:eastAsia="en-GB"/>
        </w:rPr>
        <w:t xml:space="preserve">B = binimetinib; </w:t>
      </w:r>
      <w:r w:rsidR="00390833" w:rsidRPr="004C2D88">
        <w:rPr>
          <w:rFonts w:ascii="Arial Narrow" w:hAnsi="Arial Narrow" w:cs="Times New Roman"/>
          <w:kern w:val="28"/>
          <w:sz w:val="18"/>
          <w:szCs w:val="24"/>
          <w:lang w:eastAsia="en-GB"/>
        </w:rPr>
        <w:t>CI = confidence interval; E = encorafenib; HR = hazard ratio; OS = overall survival; V = vemurafenib</w:t>
      </w:r>
    </w:p>
    <w:p w:rsidR="00390833" w:rsidRPr="004C2D88" w:rsidRDefault="001E74DC" w:rsidP="00465BB6">
      <w:pPr>
        <w:widowControl/>
        <w:rPr>
          <w:rFonts w:ascii="Arial Narrow" w:hAnsi="Arial Narrow" w:cs="Times New Roman"/>
          <w:kern w:val="28"/>
          <w:sz w:val="18"/>
          <w:szCs w:val="24"/>
          <w:lang w:eastAsia="en-GB"/>
        </w:rPr>
      </w:pPr>
      <w:r w:rsidRPr="004C2D88">
        <w:rPr>
          <w:rFonts w:ascii="Arial Narrow" w:hAnsi="Arial Narrow" w:cs="Times New Roman"/>
          <w:kern w:val="28"/>
          <w:sz w:val="18"/>
          <w:szCs w:val="24"/>
          <w:vertAlign w:val="superscript"/>
          <w:lang w:eastAsia="en-GB"/>
        </w:rPr>
        <w:t>a</w:t>
      </w:r>
      <w:r w:rsidRPr="004C2D88">
        <w:rPr>
          <w:rFonts w:ascii="Arial Narrow" w:hAnsi="Arial Narrow" w:cs="Times New Roman"/>
          <w:kern w:val="28"/>
          <w:sz w:val="18"/>
          <w:szCs w:val="24"/>
          <w:lang w:eastAsia="en-GB"/>
        </w:rPr>
        <w:t xml:space="preserve"> </w:t>
      </w:r>
      <w:r w:rsidR="0080027A" w:rsidRPr="004C2D88">
        <w:rPr>
          <w:rFonts w:ascii="Arial Narrow" w:hAnsi="Arial Narrow" w:cs="Times New Roman"/>
          <w:kern w:val="28"/>
          <w:sz w:val="18"/>
          <w:szCs w:val="24"/>
          <w:lang w:eastAsia="en-GB"/>
        </w:rPr>
        <w:t xml:space="preserve">Method: </w:t>
      </w:r>
      <w:r w:rsidR="006C1B8F" w:rsidRPr="004C2D88">
        <w:rPr>
          <w:rFonts w:ascii="Arial Narrow" w:hAnsi="Arial Narrow" w:cs="Times New Roman"/>
          <w:kern w:val="28"/>
          <w:sz w:val="18"/>
          <w:szCs w:val="24"/>
          <w:lang w:eastAsia="en-GB"/>
        </w:rPr>
        <w:t>full analysis set</w:t>
      </w:r>
      <w:r w:rsidR="0080027A" w:rsidRPr="004C2D88">
        <w:rPr>
          <w:rFonts w:ascii="Arial Narrow" w:hAnsi="Arial Narrow" w:cs="Times New Roman"/>
          <w:kern w:val="28"/>
          <w:sz w:val="18"/>
          <w:szCs w:val="24"/>
          <w:lang w:eastAsia="en-GB"/>
        </w:rPr>
        <w:t xml:space="preserve">. </w:t>
      </w:r>
      <w:r w:rsidR="006C1B8F" w:rsidRPr="004C2D88">
        <w:rPr>
          <w:rFonts w:ascii="Arial Narrow" w:hAnsi="Arial Narrow" w:cs="Times New Roman"/>
          <w:kern w:val="28"/>
          <w:sz w:val="18"/>
          <w:szCs w:val="24"/>
          <w:lang w:eastAsia="en-GB"/>
        </w:rPr>
        <w:t>A Cox regression model stratified by randomisation stratification factors (cancer stage and performance status) was used to estimate the HR of OS, along with 95% CI based on the Wald test. The p-values were based on the log-rank test.</w:t>
      </w:r>
      <w:r w:rsidR="00390833" w:rsidRPr="004C2D88">
        <w:rPr>
          <w:rFonts w:ascii="Arial Narrow" w:hAnsi="Arial Narrow" w:cs="Times New Roman"/>
          <w:kern w:val="28"/>
          <w:sz w:val="18"/>
          <w:szCs w:val="24"/>
          <w:lang w:eastAsia="en-GB"/>
        </w:rPr>
        <w:t xml:space="preserve"> </w:t>
      </w:r>
    </w:p>
    <w:p w:rsidR="00390833" w:rsidRPr="004C2D88" w:rsidRDefault="001E74DC" w:rsidP="00465BB6">
      <w:pPr>
        <w:pStyle w:val="TableFooter"/>
        <w:widowControl/>
      </w:pPr>
      <w:r w:rsidRPr="004C2D88">
        <w:rPr>
          <w:vertAlign w:val="superscript"/>
        </w:rPr>
        <w:t>b</w:t>
      </w:r>
      <w:r w:rsidR="00390833" w:rsidRPr="004C2D88">
        <w:t xml:space="preserve"> Median duration of follow-up: 30.0 months in the Combo 450 arm vs 15.8 months in the vemurafenib vs 20.3 months in the encorafenib arm</w:t>
      </w:r>
    </w:p>
    <w:p w:rsidR="001B2985" w:rsidRPr="004C2D88" w:rsidRDefault="004731C7" w:rsidP="00465BB6">
      <w:pPr>
        <w:keepNext/>
        <w:widowControl/>
        <w:jc w:val="left"/>
        <w:rPr>
          <w:rFonts w:ascii="Arial Narrow" w:hAnsi="Arial Narrow" w:cs="Times New Roman"/>
          <w:kern w:val="28"/>
          <w:sz w:val="18"/>
          <w:szCs w:val="24"/>
          <w:lang w:eastAsia="en-GB"/>
        </w:rPr>
      </w:pPr>
      <w:r w:rsidRPr="004C2D88">
        <w:rPr>
          <w:rFonts w:ascii="Arial Narrow" w:hAnsi="Arial Narrow" w:cs="Times New Roman"/>
          <w:kern w:val="28"/>
          <w:sz w:val="18"/>
          <w:szCs w:val="24"/>
          <w:lang w:eastAsia="en-GB"/>
        </w:rPr>
        <w:t xml:space="preserve">Source: </w:t>
      </w:r>
      <w:r w:rsidR="001B2985" w:rsidRPr="004C2D88">
        <w:rPr>
          <w:rFonts w:ascii="Arial Narrow" w:hAnsi="Arial Narrow" w:cs="Times New Roman"/>
          <w:kern w:val="28"/>
          <w:sz w:val="18"/>
          <w:szCs w:val="24"/>
          <w:lang w:eastAsia="en-GB"/>
        </w:rPr>
        <w:t xml:space="preserve">Table compiled during the evaluation, based on Table 2.41, p102 of the submission; Table 4-4, p16 of </w:t>
      </w:r>
      <w:r w:rsidR="001B2985" w:rsidRPr="004C2D88">
        <w:rPr>
          <w:rFonts w:ascii="Arial Narrow" w:hAnsi="Arial Narrow"/>
          <w:sz w:val="18"/>
        </w:rPr>
        <w:t>COLUMBUS</w:t>
      </w:r>
      <w:r w:rsidR="001B2985" w:rsidRPr="004C2D88">
        <w:rPr>
          <w:rFonts w:ascii="Arial Narrow" w:hAnsi="Arial Narrow" w:cs="Times New Roman"/>
          <w:kern w:val="28"/>
          <w:sz w:val="18"/>
          <w:szCs w:val="24"/>
          <w:lang w:eastAsia="en-GB"/>
        </w:rPr>
        <w:t xml:space="preserve"> Part 1 OS topline report. </w:t>
      </w:r>
    </w:p>
    <w:p w:rsidR="00390833" w:rsidRPr="004C2D88" w:rsidRDefault="00390833" w:rsidP="00465BB6">
      <w:pPr>
        <w:widowControl/>
        <w:jc w:val="left"/>
        <w:rPr>
          <w:rFonts w:ascii="Arial Narrow" w:hAnsi="Arial Narrow" w:cs="Times New Roman"/>
          <w:kern w:val="28"/>
          <w:sz w:val="18"/>
          <w:szCs w:val="24"/>
          <w:lang w:eastAsia="en-GB"/>
        </w:rPr>
      </w:pPr>
    </w:p>
    <w:p w:rsidR="00390833" w:rsidRPr="004C2D88" w:rsidRDefault="00390833" w:rsidP="00D073C6">
      <w:pPr>
        <w:pStyle w:val="ListParagraph"/>
        <w:widowControl/>
        <w:numPr>
          <w:ilvl w:val="1"/>
          <w:numId w:val="4"/>
        </w:numPr>
        <w:snapToGrid w:val="0"/>
      </w:pPr>
      <w:r w:rsidRPr="004C2D88">
        <w:t xml:space="preserve">Encorafenib+binimetinib Combo 450 demonstrated a statistically significant reduction in the risk of progression and the risk of death compared with vemurafenib monotherapy. However, compared with encorafenib monotherapy, the differences did not reach statistical significance </w:t>
      </w:r>
      <w:r w:rsidR="006C4D8D" w:rsidRPr="004C2D88">
        <w:t xml:space="preserve">threshold specified in the protocol </w:t>
      </w:r>
      <w:r w:rsidRPr="004C2D88">
        <w:t xml:space="preserve">for either PFS </w:t>
      </w:r>
      <w:r w:rsidR="006C4D8D" w:rsidRPr="004C2D88">
        <w:t xml:space="preserve">(for primary analysis at data cut-off May 2016) </w:t>
      </w:r>
      <w:r w:rsidRPr="004C2D88">
        <w:t xml:space="preserve">or OS. </w:t>
      </w:r>
    </w:p>
    <w:p w:rsidR="00390833" w:rsidRPr="004C2D88" w:rsidRDefault="00390833" w:rsidP="00D073C6">
      <w:pPr>
        <w:pStyle w:val="ListParagraph"/>
        <w:widowControl/>
        <w:numPr>
          <w:ilvl w:val="1"/>
          <w:numId w:val="4"/>
        </w:numPr>
        <w:snapToGrid w:val="0"/>
      </w:pPr>
      <w:r w:rsidRPr="004C2D88">
        <w:lastRenderedPageBreak/>
        <w:t>The results of the indirect comparisons of encorafenib+binimetinib with dabrafenib+trametinib and with vemurafenib+cobimetinib are summarised below.</w:t>
      </w:r>
    </w:p>
    <w:p w:rsidR="00390833" w:rsidRPr="004C2D88" w:rsidRDefault="00390833" w:rsidP="00465BB6">
      <w:pPr>
        <w:pStyle w:val="Caption"/>
        <w:keepNext/>
        <w:widowControl/>
        <w:rPr>
          <w:rStyle w:val="CommentReference"/>
          <w:bCs w:val="0"/>
        </w:rPr>
      </w:pPr>
      <w:bookmarkStart w:id="18" w:name="_Ref522963498"/>
      <w:r w:rsidRPr="004C2D88">
        <w:rPr>
          <w:rStyle w:val="CommentReference"/>
          <w:b/>
          <w:bCs w:val="0"/>
        </w:rPr>
        <w:t xml:space="preserve">Table </w:t>
      </w:r>
      <w:r w:rsidR="00CC25ED" w:rsidRPr="004C2D88">
        <w:rPr>
          <w:rStyle w:val="CommentReference"/>
          <w:b/>
          <w:bCs w:val="0"/>
        </w:rPr>
        <w:t>6</w:t>
      </w:r>
      <w:bookmarkEnd w:id="18"/>
      <w:r w:rsidRPr="004C2D88">
        <w:rPr>
          <w:rStyle w:val="CommentReference"/>
          <w:b/>
          <w:bCs w:val="0"/>
        </w:rPr>
        <w:t xml:space="preserve">: Comparison of median PFS and OS across trials </w:t>
      </w:r>
    </w:p>
    <w:tbl>
      <w:tblPr>
        <w:tblStyle w:val="TableGrid"/>
        <w:tblW w:w="9072" w:type="dxa"/>
        <w:tblInd w:w="108" w:type="dxa"/>
        <w:tblLook w:val="04A0" w:firstRow="1" w:lastRow="0" w:firstColumn="1" w:lastColumn="0" w:noHBand="0" w:noVBand="1"/>
        <w:tblCaption w:val="Comparison of median PFS and OS across trials "/>
      </w:tblPr>
      <w:tblGrid>
        <w:gridCol w:w="3431"/>
        <w:gridCol w:w="1871"/>
        <w:gridCol w:w="1843"/>
        <w:gridCol w:w="1927"/>
      </w:tblGrid>
      <w:tr w:rsidR="00390833" w:rsidRPr="004C2D88" w:rsidTr="005D6C6B">
        <w:trPr>
          <w:tblHeader/>
        </w:trPr>
        <w:tc>
          <w:tcPr>
            <w:tcW w:w="343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left"/>
              <w:rPr>
                <w:rFonts w:ascii="Arial Narrow" w:hAnsi="Arial Narrow"/>
                <w:b/>
                <w:sz w:val="20"/>
              </w:rPr>
            </w:pPr>
            <w:r w:rsidRPr="004C2D88">
              <w:rPr>
                <w:rFonts w:ascii="Arial Narrow" w:hAnsi="Arial Narrow"/>
                <w:b/>
                <w:sz w:val="20"/>
              </w:rPr>
              <w:t>Trial</w:t>
            </w:r>
          </w:p>
        </w:tc>
        <w:tc>
          <w:tcPr>
            <w:tcW w:w="187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b/>
                <w:sz w:val="20"/>
              </w:rPr>
              <w:t>Combination therapy</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b/>
                <w:sz w:val="20"/>
              </w:rPr>
              <w:t>BRAF inhibitor</w:t>
            </w:r>
          </w:p>
        </w:tc>
        <w:tc>
          <w:tcPr>
            <w:tcW w:w="1927" w:type="dxa"/>
            <w:tcBorders>
              <w:top w:val="single" w:sz="4" w:space="0" w:color="auto"/>
              <w:left w:val="single" w:sz="4" w:space="0" w:color="auto"/>
              <w:bottom w:val="single" w:sz="4" w:space="0" w:color="auto"/>
              <w:right w:val="single" w:sz="4" w:space="0" w:color="auto"/>
            </w:tcBorders>
            <w:vAlign w:val="center"/>
            <w:hideMark/>
          </w:tcPr>
          <w:p w:rsidR="004607DC" w:rsidRPr="004C2D88" w:rsidRDefault="00390833" w:rsidP="00465BB6">
            <w:pPr>
              <w:keepNext/>
              <w:widowControl/>
              <w:jc w:val="center"/>
              <w:rPr>
                <w:rFonts w:ascii="Arial Narrow" w:hAnsi="Arial Narrow"/>
                <w:b/>
                <w:sz w:val="20"/>
              </w:rPr>
            </w:pPr>
            <w:r w:rsidRPr="004C2D88">
              <w:rPr>
                <w:rFonts w:ascii="Arial Narrow" w:hAnsi="Arial Narrow"/>
                <w:b/>
                <w:sz w:val="20"/>
              </w:rPr>
              <w:t>Absolute difference</w:t>
            </w:r>
          </w:p>
        </w:tc>
      </w:tr>
      <w:tr w:rsidR="00390833" w:rsidRPr="004C2D88" w:rsidTr="005D6C6B">
        <w:tc>
          <w:tcPr>
            <w:tcW w:w="9072" w:type="dxa"/>
            <w:gridSpan w:val="4"/>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left"/>
              <w:rPr>
                <w:rFonts w:ascii="Arial Narrow" w:hAnsi="Arial Narrow"/>
                <w:b/>
                <w:sz w:val="20"/>
              </w:rPr>
            </w:pPr>
            <w:r w:rsidRPr="004C2D88">
              <w:rPr>
                <w:rFonts w:ascii="Arial Narrow" w:hAnsi="Arial Narrow"/>
                <w:b/>
                <w:sz w:val="20"/>
              </w:rPr>
              <w:t>Median PFS</w:t>
            </w:r>
          </w:p>
        </w:tc>
      </w:tr>
      <w:tr w:rsidR="00390833" w:rsidRPr="004C2D88" w:rsidTr="005D6C6B">
        <w:tc>
          <w:tcPr>
            <w:tcW w:w="343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left"/>
              <w:rPr>
                <w:rStyle w:val="CommentReference"/>
              </w:rPr>
            </w:pPr>
            <w:r w:rsidRPr="004C2D88">
              <w:rPr>
                <w:rFonts w:ascii="Arial Narrow" w:hAnsi="Arial Narrow"/>
                <w:sz w:val="20"/>
              </w:rPr>
              <w:t>COLUMBUS</w:t>
            </w:r>
            <w:r w:rsidR="004841DC" w:rsidRPr="004C2D88">
              <w:rPr>
                <w:rFonts w:ascii="Arial Narrow" w:hAnsi="Arial Narrow"/>
                <w:sz w:val="20"/>
                <w:vertAlign w:val="superscript"/>
              </w:rPr>
              <w:t>a</w:t>
            </w:r>
            <w:r w:rsidRPr="004C2D88">
              <w:rPr>
                <w:rStyle w:val="CommentReference"/>
                <w:b w:val="0"/>
                <w:vertAlign w:val="superscript"/>
              </w:rPr>
              <w:t xml:space="preserve"> </w:t>
            </w:r>
          </w:p>
          <w:p w:rsidR="00390833" w:rsidRPr="004C2D88" w:rsidRDefault="00390833" w:rsidP="00465BB6">
            <w:pPr>
              <w:keepNext/>
              <w:widowControl/>
              <w:jc w:val="left"/>
            </w:pPr>
            <w:r w:rsidRPr="004C2D88">
              <w:rPr>
                <w:rStyle w:val="CommentReference"/>
                <w:b w:val="0"/>
              </w:rPr>
              <w:t>Encorafenib+binimetinib vs. vemurafenib</w:t>
            </w:r>
          </w:p>
        </w:tc>
        <w:tc>
          <w:tcPr>
            <w:tcW w:w="187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14.9 months</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7.3 months</w:t>
            </w:r>
          </w:p>
        </w:tc>
        <w:tc>
          <w:tcPr>
            <w:tcW w:w="192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7.6 months</w:t>
            </w:r>
          </w:p>
        </w:tc>
      </w:tr>
      <w:tr w:rsidR="00390833" w:rsidRPr="004C2D88" w:rsidTr="005D6C6B">
        <w:tc>
          <w:tcPr>
            <w:tcW w:w="343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left"/>
              <w:rPr>
                <w:rStyle w:val="CommentReference"/>
                <w:b w:val="0"/>
              </w:rPr>
            </w:pPr>
            <w:r w:rsidRPr="004C2D88">
              <w:rPr>
                <w:rFonts w:ascii="Arial Narrow" w:hAnsi="Arial Narrow"/>
                <w:sz w:val="20"/>
              </w:rPr>
              <w:t>COMBI-D</w:t>
            </w:r>
            <w:r w:rsidR="004841DC" w:rsidRPr="004C2D88">
              <w:rPr>
                <w:rFonts w:ascii="Arial Narrow" w:hAnsi="Arial Narrow"/>
                <w:sz w:val="20"/>
                <w:vertAlign w:val="superscript"/>
              </w:rPr>
              <w:t>b</w:t>
            </w:r>
            <w:r w:rsidRPr="004C2D88">
              <w:rPr>
                <w:rStyle w:val="CommentReference"/>
                <w:b w:val="0"/>
              </w:rPr>
              <w:t xml:space="preserve"> </w:t>
            </w:r>
          </w:p>
          <w:p w:rsidR="00390833" w:rsidRPr="004C2D88" w:rsidRDefault="00390833" w:rsidP="00465BB6">
            <w:pPr>
              <w:keepNext/>
              <w:widowControl/>
              <w:jc w:val="left"/>
            </w:pPr>
            <w:r w:rsidRPr="004C2D88">
              <w:rPr>
                <w:rStyle w:val="CommentReference"/>
                <w:b w:val="0"/>
              </w:rPr>
              <w:t xml:space="preserve">Dabrafenib+trametinib vs. dabrafenib </w:t>
            </w:r>
          </w:p>
        </w:tc>
        <w:tc>
          <w:tcPr>
            <w:tcW w:w="187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11.0 months</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8.8 months</w:t>
            </w:r>
          </w:p>
        </w:tc>
        <w:tc>
          <w:tcPr>
            <w:tcW w:w="192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2.2 months</w:t>
            </w:r>
          </w:p>
        </w:tc>
      </w:tr>
      <w:tr w:rsidR="00390833" w:rsidRPr="004C2D88" w:rsidTr="005D6C6B">
        <w:tc>
          <w:tcPr>
            <w:tcW w:w="343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left"/>
              <w:rPr>
                <w:rStyle w:val="CommentReference"/>
                <w:b w:val="0"/>
              </w:rPr>
            </w:pPr>
            <w:r w:rsidRPr="004C2D88">
              <w:rPr>
                <w:rFonts w:ascii="Arial Narrow" w:hAnsi="Arial Narrow"/>
                <w:sz w:val="20"/>
              </w:rPr>
              <w:t>COMBI-V</w:t>
            </w:r>
            <w:r w:rsidR="004841DC" w:rsidRPr="004C2D88">
              <w:rPr>
                <w:rFonts w:ascii="Arial Narrow" w:hAnsi="Arial Narrow"/>
                <w:sz w:val="20"/>
                <w:vertAlign w:val="superscript"/>
              </w:rPr>
              <w:t>c</w:t>
            </w:r>
            <w:r w:rsidRPr="004C2D88">
              <w:rPr>
                <w:rStyle w:val="CommentReference"/>
                <w:b w:val="0"/>
                <w:vertAlign w:val="superscript"/>
              </w:rPr>
              <w:t xml:space="preserve"> </w:t>
            </w:r>
          </w:p>
          <w:p w:rsidR="00390833" w:rsidRPr="004C2D88" w:rsidRDefault="00390833" w:rsidP="00465BB6">
            <w:pPr>
              <w:keepNext/>
              <w:widowControl/>
              <w:jc w:val="left"/>
            </w:pPr>
            <w:r w:rsidRPr="004C2D88">
              <w:rPr>
                <w:rStyle w:val="CommentReference"/>
                <w:b w:val="0"/>
              </w:rPr>
              <w:t>Dabrafenib+trametinib vs. vemurafenib</w:t>
            </w:r>
          </w:p>
        </w:tc>
        <w:tc>
          <w:tcPr>
            <w:tcW w:w="187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12.</w:t>
            </w:r>
            <w:r w:rsidR="00F8015E" w:rsidRPr="004C2D88">
              <w:rPr>
                <w:rFonts w:ascii="Arial Narrow" w:hAnsi="Arial Narrow"/>
                <w:sz w:val="20"/>
              </w:rPr>
              <w:t>1</w:t>
            </w:r>
            <w:r w:rsidRPr="004C2D88">
              <w:rPr>
                <w:rFonts w:ascii="Arial Narrow" w:hAnsi="Arial Narrow"/>
                <w:sz w:val="20"/>
              </w:rPr>
              <w:t xml:space="preserve"> months</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7.3 months</w:t>
            </w:r>
          </w:p>
        </w:tc>
        <w:tc>
          <w:tcPr>
            <w:tcW w:w="192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6C7939" w:rsidP="00465BB6">
            <w:pPr>
              <w:keepNext/>
              <w:widowControl/>
              <w:jc w:val="center"/>
              <w:rPr>
                <w:rFonts w:ascii="Arial Narrow" w:hAnsi="Arial Narrow"/>
                <w:sz w:val="20"/>
              </w:rPr>
            </w:pPr>
            <w:r w:rsidRPr="004C2D88">
              <w:rPr>
                <w:rFonts w:ascii="Arial Narrow" w:hAnsi="Arial Narrow"/>
                <w:sz w:val="20"/>
              </w:rPr>
              <w:t>4.8</w:t>
            </w:r>
            <w:r w:rsidR="00390833" w:rsidRPr="004C2D88">
              <w:rPr>
                <w:rFonts w:ascii="Arial Narrow" w:hAnsi="Arial Narrow"/>
                <w:sz w:val="20"/>
              </w:rPr>
              <w:t xml:space="preserve"> months</w:t>
            </w:r>
          </w:p>
        </w:tc>
      </w:tr>
      <w:tr w:rsidR="00390833" w:rsidRPr="004C2D88" w:rsidTr="005D6C6B">
        <w:tc>
          <w:tcPr>
            <w:tcW w:w="343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left"/>
              <w:rPr>
                <w:rStyle w:val="CommentReference"/>
                <w:b w:val="0"/>
              </w:rPr>
            </w:pPr>
            <w:r w:rsidRPr="004C2D88">
              <w:rPr>
                <w:rFonts w:ascii="Arial Narrow" w:hAnsi="Arial Narrow"/>
                <w:sz w:val="20"/>
              </w:rPr>
              <w:t>coBRIM</w:t>
            </w:r>
            <w:r w:rsidR="004841DC" w:rsidRPr="004C2D88">
              <w:rPr>
                <w:rFonts w:ascii="Arial Narrow" w:hAnsi="Arial Narrow"/>
                <w:sz w:val="20"/>
                <w:vertAlign w:val="superscript"/>
              </w:rPr>
              <w:t>d</w:t>
            </w:r>
            <w:r w:rsidRPr="004C2D88">
              <w:rPr>
                <w:rStyle w:val="CommentReference"/>
                <w:b w:val="0"/>
                <w:vertAlign w:val="superscript"/>
              </w:rPr>
              <w:t xml:space="preserve"> </w:t>
            </w:r>
          </w:p>
          <w:p w:rsidR="00390833" w:rsidRPr="004C2D88" w:rsidRDefault="00390833" w:rsidP="00465BB6">
            <w:pPr>
              <w:keepNext/>
              <w:widowControl/>
              <w:jc w:val="left"/>
            </w:pPr>
            <w:r w:rsidRPr="004C2D88">
              <w:rPr>
                <w:rStyle w:val="CommentReference"/>
                <w:b w:val="0"/>
              </w:rPr>
              <w:t>Vemurafenib+cobimetinib vs. vemurafenib</w:t>
            </w:r>
          </w:p>
        </w:tc>
        <w:tc>
          <w:tcPr>
            <w:tcW w:w="187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12.3 months</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7.2 months</w:t>
            </w:r>
          </w:p>
        </w:tc>
        <w:tc>
          <w:tcPr>
            <w:tcW w:w="192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center"/>
              <w:rPr>
                <w:rFonts w:ascii="Arial Narrow" w:hAnsi="Arial Narrow"/>
                <w:sz w:val="20"/>
              </w:rPr>
            </w:pPr>
            <w:r w:rsidRPr="004C2D88">
              <w:rPr>
                <w:rFonts w:ascii="Arial Narrow" w:hAnsi="Arial Narrow"/>
                <w:sz w:val="20"/>
              </w:rPr>
              <w:t>5.1 months</w:t>
            </w:r>
          </w:p>
        </w:tc>
      </w:tr>
      <w:tr w:rsidR="00390833" w:rsidRPr="004C2D88" w:rsidTr="005D6C6B">
        <w:tc>
          <w:tcPr>
            <w:tcW w:w="9072" w:type="dxa"/>
            <w:gridSpan w:val="4"/>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left"/>
              <w:rPr>
                <w:rFonts w:ascii="Arial Narrow" w:hAnsi="Arial Narrow"/>
                <w:b/>
                <w:sz w:val="20"/>
              </w:rPr>
            </w:pPr>
            <w:r w:rsidRPr="004C2D88">
              <w:rPr>
                <w:rFonts w:ascii="Arial Narrow" w:hAnsi="Arial Narrow"/>
                <w:b/>
                <w:sz w:val="20"/>
              </w:rPr>
              <w:t>Median OS</w:t>
            </w:r>
          </w:p>
        </w:tc>
      </w:tr>
      <w:tr w:rsidR="004841DC" w:rsidRPr="004C2D88" w:rsidTr="005D6C6B">
        <w:tc>
          <w:tcPr>
            <w:tcW w:w="3431"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left"/>
              <w:rPr>
                <w:rStyle w:val="CommentReference"/>
              </w:rPr>
            </w:pPr>
            <w:r w:rsidRPr="004C2D88">
              <w:rPr>
                <w:rFonts w:ascii="Arial Narrow" w:hAnsi="Arial Narrow"/>
                <w:sz w:val="20"/>
              </w:rPr>
              <w:t>COLUMBUS</w:t>
            </w:r>
            <w:r w:rsidRPr="004C2D88">
              <w:rPr>
                <w:rFonts w:ascii="Arial Narrow" w:hAnsi="Arial Narrow"/>
                <w:sz w:val="20"/>
                <w:vertAlign w:val="superscript"/>
              </w:rPr>
              <w:t>a</w:t>
            </w:r>
            <w:r w:rsidRPr="004C2D88">
              <w:rPr>
                <w:rStyle w:val="CommentReference"/>
                <w:b w:val="0"/>
                <w:vertAlign w:val="superscript"/>
              </w:rPr>
              <w:t xml:space="preserve"> </w:t>
            </w:r>
          </w:p>
          <w:p w:rsidR="004841DC" w:rsidRPr="004C2D88" w:rsidRDefault="004841DC" w:rsidP="00465BB6">
            <w:pPr>
              <w:keepNext/>
              <w:widowControl/>
              <w:jc w:val="left"/>
            </w:pPr>
            <w:r w:rsidRPr="004C2D88">
              <w:rPr>
                <w:rStyle w:val="CommentReference"/>
                <w:b w:val="0"/>
              </w:rPr>
              <w:t>Encorafenib+binimetinib vs. vemurafenib</w:t>
            </w:r>
          </w:p>
        </w:tc>
        <w:tc>
          <w:tcPr>
            <w:tcW w:w="1871"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center"/>
              <w:rPr>
                <w:rFonts w:ascii="Arial Narrow" w:hAnsi="Arial Narrow"/>
                <w:sz w:val="20"/>
              </w:rPr>
            </w:pPr>
            <w:r w:rsidRPr="004C2D88">
              <w:rPr>
                <w:rFonts w:ascii="Arial Narrow" w:hAnsi="Arial Narrow"/>
                <w:sz w:val="20"/>
              </w:rPr>
              <w:t>33.6 months</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center"/>
              <w:rPr>
                <w:rFonts w:ascii="Arial Narrow" w:hAnsi="Arial Narrow"/>
                <w:sz w:val="20"/>
              </w:rPr>
            </w:pPr>
            <w:r w:rsidRPr="004C2D88">
              <w:rPr>
                <w:rFonts w:ascii="Arial Narrow" w:hAnsi="Arial Narrow"/>
                <w:sz w:val="20"/>
              </w:rPr>
              <w:t>16.9 months</w:t>
            </w:r>
          </w:p>
        </w:tc>
        <w:tc>
          <w:tcPr>
            <w:tcW w:w="1927" w:type="dxa"/>
            <w:tcBorders>
              <w:top w:val="single" w:sz="4" w:space="0" w:color="auto"/>
              <w:left w:val="single" w:sz="4" w:space="0" w:color="auto"/>
              <w:bottom w:val="single" w:sz="4" w:space="0" w:color="auto"/>
              <w:right w:val="single" w:sz="4" w:space="0" w:color="auto"/>
            </w:tcBorders>
            <w:vAlign w:val="center"/>
            <w:hideMark/>
          </w:tcPr>
          <w:p w:rsidR="004607DC" w:rsidRPr="004C2D88" w:rsidRDefault="004841DC" w:rsidP="00465BB6">
            <w:pPr>
              <w:keepNext/>
              <w:widowControl/>
              <w:jc w:val="center"/>
              <w:rPr>
                <w:rFonts w:ascii="Arial Narrow" w:hAnsi="Arial Narrow"/>
                <w:sz w:val="20"/>
              </w:rPr>
            </w:pPr>
            <w:r w:rsidRPr="004C2D88">
              <w:rPr>
                <w:rFonts w:ascii="Arial Narrow" w:hAnsi="Arial Narrow"/>
                <w:sz w:val="20"/>
              </w:rPr>
              <w:t>16.7 months</w:t>
            </w:r>
          </w:p>
        </w:tc>
      </w:tr>
      <w:tr w:rsidR="004841DC" w:rsidRPr="004C2D88" w:rsidTr="005D6C6B">
        <w:tc>
          <w:tcPr>
            <w:tcW w:w="3431"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left"/>
              <w:rPr>
                <w:rStyle w:val="CommentReference"/>
                <w:b w:val="0"/>
              </w:rPr>
            </w:pPr>
            <w:r w:rsidRPr="004C2D88">
              <w:rPr>
                <w:rFonts w:ascii="Arial Narrow" w:hAnsi="Arial Narrow"/>
                <w:sz w:val="20"/>
              </w:rPr>
              <w:t>COMBI-D</w:t>
            </w:r>
            <w:r w:rsidRPr="004C2D88">
              <w:rPr>
                <w:rFonts w:ascii="Arial Narrow" w:hAnsi="Arial Narrow"/>
                <w:sz w:val="20"/>
                <w:vertAlign w:val="superscript"/>
              </w:rPr>
              <w:t>b</w:t>
            </w:r>
            <w:r w:rsidRPr="004C2D88">
              <w:rPr>
                <w:rStyle w:val="CommentReference"/>
                <w:b w:val="0"/>
              </w:rPr>
              <w:t xml:space="preserve"> </w:t>
            </w:r>
          </w:p>
          <w:p w:rsidR="004841DC" w:rsidRPr="004C2D88" w:rsidRDefault="004841DC" w:rsidP="00465BB6">
            <w:pPr>
              <w:keepNext/>
              <w:widowControl/>
              <w:jc w:val="left"/>
            </w:pPr>
            <w:r w:rsidRPr="004C2D88">
              <w:rPr>
                <w:rStyle w:val="CommentReference"/>
                <w:b w:val="0"/>
              </w:rPr>
              <w:t xml:space="preserve">Dabrafenib+trametinib vs. dabrafenib </w:t>
            </w:r>
          </w:p>
        </w:tc>
        <w:tc>
          <w:tcPr>
            <w:tcW w:w="1871"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center"/>
              <w:rPr>
                <w:rFonts w:ascii="Arial Narrow" w:hAnsi="Arial Narrow"/>
                <w:sz w:val="20"/>
              </w:rPr>
            </w:pPr>
            <w:r w:rsidRPr="004C2D88">
              <w:rPr>
                <w:rFonts w:ascii="Arial Narrow" w:hAnsi="Arial Narrow"/>
                <w:sz w:val="20"/>
              </w:rPr>
              <w:t>25.1 months</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center"/>
              <w:rPr>
                <w:rFonts w:ascii="Arial Narrow" w:hAnsi="Arial Narrow"/>
                <w:sz w:val="20"/>
              </w:rPr>
            </w:pPr>
            <w:r w:rsidRPr="004C2D88">
              <w:rPr>
                <w:rFonts w:ascii="Arial Narrow" w:hAnsi="Arial Narrow"/>
                <w:sz w:val="20"/>
              </w:rPr>
              <w:t>18.7 months</w:t>
            </w:r>
          </w:p>
        </w:tc>
        <w:tc>
          <w:tcPr>
            <w:tcW w:w="1927"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center"/>
              <w:rPr>
                <w:rFonts w:ascii="Arial Narrow" w:hAnsi="Arial Narrow"/>
                <w:sz w:val="20"/>
              </w:rPr>
            </w:pPr>
            <w:r w:rsidRPr="004C2D88">
              <w:rPr>
                <w:rFonts w:ascii="Arial Narrow" w:hAnsi="Arial Narrow"/>
                <w:sz w:val="20"/>
              </w:rPr>
              <w:t>6.4 months</w:t>
            </w:r>
          </w:p>
        </w:tc>
      </w:tr>
      <w:tr w:rsidR="004841DC" w:rsidRPr="004C2D88" w:rsidTr="005D6C6B">
        <w:tc>
          <w:tcPr>
            <w:tcW w:w="3431"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left"/>
              <w:rPr>
                <w:rStyle w:val="CommentReference"/>
                <w:b w:val="0"/>
              </w:rPr>
            </w:pPr>
            <w:r w:rsidRPr="004C2D88">
              <w:rPr>
                <w:rFonts w:ascii="Arial Narrow" w:hAnsi="Arial Narrow"/>
                <w:sz w:val="20"/>
              </w:rPr>
              <w:t>COMBI-V</w:t>
            </w:r>
            <w:r w:rsidRPr="004C2D88">
              <w:rPr>
                <w:rFonts w:ascii="Arial Narrow" w:hAnsi="Arial Narrow"/>
                <w:sz w:val="20"/>
                <w:vertAlign w:val="superscript"/>
              </w:rPr>
              <w:t>c</w:t>
            </w:r>
            <w:r w:rsidRPr="004C2D88">
              <w:rPr>
                <w:rStyle w:val="CommentReference"/>
                <w:b w:val="0"/>
                <w:vertAlign w:val="superscript"/>
              </w:rPr>
              <w:t xml:space="preserve"> </w:t>
            </w:r>
          </w:p>
          <w:p w:rsidR="004841DC" w:rsidRPr="004C2D88" w:rsidRDefault="004841DC" w:rsidP="00465BB6">
            <w:pPr>
              <w:keepNext/>
              <w:widowControl/>
              <w:jc w:val="left"/>
            </w:pPr>
            <w:r w:rsidRPr="004C2D88">
              <w:rPr>
                <w:rStyle w:val="CommentReference"/>
                <w:b w:val="0"/>
              </w:rPr>
              <w:t>Dabrafenib+trametinib vs. vemurafenib</w:t>
            </w:r>
          </w:p>
        </w:tc>
        <w:tc>
          <w:tcPr>
            <w:tcW w:w="1871"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center"/>
              <w:rPr>
                <w:rFonts w:ascii="Arial Narrow" w:hAnsi="Arial Narrow"/>
                <w:sz w:val="20"/>
              </w:rPr>
            </w:pPr>
            <w:r w:rsidRPr="004C2D88">
              <w:rPr>
                <w:rFonts w:ascii="Arial Narrow" w:hAnsi="Arial Narrow"/>
                <w:sz w:val="20"/>
              </w:rPr>
              <w:t>26.1 months</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center"/>
              <w:rPr>
                <w:rFonts w:ascii="Arial Narrow" w:hAnsi="Arial Narrow"/>
                <w:sz w:val="20"/>
              </w:rPr>
            </w:pPr>
            <w:r w:rsidRPr="004C2D88">
              <w:rPr>
                <w:rFonts w:ascii="Arial Narrow" w:hAnsi="Arial Narrow"/>
                <w:sz w:val="20"/>
              </w:rPr>
              <w:t>17.8 months</w:t>
            </w:r>
          </w:p>
        </w:tc>
        <w:tc>
          <w:tcPr>
            <w:tcW w:w="1927" w:type="dxa"/>
            <w:tcBorders>
              <w:top w:val="single" w:sz="4" w:space="0" w:color="auto"/>
              <w:left w:val="single" w:sz="4" w:space="0" w:color="auto"/>
              <w:bottom w:val="single" w:sz="4" w:space="0" w:color="auto"/>
              <w:right w:val="single" w:sz="4" w:space="0" w:color="auto"/>
            </w:tcBorders>
            <w:vAlign w:val="center"/>
            <w:hideMark/>
          </w:tcPr>
          <w:p w:rsidR="004607DC" w:rsidRPr="004C2D88" w:rsidRDefault="004841DC" w:rsidP="00465BB6">
            <w:pPr>
              <w:keepNext/>
              <w:widowControl/>
              <w:jc w:val="center"/>
              <w:rPr>
                <w:rFonts w:ascii="Arial Narrow" w:hAnsi="Arial Narrow"/>
                <w:sz w:val="20"/>
              </w:rPr>
            </w:pPr>
            <w:r w:rsidRPr="004C2D88">
              <w:rPr>
                <w:rFonts w:ascii="Arial Narrow" w:hAnsi="Arial Narrow"/>
                <w:sz w:val="20"/>
              </w:rPr>
              <w:t>8.3 months</w:t>
            </w:r>
          </w:p>
        </w:tc>
      </w:tr>
      <w:tr w:rsidR="004841DC" w:rsidRPr="004C2D88" w:rsidTr="005D6C6B">
        <w:tc>
          <w:tcPr>
            <w:tcW w:w="3431"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left"/>
              <w:rPr>
                <w:rStyle w:val="CommentReference"/>
                <w:b w:val="0"/>
              </w:rPr>
            </w:pPr>
            <w:r w:rsidRPr="004C2D88">
              <w:rPr>
                <w:rFonts w:ascii="Arial Narrow" w:hAnsi="Arial Narrow"/>
                <w:sz w:val="20"/>
              </w:rPr>
              <w:t>coBRIM</w:t>
            </w:r>
            <w:r w:rsidR="00EA5855" w:rsidRPr="004C2D88">
              <w:rPr>
                <w:rFonts w:ascii="Arial Narrow" w:hAnsi="Arial Narrow"/>
                <w:sz w:val="20"/>
                <w:vertAlign w:val="superscript"/>
              </w:rPr>
              <w:t>e</w:t>
            </w:r>
            <w:r w:rsidRPr="004C2D88">
              <w:rPr>
                <w:rStyle w:val="CommentReference"/>
                <w:b w:val="0"/>
                <w:vertAlign w:val="superscript"/>
              </w:rPr>
              <w:t xml:space="preserve"> </w:t>
            </w:r>
          </w:p>
          <w:p w:rsidR="004841DC" w:rsidRPr="004C2D88" w:rsidRDefault="004841DC" w:rsidP="00465BB6">
            <w:pPr>
              <w:keepNext/>
              <w:widowControl/>
              <w:jc w:val="left"/>
            </w:pPr>
            <w:r w:rsidRPr="004C2D88">
              <w:rPr>
                <w:rStyle w:val="CommentReference"/>
                <w:b w:val="0"/>
              </w:rPr>
              <w:t>Vemurafenib+cobimetinib vs. vemurafenib</w:t>
            </w:r>
          </w:p>
        </w:tc>
        <w:tc>
          <w:tcPr>
            <w:tcW w:w="1871"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center"/>
              <w:rPr>
                <w:rFonts w:ascii="Arial Narrow" w:hAnsi="Arial Narrow"/>
                <w:sz w:val="20"/>
              </w:rPr>
            </w:pPr>
            <w:r w:rsidRPr="004C2D88">
              <w:rPr>
                <w:rFonts w:ascii="Arial Narrow" w:hAnsi="Arial Narrow"/>
                <w:sz w:val="20"/>
              </w:rPr>
              <w:t>22.3 months</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center"/>
              <w:rPr>
                <w:rFonts w:ascii="Arial Narrow" w:hAnsi="Arial Narrow"/>
                <w:sz w:val="20"/>
              </w:rPr>
            </w:pPr>
            <w:r w:rsidRPr="004C2D88">
              <w:rPr>
                <w:rFonts w:ascii="Arial Narrow" w:hAnsi="Arial Narrow"/>
                <w:sz w:val="20"/>
              </w:rPr>
              <w:t>17.4 months</w:t>
            </w:r>
          </w:p>
        </w:tc>
        <w:tc>
          <w:tcPr>
            <w:tcW w:w="1927" w:type="dxa"/>
            <w:tcBorders>
              <w:top w:val="single" w:sz="4" w:space="0" w:color="auto"/>
              <w:left w:val="single" w:sz="4" w:space="0" w:color="auto"/>
              <w:bottom w:val="single" w:sz="4" w:space="0" w:color="auto"/>
              <w:right w:val="single" w:sz="4" w:space="0" w:color="auto"/>
            </w:tcBorders>
            <w:vAlign w:val="center"/>
            <w:hideMark/>
          </w:tcPr>
          <w:p w:rsidR="004841DC" w:rsidRPr="004C2D88" w:rsidRDefault="004841DC" w:rsidP="00465BB6">
            <w:pPr>
              <w:keepNext/>
              <w:widowControl/>
              <w:jc w:val="center"/>
              <w:rPr>
                <w:rFonts w:ascii="Arial Narrow" w:hAnsi="Arial Narrow"/>
                <w:sz w:val="20"/>
              </w:rPr>
            </w:pPr>
            <w:r w:rsidRPr="004C2D88">
              <w:rPr>
                <w:rFonts w:ascii="Arial Narrow" w:hAnsi="Arial Narrow"/>
                <w:sz w:val="20"/>
              </w:rPr>
              <w:t>4.9 months</w:t>
            </w:r>
          </w:p>
        </w:tc>
      </w:tr>
    </w:tbl>
    <w:p w:rsidR="00390833" w:rsidRPr="004C2D88" w:rsidRDefault="00390833" w:rsidP="00465BB6">
      <w:pPr>
        <w:pStyle w:val="TableFooter"/>
        <w:widowControl/>
      </w:pPr>
      <w:r w:rsidRPr="004C2D88">
        <w:t>OS = overall survival; PFS = progression-free survival</w:t>
      </w:r>
    </w:p>
    <w:p w:rsidR="004841DC" w:rsidRPr="004C2D88" w:rsidRDefault="004841DC" w:rsidP="00465BB6">
      <w:pPr>
        <w:pStyle w:val="TableFooter"/>
        <w:widowControl/>
      </w:pPr>
      <w:r w:rsidRPr="004C2D88">
        <w:rPr>
          <w:vertAlign w:val="superscript"/>
        </w:rPr>
        <w:t>a</w:t>
      </w:r>
      <w:r w:rsidRPr="004C2D88">
        <w:t xml:space="preserve"> At data cut-off November 2017 in COLUMBUS Part 1. Median follow-up: 30.0 months in the Combo 450 arm vs 15.8 months in the vemurafenib. </w:t>
      </w:r>
    </w:p>
    <w:p w:rsidR="004841DC" w:rsidRPr="004C2D88" w:rsidRDefault="004841DC" w:rsidP="00465BB6">
      <w:pPr>
        <w:pStyle w:val="TableFooter"/>
        <w:widowControl/>
      </w:pPr>
      <w:r w:rsidRPr="004C2D88">
        <w:rPr>
          <w:vertAlign w:val="superscript"/>
        </w:rPr>
        <w:t>b</w:t>
      </w:r>
      <w:r w:rsidRPr="004C2D88">
        <w:t xml:space="preserve"> At data cut-off January 2015 in COMBI-D. Median follow-up: 20.0 months in the dabrafenib+trametinib arm vs 16.0 months in the dabrafenib arm.</w:t>
      </w:r>
    </w:p>
    <w:p w:rsidR="004841DC" w:rsidRPr="004C2D88" w:rsidRDefault="00BB6318" w:rsidP="00465BB6">
      <w:pPr>
        <w:pStyle w:val="TableFooter"/>
        <w:widowControl/>
        <w:rPr>
          <w:rFonts w:cs="Times New Roman"/>
          <w:kern w:val="28"/>
          <w:szCs w:val="24"/>
          <w:lang w:eastAsia="en-GB"/>
        </w:rPr>
      </w:pPr>
      <w:r w:rsidRPr="004C2D88">
        <w:rPr>
          <w:vertAlign w:val="superscript"/>
          <w:lang w:eastAsia="en-GB"/>
        </w:rPr>
        <w:t>c</w:t>
      </w:r>
      <w:r w:rsidR="004841DC" w:rsidRPr="004C2D88">
        <w:rPr>
          <w:vertAlign w:val="superscript"/>
          <w:lang w:eastAsia="en-GB"/>
        </w:rPr>
        <w:t xml:space="preserve"> </w:t>
      </w:r>
      <w:r w:rsidR="004841DC" w:rsidRPr="004C2D88">
        <w:rPr>
          <w:lang w:eastAsia="en-GB"/>
        </w:rPr>
        <w:t xml:space="preserve">At data cut-off July 2016 in COMBI-V. </w:t>
      </w:r>
      <w:r w:rsidR="004841DC" w:rsidRPr="004C2D88">
        <w:rPr>
          <w:rFonts w:cs="Times New Roman"/>
          <w:kern w:val="28"/>
          <w:szCs w:val="24"/>
          <w:lang w:eastAsia="en-GB"/>
        </w:rPr>
        <w:t xml:space="preserve">Median follow-up: 23 months in the dabrafenib+trametinib arm. </w:t>
      </w:r>
      <w:r w:rsidRPr="004C2D88">
        <w:rPr>
          <w:rFonts w:cs="Times New Roman"/>
          <w:kern w:val="28"/>
          <w:szCs w:val="24"/>
          <w:lang w:eastAsia="en-GB"/>
        </w:rPr>
        <w:t>D</w:t>
      </w:r>
      <w:r w:rsidR="004841DC" w:rsidRPr="004C2D88">
        <w:rPr>
          <w:rFonts w:cs="Times New Roman"/>
          <w:kern w:val="28"/>
          <w:szCs w:val="24"/>
          <w:lang w:eastAsia="en-GB"/>
        </w:rPr>
        <w:t>uration of follow-up in the vemurafenib arm was not reported.</w:t>
      </w:r>
    </w:p>
    <w:p w:rsidR="00EA5855" w:rsidRPr="004C2D88" w:rsidRDefault="00EA5855" w:rsidP="00465BB6">
      <w:pPr>
        <w:pStyle w:val="TableFooter"/>
        <w:widowControl/>
        <w:rPr>
          <w:lang w:eastAsia="en-GB"/>
        </w:rPr>
      </w:pPr>
      <w:r w:rsidRPr="004C2D88">
        <w:rPr>
          <w:vertAlign w:val="superscript"/>
          <w:lang w:eastAsia="en-GB"/>
        </w:rPr>
        <w:t>d</w:t>
      </w:r>
      <w:r w:rsidRPr="004C2D88">
        <w:rPr>
          <w:lang w:eastAsia="en-GB"/>
        </w:rPr>
        <w:t xml:space="preserve"> At data cut-off January 2015 in coBRIM. Median follow-up: 14.2 months in the overall population.</w:t>
      </w:r>
    </w:p>
    <w:p w:rsidR="00EA5855" w:rsidRPr="004C2D88" w:rsidRDefault="00EA5855" w:rsidP="00465BB6">
      <w:pPr>
        <w:pStyle w:val="TableFooter"/>
        <w:widowControl/>
        <w:rPr>
          <w:lang w:eastAsia="en-GB"/>
        </w:rPr>
      </w:pPr>
      <w:r w:rsidRPr="004C2D88">
        <w:rPr>
          <w:vertAlign w:val="superscript"/>
          <w:lang w:eastAsia="en-GB"/>
        </w:rPr>
        <w:t xml:space="preserve">e </w:t>
      </w:r>
      <w:r w:rsidRPr="004C2D88">
        <w:rPr>
          <w:lang w:eastAsia="en-GB"/>
        </w:rPr>
        <w:t xml:space="preserve">At data cut-off August 2015 in coBRIM. Median follow-up: 18.5 months in the overall population. </w:t>
      </w:r>
    </w:p>
    <w:p w:rsidR="00EA5855" w:rsidRPr="004C2D88" w:rsidRDefault="00EA5855" w:rsidP="00465BB6">
      <w:pPr>
        <w:pStyle w:val="TableFooter"/>
        <w:widowControl/>
      </w:pPr>
      <w:r w:rsidRPr="004C2D88">
        <w:t xml:space="preserve">Source: Table compiled during the evaluation, based on Figure 2.5, p90, Table 2.48, p118, Figure 2.23, p115, Figure 2.33, p123, Table 2.71, p150 of the submission </w:t>
      </w:r>
    </w:p>
    <w:p w:rsidR="00FA1E24" w:rsidRPr="004C2D88" w:rsidRDefault="004731C7" w:rsidP="00465BB6">
      <w:pPr>
        <w:pStyle w:val="TableFooter"/>
        <w:widowControl/>
      </w:pPr>
      <w:r w:rsidRPr="004C2D88">
        <w:t xml:space="preserve">Source: </w:t>
      </w:r>
      <w:r w:rsidR="006C7939" w:rsidRPr="004C2D88">
        <w:t xml:space="preserve">Table compiled during the evaluation, based on </w:t>
      </w:r>
      <w:r w:rsidR="00FA1E24" w:rsidRPr="004C2D88">
        <w:t xml:space="preserve">Figure 2.5, p90, </w:t>
      </w:r>
      <w:r w:rsidR="00F8015E" w:rsidRPr="004C2D88">
        <w:t xml:space="preserve">Table 2.48, p118, </w:t>
      </w:r>
      <w:r w:rsidR="006C7939" w:rsidRPr="004C2D88">
        <w:t xml:space="preserve">Figure 2.23, p115, Figure 2.33, p123, </w:t>
      </w:r>
      <w:r w:rsidR="00FA1E24" w:rsidRPr="004C2D88">
        <w:t xml:space="preserve">Table </w:t>
      </w:r>
      <w:r w:rsidR="006C7939" w:rsidRPr="004C2D88">
        <w:t>2.71, p150 of the submission</w:t>
      </w:r>
      <w:r w:rsidR="00FA1E24" w:rsidRPr="004C2D88">
        <w:t xml:space="preserve"> </w:t>
      </w:r>
    </w:p>
    <w:p w:rsidR="00390833" w:rsidRPr="004C2D88" w:rsidRDefault="00390833" w:rsidP="00465BB6">
      <w:pPr>
        <w:pStyle w:val="TableFooter"/>
        <w:widowControl/>
        <w:ind w:left="709"/>
      </w:pPr>
    </w:p>
    <w:p w:rsidR="00390833" w:rsidRPr="004C2D88" w:rsidRDefault="00390833" w:rsidP="00465BB6">
      <w:pPr>
        <w:pStyle w:val="Caption"/>
        <w:keepNext/>
        <w:widowControl/>
        <w:rPr>
          <w:rStyle w:val="CommentReference"/>
          <w:b/>
          <w:bCs w:val="0"/>
        </w:rPr>
      </w:pPr>
      <w:bookmarkStart w:id="19" w:name="_Ref522963504"/>
      <w:r w:rsidRPr="004C2D88">
        <w:rPr>
          <w:rStyle w:val="CommentReference"/>
          <w:b/>
          <w:bCs w:val="0"/>
        </w:rPr>
        <w:t xml:space="preserve">Table </w:t>
      </w:r>
      <w:r w:rsidR="00CC25ED" w:rsidRPr="004C2D88">
        <w:rPr>
          <w:rStyle w:val="CommentReference"/>
          <w:b/>
          <w:bCs w:val="0"/>
        </w:rPr>
        <w:t>7</w:t>
      </w:r>
      <w:bookmarkEnd w:id="19"/>
      <w:r w:rsidRPr="004C2D88">
        <w:rPr>
          <w:rStyle w:val="CommentReference"/>
          <w:b/>
          <w:bCs w:val="0"/>
        </w:rPr>
        <w:t>: Indirect comparison of overall survival</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683"/>
        <w:gridCol w:w="2091"/>
        <w:gridCol w:w="2176"/>
        <w:gridCol w:w="1591"/>
      </w:tblGrid>
      <w:tr w:rsidR="00390833" w:rsidRPr="004C2D88" w:rsidTr="00B1102B">
        <w:trPr>
          <w:tblHeader/>
        </w:trPr>
        <w:tc>
          <w:tcPr>
            <w:tcW w:w="135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rPr>
                <w:b/>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rPr>
                <w:b/>
              </w:rPr>
            </w:pPr>
            <w:r w:rsidRPr="004C2D88">
              <w:rPr>
                <w:b/>
              </w:rPr>
              <w:t>Trial ID</w:t>
            </w:r>
          </w:p>
        </w:tc>
        <w:tc>
          <w:tcPr>
            <w:tcW w:w="214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rPr>
                <w:b/>
              </w:rPr>
            </w:pPr>
            <w:r w:rsidRPr="004C2D88">
              <w:rPr>
                <w:b/>
              </w:rPr>
              <w:t>Combination therapy, n/N (%)</w:t>
            </w:r>
          </w:p>
        </w:tc>
        <w:tc>
          <w:tcPr>
            <w:tcW w:w="224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rPr>
                <w:b/>
              </w:rPr>
            </w:pPr>
            <w:r w:rsidRPr="004C2D88">
              <w:rPr>
                <w:b/>
              </w:rPr>
              <w:t xml:space="preserve">BRAF inhibitor, </w:t>
            </w:r>
            <w:r w:rsidRPr="004C2D88">
              <w:rPr>
                <w:b/>
              </w:rPr>
              <w:br/>
              <w:t>n/N (%)</w:t>
            </w:r>
          </w:p>
        </w:tc>
        <w:tc>
          <w:tcPr>
            <w:tcW w:w="162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rPr>
                <w:b/>
              </w:rPr>
            </w:pPr>
            <w:r w:rsidRPr="004C2D88">
              <w:rPr>
                <w:b/>
              </w:rPr>
              <w:t>Treatment effect, HR (95% CI)</w:t>
            </w:r>
          </w:p>
        </w:tc>
      </w:tr>
      <w:tr w:rsidR="00390833" w:rsidRPr="004C2D88" w:rsidTr="00B1102B">
        <w:trPr>
          <w:trHeight w:val="69"/>
        </w:trPr>
        <w:tc>
          <w:tcPr>
            <w:tcW w:w="135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E+B vs. V</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COLUMBUS</w:t>
            </w:r>
            <w:r w:rsidRPr="004C2D88">
              <w:rPr>
                <w:vertAlign w:val="superscript"/>
              </w:rPr>
              <w:t>a</w:t>
            </w:r>
          </w:p>
        </w:tc>
        <w:tc>
          <w:tcPr>
            <w:tcW w:w="214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105/192 (54.7</w:t>
            </w:r>
            <w:r w:rsidR="007929E9" w:rsidRPr="004C2D88">
              <w:t>%</w:t>
            </w:r>
            <w:r w:rsidRPr="004C2D88">
              <w:t>)</w:t>
            </w:r>
          </w:p>
        </w:tc>
        <w:tc>
          <w:tcPr>
            <w:tcW w:w="224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127/191 (66.5</w:t>
            </w:r>
            <w:r w:rsidR="007929E9" w:rsidRPr="004C2D88">
              <w:t>%</w:t>
            </w:r>
            <w:r w:rsidRPr="004C2D88">
              <w:t>)</w:t>
            </w:r>
          </w:p>
        </w:tc>
        <w:tc>
          <w:tcPr>
            <w:tcW w:w="162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0.61 (0.47, 0.79)</w:t>
            </w:r>
          </w:p>
        </w:tc>
      </w:tr>
      <w:tr w:rsidR="00390833" w:rsidRPr="004C2D88" w:rsidTr="00B1102B">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D+T vs. D or V</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Pooled</w:t>
            </w:r>
            <w:r w:rsidR="002506F6" w:rsidRPr="004C2D88">
              <w:rPr>
                <w:vertAlign w:val="superscript"/>
              </w:rPr>
              <w:t>b</w:t>
            </w:r>
          </w:p>
        </w:tc>
        <w:tc>
          <w:tcPr>
            <w:tcW w:w="214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w:t>
            </w:r>
          </w:p>
        </w:tc>
        <w:tc>
          <w:tcPr>
            <w:tcW w:w="224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w:t>
            </w:r>
          </w:p>
        </w:tc>
        <w:tc>
          <w:tcPr>
            <w:tcW w:w="162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0.71 (0.60, 0.82)</w:t>
            </w:r>
          </w:p>
        </w:tc>
      </w:tr>
      <w:tr w:rsidR="00390833" w:rsidRPr="004C2D88" w:rsidTr="00B1102B">
        <w:tc>
          <w:tcPr>
            <w:tcW w:w="1351" w:type="dxa"/>
            <w:vMerge/>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left"/>
              <w:rPr>
                <w:rFonts w:ascii="Arial Narrow" w:hAnsi="Arial Narrow" w:cs="Times New Roman"/>
                <w:sz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COMBI-D</w:t>
            </w:r>
            <w:r w:rsidR="002506F6" w:rsidRPr="004C2D88">
              <w:rPr>
                <w:vertAlign w:val="superscript"/>
              </w:rPr>
              <w:t>c</w:t>
            </w:r>
          </w:p>
        </w:tc>
        <w:tc>
          <w:tcPr>
            <w:tcW w:w="214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NR/211</w:t>
            </w:r>
          </w:p>
        </w:tc>
        <w:tc>
          <w:tcPr>
            <w:tcW w:w="224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NR/212</w:t>
            </w:r>
          </w:p>
        </w:tc>
        <w:tc>
          <w:tcPr>
            <w:tcW w:w="162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0.75 (0.58, 0.96)</w:t>
            </w:r>
          </w:p>
        </w:tc>
      </w:tr>
      <w:tr w:rsidR="00390833" w:rsidRPr="004C2D88" w:rsidTr="00B1102B">
        <w:tc>
          <w:tcPr>
            <w:tcW w:w="1351" w:type="dxa"/>
            <w:vMerge/>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keepNext/>
              <w:widowControl/>
              <w:jc w:val="left"/>
              <w:rPr>
                <w:rFonts w:ascii="Arial Narrow" w:hAnsi="Arial Narrow" w:cs="Times New Roman"/>
                <w:sz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COMBI-V</w:t>
            </w:r>
            <w:r w:rsidR="002506F6" w:rsidRPr="004C2D88">
              <w:rPr>
                <w:vertAlign w:val="superscript"/>
              </w:rPr>
              <w:t>d</w:t>
            </w:r>
          </w:p>
        </w:tc>
        <w:tc>
          <w:tcPr>
            <w:tcW w:w="214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F52996" w:rsidP="00465BB6">
            <w:pPr>
              <w:pStyle w:val="Tabletext"/>
              <w:keepNext/>
              <w:jc w:val="center"/>
            </w:pPr>
            <w:r w:rsidRPr="004C2D88">
              <w:t>190</w:t>
            </w:r>
            <w:r w:rsidR="00390833" w:rsidRPr="004C2D88">
              <w:t>/352 (</w:t>
            </w:r>
            <w:r w:rsidRPr="004C2D88">
              <w:t>53.8</w:t>
            </w:r>
            <w:r w:rsidR="007929E9" w:rsidRPr="004C2D88">
              <w:t>%</w:t>
            </w:r>
            <w:r w:rsidR="00390833" w:rsidRPr="004C2D88">
              <w:t>)</w:t>
            </w:r>
          </w:p>
        </w:tc>
        <w:tc>
          <w:tcPr>
            <w:tcW w:w="224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F52996" w:rsidP="00465BB6">
            <w:pPr>
              <w:pStyle w:val="Tabletext"/>
              <w:keepNext/>
              <w:jc w:val="center"/>
            </w:pPr>
            <w:r w:rsidRPr="004C2D88">
              <w:t>218</w:t>
            </w:r>
            <w:r w:rsidR="00390833" w:rsidRPr="004C2D88">
              <w:t>/352 (</w:t>
            </w:r>
            <w:r w:rsidRPr="004C2D88">
              <w:t>61.9</w:t>
            </w:r>
            <w:r w:rsidR="007929E9" w:rsidRPr="004C2D88">
              <w:t>%</w:t>
            </w:r>
            <w:r w:rsidR="00390833" w:rsidRPr="004C2D88">
              <w:t>)</w:t>
            </w:r>
          </w:p>
        </w:tc>
        <w:tc>
          <w:tcPr>
            <w:tcW w:w="162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0.68 (0.56, 0.83)</w:t>
            </w:r>
          </w:p>
        </w:tc>
      </w:tr>
      <w:tr w:rsidR="00390833" w:rsidRPr="004C2D88" w:rsidTr="00B1102B">
        <w:tc>
          <w:tcPr>
            <w:tcW w:w="7448" w:type="dxa"/>
            <w:gridSpan w:val="4"/>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rPr>
                <w:b/>
              </w:rPr>
            </w:pPr>
            <w:r w:rsidRPr="004C2D88">
              <w:rPr>
                <w:b/>
              </w:rPr>
              <w:t>Adjusted indirect estimate of effect for encorafenib+binimetinib vs dabrafenib+trametinib</w:t>
            </w:r>
          </w:p>
        </w:tc>
        <w:tc>
          <w:tcPr>
            <w:tcW w:w="162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rPr>
                <w:b/>
              </w:rPr>
            </w:pPr>
            <w:r w:rsidRPr="004C2D88">
              <w:rPr>
                <w:b/>
              </w:rPr>
              <w:t>0.86 (0.64, 1.17)</w:t>
            </w:r>
          </w:p>
        </w:tc>
      </w:tr>
      <w:tr w:rsidR="00390833" w:rsidRPr="004C2D88" w:rsidTr="00B1102B">
        <w:trPr>
          <w:trHeight w:val="69"/>
        </w:trPr>
        <w:tc>
          <w:tcPr>
            <w:tcW w:w="135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E+B vs. V</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COLUMBUS</w:t>
            </w:r>
            <w:r w:rsidRPr="004C2D88">
              <w:rPr>
                <w:vertAlign w:val="superscript"/>
              </w:rPr>
              <w:t>a</w:t>
            </w:r>
          </w:p>
        </w:tc>
        <w:tc>
          <w:tcPr>
            <w:tcW w:w="214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105/192 (54.7</w:t>
            </w:r>
            <w:r w:rsidR="007929E9" w:rsidRPr="004C2D88">
              <w:t>%</w:t>
            </w:r>
            <w:r w:rsidRPr="004C2D88">
              <w:t>)</w:t>
            </w:r>
          </w:p>
        </w:tc>
        <w:tc>
          <w:tcPr>
            <w:tcW w:w="224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127/191 (66.5</w:t>
            </w:r>
            <w:r w:rsidR="007929E9" w:rsidRPr="004C2D88">
              <w:t>%</w:t>
            </w:r>
            <w:r w:rsidRPr="004C2D88">
              <w:t>)</w:t>
            </w:r>
          </w:p>
        </w:tc>
        <w:tc>
          <w:tcPr>
            <w:tcW w:w="162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0.61 (0.47, 0.79)</w:t>
            </w:r>
          </w:p>
        </w:tc>
      </w:tr>
      <w:tr w:rsidR="00390833" w:rsidRPr="004C2D88" w:rsidTr="00B1102B">
        <w:trPr>
          <w:trHeight w:val="58"/>
        </w:trPr>
        <w:tc>
          <w:tcPr>
            <w:tcW w:w="135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V+C vs. V</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pPr>
            <w:r w:rsidRPr="004C2D88">
              <w:t>coBRIM</w:t>
            </w:r>
            <w:r w:rsidR="002506F6" w:rsidRPr="004C2D88">
              <w:rPr>
                <w:vertAlign w:val="superscript"/>
              </w:rPr>
              <w:t>e</w:t>
            </w:r>
          </w:p>
        </w:tc>
        <w:tc>
          <w:tcPr>
            <w:tcW w:w="2140"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114/247 (46.2</w:t>
            </w:r>
            <w:r w:rsidR="007929E9" w:rsidRPr="004C2D88">
              <w:t>%</w:t>
            </w:r>
            <w:r w:rsidRPr="004C2D88">
              <w:t>)</w:t>
            </w:r>
          </w:p>
        </w:tc>
        <w:tc>
          <w:tcPr>
            <w:tcW w:w="2247"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141/248 (56.9</w:t>
            </w:r>
            <w:r w:rsidR="007929E9" w:rsidRPr="004C2D88">
              <w:t>%</w:t>
            </w:r>
            <w:r w:rsidRPr="004C2D88">
              <w:t>)</w:t>
            </w:r>
          </w:p>
        </w:tc>
        <w:tc>
          <w:tcPr>
            <w:tcW w:w="162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pPr>
            <w:r w:rsidRPr="004C2D88">
              <w:t>0.70 (0.55, 0.90)</w:t>
            </w:r>
          </w:p>
        </w:tc>
      </w:tr>
      <w:tr w:rsidR="00390833" w:rsidRPr="004C2D88" w:rsidTr="00B1102B">
        <w:tc>
          <w:tcPr>
            <w:tcW w:w="7448" w:type="dxa"/>
            <w:gridSpan w:val="4"/>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ind w:right="-57"/>
              <w:rPr>
                <w:b/>
              </w:rPr>
            </w:pPr>
            <w:r w:rsidRPr="004C2D88">
              <w:rPr>
                <w:b/>
              </w:rPr>
              <w:t>Adjusted indirect estimate of effect for encorafenib+binimetinib vs vemurafenib+cobimetinib</w:t>
            </w:r>
          </w:p>
        </w:tc>
        <w:tc>
          <w:tcPr>
            <w:tcW w:w="162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keepNext/>
              <w:jc w:val="center"/>
              <w:rPr>
                <w:b/>
              </w:rPr>
            </w:pPr>
            <w:r w:rsidRPr="004C2D88">
              <w:rPr>
                <w:b/>
              </w:rPr>
              <w:t>0.87 (0.6</w:t>
            </w:r>
            <w:r w:rsidR="00051D7A" w:rsidRPr="004C2D88">
              <w:rPr>
                <w:b/>
              </w:rPr>
              <w:t>1</w:t>
            </w:r>
            <w:r w:rsidRPr="004C2D88">
              <w:rPr>
                <w:b/>
              </w:rPr>
              <w:t>, 1.</w:t>
            </w:r>
            <w:r w:rsidR="00051D7A" w:rsidRPr="004C2D88">
              <w:rPr>
                <w:b/>
              </w:rPr>
              <w:t>25</w:t>
            </w:r>
            <w:r w:rsidRPr="004C2D88">
              <w:rPr>
                <w:b/>
              </w:rPr>
              <w:t>)</w:t>
            </w:r>
          </w:p>
        </w:tc>
      </w:tr>
      <w:tr w:rsidR="004607DC" w:rsidRPr="004C2D88" w:rsidTr="00B1102B">
        <w:trPr>
          <w:trHeight w:val="69"/>
        </w:trPr>
        <w:tc>
          <w:tcPr>
            <w:tcW w:w="7448" w:type="dxa"/>
            <w:gridSpan w:val="4"/>
            <w:tcBorders>
              <w:top w:val="single" w:sz="4" w:space="0" w:color="auto"/>
              <w:left w:val="single" w:sz="4" w:space="0" w:color="auto"/>
              <w:bottom w:val="single" w:sz="4" w:space="0" w:color="auto"/>
              <w:right w:val="single" w:sz="4" w:space="0" w:color="auto"/>
            </w:tcBorders>
            <w:vAlign w:val="center"/>
          </w:tcPr>
          <w:p w:rsidR="004607DC" w:rsidRPr="004C2D88" w:rsidRDefault="004607DC" w:rsidP="00465BB6">
            <w:pPr>
              <w:pStyle w:val="Tabletext"/>
              <w:keepNext/>
            </w:pPr>
            <w:r w:rsidRPr="004C2D88">
              <w:t>Adjusted indirect estimate of effect for vemurafenib+cobimetinib vs dabrafenib+trametinib</w:t>
            </w:r>
            <w:r w:rsidRPr="004C2D88">
              <w:rPr>
                <w:vertAlign w:val="superscript"/>
              </w:rPr>
              <w:t>f</w:t>
            </w:r>
          </w:p>
        </w:tc>
        <w:tc>
          <w:tcPr>
            <w:tcW w:w="1624" w:type="dxa"/>
            <w:tcBorders>
              <w:top w:val="single" w:sz="4" w:space="0" w:color="auto"/>
              <w:left w:val="single" w:sz="4" w:space="0" w:color="auto"/>
              <w:bottom w:val="single" w:sz="4" w:space="0" w:color="auto"/>
              <w:right w:val="single" w:sz="4" w:space="0" w:color="auto"/>
            </w:tcBorders>
            <w:vAlign w:val="center"/>
          </w:tcPr>
          <w:p w:rsidR="004607DC" w:rsidRPr="004C2D88" w:rsidRDefault="004607DC" w:rsidP="00465BB6">
            <w:pPr>
              <w:pStyle w:val="Tabletext"/>
              <w:keepNext/>
              <w:jc w:val="center"/>
            </w:pPr>
            <w:r w:rsidRPr="004C2D88">
              <w:t>1.03 (0.77, 1.38)</w:t>
            </w:r>
          </w:p>
        </w:tc>
      </w:tr>
    </w:tbl>
    <w:p w:rsidR="00390833" w:rsidRPr="004C2D88" w:rsidRDefault="004607DC" w:rsidP="00465BB6">
      <w:pPr>
        <w:pStyle w:val="TableFooter"/>
        <w:widowControl/>
      </w:pPr>
      <w:r w:rsidRPr="004C2D88">
        <w:t xml:space="preserve"> </w:t>
      </w:r>
      <w:r w:rsidR="00390833" w:rsidRPr="004C2D88">
        <w:t xml:space="preserve">CI = confidence interval; D = dabrafenib; D+T = dabrafenib+trametinib; E+B = encorafenib+binimetinib; HR = hazard ratio; </w:t>
      </w:r>
      <w:r w:rsidR="00563CD5" w:rsidRPr="004C2D88">
        <w:t xml:space="preserve">NR = not reported; </w:t>
      </w:r>
      <w:r w:rsidR="00390833" w:rsidRPr="004C2D88">
        <w:t>V = vemurafenib; V+C = vemurafenib+cobimetinib</w:t>
      </w:r>
    </w:p>
    <w:p w:rsidR="00390833" w:rsidRPr="004C2D88" w:rsidRDefault="00390833" w:rsidP="00465BB6">
      <w:pPr>
        <w:pStyle w:val="TableFooter"/>
        <w:widowControl/>
      </w:pPr>
      <w:r w:rsidRPr="004C2D88">
        <w:rPr>
          <w:vertAlign w:val="superscript"/>
        </w:rPr>
        <w:t>a</w:t>
      </w:r>
      <w:r w:rsidRPr="004C2D88">
        <w:t xml:space="preserve"> </w:t>
      </w:r>
      <w:r w:rsidR="009146CC" w:rsidRPr="004C2D88">
        <w:t xml:space="preserve">At data cut-off November 2017 in COLUMBUS Part 1. </w:t>
      </w:r>
      <w:r w:rsidRPr="004C2D88">
        <w:t>Median follow-up: 30.0 months in the Combo 450 arm vs 15.8 months in the vemurafenib</w:t>
      </w:r>
      <w:r w:rsidR="00F52996" w:rsidRPr="004C2D88">
        <w:t>.</w:t>
      </w:r>
      <w:r w:rsidRPr="004C2D88">
        <w:t xml:space="preserve"> </w:t>
      </w:r>
    </w:p>
    <w:p w:rsidR="002506F6" w:rsidRPr="004C2D88" w:rsidRDefault="00390833" w:rsidP="00465BB6">
      <w:pPr>
        <w:pStyle w:val="TableFooter"/>
        <w:widowControl/>
      </w:pPr>
      <w:r w:rsidRPr="004C2D88">
        <w:rPr>
          <w:vertAlign w:val="superscript"/>
        </w:rPr>
        <w:t>b</w:t>
      </w:r>
      <w:r w:rsidRPr="004C2D88">
        <w:t xml:space="preserve"> </w:t>
      </w:r>
      <w:r w:rsidR="002506F6" w:rsidRPr="004C2D88">
        <w:t>Pooled HR was calculated using fixed effects meta-analysis methodology described by Neyeloff et al.</w:t>
      </w:r>
    </w:p>
    <w:p w:rsidR="00390833" w:rsidRPr="004C2D88" w:rsidRDefault="002506F6" w:rsidP="00465BB6">
      <w:pPr>
        <w:pStyle w:val="TableFooter"/>
        <w:widowControl/>
      </w:pPr>
      <w:r w:rsidRPr="004C2D88">
        <w:rPr>
          <w:vertAlign w:val="superscript"/>
          <w:lang w:eastAsia="en-GB"/>
        </w:rPr>
        <w:lastRenderedPageBreak/>
        <w:t>c</w:t>
      </w:r>
      <w:r w:rsidRPr="004C2D88">
        <w:t xml:space="preserve"> </w:t>
      </w:r>
      <w:r w:rsidR="009146CC" w:rsidRPr="004C2D88">
        <w:t>At data cut-off</w:t>
      </w:r>
      <w:r w:rsidR="006F1E0A" w:rsidRPr="004C2D88">
        <w:t xml:space="preserve"> </w:t>
      </w:r>
      <w:r w:rsidR="004841DC" w:rsidRPr="004C2D88">
        <w:t xml:space="preserve">February 2016 </w:t>
      </w:r>
      <w:r w:rsidR="009146CC" w:rsidRPr="004C2D88">
        <w:t xml:space="preserve">in </w:t>
      </w:r>
      <w:r w:rsidR="006F1E0A" w:rsidRPr="004C2D88">
        <w:t>COMBI-D</w:t>
      </w:r>
      <w:r w:rsidR="00390833" w:rsidRPr="004C2D88">
        <w:t xml:space="preserve">. </w:t>
      </w:r>
      <w:r w:rsidR="00BB6318" w:rsidRPr="004C2D88">
        <w:t>M</w:t>
      </w:r>
      <w:r w:rsidR="00390833" w:rsidRPr="004C2D88">
        <w:t xml:space="preserve">edian follow-up </w:t>
      </w:r>
      <w:r w:rsidR="009146CC" w:rsidRPr="004C2D88">
        <w:t xml:space="preserve">at this cut-off </w:t>
      </w:r>
      <w:r w:rsidR="00390833" w:rsidRPr="004C2D88">
        <w:t xml:space="preserve">was not reported, but </w:t>
      </w:r>
      <w:r w:rsidR="001879B5" w:rsidRPr="004C2D88">
        <w:t xml:space="preserve">should be </w:t>
      </w:r>
      <w:r w:rsidR="00390833" w:rsidRPr="004C2D88">
        <w:t xml:space="preserve">longer than 20.0 months in the dabrafenib+trametinib arm and 16.0 months in the dabrafenib arm (median follow-up at </w:t>
      </w:r>
      <w:r w:rsidR="001879B5" w:rsidRPr="004C2D88">
        <w:t xml:space="preserve">an earlier </w:t>
      </w:r>
      <w:r w:rsidR="00390833" w:rsidRPr="004C2D88">
        <w:t xml:space="preserve">data cut-off </w:t>
      </w:r>
      <w:r w:rsidR="00BE2801" w:rsidRPr="004C2D88">
        <w:t>January</w:t>
      </w:r>
      <w:r w:rsidR="00390833" w:rsidRPr="004C2D88">
        <w:t xml:space="preserve"> 2015)</w:t>
      </w:r>
      <w:r w:rsidR="00F52996" w:rsidRPr="004C2D88">
        <w:t>.</w:t>
      </w:r>
    </w:p>
    <w:p w:rsidR="00390833" w:rsidRPr="004C2D88" w:rsidRDefault="002506F6" w:rsidP="00465BB6">
      <w:pPr>
        <w:pStyle w:val="TableFooter"/>
        <w:widowControl/>
        <w:rPr>
          <w:rFonts w:cs="Times New Roman"/>
          <w:kern w:val="28"/>
          <w:szCs w:val="24"/>
          <w:lang w:eastAsia="en-GB"/>
        </w:rPr>
      </w:pPr>
      <w:r w:rsidRPr="004C2D88">
        <w:rPr>
          <w:vertAlign w:val="superscript"/>
          <w:lang w:eastAsia="en-GB"/>
        </w:rPr>
        <w:t xml:space="preserve">d </w:t>
      </w:r>
      <w:r w:rsidR="002F51FA" w:rsidRPr="004C2D88">
        <w:rPr>
          <w:lang w:eastAsia="en-GB"/>
        </w:rPr>
        <w:t xml:space="preserve">At data cut-off July 2016 in COMBI-V. </w:t>
      </w:r>
      <w:r w:rsidR="00390833" w:rsidRPr="004C2D88">
        <w:rPr>
          <w:rFonts w:cs="Times New Roman"/>
          <w:kern w:val="28"/>
          <w:szCs w:val="24"/>
          <w:lang w:eastAsia="en-GB"/>
        </w:rPr>
        <w:t>Median follow-up: 23 months in the dabrafe</w:t>
      </w:r>
      <w:r w:rsidR="00BB6318" w:rsidRPr="004C2D88">
        <w:rPr>
          <w:rFonts w:cs="Times New Roman"/>
          <w:kern w:val="28"/>
          <w:szCs w:val="24"/>
          <w:lang w:eastAsia="en-GB"/>
        </w:rPr>
        <w:t>nib+trametinib arm. D</w:t>
      </w:r>
      <w:r w:rsidR="00390833" w:rsidRPr="004C2D88">
        <w:rPr>
          <w:rFonts w:cs="Times New Roman"/>
          <w:kern w:val="28"/>
          <w:szCs w:val="24"/>
          <w:lang w:eastAsia="en-GB"/>
        </w:rPr>
        <w:t>uration of follow-up in the vemurafenib arm was not reported.</w:t>
      </w:r>
    </w:p>
    <w:p w:rsidR="00390833" w:rsidRPr="004C2D88" w:rsidRDefault="002506F6" w:rsidP="00465BB6">
      <w:pPr>
        <w:pStyle w:val="TableFooter"/>
        <w:widowControl/>
        <w:rPr>
          <w:lang w:eastAsia="en-GB"/>
        </w:rPr>
      </w:pPr>
      <w:r w:rsidRPr="004C2D88">
        <w:rPr>
          <w:vertAlign w:val="superscript"/>
          <w:lang w:eastAsia="en-GB"/>
        </w:rPr>
        <w:t>e</w:t>
      </w:r>
      <w:r w:rsidRPr="004C2D88">
        <w:rPr>
          <w:lang w:eastAsia="en-GB"/>
        </w:rPr>
        <w:t xml:space="preserve"> </w:t>
      </w:r>
      <w:r w:rsidR="002F51FA" w:rsidRPr="004C2D88">
        <w:rPr>
          <w:lang w:eastAsia="en-GB"/>
        </w:rPr>
        <w:t xml:space="preserve">At data cut-off August 2015 in coBRIM. </w:t>
      </w:r>
      <w:r w:rsidR="00390833" w:rsidRPr="004C2D88">
        <w:rPr>
          <w:lang w:eastAsia="en-GB"/>
        </w:rPr>
        <w:t xml:space="preserve">Median follow-up: 18.5 months in the overall population. </w:t>
      </w:r>
    </w:p>
    <w:p w:rsidR="004607DC" w:rsidRPr="004C2D88" w:rsidRDefault="004607DC" w:rsidP="00465BB6">
      <w:pPr>
        <w:pStyle w:val="TableFooter"/>
        <w:widowControl/>
        <w:rPr>
          <w:lang w:eastAsia="en-GB"/>
        </w:rPr>
      </w:pPr>
      <w:r w:rsidRPr="004C2D88">
        <w:rPr>
          <w:vertAlign w:val="superscript"/>
          <w:lang w:eastAsia="en-GB"/>
        </w:rPr>
        <w:t xml:space="preserve">f </w:t>
      </w:r>
      <w:r w:rsidRPr="004C2D88">
        <w:rPr>
          <w:lang w:eastAsia="en-GB"/>
        </w:rPr>
        <w:t>Provided in the PSCR, Table 1, p5</w:t>
      </w:r>
    </w:p>
    <w:p w:rsidR="00D64A17" w:rsidRDefault="00EB1B67" w:rsidP="00465BB6">
      <w:pPr>
        <w:pStyle w:val="TableFooter"/>
        <w:widowControl/>
      </w:pPr>
      <w:r w:rsidRPr="004C2D88">
        <w:t>Source: Table compiled during the evaluation, based on Table 2.69, p149</w:t>
      </w:r>
      <w:r w:rsidR="00F52996" w:rsidRPr="004C2D88">
        <w:t>, Table 2.41, p102, Figure 2.34, p124 of the submi</w:t>
      </w:r>
      <w:r w:rsidR="00D64A17">
        <w:t>ssion; p5 of Robert et al 2016.</w:t>
      </w:r>
    </w:p>
    <w:p w:rsidR="00D64A17" w:rsidRPr="004C2D88" w:rsidRDefault="00D64A17" w:rsidP="00465BB6">
      <w:pPr>
        <w:pStyle w:val="TableFooter"/>
        <w:widowControl/>
      </w:pPr>
    </w:p>
    <w:p w:rsidR="00390833" w:rsidRPr="004C2D88" w:rsidRDefault="00390833" w:rsidP="00465BB6">
      <w:pPr>
        <w:pStyle w:val="Caption"/>
        <w:keepNext/>
        <w:widowControl/>
        <w:rPr>
          <w:rStyle w:val="CommentReference"/>
          <w:b/>
          <w:bCs w:val="0"/>
        </w:rPr>
      </w:pPr>
      <w:bookmarkStart w:id="20" w:name="_Ref522963502"/>
      <w:r w:rsidRPr="004C2D88">
        <w:rPr>
          <w:rStyle w:val="CommentReference"/>
          <w:b/>
          <w:bCs w:val="0"/>
        </w:rPr>
        <w:t xml:space="preserve">Table </w:t>
      </w:r>
      <w:r w:rsidR="00CC25ED" w:rsidRPr="004C2D88">
        <w:rPr>
          <w:rStyle w:val="CommentReference"/>
          <w:b/>
          <w:bCs w:val="0"/>
        </w:rPr>
        <w:t>8</w:t>
      </w:r>
      <w:bookmarkEnd w:id="20"/>
      <w:r w:rsidRPr="004C2D88">
        <w:rPr>
          <w:rStyle w:val="CommentReference"/>
          <w:b/>
          <w:bCs w:val="0"/>
        </w:rPr>
        <w:t>: Indirect comparison of progression-free survival (investigator assessed)</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677"/>
        <w:gridCol w:w="2092"/>
        <w:gridCol w:w="2185"/>
        <w:gridCol w:w="1590"/>
      </w:tblGrid>
      <w:tr w:rsidR="00390833" w:rsidRPr="004C2D88" w:rsidTr="00B1102B">
        <w:trPr>
          <w:tblHeader/>
        </w:trPr>
        <w:tc>
          <w:tcPr>
            <w:tcW w:w="1348"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rPr>
                <w:b/>
              </w:rPr>
            </w:pPr>
          </w:p>
        </w:tc>
        <w:tc>
          <w:tcPr>
            <w:tcW w:w="170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rPr>
                <w:b/>
              </w:rPr>
            </w:pPr>
            <w:r w:rsidRPr="004C2D88">
              <w:rPr>
                <w:b/>
              </w:rPr>
              <w:t>Trial ID</w:t>
            </w:r>
          </w:p>
        </w:tc>
        <w:tc>
          <w:tcPr>
            <w:tcW w:w="214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rPr>
                <w:b/>
              </w:rPr>
            </w:pPr>
            <w:r w:rsidRPr="004C2D88">
              <w:rPr>
                <w:b/>
              </w:rPr>
              <w:t>Combination therapy, n/N (%)</w:t>
            </w:r>
          </w:p>
        </w:tc>
        <w:tc>
          <w:tcPr>
            <w:tcW w:w="2256"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rPr>
                <w:b/>
              </w:rPr>
            </w:pPr>
            <w:r w:rsidRPr="004C2D88">
              <w:rPr>
                <w:b/>
              </w:rPr>
              <w:t xml:space="preserve">BRAF inhibitor, </w:t>
            </w:r>
            <w:r w:rsidRPr="004C2D88">
              <w:rPr>
                <w:b/>
              </w:rPr>
              <w:br/>
              <w:t>n/N (%)</w:t>
            </w:r>
          </w:p>
        </w:tc>
        <w:tc>
          <w:tcPr>
            <w:tcW w:w="162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rPr>
                <w:b/>
              </w:rPr>
            </w:pPr>
            <w:r w:rsidRPr="004C2D88">
              <w:rPr>
                <w:b/>
              </w:rPr>
              <w:t>Treatment effect, HR (95% CI)</w:t>
            </w:r>
          </w:p>
        </w:tc>
      </w:tr>
      <w:tr w:rsidR="00390833" w:rsidRPr="004C2D88" w:rsidTr="00B1102B">
        <w:trPr>
          <w:trHeight w:val="69"/>
        </w:trPr>
        <w:tc>
          <w:tcPr>
            <w:tcW w:w="1348"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pPr>
            <w:r w:rsidRPr="004C2D88">
              <w:t>E+B vs. V</w:t>
            </w:r>
          </w:p>
        </w:tc>
        <w:tc>
          <w:tcPr>
            <w:tcW w:w="170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pPr>
            <w:r w:rsidRPr="004C2D88">
              <w:t>COLUMBUS</w:t>
            </w:r>
            <w:r w:rsidRPr="004C2D88">
              <w:rPr>
                <w:vertAlign w:val="superscript"/>
              </w:rPr>
              <w:t>a</w:t>
            </w:r>
          </w:p>
        </w:tc>
        <w:tc>
          <w:tcPr>
            <w:tcW w:w="214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117/192 (60.9</w:t>
            </w:r>
            <w:r w:rsidR="007929E9" w:rsidRPr="004C2D88">
              <w:t>%</w:t>
            </w:r>
            <w:r w:rsidRPr="004C2D88">
              <w:t>)</w:t>
            </w:r>
          </w:p>
        </w:tc>
        <w:tc>
          <w:tcPr>
            <w:tcW w:w="2256"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136/191 (71.2</w:t>
            </w:r>
            <w:r w:rsidR="007929E9" w:rsidRPr="004C2D88">
              <w:t>%</w:t>
            </w:r>
            <w:r w:rsidRPr="004C2D88">
              <w:t>)</w:t>
            </w:r>
          </w:p>
        </w:tc>
        <w:tc>
          <w:tcPr>
            <w:tcW w:w="162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0.47 (0.36, 0.60)</w:t>
            </w:r>
          </w:p>
        </w:tc>
      </w:tr>
      <w:tr w:rsidR="00390833" w:rsidRPr="004C2D88" w:rsidTr="00B1102B">
        <w:tc>
          <w:tcPr>
            <w:tcW w:w="1348" w:type="dxa"/>
            <w:vMerge w:val="restar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pPr>
            <w:r w:rsidRPr="004C2D88">
              <w:t>D+T vs. D or V</w:t>
            </w:r>
          </w:p>
        </w:tc>
        <w:tc>
          <w:tcPr>
            <w:tcW w:w="170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pPr>
            <w:r w:rsidRPr="004C2D88">
              <w:t>Pooled</w:t>
            </w:r>
            <w:r w:rsidR="002506F6" w:rsidRPr="004C2D88">
              <w:rPr>
                <w:vertAlign w:val="superscript"/>
              </w:rPr>
              <w:t>b</w:t>
            </w:r>
          </w:p>
        </w:tc>
        <w:tc>
          <w:tcPr>
            <w:tcW w:w="214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w:t>
            </w:r>
          </w:p>
        </w:tc>
        <w:tc>
          <w:tcPr>
            <w:tcW w:w="2256"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w:t>
            </w:r>
          </w:p>
        </w:tc>
        <w:tc>
          <w:tcPr>
            <w:tcW w:w="162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0.65 (0.56, 0.74)</w:t>
            </w:r>
          </w:p>
        </w:tc>
      </w:tr>
      <w:tr w:rsidR="00390833" w:rsidRPr="004C2D88" w:rsidTr="00B1102B">
        <w:tc>
          <w:tcPr>
            <w:tcW w:w="1348" w:type="dxa"/>
            <w:vMerge/>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widowControl/>
              <w:jc w:val="left"/>
              <w:rPr>
                <w:rFonts w:ascii="Arial Narrow" w:hAnsi="Arial Narrow" w:cs="Times New Roman"/>
                <w:sz w:val="20"/>
              </w:rPr>
            </w:pPr>
          </w:p>
        </w:tc>
        <w:tc>
          <w:tcPr>
            <w:tcW w:w="170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pPr>
            <w:r w:rsidRPr="004C2D88">
              <w:t>COMBI-D</w:t>
            </w:r>
            <w:r w:rsidR="002506F6" w:rsidRPr="004C2D88">
              <w:rPr>
                <w:vertAlign w:val="superscript"/>
              </w:rPr>
              <w:t>c</w:t>
            </w:r>
          </w:p>
        </w:tc>
        <w:tc>
          <w:tcPr>
            <w:tcW w:w="214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NR/211</w:t>
            </w:r>
          </w:p>
        </w:tc>
        <w:tc>
          <w:tcPr>
            <w:tcW w:w="2256"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NR/212</w:t>
            </w:r>
          </w:p>
        </w:tc>
        <w:tc>
          <w:tcPr>
            <w:tcW w:w="162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0.71 (0.57, 0.88)</w:t>
            </w:r>
          </w:p>
        </w:tc>
      </w:tr>
      <w:tr w:rsidR="00390833" w:rsidRPr="004C2D88" w:rsidTr="00B1102B">
        <w:tc>
          <w:tcPr>
            <w:tcW w:w="1348" w:type="dxa"/>
            <w:vMerge/>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widowControl/>
              <w:jc w:val="left"/>
              <w:rPr>
                <w:rFonts w:ascii="Arial Narrow" w:hAnsi="Arial Narrow" w:cs="Times New Roman"/>
                <w:sz w:val="20"/>
              </w:rPr>
            </w:pPr>
          </w:p>
        </w:tc>
        <w:tc>
          <w:tcPr>
            <w:tcW w:w="170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pPr>
            <w:r w:rsidRPr="004C2D88">
              <w:t>COMBI-V</w:t>
            </w:r>
            <w:r w:rsidR="002506F6" w:rsidRPr="004C2D88">
              <w:rPr>
                <w:vertAlign w:val="superscript"/>
              </w:rPr>
              <w:t>d</w:t>
            </w:r>
          </w:p>
        </w:tc>
        <w:tc>
          <w:tcPr>
            <w:tcW w:w="214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AF3BBD" w:rsidP="00465BB6">
            <w:pPr>
              <w:pStyle w:val="Tabletext"/>
              <w:jc w:val="center"/>
            </w:pPr>
            <w:r w:rsidRPr="004C2D88">
              <w:t>NR</w:t>
            </w:r>
            <w:r w:rsidR="00390833" w:rsidRPr="004C2D88">
              <w:t>/352</w:t>
            </w:r>
          </w:p>
        </w:tc>
        <w:tc>
          <w:tcPr>
            <w:tcW w:w="2256"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AF3BBD" w:rsidP="00465BB6">
            <w:pPr>
              <w:pStyle w:val="Tabletext"/>
              <w:jc w:val="center"/>
            </w:pPr>
            <w:r w:rsidRPr="004C2D88">
              <w:t>NR</w:t>
            </w:r>
            <w:r w:rsidR="00390833" w:rsidRPr="004C2D88">
              <w:t>/352</w:t>
            </w:r>
          </w:p>
        </w:tc>
        <w:tc>
          <w:tcPr>
            <w:tcW w:w="162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0.61 (0.51, 0.73)</w:t>
            </w:r>
          </w:p>
        </w:tc>
      </w:tr>
      <w:tr w:rsidR="00390833" w:rsidRPr="004C2D88" w:rsidTr="00B1102B">
        <w:tc>
          <w:tcPr>
            <w:tcW w:w="7449" w:type="dxa"/>
            <w:gridSpan w:val="4"/>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rPr>
                <w:b/>
              </w:rPr>
            </w:pPr>
            <w:r w:rsidRPr="004C2D88">
              <w:rPr>
                <w:b/>
              </w:rPr>
              <w:t>Adjusted indirect estimate of effect for encorafenib+binimetinib vs dabrafenib+trametinib</w:t>
            </w:r>
          </w:p>
        </w:tc>
        <w:tc>
          <w:tcPr>
            <w:tcW w:w="162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rPr>
                <w:b/>
              </w:rPr>
            </w:pPr>
            <w:r w:rsidRPr="004C2D88">
              <w:rPr>
                <w:b/>
              </w:rPr>
              <w:t>0.72 (0.54, 0.97)</w:t>
            </w:r>
          </w:p>
        </w:tc>
      </w:tr>
      <w:tr w:rsidR="00390833" w:rsidRPr="004C2D88" w:rsidTr="00B1102B">
        <w:trPr>
          <w:trHeight w:val="69"/>
        </w:trPr>
        <w:tc>
          <w:tcPr>
            <w:tcW w:w="1348"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pPr>
            <w:r w:rsidRPr="004C2D88">
              <w:t>E+B vs. V</w:t>
            </w:r>
          </w:p>
        </w:tc>
        <w:tc>
          <w:tcPr>
            <w:tcW w:w="170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rPr>
                <w:vertAlign w:val="superscript"/>
              </w:rPr>
            </w:pPr>
            <w:r w:rsidRPr="004C2D88">
              <w:t>COLUMBUS</w:t>
            </w:r>
            <w:r w:rsidRPr="004C2D88">
              <w:rPr>
                <w:vertAlign w:val="superscript"/>
              </w:rPr>
              <w:t>a</w:t>
            </w:r>
          </w:p>
        </w:tc>
        <w:tc>
          <w:tcPr>
            <w:tcW w:w="214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117/192 (60.9</w:t>
            </w:r>
            <w:r w:rsidR="007929E9" w:rsidRPr="004C2D88">
              <w:t>%</w:t>
            </w:r>
            <w:r w:rsidRPr="004C2D88">
              <w:t>)</w:t>
            </w:r>
          </w:p>
        </w:tc>
        <w:tc>
          <w:tcPr>
            <w:tcW w:w="2256"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136/191 (71.2</w:t>
            </w:r>
            <w:r w:rsidR="007929E9" w:rsidRPr="004C2D88">
              <w:t>%</w:t>
            </w:r>
            <w:r w:rsidRPr="004C2D88">
              <w:t>)</w:t>
            </w:r>
          </w:p>
        </w:tc>
        <w:tc>
          <w:tcPr>
            <w:tcW w:w="162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0.47 (0.36, 0.60)</w:t>
            </w:r>
          </w:p>
        </w:tc>
      </w:tr>
      <w:tr w:rsidR="00390833" w:rsidRPr="004C2D88" w:rsidTr="00B1102B">
        <w:trPr>
          <w:trHeight w:val="58"/>
        </w:trPr>
        <w:tc>
          <w:tcPr>
            <w:tcW w:w="1348"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pPr>
            <w:r w:rsidRPr="004C2D88">
              <w:t>V+C vs. V</w:t>
            </w:r>
          </w:p>
        </w:tc>
        <w:tc>
          <w:tcPr>
            <w:tcW w:w="1704"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rPr>
                <w:vertAlign w:val="superscript"/>
              </w:rPr>
            </w:pPr>
            <w:r w:rsidRPr="004C2D88">
              <w:t>coBRIM</w:t>
            </w:r>
            <w:r w:rsidR="002506F6" w:rsidRPr="004C2D88">
              <w:rPr>
                <w:vertAlign w:val="superscript"/>
              </w:rPr>
              <w:t>e</w:t>
            </w:r>
          </w:p>
        </w:tc>
        <w:tc>
          <w:tcPr>
            <w:tcW w:w="2141"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143/247 (57.9</w:t>
            </w:r>
            <w:r w:rsidR="007929E9" w:rsidRPr="004C2D88">
              <w:t>%</w:t>
            </w:r>
            <w:r w:rsidRPr="004C2D88">
              <w:t>)</w:t>
            </w:r>
          </w:p>
        </w:tc>
        <w:tc>
          <w:tcPr>
            <w:tcW w:w="2256"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180/248 (72.6</w:t>
            </w:r>
            <w:r w:rsidR="007929E9" w:rsidRPr="004C2D88">
              <w:t>%</w:t>
            </w:r>
            <w:r w:rsidRPr="004C2D88">
              <w:t>)</w:t>
            </w:r>
          </w:p>
        </w:tc>
        <w:tc>
          <w:tcPr>
            <w:tcW w:w="162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rPr>
                <w:b/>
              </w:rPr>
            </w:pPr>
            <w:r w:rsidRPr="004C2D88">
              <w:t>0.58 (0.46, 0.72)</w:t>
            </w:r>
          </w:p>
        </w:tc>
      </w:tr>
      <w:tr w:rsidR="00390833" w:rsidRPr="004C2D88" w:rsidTr="00B1102B">
        <w:tc>
          <w:tcPr>
            <w:tcW w:w="7449" w:type="dxa"/>
            <w:gridSpan w:val="4"/>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ind w:right="-57"/>
              <w:rPr>
                <w:b/>
              </w:rPr>
            </w:pPr>
            <w:r w:rsidRPr="004C2D88">
              <w:rPr>
                <w:b/>
              </w:rPr>
              <w:t>Adjusted indirect estimate of effect for encorafenib+binimetinib vs vemurafenib+cobimetinib</w:t>
            </w:r>
          </w:p>
        </w:tc>
        <w:tc>
          <w:tcPr>
            <w:tcW w:w="1623" w:type="dxa"/>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465BB6">
            <w:pPr>
              <w:pStyle w:val="Tabletext"/>
              <w:jc w:val="center"/>
            </w:pPr>
            <w:r w:rsidRPr="004C2D88">
              <w:t>0.81 (0.58, 1.14)</w:t>
            </w:r>
          </w:p>
        </w:tc>
      </w:tr>
      <w:tr w:rsidR="004607DC" w:rsidRPr="004C2D88" w:rsidTr="00B1102B">
        <w:tc>
          <w:tcPr>
            <w:tcW w:w="7449" w:type="dxa"/>
            <w:gridSpan w:val="4"/>
            <w:tcBorders>
              <w:top w:val="single" w:sz="4" w:space="0" w:color="auto"/>
              <w:left w:val="single" w:sz="4" w:space="0" w:color="auto"/>
              <w:bottom w:val="single" w:sz="4" w:space="0" w:color="auto"/>
              <w:right w:val="single" w:sz="4" w:space="0" w:color="auto"/>
            </w:tcBorders>
            <w:vAlign w:val="center"/>
          </w:tcPr>
          <w:p w:rsidR="004607DC" w:rsidRPr="004C2D88" w:rsidRDefault="004607DC" w:rsidP="00465BB6">
            <w:pPr>
              <w:pStyle w:val="Tabletext"/>
              <w:ind w:right="-57"/>
            </w:pPr>
            <w:r w:rsidRPr="004C2D88">
              <w:t>Adjusted indirect estimate of effect for vemurafenib+cobimetinib vs dabrafenib+trametinib</w:t>
            </w:r>
            <w:r w:rsidRPr="004C2D88">
              <w:rPr>
                <w:vertAlign w:val="superscript"/>
              </w:rPr>
              <w:t>f</w:t>
            </w:r>
          </w:p>
        </w:tc>
        <w:tc>
          <w:tcPr>
            <w:tcW w:w="1623" w:type="dxa"/>
            <w:tcBorders>
              <w:top w:val="single" w:sz="4" w:space="0" w:color="auto"/>
              <w:left w:val="single" w:sz="4" w:space="0" w:color="auto"/>
              <w:bottom w:val="single" w:sz="4" w:space="0" w:color="auto"/>
              <w:right w:val="single" w:sz="4" w:space="0" w:color="auto"/>
            </w:tcBorders>
            <w:vAlign w:val="center"/>
          </w:tcPr>
          <w:p w:rsidR="004607DC" w:rsidRPr="004C2D88" w:rsidRDefault="004607DC" w:rsidP="00465BB6">
            <w:pPr>
              <w:pStyle w:val="Tabletext"/>
              <w:jc w:val="center"/>
            </w:pPr>
            <w:r w:rsidRPr="004C2D88">
              <w:t>0.92 (0.71, 1.20)</w:t>
            </w:r>
          </w:p>
        </w:tc>
      </w:tr>
    </w:tbl>
    <w:p w:rsidR="00390833" w:rsidRPr="004C2D88" w:rsidRDefault="00390833" w:rsidP="00465BB6">
      <w:pPr>
        <w:pStyle w:val="TableFooter"/>
        <w:widowControl/>
      </w:pPr>
      <w:r w:rsidRPr="004C2D88">
        <w:t xml:space="preserve">CI = confidence interval; D = dabrafenib; D+T = dabrafenib+trametinib; E+B = encorafenib+binimetinib; HR = hazard ratio; </w:t>
      </w:r>
      <w:r w:rsidR="0072692A" w:rsidRPr="004C2D88">
        <w:t xml:space="preserve">NR = not reported; </w:t>
      </w:r>
      <w:r w:rsidRPr="004C2D88">
        <w:t>V = vemurafenib; V+C = vemurafenib+cobimetinib</w:t>
      </w:r>
    </w:p>
    <w:p w:rsidR="00F52996" w:rsidRPr="004C2D88" w:rsidRDefault="00F52996" w:rsidP="00465BB6">
      <w:pPr>
        <w:pStyle w:val="TableFooter"/>
        <w:widowControl/>
      </w:pPr>
      <w:r w:rsidRPr="004C2D88">
        <w:rPr>
          <w:vertAlign w:val="superscript"/>
        </w:rPr>
        <w:t>a</w:t>
      </w:r>
      <w:r w:rsidRPr="004C2D88">
        <w:t xml:space="preserve"> At data cut-off November 2017 in COLUMBUS Part 1. Median follow-up: 30.0 months in the Combo 450 arm vs 15.8 months in the vemurafenib. </w:t>
      </w:r>
    </w:p>
    <w:p w:rsidR="002506F6" w:rsidRPr="004C2D88" w:rsidRDefault="00390833" w:rsidP="00465BB6">
      <w:pPr>
        <w:pStyle w:val="TableFooter"/>
        <w:widowControl/>
        <w:rPr>
          <w:vertAlign w:val="superscript"/>
        </w:rPr>
      </w:pPr>
      <w:r w:rsidRPr="004C2D88">
        <w:rPr>
          <w:vertAlign w:val="superscript"/>
        </w:rPr>
        <w:t xml:space="preserve">b </w:t>
      </w:r>
      <w:r w:rsidR="002506F6" w:rsidRPr="004C2D88">
        <w:t>Pooled HR was calculated using fixed effects meta-analysis methodology described by Neyeloff et al.</w:t>
      </w:r>
    </w:p>
    <w:p w:rsidR="00F52996" w:rsidRPr="004C2D88" w:rsidRDefault="00F52996" w:rsidP="00465BB6">
      <w:pPr>
        <w:pStyle w:val="TableFooter"/>
        <w:widowControl/>
      </w:pPr>
      <w:r w:rsidRPr="004C2D88">
        <w:rPr>
          <w:vertAlign w:val="superscript"/>
          <w:lang w:eastAsia="en-GB"/>
        </w:rPr>
        <w:t>c</w:t>
      </w:r>
      <w:r w:rsidRPr="004C2D88">
        <w:t xml:space="preserve"> At data cut-off February 2016 in COMBI-D. </w:t>
      </w:r>
      <w:r w:rsidR="00BB6318" w:rsidRPr="004C2D88">
        <w:t>M</w:t>
      </w:r>
      <w:r w:rsidRPr="004C2D88">
        <w:t>edian follow-up at this cut-off was not reported, but should be longer than 20.0 months in the dabrafenib+trametinib arm and 16.0 months in the dabrafenib arm (median follow-up at an earlier data cut-off January 2015).</w:t>
      </w:r>
    </w:p>
    <w:p w:rsidR="00F52996" w:rsidRPr="004C2D88" w:rsidRDefault="00F52996" w:rsidP="00465BB6">
      <w:pPr>
        <w:pStyle w:val="TableFooter"/>
        <w:widowControl/>
        <w:rPr>
          <w:rFonts w:cs="Times New Roman"/>
          <w:kern w:val="28"/>
          <w:szCs w:val="24"/>
          <w:lang w:eastAsia="en-GB"/>
        </w:rPr>
      </w:pPr>
      <w:r w:rsidRPr="004C2D88">
        <w:rPr>
          <w:vertAlign w:val="superscript"/>
          <w:lang w:eastAsia="en-GB"/>
        </w:rPr>
        <w:t xml:space="preserve">d </w:t>
      </w:r>
      <w:r w:rsidRPr="004C2D88">
        <w:rPr>
          <w:lang w:eastAsia="en-GB"/>
        </w:rPr>
        <w:t xml:space="preserve">At data cut-off July 2016 in COMBI-V. </w:t>
      </w:r>
      <w:r w:rsidRPr="004C2D88">
        <w:rPr>
          <w:rFonts w:cs="Times New Roman"/>
          <w:kern w:val="28"/>
          <w:szCs w:val="24"/>
          <w:lang w:eastAsia="en-GB"/>
        </w:rPr>
        <w:t xml:space="preserve">Median follow-up: 23 months in the dabrafenib+trametinib arm. </w:t>
      </w:r>
      <w:r w:rsidR="00BB6318" w:rsidRPr="004C2D88">
        <w:rPr>
          <w:rFonts w:cs="Times New Roman"/>
          <w:kern w:val="28"/>
          <w:szCs w:val="24"/>
          <w:lang w:eastAsia="en-GB"/>
        </w:rPr>
        <w:t>D</w:t>
      </w:r>
      <w:r w:rsidRPr="004C2D88">
        <w:rPr>
          <w:rFonts w:cs="Times New Roman"/>
          <w:kern w:val="28"/>
          <w:szCs w:val="24"/>
          <w:lang w:eastAsia="en-GB"/>
        </w:rPr>
        <w:t>uration of follow-up in the vemurafenib arm was not reported.</w:t>
      </w:r>
    </w:p>
    <w:p w:rsidR="00EA5855" w:rsidRPr="004C2D88" w:rsidRDefault="00EA5855" w:rsidP="00465BB6">
      <w:pPr>
        <w:pStyle w:val="TableFooter"/>
        <w:widowControl/>
        <w:rPr>
          <w:lang w:eastAsia="en-GB"/>
        </w:rPr>
      </w:pPr>
      <w:r w:rsidRPr="004C2D88">
        <w:rPr>
          <w:vertAlign w:val="superscript"/>
          <w:lang w:eastAsia="en-GB"/>
        </w:rPr>
        <w:t>e</w:t>
      </w:r>
      <w:r w:rsidRPr="004C2D88">
        <w:rPr>
          <w:lang w:eastAsia="en-GB"/>
        </w:rPr>
        <w:t xml:space="preserve"> At data cut-off January 2015 in coBRIM. Median follow-up: 14.2 months in the overall population. </w:t>
      </w:r>
    </w:p>
    <w:p w:rsidR="004607DC" w:rsidRPr="004C2D88" w:rsidRDefault="004607DC" w:rsidP="00465BB6">
      <w:pPr>
        <w:pStyle w:val="TableFooter"/>
        <w:widowControl/>
        <w:rPr>
          <w:lang w:eastAsia="en-GB"/>
        </w:rPr>
      </w:pPr>
      <w:r w:rsidRPr="004C2D88">
        <w:rPr>
          <w:vertAlign w:val="superscript"/>
          <w:lang w:eastAsia="en-GB"/>
        </w:rPr>
        <w:t xml:space="preserve">f </w:t>
      </w:r>
      <w:r w:rsidRPr="004C2D88">
        <w:rPr>
          <w:lang w:eastAsia="en-GB"/>
        </w:rPr>
        <w:t>Provided in the PSCR, Table 1, p5</w:t>
      </w:r>
    </w:p>
    <w:p w:rsidR="00EB1B67" w:rsidRPr="004C2D88" w:rsidRDefault="00EB1B67" w:rsidP="00465BB6">
      <w:pPr>
        <w:pStyle w:val="TableFooter"/>
        <w:widowControl/>
      </w:pPr>
      <w:r w:rsidRPr="004C2D88">
        <w:t>Source: Table compiled during the evaluation, based on Table 2.72, p151</w:t>
      </w:r>
      <w:r w:rsidR="00F52996" w:rsidRPr="004C2D88">
        <w:t xml:space="preserve">, </w:t>
      </w:r>
      <w:r w:rsidR="003A10E0" w:rsidRPr="004C2D88">
        <w:t>Figure 2.7, p93, Figure 2.33, p123 of the submission</w:t>
      </w:r>
      <w:r w:rsidRPr="004C2D88">
        <w:t>.</w:t>
      </w:r>
    </w:p>
    <w:p w:rsidR="00390833" w:rsidRPr="004C2D88" w:rsidRDefault="00390833" w:rsidP="00465BB6">
      <w:pPr>
        <w:widowControl/>
        <w:rPr>
          <w:rFonts w:ascii="Arial Narrow" w:hAnsi="Arial Narrow"/>
          <w:sz w:val="18"/>
        </w:rPr>
      </w:pPr>
    </w:p>
    <w:p w:rsidR="00390833" w:rsidRPr="004C2D88" w:rsidRDefault="00390833" w:rsidP="00D073C6">
      <w:pPr>
        <w:pStyle w:val="ListParagraph"/>
        <w:widowControl/>
        <w:numPr>
          <w:ilvl w:val="1"/>
          <w:numId w:val="4"/>
        </w:numPr>
        <w:snapToGrid w:val="0"/>
        <w:spacing w:after="120"/>
      </w:pPr>
      <w:r w:rsidRPr="004C2D88">
        <w:rPr>
          <w:shd w:val="clear" w:color="auto" w:fill="FFFFFF" w:themeFill="background1"/>
        </w:rPr>
        <w:t xml:space="preserve">The </w:t>
      </w:r>
      <w:r w:rsidR="0072692A" w:rsidRPr="004C2D88">
        <w:rPr>
          <w:shd w:val="clear" w:color="auto" w:fill="FFFFFF" w:themeFill="background1"/>
        </w:rPr>
        <w:t>hazard ratio (</w:t>
      </w:r>
      <w:r w:rsidRPr="004C2D88">
        <w:rPr>
          <w:shd w:val="clear" w:color="auto" w:fill="FFFFFF" w:themeFill="background1"/>
        </w:rPr>
        <w:t>HR</w:t>
      </w:r>
      <w:r w:rsidR="0072692A" w:rsidRPr="004C2D88">
        <w:rPr>
          <w:shd w:val="clear" w:color="auto" w:fill="FFFFFF" w:themeFill="background1"/>
        </w:rPr>
        <w:t>)</w:t>
      </w:r>
      <w:r w:rsidRPr="004C2D88">
        <w:rPr>
          <w:shd w:val="clear" w:color="auto" w:fill="FFFFFF" w:themeFill="background1"/>
        </w:rPr>
        <w:t xml:space="preserve"> for PFS and OS from the indirect comparisons numerically favoured encorafenib+binimetinib, compared with dabrafenib+trametinib and with vemurafenib+cobimetinib. The differences did not reach statistical significance except PFS for encorafenib+binimetinib versus dabrafenib</w:t>
      </w:r>
      <w:r w:rsidR="0072692A" w:rsidRPr="004C2D88">
        <w:rPr>
          <w:shd w:val="clear" w:color="auto" w:fill="FFFFFF" w:themeFill="background1"/>
        </w:rPr>
        <w:t>+trametinib</w:t>
      </w:r>
      <w:r w:rsidRPr="004C2D88">
        <w:rPr>
          <w:shd w:val="clear" w:color="auto" w:fill="FFFFFF" w:themeFill="background1"/>
        </w:rPr>
        <w:t>.</w:t>
      </w:r>
      <w:r w:rsidR="00693EC2" w:rsidRPr="004C2D88">
        <w:t xml:space="preserve"> </w:t>
      </w:r>
      <w:r w:rsidR="00012255" w:rsidRPr="004C2D88">
        <w:t xml:space="preserve">The submission did not establish </w:t>
      </w:r>
      <w:r w:rsidRPr="004C2D88">
        <w:t>non-inferiority margin</w:t>
      </w:r>
      <w:r w:rsidR="00012255" w:rsidRPr="004C2D88">
        <w:t>s</w:t>
      </w:r>
      <w:r w:rsidRPr="004C2D88">
        <w:t xml:space="preserve"> </w:t>
      </w:r>
      <w:r w:rsidR="00012255" w:rsidRPr="004C2D88">
        <w:t>or minimal clinically important differences for the outcomes</w:t>
      </w:r>
      <w:r w:rsidRPr="004C2D88">
        <w:t>. It is unclear whether the 95% CIs from</w:t>
      </w:r>
      <w:r w:rsidR="00AD7DD5" w:rsidRPr="004C2D88">
        <w:t xml:space="preserve"> the</w:t>
      </w:r>
      <w:r w:rsidRPr="004C2D88">
        <w:t xml:space="preserve"> indirect comparisons included a clinically important difference.</w:t>
      </w:r>
    </w:p>
    <w:p w:rsidR="00390833" w:rsidRPr="004C2D88" w:rsidRDefault="00390833" w:rsidP="00D073C6">
      <w:pPr>
        <w:pStyle w:val="ListParagraph"/>
        <w:widowControl/>
        <w:numPr>
          <w:ilvl w:val="1"/>
          <w:numId w:val="4"/>
        </w:numPr>
        <w:snapToGrid w:val="0"/>
        <w:spacing w:after="120"/>
      </w:pPr>
      <w:r w:rsidRPr="004C2D88">
        <w:t xml:space="preserve">Given the transitivity issues, </w:t>
      </w:r>
      <w:r w:rsidR="0002680B" w:rsidRPr="004C2D88">
        <w:t xml:space="preserve">the evaluation considered that </w:t>
      </w:r>
      <w:r w:rsidRPr="004C2D88">
        <w:t xml:space="preserve">comparative treatment effects generated from indirect comparisons of encorafenib+binimetinib with dabrafenib+trametinib and encorafenib+binimetinib with vemurafenib+cobimetinib could </w:t>
      </w:r>
      <w:r w:rsidR="00AD7DD5" w:rsidRPr="004C2D88">
        <w:t xml:space="preserve">be </w:t>
      </w:r>
      <w:r w:rsidRPr="004C2D88">
        <w:t xml:space="preserve">biased and should </w:t>
      </w:r>
      <w:r w:rsidR="0072692A" w:rsidRPr="004C2D88">
        <w:t xml:space="preserve">be </w:t>
      </w:r>
      <w:r w:rsidRPr="004C2D88">
        <w:t>interpreted with caution.</w:t>
      </w:r>
    </w:p>
    <w:p w:rsidR="00390833" w:rsidRPr="004C2D88" w:rsidRDefault="0072692A" w:rsidP="00465BB6">
      <w:pPr>
        <w:pStyle w:val="Heading2"/>
        <w:widowControl/>
      </w:pPr>
      <w:bookmarkStart w:id="21" w:name="_Toc371170707"/>
      <w:bookmarkStart w:id="22" w:name="_Toc524515813"/>
      <w:r w:rsidRPr="004C2D88">
        <w:lastRenderedPageBreak/>
        <w:t>Comparative</w:t>
      </w:r>
      <w:r w:rsidR="00390833" w:rsidRPr="004C2D88">
        <w:t xml:space="preserve"> harms</w:t>
      </w:r>
      <w:bookmarkEnd w:id="21"/>
      <w:bookmarkEnd w:id="22"/>
    </w:p>
    <w:p w:rsidR="00390833" w:rsidRPr="004C2D88" w:rsidRDefault="00390833" w:rsidP="00D073C6">
      <w:pPr>
        <w:pStyle w:val="ListParagraph"/>
        <w:keepNext/>
        <w:widowControl/>
        <w:numPr>
          <w:ilvl w:val="1"/>
          <w:numId w:val="4"/>
        </w:numPr>
        <w:snapToGrid w:val="0"/>
      </w:pPr>
      <w:r w:rsidRPr="004C2D88">
        <w:t xml:space="preserve">The key safety data observed from COLUMBUS PART </w:t>
      </w:r>
      <w:r w:rsidR="00AF3BBD" w:rsidRPr="004C2D88">
        <w:t>1</w:t>
      </w:r>
      <w:r w:rsidRPr="004C2D88">
        <w:t xml:space="preserve"> are summarised below.</w:t>
      </w:r>
    </w:p>
    <w:p w:rsidR="00390833" w:rsidRPr="004C2D88" w:rsidRDefault="00390833" w:rsidP="00465BB6">
      <w:pPr>
        <w:pStyle w:val="Caption"/>
        <w:keepNext/>
        <w:widowControl/>
        <w:jc w:val="left"/>
        <w:rPr>
          <w:rStyle w:val="CommentReference"/>
          <w:b/>
          <w:bCs w:val="0"/>
        </w:rPr>
      </w:pPr>
      <w:bookmarkStart w:id="23" w:name="_Ref523132317"/>
      <w:r w:rsidRPr="004C2D88">
        <w:rPr>
          <w:rStyle w:val="CommentReference"/>
          <w:b/>
          <w:bCs w:val="0"/>
        </w:rPr>
        <w:t xml:space="preserve">Table </w:t>
      </w:r>
      <w:r w:rsidR="00CC25ED" w:rsidRPr="004C2D88">
        <w:rPr>
          <w:rStyle w:val="CommentReference"/>
          <w:b/>
          <w:bCs w:val="0"/>
        </w:rPr>
        <w:t>9</w:t>
      </w:r>
      <w:bookmarkEnd w:id="23"/>
      <w:r w:rsidRPr="004C2D88">
        <w:rPr>
          <w:rStyle w:val="CommentReference"/>
          <w:b/>
          <w:bCs w:val="0"/>
        </w:rPr>
        <w:t>: Summary of deaths and adverse events in COLUMBUS Part 1 (7 November 2017 cut-off)</w:t>
      </w:r>
      <w:r w:rsidRPr="004C2D88">
        <w:rPr>
          <w:rStyle w:val="CommentReference"/>
          <w:b/>
          <w:bCs w:val="0"/>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66"/>
        <w:gridCol w:w="1127"/>
        <w:gridCol w:w="1125"/>
        <w:gridCol w:w="1127"/>
        <w:gridCol w:w="1127"/>
        <w:gridCol w:w="1105"/>
      </w:tblGrid>
      <w:tr w:rsidR="00390833" w:rsidRPr="004C2D88" w:rsidTr="00D6090F">
        <w:trPr>
          <w:trHeight w:val="329"/>
        </w:trPr>
        <w:tc>
          <w:tcPr>
            <w:tcW w:w="1186" w:type="pct"/>
            <w:vMerge w:val="restart"/>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keepNext/>
              <w:widowControl/>
              <w:jc w:val="left"/>
              <w:rPr>
                <w:rFonts w:ascii="Arial Narrow" w:hAnsi="Arial Narrow"/>
                <w:b/>
                <w:sz w:val="20"/>
                <w:szCs w:val="20"/>
              </w:rPr>
            </w:pPr>
          </w:p>
        </w:tc>
        <w:tc>
          <w:tcPr>
            <w:tcW w:w="1327" w:type="pct"/>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Combo 450</w:t>
            </w:r>
            <w:r w:rsidR="00C1730F" w:rsidRPr="004C2D88">
              <w:rPr>
                <w:rFonts w:ascii="Arial Narrow" w:hAnsi="Arial Narrow"/>
                <w:b/>
                <w:sz w:val="20"/>
                <w:szCs w:val="20"/>
              </w:rPr>
              <w:t xml:space="preserve"> (E+B)</w:t>
            </w:r>
            <w:r w:rsidRPr="004C2D88">
              <w:rPr>
                <w:rFonts w:ascii="Arial Narrow" w:hAnsi="Arial Narrow"/>
                <w:b/>
                <w:sz w:val="20"/>
                <w:szCs w:val="20"/>
              </w:rPr>
              <w:br/>
              <w:t>N = 192</w:t>
            </w:r>
          </w:p>
        </w:tc>
        <w:tc>
          <w:tcPr>
            <w:tcW w:w="1249" w:type="pct"/>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Vemurafenib</w:t>
            </w:r>
          </w:p>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N = 186</w:t>
            </w:r>
          </w:p>
        </w:tc>
        <w:tc>
          <w:tcPr>
            <w:tcW w:w="1238" w:type="pct"/>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Encorafenib</w:t>
            </w:r>
          </w:p>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N = 192</w:t>
            </w:r>
          </w:p>
        </w:tc>
      </w:tr>
      <w:tr w:rsidR="00390833" w:rsidRPr="004C2D88" w:rsidTr="00D6090F">
        <w:tc>
          <w:tcPr>
            <w:tcW w:w="118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left"/>
              <w:rPr>
                <w:rFonts w:ascii="Arial Narrow" w:hAnsi="Arial Narrow"/>
                <w:b/>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All grades</w:t>
            </w:r>
          </w:p>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n (%)</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Grade 3/4</w:t>
            </w:r>
          </w:p>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n (%)</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All grades</w:t>
            </w:r>
          </w:p>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n (%)</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Grade 3/4</w:t>
            </w:r>
          </w:p>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n (%)</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All grades</w:t>
            </w:r>
          </w:p>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n (%)</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hideMark/>
          </w:tcPr>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Grade 3/4</w:t>
            </w:r>
          </w:p>
          <w:p w:rsidR="00390833" w:rsidRPr="004C2D88" w:rsidRDefault="00390833" w:rsidP="00465BB6">
            <w:pPr>
              <w:keepNext/>
              <w:widowControl/>
              <w:jc w:val="center"/>
              <w:rPr>
                <w:rFonts w:ascii="Arial Narrow" w:hAnsi="Arial Narrow"/>
                <w:b/>
                <w:sz w:val="20"/>
                <w:szCs w:val="20"/>
              </w:rPr>
            </w:pPr>
            <w:r w:rsidRPr="004C2D88">
              <w:rPr>
                <w:rFonts w:ascii="Arial Narrow" w:hAnsi="Arial Narrow"/>
                <w:b/>
                <w:sz w:val="20"/>
                <w:szCs w:val="20"/>
              </w:rPr>
              <w:t>n (%)</w:t>
            </w:r>
          </w:p>
        </w:tc>
      </w:tr>
      <w:tr w:rsidR="00D6090F" w:rsidRPr="004C2D88" w:rsidTr="00D6090F">
        <w:tc>
          <w:tcPr>
            <w:tcW w:w="118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keepNext/>
              <w:widowControl/>
              <w:jc w:val="left"/>
              <w:rPr>
                <w:rFonts w:ascii="Arial Narrow" w:hAnsi="Arial Narrow"/>
                <w:sz w:val="20"/>
                <w:szCs w:val="20"/>
                <w:vertAlign w:val="superscript"/>
              </w:rPr>
            </w:pPr>
            <w:r w:rsidRPr="004C2D88">
              <w:rPr>
                <w:rFonts w:ascii="Arial Narrow" w:hAnsi="Arial Narrow"/>
                <w:sz w:val="20"/>
                <w:szCs w:val="20"/>
              </w:rPr>
              <w:t>On-treatment deaths</w:t>
            </w:r>
            <w:r w:rsidRPr="004C2D88">
              <w:rPr>
                <w:rFonts w:ascii="Arial Narrow" w:hAnsi="Arial Narrow"/>
                <w:sz w:val="20"/>
                <w:szCs w:val="20"/>
                <w:vertAlign w:val="superscript"/>
              </w:rPr>
              <w:t>b</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23 (12.0</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580EDE" w:rsidP="00465BB6">
            <w:pPr>
              <w:keepNext/>
              <w:widowControl/>
              <w:jc w:val="center"/>
              <w:rPr>
                <w:rFonts w:ascii="Arial Narrow" w:hAnsi="Arial Narrow"/>
                <w:sz w:val="20"/>
                <w:szCs w:val="20"/>
              </w:rPr>
            </w:pPr>
            <w:r w:rsidRPr="004C2D88">
              <w:rPr>
                <w:rFonts w:ascii="Arial Narrow" w:hAnsi="Arial Narrow"/>
                <w:sz w:val="20"/>
                <w:szCs w:val="20"/>
              </w:rPr>
              <w:t>–</w:t>
            </w:r>
          </w:p>
        </w:tc>
        <w:tc>
          <w:tcPr>
            <w:tcW w:w="62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20 (10.8</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580EDE" w:rsidP="00465BB6">
            <w:pPr>
              <w:keepNext/>
              <w:widowControl/>
              <w:jc w:val="center"/>
              <w:rPr>
                <w:rFonts w:ascii="Arial Narrow" w:hAnsi="Arial Narrow"/>
                <w:sz w:val="20"/>
                <w:szCs w:val="20"/>
              </w:rPr>
            </w:pP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16 (8.3</w:t>
            </w:r>
            <w:r w:rsidR="002A2D8D" w:rsidRPr="004C2D88">
              <w:rPr>
                <w:rFonts w:ascii="Arial Narrow" w:hAnsi="Arial Narrow"/>
                <w:sz w:val="20"/>
                <w:szCs w:val="20"/>
              </w:rPr>
              <w:t>%</w:t>
            </w:r>
            <w:r w:rsidRPr="004C2D88">
              <w:rPr>
                <w:rFonts w:ascii="Arial Narrow" w:hAnsi="Arial Narrow"/>
                <w:sz w:val="20"/>
                <w:szCs w:val="20"/>
              </w:rPr>
              <w:t>)</w:t>
            </w:r>
          </w:p>
        </w:tc>
        <w:tc>
          <w:tcPr>
            <w:tcW w:w="61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580EDE" w:rsidP="00465BB6">
            <w:pPr>
              <w:keepNext/>
              <w:widowControl/>
              <w:jc w:val="center"/>
              <w:rPr>
                <w:rFonts w:ascii="Arial Narrow" w:hAnsi="Arial Narrow"/>
                <w:sz w:val="20"/>
                <w:szCs w:val="20"/>
              </w:rPr>
            </w:pPr>
            <w:r w:rsidRPr="004C2D88">
              <w:rPr>
                <w:rFonts w:ascii="Arial Narrow" w:hAnsi="Arial Narrow"/>
                <w:sz w:val="20"/>
                <w:szCs w:val="20"/>
              </w:rPr>
              <w:t>–</w:t>
            </w:r>
          </w:p>
        </w:tc>
      </w:tr>
      <w:tr w:rsidR="00D6090F" w:rsidRPr="004C2D88" w:rsidTr="00D6090F">
        <w:tc>
          <w:tcPr>
            <w:tcW w:w="118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237EDB" w:rsidP="00465BB6">
            <w:pPr>
              <w:keepNext/>
              <w:widowControl/>
              <w:jc w:val="left"/>
              <w:rPr>
                <w:rFonts w:ascii="Arial Narrow" w:hAnsi="Arial Narrow"/>
                <w:sz w:val="20"/>
                <w:szCs w:val="20"/>
              </w:rPr>
            </w:pPr>
            <w:r w:rsidRPr="004C2D88">
              <w:rPr>
                <w:rFonts w:ascii="Arial Narrow" w:hAnsi="Arial Narrow"/>
                <w:sz w:val="20"/>
                <w:szCs w:val="20"/>
              </w:rPr>
              <w:t xml:space="preserve">Any </w:t>
            </w:r>
            <w:r w:rsidR="00390833" w:rsidRPr="004C2D88">
              <w:rPr>
                <w:rFonts w:ascii="Arial Narrow" w:hAnsi="Arial Narrow"/>
                <w:sz w:val="20"/>
                <w:szCs w:val="20"/>
              </w:rPr>
              <w:t>AEs</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189 (98.4</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123 (64.1</w:t>
            </w:r>
            <w:r w:rsidR="002A2D8D" w:rsidRPr="004C2D88">
              <w:rPr>
                <w:rFonts w:ascii="Arial Narrow" w:hAnsi="Arial Narrow"/>
                <w:sz w:val="20"/>
                <w:szCs w:val="20"/>
              </w:rPr>
              <w:t>%</w:t>
            </w:r>
            <w:r w:rsidRPr="004C2D88">
              <w:rPr>
                <w:rFonts w:ascii="Arial Narrow" w:hAnsi="Arial Narrow"/>
                <w:sz w:val="20"/>
                <w:szCs w:val="20"/>
              </w:rPr>
              <w:t>)</w:t>
            </w:r>
          </w:p>
        </w:tc>
        <w:tc>
          <w:tcPr>
            <w:tcW w:w="62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186 (100</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122 (65.6</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191 (99.5</w:t>
            </w:r>
            <w:r w:rsidR="002A2D8D" w:rsidRPr="004C2D88">
              <w:rPr>
                <w:rFonts w:ascii="Arial Narrow" w:hAnsi="Arial Narrow"/>
                <w:sz w:val="20"/>
                <w:szCs w:val="20"/>
              </w:rPr>
              <w:t>%</w:t>
            </w:r>
            <w:r w:rsidRPr="004C2D88">
              <w:rPr>
                <w:rFonts w:ascii="Arial Narrow" w:hAnsi="Arial Narrow"/>
                <w:sz w:val="20"/>
                <w:szCs w:val="20"/>
              </w:rPr>
              <w:t>)</w:t>
            </w:r>
          </w:p>
        </w:tc>
        <w:tc>
          <w:tcPr>
            <w:tcW w:w="61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129 (67.2</w:t>
            </w:r>
            <w:r w:rsidR="002A2D8D" w:rsidRPr="004C2D88">
              <w:rPr>
                <w:rFonts w:ascii="Arial Narrow" w:hAnsi="Arial Narrow"/>
                <w:sz w:val="20"/>
                <w:szCs w:val="20"/>
              </w:rPr>
              <w:t>%</w:t>
            </w:r>
            <w:r w:rsidRPr="004C2D88">
              <w:rPr>
                <w:rFonts w:ascii="Arial Narrow" w:hAnsi="Arial Narrow"/>
                <w:sz w:val="20"/>
                <w:szCs w:val="20"/>
              </w:rPr>
              <w:t>)</w:t>
            </w:r>
          </w:p>
        </w:tc>
      </w:tr>
      <w:tr w:rsidR="00D6090F" w:rsidRPr="004C2D88" w:rsidTr="00D6090F">
        <w:tc>
          <w:tcPr>
            <w:tcW w:w="118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keepNext/>
              <w:widowControl/>
              <w:jc w:val="left"/>
              <w:rPr>
                <w:rFonts w:ascii="Arial Narrow" w:hAnsi="Arial Narrow"/>
                <w:sz w:val="20"/>
                <w:szCs w:val="20"/>
              </w:rPr>
            </w:pPr>
            <w:r w:rsidRPr="004C2D88">
              <w:rPr>
                <w:rFonts w:ascii="Arial Narrow" w:hAnsi="Arial Narrow"/>
                <w:sz w:val="20"/>
                <w:szCs w:val="20"/>
              </w:rPr>
              <w:t>Serious AEs</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74 (38.5</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65 (33.9</w:t>
            </w:r>
            <w:r w:rsidR="002A2D8D" w:rsidRPr="004C2D88">
              <w:rPr>
                <w:rFonts w:ascii="Arial Narrow" w:hAnsi="Arial Narrow"/>
                <w:sz w:val="20"/>
                <w:szCs w:val="20"/>
              </w:rPr>
              <w:t>%</w:t>
            </w:r>
            <w:r w:rsidRPr="004C2D88">
              <w:rPr>
                <w:rFonts w:ascii="Arial Narrow" w:hAnsi="Arial Narrow"/>
                <w:sz w:val="20"/>
                <w:szCs w:val="20"/>
              </w:rPr>
              <w:t>)</w:t>
            </w:r>
          </w:p>
        </w:tc>
        <w:tc>
          <w:tcPr>
            <w:tcW w:w="62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75 (40.3</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63 (33.9</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69 (35.9</w:t>
            </w:r>
            <w:r w:rsidR="002A2D8D" w:rsidRPr="004C2D88">
              <w:rPr>
                <w:rFonts w:ascii="Arial Narrow" w:hAnsi="Arial Narrow"/>
                <w:sz w:val="20"/>
                <w:szCs w:val="20"/>
              </w:rPr>
              <w:t>%</w:t>
            </w:r>
            <w:r w:rsidRPr="004C2D88">
              <w:rPr>
                <w:rFonts w:ascii="Arial Narrow" w:hAnsi="Arial Narrow"/>
                <w:sz w:val="20"/>
                <w:szCs w:val="20"/>
              </w:rPr>
              <w:t>)</w:t>
            </w:r>
          </w:p>
        </w:tc>
        <w:tc>
          <w:tcPr>
            <w:tcW w:w="61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58 (30.2</w:t>
            </w:r>
            <w:r w:rsidR="002A2D8D" w:rsidRPr="004C2D88">
              <w:rPr>
                <w:rFonts w:ascii="Arial Narrow" w:hAnsi="Arial Narrow"/>
                <w:sz w:val="20"/>
                <w:szCs w:val="20"/>
              </w:rPr>
              <w:t>%</w:t>
            </w:r>
            <w:r w:rsidRPr="004C2D88">
              <w:rPr>
                <w:rFonts w:ascii="Arial Narrow" w:hAnsi="Arial Narrow"/>
                <w:sz w:val="20"/>
                <w:szCs w:val="20"/>
              </w:rPr>
              <w:t>)</w:t>
            </w:r>
          </w:p>
        </w:tc>
      </w:tr>
      <w:tr w:rsidR="00D6090F" w:rsidRPr="004C2D88" w:rsidTr="00D6090F">
        <w:tc>
          <w:tcPr>
            <w:tcW w:w="118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keepNext/>
              <w:widowControl/>
              <w:jc w:val="left"/>
              <w:rPr>
                <w:rFonts w:ascii="Arial Narrow" w:hAnsi="Arial Narrow"/>
                <w:sz w:val="20"/>
                <w:szCs w:val="20"/>
              </w:rPr>
            </w:pPr>
            <w:r w:rsidRPr="004C2D88">
              <w:rPr>
                <w:rFonts w:ascii="Arial Narrow" w:hAnsi="Arial Narrow"/>
                <w:sz w:val="20"/>
                <w:szCs w:val="20"/>
              </w:rPr>
              <w:t>AEs leading to discontinuation</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29 (15.1</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24 (12.5</w:t>
            </w:r>
            <w:r w:rsidR="002A2D8D" w:rsidRPr="004C2D88">
              <w:rPr>
                <w:rFonts w:ascii="Arial Narrow" w:hAnsi="Arial Narrow"/>
                <w:sz w:val="20"/>
                <w:szCs w:val="20"/>
              </w:rPr>
              <w:t>%</w:t>
            </w:r>
            <w:r w:rsidRPr="004C2D88">
              <w:rPr>
                <w:rFonts w:ascii="Arial Narrow" w:hAnsi="Arial Narrow"/>
                <w:sz w:val="20"/>
                <w:szCs w:val="20"/>
              </w:rPr>
              <w:t>)</w:t>
            </w:r>
          </w:p>
        </w:tc>
        <w:tc>
          <w:tcPr>
            <w:tcW w:w="62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32 (17.2</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19 (10.2</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29 (15.1</w:t>
            </w:r>
            <w:r w:rsidR="002A2D8D" w:rsidRPr="004C2D88">
              <w:rPr>
                <w:rFonts w:ascii="Arial Narrow" w:hAnsi="Arial Narrow"/>
                <w:sz w:val="20"/>
                <w:szCs w:val="20"/>
              </w:rPr>
              <w:t>%</w:t>
            </w:r>
            <w:r w:rsidRPr="004C2D88">
              <w:rPr>
                <w:rFonts w:ascii="Arial Narrow" w:hAnsi="Arial Narrow"/>
                <w:sz w:val="20"/>
                <w:szCs w:val="20"/>
              </w:rPr>
              <w:t>)</w:t>
            </w:r>
          </w:p>
        </w:tc>
        <w:tc>
          <w:tcPr>
            <w:tcW w:w="61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22 (11.5</w:t>
            </w:r>
            <w:r w:rsidR="002A2D8D" w:rsidRPr="004C2D88">
              <w:rPr>
                <w:rFonts w:ascii="Arial Narrow" w:hAnsi="Arial Narrow"/>
                <w:sz w:val="20"/>
                <w:szCs w:val="20"/>
              </w:rPr>
              <w:t>%</w:t>
            </w:r>
            <w:r w:rsidRPr="004C2D88">
              <w:rPr>
                <w:rFonts w:ascii="Arial Narrow" w:hAnsi="Arial Narrow"/>
                <w:sz w:val="20"/>
                <w:szCs w:val="20"/>
              </w:rPr>
              <w:t>)</w:t>
            </w:r>
          </w:p>
        </w:tc>
      </w:tr>
      <w:tr w:rsidR="00D6090F" w:rsidRPr="004C2D88" w:rsidTr="00D6090F">
        <w:tc>
          <w:tcPr>
            <w:tcW w:w="118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keepNext/>
              <w:widowControl/>
              <w:jc w:val="left"/>
              <w:rPr>
                <w:rFonts w:ascii="Arial Narrow" w:hAnsi="Arial Narrow"/>
                <w:sz w:val="20"/>
                <w:szCs w:val="20"/>
              </w:rPr>
            </w:pPr>
            <w:r w:rsidRPr="004C2D88">
              <w:rPr>
                <w:rFonts w:ascii="Arial Narrow" w:hAnsi="Arial Narrow"/>
                <w:sz w:val="20"/>
                <w:szCs w:val="20"/>
              </w:rPr>
              <w:t>AEs requiring dose interruption</w:t>
            </w:r>
            <w:r w:rsidR="00D50317" w:rsidRPr="004C2D88">
              <w:rPr>
                <w:rFonts w:ascii="Arial Narrow" w:hAnsi="Arial Narrow"/>
                <w:sz w:val="20"/>
                <w:szCs w:val="20"/>
              </w:rPr>
              <w:t>/</w:t>
            </w:r>
            <w:r w:rsidRPr="004C2D88">
              <w:rPr>
                <w:rFonts w:ascii="Arial Narrow" w:hAnsi="Arial Narrow"/>
                <w:sz w:val="20"/>
                <w:szCs w:val="20"/>
              </w:rPr>
              <w:t>adjustment</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102 (53.1</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67 (34.9</w:t>
            </w:r>
            <w:r w:rsidR="002A2D8D" w:rsidRPr="004C2D88">
              <w:rPr>
                <w:rFonts w:ascii="Arial Narrow" w:hAnsi="Arial Narrow"/>
                <w:sz w:val="20"/>
                <w:szCs w:val="20"/>
              </w:rPr>
              <w:t>%</w:t>
            </w:r>
            <w:r w:rsidRPr="004C2D88">
              <w:rPr>
                <w:rFonts w:ascii="Arial Narrow" w:hAnsi="Arial Narrow"/>
                <w:sz w:val="20"/>
                <w:szCs w:val="20"/>
              </w:rPr>
              <w:t>)</w:t>
            </w:r>
          </w:p>
        </w:tc>
        <w:tc>
          <w:tcPr>
            <w:tcW w:w="62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115 (61.8</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72 (38.7</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137 (71.4</w:t>
            </w:r>
            <w:r w:rsidR="002A2D8D" w:rsidRPr="004C2D88">
              <w:rPr>
                <w:rFonts w:ascii="Arial Narrow" w:hAnsi="Arial Narrow"/>
                <w:sz w:val="20"/>
                <w:szCs w:val="20"/>
              </w:rPr>
              <w:t>%</w:t>
            </w:r>
            <w:r w:rsidRPr="004C2D88">
              <w:rPr>
                <w:rFonts w:ascii="Arial Narrow" w:hAnsi="Arial Narrow"/>
                <w:sz w:val="20"/>
                <w:szCs w:val="20"/>
              </w:rPr>
              <w:t>)</w:t>
            </w:r>
          </w:p>
        </w:tc>
        <w:tc>
          <w:tcPr>
            <w:tcW w:w="61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88 (45.8</w:t>
            </w:r>
            <w:r w:rsidR="002A2D8D" w:rsidRPr="004C2D88">
              <w:rPr>
                <w:rFonts w:ascii="Arial Narrow" w:hAnsi="Arial Narrow"/>
                <w:sz w:val="20"/>
                <w:szCs w:val="20"/>
              </w:rPr>
              <w:t>%</w:t>
            </w:r>
            <w:r w:rsidRPr="004C2D88">
              <w:rPr>
                <w:rFonts w:ascii="Arial Narrow" w:hAnsi="Arial Narrow"/>
                <w:sz w:val="20"/>
                <w:szCs w:val="20"/>
              </w:rPr>
              <w:t>)</w:t>
            </w:r>
          </w:p>
        </w:tc>
      </w:tr>
      <w:tr w:rsidR="00D6090F" w:rsidRPr="004C2D88" w:rsidTr="00D6090F">
        <w:tc>
          <w:tcPr>
            <w:tcW w:w="118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keepNext/>
              <w:widowControl/>
              <w:jc w:val="left"/>
              <w:rPr>
                <w:rFonts w:ascii="Arial Narrow" w:hAnsi="Arial Narrow"/>
                <w:sz w:val="20"/>
                <w:szCs w:val="20"/>
              </w:rPr>
            </w:pPr>
            <w:r w:rsidRPr="004C2D88">
              <w:rPr>
                <w:rFonts w:ascii="Arial Narrow" w:hAnsi="Arial Narrow"/>
                <w:sz w:val="20"/>
                <w:szCs w:val="20"/>
              </w:rPr>
              <w:t>AEs requiring additional therapy</w:t>
            </w:r>
            <w:r w:rsidR="00330AA1" w:rsidRPr="004C2D88">
              <w:rPr>
                <w:rFonts w:ascii="Arial Narrow" w:hAnsi="Arial Narrow"/>
                <w:sz w:val="20"/>
                <w:szCs w:val="20"/>
                <w:vertAlign w:val="superscript"/>
              </w:rPr>
              <w:t>c</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170 (88.5</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80 (41.7</w:t>
            </w:r>
            <w:r w:rsidR="002A2D8D" w:rsidRPr="004C2D88">
              <w:rPr>
                <w:rFonts w:ascii="Arial Narrow" w:hAnsi="Arial Narrow"/>
                <w:sz w:val="20"/>
                <w:szCs w:val="20"/>
              </w:rPr>
              <w:t>%</w:t>
            </w:r>
            <w:r w:rsidRPr="004C2D88">
              <w:rPr>
                <w:rFonts w:ascii="Arial Narrow" w:hAnsi="Arial Narrow"/>
                <w:sz w:val="20"/>
                <w:szCs w:val="20"/>
              </w:rPr>
              <w:t>)</w:t>
            </w:r>
          </w:p>
        </w:tc>
        <w:tc>
          <w:tcPr>
            <w:tcW w:w="62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173 (93.0</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94 (50.5</w:t>
            </w:r>
            <w:r w:rsidR="002A2D8D" w:rsidRPr="004C2D88">
              <w:rPr>
                <w:rFonts w:ascii="Arial Narrow" w:hAnsi="Arial Narrow"/>
                <w:sz w:val="20"/>
                <w:szCs w:val="20"/>
              </w:rPr>
              <w:t>%</w:t>
            </w:r>
            <w:r w:rsidRPr="004C2D88">
              <w:rPr>
                <w:rFonts w:ascii="Arial Narrow" w:hAnsi="Arial Narrow"/>
                <w:sz w:val="20"/>
                <w:szCs w:val="20"/>
              </w:rPr>
              <w:t>)</w:t>
            </w:r>
          </w:p>
        </w:tc>
        <w:tc>
          <w:tcPr>
            <w:tcW w:w="62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182 (94.8</w:t>
            </w:r>
            <w:r w:rsidR="002A2D8D" w:rsidRPr="004C2D88">
              <w:rPr>
                <w:rFonts w:ascii="Arial Narrow" w:hAnsi="Arial Narrow"/>
                <w:sz w:val="20"/>
                <w:szCs w:val="20"/>
              </w:rPr>
              <w:t>%</w:t>
            </w:r>
            <w:r w:rsidRPr="004C2D88">
              <w:rPr>
                <w:rFonts w:ascii="Arial Narrow" w:hAnsi="Arial Narrow"/>
                <w:sz w:val="20"/>
                <w:szCs w:val="20"/>
              </w:rPr>
              <w:t>)</w:t>
            </w:r>
          </w:p>
        </w:tc>
        <w:tc>
          <w:tcPr>
            <w:tcW w:w="61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keepNext/>
              <w:widowControl/>
              <w:jc w:val="center"/>
              <w:rPr>
                <w:rFonts w:ascii="Arial Narrow" w:hAnsi="Arial Narrow"/>
                <w:sz w:val="20"/>
                <w:szCs w:val="20"/>
              </w:rPr>
            </w:pPr>
            <w:r w:rsidRPr="004C2D88">
              <w:rPr>
                <w:rFonts w:ascii="Arial Narrow" w:hAnsi="Arial Narrow"/>
                <w:sz w:val="20"/>
                <w:szCs w:val="20"/>
              </w:rPr>
              <w:t>107 (55.7</w:t>
            </w:r>
            <w:r w:rsidR="002A2D8D" w:rsidRPr="004C2D88">
              <w:rPr>
                <w:rFonts w:ascii="Arial Narrow" w:hAnsi="Arial Narrow"/>
                <w:sz w:val="20"/>
                <w:szCs w:val="20"/>
              </w:rPr>
              <w:t>%</w:t>
            </w:r>
            <w:r w:rsidRPr="004C2D88">
              <w:rPr>
                <w:rFonts w:ascii="Arial Narrow" w:hAnsi="Arial Narrow"/>
                <w:sz w:val="20"/>
                <w:szCs w:val="20"/>
              </w:rPr>
              <w:t>)</w:t>
            </w:r>
          </w:p>
        </w:tc>
      </w:tr>
    </w:tbl>
    <w:p w:rsidR="00390833" w:rsidRPr="004C2D88" w:rsidRDefault="00390833" w:rsidP="00465BB6">
      <w:pPr>
        <w:widowControl/>
        <w:jc w:val="left"/>
        <w:rPr>
          <w:rFonts w:ascii="Arial Narrow" w:hAnsi="Arial Narrow"/>
          <w:sz w:val="18"/>
          <w:szCs w:val="20"/>
        </w:rPr>
      </w:pPr>
      <w:r w:rsidRPr="004C2D88">
        <w:rPr>
          <w:rFonts w:ascii="Arial Narrow" w:hAnsi="Arial Narrow"/>
          <w:sz w:val="18"/>
          <w:szCs w:val="20"/>
        </w:rPr>
        <w:t>AE</w:t>
      </w:r>
      <w:r w:rsidR="00580EDE" w:rsidRPr="004C2D88">
        <w:rPr>
          <w:rFonts w:ascii="Arial Narrow" w:hAnsi="Arial Narrow"/>
          <w:sz w:val="18"/>
          <w:szCs w:val="20"/>
        </w:rPr>
        <w:t xml:space="preserve"> = adverse event</w:t>
      </w:r>
      <w:r w:rsidR="00D6090F" w:rsidRPr="004C2D88">
        <w:rPr>
          <w:rFonts w:ascii="Arial Narrow" w:hAnsi="Arial Narrow"/>
          <w:sz w:val="18"/>
          <w:szCs w:val="20"/>
        </w:rPr>
        <w:t>; B = binimetinib; E = encorafenib</w:t>
      </w:r>
    </w:p>
    <w:p w:rsidR="00390833" w:rsidRPr="004C2D88" w:rsidRDefault="00390833" w:rsidP="00465BB6">
      <w:pPr>
        <w:widowControl/>
        <w:jc w:val="left"/>
        <w:rPr>
          <w:rFonts w:ascii="Arial Narrow" w:hAnsi="Arial Narrow"/>
          <w:sz w:val="18"/>
          <w:szCs w:val="20"/>
        </w:rPr>
      </w:pPr>
      <w:r w:rsidRPr="004C2D88">
        <w:rPr>
          <w:rFonts w:ascii="Arial Narrow" w:hAnsi="Arial Narrow"/>
          <w:sz w:val="18"/>
          <w:szCs w:val="20"/>
          <w:vertAlign w:val="superscript"/>
        </w:rPr>
        <w:t>a</w:t>
      </w:r>
      <w:r w:rsidRPr="004C2D88">
        <w:rPr>
          <w:rFonts w:ascii="Arial Narrow" w:hAnsi="Arial Narrow"/>
          <w:sz w:val="18"/>
          <w:szCs w:val="20"/>
        </w:rPr>
        <w:t xml:space="preserve"> Median duration of exposure: 51.2 weeks in the Combo 450 arm vs 26.3 weeks in the vemurafenib arm vs 31.4 weeks in the encorafenib arm</w:t>
      </w:r>
    </w:p>
    <w:p w:rsidR="00390833" w:rsidRPr="004C2D88" w:rsidRDefault="00390833" w:rsidP="00465BB6">
      <w:pPr>
        <w:widowControl/>
        <w:jc w:val="left"/>
        <w:rPr>
          <w:rFonts w:ascii="Arial Narrow" w:hAnsi="Arial Narrow"/>
          <w:sz w:val="18"/>
          <w:szCs w:val="20"/>
        </w:rPr>
      </w:pPr>
      <w:r w:rsidRPr="004C2D88">
        <w:rPr>
          <w:rFonts w:ascii="Arial Narrow" w:hAnsi="Arial Narrow"/>
          <w:sz w:val="18"/>
          <w:szCs w:val="20"/>
          <w:vertAlign w:val="superscript"/>
        </w:rPr>
        <w:t>b</w:t>
      </w:r>
      <w:r w:rsidRPr="004C2D88">
        <w:rPr>
          <w:rFonts w:ascii="Arial Narrow" w:hAnsi="Arial Narrow"/>
          <w:sz w:val="18"/>
          <w:szCs w:val="20"/>
        </w:rPr>
        <w:t xml:space="preserve"> Deaths occurring &gt;30 days after end of treatment are not included.</w:t>
      </w:r>
    </w:p>
    <w:p w:rsidR="00390833" w:rsidRPr="004C2D88" w:rsidRDefault="00330AA1" w:rsidP="00465BB6">
      <w:pPr>
        <w:widowControl/>
        <w:jc w:val="left"/>
        <w:rPr>
          <w:rFonts w:ascii="Arial Narrow" w:hAnsi="Arial Narrow"/>
          <w:sz w:val="18"/>
          <w:szCs w:val="20"/>
        </w:rPr>
      </w:pPr>
      <w:r w:rsidRPr="004C2D88">
        <w:rPr>
          <w:rFonts w:ascii="Arial Narrow" w:hAnsi="Arial Narrow"/>
          <w:sz w:val="18"/>
          <w:szCs w:val="20"/>
          <w:vertAlign w:val="superscript"/>
        </w:rPr>
        <w:t>c</w:t>
      </w:r>
      <w:r w:rsidR="00237EDB" w:rsidRPr="004C2D88">
        <w:rPr>
          <w:rFonts w:ascii="Arial Narrow" w:hAnsi="Arial Narrow"/>
          <w:sz w:val="18"/>
          <w:szCs w:val="20"/>
          <w:vertAlign w:val="superscript"/>
        </w:rPr>
        <w:t xml:space="preserve"> </w:t>
      </w:r>
      <w:r w:rsidR="00390833" w:rsidRPr="004C2D88">
        <w:rPr>
          <w:rFonts w:ascii="Arial Narrow" w:hAnsi="Arial Narrow"/>
          <w:sz w:val="18"/>
          <w:szCs w:val="20"/>
        </w:rPr>
        <w:t xml:space="preserve">Additional therapy includes all non-drug therapy and concomitant medications. </w:t>
      </w:r>
    </w:p>
    <w:p w:rsidR="004731C7" w:rsidRPr="004C2D88" w:rsidRDefault="004731C7" w:rsidP="00465BB6">
      <w:pPr>
        <w:widowControl/>
        <w:jc w:val="left"/>
        <w:rPr>
          <w:rFonts w:ascii="Arial Narrow" w:hAnsi="Arial Narrow"/>
          <w:sz w:val="18"/>
          <w:szCs w:val="20"/>
        </w:rPr>
      </w:pPr>
      <w:r w:rsidRPr="004C2D88">
        <w:rPr>
          <w:rFonts w:ascii="Arial Narrow" w:hAnsi="Arial Narrow"/>
          <w:sz w:val="18"/>
          <w:szCs w:val="20"/>
        </w:rPr>
        <w:t>Source: Table 2.54, p128 of the submission</w:t>
      </w:r>
      <w:r w:rsidR="008628F4" w:rsidRPr="004C2D88">
        <w:rPr>
          <w:rFonts w:ascii="Arial Narrow" w:hAnsi="Arial Narrow"/>
          <w:sz w:val="18"/>
          <w:szCs w:val="20"/>
        </w:rPr>
        <w:t>.</w:t>
      </w:r>
    </w:p>
    <w:p w:rsidR="008628F4" w:rsidRPr="004C2D88" w:rsidRDefault="008628F4" w:rsidP="00465BB6">
      <w:pPr>
        <w:widowControl/>
        <w:jc w:val="left"/>
        <w:rPr>
          <w:rFonts w:ascii="Arial Narrow" w:hAnsi="Arial Narrow"/>
          <w:sz w:val="18"/>
          <w:szCs w:val="20"/>
        </w:rPr>
      </w:pPr>
    </w:p>
    <w:p w:rsidR="00390833" w:rsidRPr="004C2D88" w:rsidRDefault="00390833" w:rsidP="00D073C6">
      <w:pPr>
        <w:pStyle w:val="ListParagraph"/>
        <w:widowControl/>
        <w:numPr>
          <w:ilvl w:val="1"/>
          <w:numId w:val="4"/>
        </w:numPr>
        <w:snapToGrid w:val="0"/>
      </w:pPr>
      <w:r w:rsidRPr="004C2D88">
        <w:t>In patients receiving encorafenib+binimetinib, the most frequently reported Grade 3 or 4 AEs were elevated gamma-glutamyl transferase (9.4%), hypertension (6.3%), elevated alanine aminotransferase (5.2%) and anaemia (4.7%). With reg</w:t>
      </w:r>
      <w:r w:rsidR="00AD7DD5" w:rsidRPr="004C2D88">
        <w:t>ards of AEs of special interest</w:t>
      </w:r>
      <w:r w:rsidRPr="004C2D88">
        <w:t xml:space="preserve"> (AESIs), patients in the combination therapy arm were less likely to experience some AEs associated with key BRAF-inhibitor class effects, such as rash, myopathy, alopecia, cutaneous squamous cell carcinoma, tachycardia and facial paresis, compared with those in the vemurafenib group. </w:t>
      </w:r>
      <w:r w:rsidR="002A2D8D" w:rsidRPr="004C2D88">
        <w:t>T</w:t>
      </w:r>
      <w:r w:rsidRPr="004C2D88">
        <w:t xml:space="preserve">he addition of binimetinib to </w:t>
      </w:r>
      <w:r w:rsidR="0072692A" w:rsidRPr="004C2D88">
        <w:t xml:space="preserve">encorafenib </w:t>
      </w:r>
      <w:r w:rsidRPr="004C2D88">
        <w:t>added toxicity due to MEK-inhibitor class effects, including AESIs of retinopathy excluding retinal vein occlusion, liver function test abnormalities, muscle enzyme/protein changes, haemorrhage, hypertension and left ventricular dysfunction.</w:t>
      </w:r>
      <w:r w:rsidR="00FA17A0" w:rsidRPr="004C2D88">
        <w:t xml:space="preserve"> The PSCR (p3) maintained encorafenib + binimetinib has demonstrated an acceptable safety profile.  </w:t>
      </w:r>
      <w:r w:rsidR="004C2007" w:rsidRPr="004C2D88">
        <w:t>The ESC considered that the a</w:t>
      </w:r>
      <w:r w:rsidR="00FA17A0" w:rsidRPr="004C2D88">
        <w:t>vailable clinical data indicate</w:t>
      </w:r>
      <w:r w:rsidR="00487104" w:rsidRPr="004C2D88">
        <w:t>d</w:t>
      </w:r>
      <w:r w:rsidR="00FA17A0" w:rsidRPr="004C2D88">
        <w:t xml:space="preserve"> a safety profile consistent with those reported for </w:t>
      </w:r>
      <w:r w:rsidR="005C65CC" w:rsidRPr="004C2D88">
        <w:t>the other BRAF/MEK inhibitor combination treatments</w:t>
      </w:r>
      <w:r w:rsidR="00FA17A0" w:rsidRPr="004C2D88">
        <w:t>.</w:t>
      </w:r>
    </w:p>
    <w:p w:rsidR="00390833" w:rsidRPr="004C2D88" w:rsidRDefault="00390833" w:rsidP="00D073C6">
      <w:pPr>
        <w:pStyle w:val="ListParagraph"/>
        <w:widowControl/>
        <w:numPr>
          <w:ilvl w:val="1"/>
          <w:numId w:val="4"/>
        </w:numPr>
        <w:snapToGrid w:val="0"/>
      </w:pPr>
      <w:r w:rsidRPr="004C2D88">
        <w:t xml:space="preserve">The submission </w:t>
      </w:r>
      <w:r w:rsidR="002506F6" w:rsidRPr="004C2D88">
        <w:t xml:space="preserve">conducted </w:t>
      </w:r>
      <w:r w:rsidRPr="004C2D88">
        <w:t xml:space="preserve">indirect comparisons of safety outcomes. </w:t>
      </w:r>
      <w:r w:rsidR="0036498D" w:rsidRPr="004C2D88">
        <w:t>T</w:t>
      </w:r>
      <w:r w:rsidRPr="004C2D88">
        <w:t>he indirect estimate</w:t>
      </w:r>
      <w:r w:rsidR="002506F6" w:rsidRPr="004C2D88">
        <w:t>s</w:t>
      </w:r>
      <w:r w:rsidRPr="004C2D88">
        <w:t xml:space="preserve"> of comparative safety, in terms of overall AEs, Grade 3-5 AEs and AEs leading to discontinuation, </w:t>
      </w:r>
      <w:r w:rsidR="0036498D" w:rsidRPr="004C2D88">
        <w:t xml:space="preserve">numerically </w:t>
      </w:r>
      <w:r w:rsidRPr="004C2D88">
        <w:t>favoured encorafenib+binimetinib ove</w:t>
      </w:r>
      <w:r w:rsidR="0036498D" w:rsidRPr="004C2D88">
        <w:t>r</w:t>
      </w:r>
      <w:r w:rsidRPr="004C2D88">
        <w:t xml:space="preserve"> the other two targeted combination therapies, except Grade ≥3 AEs for encorafenib+binimetinib</w:t>
      </w:r>
      <w:r w:rsidR="0036498D" w:rsidRPr="004C2D88">
        <w:t xml:space="preserve"> versus dabrafenib+trametinib. </w:t>
      </w:r>
      <w:r w:rsidR="000B1136" w:rsidRPr="004C2D88">
        <w:t>However, it is noted that</w:t>
      </w:r>
      <w:r w:rsidRPr="004C2D88">
        <w:t xml:space="preserve"> assessment of safety outcomes could have</w:t>
      </w:r>
      <w:r w:rsidR="000B1136" w:rsidRPr="004C2D88">
        <w:t xml:space="preserve"> been</w:t>
      </w:r>
      <w:r w:rsidRPr="004C2D88">
        <w:t xml:space="preserve"> biased (likely in favour of combination therapies), especially in the two open-label trials of COLUMBUS and COMBI-V. </w:t>
      </w:r>
    </w:p>
    <w:p w:rsidR="00390833" w:rsidRPr="004C2D88" w:rsidRDefault="002C2E10" w:rsidP="00D073C6">
      <w:pPr>
        <w:pStyle w:val="ListParagraph"/>
        <w:widowControl/>
        <w:numPr>
          <w:ilvl w:val="1"/>
          <w:numId w:val="4"/>
        </w:numPr>
        <w:snapToGrid w:val="0"/>
      </w:pPr>
      <w:r w:rsidRPr="004C2D88">
        <w:t>The evaluation considered that the indirect comparisons of safety outcomes w</w:t>
      </w:r>
      <w:r w:rsidR="009D6A88" w:rsidRPr="004C2D88">
        <w:t>ere</w:t>
      </w:r>
      <w:r w:rsidRPr="004C2D88">
        <w:t xml:space="preserve"> difficult to interpret due to concerns </w:t>
      </w:r>
      <w:r w:rsidR="009D6A88" w:rsidRPr="004C2D88">
        <w:t xml:space="preserve">regarding </w:t>
      </w:r>
      <w:r w:rsidRPr="004C2D88">
        <w:t>the transitivity of the trials</w:t>
      </w:r>
      <w:r w:rsidR="009D6A88" w:rsidRPr="004C2D88">
        <w:t>. The</w:t>
      </w:r>
      <w:r w:rsidRPr="004C2D88">
        <w:t xml:space="preserve"> </w:t>
      </w:r>
      <w:r w:rsidRPr="004C2D88">
        <w:lastRenderedPageBreak/>
        <w:t xml:space="preserve">evaluation considered </w:t>
      </w:r>
      <w:r w:rsidR="009D6A88" w:rsidRPr="004C2D88">
        <w:t xml:space="preserve">these concerns </w:t>
      </w:r>
      <w:r w:rsidRPr="004C2D88">
        <w:t xml:space="preserve">contributed to different event rates between the common references groups, e.g. AE-related discontinuation in the BRAF inhibitor arms were </w:t>
      </w:r>
      <w:r w:rsidR="00390833" w:rsidRPr="004C2D88">
        <w:t>17.2% in COLUMBUS vs 6.6% in COMBI-D vs 15.</w:t>
      </w:r>
      <w:r w:rsidR="009D717F" w:rsidRPr="004C2D88">
        <w:t>5</w:t>
      </w:r>
      <w:r w:rsidR="00390833" w:rsidRPr="004C2D88">
        <w:t xml:space="preserve">% in COMBI-V vs 6.9% in coBRIM.  </w:t>
      </w:r>
    </w:p>
    <w:p w:rsidR="00390833" w:rsidRPr="004C2D88" w:rsidRDefault="00390833" w:rsidP="00D073C6">
      <w:pPr>
        <w:pStyle w:val="ListParagraph"/>
        <w:widowControl/>
        <w:numPr>
          <w:ilvl w:val="1"/>
          <w:numId w:val="4"/>
        </w:numPr>
        <w:snapToGrid w:val="0"/>
      </w:pPr>
      <w:r w:rsidRPr="004C2D88">
        <w:t xml:space="preserve">Based on the data presented in the submission, a comparison of AESIs across encorafenib+binimetinib, dabrafenib+trametinib and vemurafenib+cobimetinib could not be undertaken. It is likely </w:t>
      </w:r>
      <w:r w:rsidR="0072692A" w:rsidRPr="004C2D88">
        <w:t xml:space="preserve">that </w:t>
      </w:r>
      <w:r w:rsidR="00AD7DD5" w:rsidRPr="004C2D88">
        <w:t xml:space="preserve">the </w:t>
      </w:r>
      <w:r w:rsidR="00567452" w:rsidRPr="004C2D88">
        <w:t xml:space="preserve">safety profiles of </w:t>
      </w:r>
      <w:r w:rsidRPr="004C2D88">
        <w:t>different combination therapies differ in terms of AESI type and/or incidence</w:t>
      </w:r>
      <w:r w:rsidR="00AD21B8" w:rsidRPr="004C2D88">
        <w:t>, in particular AEs being driven by binimetinib,</w:t>
      </w:r>
      <w:r w:rsidR="00AD7DD5" w:rsidRPr="004C2D88">
        <w:t xml:space="preserve"> and</w:t>
      </w:r>
      <w:r w:rsidR="00AD21B8" w:rsidRPr="004C2D88">
        <w:t xml:space="preserve"> these</w:t>
      </w:r>
      <w:r w:rsidR="00AD7DD5" w:rsidRPr="004C2D88">
        <w:t xml:space="preserve"> may </w:t>
      </w:r>
      <w:r w:rsidRPr="004C2D88">
        <w:t xml:space="preserve">impact upon </w:t>
      </w:r>
      <w:r w:rsidR="00AD7DD5" w:rsidRPr="004C2D88">
        <w:t xml:space="preserve">patient </w:t>
      </w:r>
      <w:r w:rsidRPr="004C2D88">
        <w:t xml:space="preserve">quality of life </w:t>
      </w:r>
      <w:r w:rsidR="00AD7DD5" w:rsidRPr="004C2D88">
        <w:t xml:space="preserve">differently </w:t>
      </w:r>
      <w:r w:rsidR="0072692A" w:rsidRPr="004C2D88">
        <w:t>and require different treatments</w:t>
      </w:r>
      <w:r w:rsidRPr="004C2D88">
        <w:t>.</w:t>
      </w:r>
    </w:p>
    <w:p w:rsidR="00390833" w:rsidRPr="004C2D88" w:rsidRDefault="00390833" w:rsidP="00465BB6">
      <w:pPr>
        <w:pStyle w:val="Heading2"/>
        <w:widowControl/>
      </w:pPr>
      <w:bookmarkStart w:id="24" w:name="_Toc371170709"/>
      <w:bookmarkStart w:id="25" w:name="_Toc524515814"/>
      <w:r w:rsidRPr="004C2D88">
        <w:t>Clinical claim</w:t>
      </w:r>
      <w:bookmarkEnd w:id="24"/>
      <w:bookmarkEnd w:id="25"/>
    </w:p>
    <w:p w:rsidR="00390833" w:rsidRPr="004C2D88" w:rsidRDefault="00390833" w:rsidP="00D073C6">
      <w:pPr>
        <w:pStyle w:val="ListParagraph"/>
        <w:widowControl/>
        <w:numPr>
          <w:ilvl w:val="1"/>
          <w:numId w:val="4"/>
        </w:numPr>
        <w:snapToGrid w:val="0"/>
      </w:pPr>
      <w:r w:rsidRPr="004C2D88">
        <w:t>The submission described encorafenib+binimetinib as at least non-inferior in terms of effectivenes</w:t>
      </w:r>
      <w:r w:rsidR="00693EC2" w:rsidRPr="004C2D88">
        <w:t xml:space="preserve">s and safety compared with </w:t>
      </w:r>
      <w:r w:rsidRPr="004C2D88">
        <w:t xml:space="preserve">dabrafenib+trametinib and vemurafenib+cobimetinib. </w:t>
      </w:r>
    </w:p>
    <w:p w:rsidR="00012255" w:rsidRPr="004C2D88" w:rsidRDefault="00012255" w:rsidP="00D073C6">
      <w:pPr>
        <w:pStyle w:val="ListParagraph"/>
        <w:widowControl/>
        <w:numPr>
          <w:ilvl w:val="1"/>
          <w:numId w:val="4"/>
        </w:numPr>
        <w:snapToGrid w:val="0"/>
      </w:pPr>
      <w:r w:rsidRPr="004C2D88">
        <w:t xml:space="preserve">The </w:t>
      </w:r>
      <w:r w:rsidR="00C60F98" w:rsidRPr="004C2D88">
        <w:t xml:space="preserve">ESC noted that there </w:t>
      </w:r>
      <w:r w:rsidRPr="004C2D88">
        <w:t xml:space="preserve">was uncertainty regarding the non-inferiority claim of encorafenib+binimetinib relative to dabrafenib+trametinib </w:t>
      </w:r>
      <w:r w:rsidR="00C60F98" w:rsidRPr="004C2D88">
        <w:t>and</w:t>
      </w:r>
      <w:r w:rsidRPr="004C2D88">
        <w:t xml:space="preserve"> vemurafenib+cobimetinib, both in terms of effectiveness and safety as: </w:t>
      </w:r>
    </w:p>
    <w:p w:rsidR="00390833" w:rsidRPr="004C2D88" w:rsidRDefault="00390833" w:rsidP="00D073C6">
      <w:pPr>
        <w:pStyle w:val="ListParagraph"/>
        <w:widowControl/>
        <w:numPr>
          <w:ilvl w:val="1"/>
          <w:numId w:val="17"/>
        </w:numPr>
        <w:snapToGrid w:val="0"/>
        <w:ind w:left="1077" w:hanging="357"/>
      </w:pPr>
      <w:r w:rsidRPr="004C2D88">
        <w:t xml:space="preserve">This claim relied on common reference-adjusted indirect comparisons of </w:t>
      </w:r>
      <w:r w:rsidR="00012255" w:rsidRPr="004C2D88">
        <w:t xml:space="preserve">the </w:t>
      </w:r>
      <w:r w:rsidRPr="004C2D88">
        <w:t>COLUMBUS, COMBI-V, COMBI-D and coBRIM</w:t>
      </w:r>
      <w:r w:rsidR="00012255" w:rsidRPr="004C2D88">
        <w:t xml:space="preserve"> trials</w:t>
      </w:r>
      <w:r w:rsidRPr="004C2D88">
        <w:t>. The data were derived from different trial populations and settings which could have invalidated the transitivity assumption.</w:t>
      </w:r>
    </w:p>
    <w:p w:rsidR="00390833" w:rsidRPr="004C2D88" w:rsidRDefault="00390833" w:rsidP="00D073C6">
      <w:pPr>
        <w:pStyle w:val="ListParagraph"/>
        <w:widowControl/>
        <w:numPr>
          <w:ilvl w:val="1"/>
          <w:numId w:val="18"/>
        </w:numPr>
        <w:snapToGrid w:val="0"/>
        <w:ind w:left="1077" w:hanging="357"/>
      </w:pPr>
      <w:r w:rsidRPr="004C2D88">
        <w:t>The</w:t>
      </w:r>
      <w:r w:rsidR="00012255" w:rsidRPr="004C2D88">
        <w:t xml:space="preserve"> submission did not present non-inferiority margins or </w:t>
      </w:r>
      <w:r w:rsidRPr="004C2D88">
        <w:t>clinically justified minimum clinically important differences for the outcomes. The indirect point estimates favoured encorafenib+binimetinib for</w:t>
      </w:r>
      <w:r w:rsidR="00012255" w:rsidRPr="004C2D88">
        <w:t xml:space="preserve"> all comparison of</w:t>
      </w:r>
      <w:r w:rsidRPr="004C2D88">
        <w:t xml:space="preserve"> OS, PFS, overall AEs, Grade 3-5 AEs and discontinuation, </w:t>
      </w:r>
      <w:r w:rsidR="00012255" w:rsidRPr="004C2D88">
        <w:t>with the exception of</w:t>
      </w:r>
      <w:r w:rsidRPr="004C2D88">
        <w:t xml:space="preserve"> Grade ≥3 AEs versus dabrafenib+trametinib. However, clinically meaningful worsening of these endpoints could not be ruled out based on the confidence intervals from </w:t>
      </w:r>
      <w:r w:rsidR="00012255" w:rsidRPr="004C2D88">
        <w:t xml:space="preserve">the </w:t>
      </w:r>
      <w:r w:rsidRPr="004C2D88">
        <w:t>indirect comparisons.</w:t>
      </w:r>
    </w:p>
    <w:p w:rsidR="00320CEF" w:rsidRPr="004C2D88" w:rsidRDefault="00B368DA" w:rsidP="00B368DA">
      <w:pPr>
        <w:pStyle w:val="ListParagraph"/>
        <w:numPr>
          <w:ilvl w:val="1"/>
          <w:numId w:val="4"/>
        </w:numPr>
        <w:spacing w:after="120"/>
        <w:rPr>
          <w:rFonts w:asciiTheme="minorHAnsi" w:hAnsiTheme="minorHAnsi"/>
          <w:szCs w:val="20"/>
        </w:rPr>
      </w:pPr>
      <w:r w:rsidRPr="004C2D88">
        <w:rPr>
          <w:rFonts w:asciiTheme="minorHAnsi" w:hAnsiTheme="minorHAnsi"/>
          <w:szCs w:val="20"/>
        </w:rPr>
        <w:t xml:space="preserve">The PBAC </w:t>
      </w:r>
      <w:r w:rsidR="009D6A88" w:rsidRPr="004C2D88">
        <w:rPr>
          <w:rFonts w:asciiTheme="minorHAnsi" w:hAnsiTheme="minorHAnsi"/>
          <w:szCs w:val="20"/>
        </w:rPr>
        <w:t xml:space="preserve">accepted </w:t>
      </w:r>
      <w:r w:rsidRPr="004C2D88">
        <w:rPr>
          <w:rFonts w:asciiTheme="minorHAnsi" w:hAnsiTheme="minorHAnsi"/>
          <w:szCs w:val="20"/>
        </w:rPr>
        <w:t>the claim of non-inferior comparative effectiveness.  The Committee noted the absence of an appropriate non-inferiority margin and the variability of the results of the indirect comparison, but recalled that it had accepted similar issues in its consideration of vemurafenib+cobimetinib in March 2016.</w:t>
      </w:r>
      <w:r w:rsidR="001552DD" w:rsidRPr="004C2D88">
        <w:rPr>
          <w:rFonts w:asciiTheme="minorHAnsi" w:hAnsiTheme="minorHAnsi"/>
          <w:szCs w:val="20"/>
        </w:rPr>
        <w:t xml:space="preserve"> </w:t>
      </w:r>
    </w:p>
    <w:p w:rsidR="004E21CE" w:rsidRPr="004C2D88" w:rsidRDefault="00320CEF" w:rsidP="00D073C6">
      <w:pPr>
        <w:pStyle w:val="ListParagraph"/>
        <w:widowControl/>
        <w:numPr>
          <w:ilvl w:val="1"/>
          <w:numId w:val="4"/>
        </w:numPr>
        <w:spacing w:after="120"/>
        <w:rPr>
          <w:rFonts w:asciiTheme="minorHAnsi" w:hAnsiTheme="minorHAnsi"/>
          <w:szCs w:val="20"/>
        </w:rPr>
      </w:pPr>
      <w:r w:rsidRPr="004C2D88">
        <w:rPr>
          <w:rFonts w:asciiTheme="minorHAnsi" w:hAnsiTheme="minorHAnsi"/>
          <w:szCs w:val="20"/>
        </w:rPr>
        <w:t xml:space="preserve"> The PBAC concluded that the </w:t>
      </w:r>
      <w:r w:rsidR="000819AA" w:rsidRPr="004C2D88">
        <w:rPr>
          <w:rFonts w:asciiTheme="minorHAnsi" w:hAnsiTheme="minorHAnsi"/>
          <w:szCs w:val="20"/>
        </w:rPr>
        <w:t xml:space="preserve">claim of non-inferior safety was supported and that </w:t>
      </w:r>
      <w:r w:rsidRPr="004C2D88">
        <w:rPr>
          <w:rFonts w:asciiTheme="minorHAnsi" w:hAnsiTheme="minorHAnsi"/>
          <w:szCs w:val="20"/>
        </w:rPr>
        <w:t>overall</w:t>
      </w:r>
      <w:r w:rsidR="000819AA" w:rsidRPr="004C2D88">
        <w:rPr>
          <w:rFonts w:asciiTheme="minorHAnsi" w:hAnsiTheme="minorHAnsi"/>
          <w:szCs w:val="20"/>
        </w:rPr>
        <w:t>, the</w:t>
      </w:r>
      <w:r w:rsidRPr="004C2D88">
        <w:rPr>
          <w:rFonts w:asciiTheme="minorHAnsi" w:hAnsiTheme="minorHAnsi"/>
          <w:szCs w:val="20"/>
        </w:rPr>
        <w:t xml:space="preserve"> safety profile of encorafenib+binimetinib was </w:t>
      </w:r>
      <w:r w:rsidR="000819AA" w:rsidRPr="004C2D88">
        <w:rPr>
          <w:rFonts w:asciiTheme="minorHAnsi" w:hAnsiTheme="minorHAnsi"/>
          <w:szCs w:val="20"/>
        </w:rPr>
        <w:t xml:space="preserve">considered to be broadly </w:t>
      </w:r>
      <w:r w:rsidRPr="004C2D88">
        <w:rPr>
          <w:rFonts w:asciiTheme="minorHAnsi" w:hAnsiTheme="minorHAnsi"/>
          <w:szCs w:val="20"/>
        </w:rPr>
        <w:t xml:space="preserve">consistent with </w:t>
      </w:r>
      <w:r w:rsidRPr="004C2D88">
        <w:t>dabrafenib+trametinib</w:t>
      </w:r>
      <w:r w:rsidRPr="004C2D88">
        <w:rPr>
          <w:rFonts w:asciiTheme="minorHAnsi" w:hAnsiTheme="minorHAnsi"/>
          <w:szCs w:val="20"/>
        </w:rPr>
        <w:t xml:space="preserve"> and </w:t>
      </w:r>
      <w:r w:rsidR="00C109A3" w:rsidRPr="004C2D88">
        <w:rPr>
          <w:rFonts w:asciiTheme="minorHAnsi" w:hAnsiTheme="minorHAnsi"/>
          <w:szCs w:val="20"/>
        </w:rPr>
        <w:t>vemurafenib+cobimetinib</w:t>
      </w:r>
      <w:r w:rsidRPr="004C2D88">
        <w:rPr>
          <w:rFonts w:asciiTheme="minorHAnsi" w:hAnsiTheme="minorHAnsi"/>
          <w:szCs w:val="20"/>
        </w:rPr>
        <w:t xml:space="preserve">. </w:t>
      </w:r>
      <w:r w:rsidR="00C109A3" w:rsidRPr="004C2D88">
        <w:rPr>
          <w:rFonts w:asciiTheme="minorHAnsi" w:hAnsiTheme="minorHAnsi"/>
          <w:szCs w:val="20"/>
        </w:rPr>
        <w:t>However, it noted significant hypertension, left ventricular dysfunction, venous thromboembolism, haemorrhage, and rhabdomyolysis was associated with encorafenib+binimetinib</w:t>
      </w:r>
      <w:r w:rsidRPr="004C2D88">
        <w:rPr>
          <w:rFonts w:asciiTheme="minorHAnsi" w:hAnsiTheme="minorHAnsi"/>
          <w:szCs w:val="20"/>
        </w:rPr>
        <w:t>.</w:t>
      </w:r>
    </w:p>
    <w:p w:rsidR="00C60F98" w:rsidRPr="004C2D88" w:rsidRDefault="00C60F98" w:rsidP="00465BB6">
      <w:pPr>
        <w:pStyle w:val="Heading2"/>
        <w:widowControl/>
      </w:pPr>
      <w:r w:rsidRPr="004C2D88">
        <w:lastRenderedPageBreak/>
        <w:t xml:space="preserve">Economic analysis </w:t>
      </w:r>
    </w:p>
    <w:p w:rsidR="00390833" w:rsidRPr="004C2D88" w:rsidRDefault="00390833" w:rsidP="00D073C6">
      <w:pPr>
        <w:pStyle w:val="ListParagraph"/>
        <w:widowControl/>
        <w:numPr>
          <w:ilvl w:val="1"/>
          <w:numId w:val="4"/>
        </w:numPr>
        <w:snapToGrid w:val="0"/>
        <w:spacing w:after="120"/>
      </w:pPr>
      <w:r w:rsidRPr="004C2D88">
        <w:t xml:space="preserve">The submission presented a cost-minimisation analysis based on the indirect comparisons of encorafenib+binimetinib with dabrafenib+trametinib and with vemurafenib+cobimetinib. </w:t>
      </w:r>
      <w:r w:rsidR="00465BB6" w:rsidRPr="004C2D88">
        <w:t>The ESC considered that a cost</w:t>
      </w:r>
      <w:r w:rsidR="00465BB6" w:rsidRPr="004C2D88">
        <w:noBreakHyphen/>
      </w:r>
      <w:r w:rsidR="00C60F98" w:rsidRPr="004C2D88">
        <w:t>minimisation analysis was appropriate.</w:t>
      </w:r>
    </w:p>
    <w:p w:rsidR="00390833" w:rsidRPr="004C2D88" w:rsidRDefault="00390833" w:rsidP="00D073C6">
      <w:pPr>
        <w:pStyle w:val="ListParagraph"/>
        <w:widowControl/>
        <w:numPr>
          <w:ilvl w:val="1"/>
          <w:numId w:val="4"/>
        </w:numPr>
        <w:snapToGrid w:val="0"/>
        <w:spacing w:after="120"/>
      </w:pPr>
      <w:r w:rsidRPr="004C2D88">
        <w:t xml:space="preserve">The submission’s proposed equi-effective doses for encorafenib+binimetinib versus dabrafenib+trametinib </w:t>
      </w:r>
      <w:r w:rsidR="00A4665D" w:rsidRPr="004C2D88">
        <w:t xml:space="preserve">and versus vemurafenib+cobimetinib </w:t>
      </w:r>
      <w:r w:rsidRPr="004C2D88">
        <w:t xml:space="preserve">were: </w:t>
      </w:r>
    </w:p>
    <w:p w:rsidR="00390833" w:rsidRPr="004C2D88" w:rsidRDefault="00390833" w:rsidP="00D073C6">
      <w:pPr>
        <w:pStyle w:val="ListParagraph"/>
        <w:widowControl/>
        <w:numPr>
          <w:ilvl w:val="1"/>
          <w:numId w:val="6"/>
        </w:numPr>
        <w:snapToGrid w:val="0"/>
        <w:spacing w:after="0"/>
        <w:ind w:left="992" w:hanging="295"/>
      </w:pPr>
      <w:r w:rsidRPr="004C2D88">
        <w:t>Encorafenib 450</w:t>
      </w:r>
      <w:r w:rsidR="00A36707" w:rsidRPr="004C2D88">
        <w:t xml:space="preserve"> </w:t>
      </w:r>
      <w:r w:rsidRPr="004C2D88">
        <w:t>mg once daily + binimetinib 45</w:t>
      </w:r>
      <w:r w:rsidR="00A36707" w:rsidRPr="004C2D88">
        <w:t xml:space="preserve"> </w:t>
      </w:r>
      <w:r w:rsidRPr="004C2D88">
        <w:t xml:space="preserve">mg </w:t>
      </w:r>
      <w:r w:rsidR="00F17D43" w:rsidRPr="004C2D88">
        <w:t>twice daily</w:t>
      </w:r>
      <w:r w:rsidRPr="004C2D88">
        <w:t>, and</w:t>
      </w:r>
    </w:p>
    <w:p w:rsidR="00390833" w:rsidRPr="004C2D88" w:rsidRDefault="00390833" w:rsidP="00D073C6">
      <w:pPr>
        <w:pStyle w:val="ListParagraph"/>
        <w:widowControl/>
        <w:numPr>
          <w:ilvl w:val="1"/>
          <w:numId w:val="6"/>
        </w:numPr>
        <w:snapToGrid w:val="0"/>
        <w:spacing w:after="0"/>
        <w:ind w:left="992" w:hanging="295"/>
      </w:pPr>
      <w:r w:rsidRPr="004C2D88">
        <w:t>Dabrafenib 150</w:t>
      </w:r>
      <w:r w:rsidR="00A36707" w:rsidRPr="004C2D88">
        <w:t xml:space="preserve"> </w:t>
      </w:r>
      <w:r w:rsidRPr="004C2D88">
        <w:t xml:space="preserve">mg </w:t>
      </w:r>
      <w:r w:rsidR="00F17D43" w:rsidRPr="004C2D88">
        <w:t>twice daily</w:t>
      </w:r>
      <w:r w:rsidRPr="004C2D88">
        <w:t xml:space="preserve"> + trametinib 2</w:t>
      </w:r>
      <w:r w:rsidR="00A36707" w:rsidRPr="004C2D88">
        <w:t xml:space="preserve"> </w:t>
      </w:r>
      <w:r w:rsidRPr="004C2D88">
        <w:t xml:space="preserve">mg </w:t>
      </w:r>
      <w:r w:rsidR="00F17D43" w:rsidRPr="004C2D88">
        <w:t>once daily</w:t>
      </w:r>
      <w:r w:rsidR="00A4665D" w:rsidRPr="004C2D88">
        <w:t>, or</w:t>
      </w:r>
    </w:p>
    <w:p w:rsidR="00390833" w:rsidRPr="004C2D88" w:rsidRDefault="00266BA8" w:rsidP="00D073C6">
      <w:pPr>
        <w:pStyle w:val="ListParagraph"/>
        <w:widowControl/>
        <w:numPr>
          <w:ilvl w:val="1"/>
          <w:numId w:val="6"/>
        </w:numPr>
        <w:snapToGrid w:val="0"/>
        <w:spacing w:after="120"/>
        <w:ind w:left="993" w:hanging="294"/>
      </w:pPr>
      <w:r w:rsidRPr="004C2D88">
        <w:t>Vemurafenib 960</w:t>
      </w:r>
      <w:r w:rsidR="00A36707" w:rsidRPr="004C2D88">
        <w:t xml:space="preserve"> </w:t>
      </w:r>
      <w:r w:rsidR="00390833" w:rsidRPr="004C2D88">
        <w:t xml:space="preserve">mg </w:t>
      </w:r>
      <w:r w:rsidR="00F17D43" w:rsidRPr="004C2D88">
        <w:t>twice daily</w:t>
      </w:r>
      <w:r w:rsidR="00390833" w:rsidRPr="004C2D88">
        <w:t xml:space="preserve"> + cobimetinib 60</w:t>
      </w:r>
      <w:r w:rsidR="00A36707" w:rsidRPr="004C2D88">
        <w:t xml:space="preserve"> </w:t>
      </w:r>
      <w:r w:rsidR="00390833" w:rsidRPr="004C2D88">
        <w:t xml:space="preserve">mg </w:t>
      </w:r>
      <w:r w:rsidR="00F17D43" w:rsidRPr="004C2D88">
        <w:t>once daily</w:t>
      </w:r>
      <w:r w:rsidR="00390833" w:rsidRPr="004C2D88">
        <w:t xml:space="preserve"> (21 days o</w:t>
      </w:r>
      <w:r w:rsidR="00465BB6" w:rsidRPr="004C2D88">
        <w:t>n</w:t>
      </w:r>
      <w:r w:rsidR="00465BB6" w:rsidRPr="004C2D88">
        <w:noBreakHyphen/>
      </w:r>
      <w:r w:rsidR="00390833" w:rsidRPr="004C2D88">
        <w:t>treatment plus 7 days off-treatment</w:t>
      </w:r>
      <w:r w:rsidR="00341D0B" w:rsidRPr="004C2D88">
        <w:t>,</w:t>
      </w:r>
      <w:r w:rsidR="00390833" w:rsidRPr="004C2D88">
        <w:t xml:space="preserve"> in a 28-day cycle).</w:t>
      </w:r>
    </w:p>
    <w:p w:rsidR="00390833" w:rsidRPr="004C2D88" w:rsidRDefault="00390833" w:rsidP="00D073C6">
      <w:pPr>
        <w:pStyle w:val="ListParagraph"/>
        <w:widowControl/>
        <w:numPr>
          <w:ilvl w:val="1"/>
          <w:numId w:val="4"/>
        </w:numPr>
        <w:snapToGrid w:val="0"/>
        <w:spacing w:after="120"/>
      </w:pPr>
      <w:r w:rsidRPr="004C2D88">
        <w:t>The equi-effective doses were sourced from the four clinical trials in</w:t>
      </w:r>
      <w:r w:rsidR="0002680B" w:rsidRPr="004C2D88">
        <w:t>cluded</w:t>
      </w:r>
      <w:r w:rsidRPr="004C2D88">
        <w:t xml:space="preserve"> in the indirect comparisons and are consistent with the recommended doses in the respective Product Information documents.</w:t>
      </w:r>
      <w:r w:rsidR="00C60F98" w:rsidRPr="004C2D88">
        <w:t xml:space="preserve"> T</w:t>
      </w:r>
      <w:r w:rsidR="00465BB6" w:rsidRPr="004C2D88">
        <w:t>he ESC considered that the equi</w:t>
      </w:r>
      <w:r w:rsidR="00465BB6" w:rsidRPr="004C2D88">
        <w:noBreakHyphen/>
      </w:r>
      <w:r w:rsidR="00C60F98" w:rsidRPr="004C2D88">
        <w:t>effective doses were reasonable.</w:t>
      </w:r>
    </w:p>
    <w:p w:rsidR="00B368DA" w:rsidRPr="004C2D88" w:rsidRDefault="00390833" w:rsidP="00D073C6">
      <w:pPr>
        <w:pStyle w:val="ListParagraph"/>
        <w:widowControl/>
        <w:numPr>
          <w:ilvl w:val="1"/>
          <w:numId w:val="4"/>
        </w:numPr>
        <w:snapToGrid w:val="0"/>
        <w:spacing w:after="120"/>
      </w:pPr>
      <w:r w:rsidRPr="004C2D88">
        <w:t>The submission’s cost-minimisation analysis was per</w:t>
      </w:r>
      <w:r w:rsidR="00465BB6" w:rsidRPr="004C2D88">
        <w:t>formed on the basis of daily ex</w:t>
      </w:r>
      <w:r w:rsidR="00465BB6" w:rsidRPr="004C2D88">
        <w:noBreakHyphen/>
      </w:r>
      <w:r w:rsidRPr="004C2D88">
        <w:t>manufacturer prices of targeted combination therapies and reflected different periods of supply</w:t>
      </w:r>
      <w:r w:rsidR="009D6A88" w:rsidRPr="004C2D88">
        <w:t xml:space="preserve"> and was based on the published prices of the comparators (see Table 10)</w:t>
      </w:r>
      <w:r w:rsidRPr="004C2D88">
        <w:t xml:space="preserve">. </w:t>
      </w:r>
      <w:r w:rsidR="00B368DA" w:rsidRPr="004C2D88">
        <w:t>The PBAC noted these would need to be updated based on the effective prices.</w:t>
      </w:r>
      <w:r w:rsidR="00B368DA" w:rsidRPr="004C2D88" w:rsidDel="00B368DA">
        <w:t xml:space="preserve"> </w:t>
      </w:r>
    </w:p>
    <w:p w:rsidR="00390833" w:rsidRPr="004C2D88" w:rsidRDefault="00390833" w:rsidP="00BE46AE">
      <w:pPr>
        <w:widowControl/>
        <w:snapToGrid w:val="0"/>
        <w:rPr>
          <w:rStyle w:val="CommentReference"/>
          <w:bCs/>
        </w:rPr>
      </w:pPr>
      <w:bookmarkStart w:id="26" w:name="_Ref522893235"/>
      <w:r w:rsidRPr="004C2D88">
        <w:rPr>
          <w:rStyle w:val="CommentReference"/>
          <w:bCs/>
        </w:rPr>
        <w:t xml:space="preserve">Table </w:t>
      </w:r>
      <w:r w:rsidR="00CC25ED" w:rsidRPr="004C2D88">
        <w:rPr>
          <w:rStyle w:val="CommentReference"/>
          <w:bCs/>
        </w:rPr>
        <w:t>10</w:t>
      </w:r>
      <w:bookmarkEnd w:id="26"/>
      <w:r w:rsidRPr="004C2D88">
        <w:rPr>
          <w:rStyle w:val="CommentReference"/>
          <w:bCs/>
        </w:rPr>
        <w:t>: Results of the cost-minimisation analysis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1134"/>
        <w:gridCol w:w="1134"/>
        <w:gridCol w:w="992"/>
        <w:gridCol w:w="1134"/>
        <w:gridCol w:w="1384"/>
      </w:tblGrid>
      <w:tr w:rsidR="00D50317" w:rsidRPr="004C2D88" w:rsidTr="00B1102B">
        <w:tc>
          <w:tcPr>
            <w:tcW w:w="2155" w:type="dxa"/>
            <w:vMerge w:val="restart"/>
            <w:tcBorders>
              <w:top w:val="single" w:sz="4" w:space="0" w:color="auto"/>
              <w:left w:val="single" w:sz="4" w:space="0" w:color="auto"/>
              <w:right w:val="single" w:sz="4" w:space="0" w:color="auto"/>
            </w:tcBorders>
            <w:tcMar>
              <w:left w:w="28" w:type="dxa"/>
              <w:right w:w="28" w:type="dxa"/>
            </w:tcMar>
            <w:hideMark/>
          </w:tcPr>
          <w:p w:rsidR="00D50317" w:rsidRPr="004C2D88" w:rsidRDefault="00D50317" w:rsidP="00465BB6">
            <w:pPr>
              <w:pStyle w:val="Tabletext"/>
              <w:keepNext/>
              <w:rPr>
                <w:b/>
              </w:rPr>
            </w:pPr>
          </w:p>
        </w:tc>
        <w:tc>
          <w:tcPr>
            <w:tcW w:w="2268" w:type="dxa"/>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rsidR="00D50317" w:rsidRPr="004C2D88" w:rsidRDefault="00D50317" w:rsidP="00465BB6">
            <w:pPr>
              <w:pStyle w:val="Tabletext"/>
              <w:keepNext/>
              <w:jc w:val="center"/>
              <w:rPr>
                <w:b/>
              </w:rPr>
            </w:pPr>
            <w:r w:rsidRPr="004C2D88">
              <w:rPr>
                <w:b/>
              </w:rPr>
              <w:t>Encorafenib+binimetinib</w:t>
            </w:r>
          </w:p>
        </w:tc>
        <w:tc>
          <w:tcPr>
            <w:tcW w:w="2126" w:type="dxa"/>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rsidR="00D50317" w:rsidRPr="004C2D88" w:rsidRDefault="00D50317" w:rsidP="00465BB6">
            <w:pPr>
              <w:pStyle w:val="Tabletext"/>
              <w:keepNext/>
              <w:jc w:val="center"/>
              <w:rPr>
                <w:b/>
              </w:rPr>
            </w:pPr>
            <w:r w:rsidRPr="004C2D88">
              <w:rPr>
                <w:b/>
              </w:rPr>
              <w:t>Dabrafenib+trametinib</w:t>
            </w:r>
          </w:p>
        </w:tc>
        <w:tc>
          <w:tcPr>
            <w:tcW w:w="2518" w:type="dxa"/>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rsidR="00D50317" w:rsidRPr="004C2D88" w:rsidRDefault="00B1102B" w:rsidP="00465BB6">
            <w:pPr>
              <w:pStyle w:val="Tabletext"/>
              <w:keepNext/>
              <w:jc w:val="center"/>
              <w:rPr>
                <w:b/>
              </w:rPr>
            </w:pPr>
            <w:r w:rsidRPr="004C2D88">
              <w:rPr>
                <w:b/>
              </w:rPr>
              <w:t>Vemurafenib</w:t>
            </w:r>
            <w:r w:rsidR="00D50317" w:rsidRPr="004C2D88">
              <w:rPr>
                <w:b/>
              </w:rPr>
              <w:t xml:space="preserve"> cobimetinib</w:t>
            </w:r>
          </w:p>
        </w:tc>
      </w:tr>
      <w:tr w:rsidR="00D50317" w:rsidRPr="004C2D88" w:rsidTr="00B1102B">
        <w:tc>
          <w:tcPr>
            <w:tcW w:w="2155" w:type="dxa"/>
            <w:vMerge/>
            <w:tcBorders>
              <w:left w:val="single" w:sz="4" w:space="0" w:color="auto"/>
              <w:bottom w:val="single" w:sz="4" w:space="0" w:color="auto"/>
              <w:right w:val="single" w:sz="4" w:space="0" w:color="auto"/>
            </w:tcBorders>
            <w:tcMar>
              <w:left w:w="28" w:type="dxa"/>
              <w:right w:w="28" w:type="dxa"/>
            </w:tcMar>
          </w:tcPr>
          <w:p w:rsidR="00D50317" w:rsidRPr="004C2D88" w:rsidRDefault="00D50317" w:rsidP="00465BB6">
            <w:pPr>
              <w:pStyle w:val="Tabletext"/>
              <w:keepNext/>
              <w:rPr>
                <w:b/>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D50317" w:rsidRPr="004C2D88" w:rsidRDefault="00D50317" w:rsidP="00465BB6">
            <w:pPr>
              <w:pStyle w:val="Tabletext"/>
              <w:keepNext/>
              <w:ind w:left="-57" w:right="-57"/>
              <w:jc w:val="center"/>
              <w:rPr>
                <w:b/>
              </w:rPr>
            </w:pPr>
            <w:r w:rsidRPr="004C2D88">
              <w:rPr>
                <w:b/>
              </w:rPr>
              <w:t>Encorafenib</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D50317" w:rsidRPr="004C2D88" w:rsidRDefault="00D50317" w:rsidP="00465BB6">
            <w:pPr>
              <w:pStyle w:val="Tabletext"/>
              <w:keepNext/>
              <w:ind w:left="-57" w:right="-57"/>
              <w:jc w:val="center"/>
              <w:rPr>
                <w:b/>
              </w:rPr>
            </w:pPr>
            <w:r w:rsidRPr="004C2D88">
              <w:rPr>
                <w:b/>
              </w:rPr>
              <w:t>Binimetinib</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D50317" w:rsidRPr="004C2D88" w:rsidRDefault="00D50317" w:rsidP="00465BB6">
            <w:pPr>
              <w:pStyle w:val="Tabletext"/>
              <w:keepNext/>
              <w:ind w:left="-57" w:right="-57"/>
              <w:jc w:val="center"/>
              <w:rPr>
                <w:b/>
              </w:rPr>
            </w:pPr>
            <w:r w:rsidRPr="004C2D88">
              <w:rPr>
                <w:b/>
              </w:rPr>
              <w:t>Dabrafenib</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D50317" w:rsidRPr="004C2D88" w:rsidRDefault="00D50317" w:rsidP="00465BB6">
            <w:pPr>
              <w:pStyle w:val="Tabletext"/>
              <w:keepNext/>
              <w:ind w:left="-57" w:right="-57"/>
              <w:jc w:val="center"/>
              <w:rPr>
                <w:b/>
              </w:rPr>
            </w:pPr>
            <w:r w:rsidRPr="004C2D88">
              <w:rPr>
                <w:b/>
              </w:rPr>
              <w:t>Trametinib</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D50317" w:rsidRPr="004C2D88" w:rsidRDefault="00D50317" w:rsidP="00465BB6">
            <w:pPr>
              <w:pStyle w:val="Tabletext"/>
              <w:keepNext/>
              <w:ind w:left="-57" w:right="-57"/>
              <w:jc w:val="center"/>
              <w:rPr>
                <w:b/>
              </w:rPr>
            </w:pPr>
            <w:r w:rsidRPr="004C2D88">
              <w:rPr>
                <w:b/>
              </w:rPr>
              <w:t>Vemurafenib</w:t>
            </w:r>
          </w:p>
        </w:tc>
        <w:tc>
          <w:tcPr>
            <w:tcW w:w="138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D50317" w:rsidRPr="004C2D88" w:rsidRDefault="00D50317" w:rsidP="00465BB6">
            <w:pPr>
              <w:pStyle w:val="Tabletext"/>
              <w:keepNext/>
              <w:ind w:left="-57" w:right="-57"/>
              <w:jc w:val="center"/>
              <w:rPr>
                <w:b/>
              </w:rPr>
            </w:pPr>
            <w:r w:rsidRPr="004C2D88">
              <w:rPr>
                <w:b/>
              </w:rPr>
              <w:t>Cobimetinib</w:t>
            </w:r>
          </w:p>
        </w:tc>
      </w:tr>
      <w:tr w:rsidR="00390833" w:rsidRPr="004C2D88" w:rsidTr="00B1102B">
        <w:tc>
          <w:tcPr>
            <w:tcW w:w="215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pStyle w:val="Tabletext"/>
              <w:keepNext/>
            </w:pPr>
            <w:r w:rsidRPr="004C2D88">
              <w:t>Dose regimen</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pStyle w:val="Tabletext"/>
              <w:keepNext/>
              <w:jc w:val="center"/>
            </w:pPr>
            <w:r w:rsidRPr="004C2D88">
              <w:t>450</w:t>
            </w:r>
            <w:r w:rsidR="00A36707" w:rsidRPr="004C2D88">
              <w:t xml:space="preserve"> </w:t>
            </w:r>
            <w:r w:rsidRPr="004C2D88">
              <w:t xml:space="preserve">mg </w:t>
            </w:r>
            <w:r w:rsidR="00F17D43" w:rsidRPr="004C2D88">
              <w:t>once daily</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pStyle w:val="Tabletext"/>
              <w:keepNext/>
              <w:jc w:val="center"/>
            </w:pPr>
            <w:r w:rsidRPr="004C2D88">
              <w:t>45</w:t>
            </w:r>
            <w:r w:rsidR="00A36707" w:rsidRPr="004C2D88">
              <w:t xml:space="preserve"> </w:t>
            </w:r>
            <w:r w:rsidRPr="004C2D88">
              <w:t xml:space="preserve">mg </w:t>
            </w:r>
            <w:r w:rsidR="00F17D43" w:rsidRPr="004C2D88">
              <w:t>twice daily</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pStyle w:val="Tabletext"/>
              <w:keepNext/>
              <w:jc w:val="center"/>
            </w:pPr>
            <w:r w:rsidRPr="004C2D88">
              <w:t>150</w:t>
            </w:r>
            <w:r w:rsidR="00A36707" w:rsidRPr="004C2D88">
              <w:t xml:space="preserve"> </w:t>
            </w:r>
            <w:r w:rsidRPr="004C2D88">
              <w:t xml:space="preserve">mg </w:t>
            </w:r>
            <w:r w:rsidR="00F17D43" w:rsidRPr="004C2D88">
              <w:t>twice daily</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B1102B">
            <w:pPr>
              <w:pStyle w:val="Tabletext"/>
              <w:keepNext/>
              <w:jc w:val="center"/>
            </w:pPr>
            <w:r w:rsidRPr="004C2D88">
              <w:t>2</w:t>
            </w:r>
            <w:r w:rsidR="00A36707" w:rsidRPr="004C2D88">
              <w:t xml:space="preserve"> </w:t>
            </w:r>
            <w:r w:rsidRPr="004C2D88">
              <w:t xml:space="preserve">mg </w:t>
            </w:r>
            <w:r w:rsidR="00F17D43" w:rsidRPr="004C2D88">
              <w:t>once daily</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pStyle w:val="Tabletext"/>
              <w:keepNext/>
              <w:jc w:val="center"/>
            </w:pPr>
            <w:r w:rsidRPr="004C2D88">
              <w:t>960</w:t>
            </w:r>
            <w:r w:rsidR="00A36707" w:rsidRPr="004C2D88">
              <w:t xml:space="preserve"> </w:t>
            </w:r>
            <w:r w:rsidRPr="004C2D88">
              <w:t xml:space="preserve">mg </w:t>
            </w:r>
            <w:r w:rsidR="00F17D43" w:rsidRPr="004C2D88">
              <w:t>twice daily</w:t>
            </w:r>
          </w:p>
        </w:tc>
        <w:tc>
          <w:tcPr>
            <w:tcW w:w="13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B1102B">
            <w:pPr>
              <w:pStyle w:val="Tabletext"/>
              <w:keepNext/>
              <w:ind w:left="-57" w:right="-57"/>
              <w:jc w:val="center"/>
            </w:pPr>
            <w:r w:rsidRPr="004C2D88">
              <w:t>60</w:t>
            </w:r>
            <w:r w:rsidR="00A36707" w:rsidRPr="004C2D88">
              <w:t xml:space="preserve"> </w:t>
            </w:r>
            <w:r w:rsidRPr="004C2D88">
              <w:t xml:space="preserve">mg </w:t>
            </w:r>
            <w:r w:rsidR="00F17D43" w:rsidRPr="004C2D88">
              <w:t xml:space="preserve">once </w:t>
            </w:r>
            <w:r w:rsidR="00B1102B" w:rsidRPr="004C2D88">
              <w:br/>
            </w:r>
            <w:r w:rsidR="00F17D43" w:rsidRPr="004C2D88">
              <w:t>daily</w:t>
            </w:r>
            <w:r w:rsidR="00B1102B" w:rsidRPr="004C2D88">
              <w:t xml:space="preserve"> (</w:t>
            </w:r>
            <w:r w:rsidRPr="004C2D88">
              <w:t>21/28 days</w:t>
            </w:r>
            <w:r w:rsidR="00B1102B" w:rsidRPr="004C2D88">
              <w:t>)</w:t>
            </w:r>
          </w:p>
        </w:tc>
      </w:tr>
      <w:tr w:rsidR="00390833" w:rsidRPr="004C2D88" w:rsidTr="00B1102B">
        <w:tc>
          <w:tcPr>
            <w:tcW w:w="215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pPr>
            <w:r w:rsidRPr="004C2D88">
              <w:t xml:space="preserve">Drug strength, </w:t>
            </w:r>
            <w:r w:rsidRPr="004C2D88">
              <w:br/>
              <w:t>form</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75</w:t>
            </w:r>
            <w:r w:rsidR="00A36707" w:rsidRPr="004C2D88">
              <w:t xml:space="preserve"> </w:t>
            </w:r>
            <w:r w:rsidRPr="004C2D88">
              <w:t>mg, capsule</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15</w:t>
            </w:r>
            <w:r w:rsidR="00A36707" w:rsidRPr="004C2D88">
              <w:t xml:space="preserve"> </w:t>
            </w:r>
            <w:r w:rsidRPr="004C2D88">
              <w:t xml:space="preserve">mg, </w:t>
            </w:r>
            <w:r w:rsidRPr="004C2D88">
              <w:br/>
              <w:t>tablet</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75</w:t>
            </w:r>
            <w:r w:rsidR="00A36707" w:rsidRPr="004C2D88">
              <w:t xml:space="preserve"> </w:t>
            </w:r>
            <w:r w:rsidRPr="004C2D88">
              <w:t>mg, capsule</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2</w:t>
            </w:r>
            <w:r w:rsidR="00A36707" w:rsidRPr="004C2D88">
              <w:t xml:space="preserve"> </w:t>
            </w:r>
            <w:r w:rsidRPr="004C2D88">
              <w:t xml:space="preserve">mg, </w:t>
            </w:r>
            <w:r w:rsidRPr="004C2D88">
              <w:br/>
              <w:t>tablet</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240</w:t>
            </w:r>
            <w:r w:rsidR="00A36707" w:rsidRPr="004C2D88">
              <w:t xml:space="preserve"> </w:t>
            </w:r>
            <w:r w:rsidRPr="004C2D88">
              <w:t xml:space="preserve">mg, </w:t>
            </w:r>
            <w:r w:rsidRPr="004C2D88">
              <w:br/>
              <w:t>tablet</w:t>
            </w:r>
          </w:p>
        </w:tc>
        <w:tc>
          <w:tcPr>
            <w:tcW w:w="138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20</w:t>
            </w:r>
            <w:r w:rsidR="00A36707" w:rsidRPr="004C2D88">
              <w:t xml:space="preserve"> </w:t>
            </w:r>
            <w:r w:rsidRPr="004C2D88">
              <w:t xml:space="preserve">mg, </w:t>
            </w:r>
            <w:r w:rsidRPr="004C2D88">
              <w:br/>
              <w:t>tablet</w:t>
            </w:r>
          </w:p>
        </w:tc>
      </w:tr>
      <w:tr w:rsidR="00390833" w:rsidRPr="004C2D88" w:rsidTr="00B1102B">
        <w:tc>
          <w:tcPr>
            <w:tcW w:w="215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pPr>
            <w:r w:rsidRPr="004C2D88">
              <w:t>No. units per day</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6</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6</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jc w:val="center"/>
            </w:pPr>
            <w:r w:rsidRPr="004C2D88">
              <w:t>8</w:t>
            </w:r>
          </w:p>
        </w:tc>
        <w:tc>
          <w:tcPr>
            <w:tcW w:w="138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ind w:left="1440" w:hanging="1440"/>
              <w:jc w:val="center"/>
            </w:pPr>
            <w:r w:rsidRPr="004C2D88">
              <w:t>2.25</w:t>
            </w:r>
            <w:r w:rsidRPr="004C2D88">
              <w:rPr>
                <w:vertAlign w:val="superscript"/>
              </w:rPr>
              <w:t>a</w:t>
            </w:r>
          </w:p>
        </w:tc>
      </w:tr>
      <w:tr w:rsidR="00390833" w:rsidRPr="004C2D88" w:rsidTr="00D50317">
        <w:tc>
          <w:tcPr>
            <w:tcW w:w="9067" w:type="dxa"/>
            <w:gridSpan w:val="7"/>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ind w:left="1440" w:hanging="1440"/>
            </w:pPr>
            <w:r w:rsidRPr="004C2D88">
              <w:rPr>
                <w:b/>
              </w:rPr>
              <w:t>Submission’s analysis (on an ex-manufacturer price basis)</w:t>
            </w:r>
          </w:p>
        </w:tc>
      </w:tr>
      <w:tr w:rsidR="00390833" w:rsidRPr="004C2D88" w:rsidTr="00B1102B">
        <w:tc>
          <w:tcPr>
            <w:tcW w:w="215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pPr>
            <w:r w:rsidRPr="004C2D88">
              <w:t>Ex-manufacturer price for maximum quantity</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$8,038.04</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$8,038.04</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$8,612.17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$8,612.17</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8234CB">
              <w:t>$8,038.04</w:t>
            </w:r>
          </w:p>
        </w:tc>
        <w:tc>
          <w:tcPr>
            <w:tcW w:w="13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ind w:left="1440" w:hanging="1440"/>
              <w:jc w:val="center"/>
            </w:pPr>
            <w:r w:rsidRPr="00964E44">
              <w:t>$8,038.03</w:t>
            </w:r>
          </w:p>
        </w:tc>
      </w:tr>
      <w:tr w:rsidR="00390833" w:rsidRPr="004C2D88" w:rsidTr="00B1102B">
        <w:tc>
          <w:tcPr>
            <w:tcW w:w="215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pPr>
            <w:r w:rsidRPr="004C2D88">
              <w:t>Maximum quantity</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168</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168</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120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30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8234CB">
              <w:t>224</w:t>
            </w:r>
          </w:p>
        </w:tc>
        <w:tc>
          <w:tcPr>
            <w:tcW w:w="13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ind w:left="1440" w:hanging="1440"/>
              <w:jc w:val="center"/>
            </w:pPr>
            <w:r w:rsidRPr="00964E44">
              <w:t>63</w:t>
            </w:r>
          </w:p>
        </w:tc>
      </w:tr>
      <w:tr w:rsidR="00390833" w:rsidRPr="004C2D88" w:rsidTr="00B1102B">
        <w:tc>
          <w:tcPr>
            <w:tcW w:w="215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B1102B">
            <w:pPr>
              <w:pStyle w:val="Tabletext"/>
              <w:keepNext/>
            </w:pPr>
            <w:r w:rsidRPr="004C2D88">
              <w:t>Ex-manufacturer price</w:t>
            </w:r>
            <w:r w:rsidR="00B1102B" w:rsidRPr="004C2D88">
              <w:t>/</w:t>
            </w:r>
            <w:r w:rsidRPr="004C2D88">
              <w:t>unit</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$47.85</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$47.85</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$71.77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$287.07</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8234CB">
              <w:t>$35.88</w:t>
            </w:r>
          </w:p>
        </w:tc>
        <w:tc>
          <w:tcPr>
            <w:tcW w:w="13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ind w:left="1440" w:hanging="1440"/>
              <w:jc w:val="center"/>
            </w:pPr>
            <w:r w:rsidRPr="00964E44">
              <w:t>$127.59</w:t>
            </w:r>
          </w:p>
        </w:tc>
      </w:tr>
      <w:tr w:rsidR="00390833" w:rsidRPr="004C2D88" w:rsidTr="00B1102B">
        <w:tc>
          <w:tcPr>
            <w:tcW w:w="215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pPr>
            <w:r w:rsidRPr="004C2D88">
              <w:t>Cost per day</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B14254" w:rsidRDefault="00390833" w:rsidP="00465BB6">
            <w:pPr>
              <w:pStyle w:val="Tabletext"/>
              <w:keepNext/>
              <w:jc w:val="center"/>
            </w:pPr>
            <w:r w:rsidRPr="00964E44">
              <w:t>$287.07</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B14254" w:rsidRDefault="00390833" w:rsidP="00465BB6">
            <w:pPr>
              <w:pStyle w:val="Tabletext"/>
              <w:keepNext/>
              <w:jc w:val="center"/>
            </w:pPr>
            <w:r w:rsidRPr="00964E44">
              <w:t>$287.07</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B14254" w:rsidRDefault="00390833" w:rsidP="00465BB6">
            <w:pPr>
              <w:pStyle w:val="Tabletext"/>
              <w:keepNext/>
              <w:jc w:val="center"/>
            </w:pPr>
            <w:r w:rsidRPr="00964E44">
              <w:t>$287.07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B14254" w:rsidRDefault="00390833" w:rsidP="00465BB6">
            <w:pPr>
              <w:pStyle w:val="Tabletext"/>
              <w:keepNext/>
              <w:jc w:val="center"/>
            </w:pPr>
            <w:r w:rsidRPr="00964E44">
              <w:t>$287.07</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B14254" w:rsidRDefault="00390833" w:rsidP="00465BB6">
            <w:pPr>
              <w:pStyle w:val="Tabletext"/>
              <w:keepNext/>
              <w:jc w:val="center"/>
            </w:pPr>
            <w:r w:rsidRPr="008234CB">
              <w:t>$287.07</w:t>
            </w:r>
          </w:p>
        </w:tc>
        <w:tc>
          <w:tcPr>
            <w:tcW w:w="1384"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B14254" w:rsidRDefault="00390833" w:rsidP="00465BB6">
            <w:pPr>
              <w:pStyle w:val="Tabletext"/>
              <w:keepNext/>
              <w:ind w:left="720" w:hanging="720"/>
              <w:jc w:val="center"/>
            </w:pPr>
            <w:r w:rsidRPr="00964E44">
              <w:t>$287.07</w:t>
            </w:r>
          </w:p>
        </w:tc>
      </w:tr>
      <w:tr w:rsidR="00390833" w:rsidRPr="004C2D88" w:rsidTr="00B1102B">
        <w:tc>
          <w:tcPr>
            <w:tcW w:w="215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390833" w:rsidRPr="004C2D88" w:rsidRDefault="00390833" w:rsidP="00465BB6">
            <w:pPr>
              <w:pStyle w:val="Tabletext"/>
              <w:keepNext/>
              <w:rPr>
                <w:b/>
              </w:rPr>
            </w:pPr>
            <w:r w:rsidRPr="004C2D88">
              <w:rPr>
                <w:b/>
              </w:rPr>
              <w:t>Cost of combination therapy per day</w:t>
            </w:r>
          </w:p>
        </w:tc>
        <w:tc>
          <w:tcPr>
            <w:tcW w:w="226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pStyle w:val="Tabletext"/>
              <w:keepNext/>
              <w:jc w:val="center"/>
              <w:rPr>
                <w:b/>
              </w:rPr>
            </w:pPr>
            <w:r w:rsidRPr="004C2D88">
              <w:rPr>
                <w:b/>
              </w:rPr>
              <w:t>$574.15</w:t>
            </w:r>
          </w:p>
        </w:tc>
        <w:tc>
          <w:tcPr>
            <w:tcW w:w="2126"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pStyle w:val="Tabletext"/>
              <w:keepNext/>
              <w:jc w:val="center"/>
              <w:rPr>
                <w:b/>
              </w:rPr>
            </w:pPr>
            <w:r w:rsidRPr="004C2D88">
              <w:rPr>
                <w:b/>
              </w:rPr>
              <w:t>$574.15</w:t>
            </w:r>
          </w:p>
        </w:tc>
        <w:tc>
          <w:tcPr>
            <w:tcW w:w="251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390833" w:rsidRPr="004C2D88" w:rsidRDefault="00390833" w:rsidP="00465BB6">
            <w:pPr>
              <w:pStyle w:val="Tabletext"/>
              <w:keepNext/>
              <w:ind w:left="720" w:hanging="720"/>
              <w:jc w:val="center"/>
              <w:rPr>
                <w:b/>
              </w:rPr>
            </w:pPr>
            <w:r w:rsidRPr="004C2D88">
              <w:rPr>
                <w:b/>
              </w:rPr>
              <w:t>$574.15</w:t>
            </w:r>
          </w:p>
        </w:tc>
      </w:tr>
    </w:tbl>
    <w:p w:rsidR="00390833" w:rsidRPr="004C2D88" w:rsidRDefault="00390833" w:rsidP="00465BB6">
      <w:pPr>
        <w:pStyle w:val="TableFooter"/>
        <w:widowControl/>
      </w:pPr>
      <w:r w:rsidRPr="004C2D88">
        <w:rPr>
          <w:vertAlign w:val="superscript"/>
        </w:rPr>
        <w:t>a</w:t>
      </w:r>
      <w:r w:rsidRPr="004C2D88">
        <w:t xml:space="preserve"> = 60/20*21/28, where 60 is the mg per day for cobimetinib; 20 is the tablet strength; 21 is the days on treatment per treatment cycle; and 28 is the cycle length. </w:t>
      </w:r>
    </w:p>
    <w:p w:rsidR="002568D2" w:rsidRPr="004C2D88" w:rsidRDefault="002568D2" w:rsidP="00465BB6">
      <w:pPr>
        <w:pStyle w:val="TableFooter"/>
        <w:widowControl/>
      </w:pPr>
      <w:r w:rsidRPr="004C2D88">
        <w:t>Source: Adapted from Table 3.3, p166 of the submission</w:t>
      </w:r>
      <w:r w:rsidR="008628F4" w:rsidRPr="004C2D88">
        <w:t>.</w:t>
      </w:r>
    </w:p>
    <w:p w:rsidR="00390833" w:rsidRPr="004C2D88" w:rsidRDefault="00390833" w:rsidP="00465BB6">
      <w:pPr>
        <w:pStyle w:val="TableFooter"/>
        <w:widowControl/>
      </w:pPr>
    </w:p>
    <w:p w:rsidR="00390833" w:rsidRPr="004C2D88" w:rsidRDefault="00390833" w:rsidP="00D073C6">
      <w:pPr>
        <w:pStyle w:val="ListParagraph"/>
        <w:widowControl/>
        <w:numPr>
          <w:ilvl w:val="1"/>
          <w:numId w:val="4"/>
        </w:numPr>
        <w:snapToGrid w:val="0"/>
        <w:spacing w:after="120"/>
      </w:pPr>
      <w:r w:rsidRPr="004C2D88">
        <w:t xml:space="preserve">The cost per day for encorafenib+binimetinib combination therapy </w:t>
      </w:r>
      <w:r w:rsidR="005C65CC" w:rsidRPr="004C2D88">
        <w:t xml:space="preserve">($574.15) </w:t>
      </w:r>
      <w:r w:rsidRPr="004C2D88">
        <w:t xml:space="preserve">is identical to that of vemurafenib+cobimetinib </w:t>
      </w:r>
      <w:r w:rsidR="005C65CC" w:rsidRPr="004C2D88">
        <w:t>and da</w:t>
      </w:r>
      <w:r w:rsidRPr="004C2D88">
        <w:t>brafenib+trametinib</w:t>
      </w:r>
      <w:r w:rsidR="005C65CC" w:rsidRPr="004C2D88">
        <w:t xml:space="preserve">. </w:t>
      </w:r>
    </w:p>
    <w:p w:rsidR="00390833" w:rsidRPr="004C2D88" w:rsidRDefault="00390833" w:rsidP="00D073C6">
      <w:pPr>
        <w:pStyle w:val="ListParagraph"/>
        <w:widowControl/>
        <w:numPr>
          <w:ilvl w:val="1"/>
          <w:numId w:val="4"/>
        </w:numPr>
        <w:snapToGrid w:val="0"/>
        <w:spacing w:after="0"/>
        <w:contextualSpacing/>
      </w:pPr>
      <w:r w:rsidRPr="004C2D88">
        <w:t>Cost</w:t>
      </w:r>
      <w:r w:rsidR="00A36707" w:rsidRPr="004C2D88">
        <w:t>s</w:t>
      </w:r>
      <w:r w:rsidRPr="004C2D88">
        <w:t xml:space="preserve"> for </w:t>
      </w:r>
      <w:r w:rsidR="00A36707" w:rsidRPr="004C2D88">
        <w:t xml:space="preserve">the </w:t>
      </w:r>
      <w:r w:rsidRPr="004C2D88">
        <w:t xml:space="preserve">management of AEs were not included in the economic analysis. Combination therapies have different AEs profiles. The AE-related costs vary as individual AEs have different impacts upon the quality of life of patients and require </w:t>
      </w:r>
      <w:r w:rsidRPr="004C2D88">
        <w:lastRenderedPageBreak/>
        <w:t xml:space="preserve">different treatments. </w:t>
      </w:r>
      <w:r w:rsidR="00A4665D" w:rsidRPr="004C2D88">
        <w:t xml:space="preserve">On this basis, the </w:t>
      </w:r>
      <w:r w:rsidR="007E022B" w:rsidRPr="004C2D88">
        <w:t>evaluation considered that not including</w:t>
      </w:r>
      <w:r w:rsidR="00465BB6" w:rsidRPr="004C2D88">
        <w:t xml:space="preserve"> AE</w:t>
      </w:r>
      <w:r w:rsidR="00465BB6" w:rsidRPr="004C2D88">
        <w:noBreakHyphen/>
      </w:r>
      <w:r w:rsidR="00A4665D" w:rsidRPr="004C2D88">
        <w:t>related cost</w:t>
      </w:r>
      <w:r w:rsidR="007E022B" w:rsidRPr="004C2D88">
        <w:t>s</w:t>
      </w:r>
      <w:r w:rsidR="00A4665D" w:rsidRPr="004C2D88">
        <w:t xml:space="preserve"> </w:t>
      </w:r>
      <w:r w:rsidR="007E022B" w:rsidRPr="004C2D88">
        <w:t>in the</w:t>
      </w:r>
      <w:r w:rsidR="00A4665D" w:rsidRPr="004C2D88">
        <w:t xml:space="preserve"> economic analysis </w:t>
      </w:r>
      <w:r w:rsidR="007E022B" w:rsidRPr="004C2D88">
        <w:t>was</w:t>
      </w:r>
      <w:r w:rsidR="00A4665D" w:rsidRPr="004C2D88">
        <w:t xml:space="preserve"> not adequately justified in the submission.</w:t>
      </w:r>
      <w:r w:rsidR="00994679" w:rsidRPr="004C2D88">
        <w:rPr>
          <w:i/>
          <w:szCs w:val="24"/>
        </w:rPr>
        <w:t xml:space="preserve"> </w:t>
      </w:r>
      <w:r w:rsidR="00994679" w:rsidRPr="004C2D88">
        <w:rPr>
          <w:szCs w:val="24"/>
        </w:rPr>
        <w:t xml:space="preserve">The </w:t>
      </w:r>
      <w:r w:rsidR="005C65CC" w:rsidRPr="004C2D88">
        <w:rPr>
          <w:szCs w:val="24"/>
        </w:rPr>
        <w:t xml:space="preserve">ESC considered that adverse events were </w:t>
      </w:r>
      <w:r w:rsidR="00B9634A" w:rsidRPr="004C2D88">
        <w:rPr>
          <w:szCs w:val="24"/>
        </w:rPr>
        <w:t xml:space="preserve">broadly </w:t>
      </w:r>
      <w:r w:rsidR="005C65CC" w:rsidRPr="004C2D88">
        <w:rPr>
          <w:szCs w:val="24"/>
        </w:rPr>
        <w:t xml:space="preserve">similar </w:t>
      </w:r>
      <w:r w:rsidR="007E022B" w:rsidRPr="004C2D88">
        <w:rPr>
          <w:szCs w:val="24"/>
        </w:rPr>
        <w:t xml:space="preserve">across all </w:t>
      </w:r>
      <w:r w:rsidR="005C65CC" w:rsidRPr="004C2D88">
        <w:rPr>
          <w:szCs w:val="24"/>
        </w:rPr>
        <w:t xml:space="preserve">BRAF/MEK inhibitor combination treatments. </w:t>
      </w:r>
    </w:p>
    <w:p w:rsidR="00031A2D" w:rsidRPr="004C2D88" w:rsidRDefault="00031A2D" w:rsidP="00465BB6">
      <w:pPr>
        <w:pStyle w:val="ListParagraph"/>
        <w:widowControl/>
        <w:snapToGrid w:val="0"/>
        <w:spacing w:after="0"/>
        <w:contextualSpacing/>
        <w:rPr>
          <w:i/>
        </w:rPr>
      </w:pPr>
    </w:p>
    <w:p w:rsidR="00390833" w:rsidRPr="004C2D88" w:rsidRDefault="00390833" w:rsidP="00465BB6">
      <w:pPr>
        <w:pStyle w:val="Heading2"/>
        <w:widowControl/>
      </w:pPr>
      <w:bookmarkStart w:id="27" w:name="_Toc371170711"/>
      <w:bookmarkStart w:id="28" w:name="_Toc524515816"/>
      <w:r w:rsidRPr="004C2D88">
        <w:t>Drug cost/patient/28-day treatment</w:t>
      </w:r>
      <w:bookmarkEnd w:id="27"/>
      <w:r w:rsidRPr="004C2D88">
        <w:t>: $</w:t>
      </w:r>
      <w:r w:rsidRPr="00D46F5C">
        <w:t>16,378</w:t>
      </w:r>
      <w:bookmarkEnd w:id="28"/>
    </w:p>
    <w:p w:rsidR="00390833" w:rsidRPr="004C2D88" w:rsidRDefault="00390833" w:rsidP="00D073C6">
      <w:pPr>
        <w:pStyle w:val="ListParagraph"/>
        <w:keepNext/>
        <w:widowControl/>
        <w:numPr>
          <w:ilvl w:val="1"/>
          <w:numId w:val="4"/>
        </w:numPr>
        <w:snapToGrid w:val="0"/>
      </w:pPr>
      <w:r w:rsidRPr="004C2D88">
        <w:t xml:space="preserve">The estimated </w:t>
      </w:r>
      <w:r w:rsidR="00A4665D" w:rsidRPr="004C2D88">
        <w:t xml:space="preserve">dispensed </w:t>
      </w:r>
      <w:r w:rsidRPr="004C2D88">
        <w:t>cost per patient per 28 days of treatment with encorafenib+binimetinib was $</w:t>
      </w:r>
      <w:r w:rsidRPr="00D46F5C">
        <w:t>16,378</w:t>
      </w:r>
      <w:r w:rsidRPr="004C2D88">
        <w:t>, based on an ex-manufacturer price of $</w:t>
      </w:r>
      <w:r w:rsidRPr="00D46F5C">
        <w:t>8,038</w:t>
      </w:r>
      <w:r w:rsidRPr="004C2D88">
        <w:t xml:space="preserve"> both for the maximum quantity of encorafenib (75mg x 168 capsules) and for the maximum quantity of binimetinib (15mg x 168 tablets) as per cost-minimisation analysis (</w:t>
      </w:r>
      <w:r w:rsidR="00CC25ED" w:rsidRPr="004C2D88">
        <w:t>Table 10</w:t>
      </w:r>
      <w:r w:rsidRPr="004C2D88">
        <w:t xml:space="preserve">), taking into account the updated mark-ups and dispensing fee.  </w:t>
      </w:r>
    </w:p>
    <w:p w:rsidR="00390833" w:rsidRPr="004C2D88" w:rsidRDefault="00390833" w:rsidP="00D073C6">
      <w:pPr>
        <w:pStyle w:val="ListParagraph"/>
        <w:widowControl/>
        <w:numPr>
          <w:ilvl w:val="1"/>
          <w:numId w:val="4"/>
        </w:numPr>
        <w:snapToGrid w:val="0"/>
      </w:pPr>
      <w:r w:rsidRPr="004C2D88">
        <w:t xml:space="preserve">The </w:t>
      </w:r>
      <w:r w:rsidR="00A4665D" w:rsidRPr="004C2D88">
        <w:t xml:space="preserve">dispensed </w:t>
      </w:r>
      <w:r w:rsidRPr="004C2D88">
        <w:t>costs per patient per 28 days of treatment with dabrafenib+trametinib and vemurafenib+cobimetinib were $</w:t>
      </w:r>
      <w:r w:rsidRPr="008234CB">
        <w:t>16,358</w:t>
      </w:r>
      <w:r w:rsidRPr="004C2D88">
        <w:t xml:space="preserve"> and </w:t>
      </w:r>
      <w:r w:rsidR="00C5075E" w:rsidRPr="004C2D88">
        <w:t>$</w:t>
      </w:r>
      <w:r w:rsidRPr="008234CB">
        <w:t>16,378</w:t>
      </w:r>
      <w:r w:rsidRPr="004C2D88">
        <w:t xml:space="preserve">, respectively. </w:t>
      </w:r>
    </w:p>
    <w:p w:rsidR="00390833" w:rsidRPr="004C2D88" w:rsidRDefault="00390833" w:rsidP="00465BB6">
      <w:pPr>
        <w:pStyle w:val="Heading2"/>
        <w:widowControl/>
      </w:pPr>
      <w:bookmarkStart w:id="29" w:name="_Toc371170712"/>
      <w:bookmarkStart w:id="30" w:name="_Toc524515817"/>
      <w:r w:rsidRPr="004C2D88">
        <w:t>Estimated PBS usage &amp; financial implications</w:t>
      </w:r>
      <w:bookmarkEnd w:id="29"/>
      <w:bookmarkEnd w:id="30"/>
    </w:p>
    <w:p w:rsidR="00390833" w:rsidRPr="004C2D88" w:rsidRDefault="00390833" w:rsidP="00D073C6">
      <w:pPr>
        <w:pStyle w:val="ListParagraph"/>
        <w:widowControl/>
        <w:numPr>
          <w:ilvl w:val="1"/>
          <w:numId w:val="4"/>
        </w:numPr>
        <w:snapToGrid w:val="0"/>
      </w:pPr>
      <w:r w:rsidRPr="004C2D88">
        <w:t>This submission was not considered by DUSC</w:t>
      </w:r>
      <w:r w:rsidR="00B058D8" w:rsidRPr="004C2D88">
        <w:t>.</w:t>
      </w:r>
      <w:r w:rsidRPr="004C2D88">
        <w:rPr>
          <w:color w:val="0070C0"/>
        </w:rPr>
        <w:t xml:space="preserve"> </w:t>
      </w:r>
      <w:r w:rsidRPr="004C2D88">
        <w:t xml:space="preserve">The submission used a market-share approach to estimate the financial impacts related to the proposed listing of encorafenib+binimetinib in the first </w:t>
      </w:r>
      <w:r w:rsidR="004C2D88">
        <w:t>six</w:t>
      </w:r>
      <w:r w:rsidR="004C2D88" w:rsidRPr="004C2D88">
        <w:t xml:space="preserve"> </w:t>
      </w:r>
      <w:r w:rsidRPr="004C2D88">
        <w:t>years of listing. Th</w:t>
      </w:r>
      <w:r w:rsidR="00DC5365" w:rsidRPr="004C2D88">
        <w:t>e</w:t>
      </w:r>
      <w:r w:rsidRPr="004C2D88">
        <w:t xml:space="preserve"> </w:t>
      </w:r>
      <w:r w:rsidR="00DC5365" w:rsidRPr="004C2D88">
        <w:t xml:space="preserve">ESC considered this </w:t>
      </w:r>
      <w:r w:rsidRPr="004C2D88">
        <w:t xml:space="preserve">was appropriate, as the market of targeted therapies was not expected to grow due to the listing of encorafenib+binimetinib. </w:t>
      </w:r>
    </w:p>
    <w:p w:rsidR="0003347A" w:rsidRDefault="00390833" w:rsidP="00D073C6">
      <w:pPr>
        <w:pStyle w:val="ListParagraph"/>
        <w:widowControl/>
        <w:numPr>
          <w:ilvl w:val="1"/>
          <w:numId w:val="4"/>
        </w:numPr>
      </w:pPr>
      <w:r w:rsidRPr="004C2D88">
        <w:t>The table below provides a summary of the estimated use of encorafenib+binimetinib and the estimated net cost to the PBS/RPBS, based on the published price of dabrafenib+trametinib and vemurafenib+cobimetinib.</w:t>
      </w:r>
      <w:r w:rsidR="0003347A">
        <w:t xml:space="preserve"> </w:t>
      </w:r>
    </w:p>
    <w:p w:rsidR="00390833" w:rsidRPr="004C2D88" w:rsidRDefault="0003347A" w:rsidP="0003347A">
      <w:pPr>
        <w:pStyle w:val="ListParagraph"/>
        <w:widowControl/>
      </w:pPr>
      <w:r>
        <w:t>The redacted table shows that at year 6, the estimated number of scripts was less than 10,000 per year.</w:t>
      </w:r>
    </w:p>
    <w:p w:rsidR="00390833" w:rsidRPr="004C2D88" w:rsidRDefault="00390833" w:rsidP="0084034D">
      <w:pPr>
        <w:keepNext/>
        <w:widowControl/>
      </w:pPr>
      <w:r w:rsidRPr="004C2D88">
        <w:rPr>
          <w:rStyle w:val="CommentReference"/>
        </w:rPr>
        <w:t xml:space="preserve">Table </w:t>
      </w:r>
      <w:r w:rsidR="00CC25ED" w:rsidRPr="004C2D88">
        <w:rPr>
          <w:rStyle w:val="CommentReference"/>
        </w:rPr>
        <w:t>11</w:t>
      </w:r>
      <w:r w:rsidRPr="004C2D88">
        <w:rPr>
          <w:rStyle w:val="CommentReference"/>
        </w:rPr>
        <w:t>:</w:t>
      </w:r>
      <w:r w:rsidRPr="004C2D88">
        <w:rPr>
          <w:rStyle w:val="CommentReference"/>
          <w:b w:val="0"/>
        </w:rPr>
        <w:t xml:space="preserve"> </w:t>
      </w:r>
      <w:r w:rsidRPr="004C2D88">
        <w:rPr>
          <w:rStyle w:val="CommentReference"/>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1"/>
        <w:gridCol w:w="985"/>
        <w:gridCol w:w="1125"/>
        <w:gridCol w:w="1125"/>
        <w:gridCol w:w="1125"/>
        <w:gridCol w:w="1125"/>
        <w:gridCol w:w="1111"/>
      </w:tblGrid>
      <w:tr w:rsidR="00390833" w:rsidRPr="004C2D88" w:rsidTr="00D50317">
        <w:trPr>
          <w:tblHeader/>
        </w:trPr>
        <w:tc>
          <w:tcPr>
            <w:tcW w:w="1342" w:type="pct"/>
            <w:tcBorders>
              <w:top w:val="single" w:sz="4" w:space="0" w:color="auto"/>
              <w:left w:val="single" w:sz="4" w:space="0" w:color="auto"/>
              <w:bottom w:val="single" w:sz="4" w:space="0" w:color="auto"/>
              <w:right w:val="single" w:sz="4" w:space="0" w:color="auto"/>
            </w:tcBorders>
            <w:vAlign w:val="center"/>
          </w:tcPr>
          <w:p w:rsidR="00390833" w:rsidRPr="004C2D88" w:rsidRDefault="00390833" w:rsidP="0084034D">
            <w:pPr>
              <w:pStyle w:val="Tabletext"/>
              <w:keepNext/>
            </w:pPr>
          </w:p>
        </w:tc>
        <w:tc>
          <w:tcPr>
            <w:tcW w:w="546"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center"/>
              <w:rPr>
                <w:b/>
              </w:rPr>
            </w:pPr>
            <w:r w:rsidRPr="004C2D88">
              <w:rPr>
                <w:b/>
              </w:rPr>
              <w:t>Year 1</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center"/>
              <w:rPr>
                <w:b/>
              </w:rPr>
            </w:pPr>
            <w:r w:rsidRPr="004C2D88">
              <w:rPr>
                <w:b/>
              </w:rPr>
              <w:t>Year 2</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center"/>
              <w:rPr>
                <w:b/>
              </w:rPr>
            </w:pPr>
            <w:r w:rsidRPr="004C2D88">
              <w:rPr>
                <w:b/>
              </w:rPr>
              <w:t>Year 3</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center"/>
              <w:rPr>
                <w:b/>
              </w:rPr>
            </w:pPr>
            <w:r w:rsidRPr="004C2D88">
              <w:rPr>
                <w:b/>
              </w:rPr>
              <w:t>Year 4</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center"/>
              <w:rPr>
                <w:b/>
              </w:rPr>
            </w:pPr>
            <w:r w:rsidRPr="004C2D88">
              <w:rPr>
                <w:b/>
              </w:rPr>
              <w:t>Year 5</w:t>
            </w:r>
          </w:p>
        </w:tc>
        <w:tc>
          <w:tcPr>
            <w:tcW w:w="615"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center"/>
              <w:rPr>
                <w:b/>
              </w:rPr>
            </w:pPr>
            <w:r w:rsidRPr="004C2D88">
              <w:rPr>
                <w:b/>
              </w:rPr>
              <w:t>Year 6</w:t>
            </w:r>
          </w:p>
        </w:tc>
      </w:tr>
      <w:tr w:rsidR="00390833" w:rsidRPr="004C2D88" w:rsidTr="00390833">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rPr>
                <w:b/>
                <w:bCs/>
                <w:color w:val="000000"/>
              </w:rPr>
            </w:pPr>
            <w:r w:rsidRPr="004C2D88">
              <w:rPr>
                <w:b/>
                <w:bCs/>
                <w:color w:val="000000"/>
              </w:rPr>
              <w:t>Estimated extent of use</w:t>
            </w:r>
          </w:p>
        </w:tc>
      </w:tr>
      <w:tr w:rsidR="00390833" w:rsidRPr="004C2D88" w:rsidTr="00D50317">
        <w:tc>
          <w:tcPr>
            <w:tcW w:w="1342"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rPr>
                <w:rFonts w:ascii="Times" w:hAnsi="Times"/>
              </w:rPr>
            </w:pPr>
            <w:r w:rsidRPr="004C2D88">
              <w:t xml:space="preserve">Number of scripts dispensed </w:t>
            </w:r>
          </w:p>
        </w:tc>
        <w:tc>
          <w:tcPr>
            <w:tcW w:w="546" w:type="pct"/>
            <w:tcBorders>
              <w:top w:val="single" w:sz="4" w:space="0" w:color="auto"/>
              <w:left w:val="single" w:sz="4" w:space="0" w:color="auto"/>
              <w:bottom w:val="single" w:sz="4" w:space="0" w:color="auto"/>
              <w:right w:val="single" w:sz="4" w:space="0" w:color="auto"/>
            </w:tcBorders>
            <w:hideMark/>
          </w:tcPr>
          <w:p w:rsidR="00390833" w:rsidRPr="00B14254" w:rsidRDefault="00B14254" w:rsidP="0084034D">
            <w:pPr>
              <w:pStyle w:val="Tabletext"/>
              <w:keepNext/>
              <w:jc w:val="center"/>
              <w:rPr>
                <w:bCs/>
                <w:color w:val="000000"/>
                <w:highlight w:val="black"/>
              </w:rPr>
            </w:pPr>
            <w:r>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B14254" w:rsidRDefault="00B14254" w:rsidP="0084034D">
            <w:pPr>
              <w:pStyle w:val="Tabletext"/>
              <w:keepNext/>
              <w:jc w:val="center"/>
              <w:rPr>
                <w:bCs/>
                <w:color w:val="000000"/>
                <w:highlight w:val="black"/>
              </w:rPr>
            </w:pPr>
            <w:r>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B14254" w:rsidRDefault="00B14254" w:rsidP="0084034D">
            <w:pPr>
              <w:pStyle w:val="Tabletext"/>
              <w:keepNext/>
              <w:jc w:val="center"/>
              <w:rPr>
                <w:bCs/>
                <w:color w:val="000000"/>
                <w:highlight w:val="black"/>
              </w:rPr>
            </w:pPr>
            <w:r>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B14254" w:rsidRDefault="00B14254" w:rsidP="0084034D">
            <w:pPr>
              <w:pStyle w:val="Tabletext"/>
              <w:keepNext/>
              <w:jc w:val="center"/>
              <w:rPr>
                <w:bCs/>
                <w:color w:val="000000"/>
                <w:highlight w:val="black"/>
              </w:rPr>
            </w:pPr>
            <w:r>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B14254" w:rsidRDefault="00B14254" w:rsidP="0084034D">
            <w:pPr>
              <w:pStyle w:val="Tabletext"/>
              <w:keepNext/>
              <w:jc w:val="center"/>
              <w:rPr>
                <w:bCs/>
                <w:color w:val="000000"/>
                <w:highlight w:val="black"/>
              </w:rPr>
            </w:pPr>
            <w:r>
              <w:rPr>
                <w:noProof/>
                <w:color w:val="000000"/>
                <w:highlight w:val="black"/>
              </w:rPr>
              <w:t>'''''''''''''''</w:t>
            </w:r>
          </w:p>
        </w:tc>
        <w:tc>
          <w:tcPr>
            <w:tcW w:w="615" w:type="pct"/>
            <w:tcBorders>
              <w:top w:val="single" w:sz="4" w:space="0" w:color="auto"/>
              <w:left w:val="single" w:sz="4" w:space="0" w:color="auto"/>
              <w:bottom w:val="single" w:sz="4" w:space="0" w:color="auto"/>
              <w:right w:val="single" w:sz="4" w:space="0" w:color="auto"/>
            </w:tcBorders>
            <w:hideMark/>
          </w:tcPr>
          <w:p w:rsidR="00390833" w:rsidRPr="00B14254" w:rsidRDefault="00B14254" w:rsidP="0084034D">
            <w:pPr>
              <w:pStyle w:val="Tabletext"/>
              <w:keepNext/>
              <w:jc w:val="center"/>
              <w:rPr>
                <w:bCs/>
                <w:color w:val="000000"/>
                <w:highlight w:val="black"/>
              </w:rPr>
            </w:pPr>
            <w:r>
              <w:rPr>
                <w:noProof/>
                <w:color w:val="000000"/>
                <w:highlight w:val="black"/>
              </w:rPr>
              <w:t>'''''''''''''</w:t>
            </w:r>
          </w:p>
        </w:tc>
      </w:tr>
      <w:tr w:rsidR="00390833" w:rsidRPr="004C2D88" w:rsidTr="00390833">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rPr>
                <w:b/>
                <w:bCs/>
                <w:color w:val="000000"/>
              </w:rPr>
            </w:pPr>
            <w:r w:rsidRPr="004C2D88">
              <w:rPr>
                <w:b/>
                <w:bCs/>
                <w:color w:val="000000"/>
              </w:rPr>
              <w:t>Estimated financial implications of encorafenib+binimetinib</w:t>
            </w:r>
          </w:p>
        </w:tc>
      </w:tr>
      <w:tr w:rsidR="00390833" w:rsidRPr="004C2D88" w:rsidTr="00D50317">
        <w:tc>
          <w:tcPr>
            <w:tcW w:w="1342"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rPr>
                <w:szCs w:val="20"/>
              </w:rPr>
            </w:pPr>
            <w:r w:rsidRPr="004C2D88">
              <w:rPr>
                <w:szCs w:val="20"/>
              </w:rPr>
              <w:t>Cost to PBS/RPBS</w:t>
            </w:r>
          </w:p>
        </w:tc>
        <w:tc>
          <w:tcPr>
            <w:tcW w:w="546"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r>
      <w:tr w:rsidR="00390833" w:rsidRPr="004C2D88" w:rsidTr="00D50317">
        <w:tc>
          <w:tcPr>
            <w:tcW w:w="1342"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rPr>
                <w:szCs w:val="20"/>
              </w:rPr>
            </w:pPr>
            <w:r w:rsidRPr="004C2D88">
              <w:rPr>
                <w:szCs w:val="20"/>
              </w:rPr>
              <w:t>Co-payments</w:t>
            </w:r>
          </w:p>
        </w:tc>
        <w:tc>
          <w:tcPr>
            <w:tcW w:w="546"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r>
      <w:tr w:rsidR="00390833" w:rsidRPr="004C2D88" w:rsidTr="00D50317">
        <w:tc>
          <w:tcPr>
            <w:tcW w:w="1342" w:type="pct"/>
            <w:tcBorders>
              <w:top w:val="single" w:sz="4" w:space="0" w:color="auto"/>
              <w:left w:val="single" w:sz="4" w:space="0" w:color="auto"/>
              <w:bottom w:val="nil"/>
              <w:right w:val="single" w:sz="4" w:space="0" w:color="auto"/>
            </w:tcBorders>
            <w:vAlign w:val="center"/>
            <w:hideMark/>
          </w:tcPr>
          <w:p w:rsidR="00390833" w:rsidRPr="004C2D88" w:rsidRDefault="00A36707" w:rsidP="0084034D">
            <w:pPr>
              <w:pStyle w:val="Tabletext"/>
              <w:keepNext/>
              <w:rPr>
                <w:szCs w:val="20"/>
              </w:rPr>
            </w:pPr>
            <w:r w:rsidRPr="004C2D88">
              <w:rPr>
                <w:szCs w:val="20"/>
              </w:rPr>
              <w:t>Total c</w:t>
            </w:r>
            <w:r w:rsidR="00390833" w:rsidRPr="004C2D88">
              <w:rPr>
                <w:szCs w:val="20"/>
              </w:rPr>
              <w:t xml:space="preserve">ost to PBS/RPBS </w:t>
            </w:r>
          </w:p>
        </w:tc>
        <w:tc>
          <w:tcPr>
            <w:tcW w:w="546"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15"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r>
      <w:tr w:rsidR="00390833" w:rsidRPr="004C2D88" w:rsidTr="00D50317">
        <w:tc>
          <w:tcPr>
            <w:tcW w:w="1342"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ind w:left="284"/>
              <w:rPr>
                <w:i/>
                <w:szCs w:val="20"/>
              </w:rPr>
            </w:pPr>
            <w:r w:rsidRPr="004C2D88">
              <w:rPr>
                <w:i/>
                <w:szCs w:val="20"/>
              </w:rPr>
              <w:t>Revised</w:t>
            </w:r>
            <w:r w:rsidRPr="004C2D88">
              <w:rPr>
                <w:i/>
                <w:szCs w:val="20"/>
                <w:vertAlign w:val="superscript"/>
              </w:rPr>
              <w:t>a</w:t>
            </w:r>
          </w:p>
        </w:tc>
        <w:tc>
          <w:tcPr>
            <w:tcW w:w="546" w:type="pct"/>
            <w:tcBorders>
              <w:top w:val="nil"/>
              <w:left w:val="single" w:sz="4" w:space="0" w:color="auto"/>
              <w:bottom w:val="single" w:sz="4" w:space="0" w:color="auto"/>
              <w:right w:val="single" w:sz="4" w:space="0" w:color="auto"/>
            </w:tcBorders>
            <w:vAlign w:val="center"/>
          </w:tcPr>
          <w:p w:rsidR="00390833" w:rsidRPr="004C2D88" w:rsidRDefault="00390833" w:rsidP="0084034D">
            <w:pPr>
              <w:pStyle w:val="Tabletext"/>
              <w:keepNext/>
              <w:jc w:val="right"/>
              <w:rPr>
                <w:szCs w:val="20"/>
              </w:rPr>
            </w:pPr>
          </w:p>
        </w:tc>
        <w:tc>
          <w:tcPr>
            <w:tcW w:w="624"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i/>
                <w:szCs w:val="20"/>
              </w:rPr>
            </w:pPr>
            <w:r w:rsidRPr="004C2D88">
              <w:rPr>
                <w:i/>
                <w:szCs w:val="20"/>
              </w:rPr>
              <w:t>$</w:t>
            </w:r>
            <w:r w:rsidR="00B14254">
              <w:rPr>
                <w:i/>
                <w:noProof/>
                <w:color w:val="000000"/>
                <w:szCs w:val="20"/>
                <w:highlight w:val="black"/>
              </w:rPr>
              <w:t>''''''''''''''''''''''''''</w:t>
            </w:r>
          </w:p>
        </w:tc>
        <w:tc>
          <w:tcPr>
            <w:tcW w:w="624"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i/>
                <w:szCs w:val="20"/>
              </w:rPr>
            </w:pPr>
            <w:r w:rsidRPr="004C2D88">
              <w:rPr>
                <w:i/>
                <w:szCs w:val="20"/>
              </w:rPr>
              <w:t>$</w:t>
            </w:r>
            <w:r w:rsidR="00B14254">
              <w:rPr>
                <w:i/>
                <w:noProof/>
                <w:color w:val="000000"/>
                <w:szCs w:val="20"/>
                <w:highlight w:val="black"/>
              </w:rPr>
              <w:t>'''''''''''''''''''''''''</w:t>
            </w:r>
          </w:p>
        </w:tc>
        <w:tc>
          <w:tcPr>
            <w:tcW w:w="624" w:type="pct"/>
            <w:tcBorders>
              <w:top w:val="nil"/>
              <w:left w:val="single" w:sz="4" w:space="0" w:color="auto"/>
              <w:bottom w:val="single" w:sz="4" w:space="0" w:color="auto"/>
              <w:right w:val="single" w:sz="4" w:space="0" w:color="auto"/>
            </w:tcBorders>
            <w:vAlign w:val="center"/>
            <w:hideMark/>
          </w:tcPr>
          <w:p w:rsidR="00390833" w:rsidRPr="00B14254" w:rsidRDefault="00B14254" w:rsidP="0084034D">
            <w:pPr>
              <w:pStyle w:val="Tabletext"/>
              <w:keepNext/>
              <w:jc w:val="right"/>
              <w:rPr>
                <w:i/>
                <w:szCs w:val="20"/>
                <w:highlight w:val="black"/>
              </w:rPr>
            </w:pPr>
            <w:r>
              <w:rPr>
                <w:i/>
                <w:noProof/>
                <w:color w:val="000000"/>
                <w:szCs w:val="20"/>
                <w:highlight w:val="black"/>
              </w:rPr>
              <w:t>''''''''''''''''''''''''''''''''</w:t>
            </w:r>
          </w:p>
        </w:tc>
        <w:tc>
          <w:tcPr>
            <w:tcW w:w="624"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i/>
                <w:szCs w:val="20"/>
              </w:rPr>
            </w:pPr>
            <w:r w:rsidRPr="004C2D88">
              <w:rPr>
                <w:i/>
                <w:szCs w:val="20"/>
              </w:rPr>
              <w:t>$</w:t>
            </w:r>
            <w:r w:rsidR="00B14254">
              <w:rPr>
                <w:i/>
                <w:noProof/>
                <w:color w:val="000000"/>
                <w:szCs w:val="20"/>
                <w:highlight w:val="black"/>
              </w:rPr>
              <w:t>'''''''''''''''''''''''''</w:t>
            </w:r>
          </w:p>
        </w:tc>
        <w:tc>
          <w:tcPr>
            <w:tcW w:w="615"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i/>
                <w:szCs w:val="20"/>
              </w:rPr>
            </w:pPr>
            <w:r w:rsidRPr="004C2D88">
              <w:rPr>
                <w:i/>
                <w:szCs w:val="20"/>
              </w:rPr>
              <w:t>$</w:t>
            </w:r>
            <w:r w:rsidR="00B14254">
              <w:rPr>
                <w:i/>
                <w:noProof/>
                <w:color w:val="000000"/>
                <w:szCs w:val="20"/>
                <w:highlight w:val="black"/>
              </w:rPr>
              <w:t>'''''''''''''''''''''''''''</w:t>
            </w:r>
          </w:p>
        </w:tc>
      </w:tr>
      <w:tr w:rsidR="00390833" w:rsidRPr="004C2D88" w:rsidTr="00390833">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rPr>
                <w:bCs/>
                <w:color w:val="000000"/>
                <w:szCs w:val="20"/>
              </w:rPr>
            </w:pPr>
            <w:r w:rsidRPr="004C2D88">
              <w:rPr>
                <w:b/>
                <w:bCs/>
                <w:color w:val="000000"/>
                <w:szCs w:val="20"/>
              </w:rPr>
              <w:t>Estimated financial implications for dabrafenib+trametinib and vemurafenib+cobimetinib</w:t>
            </w:r>
          </w:p>
        </w:tc>
      </w:tr>
      <w:tr w:rsidR="00390833" w:rsidRPr="004C2D88" w:rsidTr="00D50317">
        <w:tc>
          <w:tcPr>
            <w:tcW w:w="1342"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rPr>
                <w:szCs w:val="20"/>
              </w:rPr>
            </w:pPr>
            <w:r w:rsidRPr="004C2D88">
              <w:rPr>
                <w:szCs w:val="20"/>
              </w:rPr>
              <w:t>Cost to PBS/RPBS</w:t>
            </w:r>
          </w:p>
        </w:tc>
        <w:tc>
          <w:tcPr>
            <w:tcW w:w="546"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15"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r>
      <w:tr w:rsidR="00390833" w:rsidRPr="004C2D88" w:rsidTr="00D50317">
        <w:tc>
          <w:tcPr>
            <w:tcW w:w="1342"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rPr>
                <w:szCs w:val="20"/>
              </w:rPr>
            </w:pPr>
            <w:r w:rsidRPr="004C2D88">
              <w:rPr>
                <w:szCs w:val="20"/>
              </w:rPr>
              <w:t>Co-payments</w:t>
            </w:r>
          </w:p>
        </w:tc>
        <w:tc>
          <w:tcPr>
            <w:tcW w:w="546"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15"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r>
      <w:tr w:rsidR="00390833" w:rsidRPr="004C2D88" w:rsidTr="00D50317">
        <w:tc>
          <w:tcPr>
            <w:tcW w:w="1342"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A36707" w:rsidP="0084034D">
            <w:pPr>
              <w:pStyle w:val="Tabletext"/>
              <w:keepNext/>
              <w:rPr>
                <w:szCs w:val="20"/>
              </w:rPr>
            </w:pPr>
            <w:r w:rsidRPr="004C2D88">
              <w:rPr>
                <w:szCs w:val="20"/>
              </w:rPr>
              <w:t>Total c</w:t>
            </w:r>
            <w:r w:rsidR="00390833" w:rsidRPr="004C2D88">
              <w:rPr>
                <w:szCs w:val="20"/>
              </w:rPr>
              <w:t xml:space="preserve">ost to PBS/RPBS </w:t>
            </w:r>
          </w:p>
        </w:tc>
        <w:tc>
          <w:tcPr>
            <w:tcW w:w="546"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r>
      <w:tr w:rsidR="00390833" w:rsidRPr="004C2D88" w:rsidTr="00390833">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rPr>
                <w:b/>
                <w:bCs/>
                <w:color w:val="000000"/>
                <w:szCs w:val="20"/>
              </w:rPr>
            </w:pPr>
            <w:r w:rsidRPr="004C2D88">
              <w:rPr>
                <w:b/>
                <w:bCs/>
                <w:color w:val="000000"/>
                <w:szCs w:val="20"/>
              </w:rPr>
              <w:t>Net financial implications</w:t>
            </w:r>
          </w:p>
        </w:tc>
      </w:tr>
      <w:tr w:rsidR="00390833" w:rsidRPr="004C2D88" w:rsidTr="00D50317">
        <w:tc>
          <w:tcPr>
            <w:tcW w:w="1342"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rPr>
                <w:szCs w:val="20"/>
              </w:rPr>
            </w:pPr>
            <w:r w:rsidRPr="004C2D88">
              <w:rPr>
                <w:szCs w:val="20"/>
              </w:rPr>
              <w:t xml:space="preserve">Net cost to </w:t>
            </w:r>
            <w:r w:rsidR="00D50317" w:rsidRPr="004C2D88">
              <w:rPr>
                <w:szCs w:val="20"/>
              </w:rPr>
              <w:t>P</w:t>
            </w:r>
            <w:r w:rsidRPr="004C2D88">
              <w:rPr>
                <w:szCs w:val="20"/>
              </w:rPr>
              <w:t>BS/RPBS</w:t>
            </w:r>
          </w:p>
        </w:tc>
        <w:tc>
          <w:tcPr>
            <w:tcW w:w="546"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24"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c>
          <w:tcPr>
            <w:tcW w:w="615" w:type="pct"/>
            <w:tcBorders>
              <w:top w:val="single" w:sz="4" w:space="0" w:color="auto"/>
              <w:left w:val="single" w:sz="4" w:space="0" w:color="auto"/>
              <w:bottom w:val="nil"/>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szCs w:val="20"/>
              </w:rPr>
              <w:t>$</w:t>
            </w:r>
            <w:r w:rsidR="00B14254">
              <w:rPr>
                <w:noProof/>
                <w:color w:val="000000"/>
                <w:szCs w:val="20"/>
                <w:highlight w:val="black"/>
              </w:rPr>
              <w:t>''''''''''''''''</w:t>
            </w:r>
          </w:p>
        </w:tc>
      </w:tr>
      <w:tr w:rsidR="00390833" w:rsidRPr="004C2D88" w:rsidTr="00D50317">
        <w:tc>
          <w:tcPr>
            <w:tcW w:w="1342"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ind w:left="284"/>
              <w:rPr>
                <w:i/>
                <w:szCs w:val="20"/>
              </w:rPr>
            </w:pPr>
            <w:r w:rsidRPr="004C2D88">
              <w:rPr>
                <w:i/>
                <w:szCs w:val="20"/>
              </w:rPr>
              <w:t>Revised</w:t>
            </w:r>
            <w:r w:rsidRPr="004C2D88">
              <w:rPr>
                <w:i/>
                <w:szCs w:val="20"/>
                <w:vertAlign w:val="superscript"/>
              </w:rPr>
              <w:t xml:space="preserve">a </w:t>
            </w:r>
          </w:p>
        </w:tc>
        <w:tc>
          <w:tcPr>
            <w:tcW w:w="546" w:type="pct"/>
            <w:tcBorders>
              <w:top w:val="nil"/>
              <w:left w:val="single" w:sz="4" w:space="0" w:color="auto"/>
              <w:bottom w:val="single" w:sz="4" w:space="0" w:color="auto"/>
              <w:right w:val="single" w:sz="4" w:space="0" w:color="auto"/>
            </w:tcBorders>
            <w:vAlign w:val="center"/>
          </w:tcPr>
          <w:p w:rsidR="00390833" w:rsidRPr="004C2D88" w:rsidRDefault="00390833" w:rsidP="0084034D">
            <w:pPr>
              <w:pStyle w:val="Tabletext"/>
              <w:keepNext/>
              <w:jc w:val="right"/>
              <w:rPr>
                <w:szCs w:val="20"/>
              </w:rPr>
            </w:pPr>
          </w:p>
        </w:tc>
        <w:tc>
          <w:tcPr>
            <w:tcW w:w="624"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szCs w:val="20"/>
              </w:rPr>
            </w:pPr>
            <w:r w:rsidRPr="004C2D88">
              <w:rPr>
                <w:i/>
                <w:szCs w:val="20"/>
              </w:rPr>
              <w:t>$</w:t>
            </w:r>
            <w:r w:rsidR="00B14254">
              <w:rPr>
                <w:i/>
                <w:noProof/>
                <w:color w:val="000000"/>
                <w:szCs w:val="20"/>
                <w:highlight w:val="black"/>
              </w:rPr>
              <w:t>''''''''''''''''</w:t>
            </w:r>
          </w:p>
        </w:tc>
        <w:tc>
          <w:tcPr>
            <w:tcW w:w="624"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szCs w:val="20"/>
              </w:rPr>
            </w:pPr>
            <w:r w:rsidRPr="004C2D88">
              <w:rPr>
                <w:i/>
                <w:szCs w:val="20"/>
              </w:rPr>
              <w:t>$</w:t>
            </w:r>
            <w:r w:rsidR="00B14254">
              <w:rPr>
                <w:i/>
                <w:noProof/>
                <w:color w:val="000000"/>
                <w:szCs w:val="20"/>
                <w:highlight w:val="black"/>
              </w:rPr>
              <w:t>'''''''''''''''</w:t>
            </w:r>
          </w:p>
        </w:tc>
        <w:tc>
          <w:tcPr>
            <w:tcW w:w="624"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szCs w:val="20"/>
              </w:rPr>
            </w:pPr>
            <w:r w:rsidRPr="004C2D88">
              <w:rPr>
                <w:i/>
                <w:szCs w:val="20"/>
              </w:rPr>
              <w:t>$</w:t>
            </w:r>
            <w:r w:rsidR="00B14254">
              <w:rPr>
                <w:i/>
                <w:noProof/>
                <w:color w:val="000000"/>
                <w:szCs w:val="20"/>
                <w:highlight w:val="black"/>
              </w:rPr>
              <w:t>'''''''''''''''''</w:t>
            </w:r>
          </w:p>
        </w:tc>
        <w:tc>
          <w:tcPr>
            <w:tcW w:w="624"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szCs w:val="20"/>
              </w:rPr>
            </w:pPr>
            <w:r w:rsidRPr="004C2D88">
              <w:rPr>
                <w:i/>
                <w:szCs w:val="20"/>
              </w:rPr>
              <w:t>$</w:t>
            </w:r>
            <w:r w:rsidR="00B14254">
              <w:rPr>
                <w:i/>
                <w:noProof/>
                <w:color w:val="000000"/>
                <w:szCs w:val="20"/>
                <w:highlight w:val="black"/>
              </w:rPr>
              <w:t>'''''''''''''''''</w:t>
            </w:r>
          </w:p>
        </w:tc>
        <w:tc>
          <w:tcPr>
            <w:tcW w:w="615" w:type="pct"/>
            <w:tcBorders>
              <w:top w:val="nil"/>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szCs w:val="20"/>
              </w:rPr>
            </w:pPr>
            <w:r w:rsidRPr="004C2D88">
              <w:rPr>
                <w:i/>
                <w:szCs w:val="20"/>
              </w:rPr>
              <w:t>$</w:t>
            </w:r>
            <w:r w:rsidR="00B14254">
              <w:rPr>
                <w:i/>
                <w:noProof/>
                <w:color w:val="000000"/>
                <w:szCs w:val="20"/>
                <w:highlight w:val="black"/>
              </w:rPr>
              <w:t>''''''''''''''''''</w:t>
            </w:r>
          </w:p>
        </w:tc>
      </w:tr>
      <w:tr w:rsidR="00390833" w:rsidRPr="004C2D88" w:rsidTr="00D50317">
        <w:tc>
          <w:tcPr>
            <w:tcW w:w="1342"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rPr>
                <w:szCs w:val="20"/>
              </w:rPr>
            </w:pPr>
            <w:r w:rsidRPr="004C2D88">
              <w:rPr>
                <w:szCs w:val="20"/>
              </w:rPr>
              <w:t>Net cost to MBS</w:t>
            </w:r>
          </w:p>
        </w:tc>
        <w:tc>
          <w:tcPr>
            <w:tcW w:w="546"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bCs/>
                <w:color w:val="000000"/>
                <w:szCs w:val="20"/>
              </w:rPr>
              <w:t>$0</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bCs/>
                <w:color w:val="000000"/>
                <w:szCs w:val="20"/>
              </w:rPr>
              <w:t>$0</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bCs/>
                <w:color w:val="000000"/>
                <w:szCs w:val="20"/>
              </w:rPr>
              <w:t>$0</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bCs/>
                <w:color w:val="000000"/>
                <w:szCs w:val="20"/>
              </w:rPr>
              <w:t>$0</w:t>
            </w:r>
          </w:p>
        </w:tc>
        <w:tc>
          <w:tcPr>
            <w:tcW w:w="624" w:type="pct"/>
            <w:tcBorders>
              <w:top w:val="single" w:sz="4" w:space="0" w:color="auto"/>
              <w:left w:val="single" w:sz="4" w:space="0" w:color="auto"/>
              <w:bottom w:val="single" w:sz="4" w:space="0" w:color="auto"/>
              <w:right w:val="single" w:sz="4" w:space="0" w:color="auto"/>
            </w:tcBorders>
            <w:vAlign w:val="center"/>
            <w:hideMark/>
          </w:tcPr>
          <w:p w:rsidR="00390833" w:rsidRPr="004C2D88" w:rsidRDefault="00390833" w:rsidP="0084034D">
            <w:pPr>
              <w:pStyle w:val="Tabletext"/>
              <w:keepNext/>
              <w:jc w:val="right"/>
              <w:rPr>
                <w:bCs/>
                <w:color w:val="000000"/>
                <w:szCs w:val="20"/>
              </w:rPr>
            </w:pPr>
            <w:r w:rsidRPr="004C2D88">
              <w:rPr>
                <w:bCs/>
                <w:color w:val="000000"/>
                <w:szCs w:val="20"/>
              </w:rPr>
              <w:t>$0</w:t>
            </w:r>
          </w:p>
        </w:tc>
        <w:tc>
          <w:tcPr>
            <w:tcW w:w="615" w:type="pct"/>
            <w:tcBorders>
              <w:top w:val="single" w:sz="4" w:space="0" w:color="auto"/>
              <w:left w:val="single" w:sz="4" w:space="0" w:color="auto"/>
              <w:bottom w:val="single" w:sz="4" w:space="0" w:color="auto"/>
              <w:right w:val="single" w:sz="4" w:space="0" w:color="auto"/>
            </w:tcBorders>
            <w:hideMark/>
          </w:tcPr>
          <w:p w:rsidR="00390833" w:rsidRPr="004C2D88" w:rsidRDefault="00390833" w:rsidP="0084034D">
            <w:pPr>
              <w:pStyle w:val="Tabletext"/>
              <w:keepNext/>
              <w:jc w:val="right"/>
              <w:rPr>
                <w:bCs/>
                <w:color w:val="000000"/>
                <w:szCs w:val="20"/>
              </w:rPr>
            </w:pPr>
            <w:r w:rsidRPr="004C2D88">
              <w:rPr>
                <w:bCs/>
                <w:color w:val="000000"/>
                <w:szCs w:val="20"/>
              </w:rPr>
              <w:t>$0</w:t>
            </w:r>
          </w:p>
        </w:tc>
      </w:tr>
    </w:tbl>
    <w:p w:rsidR="00390833" w:rsidRPr="004C2D88" w:rsidRDefault="00390833" w:rsidP="00465BB6">
      <w:pPr>
        <w:pStyle w:val="TableFooter"/>
        <w:widowControl/>
      </w:pPr>
      <w:r w:rsidRPr="004C2D88">
        <w:rPr>
          <w:i/>
          <w:vertAlign w:val="superscript"/>
        </w:rPr>
        <w:t>a</w:t>
      </w:r>
      <w:r w:rsidRPr="004C2D88">
        <w:rPr>
          <w:i/>
        </w:rPr>
        <w:t xml:space="preserve"> Revised by correcting the submission’s referencing error in calculating the net cost of binimetinib to the PBS/RPBS.</w:t>
      </w:r>
    </w:p>
    <w:p w:rsidR="002568D2" w:rsidRPr="004C2D88" w:rsidRDefault="002568D2" w:rsidP="00465BB6">
      <w:pPr>
        <w:pStyle w:val="TableFooter"/>
        <w:widowControl/>
      </w:pPr>
      <w:r w:rsidRPr="004C2D88">
        <w:t xml:space="preserve">Source: </w:t>
      </w:r>
      <w:r w:rsidR="009B49E1" w:rsidRPr="004C2D88">
        <w:t>Table 4.5, p180, Table 4.7, p182, Table 4.8, p182, Table 4.9, p182, Table 4.12, p184, Table 4.15, p187 of the submission.</w:t>
      </w:r>
    </w:p>
    <w:p w:rsidR="008628F4" w:rsidRPr="004C2D88" w:rsidRDefault="008628F4" w:rsidP="00465BB6">
      <w:pPr>
        <w:pStyle w:val="TableFooter"/>
        <w:widowControl/>
        <w:rPr>
          <w:rStyle w:val="CommentReference"/>
        </w:rPr>
      </w:pPr>
    </w:p>
    <w:p w:rsidR="00390833" w:rsidRPr="004C2D88" w:rsidRDefault="00390833" w:rsidP="00D073C6">
      <w:pPr>
        <w:pStyle w:val="ListParagraph"/>
        <w:widowControl/>
        <w:numPr>
          <w:ilvl w:val="1"/>
          <w:numId w:val="4"/>
        </w:numPr>
        <w:snapToGrid w:val="0"/>
      </w:pPr>
      <w:bookmarkStart w:id="31" w:name="_Toc371170713"/>
      <w:r w:rsidRPr="004C2D88">
        <w:t xml:space="preserve">The submission estimated that the listing of encorafenib+binimetinib combination therapy would result in an additional cost of </w:t>
      </w:r>
      <w:r w:rsidR="00A36707" w:rsidRPr="004C2D88">
        <w:t xml:space="preserve">approximately </w:t>
      </w:r>
      <w:r w:rsidR="00465BB6" w:rsidRPr="004C2D88">
        <w:t>$</w:t>
      </w:r>
      <w:r w:rsidR="00A72424">
        <w:t>less than $10 million per year</w:t>
      </w:r>
      <w:r w:rsidR="00465BB6" w:rsidRPr="004C2D88">
        <w:t xml:space="preserve"> over the first </w:t>
      </w:r>
      <w:r w:rsidR="004C2D88">
        <w:t>six</w:t>
      </w:r>
      <w:r w:rsidR="004C2D88" w:rsidRPr="004C2D88">
        <w:t> </w:t>
      </w:r>
      <w:r w:rsidRPr="004C2D88">
        <w:t xml:space="preserve">years of listing. </w:t>
      </w:r>
    </w:p>
    <w:p w:rsidR="00390833" w:rsidRPr="004C2D88" w:rsidRDefault="00390833" w:rsidP="00D073C6">
      <w:pPr>
        <w:pStyle w:val="ListParagraph"/>
        <w:widowControl/>
        <w:numPr>
          <w:ilvl w:val="1"/>
          <w:numId w:val="4"/>
        </w:numPr>
        <w:snapToGrid w:val="0"/>
      </w:pPr>
      <w:r w:rsidRPr="004C2D88">
        <w:t>The major financial uncertainty was the uptake of encorafenib+binimetinib (submission’s assum</w:t>
      </w:r>
      <w:r w:rsidR="00C5075E" w:rsidRPr="004C2D88">
        <w:t>ption</w:t>
      </w:r>
      <w:r w:rsidRPr="004C2D88">
        <w:t xml:space="preserve">: </w:t>
      </w:r>
      <w:r w:rsidR="00B14254">
        <w:rPr>
          <w:noProof/>
          <w:color w:val="000000"/>
          <w:highlight w:val="black"/>
        </w:rPr>
        <w:t>'''</w:t>
      </w:r>
      <w:r w:rsidRPr="004C2D88">
        <w:t xml:space="preserve">% in Year 1, increasing to </w:t>
      </w:r>
      <w:r w:rsidR="00B14254">
        <w:rPr>
          <w:noProof/>
          <w:color w:val="000000"/>
          <w:highlight w:val="black"/>
        </w:rPr>
        <w:t>''''''</w:t>
      </w:r>
      <w:r w:rsidRPr="004C2D88">
        <w:t>% in Years 5-6). Th</w:t>
      </w:r>
      <w:r w:rsidR="00940B94" w:rsidRPr="004C2D88">
        <w:t>e uptake rate</w:t>
      </w:r>
      <w:r w:rsidRPr="004C2D88">
        <w:t xml:space="preserve"> however, would not have </w:t>
      </w:r>
      <w:r w:rsidR="00940B94" w:rsidRPr="004C2D88">
        <w:t xml:space="preserve">a substantial </w:t>
      </w:r>
      <w:r w:rsidRPr="004C2D88">
        <w:t xml:space="preserve">impact on the </w:t>
      </w:r>
      <w:r w:rsidR="00940B94" w:rsidRPr="004C2D88">
        <w:t xml:space="preserve">calculated </w:t>
      </w:r>
      <w:r w:rsidRPr="004C2D88">
        <w:t xml:space="preserve">net cost to the PBS/RPBS, given the cost-minimisation analysis approach taken by the submission. </w:t>
      </w:r>
    </w:p>
    <w:p w:rsidR="00994679" w:rsidRPr="004C2D88" w:rsidRDefault="00994679" w:rsidP="00D073C6">
      <w:pPr>
        <w:pStyle w:val="ListParagraph"/>
        <w:widowControl/>
        <w:numPr>
          <w:ilvl w:val="1"/>
          <w:numId w:val="4"/>
        </w:numPr>
        <w:snapToGrid w:val="0"/>
      </w:pPr>
      <w:r w:rsidRPr="004C2D88">
        <w:t xml:space="preserve">The PSCR (p4) requested that if recommended, a </w:t>
      </w:r>
      <w:r w:rsidR="004F7CE1" w:rsidRPr="004C2D88">
        <w:t>Special Pricing Arrangement (</w:t>
      </w:r>
      <w:r w:rsidR="00487104" w:rsidRPr="004C2D88">
        <w:t>SPA</w:t>
      </w:r>
      <w:r w:rsidR="004F7CE1" w:rsidRPr="004C2D88">
        <w:t>)</w:t>
      </w:r>
      <w:r w:rsidRPr="004C2D88">
        <w:t xml:space="preserve"> would apply to the listing of encorafenib + binimetinib, in-line with the effective price</w:t>
      </w:r>
      <w:r w:rsidR="009D6A88" w:rsidRPr="004C2D88">
        <w:t>s</w:t>
      </w:r>
      <w:r w:rsidRPr="004C2D88">
        <w:t xml:space="preserve"> of dabrafenib+trametinib</w:t>
      </w:r>
      <w:r w:rsidR="009D6A88" w:rsidRPr="004C2D88">
        <w:t xml:space="preserve"> and vemurafenib+cobimetinib</w:t>
      </w:r>
      <w:r w:rsidRPr="004C2D88">
        <w:t>.</w:t>
      </w:r>
    </w:p>
    <w:p w:rsidR="00390833" w:rsidRPr="004C2D88" w:rsidRDefault="00390833" w:rsidP="00465BB6">
      <w:pPr>
        <w:pStyle w:val="Heading2"/>
        <w:widowControl/>
      </w:pPr>
      <w:bookmarkStart w:id="32" w:name="_Toc524515818"/>
      <w:r w:rsidRPr="004C2D88">
        <w:t>Quality Use of Medicines</w:t>
      </w:r>
      <w:bookmarkEnd w:id="31"/>
      <w:bookmarkEnd w:id="32"/>
    </w:p>
    <w:p w:rsidR="00390833" w:rsidRPr="004C2D88" w:rsidRDefault="00390833" w:rsidP="00D073C6">
      <w:pPr>
        <w:pStyle w:val="ListParagraph"/>
        <w:widowControl/>
        <w:numPr>
          <w:ilvl w:val="1"/>
          <w:numId w:val="4"/>
        </w:numPr>
        <w:snapToGrid w:val="0"/>
        <w:spacing w:after="0"/>
        <w:contextualSpacing/>
      </w:pPr>
      <w:r w:rsidRPr="004C2D88">
        <w:t xml:space="preserve">The submission did not identify any quality use </w:t>
      </w:r>
      <w:r w:rsidR="00C5075E" w:rsidRPr="004C2D88">
        <w:t xml:space="preserve">of </w:t>
      </w:r>
      <w:r w:rsidRPr="004C2D88">
        <w:t xml:space="preserve">medicines (QUM) issues. One QUM concern related </w:t>
      </w:r>
      <w:r w:rsidR="00C5075E" w:rsidRPr="004C2D88">
        <w:t xml:space="preserve">to </w:t>
      </w:r>
      <w:r w:rsidRPr="004C2D88">
        <w:t xml:space="preserve">the use of encorafenib+binimetinib </w:t>
      </w:r>
      <w:r w:rsidR="00940B94" w:rsidRPr="004C2D88">
        <w:t xml:space="preserve">identified during evaluation </w:t>
      </w:r>
      <w:r w:rsidRPr="004C2D88">
        <w:t>is its increased pill burden compared</w:t>
      </w:r>
      <w:r w:rsidR="00465BB6" w:rsidRPr="004C2D88">
        <w:t xml:space="preserve"> with dabrafenib+trametinib (12 </w:t>
      </w:r>
      <w:r w:rsidRPr="004C2D88">
        <w:t xml:space="preserve">tablets/capsules per day </w:t>
      </w:r>
      <w:r w:rsidR="00693EC2" w:rsidRPr="004C2D88">
        <w:t>vs.</w:t>
      </w:r>
      <w:r w:rsidRPr="004C2D88">
        <w:t xml:space="preserve"> 5 tablets/capsules per day).</w:t>
      </w:r>
    </w:p>
    <w:p w:rsidR="00031A2D" w:rsidRPr="004C2D88" w:rsidRDefault="00031A2D" w:rsidP="00465BB6">
      <w:pPr>
        <w:pStyle w:val="ListParagraph"/>
        <w:widowControl/>
        <w:snapToGrid w:val="0"/>
        <w:spacing w:after="0"/>
        <w:contextualSpacing/>
      </w:pPr>
    </w:p>
    <w:p w:rsidR="00576972" w:rsidRPr="004C2D88" w:rsidRDefault="00576972" w:rsidP="00465BB6">
      <w:pPr>
        <w:pStyle w:val="Heading2"/>
        <w:widowControl/>
      </w:pPr>
      <w:bookmarkStart w:id="33" w:name="_Toc524515819"/>
      <w:r w:rsidRPr="004C2D88">
        <w:t>Financial Management – Risk Sharing Arrangements</w:t>
      </w:r>
      <w:bookmarkEnd w:id="33"/>
    </w:p>
    <w:p w:rsidR="00310054" w:rsidRPr="004C2D88" w:rsidRDefault="00310054" w:rsidP="00465BB6">
      <w:pPr>
        <w:pStyle w:val="ListParagraph"/>
        <w:widowControl/>
        <w:numPr>
          <w:ilvl w:val="1"/>
          <w:numId w:val="1"/>
        </w:numPr>
        <w:spacing w:after="120"/>
      </w:pPr>
      <w:r w:rsidRPr="004C2D88">
        <w:t>No R</w:t>
      </w:r>
      <w:r w:rsidR="004C2D88">
        <w:t xml:space="preserve">isk </w:t>
      </w:r>
      <w:r w:rsidRPr="004C2D88">
        <w:t>S</w:t>
      </w:r>
      <w:r w:rsidR="004C2D88">
        <w:t xml:space="preserve">hare </w:t>
      </w:r>
      <w:r w:rsidRPr="004C2D88">
        <w:t>A</w:t>
      </w:r>
      <w:r w:rsidR="004C2D88">
        <w:t>rrangement (RSA)</w:t>
      </w:r>
      <w:r w:rsidRPr="004C2D88">
        <w:t xml:space="preserve"> was proposed in the submission. It is noted that there is a RSA between the sponsors of comparator combination therapies, dabrafenib+trametinib and vemurafenib+cobimetinib, and the Department</w:t>
      </w:r>
      <w:r w:rsidR="003D59CE" w:rsidRPr="004C2D88">
        <w:t>.</w:t>
      </w:r>
      <w:r w:rsidRPr="004C2D88">
        <w:t xml:space="preserve"> </w:t>
      </w:r>
    </w:p>
    <w:p w:rsidR="002610C7" w:rsidRPr="004C2D88" w:rsidRDefault="002610C7" w:rsidP="002610C7">
      <w:pPr>
        <w:ind w:firstLine="720"/>
        <w:rPr>
          <w:i/>
        </w:rPr>
      </w:pPr>
      <w:r w:rsidRPr="004C2D88">
        <w:rPr>
          <w:i/>
        </w:rPr>
        <w:t>For more details on the PBAC’s view, see Section 7 PBAC outcome.</w:t>
      </w:r>
    </w:p>
    <w:p w:rsidR="00002049" w:rsidRPr="004C2D88" w:rsidRDefault="00002049" w:rsidP="002610C7">
      <w:pPr>
        <w:ind w:firstLine="720"/>
        <w:rPr>
          <w:i/>
        </w:rPr>
      </w:pPr>
    </w:p>
    <w:p w:rsidR="004E21CE" w:rsidRPr="004C2D88" w:rsidRDefault="004E21CE" w:rsidP="00002049">
      <w:pPr>
        <w:pStyle w:val="Heading1"/>
      </w:pPr>
      <w:r w:rsidRPr="004C2D88">
        <w:t>PBAC Outcome</w:t>
      </w:r>
    </w:p>
    <w:p w:rsidR="003D59CE" w:rsidRPr="004C2D88" w:rsidRDefault="0091030D" w:rsidP="0091030D">
      <w:pPr>
        <w:numPr>
          <w:ilvl w:val="1"/>
          <w:numId w:val="1"/>
        </w:numPr>
        <w:spacing w:after="120"/>
        <w:rPr>
          <w:rFonts w:asciiTheme="minorHAnsi" w:hAnsiTheme="minorHAnsi"/>
          <w:bCs/>
        </w:rPr>
      </w:pPr>
      <w:r w:rsidRPr="004C2D88">
        <w:rPr>
          <w:rFonts w:asciiTheme="minorHAnsi" w:hAnsiTheme="minorHAnsi"/>
          <w:bCs/>
        </w:rPr>
        <w:t xml:space="preserve">The PBAC recommended the Authority Required (STREAMLINED) listing of encorafenib in combination with binimetinib, for the treatment of </w:t>
      </w:r>
      <w:r w:rsidRPr="004C2D88">
        <w:rPr>
          <w:rFonts w:asciiTheme="minorHAnsi" w:hAnsiTheme="minorHAnsi"/>
          <w:bCs/>
          <w:iCs/>
        </w:rPr>
        <w:t>BRAF</w:t>
      </w:r>
      <w:r w:rsidRPr="004C2D88">
        <w:rPr>
          <w:rFonts w:asciiTheme="minorHAnsi" w:hAnsiTheme="minorHAnsi"/>
          <w:bCs/>
          <w:i/>
          <w:iCs/>
        </w:rPr>
        <w:t xml:space="preserve"> </w:t>
      </w:r>
      <w:r w:rsidRPr="004C2D88">
        <w:rPr>
          <w:rFonts w:asciiTheme="minorHAnsi" w:hAnsiTheme="minorHAnsi"/>
          <w:bCs/>
        </w:rPr>
        <w:t xml:space="preserve">V600 mutation positive unresectable </w:t>
      </w:r>
      <w:r w:rsidR="004953B0" w:rsidRPr="004C2D88">
        <w:rPr>
          <w:rFonts w:asciiTheme="minorHAnsi" w:hAnsiTheme="minorHAnsi"/>
          <w:bCs/>
        </w:rPr>
        <w:t xml:space="preserve">Stage III </w:t>
      </w:r>
      <w:r w:rsidRPr="004C2D88">
        <w:rPr>
          <w:rFonts w:asciiTheme="minorHAnsi" w:hAnsiTheme="minorHAnsi"/>
          <w:bCs/>
        </w:rPr>
        <w:t xml:space="preserve">or </w:t>
      </w:r>
      <w:r w:rsidR="004953B0" w:rsidRPr="004C2D88">
        <w:rPr>
          <w:rFonts w:asciiTheme="minorHAnsi" w:hAnsiTheme="minorHAnsi"/>
          <w:bCs/>
        </w:rPr>
        <w:t xml:space="preserve">Stage IV </w:t>
      </w:r>
      <w:r w:rsidRPr="004C2D88">
        <w:rPr>
          <w:rFonts w:asciiTheme="minorHAnsi" w:hAnsiTheme="minorHAnsi"/>
          <w:bCs/>
        </w:rPr>
        <w:t xml:space="preserve">metastatic melanoma, on a cost-minimisation basis against dabrafenib+trametinib </w:t>
      </w:r>
      <w:r w:rsidR="003D59CE" w:rsidRPr="004C2D88">
        <w:rPr>
          <w:rFonts w:asciiTheme="minorHAnsi" w:hAnsiTheme="minorHAnsi"/>
          <w:bCs/>
        </w:rPr>
        <w:t xml:space="preserve">and vemurafenib+cobimetinib. </w:t>
      </w:r>
    </w:p>
    <w:p w:rsidR="009C1D1C" w:rsidRPr="004C2D88" w:rsidRDefault="009C1D1C" w:rsidP="009C1D1C">
      <w:pPr>
        <w:pStyle w:val="ListParagraph"/>
        <w:numPr>
          <w:ilvl w:val="1"/>
          <w:numId w:val="1"/>
        </w:numPr>
        <w:rPr>
          <w:rFonts w:asciiTheme="minorHAnsi" w:hAnsiTheme="minorHAnsi"/>
          <w:bCs/>
        </w:rPr>
      </w:pPr>
      <w:r w:rsidRPr="004C2D88">
        <w:rPr>
          <w:rFonts w:asciiTheme="minorHAnsi" w:hAnsiTheme="minorHAnsi"/>
          <w:bCs/>
        </w:rPr>
        <w:t xml:space="preserve">The PBAC acknowledged the input provided by individuals, health care professionals and organisations describing the clinical benefits and consumer demand for encorafenib+binimetinib in patients with BRAF V600 mutation-positive cutaneous melanoma. </w:t>
      </w:r>
    </w:p>
    <w:p w:rsidR="009C1D1C" w:rsidRPr="004C2D88" w:rsidRDefault="009C1D1C" w:rsidP="009C1D1C">
      <w:pPr>
        <w:pStyle w:val="ListParagraph"/>
        <w:numPr>
          <w:ilvl w:val="1"/>
          <w:numId w:val="1"/>
        </w:numPr>
        <w:rPr>
          <w:rFonts w:asciiTheme="minorHAnsi" w:hAnsiTheme="minorHAnsi"/>
          <w:bCs/>
        </w:rPr>
      </w:pPr>
      <w:r w:rsidRPr="004C2D88">
        <w:rPr>
          <w:rFonts w:asciiTheme="minorHAnsi" w:hAnsiTheme="minorHAnsi"/>
          <w:bCs/>
        </w:rPr>
        <w:t xml:space="preserve">The PBAC considered that the regimens of dabrafenib+trametinib and vemurafenib+cobimetinib were the appropriate comparators for the combination of encorafenib+binimetinib. </w:t>
      </w:r>
    </w:p>
    <w:p w:rsidR="0091030D" w:rsidRPr="004C2D88" w:rsidRDefault="003D59CE" w:rsidP="0091030D">
      <w:pPr>
        <w:numPr>
          <w:ilvl w:val="1"/>
          <w:numId w:val="1"/>
        </w:numPr>
        <w:spacing w:after="120"/>
        <w:rPr>
          <w:rFonts w:asciiTheme="minorHAnsi" w:hAnsiTheme="minorHAnsi"/>
          <w:bCs/>
        </w:rPr>
      </w:pPr>
      <w:r w:rsidRPr="004C2D88">
        <w:rPr>
          <w:rFonts w:asciiTheme="minorHAnsi" w:hAnsiTheme="minorHAnsi"/>
          <w:bCs/>
        </w:rPr>
        <w:t xml:space="preserve">The PBAC considered that the </w:t>
      </w:r>
      <w:r w:rsidR="0091030D" w:rsidRPr="004C2D88">
        <w:rPr>
          <w:rFonts w:asciiTheme="minorHAnsi" w:hAnsiTheme="minorHAnsi"/>
          <w:bCs/>
        </w:rPr>
        <w:t>equi-effective dose</w:t>
      </w:r>
      <w:r w:rsidRPr="004C2D88">
        <w:rPr>
          <w:rFonts w:asciiTheme="minorHAnsi" w:hAnsiTheme="minorHAnsi"/>
          <w:bCs/>
        </w:rPr>
        <w:t>s</w:t>
      </w:r>
      <w:r w:rsidR="00A21307" w:rsidRPr="004C2D88">
        <w:rPr>
          <w:rFonts w:asciiTheme="minorHAnsi" w:hAnsiTheme="minorHAnsi"/>
          <w:bCs/>
        </w:rPr>
        <w:t xml:space="preserve"> </w:t>
      </w:r>
      <w:r w:rsidRPr="004C2D88">
        <w:rPr>
          <w:rFonts w:asciiTheme="minorHAnsi" w:hAnsiTheme="minorHAnsi"/>
          <w:bCs/>
        </w:rPr>
        <w:t>w</w:t>
      </w:r>
      <w:r w:rsidR="00A21307" w:rsidRPr="004C2D88">
        <w:rPr>
          <w:rFonts w:asciiTheme="minorHAnsi" w:hAnsiTheme="minorHAnsi"/>
          <w:bCs/>
        </w:rPr>
        <w:t xml:space="preserve">ere </w:t>
      </w:r>
      <w:r w:rsidR="0091030D" w:rsidRPr="004C2D88">
        <w:rPr>
          <w:rFonts w:asciiTheme="minorHAnsi" w:hAnsiTheme="minorHAnsi"/>
          <w:bCs/>
        </w:rPr>
        <w:t xml:space="preserve">encorafenib </w:t>
      </w:r>
      <w:r w:rsidR="00397477" w:rsidRPr="004C2D88">
        <w:rPr>
          <w:rFonts w:asciiTheme="minorHAnsi" w:hAnsiTheme="minorHAnsi"/>
          <w:bCs/>
        </w:rPr>
        <w:t>450</w:t>
      </w:r>
      <w:r w:rsidR="0091030D" w:rsidRPr="004C2D88">
        <w:rPr>
          <w:rFonts w:asciiTheme="minorHAnsi" w:hAnsiTheme="minorHAnsi"/>
          <w:bCs/>
        </w:rPr>
        <w:t xml:space="preserve"> mg </w:t>
      </w:r>
      <w:r w:rsidR="00397477" w:rsidRPr="004C2D88">
        <w:rPr>
          <w:rFonts w:asciiTheme="minorHAnsi" w:hAnsiTheme="minorHAnsi"/>
          <w:bCs/>
        </w:rPr>
        <w:t>once</w:t>
      </w:r>
      <w:r w:rsidR="0091030D" w:rsidRPr="004C2D88">
        <w:rPr>
          <w:rFonts w:asciiTheme="minorHAnsi" w:hAnsiTheme="minorHAnsi"/>
          <w:bCs/>
        </w:rPr>
        <w:t xml:space="preserve"> daily + binimetinib</w:t>
      </w:r>
      <w:r w:rsidR="00397477" w:rsidRPr="004C2D88">
        <w:rPr>
          <w:rFonts w:asciiTheme="minorHAnsi" w:hAnsiTheme="minorHAnsi"/>
          <w:bCs/>
        </w:rPr>
        <w:t xml:space="preserve"> 45 mg twice</w:t>
      </w:r>
      <w:r w:rsidR="0091030D" w:rsidRPr="004C2D88">
        <w:rPr>
          <w:rFonts w:asciiTheme="minorHAnsi" w:hAnsiTheme="minorHAnsi"/>
          <w:bCs/>
        </w:rPr>
        <w:t xml:space="preserve"> daily</w:t>
      </w:r>
      <w:r w:rsidR="00397477" w:rsidRPr="004C2D88">
        <w:rPr>
          <w:rFonts w:asciiTheme="minorHAnsi" w:hAnsiTheme="minorHAnsi"/>
          <w:bCs/>
        </w:rPr>
        <w:t xml:space="preserve"> or</w:t>
      </w:r>
      <w:r w:rsidR="0091030D" w:rsidRPr="004C2D88">
        <w:rPr>
          <w:rFonts w:asciiTheme="minorHAnsi" w:hAnsiTheme="minorHAnsi"/>
          <w:bCs/>
        </w:rPr>
        <w:t xml:space="preserve"> dabrafenib 150 mg twice dail</w:t>
      </w:r>
      <w:r w:rsidR="00397477" w:rsidRPr="004C2D88">
        <w:rPr>
          <w:rFonts w:asciiTheme="minorHAnsi" w:hAnsiTheme="minorHAnsi"/>
          <w:bCs/>
        </w:rPr>
        <w:t>y + trametinib 2 mg once daily or</w:t>
      </w:r>
      <w:r w:rsidR="00397477" w:rsidRPr="004C2D88">
        <w:t xml:space="preserve"> </w:t>
      </w:r>
      <w:r w:rsidR="00A21307" w:rsidRPr="004C2D88">
        <w:rPr>
          <w:rFonts w:asciiTheme="minorHAnsi" w:hAnsiTheme="minorHAnsi"/>
          <w:bCs/>
        </w:rPr>
        <w:t>v</w:t>
      </w:r>
      <w:r w:rsidR="00397477" w:rsidRPr="004C2D88">
        <w:rPr>
          <w:rFonts w:asciiTheme="minorHAnsi" w:hAnsiTheme="minorHAnsi"/>
          <w:bCs/>
        </w:rPr>
        <w:t xml:space="preserve">emurafenib 960 mg twice daily + cobimetinib 60 mg once daily (21 </w:t>
      </w:r>
      <w:r w:rsidR="00397477" w:rsidRPr="004C2D88">
        <w:rPr>
          <w:rFonts w:asciiTheme="minorHAnsi" w:hAnsiTheme="minorHAnsi"/>
          <w:bCs/>
        </w:rPr>
        <w:lastRenderedPageBreak/>
        <w:t>days on</w:t>
      </w:r>
      <w:r w:rsidR="00397477" w:rsidRPr="004C2D88">
        <w:rPr>
          <w:rFonts w:asciiTheme="minorHAnsi" w:hAnsiTheme="minorHAnsi"/>
          <w:bCs/>
        </w:rPr>
        <w:noBreakHyphen/>
        <w:t>treatment plus 7 days off-treatment, in a 28-day cycle).</w:t>
      </w:r>
    </w:p>
    <w:p w:rsidR="0091030D" w:rsidRPr="004C2D88" w:rsidRDefault="0091030D" w:rsidP="005F0C30">
      <w:pPr>
        <w:numPr>
          <w:ilvl w:val="1"/>
          <w:numId w:val="1"/>
        </w:numPr>
        <w:spacing w:after="120"/>
        <w:rPr>
          <w:rFonts w:asciiTheme="minorHAnsi" w:hAnsiTheme="minorHAnsi"/>
          <w:bCs/>
          <w:color w:val="FF0000"/>
        </w:rPr>
      </w:pPr>
      <w:r w:rsidRPr="004C2D88">
        <w:rPr>
          <w:rFonts w:asciiTheme="minorHAnsi" w:hAnsiTheme="minorHAnsi"/>
          <w:bCs/>
        </w:rPr>
        <w:t xml:space="preserve">The PBAC accepted the clinical non-inferiority of encorafenib+binimetinib versus dabrafenib+trametinib </w:t>
      </w:r>
      <w:r w:rsidR="00A21307" w:rsidRPr="004C2D88">
        <w:rPr>
          <w:rFonts w:asciiTheme="minorHAnsi" w:hAnsiTheme="minorHAnsi"/>
          <w:bCs/>
        </w:rPr>
        <w:t xml:space="preserve">and vemurafenib+cobimetinib, </w:t>
      </w:r>
      <w:r w:rsidR="005C7FEC" w:rsidRPr="004C2D88">
        <w:rPr>
          <w:rFonts w:asciiTheme="minorHAnsi" w:hAnsiTheme="minorHAnsi"/>
          <w:bCs/>
        </w:rPr>
        <w:t xml:space="preserve">but </w:t>
      </w:r>
      <w:r w:rsidR="00A21307" w:rsidRPr="004C2D88">
        <w:rPr>
          <w:rFonts w:asciiTheme="minorHAnsi" w:hAnsiTheme="minorHAnsi"/>
          <w:bCs/>
        </w:rPr>
        <w:t>not</w:t>
      </w:r>
      <w:r w:rsidR="005C7FEC" w:rsidRPr="004C2D88">
        <w:rPr>
          <w:rFonts w:asciiTheme="minorHAnsi" w:hAnsiTheme="minorHAnsi"/>
          <w:bCs/>
        </w:rPr>
        <w:t>ed</w:t>
      </w:r>
      <w:r w:rsidR="00A21307" w:rsidRPr="004C2D88">
        <w:rPr>
          <w:rFonts w:asciiTheme="minorHAnsi" w:hAnsiTheme="minorHAnsi"/>
          <w:bCs/>
        </w:rPr>
        <w:t xml:space="preserve"> the absence of an appropriate </w:t>
      </w:r>
      <w:r w:rsidR="005F0C30" w:rsidRPr="004C2D88">
        <w:rPr>
          <w:rFonts w:asciiTheme="minorHAnsi" w:hAnsiTheme="minorHAnsi"/>
          <w:bCs/>
        </w:rPr>
        <w:t>non-inferior</w:t>
      </w:r>
      <w:r w:rsidR="00CA1ED9" w:rsidRPr="004C2D88">
        <w:rPr>
          <w:rFonts w:asciiTheme="minorHAnsi" w:hAnsiTheme="minorHAnsi"/>
          <w:bCs/>
        </w:rPr>
        <w:t>ity</w:t>
      </w:r>
      <w:r w:rsidR="005F0C30" w:rsidRPr="004C2D88">
        <w:rPr>
          <w:rFonts w:asciiTheme="minorHAnsi" w:hAnsiTheme="minorHAnsi"/>
          <w:bCs/>
        </w:rPr>
        <w:t xml:space="preserve"> </w:t>
      </w:r>
      <w:r w:rsidR="00A21307" w:rsidRPr="004C2D88">
        <w:rPr>
          <w:rFonts w:asciiTheme="minorHAnsi" w:hAnsiTheme="minorHAnsi"/>
          <w:bCs/>
        </w:rPr>
        <w:t xml:space="preserve">margin </w:t>
      </w:r>
      <w:r w:rsidR="005F0C30" w:rsidRPr="004C2D88">
        <w:rPr>
          <w:rFonts w:asciiTheme="minorHAnsi" w:hAnsiTheme="minorHAnsi"/>
          <w:bCs/>
        </w:rPr>
        <w:t>and the variability of the results of the indirect comparison.</w:t>
      </w:r>
      <w:r w:rsidRPr="004C2D88">
        <w:rPr>
          <w:rFonts w:asciiTheme="minorHAnsi" w:hAnsiTheme="minorHAnsi"/>
          <w:bCs/>
        </w:rPr>
        <w:t xml:space="preserve"> </w:t>
      </w:r>
    </w:p>
    <w:p w:rsidR="004E21CE" w:rsidRPr="004C2D88" w:rsidRDefault="0091030D" w:rsidP="0007467D">
      <w:pPr>
        <w:numPr>
          <w:ilvl w:val="1"/>
          <w:numId w:val="1"/>
        </w:numPr>
        <w:spacing w:after="120"/>
        <w:rPr>
          <w:rFonts w:asciiTheme="minorHAnsi" w:hAnsiTheme="minorHAnsi"/>
          <w:bCs/>
        </w:rPr>
      </w:pPr>
      <w:r w:rsidRPr="004C2D88">
        <w:rPr>
          <w:rFonts w:asciiTheme="minorHAnsi" w:hAnsiTheme="minorHAnsi"/>
          <w:bCs/>
        </w:rPr>
        <w:t xml:space="preserve">The PBAC accepted the </w:t>
      </w:r>
      <w:r w:rsidR="00CA1ED9" w:rsidRPr="004C2D88">
        <w:rPr>
          <w:rFonts w:asciiTheme="minorHAnsi" w:hAnsiTheme="minorHAnsi"/>
          <w:bCs/>
        </w:rPr>
        <w:t xml:space="preserve">claim of non-inferior </w:t>
      </w:r>
      <w:r w:rsidRPr="004C2D88">
        <w:rPr>
          <w:rFonts w:asciiTheme="minorHAnsi" w:hAnsiTheme="minorHAnsi"/>
          <w:bCs/>
        </w:rPr>
        <w:t xml:space="preserve">comparative safety </w:t>
      </w:r>
      <w:r w:rsidR="00CA1ED9" w:rsidRPr="004C2D88">
        <w:rPr>
          <w:rFonts w:asciiTheme="minorHAnsi" w:hAnsiTheme="minorHAnsi"/>
          <w:bCs/>
        </w:rPr>
        <w:t>between</w:t>
      </w:r>
      <w:r w:rsidRPr="004C2D88">
        <w:rPr>
          <w:rFonts w:asciiTheme="minorHAnsi" w:hAnsiTheme="minorHAnsi"/>
          <w:bCs/>
        </w:rPr>
        <w:t xml:space="preserve"> encorafenib+binimetinib </w:t>
      </w:r>
      <w:r w:rsidR="009D6A88" w:rsidRPr="004C2D88">
        <w:rPr>
          <w:rFonts w:asciiTheme="minorHAnsi" w:hAnsiTheme="minorHAnsi"/>
          <w:bCs/>
        </w:rPr>
        <w:t>and</w:t>
      </w:r>
      <w:r w:rsidRPr="004C2D88">
        <w:rPr>
          <w:rFonts w:asciiTheme="minorHAnsi" w:hAnsiTheme="minorHAnsi"/>
          <w:bCs/>
        </w:rPr>
        <w:t xml:space="preserve"> dabrafenib+trametinib </w:t>
      </w:r>
      <w:r w:rsidR="00593B69" w:rsidRPr="004C2D88">
        <w:rPr>
          <w:rFonts w:asciiTheme="minorHAnsi" w:hAnsiTheme="minorHAnsi"/>
          <w:bCs/>
        </w:rPr>
        <w:t>and vemurafenib+</w:t>
      </w:r>
      <w:r w:rsidR="009C1D1C" w:rsidRPr="004C2D88">
        <w:rPr>
          <w:rFonts w:asciiTheme="minorHAnsi" w:hAnsiTheme="minorHAnsi"/>
          <w:bCs/>
        </w:rPr>
        <w:t xml:space="preserve"> </w:t>
      </w:r>
      <w:r w:rsidR="00593B69" w:rsidRPr="004C2D88">
        <w:rPr>
          <w:rFonts w:asciiTheme="minorHAnsi" w:hAnsiTheme="minorHAnsi"/>
          <w:bCs/>
        </w:rPr>
        <w:t xml:space="preserve">cobimetinib. The PBAC considered that the safety profiles were broadly consistent, noting the significant hypertension, left ventricular dysfunction, venous thromboembolism, haemorrhage and rhabdomyolysis associated with encorafenib+binimetinib. </w:t>
      </w:r>
    </w:p>
    <w:p w:rsidR="003B5A97" w:rsidRPr="004C2D88" w:rsidRDefault="003B5A97" w:rsidP="004E21CE">
      <w:pPr>
        <w:pStyle w:val="ListParagraph"/>
        <w:numPr>
          <w:ilvl w:val="1"/>
          <w:numId w:val="1"/>
        </w:numPr>
        <w:spacing w:after="120"/>
        <w:rPr>
          <w:rFonts w:asciiTheme="minorHAnsi" w:hAnsiTheme="minorHAnsi"/>
          <w:bCs/>
        </w:rPr>
      </w:pPr>
      <w:r w:rsidRPr="004C2D88">
        <w:rPr>
          <w:rFonts w:asciiTheme="minorHAnsi" w:hAnsiTheme="minorHAnsi"/>
          <w:bCs/>
        </w:rPr>
        <w:t xml:space="preserve">The PBAC </w:t>
      </w:r>
      <w:r w:rsidR="00B9634A" w:rsidRPr="004C2D88">
        <w:rPr>
          <w:rFonts w:asciiTheme="minorHAnsi" w:hAnsiTheme="minorHAnsi"/>
          <w:bCs/>
        </w:rPr>
        <w:t xml:space="preserve">accepted the cost-minimisation analysis and the financial impact estimates, and considered that the costs of managing adverse events would be similar between encorafenib+binimetinib and the comparator combination therapies. </w:t>
      </w:r>
      <w:r w:rsidRPr="004C2D88">
        <w:rPr>
          <w:rFonts w:asciiTheme="minorHAnsi" w:hAnsiTheme="minorHAnsi"/>
          <w:bCs/>
        </w:rPr>
        <w:t xml:space="preserve"> </w:t>
      </w:r>
    </w:p>
    <w:p w:rsidR="00475D26" w:rsidRPr="004C2D88" w:rsidRDefault="00475D26" w:rsidP="00475D26">
      <w:pPr>
        <w:numPr>
          <w:ilvl w:val="1"/>
          <w:numId w:val="1"/>
        </w:numPr>
        <w:spacing w:after="120"/>
        <w:rPr>
          <w:rFonts w:asciiTheme="minorHAnsi" w:hAnsiTheme="minorHAnsi"/>
          <w:bCs/>
        </w:rPr>
      </w:pPr>
      <w:r w:rsidRPr="004C2D88">
        <w:rPr>
          <w:rFonts w:asciiTheme="minorHAnsi" w:hAnsiTheme="minorHAnsi"/>
          <w:bCs/>
        </w:rPr>
        <w:t xml:space="preserve">The PBAC noted that the sponsor of </w:t>
      </w:r>
      <w:r w:rsidR="000C480B" w:rsidRPr="004C2D88">
        <w:t xml:space="preserve">encorafenib+binimetinib </w:t>
      </w:r>
      <w:r w:rsidRPr="004C2D88">
        <w:rPr>
          <w:rFonts w:asciiTheme="minorHAnsi" w:hAnsiTheme="minorHAnsi"/>
          <w:bCs/>
        </w:rPr>
        <w:t xml:space="preserve">would be required to </w:t>
      </w:r>
      <w:r w:rsidR="006C59B0" w:rsidRPr="004C2D88">
        <w:rPr>
          <w:rFonts w:asciiTheme="minorHAnsi" w:hAnsiTheme="minorHAnsi"/>
          <w:bCs/>
        </w:rPr>
        <w:t>en</w:t>
      </w:r>
      <w:r w:rsidR="004953B0" w:rsidRPr="004C2D88">
        <w:rPr>
          <w:rFonts w:asciiTheme="minorHAnsi" w:hAnsiTheme="minorHAnsi"/>
          <w:bCs/>
        </w:rPr>
        <w:t>t</w:t>
      </w:r>
      <w:r w:rsidR="006C59B0" w:rsidRPr="004C2D88">
        <w:rPr>
          <w:rFonts w:asciiTheme="minorHAnsi" w:hAnsiTheme="minorHAnsi"/>
          <w:bCs/>
        </w:rPr>
        <w:t xml:space="preserve">er Deeds of Agreement to </w:t>
      </w:r>
      <w:r w:rsidRPr="004C2D88">
        <w:rPr>
          <w:rFonts w:asciiTheme="minorHAnsi" w:hAnsiTheme="minorHAnsi"/>
          <w:bCs/>
        </w:rPr>
        <w:t>share the current RSA</w:t>
      </w:r>
      <w:r w:rsidR="006C59B0" w:rsidRPr="004C2D88">
        <w:rPr>
          <w:rFonts w:asciiTheme="minorHAnsi" w:hAnsiTheme="minorHAnsi"/>
          <w:bCs/>
        </w:rPr>
        <w:t xml:space="preserve"> Subsidisation Caps in place</w:t>
      </w:r>
      <w:r w:rsidRPr="004C2D88">
        <w:rPr>
          <w:rFonts w:asciiTheme="minorHAnsi" w:hAnsiTheme="minorHAnsi"/>
          <w:bCs/>
        </w:rPr>
        <w:t xml:space="preserve"> with the sponsor</w:t>
      </w:r>
      <w:r w:rsidR="00D53874" w:rsidRPr="004C2D88">
        <w:rPr>
          <w:rFonts w:asciiTheme="minorHAnsi" w:hAnsiTheme="minorHAnsi"/>
          <w:bCs/>
        </w:rPr>
        <w:t>s</w:t>
      </w:r>
      <w:r w:rsidRPr="004C2D88">
        <w:rPr>
          <w:rFonts w:asciiTheme="minorHAnsi" w:hAnsiTheme="minorHAnsi"/>
          <w:bCs/>
        </w:rPr>
        <w:t xml:space="preserve"> of dabrafenib+trametinib</w:t>
      </w:r>
      <w:r w:rsidR="000C480B" w:rsidRPr="004C2D88">
        <w:rPr>
          <w:rFonts w:asciiTheme="minorHAnsi" w:hAnsiTheme="minorHAnsi"/>
          <w:bCs/>
        </w:rPr>
        <w:t xml:space="preserve"> and </w:t>
      </w:r>
      <w:r w:rsidR="00B9634A" w:rsidRPr="004C2D88">
        <w:rPr>
          <w:rFonts w:asciiTheme="minorHAnsi" w:hAnsiTheme="minorHAnsi"/>
          <w:bCs/>
        </w:rPr>
        <w:t>vemurafenib+cobimetinib</w:t>
      </w:r>
      <w:r w:rsidR="006C59B0" w:rsidRPr="004C2D88">
        <w:rPr>
          <w:rFonts w:asciiTheme="minorHAnsi" w:hAnsiTheme="minorHAnsi"/>
          <w:bCs/>
        </w:rPr>
        <w:t>, applying the same rebate above the Cap should this be exceeded</w:t>
      </w:r>
      <w:r w:rsidR="000C480B" w:rsidRPr="004C2D88">
        <w:rPr>
          <w:rFonts w:asciiTheme="minorHAnsi" w:hAnsiTheme="minorHAnsi"/>
          <w:bCs/>
        </w:rPr>
        <w:t>,</w:t>
      </w:r>
      <w:r w:rsidRPr="004C2D88">
        <w:rPr>
          <w:rFonts w:asciiTheme="minorHAnsi" w:hAnsiTheme="minorHAnsi"/>
          <w:bCs/>
        </w:rPr>
        <w:t xml:space="preserve"> to ensure no additional cost to Governmen</w:t>
      </w:r>
      <w:r w:rsidR="00D53874" w:rsidRPr="004C2D88">
        <w:rPr>
          <w:rFonts w:asciiTheme="minorHAnsi" w:hAnsiTheme="minorHAnsi"/>
          <w:bCs/>
        </w:rPr>
        <w:t xml:space="preserve">t beyond current </w:t>
      </w:r>
      <w:r w:rsidR="006C59B0" w:rsidRPr="004C2D88">
        <w:rPr>
          <w:rFonts w:asciiTheme="minorHAnsi" w:hAnsiTheme="minorHAnsi"/>
          <w:bCs/>
        </w:rPr>
        <w:t xml:space="preserve">Subsidisation </w:t>
      </w:r>
      <w:r w:rsidR="00D53874" w:rsidRPr="004C2D88">
        <w:rPr>
          <w:rFonts w:asciiTheme="minorHAnsi" w:hAnsiTheme="minorHAnsi"/>
          <w:bCs/>
        </w:rPr>
        <w:t>caps</w:t>
      </w:r>
      <w:r w:rsidRPr="004C2D88">
        <w:rPr>
          <w:rFonts w:asciiTheme="minorHAnsi" w:hAnsiTheme="minorHAnsi"/>
          <w:bCs/>
        </w:rPr>
        <w:t xml:space="preserve">. </w:t>
      </w:r>
    </w:p>
    <w:p w:rsidR="002F589A" w:rsidRPr="004C2D88" w:rsidRDefault="002F589A" w:rsidP="00475D26">
      <w:pPr>
        <w:pStyle w:val="ListParagraph"/>
        <w:numPr>
          <w:ilvl w:val="1"/>
          <w:numId w:val="1"/>
        </w:numPr>
        <w:spacing w:after="120"/>
        <w:rPr>
          <w:rFonts w:asciiTheme="minorHAnsi" w:hAnsiTheme="minorHAnsi"/>
          <w:bCs/>
        </w:rPr>
      </w:pPr>
      <w:r w:rsidRPr="004C2D88">
        <w:rPr>
          <w:rFonts w:asciiTheme="minorHAnsi" w:hAnsiTheme="minorHAnsi"/>
          <w:bCs/>
        </w:rPr>
        <w:t xml:space="preserve">The PBAC accepted the proposed restriction noting it was consistent with restrictions for the </w:t>
      </w:r>
      <w:r w:rsidR="009C1D1C" w:rsidRPr="004C2D88">
        <w:rPr>
          <w:rFonts w:asciiTheme="minorHAnsi" w:hAnsiTheme="minorHAnsi"/>
          <w:bCs/>
        </w:rPr>
        <w:t>comparator combination regimens</w:t>
      </w:r>
      <w:r w:rsidRPr="004C2D88">
        <w:rPr>
          <w:rFonts w:asciiTheme="minorHAnsi" w:hAnsiTheme="minorHAnsi"/>
          <w:bCs/>
        </w:rPr>
        <w:t xml:space="preserve">. The PBAC noted there would be separate listings for encorafenib and binimetinib that exclude monotherapy. </w:t>
      </w:r>
    </w:p>
    <w:p w:rsidR="009C1D1C" w:rsidRPr="004C2D88" w:rsidRDefault="00B9634A" w:rsidP="00D073C6">
      <w:pPr>
        <w:numPr>
          <w:ilvl w:val="1"/>
          <w:numId w:val="1"/>
        </w:numPr>
        <w:spacing w:after="120"/>
      </w:pPr>
      <w:r w:rsidRPr="004C2D88">
        <w:rPr>
          <w:bCs/>
        </w:rPr>
        <w:t>The PBAC advised that there are no drugs or medicinal preparations that should be treated as interchangeable with encor</w:t>
      </w:r>
      <w:r w:rsidRPr="004C2D88">
        <w:t>afenib+binimetinib on an individual patient basis.</w:t>
      </w:r>
    </w:p>
    <w:p w:rsidR="00D073C6" w:rsidRPr="004C2D88" w:rsidRDefault="00D073C6" w:rsidP="00D073C6">
      <w:pPr>
        <w:numPr>
          <w:ilvl w:val="1"/>
          <w:numId w:val="1"/>
        </w:numPr>
        <w:spacing w:after="120"/>
      </w:pPr>
      <w:r w:rsidRPr="004C2D88">
        <w:t xml:space="preserve">The PBAC advised that the combination of encorafenib+binimetinib is not suitable for prescribing by nurse practitioners. </w:t>
      </w:r>
    </w:p>
    <w:p w:rsidR="004E21CE" w:rsidRPr="004C2D88" w:rsidRDefault="004E21CE" w:rsidP="004E21CE">
      <w:pPr>
        <w:numPr>
          <w:ilvl w:val="1"/>
          <w:numId w:val="1"/>
        </w:numPr>
        <w:spacing w:after="120"/>
        <w:rPr>
          <w:rFonts w:asciiTheme="minorHAnsi" w:hAnsiTheme="minorHAnsi"/>
          <w:bCs/>
        </w:rPr>
      </w:pPr>
      <w:r w:rsidRPr="004C2D88">
        <w:rPr>
          <w:rFonts w:asciiTheme="minorHAnsi" w:hAnsiTheme="minorHAnsi"/>
          <w:bCs/>
        </w:rPr>
        <w:t>The PBAC recommended th</w:t>
      </w:r>
      <w:r w:rsidR="00D073C6" w:rsidRPr="004C2D88">
        <w:rPr>
          <w:rFonts w:asciiTheme="minorHAnsi" w:hAnsiTheme="minorHAnsi"/>
          <w:bCs/>
        </w:rPr>
        <w:t xml:space="preserve">at the Early Supply Rule </w:t>
      </w:r>
      <w:r w:rsidRPr="004C2D88">
        <w:rPr>
          <w:rFonts w:asciiTheme="minorHAnsi" w:hAnsiTheme="minorHAnsi"/>
          <w:bCs/>
        </w:rPr>
        <w:t xml:space="preserve">should not apply. </w:t>
      </w:r>
    </w:p>
    <w:p w:rsidR="00D073C6" w:rsidRPr="004C2D88" w:rsidRDefault="00D073C6" w:rsidP="00D073C6">
      <w:pPr>
        <w:numPr>
          <w:ilvl w:val="1"/>
          <w:numId w:val="1"/>
        </w:numPr>
        <w:spacing w:after="120"/>
        <w:rPr>
          <w:rFonts w:asciiTheme="minorHAnsi" w:hAnsiTheme="minorHAnsi"/>
          <w:bCs/>
        </w:rPr>
      </w:pPr>
      <w:r w:rsidRPr="004C2D88">
        <w:rPr>
          <w:rFonts w:asciiTheme="minorHAnsi" w:hAnsiTheme="minorHAnsi"/>
          <w:bCs/>
        </w:rPr>
        <w:t xml:space="preserve">The PBAC noted that this submission is not eligible for an Independent Review as it was a positive recommendation. </w:t>
      </w:r>
    </w:p>
    <w:p w:rsidR="004E21CE" w:rsidRPr="004C2D88" w:rsidRDefault="004E21CE" w:rsidP="008628D9">
      <w:pPr>
        <w:keepNext/>
        <w:spacing w:before="240"/>
        <w:rPr>
          <w:rFonts w:asciiTheme="minorHAnsi" w:hAnsiTheme="minorHAnsi"/>
          <w:b/>
          <w:bCs/>
        </w:rPr>
      </w:pPr>
      <w:r w:rsidRPr="004C2D88">
        <w:rPr>
          <w:rFonts w:asciiTheme="minorHAnsi" w:hAnsiTheme="minorHAnsi"/>
          <w:b/>
          <w:bCs/>
        </w:rPr>
        <w:t>Outcome:</w:t>
      </w:r>
    </w:p>
    <w:p w:rsidR="004E21CE" w:rsidRPr="004C2D88" w:rsidRDefault="004E21CE" w:rsidP="004E21CE">
      <w:pPr>
        <w:rPr>
          <w:rFonts w:asciiTheme="minorHAnsi" w:hAnsiTheme="minorHAnsi"/>
          <w:bCs/>
        </w:rPr>
      </w:pPr>
      <w:r w:rsidRPr="004C2D88">
        <w:rPr>
          <w:rFonts w:asciiTheme="minorHAnsi" w:hAnsiTheme="minorHAnsi"/>
          <w:bCs/>
        </w:rPr>
        <w:t>Recommended</w:t>
      </w:r>
    </w:p>
    <w:p w:rsidR="004E21CE" w:rsidRPr="004C2D88" w:rsidRDefault="004E21CE" w:rsidP="004E21CE">
      <w:pPr>
        <w:rPr>
          <w:rFonts w:asciiTheme="minorHAnsi" w:hAnsiTheme="minorHAnsi"/>
          <w:b/>
          <w:bCs/>
          <w:highlight w:val="yellow"/>
        </w:rPr>
      </w:pPr>
    </w:p>
    <w:p w:rsidR="004E21CE" w:rsidRPr="004C2D88" w:rsidRDefault="004E21CE" w:rsidP="00002049">
      <w:pPr>
        <w:pStyle w:val="Heading1"/>
        <w:rPr>
          <w:i/>
        </w:rPr>
      </w:pPr>
      <w:r w:rsidRPr="004C2D88">
        <w:t>Recommended listing</w:t>
      </w:r>
    </w:p>
    <w:p w:rsidR="004E21CE" w:rsidRPr="004C2D88" w:rsidRDefault="00226168" w:rsidP="004E21CE">
      <w:pPr>
        <w:numPr>
          <w:ilvl w:val="1"/>
          <w:numId w:val="1"/>
        </w:numPr>
        <w:spacing w:after="120"/>
        <w:rPr>
          <w:rFonts w:asciiTheme="minorHAnsi" w:hAnsiTheme="minorHAnsi"/>
          <w:b/>
          <w:bCs/>
        </w:rPr>
      </w:pPr>
      <w:r w:rsidRPr="004C2D88">
        <w:rPr>
          <w:rFonts w:asciiTheme="minorHAnsi" w:hAnsiTheme="minorHAnsi"/>
          <w:bCs/>
        </w:rPr>
        <w:t>Add new item</w:t>
      </w:r>
    </w:p>
    <w:tbl>
      <w:tblPr>
        <w:tblW w:w="9072" w:type="dxa"/>
        <w:tblInd w:w="108" w:type="dxa"/>
        <w:tblLayout w:type="fixed"/>
        <w:tblLook w:val="0000" w:firstRow="0" w:lastRow="0" w:firstColumn="0" w:lastColumn="0" w:noHBand="0" w:noVBand="0"/>
      </w:tblPr>
      <w:tblGrid>
        <w:gridCol w:w="1843"/>
        <w:gridCol w:w="284"/>
        <w:gridCol w:w="1417"/>
        <w:gridCol w:w="284"/>
        <w:gridCol w:w="1134"/>
        <w:gridCol w:w="992"/>
        <w:gridCol w:w="1701"/>
        <w:gridCol w:w="1417"/>
      </w:tblGrid>
      <w:tr w:rsidR="00947808" w:rsidRPr="004C2D88" w:rsidTr="00BA638F">
        <w:trPr>
          <w:cantSplit/>
          <w:trHeight w:val="471"/>
        </w:trPr>
        <w:tc>
          <w:tcPr>
            <w:tcW w:w="3828" w:type="dxa"/>
            <w:gridSpan w:val="4"/>
            <w:tcBorders>
              <w:top w:val="single" w:sz="4" w:space="0" w:color="000000" w:themeColor="text1"/>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lastRenderedPageBreak/>
              <w:t>Name, Restriction,</w:t>
            </w:r>
          </w:p>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Manner of administration and form</w:t>
            </w:r>
          </w:p>
        </w:tc>
        <w:tc>
          <w:tcPr>
            <w:tcW w:w="1134" w:type="dxa"/>
            <w:tcBorders>
              <w:top w:val="single" w:sz="4" w:space="0" w:color="000000" w:themeColor="text1"/>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 xml:space="preserve">Max. Qty </w:t>
            </w:r>
          </w:p>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(packs)</w:t>
            </w:r>
          </w:p>
        </w:tc>
        <w:tc>
          <w:tcPr>
            <w:tcW w:w="992" w:type="dxa"/>
            <w:tcBorders>
              <w:top w:val="single" w:sz="4" w:space="0" w:color="000000" w:themeColor="text1"/>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№.of</w:t>
            </w:r>
          </w:p>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Rpts</w:t>
            </w:r>
          </w:p>
        </w:tc>
        <w:tc>
          <w:tcPr>
            <w:tcW w:w="3118" w:type="dxa"/>
            <w:gridSpan w:val="2"/>
            <w:tcBorders>
              <w:top w:val="single" w:sz="4" w:space="0" w:color="000000" w:themeColor="text1"/>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Proprietary Name and Manufacturer</w:t>
            </w:r>
          </w:p>
        </w:tc>
      </w:tr>
      <w:tr w:rsidR="00947808" w:rsidRPr="004C2D88" w:rsidTr="00BA638F">
        <w:trPr>
          <w:cantSplit/>
          <w:trHeight w:val="577"/>
        </w:trPr>
        <w:tc>
          <w:tcPr>
            <w:tcW w:w="3828" w:type="dxa"/>
            <w:gridSpan w:val="4"/>
          </w:tcPr>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E</w:t>
            </w:r>
            <w:r w:rsidRPr="004C2D88">
              <w:rPr>
                <w:rFonts w:ascii="Arial Narrow" w:hAnsi="Arial Narrow"/>
                <w:smallCaps/>
                <w:sz w:val="20"/>
                <w:szCs w:val="20"/>
              </w:rPr>
              <w:t>ncorafenib</w:t>
            </w: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50 mg capsule, 28</w:t>
            </w: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75 mg capsule, 42</w:t>
            </w:r>
          </w:p>
        </w:tc>
        <w:tc>
          <w:tcPr>
            <w:tcW w:w="1134" w:type="dxa"/>
          </w:tcPr>
          <w:p w:rsidR="00947808" w:rsidRPr="004C2D88" w:rsidRDefault="00947808" w:rsidP="00BA638F">
            <w:pPr>
              <w:keepNext/>
              <w:widowControl/>
              <w:rPr>
                <w:rFonts w:ascii="Arial Narrow" w:hAnsi="Arial Narrow"/>
                <w:sz w:val="20"/>
                <w:szCs w:val="20"/>
              </w:rPr>
            </w:pPr>
          </w:p>
          <w:p w:rsidR="00947808" w:rsidRPr="004C2D88" w:rsidRDefault="00B9634A" w:rsidP="00BA638F">
            <w:pPr>
              <w:keepNext/>
              <w:widowControl/>
              <w:rPr>
                <w:rFonts w:ascii="Arial Narrow" w:hAnsi="Arial Narrow"/>
                <w:strike/>
                <w:sz w:val="20"/>
                <w:szCs w:val="20"/>
              </w:rPr>
            </w:pPr>
            <w:r w:rsidRPr="004C2D88">
              <w:rPr>
                <w:rFonts w:ascii="Arial Narrow" w:hAnsi="Arial Narrow"/>
                <w:sz w:val="20"/>
                <w:szCs w:val="20"/>
              </w:rPr>
              <w:t>9</w:t>
            </w: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4</w:t>
            </w:r>
          </w:p>
        </w:tc>
        <w:tc>
          <w:tcPr>
            <w:tcW w:w="992"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3</w:t>
            </w: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3</w:t>
            </w:r>
          </w:p>
        </w:tc>
        <w:tc>
          <w:tcPr>
            <w:tcW w:w="1701"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BRAFTOVI</w:t>
            </w:r>
          </w:p>
        </w:tc>
        <w:tc>
          <w:tcPr>
            <w:tcW w:w="1417"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Pierre Fabre</w:t>
            </w:r>
          </w:p>
        </w:tc>
      </w:tr>
      <w:tr w:rsidR="00947808" w:rsidRPr="004C2D88" w:rsidTr="00BA638F">
        <w:trPr>
          <w:cantSplit/>
        </w:trPr>
        <w:tc>
          <w:tcPr>
            <w:tcW w:w="9072" w:type="dxa"/>
            <w:gridSpan w:val="8"/>
            <w:tcBorders>
              <w:bottom w:val="single" w:sz="4" w:space="0" w:color="auto"/>
            </w:tcBorders>
          </w:tcPr>
          <w:p w:rsidR="00947808" w:rsidRPr="004C2D88" w:rsidRDefault="00947808" w:rsidP="00BA638F">
            <w:pPr>
              <w:keepNext/>
              <w:widowControl/>
              <w:rPr>
                <w:rFonts w:asciiTheme="minorHAnsi" w:hAnsiTheme="minorHAnsi"/>
                <w:sz w:val="20"/>
                <w:szCs w:val="20"/>
              </w:rPr>
            </w:pP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Category / Program:</w:t>
            </w:r>
          </w:p>
        </w:tc>
        <w:tc>
          <w:tcPr>
            <w:tcW w:w="7229" w:type="dxa"/>
            <w:gridSpan w:val="7"/>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General Schedule</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Prescriber type:</w:t>
            </w:r>
          </w:p>
        </w:tc>
        <w:tc>
          <w:tcPr>
            <w:tcW w:w="7229" w:type="dxa"/>
            <w:gridSpan w:val="7"/>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fldChar w:fldCharType="begin">
                <w:ffData>
                  <w:name w:val="Check1"/>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Dental  </w:t>
            </w:r>
            <w:r w:rsidRPr="004C2D88">
              <w:rPr>
                <w:szCs w:val="20"/>
              </w:rPr>
              <w:fldChar w:fldCharType="begin">
                <w:ffData>
                  <w:name w:val=""/>
                  <w:enabled/>
                  <w:calcOnExit w:val="0"/>
                  <w:checkBox>
                    <w:sizeAuto/>
                    <w:default w:val="1"/>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Medical Practitioners  </w:t>
            </w:r>
            <w:r w:rsidRPr="004C2D88">
              <w:rPr>
                <w:szCs w:val="20"/>
              </w:rPr>
              <w:fldChar w:fldCharType="begin">
                <w:ffData>
                  <w:name w:val="Check3"/>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Nurse practitioners  </w:t>
            </w: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Optometrists </w:t>
            </w:r>
            <w:r w:rsidRPr="004C2D88">
              <w:rPr>
                <w:szCs w:val="20"/>
              </w:rPr>
              <w:fldChar w:fldCharType="begin">
                <w:ffData>
                  <w:name w:val="Check5"/>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Midwives</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Severity:</w:t>
            </w:r>
          </w:p>
        </w:tc>
        <w:tc>
          <w:tcPr>
            <w:tcW w:w="7229" w:type="dxa"/>
            <w:gridSpan w:val="7"/>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Unresectable Stage III or Stage IV</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Condition:</w:t>
            </w:r>
          </w:p>
        </w:tc>
        <w:tc>
          <w:tcPr>
            <w:tcW w:w="7229" w:type="dxa"/>
            <w:gridSpan w:val="7"/>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Malignant melanoma</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PBS Indication:</w:t>
            </w:r>
          </w:p>
        </w:tc>
        <w:tc>
          <w:tcPr>
            <w:tcW w:w="7229" w:type="dxa"/>
            <w:gridSpan w:val="7"/>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Unresectable Stage III or Stage IV malignant melanoma</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Treatment phase:</w:t>
            </w:r>
          </w:p>
        </w:tc>
        <w:tc>
          <w:tcPr>
            <w:tcW w:w="7229" w:type="dxa"/>
            <w:gridSpan w:val="7"/>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Initial treatment</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Restriction:</w:t>
            </w:r>
          </w:p>
          <w:p w:rsidR="00947808" w:rsidRPr="004C2D88" w:rsidRDefault="00947808" w:rsidP="00BA638F">
            <w:pPr>
              <w:pStyle w:val="Tabletext"/>
              <w:keepNext/>
              <w:rPr>
                <w:i/>
                <w:szCs w:val="20"/>
              </w:rPr>
            </w:pPr>
          </w:p>
        </w:tc>
        <w:tc>
          <w:tcPr>
            <w:tcW w:w="7229" w:type="dxa"/>
            <w:gridSpan w:val="7"/>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fldChar w:fldCharType="begin">
                <w:ffData>
                  <w:name w:val="Check1"/>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Restricted benefit</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In Writing</w:t>
            </w:r>
          </w:p>
          <w:p w:rsidR="00947808" w:rsidRPr="004C2D88" w:rsidRDefault="00947808" w:rsidP="00BA638F">
            <w:pPr>
              <w:pStyle w:val="Tabletext"/>
              <w:keepNext/>
              <w:rPr>
                <w:szCs w:val="20"/>
              </w:rPr>
            </w:pPr>
            <w:r w:rsidRPr="004C2D88">
              <w:rPr>
                <w:szCs w:val="20"/>
              </w:rPr>
              <w:fldChar w:fldCharType="begin">
                <w:ffData>
                  <w:name w:val="Check3"/>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Telephone</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Emergency</w:t>
            </w:r>
          </w:p>
          <w:p w:rsidR="00947808" w:rsidRPr="004C2D88" w:rsidRDefault="00947808" w:rsidP="00BA638F">
            <w:pPr>
              <w:pStyle w:val="Tabletext"/>
              <w:keepNext/>
              <w:rPr>
                <w:szCs w:val="20"/>
              </w:rPr>
            </w:pPr>
            <w:r w:rsidRPr="004C2D88">
              <w:rPr>
                <w:szCs w:val="20"/>
              </w:rPr>
              <w:fldChar w:fldCharType="begin">
                <w:ffData>
                  <w:name w:val="Check5"/>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Electronic</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1"/>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Streamlined</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Clinical criteria:</w:t>
            </w:r>
          </w:p>
          <w:p w:rsidR="00947808" w:rsidRPr="004C2D88" w:rsidRDefault="00947808" w:rsidP="00BA638F">
            <w:pPr>
              <w:pStyle w:val="Tabletext"/>
              <w:keepNext/>
              <w:rPr>
                <w:i/>
                <w:szCs w:val="20"/>
              </w:rPr>
            </w:pPr>
          </w:p>
        </w:tc>
        <w:tc>
          <w:tcPr>
            <w:tcW w:w="7229" w:type="dxa"/>
            <w:gridSpan w:val="7"/>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rFonts w:cs="Arial"/>
                <w:szCs w:val="20"/>
              </w:rPr>
            </w:pPr>
            <w:r w:rsidRPr="004C2D88">
              <w:rPr>
                <w:rFonts w:cs="Arial"/>
                <w:szCs w:val="20"/>
              </w:rPr>
              <w:t>The condition must be positive for a BRAF V600 mutation,</w:t>
            </w:r>
          </w:p>
          <w:p w:rsidR="00947808" w:rsidRPr="004C2D88" w:rsidRDefault="00947808" w:rsidP="00BA638F">
            <w:pPr>
              <w:pStyle w:val="Tabletext"/>
              <w:keepNext/>
              <w:rPr>
                <w:rFonts w:cs="Arial"/>
                <w:szCs w:val="20"/>
              </w:rPr>
            </w:pPr>
            <w:r w:rsidRPr="004C2D88">
              <w:rPr>
                <w:rFonts w:cs="Arial"/>
                <w:szCs w:val="20"/>
              </w:rPr>
              <w:t>AND</w:t>
            </w:r>
          </w:p>
          <w:p w:rsidR="00947808" w:rsidRPr="004C2D88" w:rsidRDefault="00947808" w:rsidP="00BA638F">
            <w:pPr>
              <w:pStyle w:val="Tabletext"/>
              <w:keepNext/>
              <w:rPr>
                <w:rFonts w:cs="Arial"/>
                <w:szCs w:val="20"/>
              </w:rPr>
            </w:pPr>
            <w:r w:rsidRPr="004C2D88">
              <w:rPr>
                <w:rFonts w:cs="Arial"/>
                <w:szCs w:val="20"/>
              </w:rPr>
              <w:t>Patient must be receiving PBS-subsidised binimetinib concomitantly for this condition;</w:t>
            </w:r>
            <w:r w:rsidRPr="004C2D88">
              <w:rPr>
                <w:rFonts w:cs="Arial"/>
                <w:i/>
                <w:szCs w:val="20"/>
              </w:rPr>
              <w:t xml:space="preserve"> </w:t>
            </w:r>
          </w:p>
          <w:p w:rsidR="00947808" w:rsidRPr="004C2D88" w:rsidRDefault="00947808" w:rsidP="00BA638F">
            <w:pPr>
              <w:pStyle w:val="Tabletext"/>
              <w:keepNext/>
              <w:rPr>
                <w:rFonts w:cs="Arial"/>
                <w:szCs w:val="20"/>
              </w:rPr>
            </w:pPr>
            <w:r w:rsidRPr="004C2D88">
              <w:rPr>
                <w:rFonts w:cs="Arial"/>
                <w:szCs w:val="20"/>
              </w:rPr>
              <w:t>AND</w:t>
            </w:r>
          </w:p>
          <w:p w:rsidR="00947808" w:rsidRPr="004C2D88" w:rsidRDefault="00947808" w:rsidP="00BA638F">
            <w:pPr>
              <w:pStyle w:val="Tabletext"/>
              <w:keepNext/>
              <w:rPr>
                <w:rFonts w:cs="Arial"/>
                <w:szCs w:val="20"/>
              </w:rPr>
            </w:pPr>
            <w:r w:rsidRPr="004C2D88">
              <w:rPr>
                <w:rFonts w:cs="Arial"/>
                <w:szCs w:val="20"/>
              </w:rPr>
              <w:t>The condition must not have been treated previously with PBS subsidised therapy; OR</w:t>
            </w:r>
          </w:p>
          <w:p w:rsidR="00947808" w:rsidRPr="004C2D88" w:rsidRDefault="00947808" w:rsidP="00BA638F">
            <w:pPr>
              <w:pStyle w:val="Tabletext"/>
              <w:keepNext/>
              <w:rPr>
                <w:rFonts w:cs="Arial"/>
                <w:szCs w:val="20"/>
              </w:rPr>
            </w:pPr>
            <w:r w:rsidRPr="004C2D88">
              <w:rPr>
                <w:rFonts w:cs="Arial"/>
                <w:szCs w:val="20"/>
              </w:rPr>
              <w:t>Patient must have developed intolerance to another BRAF inhibitor of a severity necessitating permanent treatment withdrawal,</w:t>
            </w:r>
          </w:p>
          <w:p w:rsidR="00947808" w:rsidRPr="004C2D88" w:rsidRDefault="00947808" w:rsidP="00BA638F">
            <w:pPr>
              <w:pStyle w:val="Tabletext"/>
              <w:keepNext/>
              <w:rPr>
                <w:rFonts w:cs="Arial"/>
                <w:szCs w:val="20"/>
              </w:rPr>
            </w:pPr>
            <w:r w:rsidRPr="004C2D88">
              <w:rPr>
                <w:rFonts w:cs="Arial"/>
                <w:szCs w:val="20"/>
              </w:rPr>
              <w:t>AND</w:t>
            </w:r>
          </w:p>
          <w:p w:rsidR="00947808" w:rsidRPr="004C2D88" w:rsidRDefault="00947808" w:rsidP="00BA638F">
            <w:pPr>
              <w:pStyle w:val="Tabletext"/>
              <w:keepNext/>
              <w:rPr>
                <w:rFonts w:cs="Arial"/>
                <w:szCs w:val="20"/>
              </w:rPr>
            </w:pPr>
            <w:r w:rsidRPr="004C2D88">
              <w:rPr>
                <w:rFonts w:cs="Arial"/>
                <w:szCs w:val="20"/>
              </w:rPr>
              <w:t>Patient must have a WHO performance status of 2 or less.</w:t>
            </w:r>
          </w:p>
        </w:tc>
      </w:tr>
      <w:tr w:rsidR="00947808" w:rsidRPr="004C2D88" w:rsidTr="008628D9">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Administrative Advice:</w:t>
            </w:r>
          </w:p>
        </w:tc>
        <w:tc>
          <w:tcPr>
            <w:tcW w:w="7229" w:type="dxa"/>
            <w:gridSpan w:val="7"/>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 xml:space="preserve">A patient who has had progressive disease when treated with another BRAF inhibitor is not eligible to receive PBS-subsidised treatment with this drug. </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 xml:space="preserve">No increase in the maximum quantity or number of units may be authorised. </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 xml:space="preserve">No increase in the maximum number of repeats may be authorised. </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Special Pricing Arrangements apply</w:t>
            </w:r>
          </w:p>
        </w:tc>
      </w:tr>
      <w:tr w:rsidR="008628D9" w:rsidRPr="004C2D88" w:rsidTr="00BA4D98">
        <w:trPr>
          <w:cantSplit/>
        </w:trPr>
        <w:tc>
          <w:tcPr>
            <w:tcW w:w="1843" w:type="dxa"/>
            <w:tcBorders>
              <w:top w:val="single" w:sz="4" w:space="0" w:color="auto"/>
              <w:bottom w:val="single" w:sz="4" w:space="0" w:color="auto"/>
            </w:tcBorders>
          </w:tcPr>
          <w:p w:rsidR="008628D9" w:rsidRPr="004C2D88" w:rsidRDefault="008628D9" w:rsidP="00BA638F">
            <w:pPr>
              <w:pStyle w:val="Tabletext"/>
              <w:keepNext/>
              <w:rPr>
                <w:b/>
                <w:szCs w:val="20"/>
              </w:rPr>
            </w:pPr>
          </w:p>
        </w:tc>
        <w:tc>
          <w:tcPr>
            <w:tcW w:w="7229" w:type="dxa"/>
            <w:gridSpan w:val="7"/>
            <w:tcBorders>
              <w:top w:val="single" w:sz="4" w:space="0" w:color="auto"/>
              <w:bottom w:val="single" w:sz="4" w:space="0" w:color="auto"/>
            </w:tcBorders>
          </w:tcPr>
          <w:p w:rsidR="008628D9" w:rsidRPr="004C2D88" w:rsidRDefault="008628D9" w:rsidP="00BA638F">
            <w:pPr>
              <w:pStyle w:val="Tabletext"/>
              <w:keepNext/>
              <w:rPr>
                <w:szCs w:val="20"/>
              </w:rPr>
            </w:pPr>
          </w:p>
        </w:tc>
      </w:tr>
      <w:tr w:rsidR="00D1234D" w:rsidRPr="004C2D88" w:rsidTr="00BA4D98">
        <w:trPr>
          <w:cantSplit/>
          <w:trHeight w:val="471"/>
        </w:trPr>
        <w:tc>
          <w:tcPr>
            <w:tcW w:w="3544" w:type="dxa"/>
            <w:gridSpan w:val="3"/>
            <w:tcBorders>
              <w:top w:val="single" w:sz="4" w:space="0" w:color="auto"/>
              <w:bottom w:val="single" w:sz="4" w:space="0" w:color="auto"/>
            </w:tcBorders>
          </w:tcPr>
          <w:p w:rsidR="00D1234D" w:rsidRPr="004C2D88" w:rsidRDefault="00D1234D" w:rsidP="00D1234D">
            <w:pPr>
              <w:keepNext/>
              <w:widowControl/>
              <w:rPr>
                <w:rFonts w:ascii="Arial Narrow" w:hAnsi="Arial Narrow"/>
                <w:b/>
                <w:sz w:val="20"/>
                <w:szCs w:val="20"/>
              </w:rPr>
            </w:pPr>
            <w:r w:rsidRPr="004C2D88">
              <w:rPr>
                <w:rFonts w:ascii="Arial Narrow" w:hAnsi="Arial Narrow"/>
                <w:b/>
                <w:sz w:val="20"/>
                <w:szCs w:val="20"/>
              </w:rPr>
              <w:t>Name, Restriction,</w:t>
            </w:r>
          </w:p>
          <w:p w:rsidR="00D1234D" w:rsidRPr="004C2D88" w:rsidRDefault="00D1234D" w:rsidP="00D1234D">
            <w:pPr>
              <w:keepNext/>
              <w:widowControl/>
              <w:rPr>
                <w:rFonts w:ascii="Arial Narrow" w:hAnsi="Arial Narrow"/>
                <w:b/>
                <w:sz w:val="20"/>
                <w:szCs w:val="20"/>
              </w:rPr>
            </w:pPr>
            <w:r w:rsidRPr="004C2D88">
              <w:rPr>
                <w:rFonts w:ascii="Arial Narrow" w:hAnsi="Arial Narrow"/>
                <w:b/>
                <w:sz w:val="20"/>
                <w:szCs w:val="20"/>
              </w:rPr>
              <w:t>Manner of administration and form</w:t>
            </w:r>
          </w:p>
        </w:tc>
        <w:tc>
          <w:tcPr>
            <w:tcW w:w="1418" w:type="dxa"/>
            <w:gridSpan w:val="2"/>
            <w:tcBorders>
              <w:top w:val="single" w:sz="4" w:space="0" w:color="auto"/>
              <w:bottom w:val="single" w:sz="4" w:space="0" w:color="auto"/>
            </w:tcBorders>
          </w:tcPr>
          <w:p w:rsidR="00D1234D" w:rsidRPr="004C2D88" w:rsidRDefault="00D1234D" w:rsidP="00D1234D">
            <w:pPr>
              <w:keepNext/>
              <w:widowControl/>
              <w:rPr>
                <w:rFonts w:ascii="Arial Narrow" w:hAnsi="Arial Narrow"/>
                <w:b/>
                <w:sz w:val="20"/>
                <w:szCs w:val="20"/>
              </w:rPr>
            </w:pPr>
            <w:r w:rsidRPr="004C2D88">
              <w:rPr>
                <w:rFonts w:ascii="Arial Narrow" w:hAnsi="Arial Narrow"/>
                <w:b/>
                <w:sz w:val="20"/>
                <w:szCs w:val="20"/>
              </w:rPr>
              <w:t xml:space="preserve">Max. Qty </w:t>
            </w:r>
          </w:p>
          <w:p w:rsidR="00D1234D" w:rsidRPr="004C2D88" w:rsidRDefault="00D1234D" w:rsidP="00D1234D">
            <w:pPr>
              <w:keepNext/>
              <w:widowControl/>
              <w:rPr>
                <w:rFonts w:ascii="Arial Narrow" w:hAnsi="Arial Narrow"/>
                <w:b/>
                <w:sz w:val="20"/>
                <w:szCs w:val="20"/>
              </w:rPr>
            </w:pPr>
            <w:r w:rsidRPr="004C2D88">
              <w:rPr>
                <w:rFonts w:ascii="Arial Narrow" w:hAnsi="Arial Narrow"/>
                <w:b/>
                <w:sz w:val="20"/>
                <w:szCs w:val="20"/>
              </w:rPr>
              <w:t>(packs)</w:t>
            </w:r>
          </w:p>
        </w:tc>
        <w:tc>
          <w:tcPr>
            <w:tcW w:w="992" w:type="dxa"/>
            <w:tcBorders>
              <w:top w:val="single" w:sz="4" w:space="0" w:color="auto"/>
              <w:bottom w:val="single" w:sz="4" w:space="0" w:color="auto"/>
            </w:tcBorders>
          </w:tcPr>
          <w:p w:rsidR="00D1234D" w:rsidRPr="004C2D88" w:rsidRDefault="00D1234D" w:rsidP="00D1234D">
            <w:pPr>
              <w:keepNext/>
              <w:widowControl/>
              <w:rPr>
                <w:rFonts w:ascii="Arial Narrow" w:hAnsi="Arial Narrow"/>
                <w:b/>
                <w:sz w:val="20"/>
                <w:szCs w:val="20"/>
              </w:rPr>
            </w:pPr>
            <w:r w:rsidRPr="004C2D88">
              <w:rPr>
                <w:rFonts w:ascii="Arial Narrow" w:hAnsi="Arial Narrow"/>
                <w:b/>
                <w:sz w:val="20"/>
                <w:szCs w:val="20"/>
              </w:rPr>
              <w:t>№.of</w:t>
            </w:r>
          </w:p>
          <w:p w:rsidR="00D1234D" w:rsidRPr="004C2D88" w:rsidRDefault="00D1234D" w:rsidP="00D1234D">
            <w:pPr>
              <w:keepNext/>
              <w:widowControl/>
              <w:rPr>
                <w:rFonts w:ascii="Arial Narrow" w:hAnsi="Arial Narrow"/>
                <w:b/>
                <w:sz w:val="20"/>
                <w:szCs w:val="20"/>
              </w:rPr>
            </w:pPr>
            <w:r w:rsidRPr="004C2D88">
              <w:rPr>
                <w:rFonts w:ascii="Arial Narrow" w:hAnsi="Arial Narrow"/>
                <w:b/>
                <w:sz w:val="20"/>
                <w:szCs w:val="20"/>
              </w:rPr>
              <w:t>Rpts</w:t>
            </w:r>
          </w:p>
        </w:tc>
        <w:tc>
          <w:tcPr>
            <w:tcW w:w="3118" w:type="dxa"/>
            <w:gridSpan w:val="2"/>
            <w:tcBorders>
              <w:top w:val="single" w:sz="4" w:space="0" w:color="auto"/>
              <w:bottom w:val="single" w:sz="4" w:space="0" w:color="auto"/>
            </w:tcBorders>
          </w:tcPr>
          <w:p w:rsidR="00D1234D" w:rsidRPr="004C2D88" w:rsidRDefault="00D1234D" w:rsidP="00D1234D">
            <w:pPr>
              <w:keepNext/>
              <w:widowControl/>
              <w:rPr>
                <w:rFonts w:ascii="Arial Narrow" w:hAnsi="Arial Narrow"/>
                <w:b/>
                <w:sz w:val="20"/>
                <w:szCs w:val="20"/>
              </w:rPr>
            </w:pPr>
            <w:r w:rsidRPr="004C2D88">
              <w:rPr>
                <w:rFonts w:ascii="Arial Narrow" w:hAnsi="Arial Narrow"/>
                <w:b/>
                <w:sz w:val="20"/>
                <w:szCs w:val="20"/>
              </w:rPr>
              <w:t>Proprietary Name and Manufacturer</w:t>
            </w:r>
          </w:p>
        </w:tc>
      </w:tr>
      <w:tr w:rsidR="00947808" w:rsidRPr="004C2D88" w:rsidTr="00BA638F">
        <w:trPr>
          <w:cantSplit/>
          <w:trHeight w:val="577"/>
        </w:trPr>
        <w:tc>
          <w:tcPr>
            <w:tcW w:w="3544" w:type="dxa"/>
            <w:gridSpan w:val="3"/>
          </w:tcPr>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E</w:t>
            </w:r>
            <w:r w:rsidRPr="004C2D88">
              <w:rPr>
                <w:rFonts w:ascii="Arial Narrow" w:hAnsi="Arial Narrow"/>
                <w:smallCaps/>
                <w:sz w:val="20"/>
                <w:szCs w:val="20"/>
              </w:rPr>
              <w:t>ncorafenib</w:t>
            </w: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50 mg capsule, 28</w:t>
            </w: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75 mg capsule, 42</w:t>
            </w:r>
          </w:p>
        </w:tc>
        <w:tc>
          <w:tcPr>
            <w:tcW w:w="1418" w:type="dxa"/>
            <w:gridSpan w:val="2"/>
          </w:tcPr>
          <w:p w:rsidR="00947808" w:rsidRPr="004C2D88" w:rsidRDefault="00947808" w:rsidP="00BA638F">
            <w:pPr>
              <w:keepNext/>
              <w:widowControl/>
              <w:rPr>
                <w:rFonts w:ascii="Arial Narrow" w:hAnsi="Arial Narrow"/>
                <w:sz w:val="20"/>
                <w:szCs w:val="20"/>
              </w:rPr>
            </w:pPr>
          </w:p>
          <w:p w:rsidR="00947808" w:rsidRPr="004C2D88" w:rsidRDefault="00B9634A" w:rsidP="00BA638F">
            <w:pPr>
              <w:keepNext/>
              <w:widowControl/>
              <w:rPr>
                <w:rFonts w:ascii="Arial Narrow" w:hAnsi="Arial Narrow"/>
                <w:strike/>
                <w:sz w:val="20"/>
                <w:szCs w:val="20"/>
              </w:rPr>
            </w:pPr>
            <w:r w:rsidRPr="004C2D88">
              <w:rPr>
                <w:rFonts w:ascii="Arial Narrow" w:hAnsi="Arial Narrow"/>
                <w:sz w:val="20"/>
                <w:szCs w:val="20"/>
              </w:rPr>
              <w:t>9</w:t>
            </w: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4</w:t>
            </w:r>
          </w:p>
        </w:tc>
        <w:tc>
          <w:tcPr>
            <w:tcW w:w="992"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5</w:t>
            </w: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5</w:t>
            </w:r>
          </w:p>
        </w:tc>
        <w:tc>
          <w:tcPr>
            <w:tcW w:w="1701"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BRAFTOVI</w:t>
            </w:r>
          </w:p>
        </w:tc>
        <w:tc>
          <w:tcPr>
            <w:tcW w:w="1417"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Pierre Fabre</w:t>
            </w:r>
          </w:p>
        </w:tc>
      </w:tr>
      <w:tr w:rsidR="00947808" w:rsidRPr="004C2D88" w:rsidTr="00BA638F">
        <w:trPr>
          <w:cantSplit/>
        </w:trPr>
        <w:tc>
          <w:tcPr>
            <w:tcW w:w="9072" w:type="dxa"/>
            <w:gridSpan w:val="8"/>
            <w:tcBorders>
              <w:bottom w:val="single" w:sz="4" w:space="0" w:color="auto"/>
            </w:tcBorders>
          </w:tcPr>
          <w:p w:rsidR="00947808" w:rsidRPr="004C2D88" w:rsidRDefault="00947808" w:rsidP="00BA638F">
            <w:pPr>
              <w:keepNext/>
              <w:widowControl/>
              <w:rPr>
                <w:rFonts w:asciiTheme="minorHAnsi" w:hAnsiTheme="minorHAnsi"/>
                <w:sz w:val="20"/>
                <w:szCs w:val="20"/>
              </w:rPr>
            </w:pPr>
          </w:p>
        </w:tc>
      </w:tr>
      <w:tr w:rsidR="00947808" w:rsidRPr="004C2D88" w:rsidTr="00BA638F">
        <w:trPr>
          <w:cantSplit/>
        </w:trPr>
        <w:tc>
          <w:tcPr>
            <w:tcW w:w="2127" w:type="dxa"/>
            <w:gridSpan w:val="2"/>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Category / Program:</w:t>
            </w:r>
          </w:p>
        </w:tc>
        <w:tc>
          <w:tcPr>
            <w:tcW w:w="6945" w:type="dxa"/>
            <w:gridSpan w:val="6"/>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General Schedule</w:t>
            </w:r>
          </w:p>
        </w:tc>
      </w:tr>
      <w:tr w:rsidR="00947808" w:rsidRPr="004C2D88" w:rsidTr="00BA638F">
        <w:trPr>
          <w:cantSplit/>
        </w:trPr>
        <w:tc>
          <w:tcPr>
            <w:tcW w:w="2127" w:type="dxa"/>
            <w:gridSpan w:val="2"/>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Prescriber type:</w:t>
            </w:r>
          </w:p>
        </w:tc>
        <w:tc>
          <w:tcPr>
            <w:tcW w:w="6945" w:type="dxa"/>
            <w:gridSpan w:val="6"/>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fldChar w:fldCharType="begin">
                <w:ffData>
                  <w:name w:val="Check1"/>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Dental  </w:t>
            </w:r>
            <w:r w:rsidRPr="004C2D88">
              <w:rPr>
                <w:szCs w:val="20"/>
              </w:rPr>
              <w:fldChar w:fldCharType="begin">
                <w:ffData>
                  <w:name w:val=""/>
                  <w:enabled/>
                  <w:calcOnExit w:val="0"/>
                  <w:checkBox>
                    <w:sizeAuto/>
                    <w:default w:val="1"/>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Medical Practitioners  </w:t>
            </w:r>
            <w:r w:rsidRPr="004C2D88">
              <w:rPr>
                <w:szCs w:val="20"/>
              </w:rPr>
              <w:fldChar w:fldCharType="begin">
                <w:ffData>
                  <w:name w:val="Check3"/>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Nurse practitioners  </w:t>
            </w: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Optometrists </w:t>
            </w:r>
            <w:r w:rsidRPr="004C2D88">
              <w:rPr>
                <w:szCs w:val="20"/>
              </w:rPr>
              <w:fldChar w:fldCharType="begin">
                <w:ffData>
                  <w:name w:val="Check5"/>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Midwives</w:t>
            </w:r>
          </w:p>
        </w:tc>
      </w:tr>
      <w:tr w:rsidR="00947808" w:rsidRPr="004C2D88" w:rsidTr="00BA638F">
        <w:trPr>
          <w:cantSplit/>
        </w:trPr>
        <w:tc>
          <w:tcPr>
            <w:tcW w:w="2127" w:type="dxa"/>
            <w:gridSpan w:val="2"/>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Severity:</w:t>
            </w:r>
          </w:p>
        </w:tc>
        <w:tc>
          <w:tcPr>
            <w:tcW w:w="6945" w:type="dxa"/>
            <w:gridSpan w:val="6"/>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Unresectable Stage III or Stage IV</w:t>
            </w:r>
          </w:p>
        </w:tc>
      </w:tr>
      <w:tr w:rsidR="00947808" w:rsidRPr="004C2D88" w:rsidTr="00BA638F">
        <w:trPr>
          <w:cantSplit/>
        </w:trPr>
        <w:tc>
          <w:tcPr>
            <w:tcW w:w="2127" w:type="dxa"/>
            <w:gridSpan w:val="2"/>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Condition:</w:t>
            </w:r>
          </w:p>
        </w:tc>
        <w:tc>
          <w:tcPr>
            <w:tcW w:w="6945" w:type="dxa"/>
            <w:gridSpan w:val="6"/>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Malignant melanoma</w:t>
            </w:r>
          </w:p>
        </w:tc>
      </w:tr>
      <w:tr w:rsidR="00947808" w:rsidRPr="004C2D88" w:rsidTr="00BA638F">
        <w:trPr>
          <w:cantSplit/>
        </w:trPr>
        <w:tc>
          <w:tcPr>
            <w:tcW w:w="2127" w:type="dxa"/>
            <w:gridSpan w:val="2"/>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PBS Indication:</w:t>
            </w:r>
          </w:p>
        </w:tc>
        <w:tc>
          <w:tcPr>
            <w:tcW w:w="6945" w:type="dxa"/>
            <w:gridSpan w:val="6"/>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Unresectable Stage III or Stage IV malignant melanoma</w:t>
            </w:r>
          </w:p>
        </w:tc>
      </w:tr>
      <w:tr w:rsidR="00947808" w:rsidRPr="004C2D88" w:rsidTr="00BA638F">
        <w:trPr>
          <w:cantSplit/>
        </w:trPr>
        <w:tc>
          <w:tcPr>
            <w:tcW w:w="2127" w:type="dxa"/>
            <w:gridSpan w:val="2"/>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Treatment phase:</w:t>
            </w:r>
          </w:p>
        </w:tc>
        <w:tc>
          <w:tcPr>
            <w:tcW w:w="6945" w:type="dxa"/>
            <w:gridSpan w:val="6"/>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Continuing treatment</w:t>
            </w:r>
          </w:p>
        </w:tc>
      </w:tr>
      <w:tr w:rsidR="00947808" w:rsidRPr="004C2D88" w:rsidTr="00BA638F">
        <w:trPr>
          <w:cantSplit/>
        </w:trPr>
        <w:tc>
          <w:tcPr>
            <w:tcW w:w="2127" w:type="dxa"/>
            <w:gridSpan w:val="2"/>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Restriction:</w:t>
            </w:r>
          </w:p>
          <w:p w:rsidR="00947808" w:rsidRPr="004C2D88" w:rsidRDefault="00947808" w:rsidP="00BA638F">
            <w:pPr>
              <w:pStyle w:val="Tabletext"/>
              <w:keepNext/>
              <w:rPr>
                <w:i/>
                <w:szCs w:val="20"/>
              </w:rPr>
            </w:pPr>
          </w:p>
        </w:tc>
        <w:tc>
          <w:tcPr>
            <w:tcW w:w="6945" w:type="dxa"/>
            <w:gridSpan w:val="6"/>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fldChar w:fldCharType="begin">
                <w:ffData>
                  <w:name w:val="Check1"/>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Restricted benefit</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In Writing</w:t>
            </w:r>
          </w:p>
          <w:p w:rsidR="00947808" w:rsidRPr="004C2D88" w:rsidRDefault="00947808" w:rsidP="00BA638F">
            <w:pPr>
              <w:pStyle w:val="Tabletext"/>
              <w:keepNext/>
              <w:rPr>
                <w:szCs w:val="20"/>
              </w:rPr>
            </w:pPr>
            <w:r w:rsidRPr="004C2D88">
              <w:rPr>
                <w:szCs w:val="20"/>
              </w:rPr>
              <w:fldChar w:fldCharType="begin">
                <w:ffData>
                  <w:name w:val="Check3"/>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Telephone</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Emergency</w:t>
            </w:r>
          </w:p>
          <w:p w:rsidR="00947808" w:rsidRPr="004C2D88" w:rsidRDefault="00947808" w:rsidP="00BA638F">
            <w:pPr>
              <w:pStyle w:val="Tabletext"/>
              <w:keepNext/>
              <w:rPr>
                <w:szCs w:val="20"/>
              </w:rPr>
            </w:pPr>
            <w:r w:rsidRPr="004C2D88">
              <w:rPr>
                <w:szCs w:val="20"/>
              </w:rPr>
              <w:fldChar w:fldCharType="begin">
                <w:ffData>
                  <w:name w:val="Check5"/>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Electronic</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1"/>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Streamlined</w:t>
            </w:r>
          </w:p>
        </w:tc>
      </w:tr>
      <w:tr w:rsidR="00947808" w:rsidRPr="004C2D88" w:rsidTr="00BA638F">
        <w:trPr>
          <w:cantSplit/>
        </w:trPr>
        <w:tc>
          <w:tcPr>
            <w:tcW w:w="2127" w:type="dxa"/>
            <w:gridSpan w:val="2"/>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lastRenderedPageBreak/>
              <w:t>Clinical criteria:</w:t>
            </w:r>
          </w:p>
        </w:tc>
        <w:tc>
          <w:tcPr>
            <w:tcW w:w="6945" w:type="dxa"/>
            <w:gridSpan w:val="6"/>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rFonts w:cs="Arial"/>
                <w:szCs w:val="20"/>
              </w:rPr>
            </w:pPr>
            <w:r w:rsidRPr="004C2D88">
              <w:rPr>
                <w:rFonts w:cs="Arial"/>
                <w:szCs w:val="20"/>
              </w:rPr>
              <w:t>Patient must have previously been issued with an authority prescription for this drug,</w:t>
            </w:r>
          </w:p>
          <w:p w:rsidR="00947808" w:rsidRPr="004C2D88" w:rsidRDefault="00947808" w:rsidP="00BA638F">
            <w:pPr>
              <w:pStyle w:val="Tabletext"/>
              <w:keepNext/>
              <w:rPr>
                <w:rFonts w:cs="Arial"/>
                <w:szCs w:val="20"/>
              </w:rPr>
            </w:pPr>
            <w:r w:rsidRPr="004C2D88">
              <w:rPr>
                <w:rFonts w:cs="Arial"/>
                <w:szCs w:val="20"/>
              </w:rPr>
              <w:t>AND</w:t>
            </w:r>
          </w:p>
          <w:p w:rsidR="00947808" w:rsidRPr="004C2D88" w:rsidRDefault="00947808" w:rsidP="00BA638F">
            <w:pPr>
              <w:pStyle w:val="Tabletext"/>
              <w:keepNext/>
              <w:rPr>
                <w:rFonts w:cs="Arial"/>
                <w:b/>
                <w:szCs w:val="20"/>
              </w:rPr>
            </w:pPr>
            <w:r w:rsidRPr="004C2D88">
              <w:rPr>
                <w:rFonts w:cs="Arial"/>
                <w:szCs w:val="20"/>
              </w:rPr>
              <w:t>Patient must be receiving PBS-subsidised binimetinib concomitantly for this condition;</w:t>
            </w:r>
            <w:r w:rsidRPr="004C2D88">
              <w:rPr>
                <w:rFonts w:cs="Arial"/>
                <w:i/>
                <w:szCs w:val="20"/>
              </w:rPr>
              <w:t xml:space="preserve"> </w:t>
            </w:r>
          </w:p>
          <w:p w:rsidR="00947808" w:rsidRPr="004C2D88" w:rsidRDefault="00947808" w:rsidP="00BA638F">
            <w:pPr>
              <w:pStyle w:val="Tabletext"/>
              <w:keepNext/>
              <w:rPr>
                <w:rFonts w:cs="Arial"/>
                <w:szCs w:val="20"/>
              </w:rPr>
            </w:pPr>
            <w:r w:rsidRPr="004C2D88">
              <w:rPr>
                <w:rFonts w:cs="Arial"/>
                <w:szCs w:val="20"/>
              </w:rPr>
              <w:t>AND</w:t>
            </w:r>
          </w:p>
          <w:p w:rsidR="00947808" w:rsidRPr="004C2D88" w:rsidRDefault="00947808" w:rsidP="00BA638F">
            <w:pPr>
              <w:pStyle w:val="Tabletext"/>
              <w:keepNext/>
              <w:rPr>
                <w:rFonts w:cs="Arial"/>
                <w:szCs w:val="20"/>
              </w:rPr>
            </w:pPr>
            <w:r w:rsidRPr="004C2D88">
              <w:rPr>
                <w:rFonts w:cs="Arial"/>
                <w:szCs w:val="20"/>
              </w:rPr>
              <w:t>Patient must have stable or responding disease</w:t>
            </w:r>
          </w:p>
        </w:tc>
      </w:tr>
      <w:tr w:rsidR="00947808" w:rsidRPr="004C2D88" w:rsidTr="00BA638F">
        <w:trPr>
          <w:cantSplit/>
        </w:trPr>
        <w:tc>
          <w:tcPr>
            <w:tcW w:w="2127" w:type="dxa"/>
            <w:gridSpan w:val="2"/>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Administrative Advice:</w:t>
            </w:r>
          </w:p>
        </w:tc>
        <w:tc>
          <w:tcPr>
            <w:tcW w:w="6945" w:type="dxa"/>
            <w:gridSpan w:val="6"/>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A patient who has progressive disease when treated with this drug is no longer eligible for PBS-subsidised treatment with this drug</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 xml:space="preserve">A patient who has had progressive disease when treated with another BRAF inhibitor is not eligible to receive PBS-subsidised treatment with this drug. </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 xml:space="preserve">No increase in the maximum quantity or number of units may be authorised. </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 xml:space="preserve">No increase in the maximum number of repeats may be authorised. </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Special Pricing Arrangements apply</w:t>
            </w:r>
          </w:p>
        </w:tc>
      </w:tr>
    </w:tbl>
    <w:p w:rsidR="00226168" w:rsidRPr="004C2D88" w:rsidRDefault="00226168" w:rsidP="004E21CE">
      <w:pPr>
        <w:pBdr>
          <w:bottom w:val="single" w:sz="4" w:space="1" w:color="auto"/>
        </w:pBdr>
        <w:rPr>
          <w:rFonts w:asciiTheme="minorHAnsi" w:hAnsiTheme="minorHAnsi"/>
          <w:bCs/>
          <w:highlight w:val="yellow"/>
        </w:rPr>
      </w:pPr>
    </w:p>
    <w:tbl>
      <w:tblPr>
        <w:tblW w:w="9072" w:type="dxa"/>
        <w:tblInd w:w="108" w:type="dxa"/>
        <w:tblLayout w:type="fixed"/>
        <w:tblLook w:val="0000" w:firstRow="0" w:lastRow="0" w:firstColumn="0" w:lastColumn="0" w:noHBand="0" w:noVBand="0"/>
      </w:tblPr>
      <w:tblGrid>
        <w:gridCol w:w="1843"/>
        <w:gridCol w:w="1701"/>
        <w:gridCol w:w="1418"/>
        <w:gridCol w:w="992"/>
        <w:gridCol w:w="1701"/>
        <w:gridCol w:w="1417"/>
      </w:tblGrid>
      <w:tr w:rsidR="00947808" w:rsidRPr="004C2D88" w:rsidTr="009C1D1C">
        <w:trPr>
          <w:cantSplit/>
          <w:trHeight w:val="471"/>
        </w:trPr>
        <w:tc>
          <w:tcPr>
            <w:tcW w:w="3544" w:type="dxa"/>
            <w:gridSpan w:val="2"/>
            <w:tcBorders>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Name, Restriction,</w:t>
            </w:r>
          </w:p>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Manner of administration and form</w:t>
            </w:r>
          </w:p>
        </w:tc>
        <w:tc>
          <w:tcPr>
            <w:tcW w:w="1418" w:type="dxa"/>
            <w:tcBorders>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 xml:space="preserve">Max. Qty </w:t>
            </w:r>
          </w:p>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(packs)</w:t>
            </w:r>
          </w:p>
        </w:tc>
        <w:tc>
          <w:tcPr>
            <w:tcW w:w="992" w:type="dxa"/>
            <w:tcBorders>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№.of</w:t>
            </w:r>
          </w:p>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Rpts</w:t>
            </w:r>
          </w:p>
        </w:tc>
        <w:tc>
          <w:tcPr>
            <w:tcW w:w="3118" w:type="dxa"/>
            <w:gridSpan w:val="2"/>
            <w:tcBorders>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Proprietary Name and Manufacturer</w:t>
            </w:r>
          </w:p>
        </w:tc>
      </w:tr>
      <w:tr w:rsidR="00947808" w:rsidRPr="004C2D88" w:rsidTr="00BA638F">
        <w:trPr>
          <w:cantSplit/>
          <w:trHeight w:val="577"/>
        </w:trPr>
        <w:tc>
          <w:tcPr>
            <w:tcW w:w="3544" w:type="dxa"/>
            <w:gridSpan w:val="2"/>
          </w:tcPr>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B</w:t>
            </w:r>
            <w:r w:rsidRPr="004C2D88">
              <w:rPr>
                <w:rFonts w:ascii="Arial Narrow" w:hAnsi="Arial Narrow"/>
                <w:smallCaps/>
                <w:sz w:val="20"/>
                <w:szCs w:val="20"/>
              </w:rPr>
              <w:t>inimetinib</w:t>
            </w: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15 mg capsule, 84</w:t>
            </w:r>
          </w:p>
        </w:tc>
        <w:tc>
          <w:tcPr>
            <w:tcW w:w="1418"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2</w:t>
            </w:r>
          </w:p>
        </w:tc>
        <w:tc>
          <w:tcPr>
            <w:tcW w:w="992"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3</w:t>
            </w:r>
          </w:p>
        </w:tc>
        <w:tc>
          <w:tcPr>
            <w:tcW w:w="1701"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MEKTOVI</w:t>
            </w:r>
          </w:p>
        </w:tc>
        <w:tc>
          <w:tcPr>
            <w:tcW w:w="1417"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Pierre Fabre</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Category / Program:</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General Schedule</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Prescriber type:</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fldChar w:fldCharType="begin">
                <w:ffData>
                  <w:name w:val="Check1"/>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Dental  </w:t>
            </w:r>
            <w:r w:rsidRPr="004C2D88">
              <w:rPr>
                <w:szCs w:val="20"/>
              </w:rPr>
              <w:fldChar w:fldCharType="begin">
                <w:ffData>
                  <w:name w:val=""/>
                  <w:enabled/>
                  <w:calcOnExit w:val="0"/>
                  <w:checkBox>
                    <w:sizeAuto/>
                    <w:default w:val="1"/>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Medical Practitioners  </w:t>
            </w:r>
            <w:r w:rsidRPr="004C2D88">
              <w:rPr>
                <w:szCs w:val="20"/>
              </w:rPr>
              <w:fldChar w:fldCharType="begin">
                <w:ffData>
                  <w:name w:val="Check3"/>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Nurse practitioners </w:t>
            </w: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Optometrists </w:t>
            </w:r>
            <w:r w:rsidRPr="004C2D88">
              <w:rPr>
                <w:szCs w:val="20"/>
              </w:rPr>
              <w:fldChar w:fldCharType="begin">
                <w:ffData>
                  <w:name w:val="Check5"/>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Midwives</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Severity:</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Unresectable Stage III or Stage IV</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Condition:</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Malignant melanoma</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PBS Indication:</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Unresectable Stage III or Stage IV malignant melanoma</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Treatment phase:</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Initial treatment</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Restriction:</w:t>
            </w:r>
          </w:p>
          <w:p w:rsidR="00947808" w:rsidRPr="004C2D88" w:rsidRDefault="00947808" w:rsidP="00BA638F">
            <w:pPr>
              <w:pStyle w:val="Tabletext"/>
              <w:keepNext/>
              <w:rPr>
                <w:i/>
                <w:szCs w:val="20"/>
              </w:rPr>
            </w:pP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fldChar w:fldCharType="begin">
                <w:ffData>
                  <w:name w:val="Check1"/>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Restricted benefit</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In Writing</w:t>
            </w:r>
          </w:p>
          <w:p w:rsidR="00947808" w:rsidRPr="004C2D88" w:rsidRDefault="00947808" w:rsidP="00BA638F">
            <w:pPr>
              <w:pStyle w:val="Tabletext"/>
              <w:keepNext/>
              <w:rPr>
                <w:szCs w:val="20"/>
              </w:rPr>
            </w:pPr>
            <w:r w:rsidRPr="004C2D88">
              <w:rPr>
                <w:szCs w:val="20"/>
              </w:rPr>
              <w:fldChar w:fldCharType="begin">
                <w:ffData>
                  <w:name w:val="Check3"/>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Telephone</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Emergency</w:t>
            </w:r>
          </w:p>
          <w:p w:rsidR="00947808" w:rsidRPr="004C2D88" w:rsidRDefault="00947808" w:rsidP="00BA638F">
            <w:pPr>
              <w:pStyle w:val="Tabletext"/>
              <w:keepNext/>
              <w:rPr>
                <w:szCs w:val="20"/>
              </w:rPr>
            </w:pPr>
            <w:r w:rsidRPr="004C2D88">
              <w:rPr>
                <w:szCs w:val="20"/>
              </w:rPr>
              <w:fldChar w:fldCharType="begin">
                <w:ffData>
                  <w:name w:val="Check5"/>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Electronic</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1"/>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Streamlined</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Clinical criteria:</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rFonts w:cs="Arial"/>
                <w:szCs w:val="20"/>
              </w:rPr>
            </w:pPr>
            <w:r w:rsidRPr="004C2D88">
              <w:rPr>
                <w:rFonts w:cs="Arial"/>
                <w:szCs w:val="20"/>
              </w:rPr>
              <w:t>Patient must be receiving PBS-subsidised encorafenib concomitantly for this condition;</w:t>
            </w:r>
          </w:p>
          <w:p w:rsidR="00947808" w:rsidRPr="004C2D88" w:rsidRDefault="00947808" w:rsidP="00BA638F">
            <w:pPr>
              <w:pStyle w:val="Tabletext"/>
              <w:keepNext/>
              <w:rPr>
                <w:rFonts w:cs="Arial"/>
                <w:szCs w:val="20"/>
              </w:rPr>
            </w:pPr>
            <w:r w:rsidRPr="004C2D88">
              <w:rPr>
                <w:rFonts w:cs="Arial"/>
                <w:szCs w:val="20"/>
              </w:rPr>
              <w:t>AND</w:t>
            </w:r>
          </w:p>
          <w:p w:rsidR="00947808" w:rsidRPr="004C2D88" w:rsidRDefault="00947808" w:rsidP="00BA638F">
            <w:pPr>
              <w:pStyle w:val="Tabletext"/>
              <w:keepNext/>
              <w:rPr>
                <w:rFonts w:cs="Arial"/>
                <w:szCs w:val="20"/>
              </w:rPr>
            </w:pPr>
            <w:r w:rsidRPr="004C2D88">
              <w:rPr>
                <w:rFonts w:cs="Arial"/>
                <w:szCs w:val="20"/>
              </w:rPr>
              <w:t>Patient must not have had progressive disease when treated with a BRAF inhibitor.</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highlight w:val="yellow"/>
              </w:rPr>
            </w:pPr>
            <w:r w:rsidRPr="004C2D88">
              <w:rPr>
                <w:b/>
                <w:szCs w:val="20"/>
              </w:rPr>
              <w:t>Administrative Advice:</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 xml:space="preserve">No increase in the maximum quantity or number of units may be authorised. </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 xml:space="preserve">No increase in the maximum number of repeats may be authorised. </w:t>
            </w:r>
          </w:p>
          <w:p w:rsidR="00947808" w:rsidRPr="004C2D88" w:rsidRDefault="00947808" w:rsidP="00BA638F">
            <w:pPr>
              <w:pStyle w:val="Tabletext"/>
              <w:keepNext/>
              <w:rPr>
                <w:szCs w:val="20"/>
              </w:rPr>
            </w:pPr>
          </w:p>
          <w:p w:rsidR="00947808" w:rsidRPr="004C2D88" w:rsidRDefault="00947808" w:rsidP="00BA638F">
            <w:pPr>
              <w:pStyle w:val="Tabletext"/>
              <w:keepNext/>
              <w:rPr>
                <w:szCs w:val="20"/>
                <w:highlight w:val="yellow"/>
              </w:rPr>
            </w:pPr>
            <w:r w:rsidRPr="004C2D88">
              <w:rPr>
                <w:szCs w:val="20"/>
              </w:rPr>
              <w:t>Special Pricing Arrangements apply</w:t>
            </w:r>
          </w:p>
        </w:tc>
      </w:tr>
    </w:tbl>
    <w:p w:rsidR="00947808" w:rsidRPr="004C2D88" w:rsidRDefault="00947808" w:rsidP="008628D9">
      <w:pPr>
        <w:rPr>
          <w:rFonts w:asciiTheme="minorHAnsi" w:hAnsiTheme="minorHAnsi"/>
          <w:bCs/>
          <w:highlight w:val="yellow"/>
        </w:rPr>
      </w:pPr>
    </w:p>
    <w:tbl>
      <w:tblPr>
        <w:tblW w:w="9072" w:type="dxa"/>
        <w:tblInd w:w="108" w:type="dxa"/>
        <w:tblLayout w:type="fixed"/>
        <w:tblLook w:val="0000" w:firstRow="0" w:lastRow="0" w:firstColumn="0" w:lastColumn="0" w:noHBand="0" w:noVBand="0"/>
      </w:tblPr>
      <w:tblGrid>
        <w:gridCol w:w="1843"/>
        <w:gridCol w:w="1701"/>
        <w:gridCol w:w="1418"/>
        <w:gridCol w:w="992"/>
        <w:gridCol w:w="1701"/>
        <w:gridCol w:w="1417"/>
      </w:tblGrid>
      <w:tr w:rsidR="00947808" w:rsidRPr="004C2D88" w:rsidTr="00BA638F">
        <w:trPr>
          <w:cantSplit/>
          <w:trHeight w:val="471"/>
        </w:trPr>
        <w:tc>
          <w:tcPr>
            <w:tcW w:w="3544" w:type="dxa"/>
            <w:gridSpan w:val="2"/>
            <w:tcBorders>
              <w:top w:val="single" w:sz="4" w:space="0" w:color="000000" w:themeColor="text1"/>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lastRenderedPageBreak/>
              <w:t>Name, Restriction,</w:t>
            </w:r>
          </w:p>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Manner of administration and form</w:t>
            </w:r>
          </w:p>
        </w:tc>
        <w:tc>
          <w:tcPr>
            <w:tcW w:w="1418" w:type="dxa"/>
            <w:tcBorders>
              <w:top w:val="single" w:sz="4" w:space="0" w:color="000000" w:themeColor="text1"/>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 xml:space="preserve">Max. Qty </w:t>
            </w:r>
          </w:p>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(packs)</w:t>
            </w:r>
          </w:p>
        </w:tc>
        <w:tc>
          <w:tcPr>
            <w:tcW w:w="992" w:type="dxa"/>
            <w:tcBorders>
              <w:top w:val="single" w:sz="4" w:space="0" w:color="000000" w:themeColor="text1"/>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№.of</w:t>
            </w:r>
          </w:p>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Rpts</w:t>
            </w:r>
          </w:p>
        </w:tc>
        <w:tc>
          <w:tcPr>
            <w:tcW w:w="3118" w:type="dxa"/>
            <w:gridSpan w:val="2"/>
            <w:tcBorders>
              <w:top w:val="single" w:sz="4" w:space="0" w:color="000000" w:themeColor="text1"/>
              <w:bottom w:val="single" w:sz="4" w:space="0" w:color="auto"/>
            </w:tcBorders>
          </w:tcPr>
          <w:p w:rsidR="00947808" w:rsidRPr="004C2D88" w:rsidRDefault="00947808" w:rsidP="00BA638F">
            <w:pPr>
              <w:keepNext/>
              <w:widowControl/>
              <w:rPr>
                <w:rFonts w:ascii="Arial Narrow" w:hAnsi="Arial Narrow"/>
                <w:b/>
                <w:sz w:val="20"/>
                <w:szCs w:val="20"/>
              </w:rPr>
            </w:pPr>
            <w:r w:rsidRPr="004C2D88">
              <w:rPr>
                <w:rFonts w:ascii="Arial Narrow" w:hAnsi="Arial Narrow"/>
                <w:b/>
                <w:sz w:val="20"/>
                <w:szCs w:val="20"/>
              </w:rPr>
              <w:t>Proprietary Name and Manufacturer</w:t>
            </w:r>
          </w:p>
        </w:tc>
      </w:tr>
      <w:tr w:rsidR="00947808" w:rsidRPr="004C2D88" w:rsidTr="00BA638F">
        <w:trPr>
          <w:cantSplit/>
          <w:trHeight w:val="577"/>
        </w:trPr>
        <w:tc>
          <w:tcPr>
            <w:tcW w:w="3544" w:type="dxa"/>
            <w:gridSpan w:val="2"/>
          </w:tcPr>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B</w:t>
            </w:r>
            <w:r w:rsidRPr="004C2D88">
              <w:rPr>
                <w:rFonts w:ascii="Arial Narrow" w:hAnsi="Arial Narrow"/>
                <w:smallCaps/>
                <w:sz w:val="20"/>
                <w:szCs w:val="20"/>
              </w:rPr>
              <w:t>inimetinib</w:t>
            </w: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15 mg capsule, 84</w:t>
            </w:r>
          </w:p>
        </w:tc>
        <w:tc>
          <w:tcPr>
            <w:tcW w:w="1418"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2</w:t>
            </w:r>
          </w:p>
        </w:tc>
        <w:tc>
          <w:tcPr>
            <w:tcW w:w="992"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5</w:t>
            </w:r>
          </w:p>
        </w:tc>
        <w:tc>
          <w:tcPr>
            <w:tcW w:w="1701"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MEKTOVI</w:t>
            </w:r>
          </w:p>
        </w:tc>
        <w:tc>
          <w:tcPr>
            <w:tcW w:w="1417" w:type="dxa"/>
          </w:tcPr>
          <w:p w:rsidR="00947808" w:rsidRPr="004C2D88" w:rsidRDefault="00947808" w:rsidP="00BA638F">
            <w:pPr>
              <w:keepNext/>
              <w:widowControl/>
              <w:rPr>
                <w:rFonts w:ascii="Arial Narrow" w:hAnsi="Arial Narrow"/>
                <w:sz w:val="20"/>
                <w:szCs w:val="20"/>
              </w:rPr>
            </w:pPr>
          </w:p>
          <w:p w:rsidR="00947808" w:rsidRPr="004C2D88" w:rsidRDefault="00947808" w:rsidP="00BA638F">
            <w:pPr>
              <w:keepNext/>
              <w:widowControl/>
              <w:rPr>
                <w:rFonts w:ascii="Arial Narrow" w:hAnsi="Arial Narrow"/>
                <w:sz w:val="20"/>
                <w:szCs w:val="20"/>
              </w:rPr>
            </w:pPr>
            <w:r w:rsidRPr="004C2D88">
              <w:rPr>
                <w:rFonts w:ascii="Arial Narrow" w:hAnsi="Arial Narrow"/>
                <w:sz w:val="20"/>
                <w:szCs w:val="20"/>
              </w:rPr>
              <w:t>Pierre Fabre</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Category / Program:</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General Schedule</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Prescriber type:</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E46AE">
            <w:pPr>
              <w:pStyle w:val="Tabletext"/>
              <w:keepNext/>
              <w:rPr>
                <w:szCs w:val="20"/>
              </w:rPr>
            </w:pPr>
            <w:r w:rsidRPr="004C2D88">
              <w:rPr>
                <w:szCs w:val="20"/>
              </w:rPr>
              <w:fldChar w:fldCharType="begin">
                <w:ffData>
                  <w:name w:val="Check1"/>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Dental  </w:t>
            </w:r>
            <w:r w:rsidRPr="004C2D88">
              <w:rPr>
                <w:szCs w:val="20"/>
              </w:rPr>
              <w:fldChar w:fldCharType="begin">
                <w:ffData>
                  <w:name w:val=""/>
                  <w:enabled/>
                  <w:calcOnExit w:val="0"/>
                  <w:checkBox>
                    <w:sizeAuto/>
                    <w:default w:val="1"/>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Medical Practitioners  </w:t>
            </w:r>
            <w:r w:rsidRPr="004C2D88">
              <w:rPr>
                <w:szCs w:val="20"/>
              </w:rPr>
              <w:fldChar w:fldCharType="begin">
                <w:ffData>
                  <w:name w:val="Check3"/>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Nurse practitioners</w:t>
            </w:r>
            <w:r w:rsidR="00BE46AE" w:rsidRPr="004C2D88">
              <w:rPr>
                <w:szCs w:val="20"/>
              </w:rPr>
              <w:t xml:space="preserve">  </w:t>
            </w: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 xml:space="preserve">Optometrists </w:t>
            </w:r>
            <w:r w:rsidRPr="004C2D88">
              <w:rPr>
                <w:szCs w:val="20"/>
              </w:rPr>
              <w:fldChar w:fldCharType="begin">
                <w:ffData>
                  <w:name w:val="Check5"/>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Midwives</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Severity:</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Unresectable Stage III or Stage IV</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Condition:</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Malignant melanoma</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PBS Indication:</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Unresectable Stage III or Stage IV malignant melanoma</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Treatment phase:</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Continuing treatment</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Restriction:</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fldChar w:fldCharType="begin">
                <w:ffData>
                  <w:name w:val="Check1"/>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Restricted benefit</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In Writing</w:t>
            </w:r>
          </w:p>
          <w:p w:rsidR="00947808" w:rsidRPr="004C2D88" w:rsidRDefault="00947808" w:rsidP="00BA638F">
            <w:pPr>
              <w:pStyle w:val="Tabletext"/>
              <w:keepNext/>
              <w:rPr>
                <w:szCs w:val="20"/>
              </w:rPr>
            </w:pPr>
            <w:r w:rsidRPr="004C2D88">
              <w:rPr>
                <w:szCs w:val="20"/>
              </w:rPr>
              <w:fldChar w:fldCharType="begin">
                <w:ffData>
                  <w:name w:val="Check3"/>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Telephone</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Emergency</w:t>
            </w:r>
          </w:p>
          <w:p w:rsidR="00947808" w:rsidRPr="004C2D88" w:rsidRDefault="00947808" w:rsidP="00BA638F">
            <w:pPr>
              <w:pStyle w:val="Tabletext"/>
              <w:keepNext/>
              <w:rPr>
                <w:szCs w:val="20"/>
              </w:rPr>
            </w:pPr>
            <w:r w:rsidRPr="004C2D88">
              <w:rPr>
                <w:szCs w:val="20"/>
              </w:rPr>
              <w:fldChar w:fldCharType="begin">
                <w:ffData>
                  <w:name w:val="Check5"/>
                  <w:enabled/>
                  <w:calcOnExit w:val="0"/>
                  <w:checkBox>
                    <w:sizeAuto/>
                    <w:default w:val="0"/>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Authority Required - Electronic</w:t>
            </w:r>
          </w:p>
          <w:p w:rsidR="00947808" w:rsidRPr="004C2D88" w:rsidRDefault="00947808" w:rsidP="00BA638F">
            <w:pPr>
              <w:pStyle w:val="Tabletext"/>
              <w:keepNext/>
              <w:rPr>
                <w:szCs w:val="20"/>
              </w:rPr>
            </w:pPr>
            <w:r w:rsidRPr="004C2D88">
              <w:rPr>
                <w:szCs w:val="20"/>
              </w:rPr>
              <w:fldChar w:fldCharType="begin">
                <w:ffData>
                  <w:name w:val=""/>
                  <w:enabled/>
                  <w:calcOnExit w:val="0"/>
                  <w:checkBox>
                    <w:sizeAuto/>
                    <w:default w:val="1"/>
                  </w:checkBox>
                </w:ffData>
              </w:fldChar>
            </w:r>
            <w:r w:rsidRPr="004C2D88">
              <w:rPr>
                <w:szCs w:val="20"/>
              </w:rPr>
              <w:instrText xml:space="preserve"> FORMCHECKBOX </w:instrText>
            </w:r>
            <w:r w:rsidR="007D0A9E">
              <w:rPr>
                <w:szCs w:val="20"/>
              </w:rPr>
            </w:r>
            <w:r w:rsidR="007D0A9E">
              <w:rPr>
                <w:szCs w:val="20"/>
              </w:rPr>
              <w:fldChar w:fldCharType="separate"/>
            </w:r>
            <w:r w:rsidRPr="004C2D88">
              <w:rPr>
                <w:szCs w:val="20"/>
              </w:rPr>
              <w:fldChar w:fldCharType="end"/>
            </w:r>
            <w:r w:rsidRPr="004C2D88">
              <w:rPr>
                <w:szCs w:val="20"/>
              </w:rPr>
              <w:t>Streamlined</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Clinical criteria:</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rFonts w:cs="Arial"/>
                <w:szCs w:val="20"/>
              </w:rPr>
            </w:pPr>
            <w:r w:rsidRPr="004C2D88">
              <w:rPr>
                <w:rFonts w:cs="Arial"/>
                <w:szCs w:val="20"/>
              </w:rPr>
              <w:t>Patient must have previously been issued with an authority prescription for this drug,</w:t>
            </w:r>
          </w:p>
          <w:p w:rsidR="00947808" w:rsidRPr="004C2D88" w:rsidRDefault="00947808" w:rsidP="00BA638F">
            <w:pPr>
              <w:pStyle w:val="Tabletext"/>
              <w:keepNext/>
              <w:rPr>
                <w:rFonts w:cs="Arial"/>
                <w:szCs w:val="20"/>
              </w:rPr>
            </w:pPr>
            <w:r w:rsidRPr="004C2D88">
              <w:rPr>
                <w:rFonts w:cs="Arial"/>
                <w:szCs w:val="20"/>
              </w:rPr>
              <w:t>AND</w:t>
            </w:r>
          </w:p>
          <w:p w:rsidR="00947808" w:rsidRPr="004C2D88" w:rsidRDefault="00947808" w:rsidP="00BA638F">
            <w:pPr>
              <w:pStyle w:val="Tabletext"/>
              <w:keepNext/>
              <w:rPr>
                <w:rFonts w:cs="Arial"/>
                <w:szCs w:val="20"/>
              </w:rPr>
            </w:pPr>
            <w:r w:rsidRPr="004C2D88">
              <w:rPr>
                <w:rFonts w:cs="Arial"/>
                <w:szCs w:val="20"/>
              </w:rPr>
              <w:t>Patient must be receiving PBS-subsidised encorafenib concomitantly for this condition,</w:t>
            </w:r>
          </w:p>
          <w:p w:rsidR="00947808" w:rsidRPr="004C2D88" w:rsidRDefault="00947808" w:rsidP="00BA638F">
            <w:pPr>
              <w:pStyle w:val="Tabletext"/>
              <w:keepNext/>
              <w:rPr>
                <w:rFonts w:cs="Arial"/>
                <w:szCs w:val="20"/>
              </w:rPr>
            </w:pPr>
            <w:r w:rsidRPr="004C2D88">
              <w:rPr>
                <w:rFonts w:cs="Arial"/>
                <w:szCs w:val="20"/>
              </w:rPr>
              <w:t>AND</w:t>
            </w:r>
          </w:p>
          <w:p w:rsidR="00947808" w:rsidRPr="004C2D88" w:rsidRDefault="00947808" w:rsidP="00BA638F">
            <w:pPr>
              <w:pStyle w:val="Tabletext"/>
              <w:keepNext/>
              <w:rPr>
                <w:rFonts w:cs="Arial"/>
                <w:szCs w:val="20"/>
              </w:rPr>
            </w:pPr>
            <w:r w:rsidRPr="004C2D88">
              <w:rPr>
                <w:rFonts w:cs="Arial"/>
                <w:szCs w:val="20"/>
              </w:rPr>
              <w:t>Patient must have stable or responding disease</w:t>
            </w:r>
          </w:p>
        </w:tc>
      </w:tr>
      <w:tr w:rsidR="00947808" w:rsidRPr="004C2D88" w:rsidTr="00BA638F">
        <w:trPr>
          <w:cantSplit/>
        </w:trPr>
        <w:tc>
          <w:tcPr>
            <w:tcW w:w="1843" w:type="dxa"/>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b/>
                <w:szCs w:val="20"/>
              </w:rPr>
            </w:pPr>
            <w:r w:rsidRPr="004C2D88">
              <w:rPr>
                <w:b/>
                <w:szCs w:val="20"/>
              </w:rPr>
              <w:t>Administrative Advice:</w:t>
            </w:r>
          </w:p>
        </w:tc>
        <w:tc>
          <w:tcPr>
            <w:tcW w:w="7229" w:type="dxa"/>
            <w:gridSpan w:val="5"/>
            <w:tcBorders>
              <w:top w:val="single" w:sz="4" w:space="0" w:color="auto"/>
              <w:left w:val="single" w:sz="4" w:space="0" w:color="auto"/>
              <w:bottom w:val="single" w:sz="4" w:space="0" w:color="auto"/>
              <w:right w:val="single" w:sz="4" w:space="0" w:color="auto"/>
            </w:tcBorders>
          </w:tcPr>
          <w:p w:rsidR="00947808" w:rsidRPr="004C2D88" w:rsidRDefault="00947808" w:rsidP="00BA638F">
            <w:pPr>
              <w:pStyle w:val="Tabletext"/>
              <w:keepNext/>
              <w:rPr>
                <w:szCs w:val="20"/>
              </w:rPr>
            </w:pPr>
            <w:r w:rsidRPr="004C2D88">
              <w:rPr>
                <w:szCs w:val="20"/>
              </w:rPr>
              <w:t>A patient who has had progressive disease when treated with this drug is no longer eligible for PBS subsidised treatment with this drug.</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 xml:space="preserve">No increase in the maximum quantity or number of units may be authorised. </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 xml:space="preserve">No increase in the maximum number of repeats may be authorised. </w:t>
            </w:r>
          </w:p>
          <w:p w:rsidR="00947808" w:rsidRPr="004C2D88" w:rsidRDefault="00947808" w:rsidP="00BA638F">
            <w:pPr>
              <w:pStyle w:val="Tabletext"/>
              <w:keepNext/>
              <w:rPr>
                <w:szCs w:val="20"/>
              </w:rPr>
            </w:pPr>
          </w:p>
          <w:p w:rsidR="00947808" w:rsidRPr="004C2D88" w:rsidRDefault="00947808" w:rsidP="00BA638F">
            <w:pPr>
              <w:pStyle w:val="Tabletext"/>
              <w:keepNext/>
              <w:rPr>
                <w:szCs w:val="20"/>
              </w:rPr>
            </w:pPr>
            <w:r w:rsidRPr="004C2D88">
              <w:rPr>
                <w:szCs w:val="20"/>
              </w:rPr>
              <w:t>Special Pricing Arrangements apply</w:t>
            </w:r>
          </w:p>
        </w:tc>
      </w:tr>
    </w:tbl>
    <w:p w:rsidR="002610C7" w:rsidRDefault="002610C7" w:rsidP="002610C7">
      <w:pPr>
        <w:widowControl/>
        <w:spacing w:after="120"/>
      </w:pPr>
    </w:p>
    <w:p w:rsidR="0016139E" w:rsidRPr="0016139E" w:rsidRDefault="0016139E" w:rsidP="00A859EC">
      <w:pPr>
        <w:pStyle w:val="Heading1"/>
        <w:rPr>
          <w:rFonts w:asciiTheme="minorHAnsi" w:eastAsiaTheme="minorHAnsi" w:hAnsiTheme="minorHAnsi" w:cstheme="minorBidi"/>
          <w:b w:val="0"/>
          <w:snapToGrid/>
        </w:rPr>
      </w:pPr>
      <w:r w:rsidRPr="0016139E">
        <w:rPr>
          <w:rFonts w:asciiTheme="minorHAnsi" w:eastAsiaTheme="minorHAnsi" w:hAnsiTheme="minorHAnsi" w:cstheme="minorBidi"/>
          <w:snapToGrid/>
        </w:rPr>
        <w:t>Context for Decision</w:t>
      </w:r>
    </w:p>
    <w:p w:rsidR="0016139E" w:rsidRPr="007D0A9E" w:rsidRDefault="0016139E" w:rsidP="007D0A9E">
      <w:pPr>
        <w:widowControl/>
        <w:spacing w:after="240"/>
        <w:ind w:left="720"/>
        <w:rPr>
          <w:rFonts w:asciiTheme="minorHAnsi" w:eastAsiaTheme="minorHAnsi" w:hAnsiTheme="minorHAnsi"/>
          <w:snapToGrid/>
        </w:rPr>
      </w:pPr>
      <w:r w:rsidRPr="0016139E">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6139E" w:rsidRPr="00A859EC" w:rsidRDefault="0016139E" w:rsidP="00A859EC">
      <w:pPr>
        <w:pStyle w:val="Heading1"/>
        <w:rPr>
          <w:rFonts w:asciiTheme="minorHAnsi" w:eastAsiaTheme="minorHAnsi" w:hAnsiTheme="minorHAnsi"/>
          <w:snapToGrid/>
          <w:szCs w:val="32"/>
        </w:rPr>
      </w:pPr>
      <w:r w:rsidRPr="00A859EC">
        <w:rPr>
          <w:rFonts w:asciiTheme="minorHAnsi" w:eastAsiaTheme="minorHAnsi" w:hAnsiTheme="minorHAnsi"/>
          <w:snapToGrid/>
          <w:szCs w:val="32"/>
        </w:rPr>
        <w:t>Sponsor’s Comment</w:t>
      </w:r>
    </w:p>
    <w:p w:rsidR="0016139E" w:rsidRPr="00A859EC" w:rsidRDefault="002825AF" w:rsidP="007D0A9E">
      <w:pPr>
        <w:widowControl/>
        <w:ind w:left="720"/>
        <w:rPr>
          <w:rFonts w:asciiTheme="minorHAnsi" w:eastAsiaTheme="minorHAnsi" w:hAnsiTheme="minorHAnsi"/>
          <w:snapToGrid/>
        </w:rPr>
      </w:pPr>
      <w:r w:rsidRPr="00A859EC">
        <w:rPr>
          <w:rFonts w:asciiTheme="minorHAnsi" w:eastAsiaTheme="minorHAnsi" w:hAnsiTheme="minorHAnsi"/>
          <w:snapToGrid/>
        </w:rPr>
        <w:t xml:space="preserve">Pierre Fabre welcomes the PBAC’s recommendation to make Braftovi® (encorafenib) with Mektovi® (binimetinib) available for use in combination for the treatment of adult patients with unresectable or </w:t>
      </w:r>
      <w:bookmarkStart w:id="34" w:name="_GoBack"/>
      <w:bookmarkEnd w:id="34"/>
      <w:r w:rsidRPr="00A859EC">
        <w:rPr>
          <w:rFonts w:asciiTheme="minorHAnsi" w:eastAsiaTheme="minorHAnsi" w:hAnsiTheme="minorHAnsi"/>
          <w:snapToGrid/>
        </w:rPr>
        <w:t>metastatic melanoma with a BRAF V600 mutation.</w:t>
      </w:r>
    </w:p>
    <w:sectPr w:rsidR="0016139E" w:rsidRPr="00A859EC" w:rsidSect="00B3289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254" w:rsidRDefault="00B14254" w:rsidP="00124A51">
      <w:r>
        <w:separator/>
      </w:r>
    </w:p>
    <w:p w:rsidR="00B14254" w:rsidRDefault="00B14254"/>
  </w:endnote>
  <w:endnote w:type="continuationSeparator" w:id="0">
    <w:p w:rsidR="00B14254" w:rsidRDefault="00B14254" w:rsidP="00124A51">
      <w:r>
        <w:continuationSeparator/>
      </w:r>
    </w:p>
    <w:p w:rsidR="00B14254" w:rsidRDefault="00B14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abon">
    <w:altName w:val="Times New Roman"/>
    <w:charset w:val="00"/>
    <w:family w:val="roman"/>
    <w:pitch w:val="variable"/>
    <w:sig w:usb0="00000001"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eneva">
    <w:charset w:val="00"/>
    <w:family w:val="auto"/>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F9" w:rsidRDefault="0071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360067"/>
      <w:docPartObj>
        <w:docPartGallery w:val="Page Numbers (Bottom of Page)"/>
        <w:docPartUnique/>
      </w:docPartObj>
    </w:sdtPr>
    <w:sdtEndPr>
      <w:rPr>
        <w:noProof/>
      </w:rPr>
    </w:sdtEndPr>
    <w:sdtContent>
      <w:p w:rsidR="007120F9" w:rsidRPr="00E64647" w:rsidRDefault="007120F9">
        <w:pPr>
          <w:pStyle w:val="Footer"/>
          <w:jc w:val="center"/>
        </w:pPr>
        <w:r w:rsidRPr="008A13A3">
          <w:rPr>
            <w:b/>
          </w:rPr>
          <w:fldChar w:fldCharType="begin"/>
        </w:r>
        <w:r w:rsidRPr="008A13A3">
          <w:rPr>
            <w:b/>
          </w:rPr>
          <w:instrText xml:space="preserve"> PAGE   \* MERGEFORMAT </w:instrText>
        </w:r>
        <w:r w:rsidRPr="008A13A3">
          <w:rPr>
            <w:b/>
          </w:rPr>
          <w:fldChar w:fldCharType="separate"/>
        </w:r>
        <w:r w:rsidR="007D0A9E">
          <w:rPr>
            <w:b/>
            <w:noProof/>
          </w:rPr>
          <w:t>21</w:t>
        </w:r>
        <w:r w:rsidRPr="008A13A3">
          <w:rPr>
            <w:b/>
            <w:noProof/>
          </w:rPr>
          <w:fldChar w:fldCharType="end"/>
        </w:r>
      </w:p>
    </w:sdtContent>
  </w:sdt>
  <w:p w:rsidR="007120F9" w:rsidRDefault="007120F9" w:rsidP="0075690F">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F9" w:rsidRDefault="00712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254" w:rsidRDefault="00B14254" w:rsidP="00124A51">
      <w:r>
        <w:separator/>
      </w:r>
    </w:p>
  </w:footnote>
  <w:footnote w:type="continuationSeparator" w:id="0">
    <w:p w:rsidR="00B14254" w:rsidRDefault="00B14254" w:rsidP="00124A51">
      <w:r>
        <w:continuationSeparator/>
      </w:r>
    </w:p>
    <w:p w:rsidR="00B14254" w:rsidRDefault="00B14254"/>
  </w:footnote>
  <w:footnote w:id="1">
    <w:p w:rsidR="007120F9" w:rsidRDefault="007120F9" w:rsidP="00390833">
      <w:r>
        <w:rPr>
          <w:rStyle w:val="FootnoteReference"/>
        </w:rPr>
        <w:footnoteRef/>
      </w:r>
      <w:r>
        <w:t xml:space="preserve"> </w:t>
      </w:r>
      <w:r w:rsidRPr="00C51359">
        <w:rPr>
          <w:sz w:val="20"/>
          <w:szCs w:val="20"/>
        </w:rPr>
        <w:t>Ipilimumab public summary document, November 2012 PBAC meeting</w:t>
      </w:r>
      <w:r>
        <w:t xml:space="preserve"> </w:t>
      </w:r>
    </w:p>
  </w:footnote>
  <w:footnote w:id="2">
    <w:p w:rsidR="007120F9" w:rsidRDefault="007120F9">
      <w:pPr>
        <w:pStyle w:val="FootnoteText"/>
      </w:pPr>
      <w:r>
        <w:rPr>
          <w:rStyle w:val="FootnoteReference"/>
        </w:rPr>
        <w:footnoteRef/>
      </w:r>
      <w:r>
        <w:t xml:space="preserve"> </w:t>
      </w:r>
      <w:r w:rsidRPr="003B455F">
        <w:t>AIHW. Australian Cancer Incidence and Mortality (ACIM) books: melanoma of the skin. 2017. Canberra: Australian Institute of Health and Welfare</w:t>
      </w:r>
    </w:p>
  </w:footnote>
  <w:footnote w:id="3">
    <w:p w:rsidR="007120F9" w:rsidRDefault="007120F9">
      <w:pPr>
        <w:pStyle w:val="FootnoteText"/>
      </w:pPr>
      <w:r>
        <w:rPr>
          <w:rStyle w:val="FootnoteReference"/>
        </w:rPr>
        <w:footnoteRef/>
      </w:r>
      <w:r>
        <w:t xml:space="preserve"> </w:t>
      </w:r>
      <w:r w:rsidRPr="00C51359">
        <w:t xml:space="preserve">Hannan EJ, O'Leary DP, MacNally SP, et al. The significance of BRAF V600E mutation status discordance between primary cutaneous melanoma and brain metastases: The implications for BRAF inhibitor therapy. </w:t>
      </w:r>
      <w:r w:rsidRPr="00C51359">
        <w:rPr>
          <w:i/>
        </w:rPr>
        <w:t>Medicine (Baltimore)</w:t>
      </w:r>
      <w:r w:rsidRPr="00C51359">
        <w:t xml:space="preserve"> 2017;96(48):e8404</w:t>
      </w:r>
    </w:p>
  </w:footnote>
  <w:footnote w:id="4">
    <w:p w:rsidR="007120F9" w:rsidRDefault="007120F9">
      <w:pPr>
        <w:pStyle w:val="FootnoteText"/>
      </w:pPr>
      <w:r>
        <w:rPr>
          <w:rStyle w:val="FootnoteReference"/>
        </w:rPr>
        <w:footnoteRef/>
      </w:r>
      <w:r>
        <w:t xml:space="preserve"> </w:t>
      </w:r>
      <w:r w:rsidRPr="00B217D7">
        <w:t>Cancer Council Australia Melanoma Guidelines Working Party. Clinical practice guidelines for the diagnosis and management of melanoma. Sydney: Cancer Council Australia</w:t>
      </w:r>
      <w:r>
        <w:t xml:space="preserve"> 2018. Available from: </w:t>
      </w:r>
      <w:hyperlink r:id="rId1" w:history="1">
        <w:r w:rsidRPr="00E3642F">
          <w:rPr>
            <w:rStyle w:val="Hyperlink"/>
          </w:rPr>
          <w:t>https://wiki.cancer.org.au/australia/Guidelines</w:t>
        </w:r>
      </w:hyperlink>
      <w:r>
        <w:t xml:space="preserve"> (a</w:t>
      </w:r>
      <w:r w:rsidRPr="00B217D7">
        <w:t>ccessed August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F9" w:rsidRDefault="00712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F9" w:rsidRPr="002610C7" w:rsidRDefault="007120F9" w:rsidP="002610C7">
    <w:pPr>
      <w:tabs>
        <w:tab w:val="left" w:pos="142"/>
        <w:tab w:val="right" w:pos="9027"/>
      </w:tabs>
      <w:jc w:val="center"/>
      <w:rPr>
        <w:i/>
      </w:rPr>
    </w:pPr>
    <w:r>
      <w:rPr>
        <w:i/>
      </w:rPr>
      <w:t>Public Summary Document</w:t>
    </w:r>
    <w:r w:rsidRPr="002610C7">
      <w:rPr>
        <w:i/>
      </w:rPr>
      <w:t xml:space="preserve"> – Nov</w:t>
    </w:r>
    <w:r>
      <w:rPr>
        <w:i/>
      </w:rPr>
      <w:t>ember</w:t>
    </w:r>
    <w:r w:rsidRPr="002610C7">
      <w:rPr>
        <w:i/>
      </w:rPr>
      <w:t xml:space="preserve"> 2018 PBAC Meeting</w:t>
    </w:r>
  </w:p>
  <w:p w:rsidR="007120F9" w:rsidRDefault="007120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F9" w:rsidRDefault="00712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450AE"/>
    <w:multiLevelType w:val="multilevel"/>
    <w:tmpl w:val="ECB0C2C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16585"/>
    <w:multiLevelType w:val="hybridMultilevel"/>
    <w:tmpl w:val="E292B918"/>
    <w:lvl w:ilvl="0" w:tplc="6680ABF0">
      <w:start w:val="1"/>
      <w:numFmt w:val="bullet"/>
      <w:lvlText w:val="•"/>
      <w:lvlJc w:val="left"/>
      <w:pPr>
        <w:tabs>
          <w:tab w:val="num" w:pos="720"/>
        </w:tabs>
        <w:ind w:left="720" w:hanging="360"/>
      </w:pPr>
      <w:rPr>
        <w:rFonts w:ascii="Arial" w:hAnsi="Arial" w:hint="default"/>
      </w:rPr>
    </w:lvl>
    <w:lvl w:ilvl="1" w:tplc="C15EA4A8" w:tentative="1">
      <w:start w:val="1"/>
      <w:numFmt w:val="bullet"/>
      <w:lvlText w:val="•"/>
      <w:lvlJc w:val="left"/>
      <w:pPr>
        <w:tabs>
          <w:tab w:val="num" w:pos="1440"/>
        </w:tabs>
        <w:ind w:left="1440" w:hanging="360"/>
      </w:pPr>
      <w:rPr>
        <w:rFonts w:ascii="Arial" w:hAnsi="Arial" w:hint="default"/>
      </w:rPr>
    </w:lvl>
    <w:lvl w:ilvl="2" w:tplc="6B0407BE" w:tentative="1">
      <w:start w:val="1"/>
      <w:numFmt w:val="bullet"/>
      <w:lvlText w:val="•"/>
      <w:lvlJc w:val="left"/>
      <w:pPr>
        <w:tabs>
          <w:tab w:val="num" w:pos="2160"/>
        </w:tabs>
        <w:ind w:left="2160" w:hanging="360"/>
      </w:pPr>
      <w:rPr>
        <w:rFonts w:ascii="Arial" w:hAnsi="Arial" w:hint="default"/>
      </w:rPr>
    </w:lvl>
    <w:lvl w:ilvl="3" w:tplc="6D5E2830" w:tentative="1">
      <w:start w:val="1"/>
      <w:numFmt w:val="bullet"/>
      <w:lvlText w:val="•"/>
      <w:lvlJc w:val="left"/>
      <w:pPr>
        <w:tabs>
          <w:tab w:val="num" w:pos="2880"/>
        </w:tabs>
        <w:ind w:left="2880" w:hanging="360"/>
      </w:pPr>
      <w:rPr>
        <w:rFonts w:ascii="Arial" w:hAnsi="Arial" w:hint="default"/>
      </w:rPr>
    </w:lvl>
    <w:lvl w:ilvl="4" w:tplc="2D325BBE" w:tentative="1">
      <w:start w:val="1"/>
      <w:numFmt w:val="bullet"/>
      <w:lvlText w:val="•"/>
      <w:lvlJc w:val="left"/>
      <w:pPr>
        <w:tabs>
          <w:tab w:val="num" w:pos="3600"/>
        </w:tabs>
        <w:ind w:left="3600" w:hanging="360"/>
      </w:pPr>
      <w:rPr>
        <w:rFonts w:ascii="Arial" w:hAnsi="Arial" w:hint="default"/>
      </w:rPr>
    </w:lvl>
    <w:lvl w:ilvl="5" w:tplc="E7BC94A6" w:tentative="1">
      <w:start w:val="1"/>
      <w:numFmt w:val="bullet"/>
      <w:lvlText w:val="•"/>
      <w:lvlJc w:val="left"/>
      <w:pPr>
        <w:tabs>
          <w:tab w:val="num" w:pos="4320"/>
        </w:tabs>
        <w:ind w:left="4320" w:hanging="360"/>
      </w:pPr>
      <w:rPr>
        <w:rFonts w:ascii="Arial" w:hAnsi="Arial" w:hint="default"/>
      </w:rPr>
    </w:lvl>
    <w:lvl w:ilvl="6" w:tplc="42A89BAE" w:tentative="1">
      <w:start w:val="1"/>
      <w:numFmt w:val="bullet"/>
      <w:lvlText w:val="•"/>
      <w:lvlJc w:val="left"/>
      <w:pPr>
        <w:tabs>
          <w:tab w:val="num" w:pos="5040"/>
        </w:tabs>
        <w:ind w:left="5040" w:hanging="360"/>
      </w:pPr>
      <w:rPr>
        <w:rFonts w:ascii="Arial" w:hAnsi="Arial" w:hint="default"/>
      </w:rPr>
    </w:lvl>
    <w:lvl w:ilvl="7" w:tplc="FA10DEB6" w:tentative="1">
      <w:start w:val="1"/>
      <w:numFmt w:val="bullet"/>
      <w:lvlText w:val="•"/>
      <w:lvlJc w:val="left"/>
      <w:pPr>
        <w:tabs>
          <w:tab w:val="num" w:pos="5760"/>
        </w:tabs>
        <w:ind w:left="5760" w:hanging="360"/>
      </w:pPr>
      <w:rPr>
        <w:rFonts w:ascii="Arial" w:hAnsi="Arial" w:hint="default"/>
      </w:rPr>
    </w:lvl>
    <w:lvl w:ilvl="8" w:tplc="68F2A0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EF078C"/>
    <w:multiLevelType w:val="hybridMultilevel"/>
    <w:tmpl w:val="8C10CFBA"/>
    <w:lvl w:ilvl="0" w:tplc="0C4E4756">
      <w:start w:val="1"/>
      <w:numFmt w:val="lowerLetter"/>
      <w:pStyle w:val="Normal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5449A2"/>
    <w:multiLevelType w:val="multilevel"/>
    <w:tmpl w:val="5F5E2DF6"/>
    <w:lvl w:ilvl="0">
      <w:start w:val="1"/>
      <w:numFmt w:val="none"/>
      <w:pStyle w:val="AltLevel1"/>
      <w:lvlText w:val="B(i)."/>
      <w:lvlJc w:val="left"/>
      <w:pPr>
        <w:ind w:left="360" w:hanging="360"/>
      </w:pPr>
      <w:rPr>
        <w:rFonts w:hint="default"/>
      </w:rPr>
    </w:lvl>
    <w:lvl w:ilvl="1">
      <w:start w:val="1"/>
      <w:numFmt w:val="decimal"/>
      <w:pStyle w:val="AltLevel1"/>
      <w:lvlText w:val="B(i).%1%2."/>
      <w:lvlJc w:val="left"/>
      <w:pPr>
        <w:ind w:left="792" w:hanging="432"/>
      </w:pPr>
      <w:rPr>
        <w:rFonts w:hint="default"/>
      </w:rPr>
    </w:lvl>
    <w:lvl w:ilvl="2">
      <w:start w:val="1"/>
      <w:numFmt w:val="decimal"/>
      <w:lvlText w:val="B(i).%2.%3."/>
      <w:lvlJc w:val="left"/>
      <w:pPr>
        <w:ind w:left="1224" w:hanging="504"/>
      </w:pPr>
      <w:rPr>
        <w:rFonts w:hint="default"/>
      </w:rPr>
    </w:lvl>
    <w:lvl w:ilvl="3">
      <w:start w:val="1"/>
      <w:numFmt w:val="decimal"/>
      <w:lvlText w:val="B(i).%1%2.%3.%4."/>
      <w:lvlJc w:val="left"/>
      <w:pPr>
        <w:ind w:left="1728" w:hanging="648"/>
      </w:pPr>
      <w:rPr>
        <w:rFonts w:hint="default"/>
      </w:rPr>
    </w:lvl>
    <w:lvl w:ilvl="4">
      <w:start w:val="1"/>
      <w:numFmt w:val="decimal"/>
      <w:lvlText w:val="B(i).%1%2.%3.%4.%5."/>
      <w:lvlJc w:val="left"/>
      <w:pPr>
        <w:ind w:left="2232" w:hanging="792"/>
      </w:pPr>
      <w:rPr>
        <w:rFonts w:hint="default"/>
      </w:rPr>
    </w:lvl>
    <w:lvl w:ilvl="5">
      <w:start w:val="1"/>
      <w:numFmt w:val="decimal"/>
      <w:lvlText w:val="B(i).%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AC33FA"/>
    <w:multiLevelType w:val="hybridMultilevel"/>
    <w:tmpl w:val="8B4EC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561497"/>
    <w:multiLevelType w:val="multilevel"/>
    <w:tmpl w:val="ECB0C2C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FA69DA"/>
    <w:multiLevelType w:val="hybridMultilevel"/>
    <w:tmpl w:val="1A98B93A"/>
    <w:lvl w:ilvl="0" w:tplc="E17E488A">
      <w:start w:val="1"/>
      <w:numFmt w:val="bullet"/>
      <w:pStyle w:val="TableBullet1"/>
      <w:lvlText w:val=""/>
      <w:lvlJc w:val="left"/>
      <w:pPr>
        <w:tabs>
          <w:tab w:val="num" w:pos="216"/>
        </w:tabs>
        <w:ind w:left="216" w:hanging="216"/>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86724"/>
    <w:multiLevelType w:val="multilevel"/>
    <w:tmpl w:val="290ADCC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4F02ED"/>
    <w:multiLevelType w:val="hybridMultilevel"/>
    <w:tmpl w:val="8F7E7BF4"/>
    <w:lvl w:ilvl="0" w:tplc="A752737A">
      <w:start w:val="1"/>
      <w:numFmt w:val="bullet"/>
      <w:pStyle w:val="ListBullet"/>
      <w:lvlText w:val=""/>
      <w:lvlJc w:val="left"/>
      <w:pPr>
        <w:ind w:left="450" w:hanging="360"/>
      </w:pPr>
      <w:rPr>
        <w:rFonts w:ascii="Symbol" w:hAnsi="Symbol" w:hint="default"/>
        <w:b w:val="0"/>
        <w:i w:val="0"/>
        <w:color w:val="1F497D" w:themeColor="text2"/>
        <w:sz w:val="16"/>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86C41CB"/>
    <w:multiLevelType w:val="hybridMultilevel"/>
    <w:tmpl w:val="7F94C816"/>
    <w:lvl w:ilvl="0" w:tplc="903248AE">
      <w:start w:val="1"/>
      <w:numFmt w:val="decimal"/>
      <w:pStyle w:val="NumberedList"/>
      <w:lvlText w:val="%1."/>
      <w:lvlJc w:val="left"/>
      <w:pPr>
        <w:ind w:left="720" w:hanging="360"/>
      </w:pPr>
    </w:lvl>
    <w:lvl w:ilvl="1" w:tplc="ACD2A5C2" w:tentative="1">
      <w:start w:val="1"/>
      <w:numFmt w:val="lowerLetter"/>
      <w:lvlText w:val="%2."/>
      <w:lvlJc w:val="left"/>
      <w:pPr>
        <w:ind w:left="1440" w:hanging="360"/>
      </w:pPr>
    </w:lvl>
    <w:lvl w:ilvl="2" w:tplc="81041AEE" w:tentative="1">
      <w:start w:val="1"/>
      <w:numFmt w:val="lowerRoman"/>
      <w:lvlText w:val="%3."/>
      <w:lvlJc w:val="right"/>
      <w:pPr>
        <w:ind w:left="2160" w:hanging="180"/>
      </w:pPr>
    </w:lvl>
    <w:lvl w:ilvl="3" w:tplc="6F9E5ABC" w:tentative="1">
      <w:start w:val="1"/>
      <w:numFmt w:val="decimal"/>
      <w:lvlText w:val="%4."/>
      <w:lvlJc w:val="left"/>
      <w:pPr>
        <w:ind w:left="2880" w:hanging="360"/>
      </w:pPr>
    </w:lvl>
    <w:lvl w:ilvl="4" w:tplc="79BE0738" w:tentative="1">
      <w:start w:val="1"/>
      <w:numFmt w:val="lowerLetter"/>
      <w:lvlText w:val="%5."/>
      <w:lvlJc w:val="left"/>
      <w:pPr>
        <w:ind w:left="3600" w:hanging="360"/>
      </w:pPr>
    </w:lvl>
    <w:lvl w:ilvl="5" w:tplc="73E0EA72" w:tentative="1">
      <w:start w:val="1"/>
      <w:numFmt w:val="lowerRoman"/>
      <w:lvlText w:val="%6."/>
      <w:lvlJc w:val="right"/>
      <w:pPr>
        <w:ind w:left="4320" w:hanging="180"/>
      </w:pPr>
    </w:lvl>
    <w:lvl w:ilvl="6" w:tplc="AF7840C6" w:tentative="1">
      <w:start w:val="1"/>
      <w:numFmt w:val="decimal"/>
      <w:lvlText w:val="%7."/>
      <w:lvlJc w:val="left"/>
      <w:pPr>
        <w:ind w:left="5040" w:hanging="360"/>
      </w:pPr>
    </w:lvl>
    <w:lvl w:ilvl="7" w:tplc="72047760" w:tentative="1">
      <w:start w:val="1"/>
      <w:numFmt w:val="lowerLetter"/>
      <w:lvlText w:val="%8."/>
      <w:lvlJc w:val="left"/>
      <w:pPr>
        <w:ind w:left="5760" w:hanging="360"/>
      </w:pPr>
    </w:lvl>
    <w:lvl w:ilvl="8" w:tplc="3C167224" w:tentative="1">
      <w:start w:val="1"/>
      <w:numFmt w:val="lowerRoman"/>
      <w:lvlText w:val="%9."/>
      <w:lvlJc w:val="right"/>
      <w:pPr>
        <w:ind w:left="6480" w:hanging="180"/>
      </w:pPr>
    </w:lvl>
  </w:abstractNum>
  <w:abstractNum w:abstractNumId="13" w15:restartNumberingAfterBreak="0">
    <w:nsid w:val="420B6ECC"/>
    <w:multiLevelType w:val="hybridMultilevel"/>
    <w:tmpl w:val="C23E7B90"/>
    <w:lvl w:ilvl="0" w:tplc="ED1E5F1E">
      <w:start w:val="1"/>
      <w:numFmt w:val="bullet"/>
      <w:pStyle w:val="NormalBullets"/>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cs="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A1221F8C"/>
    <w:lvl w:ilvl="0" w:tplc="87A8DBEC">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D5F36"/>
    <w:multiLevelType w:val="multilevel"/>
    <w:tmpl w:val="ECB0C2C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2A794D"/>
    <w:multiLevelType w:val="multilevel"/>
    <w:tmpl w:val="A48046A4"/>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4DC107"/>
    <w:multiLevelType w:val="hybridMultilevel"/>
    <w:tmpl w:val="86F12A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A8C4E8B"/>
    <w:multiLevelType w:val="multilevel"/>
    <w:tmpl w:val="025E08E0"/>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16C7F2A"/>
    <w:multiLevelType w:val="hybridMultilevel"/>
    <w:tmpl w:val="71AA06F6"/>
    <w:lvl w:ilvl="0" w:tplc="5B8A59B4">
      <w:start w:val="1"/>
      <w:numFmt w:val="decimal"/>
      <w:lvlText w:val="%1."/>
      <w:lvlJc w:val="left"/>
      <w:pPr>
        <w:ind w:left="360" w:hanging="360"/>
      </w:pPr>
      <w:rPr>
        <w:b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84D033C"/>
    <w:multiLevelType w:val="multilevel"/>
    <w:tmpl w:val="13EC815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Calibri" w:hAnsi="Calibri" w:cs="Calibr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4"/>
  </w:num>
  <w:num w:numId="3">
    <w:abstractNumId w:val="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3"/>
  </w:num>
  <w:num w:numId="10">
    <w:abstractNumId w:val="9"/>
  </w:num>
  <w:num w:numId="11">
    <w:abstractNumId w:val="5"/>
  </w:num>
  <w:num w:numId="12">
    <w:abstractNumId w:val="11"/>
  </w:num>
  <w:num w:numId="13">
    <w:abstractNumId w:val="6"/>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
  </w:num>
  <w:num w:numId="17">
    <w:abstractNumId w:val="8"/>
  </w:num>
  <w:num w:numId="18">
    <w:abstractNumId w:val="15"/>
  </w:num>
  <w:num w:numId="19">
    <w:abstractNumId w:val="17"/>
  </w:num>
  <w:num w:numId="20">
    <w:abstractNumId w:val="0"/>
  </w:num>
  <w:num w:numId="21">
    <w:abstractNumId w:val="7"/>
  </w:num>
  <w:num w:numId="22">
    <w:abstractNumId w:val="18"/>
  </w:num>
  <w:num w:numId="23">
    <w:abstractNumId w:val="2"/>
  </w:num>
  <w:num w:numId="24">
    <w:abstractNumId w:val="21"/>
  </w:num>
  <w:num w:numId="25">
    <w:abstractNumId w:val="21"/>
  </w:num>
  <w:num w:numId="26">
    <w:abstractNumId w:val="21"/>
  </w:num>
  <w:num w:numId="2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0"/>
  <w:activeWritingStyle w:appName="MSWord" w:lang="en-GB" w:vendorID="64" w:dllVersion="131078" w:nlCheck="1" w:checkStyle="1"/>
  <w:doNotTrackFormatting/>
  <w:defaultTabStop w:val="720"/>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0C239D7-D11E-4E92-B2DB-A945EE3102EF}"/>
    <w:docVar w:name="dgnword-eventsink" w:val="310019704"/>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twesefqv9tamexdf2vxprlssaatd5aaa2p&quot;&gt;enco+bini Library&lt;record-ids&gt;&lt;item&gt;1&lt;/item&gt;&lt;item&gt;5&lt;/item&gt;&lt;item&gt;6&lt;/item&gt;&lt;item&gt;12&lt;/item&gt;&lt;item&gt;13&lt;/item&gt;&lt;item&gt;14&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4&lt;/item&gt;&lt;item&gt;46&lt;/item&gt;&lt;item&gt;47&lt;/item&gt;&lt;item&gt;48&lt;/item&gt;&lt;item&gt;49&lt;/item&gt;&lt;item&gt;50&lt;/item&gt;&lt;item&gt;56&lt;/item&gt;&lt;item&gt;57&lt;/item&gt;&lt;item&gt;58&lt;/item&gt;&lt;item&gt;59&lt;/item&gt;&lt;item&gt;60&lt;/item&gt;&lt;/record-ids&gt;&lt;/item&gt;&lt;/Libraries&gt;"/>
  </w:docVars>
  <w:rsids>
    <w:rsidRoot w:val="00E65E79"/>
    <w:rsid w:val="00000790"/>
    <w:rsid w:val="0000110B"/>
    <w:rsid w:val="000015F3"/>
    <w:rsid w:val="00002049"/>
    <w:rsid w:val="000023B8"/>
    <w:rsid w:val="0000241C"/>
    <w:rsid w:val="00003499"/>
    <w:rsid w:val="000039B7"/>
    <w:rsid w:val="00004972"/>
    <w:rsid w:val="00010AB1"/>
    <w:rsid w:val="00011D65"/>
    <w:rsid w:val="0001205F"/>
    <w:rsid w:val="00012255"/>
    <w:rsid w:val="00013247"/>
    <w:rsid w:val="000145F7"/>
    <w:rsid w:val="00015886"/>
    <w:rsid w:val="000162EF"/>
    <w:rsid w:val="00020ABD"/>
    <w:rsid w:val="0002225F"/>
    <w:rsid w:val="00023763"/>
    <w:rsid w:val="0002414E"/>
    <w:rsid w:val="0002680B"/>
    <w:rsid w:val="00026D8D"/>
    <w:rsid w:val="00031A2D"/>
    <w:rsid w:val="00031F5F"/>
    <w:rsid w:val="000328C8"/>
    <w:rsid w:val="0003347A"/>
    <w:rsid w:val="00033863"/>
    <w:rsid w:val="00033F8E"/>
    <w:rsid w:val="00035DC0"/>
    <w:rsid w:val="00035F71"/>
    <w:rsid w:val="00036829"/>
    <w:rsid w:val="00036C56"/>
    <w:rsid w:val="00040895"/>
    <w:rsid w:val="00042144"/>
    <w:rsid w:val="00043C37"/>
    <w:rsid w:val="00045017"/>
    <w:rsid w:val="00045A2B"/>
    <w:rsid w:val="0004698F"/>
    <w:rsid w:val="00046C56"/>
    <w:rsid w:val="00051D7A"/>
    <w:rsid w:val="0005310F"/>
    <w:rsid w:val="0005340A"/>
    <w:rsid w:val="000536D9"/>
    <w:rsid w:val="000539D0"/>
    <w:rsid w:val="00053AC6"/>
    <w:rsid w:val="00054621"/>
    <w:rsid w:val="000546D7"/>
    <w:rsid w:val="000556BA"/>
    <w:rsid w:val="00061D65"/>
    <w:rsid w:val="000624D0"/>
    <w:rsid w:val="00063ADC"/>
    <w:rsid w:val="000641FA"/>
    <w:rsid w:val="00065D65"/>
    <w:rsid w:val="00065DF3"/>
    <w:rsid w:val="00066360"/>
    <w:rsid w:val="00067F46"/>
    <w:rsid w:val="0007085F"/>
    <w:rsid w:val="00071248"/>
    <w:rsid w:val="000720B9"/>
    <w:rsid w:val="000737F7"/>
    <w:rsid w:val="0007446A"/>
    <w:rsid w:val="0007467D"/>
    <w:rsid w:val="0007672F"/>
    <w:rsid w:val="000774F0"/>
    <w:rsid w:val="00077890"/>
    <w:rsid w:val="000807F2"/>
    <w:rsid w:val="00080909"/>
    <w:rsid w:val="00080C84"/>
    <w:rsid w:val="000812CA"/>
    <w:rsid w:val="00081797"/>
    <w:rsid w:val="000819AA"/>
    <w:rsid w:val="0008258D"/>
    <w:rsid w:val="00083E99"/>
    <w:rsid w:val="00084759"/>
    <w:rsid w:val="000854E4"/>
    <w:rsid w:val="000856C5"/>
    <w:rsid w:val="0008654B"/>
    <w:rsid w:val="0008687B"/>
    <w:rsid w:val="00086A16"/>
    <w:rsid w:val="00090804"/>
    <w:rsid w:val="00090C7E"/>
    <w:rsid w:val="00091064"/>
    <w:rsid w:val="00092600"/>
    <w:rsid w:val="0009262B"/>
    <w:rsid w:val="00093310"/>
    <w:rsid w:val="000942F1"/>
    <w:rsid w:val="0009445C"/>
    <w:rsid w:val="00095FE5"/>
    <w:rsid w:val="00096284"/>
    <w:rsid w:val="000963F6"/>
    <w:rsid w:val="00096E0A"/>
    <w:rsid w:val="00097D66"/>
    <w:rsid w:val="000A26AA"/>
    <w:rsid w:val="000A2FC4"/>
    <w:rsid w:val="000A65F6"/>
    <w:rsid w:val="000A7204"/>
    <w:rsid w:val="000A7D08"/>
    <w:rsid w:val="000B0670"/>
    <w:rsid w:val="000B0E75"/>
    <w:rsid w:val="000B0F8C"/>
    <w:rsid w:val="000B1136"/>
    <w:rsid w:val="000B395B"/>
    <w:rsid w:val="000B6515"/>
    <w:rsid w:val="000B6CAC"/>
    <w:rsid w:val="000B6CC9"/>
    <w:rsid w:val="000B7612"/>
    <w:rsid w:val="000B7A23"/>
    <w:rsid w:val="000C3DF9"/>
    <w:rsid w:val="000C480B"/>
    <w:rsid w:val="000C4A02"/>
    <w:rsid w:val="000C562B"/>
    <w:rsid w:val="000C6713"/>
    <w:rsid w:val="000D0757"/>
    <w:rsid w:val="000D1BFC"/>
    <w:rsid w:val="000D281A"/>
    <w:rsid w:val="000D28C9"/>
    <w:rsid w:val="000D326A"/>
    <w:rsid w:val="000D51FB"/>
    <w:rsid w:val="000D74A9"/>
    <w:rsid w:val="000E0465"/>
    <w:rsid w:val="000E135D"/>
    <w:rsid w:val="000E3695"/>
    <w:rsid w:val="000F00BA"/>
    <w:rsid w:val="000F051D"/>
    <w:rsid w:val="000F0EE3"/>
    <w:rsid w:val="000F1EC7"/>
    <w:rsid w:val="000F316A"/>
    <w:rsid w:val="000F3C74"/>
    <w:rsid w:val="000F4BB8"/>
    <w:rsid w:val="000F6D87"/>
    <w:rsid w:val="000F7127"/>
    <w:rsid w:val="000F73B9"/>
    <w:rsid w:val="001001E2"/>
    <w:rsid w:val="00100A34"/>
    <w:rsid w:val="00100F8A"/>
    <w:rsid w:val="00104F7A"/>
    <w:rsid w:val="00105AE2"/>
    <w:rsid w:val="001061C3"/>
    <w:rsid w:val="00106B80"/>
    <w:rsid w:val="0011032E"/>
    <w:rsid w:val="0011348B"/>
    <w:rsid w:val="00114DA4"/>
    <w:rsid w:val="00115982"/>
    <w:rsid w:val="00115B5B"/>
    <w:rsid w:val="00116134"/>
    <w:rsid w:val="00116966"/>
    <w:rsid w:val="00116C53"/>
    <w:rsid w:val="00121799"/>
    <w:rsid w:val="001222FC"/>
    <w:rsid w:val="00124A51"/>
    <w:rsid w:val="00125A89"/>
    <w:rsid w:val="0012639D"/>
    <w:rsid w:val="00126621"/>
    <w:rsid w:val="001301E9"/>
    <w:rsid w:val="001313DA"/>
    <w:rsid w:val="00131D82"/>
    <w:rsid w:val="001329A7"/>
    <w:rsid w:val="00133D36"/>
    <w:rsid w:val="00134B1C"/>
    <w:rsid w:val="0013514A"/>
    <w:rsid w:val="00136000"/>
    <w:rsid w:val="001374FC"/>
    <w:rsid w:val="00137645"/>
    <w:rsid w:val="00137789"/>
    <w:rsid w:val="0014015A"/>
    <w:rsid w:val="00140E99"/>
    <w:rsid w:val="00141CD4"/>
    <w:rsid w:val="00142D57"/>
    <w:rsid w:val="00145540"/>
    <w:rsid w:val="001456B0"/>
    <w:rsid w:val="00150A1D"/>
    <w:rsid w:val="00151C00"/>
    <w:rsid w:val="00152020"/>
    <w:rsid w:val="001552DD"/>
    <w:rsid w:val="00156D66"/>
    <w:rsid w:val="00157130"/>
    <w:rsid w:val="001576B1"/>
    <w:rsid w:val="00160040"/>
    <w:rsid w:val="00160147"/>
    <w:rsid w:val="00160A4C"/>
    <w:rsid w:val="0016139E"/>
    <w:rsid w:val="00162634"/>
    <w:rsid w:val="00162913"/>
    <w:rsid w:val="00162C42"/>
    <w:rsid w:val="00163EFF"/>
    <w:rsid w:val="00165588"/>
    <w:rsid w:val="001661FB"/>
    <w:rsid w:val="00166865"/>
    <w:rsid w:val="00166C25"/>
    <w:rsid w:val="001721DC"/>
    <w:rsid w:val="00173565"/>
    <w:rsid w:val="00173B07"/>
    <w:rsid w:val="0017417D"/>
    <w:rsid w:val="0017502C"/>
    <w:rsid w:val="001752EC"/>
    <w:rsid w:val="0017762B"/>
    <w:rsid w:val="00181C3C"/>
    <w:rsid w:val="00181D9C"/>
    <w:rsid w:val="00181F58"/>
    <w:rsid w:val="00181FF7"/>
    <w:rsid w:val="00182273"/>
    <w:rsid w:val="001856B3"/>
    <w:rsid w:val="00185785"/>
    <w:rsid w:val="0018595B"/>
    <w:rsid w:val="0018752F"/>
    <w:rsid w:val="001879B5"/>
    <w:rsid w:val="001916C5"/>
    <w:rsid w:val="00192422"/>
    <w:rsid w:val="001938C0"/>
    <w:rsid w:val="0019482A"/>
    <w:rsid w:val="00194D9B"/>
    <w:rsid w:val="00195222"/>
    <w:rsid w:val="001957CE"/>
    <w:rsid w:val="001965F6"/>
    <w:rsid w:val="00196747"/>
    <w:rsid w:val="001975D8"/>
    <w:rsid w:val="001A1B4F"/>
    <w:rsid w:val="001A34E8"/>
    <w:rsid w:val="001A43FA"/>
    <w:rsid w:val="001A59FB"/>
    <w:rsid w:val="001A5B7F"/>
    <w:rsid w:val="001A6354"/>
    <w:rsid w:val="001A7303"/>
    <w:rsid w:val="001A7ABC"/>
    <w:rsid w:val="001A7AE8"/>
    <w:rsid w:val="001B1B11"/>
    <w:rsid w:val="001B1BC3"/>
    <w:rsid w:val="001B204E"/>
    <w:rsid w:val="001B2985"/>
    <w:rsid w:val="001B3443"/>
    <w:rsid w:val="001B350D"/>
    <w:rsid w:val="001B3EF6"/>
    <w:rsid w:val="001B4D20"/>
    <w:rsid w:val="001B562E"/>
    <w:rsid w:val="001B674E"/>
    <w:rsid w:val="001C2A9B"/>
    <w:rsid w:val="001C4299"/>
    <w:rsid w:val="001C5F94"/>
    <w:rsid w:val="001C6E66"/>
    <w:rsid w:val="001C754A"/>
    <w:rsid w:val="001D21B2"/>
    <w:rsid w:val="001D36EF"/>
    <w:rsid w:val="001D479F"/>
    <w:rsid w:val="001D69BA"/>
    <w:rsid w:val="001E228D"/>
    <w:rsid w:val="001E238E"/>
    <w:rsid w:val="001E2483"/>
    <w:rsid w:val="001E2B1E"/>
    <w:rsid w:val="001E30D4"/>
    <w:rsid w:val="001E52EB"/>
    <w:rsid w:val="001E60CB"/>
    <w:rsid w:val="001E61D2"/>
    <w:rsid w:val="001E70B2"/>
    <w:rsid w:val="001E740C"/>
    <w:rsid w:val="001E74DC"/>
    <w:rsid w:val="001F1235"/>
    <w:rsid w:val="001F1969"/>
    <w:rsid w:val="001F1CB3"/>
    <w:rsid w:val="001F3145"/>
    <w:rsid w:val="001F38B5"/>
    <w:rsid w:val="001F7361"/>
    <w:rsid w:val="002011B0"/>
    <w:rsid w:val="002025C8"/>
    <w:rsid w:val="00203181"/>
    <w:rsid w:val="00203382"/>
    <w:rsid w:val="00203783"/>
    <w:rsid w:val="0020385F"/>
    <w:rsid w:val="00203E87"/>
    <w:rsid w:val="00206F5C"/>
    <w:rsid w:val="00207021"/>
    <w:rsid w:val="0020732F"/>
    <w:rsid w:val="00207D00"/>
    <w:rsid w:val="002105C1"/>
    <w:rsid w:val="00211794"/>
    <w:rsid w:val="0021298F"/>
    <w:rsid w:val="002152C9"/>
    <w:rsid w:val="00215697"/>
    <w:rsid w:val="002156E9"/>
    <w:rsid w:val="00217300"/>
    <w:rsid w:val="00220BE1"/>
    <w:rsid w:val="00223092"/>
    <w:rsid w:val="00223B49"/>
    <w:rsid w:val="00224DD4"/>
    <w:rsid w:val="00226168"/>
    <w:rsid w:val="002307E3"/>
    <w:rsid w:val="002309CC"/>
    <w:rsid w:val="00230AF4"/>
    <w:rsid w:val="00230EDE"/>
    <w:rsid w:val="0023209F"/>
    <w:rsid w:val="0023629D"/>
    <w:rsid w:val="00237255"/>
    <w:rsid w:val="00237EDB"/>
    <w:rsid w:val="00241CCF"/>
    <w:rsid w:val="002424AF"/>
    <w:rsid w:val="002439DC"/>
    <w:rsid w:val="00243D8A"/>
    <w:rsid w:val="00244A7F"/>
    <w:rsid w:val="00244DC8"/>
    <w:rsid w:val="002450D6"/>
    <w:rsid w:val="002458BA"/>
    <w:rsid w:val="0024636C"/>
    <w:rsid w:val="00247615"/>
    <w:rsid w:val="00247925"/>
    <w:rsid w:val="002506F6"/>
    <w:rsid w:val="00252FEC"/>
    <w:rsid w:val="00254DCF"/>
    <w:rsid w:val="0025534B"/>
    <w:rsid w:val="00255BB7"/>
    <w:rsid w:val="002568D2"/>
    <w:rsid w:val="00257541"/>
    <w:rsid w:val="002579AD"/>
    <w:rsid w:val="002610C7"/>
    <w:rsid w:val="00261FDF"/>
    <w:rsid w:val="00262A1A"/>
    <w:rsid w:val="00262A87"/>
    <w:rsid w:val="002646DC"/>
    <w:rsid w:val="00264D26"/>
    <w:rsid w:val="002663CD"/>
    <w:rsid w:val="00266BA8"/>
    <w:rsid w:val="00267642"/>
    <w:rsid w:val="00267AEA"/>
    <w:rsid w:val="002700E6"/>
    <w:rsid w:val="0027294B"/>
    <w:rsid w:val="00272A46"/>
    <w:rsid w:val="00275C5A"/>
    <w:rsid w:val="0027608A"/>
    <w:rsid w:val="00281014"/>
    <w:rsid w:val="00282402"/>
    <w:rsid w:val="002825AF"/>
    <w:rsid w:val="002829C5"/>
    <w:rsid w:val="002862F4"/>
    <w:rsid w:val="002862FA"/>
    <w:rsid w:val="00290C48"/>
    <w:rsid w:val="00292B20"/>
    <w:rsid w:val="00297F27"/>
    <w:rsid w:val="002A14AB"/>
    <w:rsid w:val="002A18F9"/>
    <w:rsid w:val="002A241D"/>
    <w:rsid w:val="002A2849"/>
    <w:rsid w:val="002A2D8D"/>
    <w:rsid w:val="002A2F50"/>
    <w:rsid w:val="002A45C7"/>
    <w:rsid w:val="002A6597"/>
    <w:rsid w:val="002B09A4"/>
    <w:rsid w:val="002B1C1F"/>
    <w:rsid w:val="002B352A"/>
    <w:rsid w:val="002B432F"/>
    <w:rsid w:val="002B62B3"/>
    <w:rsid w:val="002B6754"/>
    <w:rsid w:val="002B6CCE"/>
    <w:rsid w:val="002C2510"/>
    <w:rsid w:val="002C2775"/>
    <w:rsid w:val="002C27C1"/>
    <w:rsid w:val="002C2A77"/>
    <w:rsid w:val="002C2E10"/>
    <w:rsid w:val="002C5099"/>
    <w:rsid w:val="002C5889"/>
    <w:rsid w:val="002C5BE5"/>
    <w:rsid w:val="002C71CE"/>
    <w:rsid w:val="002D03E4"/>
    <w:rsid w:val="002D0AF7"/>
    <w:rsid w:val="002D1524"/>
    <w:rsid w:val="002D577C"/>
    <w:rsid w:val="002D5EF6"/>
    <w:rsid w:val="002D68A6"/>
    <w:rsid w:val="002D79E8"/>
    <w:rsid w:val="002E15B9"/>
    <w:rsid w:val="002E200D"/>
    <w:rsid w:val="002E2158"/>
    <w:rsid w:val="002E355D"/>
    <w:rsid w:val="002E448B"/>
    <w:rsid w:val="002E69E8"/>
    <w:rsid w:val="002E7722"/>
    <w:rsid w:val="002F07BA"/>
    <w:rsid w:val="002F0DA9"/>
    <w:rsid w:val="002F51FA"/>
    <w:rsid w:val="002F589A"/>
    <w:rsid w:val="002F643C"/>
    <w:rsid w:val="002F6CC0"/>
    <w:rsid w:val="002F71B6"/>
    <w:rsid w:val="002F71C0"/>
    <w:rsid w:val="00301017"/>
    <w:rsid w:val="0030155F"/>
    <w:rsid w:val="00301E74"/>
    <w:rsid w:val="00303E59"/>
    <w:rsid w:val="00304F93"/>
    <w:rsid w:val="003052A2"/>
    <w:rsid w:val="0030587B"/>
    <w:rsid w:val="00306D98"/>
    <w:rsid w:val="003073E8"/>
    <w:rsid w:val="0030786C"/>
    <w:rsid w:val="00310054"/>
    <w:rsid w:val="0031031A"/>
    <w:rsid w:val="00310981"/>
    <w:rsid w:val="00315498"/>
    <w:rsid w:val="00315CD0"/>
    <w:rsid w:val="00315ECD"/>
    <w:rsid w:val="00320CEF"/>
    <w:rsid w:val="00322107"/>
    <w:rsid w:val="00322846"/>
    <w:rsid w:val="00324DB0"/>
    <w:rsid w:val="00324EA4"/>
    <w:rsid w:val="00325C47"/>
    <w:rsid w:val="00325D55"/>
    <w:rsid w:val="00326DA7"/>
    <w:rsid w:val="003270E4"/>
    <w:rsid w:val="00327476"/>
    <w:rsid w:val="00330AA1"/>
    <w:rsid w:val="00330F5C"/>
    <w:rsid w:val="00334B53"/>
    <w:rsid w:val="003366C9"/>
    <w:rsid w:val="00336789"/>
    <w:rsid w:val="003371B0"/>
    <w:rsid w:val="003408A3"/>
    <w:rsid w:val="00340C8E"/>
    <w:rsid w:val="00340DF1"/>
    <w:rsid w:val="00341D0B"/>
    <w:rsid w:val="00342856"/>
    <w:rsid w:val="00342E17"/>
    <w:rsid w:val="0034512C"/>
    <w:rsid w:val="003517F9"/>
    <w:rsid w:val="0035620E"/>
    <w:rsid w:val="00357664"/>
    <w:rsid w:val="003613E7"/>
    <w:rsid w:val="003624C4"/>
    <w:rsid w:val="0036498D"/>
    <w:rsid w:val="003654AC"/>
    <w:rsid w:val="0037071E"/>
    <w:rsid w:val="003710CF"/>
    <w:rsid w:val="00371CC1"/>
    <w:rsid w:val="0037358A"/>
    <w:rsid w:val="003750F6"/>
    <w:rsid w:val="003760FC"/>
    <w:rsid w:val="003801C1"/>
    <w:rsid w:val="00383299"/>
    <w:rsid w:val="0038365C"/>
    <w:rsid w:val="0038369B"/>
    <w:rsid w:val="00383B78"/>
    <w:rsid w:val="00385A9D"/>
    <w:rsid w:val="00386B32"/>
    <w:rsid w:val="00387CA4"/>
    <w:rsid w:val="00390186"/>
    <w:rsid w:val="003902B1"/>
    <w:rsid w:val="003904DD"/>
    <w:rsid w:val="00390833"/>
    <w:rsid w:val="00390FFF"/>
    <w:rsid w:val="003919F1"/>
    <w:rsid w:val="00392B2C"/>
    <w:rsid w:val="00393462"/>
    <w:rsid w:val="00393F9F"/>
    <w:rsid w:val="003946D2"/>
    <w:rsid w:val="003961DC"/>
    <w:rsid w:val="00396896"/>
    <w:rsid w:val="00396FD0"/>
    <w:rsid w:val="00397477"/>
    <w:rsid w:val="003A10E0"/>
    <w:rsid w:val="003A1400"/>
    <w:rsid w:val="003A1A7A"/>
    <w:rsid w:val="003A2392"/>
    <w:rsid w:val="003A2831"/>
    <w:rsid w:val="003A3E18"/>
    <w:rsid w:val="003A3ED1"/>
    <w:rsid w:val="003B293A"/>
    <w:rsid w:val="003B38A4"/>
    <w:rsid w:val="003B3E5B"/>
    <w:rsid w:val="003B455F"/>
    <w:rsid w:val="003B5A97"/>
    <w:rsid w:val="003B5B61"/>
    <w:rsid w:val="003C01B1"/>
    <w:rsid w:val="003C1654"/>
    <w:rsid w:val="003C35ED"/>
    <w:rsid w:val="003C42F2"/>
    <w:rsid w:val="003C4670"/>
    <w:rsid w:val="003C4721"/>
    <w:rsid w:val="003C7D19"/>
    <w:rsid w:val="003D09E2"/>
    <w:rsid w:val="003D1828"/>
    <w:rsid w:val="003D1C73"/>
    <w:rsid w:val="003D1DE4"/>
    <w:rsid w:val="003D1E96"/>
    <w:rsid w:val="003D2422"/>
    <w:rsid w:val="003D39A1"/>
    <w:rsid w:val="003D3FBF"/>
    <w:rsid w:val="003D40CB"/>
    <w:rsid w:val="003D4A30"/>
    <w:rsid w:val="003D59CE"/>
    <w:rsid w:val="003D79BB"/>
    <w:rsid w:val="003D7C98"/>
    <w:rsid w:val="003D7F91"/>
    <w:rsid w:val="003E00AC"/>
    <w:rsid w:val="003E0543"/>
    <w:rsid w:val="003E082E"/>
    <w:rsid w:val="003E1D42"/>
    <w:rsid w:val="003E5BFE"/>
    <w:rsid w:val="003E5F73"/>
    <w:rsid w:val="003E66B3"/>
    <w:rsid w:val="003E796C"/>
    <w:rsid w:val="003F1088"/>
    <w:rsid w:val="003F1954"/>
    <w:rsid w:val="003F204E"/>
    <w:rsid w:val="003F4156"/>
    <w:rsid w:val="003F46CC"/>
    <w:rsid w:val="003F5FC1"/>
    <w:rsid w:val="003F5FD8"/>
    <w:rsid w:val="00400B29"/>
    <w:rsid w:val="0040153A"/>
    <w:rsid w:val="00402850"/>
    <w:rsid w:val="00404CD5"/>
    <w:rsid w:val="0040504B"/>
    <w:rsid w:val="00405E5B"/>
    <w:rsid w:val="00410708"/>
    <w:rsid w:val="00410EC7"/>
    <w:rsid w:val="004112B4"/>
    <w:rsid w:val="00411B39"/>
    <w:rsid w:val="00412D82"/>
    <w:rsid w:val="00413A1E"/>
    <w:rsid w:val="00414476"/>
    <w:rsid w:val="00414C2E"/>
    <w:rsid w:val="004151CF"/>
    <w:rsid w:val="00415869"/>
    <w:rsid w:val="00416364"/>
    <w:rsid w:val="00416E76"/>
    <w:rsid w:val="004173D2"/>
    <w:rsid w:val="00417733"/>
    <w:rsid w:val="00420AA6"/>
    <w:rsid w:val="00420B6A"/>
    <w:rsid w:val="00420B9F"/>
    <w:rsid w:val="00422260"/>
    <w:rsid w:val="00423939"/>
    <w:rsid w:val="0042413F"/>
    <w:rsid w:val="00424BC7"/>
    <w:rsid w:val="00426127"/>
    <w:rsid w:val="0043110C"/>
    <w:rsid w:val="0043178E"/>
    <w:rsid w:val="004319F8"/>
    <w:rsid w:val="00431E55"/>
    <w:rsid w:val="00432035"/>
    <w:rsid w:val="004321F6"/>
    <w:rsid w:val="00432C16"/>
    <w:rsid w:val="00433044"/>
    <w:rsid w:val="00433BCA"/>
    <w:rsid w:val="00435972"/>
    <w:rsid w:val="004375B9"/>
    <w:rsid w:val="0043783F"/>
    <w:rsid w:val="004379F2"/>
    <w:rsid w:val="004401FB"/>
    <w:rsid w:val="00440313"/>
    <w:rsid w:val="004409A4"/>
    <w:rsid w:val="004428D0"/>
    <w:rsid w:val="004443A7"/>
    <w:rsid w:val="0044442C"/>
    <w:rsid w:val="00445941"/>
    <w:rsid w:val="004464EB"/>
    <w:rsid w:val="00447D26"/>
    <w:rsid w:val="00447E57"/>
    <w:rsid w:val="00450BD1"/>
    <w:rsid w:val="004536FF"/>
    <w:rsid w:val="00455D45"/>
    <w:rsid w:val="004607DC"/>
    <w:rsid w:val="0046191E"/>
    <w:rsid w:val="00463C29"/>
    <w:rsid w:val="00464595"/>
    <w:rsid w:val="004646BF"/>
    <w:rsid w:val="004648D6"/>
    <w:rsid w:val="00465BB6"/>
    <w:rsid w:val="00470A39"/>
    <w:rsid w:val="0047290B"/>
    <w:rsid w:val="00472A79"/>
    <w:rsid w:val="004731C7"/>
    <w:rsid w:val="00473F19"/>
    <w:rsid w:val="00473FA9"/>
    <w:rsid w:val="00474153"/>
    <w:rsid w:val="004748E7"/>
    <w:rsid w:val="0047510F"/>
    <w:rsid w:val="00475D26"/>
    <w:rsid w:val="00475E22"/>
    <w:rsid w:val="0048088E"/>
    <w:rsid w:val="004816AD"/>
    <w:rsid w:val="004823B4"/>
    <w:rsid w:val="00482720"/>
    <w:rsid w:val="004835E7"/>
    <w:rsid w:val="004841DC"/>
    <w:rsid w:val="004867E2"/>
    <w:rsid w:val="00487104"/>
    <w:rsid w:val="004871D4"/>
    <w:rsid w:val="00491108"/>
    <w:rsid w:val="00491B3A"/>
    <w:rsid w:val="00492CFD"/>
    <w:rsid w:val="0049359D"/>
    <w:rsid w:val="00494DD5"/>
    <w:rsid w:val="004953B0"/>
    <w:rsid w:val="00495BC6"/>
    <w:rsid w:val="00495CBB"/>
    <w:rsid w:val="004962D2"/>
    <w:rsid w:val="004A0DA1"/>
    <w:rsid w:val="004A2BD3"/>
    <w:rsid w:val="004A4D2B"/>
    <w:rsid w:val="004A52E9"/>
    <w:rsid w:val="004A6597"/>
    <w:rsid w:val="004A6960"/>
    <w:rsid w:val="004A7848"/>
    <w:rsid w:val="004B05E3"/>
    <w:rsid w:val="004B0D73"/>
    <w:rsid w:val="004B1CB4"/>
    <w:rsid w:val="004B2F18"/>
    <w:rsid w:val="004B37A8"/>
    <w:rsid w:val="004B3DDB"/>
    <w:rsid w:val="004B44FD"/>
    <w:rsid w:val="004B50DD"/>
    <w:rsid w:val="004B5CFC"/>
    <w:rsid w:val="004B675F"/>
    <w:rsid w:val="004B71AE"/>
    <w:rsid w:val="004B774D"/>
    <w:rsid w:val="004C0754"/>
    <w:rsid w:val="004C1A90"/>
    <w:rsid w:val="004C2007"/>
    <w:rsid w:val="004C2D88"/>
    <w:rsid w:val="004C499F"/>
    <w:rsid w:val="004C4AED"/>
    <w:rsid w:val="004C4D9D"/>
    <w:rsid w:val="004D0396"/>
    <w:rsid w:val="004D07F2"/>
    <w:rsid w:val="004D2474"/>
    <w:rsid w:val="004D2864"/>
    <w:rsid w:val="004D2C2D"/>
    <w:rsid w:val="004D4FB1"/>
    <w:rsid w:val="004D6F69"/>
    <w:rsid w:val="004D7227"/>
    <w:rsid w:val="004E0E7F"/>
    <w:rsid w:val="004E0EB8"/>
    <w:rsid w:val="004E1EC4"/>
    <w:rsid w:val="004E21CE"/>
    <w:rsid w:val="004E239F"/>
    <w:rsid w:val="004E2ADC"/>
    <w:rsid w:val="004E2E9E"/>
    <w:rsid w:val="004E43B2"/>
    <w:rsid w:val="004E6080"/>
    <w:rsid w:val="004E63ED"/>
    <w:rsid w:val="004F1D02"/>
    <w:rsid w:val="004F2679"/>
    <w:rsid w:val="004F2F21"/>
    <w:rsid w:val="004F5C14"/>
    <w:rsid w:val="004F6913"/>
    <w:rsid w:val="004F7865"/>
    <w:rsid w:val="004F7CE1"/>
    <w:rsid w:val="005012E7"/>
    <w:rsid w:val="00501307"/>
    <w:rsid w:val="0050219B"/>
    <w:rsid w:val="005025C6"/>
    <w:rsid w:val="0050367C"/>
    <w:rsid w:val="00503865"/>
    <w:rsid w:val="00503A91"/>
    <w:rsid w:val="00503F17"/>
    <w:rsid w:val="005056A5"/>
    <w:rsid w:val="00506928"/>
    <w:rsid w:val="00510C8F"/>
    <w:rsid w:val="00513E24"/>
    <w:rsid w:val="005152B5"/>
    <w:rsid w:val="00521319"/>
    <w:rsid w:val="00522BC8"/>
    <w:rsid w:val="00523A2F"/>
    <w:rsid w:val="00523C28"/>
    <w:rsid w:val="00526F5A"/>
    <w:rsid w:val="00527C3F"/>
    <w:rsid w:val="00527CA7"/>
    <w:rsid w:val="00534CA4"/>
    <w:rsid w:val="0053531B"/>
    <w:rsid w:val="00536F42"/>
    <w:rsid w:val="00537182"/>
    <w:rsid w:val="00537FC2"/>
    <w:rsid w:val="00542743"/>
    <w:rsid w:val="00542C2D"/>
    <w:rsid w:val="00543DB2"/>
    <w:rsid w:val="005460AA"/>
    <w:rsid w:val="005462BD"/>
    <w:rsid w:val="00547B4A"/>
    <w:rsid w:val="00551985"/>
    <w:rsid w:val="00552BD3"/>
    <w:rsid w:val="00555109"/>
    <w:rsid w:val="0056230E"/>
    <w:rsid w:val="00563CD5"/>
    <w:rsid w:val="00565EF9"/>
    <w:rsid w:val="005660F1"/>
    <w:rsid w:val="00566920"/>
    <w:rsid w:val="0056696F"/>
    <w:rsid w:val="00567452"/>
    <w:rsid w:val="00571CC5"/>
    <w:rsid w:val="00572269"/>
    <w:rsid w:val="0057244A"/>
    <w:rsid w:val="00575D8D"/>
    <w:rsid w:val="00576972"/>
    <w:rsid w:val="00580C1A"/>
    <w:rsid w:val="00580EDE"/>
    <w:rsid w:val="0058123F"/>
    <w:rsid w:val="00583699"/>
    <w:rsid w:val="00583753"/>
    <w:rsid w:val="00585CDD"/>
    <w:rsid w:val="00585E3F"/>
    <w:rsid w:val="00586E32"/>
    <w:rsid w:val="00587058"/>
    <w:rsid w:val="00590164"/>
    <w:rsid w:val="0059076D"/>
    <w:rsid w:val="00591957"/>
    <w:rsid w:val="0059269E"/>
    <w:rsid w:val="00593198"/>
    <w:rsid w:val="00593B69"/>
    <w:rsid w:val="00595D58"/>
    <w:rsid w:val="00596052"/>
    <w:rsid w:val="005978D2"/>
    <w:rsid w:val="00597AD6"/>
    <w:rsid w:val="00597BF9"/>
    <w:rsid w:val="005A0DD4"/>
    <w:rsid w:val="005A1B19"/>
    <w:rsid w:val="005A373D"/>
    <w:rsid w:val="005A4385"/>
    <w:rsid w:val="005A47BB"/>
    <w:rsid w:val="005A7E1F"/>
    <w:rsid w:val="005B12FE"/>
    <w:rsid w:val="005B3C3F"/>
    <w:rsid w:val="005B481B"/>
    <w:rsid w:val="005B5857"/>
    <w:rsid w:val="005B5FD9"/>
    <w:rsid w:val="005C01EA"/>
    <w:rsid w:val="005C175D"/>
    <w:rsid w:val="005C189C"/>
    <w:rsid w:val="005C1B83"/>
    <w:rsid w:val="005C2B9D"/>
    <w:rsid w:val="005C2D55"/>
    <w:rsid w:val="005C2E6A"/>
    <w:rsid w:val="005C346B"/>
    <w:rsid w:val="005C38CF"/>
    <w:rsid w:val="005C65CC"/>
    <w:rsid w:val="005C7214"/>
    <w:rsid w:val="005C7FEC"/>
    <w:rsid w:val="005D044D"/>
    <w:rsid w:val="005D05ED"/>
    <w:rsid w:val="005D0ABD"/>
    <w:rsid w:val="005D1856"/>
    <w:rsid w:val="005D18AD"/>
    <w:rsid w:val="005D26B4"/>
    <w:rsid w:val="005D6C6B"/>
    <w:rsid w:val="005D73AB"/>
    <w:rsid w:val="005D76C5"/>
    <w:rsid w:val="005E05A3"/>
    <w:rsid w:val="005E235F"/>
    <w:rsid w:val="005E6CBC"/>
    <w:rsid w:val="005E6E2B"/>
    <w:rsid w:val="005E73C0"/>
    <w:rsid w:val="005F0C30"/>
    <w:rsid w:val="005F1413"/>
    <w:rsid w:val="005F2706"/>
    <w:rsid w:val="005F2F0A"/>
    <w:rsid w:val="005F542C"/>
    <w:rsid w:val="005F6A8F"/>
    <w:rsid w:val="0060237D"/>
    <w:rsid w:val="006029A9"/>
    <w:rsid w:val="00602E40"/>
    <w:rsid w:val="00603DB9"/>
    <w:rsid w:val="00604718"/>
    <w:rsid w:val="006055D2"/>
    <w:rsid w:val="00607669"/>
    <w:rsid w:val="00607AFD"/>
    <w:rsid w:val="00610A99"/>
    <w:rsid w:val="00611C10"/>
    <w:rsid w:val="00611DD2"/>
    <w:rsid w:val="00612F97"/>
    <w:rsid w:val="0061345D"/>
    <w:rsid w:val="00616802"/>
    <w:rsid w:val="00617E12"/>
    <w:rsid w:val="00621477"/>
    <w:rsid w:val="00624118"/>
    <w:rsid w:val="00625696"/>
    <w:rsid w:val="0062638A"/>
    <w:rsid w:val="00626E43"/>
    <w:rsid w:val="0063158F"/>
    <w:rsid w:val="00631D6B"/>
    <w:rsid w:val="006330A1"/>
    <w:rsid w:val="0063424F"/>
    <w:rsid w:val="0063479F"/>
    <w:rsid w:val="006349AB"/>
    <w:rsid w:val="006353F0"/>
    <w:rsid w:val="006364A1"/>
    <w:rsid w:val="00637BFD"/>
    <w:rsid w:val="00637C4A"/>
    <w:rsid w:val="00637F52"/>
    <w:rsid w:val="00641C4E"/>
    <w:rsid w:val="006471CC"/>
    <w:rsid w:val="0064786B"/>
    <w:rsid w:val="0065079F"/>
    <w:rsid w:val="006521EC"/>
    <w:rsid w:val="00652C02"/>
    <w:rsid w:val="0065379F"/>
    <w:rsid w:val="00654E5D"/>
    <w:rsid w:val="00656D1A"/>
    <w:rsid w:val="0065723A"/>
    <w:rsid w:val="00661C6B"/>
    <w:rsid w:val="00661F59"/>
    <w:rsid w:val="00662424"/>
    <w:rsid w:val="006625D1"/>
    <w:rsid w:val="006628D6"/>
    <w:rsid w:val="00665965"/>
    <w:rsid w:val="00665FD1"/>
    <w:rsid w:val="006662C9"/>
    <w:rsid w:val="00671D84"/>
    <w:rsid w:val="00674E42"/>
    <w:rsid w:val="00674F2B"/>
    <w:rsid w:val="00675180"/>
    <w:rsid w:val="00675307"/>
    <w:rsid w:val="00675637"/>
    <w:rsid w:val="006776A4"/>
    <w:rsid w:val="00677EAD"/>
    <w:rsid w:val="00682112"/>
    <w:rsid w:val="006866D6"/>
    <w:rsid w:val="00686957"/>
    <w:rsid w:val="006872BA"/>
    <w:rsid w:val="0069022D"/>
    <w:rsid w:val="00691648"/>
    <w:rsid w:val="006917D7"/>
    <w:rsid w:val="006928EF"/>
    <w:rsid w:val="00693EC2"/>
    <w:rsid w:val="00694F44"/>
    <w:rsid w:val="006956B2"/>
    <w:rsid w:val="00697ADD"/>
    <w:rsid w:val="006A1183"/>
    <w:rsid w:val="006A1446"/>
    <w:rsid w:val="006A1BB4"/>
    <w:rsid w:val="006A4A8F"/>
    <w:rsid w:val="006A4DFB"/>
    <w:rsid w:val="006A6864"/>
    <w:rsid w:val="006A7E5F"/>
    <w:rsid w:val="006B1340"/>
    <w:rsid w:val="006B1A5D"/>
    <w:rsid w:val="006B261B"/>
    <w:rsid w:val="006B2C90"/>
    <w:rsid w:val="006B6B81"/>
    <w:rsid w:val="006B6DD0"/>
    <w:rsid w:val="006B6E29"/>
    <w:rsid w:val="006C1741"/>
    <w:rsid w:val="006C1B8F"/>
    <w:rsid w:val="006C2A8E"/>
    <w:rsid w:val="006C4D8D"/>
    <w:rsid w:val="006C59B0"/>
    <w:rsid w:val="006C7939"/>
    <w:rsid w:val="006D072F"/>
    <w:rsid w:val="006D3C7D"/>
    <w:rsid w:val="006D4974"/>
    <w:rsid w:val="006D5D5F"/>
    <w:rsid w:val="006D5D97"/>
    <w:rsid w:val="006D7171"/>
    <w:rsid w:val="006E24F2"/>
    <w:rsid w:val="006E5021"/>
    <w:rsid w:val="006E7510"/>
    <w:rsid w:val="006E76FD"/>
    <w:rsid w:val="006E7A06"/>
    <w:rsid w:val="006F1E0A"/>
    <w:rsid w:val="006F306C"/>
    <w:rsid w:val="006F31A4"/>
    <w:rsid w:val="006F5B45"/>
    <w:rsid w:val="006F63A5"/>
    <w:rsid w:val="006F6E22"/>
    <w:rsid w:val="006F7CB7"/>
    <w:rsid w:val="007005A6"/>
    <w:rsid w:val="0070142B"/>
    <w:rsid w:val="0070146D"/>
    <w:rsid w:val="0070276E"/>
    <w:rsid w:val="00702F8F"/>
    <w:rsid w:val="00703CD2"/>
    <w:rsid w:val="0070465B"/>
    <w:rsid w:val="007052AC"/>
    <w:rsid w:val="007059FD"/>
    <w:rsid w:val="00707B61"/>
    <w:rsid w:val="00711A36"/>
    <w:rsid w:val="007120F9"/>
    <w:rsid w:val="00713E70"/>
    <w:rsid w:val="00714E25"/>
    <w:rsid w:val="0071529C"/>
    <w:rsid w:val="00716F63"/>
    <w:rsid w:val="007172AD"/>
    <w:rsid w:val="00721070"/>
    <w:rsid w:val="0072161D"/>
    <w:rsid w:val="00721FFD"/>
    <w:rsid w:val="007221E1"/>
    <w:rsid w:val="00722B1B"/>
    <w:rsid w:val="0072416F"/>
    <w:rsid w:val="00724E9C"/>
    <w:rsid w:val="00725CE8"/>
    <w:rsid w:val="0072692A"/>
    <w:rsid w:val="00727C94"/>
    <w:rsid w:val="00731EAE"/>
    <w:rsid w:val="00732767"/>
    <w:rsid w:val="007331CB"/>
    <w:rsid w:val="00734B2A"/>
    <w:rsid w:val="00735033"/>
    <w:rsid w:val="00735328"/>
    <w:rsid w:val="0073685B"/>
    <w:rsid w:val="0073699E"/>
    <w:rsid w:val="00736E66"/>
    <w:rsid w:val="007371C9"/>
    <w:rsid w:val="007376D1"/>
    <w:rsid w:val="00737AAF"/>
    <w:rsid w:val="00737DCE"/>
    <w:rsid w:val="00740F22"/>
    <w:rsid w:val="00751365"/>
    <w:rsid w:val="00751DEA"/>
    <w:rsid w:val="00752142"/>
    <w:rsid w:val="007523F9"/>
    <w:rsid w:val="00752476"/>
    <w:rsid w:val="0075402F"/>
    <w:rsid w:val="0075585E"/>
    <w:rsid w:val="0075690F"/>
    <w:rsid w:val="007573E8"/>
    <w:rsid w:val="00760C4E"/>
    <w:rsid w:val="007610C2"/>
    <w:rsid w:val="00763454"/>
    <w:rsid w:val="00765B1A"/>
    <w:rsid w:val="00766D24"/>
    <w:rsid w:val="00770B8F"/>
    <w:rsid w:val="00773068"/>
    <w:rsid w:val="00776035"/>
    <w:rsid w:val="00777735"/>
    <w:rsid w:val="007807E0"/>
    <w:rsid w:val="007843F2"/>
    <w:rsid w:val="00787991"/>
    <w:rsid w:val="00792683"/>
    <w:rsid w:val="007929E9"/>
    <w:rsid w:val="00795F66"/>
    <w:rsid w:val="00796580"/>
    <w:rsid w:val="00797AC0"/>
    <w:rsid w:val="00797AEC"/>
    <w:rsid w:val="00797C4C"/>
    <w:rsid w:val="007A0025"/>
    <w:rsid w:val="007A0A12"/>
    <w:rsid w:val="007A132D"/>
    <w:rsid w:val="007A18D9"/>
    <w:rsid w:val="007A20B0"/>
    <w:rsid w:val="007A3AEA"/>
    <w:rsid w:val="007A462A"/>
    <w:rsid w:val="007A7607"/>
    <w:rsid w:val="007A772B"/>
    <w:rsid w:val="007B0D68"/>
    <w:rsid w:val="007B1921"/>
    <w:rsid w:val="007B251D"/>
    <w:rsid w:val="007B4F58"/>
    <w:rsid w:val="007B528D"/>
    <w:rsid w:val="007B6A3D"/>
    <w:rsid w:val="007B726E"/>
    <w:rsid w:val="007B77D1"/>
    <w:rsid w:val="007C1CD9"/>
    <w:rsid w:val="007C3491"/>
    <w:rsid w:val="007C361D"/>
    <w:rsid w:val="007C423D"/>
    <w:rsid w:val="007C4B84"/>
    <w:rsid w:val="007D004F"/>
    <w:rsid w:val="007D0A9E"/>
    <w:rsid w:val="007D0B38"/>
    <w:rsid w:val="007D5440"/>
    <w:rsid w:val="007E022B"/>
    <w:rsid w:val="007E17AC"/>
    <w:rsid w:val="007E1F66"/>
    <w:rsid w:val="007E3F1B"/>
    <w:rsid w:val="007E6881"/>
    <w:rsid w:val="007E6DF2"/>
    <w:rsid w:val="007F1017"/>
    <w:rsid w:val="007F1F1E"/>
    <w:rsid w:val="007F3AC5"/>
    <w:rsid w:val="007F4A3F"/>
    <w:rsid w:val="007F4A61"/>
    <w:rsid w:val="007F61C2"/>
    <w:rsid w:val="0080027A"/>
    <w:rsid w:val="00805142"/>
    <w:rsid w:val="00806832"/>
    <w:rsid w:val="00806B65"/>
    <w:rsid w:val="00807A8B"/>
    <w:rsid w:val="00810EC3"/>
    <w:rsid w:val="00811383"/>
    <w:rsid w:val="00812149"/>
    <w:rsid w:val="00812CAC"/>
    <w:rsid w:val="008164E8"/>
    <w:rsid w:val="008166EF"/>
    <w:rsid w:val="00820F98"/>
    <w:rsid w:val="008234CB"/>
    <w:rsid w:val="00825751"/>
    <w:rsid w:val="008264EB"/>
    <w:rsid w:val="008265E7"/>
    <w:rsid w:val="0083198F"/>
    <w:rsid w:val="008324CE"/>
    <w:rsid w:val="00832C5D"/>
    <w:rsid w:val="00833B05"/>
    <w:rsid w:val="00833E16"/>
    <w:rsid w:val="008342F3"/>
    <w:rsid w:val="008346CD"/>
    <w:rsid w:val="00834A81"/>
    <w:rsid w:val="0083554A"/>
    <w:rsid w:val="008362B4"/>
    <w:rsid w:val="0084034D"/>
    <w:rsid w:val="00840CA2"/>
    <w:rsid w:val="0084374F"/>
    <w:rsid w:val="00844014"/>
    <w:rsid w:val="008444B4"/>
    <w:rsid w:val="008444EC"/>
    <w:rsid w:val="00845009"/>
    <w:rsid w:val="00847DF5"/>
    <w:rsid w:val="00847ED6"/>
    <w:rsid w:val="00851165"/>
    <w:rsid w:val="0085309D"/>
    <w:rsid w:val="0085568A"/>
    <w:rsid w:val="00855B47"/>
    <w:rsid w:val="00856897"/>
    <w:rsid w:val="00856E9A"/>
    <w:rsid w:val="00857455"/>
    <w:rsid w:val="00857DDD"/>
    <w:rsid w:val="00857F91"/>
    <w:rsid w:val="0086075D"/>
    <w:rsid w:val="008610CB"/>
    <w:rsid w:val="008622DB"/>
    <w:rsid w:val="00862502"/>
    <w:rsid w:val="008628D9"/>
    <w:rsid w:val="008628F4"/>
    <w:rsid w:val="00862D95"/>
    <w:rsid w:val="00863E8C"/>
    <w:rsid w:val="008641FD"/>
    <w:rsid w:val="00864881"/>
    <w:rsid w:val="008660D4"/>
    <w:rsid w:val="0086643F"/>
    <w:rsid w:val="00871FA9"/>
    <w:rsid w:val="008728E9"/>
    <w:rsid w:val="00876DBD"/>
    <w:rsid w:val="00880CFE"/>
    <w:rsid w:val="00882874"/>
    <w:rsid w:val="00883787"/>
    <w:rsid w:val="00886CD2"/>
    <w:rsid w:val="00887370"/>
    <w:rsid w:val="008920FC"/>
    <w:rsid w:val="00892A36"/>
    <w:rsid w:val="00893239"/>
    <w:rsid w:val="00894489"/>
    <w:rsid w:val="00895B18"/>
    <w:rsid w:val="00895E49"/>
    <w:rsid w:val="008963A5"/>
    <w:rsid w:val="00897EF4"/>
    <w:rsid w:val="008A13A3"/>
    <w:rsid w:val="008A1DEE"/>
    <w:rsid w:val="008A2ACA"/>
    <w:rsid w:val="008A3363"/>
    <w:rsid w:val="008A3371"/>
    <w:rsid w:val="008A3C3E"/>
    <w:rsid w:val="008A4271"/>
    <w:rsid w:val="008A4F09"/>
    <w:rsid w:val="008A79DE"/>
    <w:rsid w:val="008A7C56"/>
    <w:rsid w:val="008B036A"/>
    <w:rsid w:val="008B08FA"/>
    <w:rsid w:val="008B1757"/>
    <w:rsid w:val="008B3730"/>
    <w:rsid w:val="008B4BD2"/>
    <w:rsid w:val="008B6AE9"/>
    <w:rsid w:val="008B7D7E"/>
    <w:rsid w:val="008C2248"/>
    <w:rsid w:val="008C3E95"/>
    <w:rsid w:val="008C4F73"/>
    <w:rsid w:val="008C7720"/>
    <w:rsid w:val="008C7A72"/>
    <w:rsid w:val="008C7ECB"/>
    <w:rsid w:val="008C7FAC"/>
    <w:rsid w:val="008D1660"/>
    <w:rsid w:val="008D2EC5"/>
    <w:rsid w:val="008D4755"/>
    <w:rsid w:val="008D4C3D"/>
    <w:rsid w:val="008D5573"/>
    <w:rsid w:val="008D6217"/>
    <w:rsid w:val="008D7761"/>
    <w:rsid w:val="008E0483"/>
    <w:rsid w:val="008E068B"/>
    <w:rsid w:val="008E0D3C"/>
    <w:rsid w:val="008E1B9E"/>
    <w:rsid w:val="008E32C8"/>
    <w:rsid w:val="008E431A"/>
    <w:rsid w:val="008E55AB"/>
    <w:rsid w:val="008E5D39"/>
    <w:rsid w:val="008E6D1F"/>
    <w:rsid w:val="008E6D90"/>
    <w:rsid w:val="008E74A7"/>
    <w:rsid w:val="008F0345"/>
    <w:rsid w:val="008F10E7"/>
    <w:rsid w:val="008F120A"/>
    <w:rsid w:val="008F27E0"/>
    <w:rsid w:val="008F48EB"/>
    <w:rsid w:val="008F4F0B"/>
    <w:rsid w:val="00900876"/>
    <w:rsid w:val="00903939"/>
    <w:rsid w:val="009046C4"/>
    <w:rsid w:val="00904BAA"/>
    <w:rsid w:val="009062A5"/>
    <w:rsid w:val="00906FEB"/>
    <w:rsid w:val="00907D34"/>
    <w:rsid w:val="0091030D"/>
    <w:rsid w:val="00911272"/>
    <w:rsid w:val="009125C0"/>
    <w:rsid w:val="009135D6"/>
    <w:rsid w:val="009146CC"/>
    <w:rsid w:val="00914C77"/>
    <w:rsid w:val="009155B4"/>
    <w:rsid w:val="00915C3D"/>
    <w:rsid w:val="0092369B"/>
    <w:rsid w:val="0092377B"/>
    <w:rsid w:val="009304D8"/>
    <w:rsid w:val="00934E89"/>
    <w:rsid w:val="00937C15"/>
    <w:rsid w:val="00940B94"/>
    <w:rsid w:val="00941186"/>
    <w:rsid w:val="00942630"/>
    <w:rsid w:val="0094390A"/>
    <w:rsid w:val="00943BBF"/>
    <w:rsid w:val="00943E28"/>
    <w:rsid w:val="009468F1"/>
    <w:rsid w:val="00947760"/>
    <w:rsid w:val="00947808"/>
    <w:rsid w:val="009510A2"/>
    <w:rsid w:val="00951518"/>
    <w:rsid w:val="00953257"/>
    <w:rsid w:val="009535ED"/>
    <w:rsid w:val="00955AAD"/>
    <w:rsid w:val="009561B4"/>
    <w:rsid w:val="009601B8"/>
    <w:rsid w:val="00960B89"/>
    <w:rsid w:val="00962CB9"/>
    <w:rsid w:val="00964312"/>
    <w:rsid w:val="009644CB"/>
    <w:rsid w:val="00964A16"/>
    <w:rsid w:val="00964E44"/>
    <w:rsid w:val="00965B8A"/>
    <w:rsid w:val="009717AC"/>
    <w:rsid w:val="00974917"/>
    <w:rsid w:val="00976863"/>
    <w:rsid w:val="00977214"/>
    <w:rsid w:val="009807A2"/>
    <w:rsid w:val="009819B7"/>
    <w:rsid w:val="00981EF8"/>
    <w:rsid w:val="0098225B"/>
    <w:rsid w:val="009826DC"/>
    <w:rsid w:val="00983E57"/>
    <w:rsid w:val="00983FA7"/>
    <w:rsid w:val="009850E6"/>
    <w:rsid w:val="00985DC1"/>
    <w:rsid w:val="0098675D"/>
    <w:rsid w:val="00986D86"/>
    <w:rsid w:val="00994679"/>
    <w:rsid w:val="009967C4"/>
    <w:rsid w:val="00996B1A"/>
    <w:rsid w:val="009A07B8"/>
    <w:rsid w:val="009A122B"/>
    <w:rsid w:val="009A2239"/>
    <w:rsid w:val="009A2975"/>
    <w:rsid w:val="009A3F46"/>
    <w:rsid w:val="009A5159"/>
    <w:rsid w:val="009A7F10"/>
    <w:rsid w:val="009B0911"/>
    <w:rsid w:val="009B3E26"/>
    <w:rsid w:val="009B49E1"/>
    <w:rsid w:val="009B62F0"/>
    <w:rsid w:val="009B6A2F"/>
    <w:rsid w:val="009C05BB"/>
    <w:rsid w:val="009C1D1C"/>
    <w:rsid w:val="009C1E45"/>
    <w:rsid w:val="009C6CEA"/>
    <w:rsid w:val="009C7B85"/>
    <w:rsid w:val="009D128E"/>
    <w:rsid w:val="009D206D"/>
    <w:rsid w:val="009D22A2"/>
    <w:rsid w:val="009D2EB6"/>
    <w:rsid w:val="009D3165"/>
    <w:rsid w:val="009D50C3"/>
    <w:rsid w:val="009D5B91"/>
    <w:rsid w:val="009D6A88"/>
    <w:rsid w:val="009D708C"/>
    <w:rsid w:val="009D717F"/>
    <w:rsid w:val="009D792E"/>
    <w:rsid w:val="009D7D8D"/>
    <w:rsid w:val="009E0DFE"/>
    <w:rsid w:val="009E4C07"/>
    <w:rsid w:val="009E669E"/>
    <w:rsid w:val="009E7A36"/>
    <w:rsid w:val="009F127C"/>
    <w:rsid w:val="009F5711"/>
    <w:rsid w:val="00A01184"/>
    <w:rsid w:val="00A02325"/>
    <w:rsid w:val="00A03255"/>
    <w:rsid w:val="00A03D43"/>
    <w:rsid w:val="00A04380"/>
    <w:rsid w:val="00A04565"/>
    <w:rsid w:val="00A07B1E"/>
    <w:rsid w:val="00A106A9"/>
    <w:rsid w:val="00A109C6"/>
    <w:rsid w:val="00A111CD"/>
    <w:rsid w:val="00A1122D"/>
    <w:rsid w:val="00A11B1F"/>
    <w:rsid w:val="00A11CD0"/>
    <w:rsid w:val="00A12D3C"/>
    <w:rsid w:val="00A13948"/>
    <w:rsid w:val="00A1555B"/>
    <w:rsid w:val="00A155C5"/>
    <w:rsid w:val="00A1622C"/>
    <w:rsid w:val="00A1678B"/>
    <w:rsid w:val="00A16AD8"/>
    <w:rsid w:val="00A17ED3"/>
    <w:rsid w:val="00A212D5"/>
    <w:rsid w:val="00A21307"/>
    <w:rsid w:val="00A21CF3"/>
    <w:rsid w:val="00A22017"/>
    <w:rsid w:val="00A244BD"/>
    <w:rsid w:val="00A24CBF"/>
    <w:rsid w:val="00A27AEC"/>
    <w:rsid w:val="00A320DB"/>
    <w:rsid w:val="00A34ADB"/>
    <w:rsid w:val="00A35D16"/>
    <w:rsid w:val="00A36707"/>
    <w:rsid w:val="00A37BCD"/>
    <w:rsid w:val="00A407DF"/>
    <w:rsid w:val="00A40CDC"/>
    <w:rsid w:val="00A42B93"/>
    <w:rsid w:val="00A43C59"/>
    <w:rsid w:val="00A45AF6"/>
    <w:rsid w:val="00A4665D"/>
    <w:rsid w:val="00A47D5C"/>
    <w:rsid w:val="00A509C0"/>
    <w:rsid w:val="00A50ECD"/>
    <w:rsid w:val="00A518F3"/>
    <w:rsid w:val="00A520A2"/>
    <w:rsid w:val="00A520B4"/>
    <w:rsid w:val="00A52729"/>
    <w:rsid w:val="00A53675"/>
    <w:rsid w:val="00A54447"/>
    <w:rsid w:val="00A564D7"/>
    <w:rsid w:val="00A56B6A"/>
    <w:rsid w:val="00A56C5C"/>
    <w:rsid w:val="00A578DC"/>
    <w:rsid w:val="00A60EDD"/>
    <w:rsid w:val="00A62293"/>
    <w:rsid w:val="00A625A4"/>
    <w:rsid w:val="00A63E3B"/>
    <w:rsid w:val="00A64D53"/>
    <w:rsid w:val="00A6725B"/>
    <w:rsid w:val="00A67743"/>
    <w:rsid w:val="00A70605"/>
    <w:rsid w:val="00A72424"/>
    <w:rsid w:val="00A73134"/>
    <w:rsid w:val="00A7629E"/>
    <w:rsid w:val="00A76659"/>
    <w:rsid w:val="00A76A9B"/>
    <w:rsid w:val="00A777B2"/>
    <w:rsid w:val="00A81FE2"/>
    <w:rsid w:val="00A838C1"/>
    <w:rsid w:val="00A843E9"/>
    <w:rsid w:val="00A84845"/>
    <w:rsid w:val="00A859EC"/>
    <w:rsid w:val="00A86E8B"/>
    <w:rsid w:val="00A87164"/>
    <w:rsid w:val="00A93072"/>
    <w:rsid w:val="00A93953"/>
    <w:rsid w:val="00A953AD"/>
    <w:rsid w:val="00A959D8"/>
    <w:rsid w:val="00A95FCC"/>
    <w:rsid w:val="00AA113D"/>
    <w:rsid w:val="00AA3AFA"/>
    <w:rsid w:val="00AA6C7D"/>
    <w:rsid w:val="00AA7FD6"/>
    <w:rsid w:val="00AB042A"/>
    <w:rsid w:val="00AB1AE6"/>
    <w:rsid w:val="00AB2D34"/>
    <w:rsid w:val="00AB2EC7"/>
    <w:rsid w:val="00AB3430"/>
    <w:rsid w:val="00AB4AD1"/>
    <w:rsid w:val="00AB743E"/>
    <w:rsid w:val="00AB7C23"/>
    <w:rsid w:val="00AB7CFA"/>
    <w:rsid w:val="00AC0EBB"/>
    <w:rsid w:val="00AC5B48"/>
    <w:rsid w:val="00AC6758"/>
    <w:rsid w:val="00AC757F"/>
    <w:rsid w:val="00AC7638"/>
    <w:rsid w:val="00AD21B8"/>
    <w:rsid w:val="00AD6502"/>
    <w:rsid w:val="00AD7DD5"/>
    <w:rsid w:val="00AE0A20"/>
    <w:rsid w:val="00AE0B2B"/>
    <w:rsid w:val="00AE5C82"/>
    <w:rsid w:val="00AE6751"/>
    <w:rsid w:val="00AE67E3"/>
    <w:rsid w:val="00AE743A"/>
    <w:rsid w:val="00AE7F2E"/>
    <w:rsid w:val="00AF1315"/>
    <w:rsid w:val="00AF19BF"/>
    <w:rsid w:val="00AF2DC3"/>
    <w:rsid w:val="00AF3BBD"/>
    <w:rsid w:val="00AF548E"/>
    <w:rsid w:val="00B017A9"/>
    <w:rsid w:val="00B033E5"/>
    <w:rsid w:val="00B03A63"/>
    <w:rsid w:val="00B03F90"/>
    <w:rsid w:val="00B058D8"/>
    <w:rsid w:val="00B05CB9"/>
    <w:rsid w:val="00B07ECE"/>
    <w:rsid w:val="00B1102B"/>
    <w:rsid w:val="00B11AD4"/>
    <w:rsid w:val="00B120C7"/>
    <w:rsid w:val="00B14254"/>
    <w:rsid w:val="00B14DFA"/>
    <w:rsid w:val="00B201A4"/>
    <w:rsid w:val="00B213A6"/>
    <w:rsid w:val="00B217D7"/>
    <w:rsid w:val="00B239A2"/>
    <w:rsid w:val="00B24DF6"/>
    <w:rsid w:val="00B24FC7"/>
    <w:rsid w:val="00B252C3"/>
    <w:rsid w:val="00B32406"/>
    <w:rsid w:val="00B32892"/>
    <w:rsid w:val="00B34FE2"/>
    <w:rsid w:val="00B357D8"/>
    <w:rsid w:val="00B3593A"/>
    <w:rsid w:val="00B36228"/>
    <w:rsid w:val="00B368DA"/>
    <w:rsid w:val="00B37BFC"/>
    <w:rsid w:val="00B40358"/>
    <w:rsid w:val="00B41614"/>
    <w:rsid w:val="00B42851"/>
    <w:rsid w:val="00B42F80"/>
    <w:rsid w:val="00B435CB"/>
    <w:rsid w:val="00B43DAD"/>
    <w:rsid w:val="00B451EF"/>
    <w:rsid w:val="00B47360"/>
    <w:rsid w:val="00B47656"/>
    <w:rsid w:val="00B5094F"/>
    <w:rsid w:val="00B50DB8"/>
    <w:rsid w:val="00B52060"/>
    <w:rsid w:val="00B53053"/>
    <w:rsid w:val="00B53654"/>
    <w:rsid w:val="00B53905"/>
    <w:rsid w:val="00B54B5B"/>
    <w:rsid w:val="00B5562E"/>
    <w:rsid w:val="00B5564F"/>
    <w:rsid w:val="00B57000"/>
    <w:rsid w:val="00B57ADC"/>
    <w:rsid w:val="00B57DD3"/>
    <w:rsid w:val="00B600B6"/>
    <w:rsid w:val="00B60939"/>
    <w:rsid w:val="00B60AFD"/>
    <w:rsid w:val="00B62715"/>
    <w:rsid w:val="00B631F0"/>
    <w:rsid w:val="00B662F3"/>
    <w:rsid w:val="00B663F6"/>
    <w:rsid w:val="00B738AA"/>
    <w:rsid w:val="00B73FD7"/>
    <w:rsid w:val="00B760A0"/>
    <w:rsid w:val="00B76FCB"/>
    <w:rsid w:val="00B8016B"/>
    <w:rsid w:val="00B818A4"/>
    <w:rsid w:val="00B81D12"/>
    <w:rsid w:val="00B84117"/>
    <w:rsid w:val="00B85AA2"/>
    <w:rsid w:val="00B8649C"/>
    <w:rsid w:val="00B87F0A"/>
    <w:rsid w:val="00B90A11"/>
    <w:rsid w:val="00B91A55"/>
    <w:rsid w:val="00B92D0B"/>
    <w:rsid w:val="00B944B6"/>
    <w:rsid w:val="00B94945"/>
    <w:rsid w:val="00B9634A"/>
    <w:rsid w:val="00B97A3F"/>
    <w:rsid w:val="00BA05F8"/>
    <w:rsid w:val="00BA21BD"/>
    <w:rsid w:val="00BA245E"/>
    <w:rsid w:val="00BA2932"/>
    <w:rsid w:val="00BA322D"/>
    <w:rsid w:val="00BA4D98"/>
    <w:rsid w:val="00BA553F"/>
    <w:rsid w:val="00BA558D"/>
    <w:rsid w:val="00BA638F"/>
    <w:rsid w:val="00BA787A"/>
    <w:rsid w:val="00BA7B00"/>
    <w:rsid w:val="00BB0BDD"/>
    <w:rsid w:val="00BB2A73"/>
    <w:rsid w:val="00BB4ACC"/>
    <w:rsid w:val="00BB533D"/>
    <w:rsid w:val="00BB592E"/>
    <w:rsid w:val="00BB6318"/>
    <w:rsid w:val="00BB703E"/>
    <w:rsid w:val="00BB7405"/>
    <w:rsid w:val="00BC15C6"/>
    <w:rsid w:val="00BC3631"/>
    <w:rsid w:val="00BC448E"/>
    <w:rsid w:val="00BC6E34"/>
    <w:rsid w:val="00BD04C4"/>
    <w:rsid w:val="00BD0B4D"/>
    <w:rsid w:val="00BD3533"/>
    <w:rsid w:val="00BD68A3"/>
    <w:rsid w:val="00BD6938"/>
    <w:rsid w:val="00BD6CF3"/>
    <w:rsid w:val="00BD6F64"/>
    <w:rsid w:val="00BD74F0"/>
    <w:rsid w:val="00BE0807"/>
    <w:rsid w:val="00BE1468"/>
    <w:rsid w:val="00BE2180"/>
    <w:rsid w:val="00BE21F2"/>
    <w:rsid w:val="00BE2801"/>
    <w:rsid w:val="00BE3714"/>
    <w:rsid w:val="00BE3F54"/>
    <w:rsid w:val="00BE40E0"/>
    <w:rsid w:val="00BE4275"/>
    <w:rsid w:val="00BE46AE"/>
    <w:rsid w:val="00BE7999"/>
    <w:rsid w:val="00BF0F95"/>
    <w:rsid w:val="00BF1184"/>
    <w:rsid w:val="00BF2433"/>
    <w:rsid w:val="00BF61C9"/>
    <w:rsid w:val="00BF636E"/>
    <w:rsid w:val="00BF6C94"/>
    <w:rsid w:val="00BF75B1"/>
    <w:rsid w:val="00C00424"/>
    <w:rsid w:val="00C006D0"/>
    <w:rsid w:val="00C00B80"/>
    <w:rsid w:val="00C00D9C"/>
    <w:rsid w:val="00C02338"/>
    <w:rsid w:val="00C05849"/>
    <w:rsid w:val="00C0595E"/>
    <w:rsid w:val="00C109A3"/>
    <w:rsid w:val="00C11EE8"/>
    <w:rsid w:val="00C12C14"/>
    <w:rsid w:val="00C1544B"/>
    <w:rsid w:val="00C156CC"/>
    <w:rsid w:val="00C1597D"/>
    <w:rsid w:val="00C17230"/>
    <w:rsid w:val="00C1730F"/>
    <w:rsid w:val="00C200AA"/>
    <w:rsid w:val="00C211B7"/>
    <w:rsid w:val="00C237ED"/>
    <w:rsid w:val="00C2440B"/>
    <w:rsid w:val="00C24632"/>
    <w:rsid w:val="00C24B66"/>
    <w:rsid w:val="00C24BE3"/>
    <w:rsid w:val="00C25418"/>
    <w:rsid w:val="00C25D9C"/>
    <w:rsid w:val="00C267A4"/>
    <w:rsid w:val="00C26A2F"/>
    <w:rsid w:val="00C26D32"/>
    <w:rsid w:val="00C2778B"/>
    <w:rsid w:val="00C31649"/>
    <w:rsid w:val="00C31C84"/>
    <w:rsid w:val="00C33D8F"/>
    <w:rsid w:val="00C4020F"/>
    <w:rsid w:val="00C40385"/>
    <w:rsid w:val="00C4178F"/>
    <w:rsid w:val="00C46E7D"/>
    <w:rsid w:val="00C475AA"/>
    <w:rsid w:val="00C5075E"/>
    <w:rsid w:val="00C50E81"/>
    <w:rsid w:val="00C51359"/>
    <w:rsid w:val="00C5749E"/>
    <w:rsid w:val="00C60F98"/>
    <w:rsid w:val="00C61996"/>
    <w:rsid w:val="00C62AE1"/>
    <w:rsid w:val="00C633AF"/>
    <w:rsid w:val="00C65576"/>
    <w:rsid w:val="00C66165"/>
    <w:rsid w:val="00C66FD6"/>
    <w:rsid w:val="00C71389"/>
    <w:rsid w:val="00C7151A"/>
    <w:rsid w:val="00C715CD"/>
    <w:rsid w:val="00C71F60"/>
    <w:rsid w:val="00C72241"/>
    <w:rsid w:val="00C72A9B"/>
    <w:rsid w:val="00C747A7"/>
    <w:rsid w:val="00C750C8"/>
    <w:rsid w:val="00C7560F"/>
    <w:rsid w:val="00C77A2E"/>
    <w:rsid w:val="00C80A0E"/>
    <w:rsid w:val="00C80FBF"/>
    <w:rsid w:val="00C8213F"/>
    <w:rsid w:val="00C86CD7"/>
    <w:rsid w:val="00C8797A"/>
    <w:rsid w:val="00C900B8"/>
    <w:rsid w:val="00C90C71"/>
    <w:rsid w:val="00C9132B"/>
    <w:rsid w:val="00C931CF"/>
    <w:rsid w:val="00C938CF"/>
    <w:rsid w:val="00C94A45"/>
    <w:rsid w:val="00C94B37"/>
    <w:rsid w:val="00C9624D"/>
    <w:rsid w:val="00C968EF"/>
    <w:rsid w:val="00C969DA"/>
    <w:rsid w:val="00C96B08"/>
    <w:rsid w:val="00C976AB"/>
    <w:rsid w:val="00CA017C"/>
    <w:rsid w:val="00CA1ED9"/>
    <w:rsid w:val="00CA2C77"/>
    <w:rsid w:val="00CA444F"/>
    <w:rsid w:val="00CA5245"/>
    <w:rsid w:val="00CA5E40"/>
    <w:rsid w:val="00CA6382"/>
    <w:rsid w:val="00CA71F4"/>
    <w:rsid w:val="00CA7B09"/>
    <w:rsid w:val="00CB002C"/>
    <w:rsid w:val="00CB2F2A"/>
    <w:rsid w:val="00CB5B1A"/>
    <w:rsid w:val="00CB6B22"/>
    <w:rsid w:val="00CB7F5F"/>
    <w:rsid w:val="00CC1B39"/>
    <w:rsid w:val="00CC25ED"/>
    <w:rsid w:val="00CC535A"/>
    <w:rsid w:val="00CC6405"/>
    <w:rsid w:val="00CD040C"/>
    <w:rsid w:val="00CD0591"/>
    <w:rsid w:val="00CD0A24"/>
    <w:rsid w:val="00CD0EA0"/>
    <w:rsid w:val="00CD3373"/>
    <w:rsid w:val="00CD6ADC"/>
    <w:rsid w:val="00CE223C"/>
    <w:rsid w:val="00CE6274"/>
    <w:rsid w:val="00CF19D2"/>
    <w:rsid w:val="00CF2B8D"/>
    <w:rsid w:val="00CF456B"/>
    <w:rsid w:val="00CF5A22"/>
    <w:rsid w:val="00D02418"/>
    <w:rsid w:val="00D0262E"/>
    <w:rsid w:val="00D03F2F"/>
    <w:rsid w:val="00D073C6"/>
    <w:rsid w:val="00D10E05"/>
    <w:rsid w:val="00D110BD"/>
    <w:rsid w:val="00D11BA0"/>
    <w:rsid w:val="00D1234D"/>
    <w:rsid w:val="00D13675"/>
    <w:rsid w:val="00D14096"/>
    <w:rsid w:val="00D141E1"/>
    <w:rsid w:val="00D162FF"/>
    <w:rsid w:val="00D16E44"/>
    <w:rsid w:val="00D17D6C"/>
    <w:rsid w:val="00D2158F"/>
    <w:rsid w:val="00D26DB6"/>
    <w:rsid w:val="00D2754D"/>
    <w:rsid w:val="00D27B27"/>
    <w:rsid w:val="00D329F3"/>
    <w:rsid w:val="00D33BE9"/>
    <w:rsid w:val="00D349A4"/>
    <w:rsid w:val="00D357EA"/>
    <w:rsid w:val="00D357FF"/>
    <w:rsid w:val="00D4140A"/>
    <w:rsid w:val="00D41CAF"/>
    <w:rsid w:val="00D424C7"/>
    <w:rsid w:val="00D43B2A"/>
    <w:rsid w:val="00D4434E"/>
    <w:rsid w:val="00D45E0B"/>
    <w:rsid w:val="00D46F5C"/>
    <w:rsid w:val="00D47575"/>
    <w:rsid w:val="00D50317"/>
    <w:rsid w:val="00D50A5B"/>
    <w:rsid w:val="00D50D33"/>
    <w:rsid w:val="00D51D8B"/>
    <w:rsid w:val="00D528AC"/>
    <w:rsid w:val="00D53874"/>
    <w:rsid w:val="00D5469C"/>
    <w:rsid w:val="00D549DB"/>
    <w:rsid w:val="00D550BA"/>
    <w:rsid w:val="00D57CD4"/>
    <w:rsid w:val="00D6090F"/>
    <w:rsid w:val="00D63F03"/>
    <w:rsid w:val="00D64A17"/>
    <w:rsid w:val="00D65279"/>
    <w:rsid w:val="00D67242"/>
    <w:rsid w:val="00D67AD1"/>
    <w:rsid w:val="00D70313"/>
    <w:rsid w:val="00D7068C"/>
    <w:rsid w:val="00D70F16"/>
    <w:rsid w:val="00D7228F"/>
    <w:rsid w:val="00D76A44"/>
    <w:rsid w:val="00D7767F"/>
    <w:rsid w:val="00D81597"/>
    <w:rsid w:val="00D815EF"/>
    <w:rsid w:val="00D855E0"/>
    <w:rsid w:val="00D87535"/>
    <w:rsid w:val="00D91923"/>
    <w:rsid w:val="00D91D0E"/>
    <w:rsid w:val="00D932E5"/>
    <w:rsid w:val="00D93753"/>
    <w:rsid w:val="00D94D15"/>
    <w:rsid w:val="00D96F3B"/>
    <w:rsid w:val="00DA1467"/>
    <w:rsid w:val="00DA149B"/>
    <w:rsid w:val="00DA3167"/>
    <w:rsid w:val="00DA3829"/>
    <w:rsid w:val="00DA3883"/>
    <w:rsid w:val="00DA4DC3"/>
    <w:rsid w:val="00DA63A8"/>
    <w:rsid w:val="00DA77A5"/>
    <w:rsid w:val="00DA7CB8"/>
    <w:rsid w:val="00DA7EDA"/>
    <w:rsid w:val="00DB132D"/>
    <w:rsid w:val="00DB1D4A"/>
    <w:rsid w:val="00DB293D"/>
    <w:rsid w:val="00DB484F"/>
    <w:rsid w:val="00DB642E"/>
    <w:rsid w:val="00DC04F6"/>
    <w:rsid w:val="00DC2827"/>
    <w:rsid w:val="00DC2CC0"/>
    <w:rsid w:val="00DC3C57"/>
    <w:rsid w:val="00DC3D00"/>
    <w:rsid w:val="00DC4322"/>
    <w:rsid w:val="00DC5365"/>
    <w:rsid w:val="00DC5501"/>
    <w:rsid w:val="00DC5B78"/>
    <w:rsid w:val="00DC60E5"/>
    <w:rsid w:val="00DD273C"/>
    <w:rsid w:val="00DD2A5A"/>
    <w:rsid w:val="00DD3F28"/>
    <w:rsid w:val="00DD4537"/>
    <w:rsid w:val="00DD4E15"/>
    <w:rsid w:val="00DE3096"/>
    <w:rsid w:val="00DE3138"/>
    <w:rsid w:val="00DE37F8"/>
    <w:rsid w:val="00DE4FCB"/>
    <w:rsid w:val="00DE527D"/>
    <w:rsid w:val="00DE6798"/>
    <w:rsid w:val="00DE7832"/>
    <w:rsid w:val="00DF18FC"/>
    <w:rsid w:val="00DF3453"/>
    <w:rsid w:val="00DF5D2B"/>
    <w:rsid w:val="00DF66F5"/>
    <w:rsid w:val="00DF6D10"/>
    <w:rsid w:val="00E00E8E"/>
    <w:rsid w:val="00E027EC"/>
    <w:rsid w:val="00E03AC7"/>
    <w:rsid w:val="00E04F75"/>
    <w:rsid w:val="00E04FC9"/>
    <w:rsid w:val="00E05630"/>
    <w:rsid w:val="00E06DBB"/>
    <w:rsid w:val="00E10149"/>
    <w:rsid w:val="00E121D6"/>
    <w:rsid w:val="00E122FD"/>
    <w:rsid w:val="00E12CCA"/>
    <w:rsid w:val="00E1366E"/>
    <w:rsid w:val="00E13750"/>
    <w:rsid w:val="00E13913"/>
    <w:rsid w:val="00E15AD0"/>
    <w:rsid w:val="00E16372"/>
    <w:rsid w:val="00E20E4D"/>
    <w:rsid w:val="00E20ED6"/>
    <w:rsid w:val="00E21358"/>
    <w:rsid w:val="00E21D51"/>
    <w:rsid w:val="00E2226A"/>
    <w:rsid w:val="00E2249B"/>
    <w:rsid w:val="00E22A0D"/>
    <w:rsid w:val="00E24628"/>
    <w:rsid w:val="00E2771E"/>
    <w:rsid w:val="00E30D02"/>
    <w:rsid w:val="00E34948"/>
    <w:rsid w:val="00E34B07"/>
    <w:rsid w:val="00E37569"/>
    <w:rsid w:val="00E3761F"/>
    <w:rsid w:val="00E41E30"/>
    <w:rsid w:val="00E41E62"/>
    <w:rsid w:val="00E4297E"/>
    <w:rsid w:val="00E43D70"/>
    <w:rsid w:val="00E466F3"/>
    <w:rsid w:val="00E47B2C"/>
    <w:rsid w:val="00E51560"/>
    <w:rsid w:val="00E54347"/>
    <w:rsid w:val="00E5532B"/>
    <w:rsid w:val="00E55424"/>
    <w:rsid w:val="00E55BB5"/>
    <w:rsid w:val="00E5761D"/>
    <w:rsid w:val="00E607DA"/>
    <w:rsid w:val="00E615D6"/>
    <w:rsid w:val="00E6194B"/>
    <w:rsid w:val="00E63625"/>
    <w:rsid w:val="00E6365E"/>
    <w:rsid w:val="00E64647"/>
    <w:rsid w:val="00E64C7D"/>
    <w:rsid w:val="00E65E79"/>
    <w:rsid w:val="00E66BA2"/>
    <w:rsid w:val="00E67416"/>
    <w:rsid w:val="00E70B10"/>
    <w:rsid w:val="00E718B6"/>
    <w:rsid w:val="00E722C5"/>
    <w:rsid w:val="00E723BA"/>
    <w:rsid w:val="00E73581"/>
    <w:rsid w:val="00E771BA"/>
    <w:rsid w:val="00E776DD"/>
    <w:rsid w:val="00E80B59"/>
    <w:rsid w:val="00E80FAF"/>
    <w:rsid w:val="00E830BF"/>
    <w:rsid w:val="00E833F7"/>
    <w:rsid w:val="00E836D7"/>
    <w:rsid w:val="00E83BDF"/>
    <w:rsid w:val="00E83E68"/>
    <w:rsid w:val="00E87A1D"/>
    <w:rsid w:val="00E926A5"/>
    <w:rsid w:val="00E926A7"/>
    <w:rsid w:val="00E92EA3"/>
    <w:rsid w:val="00E9562D"/>
    <w:rsid w:val="00EA17C3"/>
    <w:rsid w:val="00EA2145"/>
    <w:rsid w:val="00EA25BE"/>
    <w:rsid w:val="00EA2CAA"/>
    <w:rsid w:val="00EA3864"/>
    <w:rsid w:val="00EA4BFA"/>
    <w:rsid w:val="00EA5798"/>
    <w:rsid w:val="00EA5855"/>
    <w:rsid w:val="00EA64E8"/>
    <w:rsid w:val="00EA679D"/>
    <w:rsid w:val="00EB15B6"/>
    <w:rsid w:val="00EB1B67"/>
    <w:rsid w:val="00EB221A"/>
    <w:rsid w:val="00EB2442"/>
    <w:rsid w:val="00EB34DA"/>
    <w:rsid w:val="00EB423A"/>
    <w:rsid w:val="00EB4916"/>
    <w:rsid w:val="00EB6D50"/>
    <w:rsid w:val="00EB7302"/>
    <w:rsid w:val="00EB74F5"/>
    <w:rsid w:val="00EC00C9"/>
    <w:rsid w:val="00EC254E"/>
    <w:rsid w:val="00EC2649"/>
    <w:rsid w:val="00EC2EA5"/>
    <w:rsid w:val="00ED3C1F"/>
    <w:rsid w:val="00ED57EA"/>
    <w:rsid w:val="00EE07D3"/>
    <w:rsid w:val="00EE1C1E"/>
    <w:rsid w:val="00EE22AF"/>
    <w:rsid w:val="00EE359C"/>
    <w:rsid w:val="00EE3873"/>
    <w:rsid w:val="00EE3F1E"/>
    <w:rsid w:val="00EE737B"/>
    <w:rsid w:val="00EF0171"/>
    <w:rsid w:val="00EF1B25"/>
    <w:rsid w:val="00EF1BC3"/>
    <w:rsid w:val="00EF2D6E"/>
    <w:rsid w:val="00EF4747"/>
    <w:rsid w:val="00EF4BF8"/>
    <w:rsid w:val="00EF58BE"/>
    <w:rsid w:val="00EF5DF7"/>
    <w:rsid w:val="00EF7A89"/>
    <w:rsid w:val="00F00B33"/>
    <w:rsid w:val="00F02253"/>
    <w:rsid w:val="00F03C2E"/>
    <w:rsid w:val="00F04A66"/>
    <w:rsid w:val="00F0510E"/>
    <w:rsid w:val="00F0516C"/>
    <w:rsid w:val="00F067A2"/>
    <w:rsid w:val="00F072CE"/>
    <w:rsid w:val="00F1263A"/>
    <w:rsid w:val="00F13628"/>
    <w:rsid w:val="00F14005"/>
    <w:rsid w:val="00F14138"/>
    <w:rsid w:val="00F1641D"/>
    <w:rsid w:val="00F17D43"/>
    <w:rsid w:val="00F23F72"/>
    <w:rsid w:val="00F24837"/>
    <w:rsid w:val="00F2575F"/>
    <w:rsid w:val="00F25F28"/>
    <w:rsid w:val="00F27565"/>
    <w:rsid w:val="00F27C79"/>
    <w:rsid w:val="00F30A2D"/>
    <w:rsid w:val="00F30C19"/>
    <w:rsid w:val="00F310D4"/>
    <w:rsid w:val="00F317EE"/>
    <w:rsid w:val="00F31D5A"/>
    <w:rsid w:val="00F31DCC"/>
    <w:rsid w:val="00F33DE9"/>
    <w:rsid w:val="00F34603"/>
    <w:rsid w:val="00F3619A"/>
    <w:rsid w:val="00F373FE"/>
    <w:rsid w:val="00F40AAA"/>
    <w:rsid w:val="00F40BA7"/>
    <w:rsid w:val="00F4261A"/>
    <w:rsid w:val="00F43E35"/>
    <w:rsid w:val="00F44B03"/>
    <w:rsid w:val="00F455C7"/>
    <w:rsid w:val="00F46CB6"/>
    <w:rsid w:val="00F47DE8"/>
    <w:rsid w:val="00F50F2F"/>
    <w:rsid w:val="00F513CE"/>
    <w:rsid w:val="00F52996"/>
    <w:rsid w:val="00F52B20"/>
    <w:rsid w:val="00F52E95"/>
    <w:rsid w:val="00F5300C"/>
    <w:rsid w:val="00F542C1"/>
    <w:rsid w:val="00F55E73"/>
    <w:rsid w:val="00F55EDA"/>
    <w:rsid w:val="00F5754D"/>
    <w:rsid w:val="00F60092"/>
    <w:rsid w:val="00F60A07"/>
    <w:rsid w:val="00F65F4B"/>
    <w:rsid w:val="00F70C9D"/>
    <w:rsid w:val="00F71206"/>
    <w:rsid w:val="00F71232"/>
    <w:rsid w:val="00F727E6"/>
    <w:rsid w:val="00F73FEF"/>
    <w:rsid w:val="00F74CD9"/>
    <w:rsid w:val="00F752F9"/>
    <w:rsid w:val="00F77605"/>
    <w:rsid w:val="00F8015E"/>
    <w:rsid w:val="00F80A7B"/>
    <w:rsid w:val="00F80E5D"/>
    <w:rsid w:val="00F851CE"/>
    <w:rsid w:val="00F87794"/>
    <w:rsid w:val="00F87AAF"/>
    <w:rsid w:val="00F91219"/>
    <w:rsid w:val="00F94760"/>
    <w:rsid w:val="00F94D69"/>
    <w:rsid w:val="00F95C89"/>
    <w:rsid w:val="00F96557"/>
    <w:rsid w:val="00F97A78"/>
    <w:rsid w:val="00F97C3C"/>
    <w:rsid w:val="00FA0B20"/>
    <w:rsid w:val="00FA125A"/>
    <w:rsid w:val="00FA17A0"/>
    <w:rsid w:val="00FA1E24"/>
    <w:rsid w:val="00FA24E7"/>
    <w:rsid w:val="00FA4F73"/>
    <w:rsid w:val="00FA5D45"/>
    <w:rsid w:val="00FA7E8A"/>
    <w:rsid w:val="00FB1CC1"/>
    <w:rsid w:val="00FB2045"/>
    <w:rsid w:val="00FB2FCB"/>
    <w:rsid w:val="00FB3AEE"/>
    <w:rsid w:val="00FC1074"/>
    <w:rsid w:val="00FC1884"/>
    <w:rsid w:val="00FC322E"/>
    <w:rsid w:val="00FC371D"/>
    <w:rsid w:val="00FC4B59"/>
    <w:rsid w:val="00FC4D6E"/>
    <w:rsid w:val="00FC58CC"/>
    <w:rsid w:val="00FC5BFB"/>
    <w:rsid w:val="00FC5F0B"/>
    <w:rsid w:val="00FC5F0C"/>
    <w:rsid w:val="00FD0D80"/>
    <w:rsid w:val="00FD2100"/>
    <w:rsid w:val="00FD436C"/>
    <w:rsid w:val="00FD446D"/>
    <w:rsid w:val="00FD6394"/>
    <w:rsid w:val="00FD6E99"/>
    <w:rsid w:val="00FE0E6C"/>
    <w:rsid w:val="00FE70C3"/>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FDE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link w:val="Heading1Char"/>
    <w:uiPriority w:val="9"/>
    <w:qFormat/>
    <w:rsid w:val="005B12FE"/>
    <w:pPr>
      <w:spacing w:before="0"/>
      <w:outlineLvl w:val="0"/>
    </w:pPr>
  </w:style>
  <w:style w:type="paragraph" w:styleId="Heading2">
    <w:name w:val="heading 2"/>
    <w:basedOn w:val="Normal"/>
    <w:next w:val="Normal"/>
    <w:link w:val="Heading2Char"/>
    <w:qFormat/>
    <w:rsid w:val="005B12FE"/>
    <w:pPr>
      <w:keepNext/>
      <w:spacing w:after="120"/>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12F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Calibri" w:hAnsi="Calibri" w:cs="Arial"/>
      <w:b/>
      <w:snapToGrid w:val="0"/>
      <w:szCs w:val="22"/>
      <w:lang w:eastAsia="en-US"/>
    </w:rPr>
  </w:style>
  <w:style w:type="character" w:customStyle="1" w:styleId="Heading8Char">
    <w:name w:val="Heading 8 Char"/>
    <w:basedOn w:val="DefaultParagraphFont"/>
    <w:link w:val="Heading8"/>
    <w:uiPriority w:val="99"/>
    <w:rsid w:val="00124A51"/>
    <w:rPr>
      <w:rFonts w:ascii="Calibri" w:hAnsi="Calibri" w:cs="Arial"/>
      <w:b/>
      <w:snapToGrid w:val="0"/>
      <w:sz w:val="24"/>
      <w:szCs w:val="22"/>
      <w:lang w:eastAsia="en-US"/>
    </w:rPr>
  </w:style>
  <w:style w:type="character" w:customStyle="1" w:styleId="Heading9Char">
    <w:name w:val="Heading 9 Char"/>
    <w:basedOn w:val="DefaultParagraphFont"/>
    <w:link w:val="Heading9"/>
    <w:uiPriority w:val="99"/>
    <w:rsid w:val="00124A51"/>
    <w:rPr>
      <w:rFonts w:ascii="Calibri" w:hAnsi="Calibri" w:cs="Arial"/>
      <w:b/>
      <w:snapToGrid w:val="0"/>
      <w:color w:val="000000"/>
      <w:szCs w:val="22"/>
      <w:lang w:eastAsia="en-US"/>
    </w:rPr>
  </w:style>
  <w:style w:type="paragraph" w:customStyle="1" w:styleId="TableFooter">
    <w:name w:val="Table Footer"/>
    <w:basedOn w:val="Normal"/>
    <w:link w:val="TableFooterChar"/>
    <w:uiPriority w:val="4"/>
    <w:qFormat/>
    <w:rsid w:val="00E2771E"/>
    <w:rPr>
      <w:rFonts w:ascii="Arial Narrow" w:hAnsi="Arial Narrow"/>
      <w:sz w:val="18"/>
    </w:rPr>
  </w:style>
  <w:style w:type="character" w:customStyle="1" w:styleId="TableFooterChar">
    <w:name w:val="Table Footer Char"/>
    <w:link w:val="TableFooter"/>
    <w:uiPriority w:val="4"/>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Caption Char1"/>
    <w:basedOn w:val="Normal"/>
    <w:next w:val="Normal"/>
    <w:link w:val="CaptionChar"/>
    <w:uiPriority w:val="35"/>
    <w:unhideWhenUsed/>
    <w:qFormat/>
    <w:rsid w:val="00B81D12"/>
    <w:rPr>
      <w:rFonts w:ascii="Arial Narrow" w:hAnsi="Arial Narrow"/>
      <w:b/>
      <w:bCs/>
      <w:sz w:val="20"/>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
    <w:link w:val="Caption"/>
    <w:uiPriority w:val="35"/>
    <w:rsid w:val="00B81D12"/>
    <w:rPr>
      <w:rFonts w:ascii="Arial Narrow" w:hAnsi="Arial Narrow" w:cs="Arial"/>
      <w:b/>
      <w:bCs/>
      <w:snapToGrid w:val="0"/>
      <w:szCs w:val="18"/>
      <w:lang w:eastAsia="en-US"/>
    </w:rPr>
  </w:style>
  <w:style w:type="paragraph" w:styleId="Title">
    <w:name w:val="Title"/>
    <w:basedOn w:val="Heading2"/>
    <w:next w:val="Normal"/>
    <w:link w:val="TitleChar"/>
    <w:qFormat/>
    <w:rsid w:val="004C0754"/>
    <w:pPr>
      <w:ind w:left="720" w:hanging="360"/>
    </w:pPr>
  </w:style>
  <w:style w:type="character" w:customStyle="1" w:styleId="TitleChar">
    <w:name w:val="Title Char"/>
    <w:basedOn w:val="DefaultParagraphFont"/>
    <w:link w:val="Title"/>
    <w:rsid w:val="004C0754"/>
    <w:rPr>
      <w:rFonts w:ascii="Calibri" w:hAnsi="Calibri" w:cs="Arial"/>
      <w:b/>
      <w:i/>
      <w:snapToGrid w:val="0"/>
      <w:sz w:val="28"/>
      <w:szCs w:val="22"/>
      <w:lang w:eastAsia="en-US"/>
    </w:rPr>
  </w:style>
  <w:style w:type="paragraph" w:styleId="BodyText">
    <w:name w:val="Body Text"/>
    <w:basedOn w:val="Normal"/>
    <w:link w:val="BodyTextChar"/>
    <w:uiPriority w:val="1"/>
    <w:qFormat/>
    <w:rsid w:val="004B3DDB"/>
    <w:pPr>
      <w:jc w:val="left"/>
    </w:pPr>
  </w:style>
  <w:style w:type="character" w:customStyle="1" w:styleId="BodyTextChar">
    <w:name w:val="Body Text Char"/>
    <w:basedOn w:val="DefaultParagraphFont"/>
    <w:link w:val="BodyText"/>
    <w:uiPriority w:val="1"/>
    <w:rsid w:val="004B3DDB"/>
    <w:rPr>
      <w:rFonts w:ascii="Arial" w:hAnsi="Arial" w:cs="Arial"/>
      <w:snapToGrid w:val="0"/>
      <w:sz w:val="22"/>
      <w:lang w:eastAsia="en-US"/>
    </w:rPr>
  </w:style>
  <w:style w:type="paragraph" w:styleId="ListParagraph">
    <w:name w:val="List Paragraph"/>
    <w:aliases w:val="Numbered para,BulletPoints,List Paragraph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A1183"/>
    <w:pPr>
      <w:keepNext/>
      <w:numPr>
        <w:numId w:val="1"/>
      </w:numPr>
      <w:snapToGrid w:val="0"/>
      <w:spacing w:before="12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table" w:customStyle="1" w:styleId="Submissionstandard">
    <w:name w:val="Submission standard"/>
    <w:basedOn w:val="TableNormal"/>
    <w:uiPriority w:val="99"/>
    <w:qFormat/>
    <w:rsid w:val="00A54447"/>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paragraph" w:customStyle="1" w:styleId="TableLeft">
    <w:name w:val="Table Left"/>
    <w:basedOn w:val="Normal"/>
    <w:link w:val="TableLeftChar"/>
    <w:uiPriority w:val="99"/>
    <w:qFormat/>
    <w:rsid w:val="00A54447"/>
    <w:pPr>
      <w:widowControl/>
      <w:jc w:val="left"/>
    </w:pPr>
    <w:rPr>
      <w:rFonts w:eastAsiaTheme="majorEastAsia" w:cstheme="majorBidi"/>
      <w:snapToGrid/>
      <w:sz w:val="18"/>
      <w:lang w:bidi="en-US"/>
    </w:rPr>
  </w:style>
  <w:style w:type="character" w:customStyle="1" w:styleId="TableLeftChar">
    <w:name w:val="Table Left Char"/>
    <w:basedOn w:val="DefaultParagraphFont"/>
    <w:link w:val="TableLeft"/>
    <w:uiPriority w:val="99"/>
    <w:locked/>
    <w:rsid w:val="00A54447"/>
    <w:rPr>
      <w:rFonts w:ascii="Calibri" w:eastAsiaTheme="majorEastAsia" w:hAnsi="Calibri" w:cstheme="majorBidi"/>
      <w:sz w:val="18"/>
      <w:szCs w:val="22"/>
      <w:lang w:eastAsia="en-US" w:bidi="en-US"/>
    </w:rPr>
  </w:style>
  <w:style w:type="paragraph" w:customStyle="1" w:styleId="TableBullets">
    <w:name w:val="Table Bullets"/>
    <w:basedOn w:val="TableLeft"/>
    <w:uiPriority w:val="5"/>
    <w:qFormat/>
    <w:rsid w:val="00A54447"/>
    <w:pPr>
      <w:numPr>
        <w:numId w:val="3"/>
      </w:numPr>
      <w:ind w:left="170" w:hanging="170"/>
    </w:pPr>
  </w:style>
  <w:style w:type="character" w:customStyle="1" w:styleId="SmallItalics">
    <w:name w:val="Small Italics"/>
    <w:basedOn w:val="DefaultParagraphFont"/>
    <w:uiPriority w:val="4"/>
    <w:qFormat/>
    <w:rsid w:val="00A54447"/>
    <w:rPr>
      <w:rFonts w:ascii="Calibri" w:hAnsi="Calibri"/>
      <w:i/>
      <w:sz w:val="20"/>
    </w:rPr>
  </w:style>
  <w:style w:type="paragraph" w:styleId="FootnoteText">
    <w:name w:val="footnote text"/>
    <w:basedOn w:val="Normal"/>
    <w:link w:val="FootnoteTextChar"/>
    <w:uiPriority w:val="99"/>
    <w:unhideWhenUsed/>
    <w:qFormat/>
    <w:rsid w:val="00BC6E34"/>
    <w:rPr>
      <w:sz w:val="20"/>
      <w:szCs w:val="20"/>
    </w:rPr>
  </w:style>
  <w:style w:type="character" w:customStyle="1" w:styleId="FootnoteTextChar">
    <w:name w:val="Footnote Text Char"/>
    <w:basedOn w:val="DefaultParagraphFont"/>
    <w:link w:val="FootnoteText"/>
    <w:uiPriority w:val="99"/>
    <w:rsid w:val="00BC6E34"/>
    <w:rPr>
      <w:rFonts w:ascii="Calibri" w:hAnsi="Calibri" w:cs="Arial"/>
      <w:snapToGrid w:val="0"/>
      <w:lang w:eastAsia="en-US"/>
    </w:rPr>
  </w:style>
  <w:style w:type="character" w:styleId="FootnoteReference">
    <w:name w:val="footnote reference"/>
    <w:basedOn w:val="DefaultParagraphFont"/>
    <w:unhideWhenUsed/>
    <w:rsid w:val="00BC6E34"/>
    <w:rPr>
      <w:vertAlign w:val="superscript"/>
    </w:rPr>
  </w:style>
  <w:style w:type="character" w:customStyle="1" w:styleId="CaptionFootnoteChar">
    <w:name w:val="Caption Footnote Char"/>
    <w:basedOn w:val="DefaultParagraphFont"/>
    <w:link w:val="CaptionFootnote"/>
    <w:rsid w:val="00E83E68"/>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E83E68"/>
    <w:pPr>
      <w:widowControl/>
      <w:jc w:val="left"/>
    </w:pPr>
    <w:rPr>
      <w:rFonts w:asciiTheme="minorHAnsi" w:hAnsiTheme="minorHAnsi" w:cs="Times New Roman"/>
      <w:snapToGrid/>
      <w:kern w:val="28"/>
      <w:sz w:val="16"/>
      <w:szCs w:val="24"/>
      <w:lang w:eastAsia="en-GB"/>
    </w:rPr>
  </w:style>
  <w:style w:type="table" w:customStyle="1" w:styleId="TableGrid1">
    <w:name w:val="Table Grid1"/>
    <w:basedOn w:val="TableNormal"/>
    <w:next w:val="TableGrid"/>
    <w:uiPriority w:val="59"/>
    <w:rsid w:val="00E83E68"/>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DefaultParagraphFont"/>
    <w:uiPriority w:val="1"/>
    <w:qFormat/>
    <w:rsid w:val="00E83E68"/>
    <w:rPr>
      <w:rFonts w:ascii="Calibri" w:hAnsi="Calibri"/>
      <w:sz w:val="20"/>
      <w:bdr w:val="none" w:sz="0" w:space="0" w:color="auto"/>
      <w:shd w:val="clear" w:color="auto" w:fill="FFFF00"/>
    </w:rPr>
  </w:style>
  <w:style w:type="paragraph" w:customStyle="1" w:styleId="TableText0">
    <w:name w:val="Table Text"/>
    <w:basedOn w:val="BodyText"/>
    <w:next w:val="BodyText"/>
    <w:link w:val="TableTextChar0"/>
    <w:qFormat/>
    <w:rsid w:val="00DC5B78"/>
    <w:pPr>
      <w:widowControl/>
      <w:spacing w:before="40" w:after="40"/>
    </w:pPr>
    <w:rPr>
      <w:rFonts w:cs="Times New Roman"/>
      <w:snapToGrid/>
      <w:sz w:val="18"/>
      <w:szCs w:val="18"/>
    </w:rPr>
  </w:style>
  <w:style w:type="character" w:customStyle="1" w:styleId="Small">
    <w:name w:val="Small"/>
    <w:basedOn w:val="DefaultParagraphFont"/>
    <w:uiPriority w:val="4"/>
    <w:qFormat/>
    <w:rsid w:val="00D11BA0"/>
    <w:rPr>
      <w:rFonts w:ascii="Calibri" w:hAnsi="Calibri"/>
      <w:sz w:val="18"/>
    </w:rPr>
  </w:style>
  <w:style w:type="character" w:customStyle="1" w:styleId="SmallBold">
    <w:name w:val="Small Bold"/>
    <w:basedOn w:val="Small"/>
    <w:uiPriority w:val="4"/>
    <w:qFormat/>
    <w:rsid w:val="00D11BA0"/>
    <w:rPr>
      <w:rFonts w:ascii="Calibri" w:hAnsi="Calibri"/>
      <w:b/>
      <w:sz w:val="20"/>
      <w:lang w:val="en-AU"/>
    </w:rPr>
  </w:style>
  <w:style w:type="table" w:customStyle="1" w:styleId="TableGrid11">
    <w:name w:val="Table Grid11"/>
    <w:basedOn w:val="TableNormal"/>
    <w:next w:val="TableGrid"/>
    <w:uiPriority w:val="59"/>
    <w:rsid w:val="00900876"/>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900876"/>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
    <w:name w:val="Table title"/>
    <w:basedOn w:val="Heading4"/>
    <w:link w:val="TabletitleChar"/>
    <w:qFormat/>
    <w:rsid w:val="00724E9C"/>
    <w:pPr>
      <w:keepNext w:val="0"/>
      <w:widowControl/>
      <w:spacing w:after="20"/>
      <w:jc w:val="left"/>
    </w:pPr>
    <w:rPr>
      <w:rFonts w:asciiTheme="minorHAnsi" w:eastAsiaTheme="minorEastAsia" w:hAnsiTheme="minorHAnsi" w:cstheme="minorBidi"/>
      <w:bCs w:val="0"/>
      <w:i w:val="0"/>
      <w:snapToGrid/>
      <w:sz w:val="24"/>
      <w:szCs w:val="24"/>
      <w:lang w:eastAsia="en-AU"/>
    </w:rPr>
  </w:style>
  <w:style w:type="character" w:customStyle="1" w:styleId="TabletitleChar">
    <w:name w:val="Table title Char"/>
    <w:basedOn w:val="DefaultParagraphFont"/>
    <w:link w:val="Tabletitle"/>
    <w:rsid w:val="00724E9C"/>
    <w:rPr>
      <w:rFonts w:asciiTheme="minorHAnsi" w:eastAsiaTheme="minorEastAsia" w:hAnsiTheme="minorHAnsi" w:cstheme="minorBidi"/>
      <w:b/>
      <w:sz w:val="24"/>
      <w:szCs w:val="24"/>
    </w:rPr>
  </w:style>
  <w:style w:type="character" w:customStyle="1" w:styleId="Heading3Char">
    <w:name w:val="Heading 3 Char"/>
    <w:basedOn w:val="DefaultParagraphFont"/>
    <w:link w:val="Heading3"/>
    <w:rsid w:val="00675180"/>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675180"/>
    <w:rPr>
      <w:rFonts w:ascii="Calibri" w:hAnsi="Calibri" w:cs="Arial"/>
      <w:b/>
      <w:bCs/>
      <w:i/>
      <w:snapToGrid w:val="0"/>
      <w:sz w:val="26"/>
      <w:szCs w:val="28"/>
      <w:lang w:eastAsia="en-US"/>
    </w:rPr>
  </w:style>
  <w:style w:type="paragraph" w:customStyle="1" w:styleId="TableCentre">
    <w:name w:val="Table Centre"/>
    <w:basedOn w:val="Normal"/>
    <w:qFormat/>
    <w:rsid w:val="003D7F91"/>
    <w:pPr>
      <w:widowControl/>
      <w:jc w:val="center"/>
    </w:pPr>
    <w:rPr>
      <w:rFonts w:eastAsiaTheme="majorEastAsia" w:cstheme="majorBidi"/>
      <w:snapToGrid/>
      <w:sz w:val="18"/>
      <w:lang w:bidi="en-US"/>
    </w:rPr>
  </w:style>
  <w:style w:type="table" w:customStyle="1" w:styleId="TableGrid13">
    <w:name w:val="Table Grid13"/>
    <w:basedOn w:val="TableNormal"/>
    <w:next w:val="TableGrid"/>
    <w:uiPriority w:val="59"/>
    <w:rsid w:val="007331CB"/>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942630"/>
    <w:pPr>
      <w:widowControl/>
    </w:pPr>
    <w:rPr>
      <w:rFonts w:eastAsiaTheme="majorEastAsia" w:cstheme="majorBidi"/>
      <w:snapToGrid/>
      <w:sz w:val="20"/>
      <w:szCs w:val="20"/>
      <w:lang w:bidi="en-US"/>
    </w:rPr>
  </w:style>
  <w:style w:type="character" w:customStyle="1" w:styleId="EndnoteTextChar">
    <w:name w:val="Endnote Text Char"/>
    <w:basedOn w:val="DefaultParagraphFont"/>
    <w:link w:val="EndnoteText"/>
    <w:uiPriority w:val="99"/>
    <w:semiHidden/>
    <w:rsid w:val="00942630"/>
    <w:rPr>
      <w:rFonts w:ascii="Calibri" w:eastAsiaTheme="majorEastAsia" w:hAnsi="Calibri" w:cstheme="majorBidi"/>
      <w:lang w:eastAsia="en-US" w:bidi="en-US"/>
    </w:rPr>
  </w:style>
  <w:style w:type="character" w:styleId="IntenseEmphasis">
    <w:name w:val="Intense Emphasis"/>
    <w:uiPriority w:val="21"/>
    <w:qFormat/>
    <w:rsid w:val="004C4D9D"/>
    <w:rPr>
      <w:b/>
      <w:bCs/>
      <w:i/>
      <w:iCs/>
    </w:rPr>
  </w:style>
  <w:style w:type="paragraph" w:customStyle="1" w:styleId="TableRight">
    <w:name w:val="Table Right"/>
    <w:basedOn w:val="Normal"/>
    <w:uiPriority w:val="5"/>
    <w:qFormat/>
    <w:rsid w:val="004C4D9D"/>
    <w:pPr>
      <w:widowControl/>
      <w:jc w:val="right"/>
    </w:pPr>
    <w:rPr>
      <w:rFonts w:ascii="Arial Narrow" w:eastAsiaTheme="majorEastAsia" w:hAnsi="Arial Narrow" w:cstheme="majorBidi"/>
      <w:snapToGrid/>
      <w:sz w:val="20"/>
      <w:lang w:bidi="en-US"/>
    </w:rPr>
  </w:style>
  <w:style w:type="table" w:customStyle="1" w:styleId="Submissionstandard1">
    <w:name w:val="Submission standard1"/>
    <w:basedOn w:val="TableNormal"/>
    <w:uiPriority w:val="99"/>
    <w:qFormat/>
    <w:rsid w:val="000624D0"/>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Narrow" w:hAnsi="Arial Narrow"/>
        <w:b/>
        <w:sz w:val="20"/>
      </w:rPr>
      <w:tblPr/>
      <w:tcPr>
        <w:shd w:val="clear" w:color="auto" w:fill="BFBFBF"/>
      </w:tcPr>
    </w:tblStylePr>
  </w:style>
  <w:style w:type="table" w:customStyle="1" w:styleId="Submissionstandard2">
    <w:name w:val="Submission standard2"/>
    <w:basedOn w:val="TableNormal"/>
    <w:uiPriority w:val="99"/>
    <w:qFormat/>
    <w:rsid w:val="00C26A2F"/>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Narrow" w:hAnsi="Arial Narrow"/>
        <w:b/>
        <w:sz w:val="20"/>
      </w:rPr>
      <w:tblPr/>
      <w:tcPr>
        <w:shd w:val="clear" w:color="auto" w:fill="BFBFBF"/>
      </w:tcPr>
    </w:tblStylePr>
  </w:style>
  <w:style w:type="character" w:customStyle="1" w:styleId="Heading1Char">
    <w:name w:val="Heading 1 Char"/>
    <w:basedOn w:val="DefaultParagraphFont"/>
    <w:link w:val="Heading1"/>
    <w:uiPriority w:val="9"/>
    <w:rsid w:val="005B12FE"/>
    <w:rPr>
      <w:rFonts w:ascii="Calibri" w:hAnsi="Calibri" w:cs="Arial"/>
      <w:b/>
      <w:snapToGrid w:val="0"/>
      <w:sz w:val="32"/>
      <w:szCs w:val="22"/>
      <w:lang w:eastAsia="en-US"/>
    </w:rPr>
  </w:style>
  <w:style w:type="character" w:customStyle="1" w:styleId="TableTextChar0">
    <w:name w:val="Table Text Char"/>
    <w:link w:val="TableText0"/>
    <w:rsid w:val="00B07ECE"/>
    <w:rPr>
      <w:rFonts w:ascii="Calibri" w:hAnsi="Calibri"/>
      <w:sz w:val="18"/>
      <w:szCs w:val="18"/>
      <w:lang w:eastAsia="en-US"/>
    </w:rPr>
  </w:style>
  <w:style w:type="character" w:customStyle="1" w:styleId="Heading5Char">
    <w:name w:val="Heading 5 Char"/>
    <w:basedOn w:val="DefaultParagraphFont"/>
    <w:link w:val="Heading5"/>
    <w:rsid w:val="00390833"/>
    <w:rPr>
      <w:rFonts w:ascii="Calibri" w:hAnsi="Calibri" w:cs="Arial"/>
      <w:b/>
      <w:bCs/>
      <w:iCs/>
      <w:snapToGrid w:val="0"/>
      <w:sz w:val="26"/>
      <w:szCs w:val="26"/>
      <w:lang w:eastAsia="en-US"/>
    </w:rPr>
  </w:style>
  <w:style w:type="character" w:customStyle="1" w:styleId="Heading6Char">
    <w:name w:val="Heading 6 Char"/>
    <w:basedOn w:val="DefaultParagraphFont"/>
    <w:link w:val="Heading6"/>
    <w:uiPriority w:val="9"/>
    <w:rsid w:val="00390833"/>
    <w:rPr>
      <w:rFonts w:ascii="Calibri" w:hAnsi="Calibri" w:cs="Arial"/>
      <w:b/>
      <w:bCs/>
      <w:i/>
      <w:snapToGrid w:val="0"/>
      <w:sz w:val="24"/>
      <w:szCs w:val="22"/>
      <w:lang w:eastAsia="en-US"/>
    </w:rPr>
  </w:style>
  <w:style w:type="character" w:customStyle="1" w:styleId="HeaderChar1">
    <w:name w:val="Header Char1"/>
    <w:aliases w:val="Page Header Char1,Header title Char1,he=header Char1,cntr/bld Char1"/>
    <w:basedOn w:val="DefaultParagraphFont"/>
    <w:uiPriority w:val="99"/>
    <w:semiHidden/>
    <w:rsid w:val="00390833"/>
    <w:rPr>
      <w:rFonts w:ascii="Calibri" w:hAnsi="Calibri" w:cs="Arial"/>
      <w:sz w:val="24"/>
      <w:szCs w:val="22"/>
      <w:lang w:eastAsia="en-US"/>
    </w:rPr>
  </w:style>
  <w:style w:type="paragraph" w:customStyle="1" w:styleId="TableHeading0">
    <w:name w:val="Table Heading"/>
    <w:basedOn w:val="Normal"/>
    <w:link w:val="TableHeadingChar"/>
    <w:qFormat/>
    <w:rsid w:val="00675307"/>
    <w:pPr>
      <w:keepNext/>
      <w:widowControl/>
    </w:pPr>
    <w:rPr>
      <w:rFonts w:ascii="Arial Narrow" w:eastAsiaTheme="minorHAnsi" w:hAnsi="Arial Narrow" w:cstheme="minorBidi"/>
      <w:b/>
      <w:snapToGrid/>
      <w:sz w:val="20"/>
    </w:rPr>
  </w:style>
  <w:style w:type="table" w:customStyle="1" w:styleId="Summarybox1">
    <w:name w:val="Summary box1"/>
    <w:basedOn w:val="TableNormal"/>
    <w:rsid w:val="0039083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Row">
    <w:name w:val="TableHeadingRow"/>
    <w:basedOn w:val="Normal"/>
    <w:uiPriority w:val="3"/>
    <w:qFormat/>
    <w:rsid w:val="008B4BD2"/>
    <w:pPr>
      <w:keepNext/>
      <w:widowControl/>
      <w:spacing w:before="20" w:after="20"/>
    </w:pPr>
    <w:rPr>
      <w:rFonts w:cstheme="minorHAnsi"/>
      <w:b/>
      <w:snapToGrid/>
      <w:sz w:val="20"/>
      <w:szCs w:val="20"/>
    </w:rPr>
  </w:style>
  <w:style w:type="character" w:customStyle="1" w:styleId="spellingerror">
    <w:name w:val="spellingerror"/>
    <w:basedOn w:val="DefaultParagraphFont"/>
    <w:rsid w:val="008B4BD2"/>
  </w:style>
  <w:style w:type="character" w:customStyle="1" w:styleId="normaltextrun">
    <w:name w:val="normaltextrun"/>
    <w:basedOn w:val="DefaultParagraphFont"/>
    <w:rsid w:val="008B4BD2"/>
  </w:style>
  <w:style w:type="character" w:customStyle="1" w:styleId="eop">
    <w:name w:val="eop"/>
    <w:basedOn w:val="DefaultParagraphFont"/>
    <w:rsid w:val="008B4BD2"/>
  </w:style>
  <w:style w:type="table" w:customStyle="1" w:styleId="Summarybox3">
    <w:name w:val="Summary box3"/>
    <w:basedOn w:val="TableNormal"/>
    <w:next w:val="TableGrid"/>
    <w:uiPriority w:val="59"/>
    <w:rsid w:val="008B4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Bold">
    <w:name w:val="Font Bold"/>
    <w:basedOn w:val="DefaultParagraphFont"/>
    <w:uiPriority w:val="1"/>
    <w:qFormat/>
    <w:rsid w:val="00E027EC"/>
    <w:rPr>
      <w:rFonts w:ascii="Sabon" w:hAnsi="Sabon"/>
      <w:b/>
      <w:sz w:val="22"/>
    </w:rPr>
  </w:style>
  <w:style w:type="character" w:customStyle="1" w:styleId="FontItalics">
    <w:name w:val="Font Italics"/>
    <w:basedOn w:val="DefaultParagraphFont"/>
    <w:uiPriority w:val="1"/>
    <w:qFormat/>
    <w:rsid w:val="00E027EC"/>
    <w:rPr>
      <w:rFonts w:ascii="Sabon" w:hAnsi="Sabon"/>
      <w:i/>
      <w:sz w:val="22"/>
    </w:rPr>
  </w:style>
  <w:style w:type="paragraph" w:customStyle="1" w:styleId="HeadingX">
    <w:name w:val="Heading X"/>
    <w:basedOn w:val="Heading1"/>
    <w:link w:val="HeadingXChar"/>
    <w:qFormat/>
    <w:rsid w:val="00E027EC"/>
    <w:pPr>
      <w:pageBreakBefore/>
      <w:numPr>
        <w:numId w:val="0"/>
      </w:numPr>
      <w:spacing w:after="240" w:line="276" w:lineRule="auto"/>
      <w:contextualSpacing/>
    </w:pPr>
    <w:rPr>
      <w:rFonts w:eastAsiaTheme="majorEastAsia" w:cstheme="majorBidi"/>
      <w:caps/>
      <w:snapToGrid/>
      <w:spacing w:val="5"/>
      <w:szCs w:val="36"/>
      <w:lang w:bidi="en-US"/>
    </w:rPr>
  </w:style>
  <w:style w:type="character" w:customStyle="1" w:styleId="HeadingXChar">
    <w:name w:val="Heading X Char"/>
    <w:basedOn w:val="Heading1Char"/>
    <w:link w:val="HeadingX"/>
    <w:rsid w:val="00E027EC"/>
    <w:rPr>
      <w:rFonts w:ascii="Calibri" w:eastAsiaTheme="majorEastAsia" w:hAnsi="Calibri" w:cstheme="majorBidi"/>
      <w:b/>
      <w:i w:val="0"/>
      <w:caps/>
      <w:snapToGrid/>
      <w:spacing w:val="5"/>
      <w:sz w:val="32"/>
      <w:szCs w:val="36"/>
      <w:lang w:eastAsia="en-US" w:bidi="en-US"/>
    </w:rPr>
  </w:style>
  <w:style w:type="character" w:customStyle="1" w:styleId="FontHighlight">
    <w:name w:val="Font Highlight"/>
    <w:basedOn w:val="DefaultParagraphFont"/>
    <w:uiPriority w:val="2"/>
    <w:qFormat/>
    <w:rsid w:val="00E027EC"/>
    <w:rPr>
      <w:rFonts w:ascii="Calibri" w:hAnsi="Calibri"/>
      <w:sz w:val="22"/>
      <w:bdr w:val="none" w:sz="0" w:space="0" w:color="auto"/>
      <w:shd w:val="clear" w:color="auto" w:fill="FFFF00"/>
    </w:rPr>
  </w:style>
  <w:style w:type="character" w:styleId="Strong">
    <w:name w:val="Strong"/>
    <w:uiPriority w:val="22"/>
    <w:qFormat/>
    <w:rsid w:val="00E027EC"/>
    <w:rPr>
      <w:b/>
      <w:bCs/>
    </w:rPr>
  </w:style>
  <w:style w:type="character" w:styleId="Emphasis">
    <w:name w:val="Emphasis"/>
    <w:uiPriority w:val="20"/>
    <w:qFormat/>
    <w:rsid w:val="00E027EC"/>
    <w:rPr>
      <w:b/>
      <w:bCs/>
      <w:i/>
      <w:iCs/>
      <w:spacing w:val="10"/>
    </w:rPr>
  </w:style>
  <w:style w:type="character" w:customStyle="1" w:styleId="FontSuperscript">
    <w:name w:val="Font Superscript"/>
    <w:basedOn w:val="DefaultParagraphFont"/>
    <w:uiPriority w:val="1"/>
    <w:qFormat/>
    <w:rsid w:val="00E027EC"/>
    <w:rPr>
      <w:rFonts w:ascii="Sabon" w:hAnsi="Sabon"/>
      <w:sz w:val="22"/>
      <w:vertAlign w:val="superscript"/>
    </w:rPr>
  </w:style>
  <w:style w:type="character" w:customStyle="1" w:styleId="FontSubscript">
    <w:name w:val="Font Subscript"/>
    <w:basedOn w:val="DefaultParagraphFont"/>
    <w:uiPriority w:val="1"/>
    <w:qFormat/>
    <w:rsid w:val="00E027EC"/>
    <w:rPr>
      <w:rFonts w:ascii="Sabon" w:hAnsi="Sabon"/>
      <w:sz w:val="22"/>
      <w:vertAlign w:val="subscript"/>
    </w:rPr>
  </w:style>
  <w:style w:type="character" w:styleId="SubtleEmphasis">
    <w:name w:val="Subtle Emphasis"/>
    <w:uiPriority w:val="19"/>
    <w:qFormat/>
    <w:rsid w:val="00E027EC"/>
    <w:rPr>
      <w:i/>
      <w:iCs/>
    </w:rPr>
  </w:style>
  <w:style w:type="character" w:styleId="SubtleReference">
    <w:name w:val="Subtle Reference"/>
    <w:basedOn w:val="DefaultParagraphFont"/>
    <w:uiPriority w:val="31"/>
    <w:qFormat/>
    <w:rsid w:val="00E027EC"/>
    <w:rPr>
      <w:smallCaps/>
    </w:rPr>
  </w:style>
  <w:style w:type="character" w:styleId="IntenseReference">
    <w:name w:val="Intense Reference"/>
    <w:uiPriority w:val="32"/>
    <w:rsid w:val="00E027EC"/>
    <w:rPr>
      <w:b/>
      <w:bCs/>
      <w:smallCaps/>
    </w:rPr>
  </w:style>
  <w:style w:type="character" w:styleId="BookTitle">
    <w:name w:val="Book Title"/>
    <w:basedOn w:val="DefaultParagraphFont"/>
    <w:uiPriority w:val="33"/>
    <w:qFormat/>
    <w:rsid w:val="00E027EC"/>
    <w:rPr>
      <w:i/>
      <w:iCs/>
      <w:smallCaps/>
      <w:spacing w:val="5"/>
    </w:rPr>
  </w:style>
  <w:style w:type="character" w:customStyle="1" w:styleId="Font">
    <w:name w:val="Font"/>
    <w:basedOn w:val="DefaultParagraphFont"/>
    <w:uiPriority w:val="1"/>
    <w:qFormat/>
    <w:rsid w:val="00E027EC"/>
    <w:rPr>
      <w:rFonts w:ascii="Sabon" w:hAnsi="Sabon"/>
      <w:sz w:val="22"/>
    </w:rPr>
  </w:style>
  <w:style w:type="paragraph" w:customStyle="1" w:styleId="NormalBullets">
    <w:name w:val="Normal Bullets"/>
    <w:basedOn w:val="Normal"/>
    <w:uiPriority w:val="3"/>
    <w:qFormat/>
    <w:rsid w:val="00E027EC"/>
    <w:pPr>
      <w:widowControl/>
      <w:numPr>
        <w:numId w:val="7"/>
      </w:numPr>
      <w:spacing w:after="240" w:line="276" w:lineRule="auto"/>
      <w:ind w:left="357" w:hanging="357"/>
      <w:contextualSpacing/>
    </w:pPr>
    <w:rPr>
      <w:rFonts w:eastAsiaTheme="majorEastAsia" w:cstheme="majorBidi"/>
      <w:snapToGrid/>
      <w:sz w:val="22"/>
      <w:lang w:bidi="en-US"/>
    </w:rPr>
  </w:style>
  <w:style w:type="paragraph" w:customStyle="1" w:styleId="NumberedList">
    <w:name w:val="Numbered List"/>
    <w:basedOn w:val="Normal"/>
    <w:uiPriority w:val="3"/>
    <w:qFormat/>
    <w:rsid w:val="00E027EC"/>
    <w:pPr>
      <w:widowControl/>
      <w:numPr>
        <w:numId w:val="8"/>
      </w:numPr>
      <w:spacing w:after="240" w:line="276" w:lineRule="auto"/>
      <w:ind w:left="357" w:hanging="357"/>
      <w:contextualSpacing/>
    </w:pPr>
    <w:rPr>
      <w:rFonts w:eastAsiaTheme="majorEastAsia" w:cstheme="majorBidi"/>
      <w:snapToGrid/>
      <w:sz w:val="22"/>
      <w:lang w:bidi="en-US"/>
    </w:rPr>
  </w:style>
  <w:style w:type="paragraph" w:customStyle="1" w:styleId="NormalLetters">
    <w:name w:val="Normal Letters"/>
    <w:basedOn w:val="Normal"/>
    <w:uiPriority w:val="3"/>
    <w:qFormat/>
    <w:rsid w:val="00E027EC"/>
    <w:pPr>
      <w:widowControl/>
      <w:numPr>
        <w:numId w:val="9"/>
      </w:numPr>
      <w:spacing w:after="240" w:line="276" w:lineRule="auto"/>
      <w:ind w:left="357" w:hanging="357"/>
      <w:contextualSpacing/>
    </w:pPr>
    <w:rPr>
      <w:rFonts w:eastAsiaTheme="majorEastAsia" w:cstheme="majorBidi"/>
      <w:snapToGrid/>
      <w:sz w:val="22"/>
      <w:lang w:bidi="en-US"/>
    </w:rPr>
  </w:style>
  <w:style w:type="table" w:styleId="MediumList2-Accent6">
    <w:name w:val="Medium List 2 Accent 6"/>
    <w:basedOn w:val="TableNormal"/>
    <w:uiPriority w:val="66"/>
    <w:rsid w:val="00E027EC"/>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5">
    <w:name w:val="Medium Grid 3 Accent 5"/>
    <w:basedOn w:val="TableNormal"/>
    <w:uiPriority w:val="69"/>
    <w:rsid w:val="00E027EC"/>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5">
    <w:name w:val="Light Grid Accent 5"/>
    <w:basedOn w:val="TableNormal"/>
    <w:uiPriority w:val="62"/>
    <w:rsid w:val="00E027EC"/>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6">
    <w:name w:val="Light List Accent 6"/>
    <w:basedOn w:val="TableNormal"/>
    <w:uiPriority w:val="61"/>
    <w:rsid w:val="00E027EC"/>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FrontPage1">
    <w:name w:val="Front Page 1"/>
    <w:basedOn w:val="Normal"/>
    <w:next w:val="Normal"/>
    <w:link w:val="FrontPage1Char"/>
    <w:uiPriority w:val="10"/>
    <w:qFormat/>
    <w:rsid w:val="00E027EC"/>
    <w:pPr>
      <w:widowControl/>
      <w:spacing w:after="200" w:line="276" w:lineRule="auto"/>
      <w:jc w:val="center"/>
    </w:pPr>
    <w:rPr>
      <w:rFonts w:eastAsiaTheme="majorEastAsia" w:cstheme="majorBidi"/>
      <w:b/>
      <w:snapToGrid/>
      <w:sz w:val="48"/>
      <w:lang w:bidi="en-US"/>
    </w:rPr>
  </w:style>
  <w:style w:type="character" w:customStyle="1" w:styleId="FrontPage1Char">
    <w:name w:val="Front Page 1 Char"/>
    <w:basedOn w:val="DefaultParagraphFont"/>
    <w:link w:val="FrontPage1"/>
    <w:uiPriority w:val="10"/>
    <w:rsid w:val="00E027EC"/>
    <w:rPr>
      <w:rFonts w:ascii="Calibri" w:eastAsiaTheme="majorEastAsia" w:hAnsi="Calibri" w:cstheme="majorBidi"/>
      <w:b/>
      <w:sz w:val="48"/>
      <w:szCs w:val="22"/>
      <w:lang w:eastAsia="en-US" w:bidi="en-US"/>
    </w:rPr>
  </w:style>
  <w:style w:type="paragraph" w:customStyle="1" w:styleId="FrontPage2">
    <w:name w:val="Front Page 2"/>
    <w:basedOn w:val="FrontPage1"/>
    <w:link w:val="FrontPage2Char"/>
    <w:uiPriority w:val="10"/>
    <w:qFormat/>
    <w:rsid w:val="00E027EC"/>
  </w:style>
  <w:style w:type="character" w:customStyle="1" w:styleId="FrontPage2Char">
    <w:name w:val="Front Page 2 Char"/>
    <w:basedOn w:val="FrontPage1Char"/>
    <w:link w:val="FrontPage2"/>
    <w:uiPriority w:val="10"/>
    <w:rsid w:val="00E027EC"/>
    <w:rPr>
      <w:rFonts w:ascii="Calibri" w:eastAsiaTheme="majorEastAsia" w:hAnsi="Calibri" w:cstheme="majorBidi"/>
      <w:b/>
      <w:sz w:val="48"/>
      <w:szCs w:val="22"/>
      <w:lang w:eastAsia="en-US" w:bidi="en-US"/>
    </w:rPr>
  </w:style>
  <w:style w:type="paragraph" w:customStyle="1" w:styleId="FrontPage3">
    <w:name w:val="Front Page 3"/>
    <w:basedOn w:val="FrontPage2"/>
    <w:link w:val="FrontPage3Char"/>
    <w:uiPriority w:val="10"/>
    <w:qFormat/>
    <w:rsid w:val="00E027EC"/>
  </w:style>
  <w:style w:type="character" w:customStyle="1" w:styleId="FrontPage3Char">
    <w:name w:val="Front Page 3 Char"/>
    <w:basedOn w:val="FrontPage2Char"/>
    <w:link w:val="FrontPage3"/>
    <w:uiPriority w:val="10"/>
    <w:rsid w:val="00E027EC"/>
    <w:rPr>
      <w:rFonts w:ascii="Calibri" w:eastAsiaTheme="majorEastAsia" w:hAnsi="Calibri" w:cstheme="majorBidi"/>
      <w:b/>
      <w:sz w:val="48"/>
      <w:szCs w:val="22"/>
      <w:lang w:eastAsia="en-US" w:bidi="en-US"/>
    </w:rPr>
  </w:style>
  <w:style w:type="table" w:styleId="TableGrid10">
    <w:name w:val="Table Grid 1"/>
    <w:basedOn w:val="TableNormal"/>
    <w:uiPriority w:val="99"/>
    <w:semiHidden/>
    <w:unhideWhenUsed/>
    <w:rsid w:val="00E027EC"/>
    <w:pPr>
      <w:spacing w:after="200" w:line="276" w:lineRule="auto"/>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Shading-Accent2">
    <w:name w:val="Light Shading Accent 2"/>
    <w:basedOn w:val="TableNormal"/>
    <w:uiPriority w:val="60"/>
    <w:rsid w:val="00E027EC"/>
    <w:rPr>
      <w:rFonts w:asciiTheme="majorHAnsi" w:eastAsiaTheme="majorEastAsia" w:hAnsiTheme="majorHAnsi" w:cstheme="majorBidi"/>
      <w:color w:val="943634" w:themeColor="accent2" w:themeShade="BF"/>
      <w:sz w:val="22"/>
      <w:szCs w:val="22"/>
      <w:lang w:val="en-US" w:eastAsia="en-US" w:bidi="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027EC"/>
    <w:rPr>
      <w:rFonts w:asciiTheme="majorHAnsi" w:eastAsiaTheme="majorEastAsia" w:hAnsiTheme="majorHAnsi" w:cstheme="majorBidi"/>
      <w:color w:val="76923C" w:themeColor="accent3" w:themeShade="BF"/>
      <w:sz w:val="22"/>
      <w:szCs w:val="22"/>
      <w:lang w:val="en-US" w:eastAsia="en-US" w:bidi="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027EC"/>
    <w:rPr>
      <w:rFonts w:asciiTheme="majorHAnsi" w:eastAsiaTheme="majorEastAsia" w:hAnsiTheme="majorHAnsi" w:cstheme="majorBidi"/>
      <w:color w:val="5F497A" w:themeColor="accent4" w:themeShade="BF"/>
      <w:sz w:val="22"/>
      <w:szCs w:val="22"/>
      <w:lang w:val="en-US" w:eastAsia="en-US" w:bidi="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AHeading">
    <w:name w:val="toa heading"/>
    <w:basedOn w:val="Normal"/>
    <w:next w:val="Normal"/>
    <w:semiHidden/>
    <w:rsid w:val="00E027EC"/>
    <w:pPr>
      <w:widowControl/>
      <w:spacing w:before="120"/>
    </w:pPr>
    <w:rPr>
      <w:rFonts w:ascii="Arial Bold" w:hAnsi="Arial Bold"/>
      <w:b/>
      <w:bCs/>
      <w:caps/>
      <w:snapToGrid/>
      <w:sz w:val="28"/>
      <w:szCs w:val="28"/>
      <w:lang w:eastAsia="en-AU"/>
    </w:rPr>
  </w:style>
  <w:style w:type="character" w:styleId="PlaceholderText">
    <w:name w:val="Placeholder Text"/>
    <w:basedOn w:val="DefaultParagraphFont"/>
    <w:uiPriority w:val="99"/>
    <w:semiHidden/>
    <w:rsid w:val="00E027EC"/>
    <w:rPr>
      <w:color w:val="808080"/>
    </w:rPr>
  </w:style>
  <w:style w:type="character" w:styleId="EndnoteReference">
    <w:name w:val="endnote reference"/>
    <w:basedOn w:val="DefaultParagraphFont"/>
    <w:uiPriority w:val="99"/>
    <w:semiHidden/>
    <w:unhideWhenUsed/>
    <w:rsid w:val="00E027EC"/>
    <w:rPr>
      <w:vertAlign w:val="superscript"/>
    </w:rPr>
  </w:style>
  <w:style w:type="paragraph" w:customStyle="1" w:styleId="EndNoteBibliographyTitle">
    <w:name w:val="EndNote Bibliography Title"/>
    <w:basedOn w:val="Normal"/>
    <w:link w:val="EndNoteBibliographyTitleChar"/>
    <w:rsid w:val="00E027EC"/>
    <w:pPr>
      <w:widowControl/>
      <w:spacing w:line="276" w:lineRule="auto"/>
      <w:jc w:val="center"/>
    </w:pPr>
    <w:rPr>
      <w:rFonts w:eastAsiaTheme="majorEastAsia" w:cs="Calibri"/>
      <w:noProof/>
      <w:snapToGrid/>
      <w:lang w:val="en-US" w:bidi="en-US"/>
    </w:rPr>
  </w:style>
  <w:style w:type="character" w:customStyle="1" w:styleId="EndNoteBibliographyTitleChar">
    <w:name w:val="EndNote Bibliography Title Char"/>
    <w:basedOn w:val="DefaultParagraphFont"/>
    <w:link w:val="EndNoteBibliographyTitle"/>
    <w:rsid w:val="00E027EC"/>
    <w:rPr>
      <w:rFonts w:ascii="Calibri" w:eastAsiaTheme="majorEastAsia" w:hAnsi="Calibri" w:cs="Calibri"/>
      <w:noProof/>
      <w:sz w:val="24"/>
      <w:szCs w:val="22"/>
      <w:lang w:val="en-US" w:eastAsia="en-US" w:bidi="en-US"/>
    </w:rPr>
  </w:style>
  <w:style w:type="paragraph" w:customStyle="1" w:styleId="EndNoteBibliography">
    <w:name w:val="EndNote Bibliography"/>
    <w:basedOn w:val="Normal"/>
    <w:link w:val="EndNoteBibliographyChar"/>
    <w:rsid w:val="00E027EC"/>
    <w:pPr>
      <w:widowControl/>
      <w:spacing w:after="200"/>
    </w:pPr>
    <w:rPr>
      <w:rFonts w:eastAsiaTheme="majorEastAsia" w:cs="Calibri"/>
      <w:snapToGrid/>
      <w:lang w:bidi="en-US"/>
    </w:rPr>
  </w:style>
  <w:style w:type="character" w:customStyle="1" w:styleId="EndNoteBibliographyChar">
    <w:name w:val="EndNote Bibliography Char"/>
    <w:basedOn w:val="DefaultParagraphFont"/>
    <w:link w:val="EndNoteBibliography"/>
    <w:rsid w:val="00E027EC"/>
    <w:rPr>
      <w:rFonts w:ascii="Calibri" w:eastAsiaTheme="majorEastAsia" w:hAnsi="Calibri" w:cs="Calibri"/>
      <w:sz w:val="24"/>
      <w:szCs w:val="22"/>
      <w:lang w:eastAsia="en-US" w:bidi="en-US"/>
    </w:rPr>
  </w:style>
  <w:style w:type="paragraph" w:styleId="Bibliography">
    <w:name w:val="Bibliography"/>
    <w:basedOn w:val="Normal"/>
    <w:next w:val="Normal"/>
    <w:uiPriority w:val="37"/>
    <w:unhideWhenUsed/>
    <w:rsid w:val="00E027EC"/>
    <w:pPr>
      <w:widowControl/>
      <w:spacing w:after="200" w:line="276" w:lineRule="auto"/>
    </w:pPr>
    <w:rPr>
      <w:rFonts w:eastAsiaTheme="majorEastAsia" w:cstheme="majorBidi"/>
      <w:snapToGrid/>
      <w:sz w:val="22"/>
      <w:lang w:bidi="en-US"/>
    </w:rPr>
  </w:style>
  <w:style w:type="character" w:customStyle="1" w:styleId="TableHeadingChar">
    <w:name w:val="Table Heading Char"/>
    <w:link w:val="TableHeading0"/>
    <w:locked/>
    <w:rsid w:val="00675307"/>
    <w:rPr>
      <w:rFonts w:ascii="Arial Narrow" w:eastAsiaTheme="minorHAnsi" w:hAnsi="Arial Narrow" w:cstheme="minorBidi"/>
      <w:b/>
      <w:szCs w:val="22"/>
      <w:lang w:eastAsia="en-US"/>
    </w:rPr>
  </w:style>
  <w:style w:type="paragraph" w:customStyle="1" w:styleId="NormalLetterList">
    <w:name w:val="Normal Letter List"/>
    <w:basedOn w:val="Normal"/>
    <w:uiPriority w:val="99"/>
    <w:qFormat/>
    <w:rsid w:val="00E027EC"/>
    <w:pPr>
      <w:widowControl/>
      <w:spacing w:after="240" w:line="276" w:lineRule="auto"/>
      <w:ind w:left="357" w:hanging="357"/>
      <w:contextualSpacing/>
    </w:pPr>
    <w:rPr>
      <w:rFonts w:ascii="Candara" w:eastAsiaTheme="majorEastAsia" w:hAnsi="Candara" w:cstheme="majorBidi"/>
      <w:snapToGrid/>
      <w:lang w:bidi="en-US"/>
    </w:rPr>
  </w:style>
  <w:style w:type="paragraph" w:styleId="TableofFigures">
    <w:name w:val="table of figures"/>
    <w:basedOn w:val="Normal"/>
    <w:next w:val="Normal"/>
    <w:uiPriority w:val="99"/>
    <w:unhideWhenUsed/>
    <w:rsid w:val="00E027EC"/>
    <w:pPr>
      <w:widowControl/>
      <w:spacing w:line="276" w:lineRule="auto"/>
    </w:pPr>
    <w:rPr>
      <w:rFonts w:eastAsiaTheme="majorEastAsia" w:cstheme="majorBidi"/>
      <w:snapToGrid/>
      <w:sz w:val="22"/>
      <w:lang w:bidi="en-US"/>
    </w:rPr>
  </w:style>
  <w:style w:type="character" w:customStyle="1" w:styleId="UnresolvedMention1">
    <w:name w:val="Unresolved Mention1"/>
    <w:basedOn w:val="DefaultParagraphFont"/>
    <w:uiPriority w:val="99"/>
    <w:semiHidden/>
    <w:unhideWhenUsed/>
    <w:rsid w:val="00E027EC"/>
    <w:rPr>
      <w:color w:val="808080"/>
      <w:shd w:val="clear" w:color="auto" w:fill="E6E6E6"/>
    </w:rPr>
  </w:style>
  <w:style w:type="paragraph" w:customStyle="1" w:styleId="TableBullet1">
    <w:name w:val="Table Bullet 1"/>
    <w:basedOn w:val="Normal"/>
    <w:qFormat/>
    <w:rsid w:val="00E027EC"/>
    <w:pPr>
      <w:widowControl/>
      <w:numPr>
        <w:numId w:val="10"/>
      </w:numPr>
      <w:spacing w:before="60" w:after="60"/>
      <w:jc w:val="left"/>
    </w:pPr>
    <w:rPr>
      <w:rFonts w:ascii="Arial" w:hAnsi="Arial" w:cs="Times New Roman"/>
      <w:snapToGrid/>
      <w:color w:val="1F497D" w:themeColor="text2"/>
      <w:sz w:val="18"/>
      <w:szCs w:val="24"/>
      <w:lang w:val="en-US"/>
    </w:rPr>
  </w:style>
  <w:style w:type="table" w:customStyle="1" w:styleId="Submissionstandard11">
    <w:name w:val="Submission standard11"/>
    <w:basedOn w:val="TableNormal"/>
    <w:uiPriority w:val="99"/>
    <w:qFormat/>
    <w:rsid w:val="00E027EC"/>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Table2">
    <w:name w:val="Table 2"/>
    <w:basedOn w:val="TableNormal"/>
    <w:uiPriority w:val="99"/>
    <w:qFormat/>
    <w:rsid w:val="00E027EC"/>
    <w:pPr>
      <w:spacing w:line="200" w:lineRule="exact"/>
    </w:pPr>
    <w:rPr>
      <w:rFonts w:ascii="Arial" w:hAnsi="Arial" w:cs="Geneva"/>
      <w:sz w:val="18"/>
      <w:lang w:val="en-US"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val="0"/>
        <w:color w:val="FFFFFF" w:themeColor="background1"/>
        <w:sz w:val="24"/>
        <w:u w:val="none"/>
      </w:rPr>
      <w:tblPr/>
      <w:tcPr>
        <w:shd w:val="clear" w:color="auto" w:fill="C0504D" w:themeFill="accent2"/>
      </w:tcPr>
    </w:tblStylePr>
    <w:tblStylePr w:type="lastRow">
      <w:pPr>
        <w:wordWrap/>
        <w:spacing w:line="200" w:lineRule="exact"/>
      </w:pPr>
      <w:rPr>
        <w:rFonts w:ascii="Arial" w:hAnsi="Arial"/>
        <w:b w:val="0"/>
        <w:i w:val="0"/>
        <w:color w:val="000000" w:themeColor="text1"/>
        <w:sz w:val="20"/>
      </w:rPr>
    </w:tblStylePr>
    <w:tblStylePr w:type="firstCol">
      <w:rPr>
        <w:rFonts w:ascii="Arial" w:hAnsi="Arial"/>
        <w:b/>
        <w:color w:val="FFFFFF" w:themeColor="background1"/>
        <w:sz w:val="20"/>
      </w:rPr>
    </w:tblStylePr>
    <w:tblStylePr w:type="band1Horz">
      <w:pPr>
        <w:wordWrap/>
        <w:jc w:val="left"/>
        <w:outlineLvl w:val="9"/>
      </w:pPr>
      <w:rPr>
        <w:rFonts w:ascii="Arial" w:hAnsi="Arial"/>
        <w:color w:val="000000" w:themeColor="text1"/>
        <w:sz w:val="20"/>
      </w:rPr>
      <w:tblPr/>
      <w:tcPr>
        <w:shd w:val="clear" w:color="auto" w:fill="FFFFFF" w:themeFill="background1"/>
      </w:tcPr>
    </w:tblStylePr>
  </w:style>
  <w:style w:type="paragraph" w:customStyle="1" w:styleId="Text">
    <w:name w:val="Text"/>
    <w:aliases w:val="Graphic,Graphic Char Char,Graphic Char Char Char Char Char,Graphic Char Char Char Char Char Char Char C"/>
    <w:basedOn w:val="Normal"/>
    <w:link w:val="TextChar"/>
    <w:rsid w:val="00E027EC"/>
    <w:pPr>
      <w:keepLines/>
      <w:widowControl/>
      <w:spacing w:before="120"/>
    </w:pPr>
    <w:rPr>
      <w:rFonts w:ascii="Times New Roman" w:eastAsia="MS Mincho" w:hAnsi="Times New Roman" w:cs="Times New Roman"/>
      <w:snapToGrid/>
      <w:szCs w:val="20"/>
      <w:lang w:val="en-GB" w:eastAsia="zh-CN"/>
    </w:rPr>
  </w:style>
  <w:style w:type="character" w:customStyle="1" w:styleId="TextChar">
    <w:name w:val="Text Char"/>
    <w:link w:val="Text"/>
    <w:rsid w:val="00E027EC"/>
    <w:rPr>
      <w:rFonts w:eastAsia="MS Mincho"/>
      <w:sz w:val="24"/>
      <w:lang w:val="en-GB" w:eastAsia="zh-CN"/>
    </w:rPr>
  </w:style>
  <w:style w:type="character" w:customStyle="1" w:styleId="UnresolvedMention2">
    <w:name w:val="Unresolved Mention2"/>
    <w:basedOn w:val="DefaultParagraphFont"/>
    <w:uiPriority w:val="99"/>
    <w:semiHidden/>
    <w:unhideWhenUsed/>
    <w:rsid w:val="00E027EC"/>
    <w:rPr>
      <w:color w:val="605E5C"/>
      <w:shd w:val="clear" w:color="auto" w:fill="E1DFDD"/>
    </w:rPr>
  </w:style>
  <w:style w:type="paragraph" w:customStyle="1" w:styleId="Default">
    <w:name w:val="Default"/>
    <w:rsid w:val="00E027EC"/>
    <w:pPr>
      <w:autoSpaceDE w:val="0"/>
      <w:autoSpaceDN w:val="0"/>
      <w:adjustRightInd w:val="0"/>
    </w:pPr>
    <w:rPr>
      <w:rFonts w:ascii="Calibri" w:eastAsiaTheme="majorEastAsia" w:hAnsi="Calibri" w:cs="Calibri"/>
      <w:color w:val="000000"/>
      <w:sz w:val="24"/>
      <w:szCs w:val="24"/>
      <w:lang w:eastAsia="en-US"/>
    </w:rPr>
  </w:style>
  <w:style w:type="paragraph" w:customStyle="1" w:styleId="NormalBulletList">
    <w:name w:val="Normal Bullet List"/>
    <w:basedOn w:val="Normal"/>
    <w:uiPriority w:val="3"/>
    <w:qFormat/>
    <w:rsid w:val="00E027EC"/>
    <w:pPr>
      <w:widowControl/>
      <w:spacing w:after="240" w:line="276" w:lineRule="auto"/>
      <w:ind w:left="357" w:hanging="357"/>
      <w:contextualSpacing/>
    </w:pPr>
    <w:rPr>
      <w:rFonts w:ascii="Candara" w:eastAsiaTheme="majorEastAsia" w:hAnsi="Candara" w:cstheme="majorBidi"/>
      <w:snapToGrid/>
      <w:lang w:bidi="en-US"/>
    </w:rPr>
  </w:style>
  <w:style w:type="paragraph" w:customStyle="1" w:styleId="NormalBulletList2">
    <w:name w:val="Normal Bullet List 2"/>
    <w:basedOn w:val="NormalBulletList"/>
    <w:qFormat/>
    <w:rsid w:val="00E027EC"/>
    <w:pPr>
      <w:spacing w:after="0"/>
      <w:ind w:left="709"/>
    </w:pPr>
  </w:style>
  <w:style w:type="paragraph" w:customStyle="1" w:styleId="Table">
    <w:name w:val="Table"/>
    <w:basedOn w:val="Normal"/>
    <w:link w:val="TableChar"/>
    <w:qFormat/>
    <w:rsid w:val="00E027EC"/>
    <w:pPr>
      <w:widowControl/>
      <w:tabs>
        <w:tab w:val="left" w:pos="653"/>
      </w:tabs>
      <w:jc w:val="left"/>
    </w:pPr>
    <w:rPr>
      <w:rFonts w:ascii="Times New Roman" w:hAnsi="Times New Roman" w:cs="Times New Roman"/>
      <w:snapToGrid/>
      <w:sz w:val="20"/>
      <w:lang w:bidi="en-US"/>
    </w:rPr>
  </w:style>
  <w:style w:type="character" w:customStyle="1" w:styleId="TableChar">
    <w:name w:val="Table Char"/>
    <w:basedOn w:val="DefaultParagraphFont"/>
    <w:link w:val="Table"/>
    <w:locked/>
    <w:rsid w:val="00E027EC"/>
    <w:rPr>
      <w:szCs w:val="22"/>
      <w:lang w:eastAsia="en-US" w:bidi="en-US"/>
    </w:rPr>
  </w:style>
  <w:style w:type="paragraph" w:customStyle="1" w:styleId="NormalNumberList">
    <w:name w:val="Normal Number List"/>
    <w:basedOn w:val="Normal"/>
    <w:uiPriority w:val="99"/>
    <w:qFormat/>
    <w:rsid w:val="00E027EC"/>
    <w:pPr>
      <w:widowControl/>
      <w:spacing w:after="240" w:line="276" w:lineRule="auto"/>
      <w:ind w:left="357" w:hanging="357"/>
      <w:contextualSpacing/>
      <w:jc w:val="left"/>
    </w:pPr>
    <w:rPr>
      <w:rFonts w:ascii="Candara" w:eastAsiaTheme="majorEastAsia" w:hAnsi="Candara" w:cstheme="majorBidi"/>
      <w:snapToGrid/>
      <w:lang w:bidi="en-US"/>
    </w:rPr>
  </w:style>
  <w:style w:type="paragraph" w:styleId="PlainText">
    <w:name w:val="Plain Text"/>
    <w:basedOn w:val="Normal"/>
    <w:link w:val="PlainTextChar"/>
    <w:uiPriority w:val="99"/>
    <w:unhideWhenUsed/>
    <w:rsid w:val="00E027EC"/>
    <w:pPr>
      <w:widowControl/>
      <w:spacing w:before="100" w:beforeAutospacing="1" w:after="100" w:afterAutospacing="1"/>
      <w:jc w:val="left"/>
    </w:pPr>
    <w:rPr>
      <w:rFonts w:ascii="Times New Roman" w:hAnsi="Times New Roman" w:cs="Times New Roman"/>
      <w:snapToGrid/>
      <w:szCs w:val="24"/>
      <w:lang w:eastAsia="en-AU"/>
    </w:rPr>
  </w:style>
  <w:style w:type="character" w:customStyle="1" w:styleId="PlainTextChar">
    <w:name w:val="Plain Text Char"/>
    <w:basedOn w:val="DefaultParagraphFont"/>
    <w:link w:val="PlainText"/>
    <w:uiPriority w:val="99"/>
    <w:rsid w:val="00E027EC"/>
    <w:rPr>
      <w:sz w:val="24"/>
      <w:szCs w:val="24"/>
    </w:rPr>
  </w:style>
  <w:style w:type="paragraph" w:styleId="BodyText2">
    <w:name w:val="Body Text 2"/>
    <w:basedOn w:val="Normal"/>
    <w:link w:val="BodyText2Char"/>
    <w:autoRedefine/>
    <w:uiPriority w:val="99"/>
    <w:rsid w:val="00E027EC"/>
    <w:pPr>
      <w:widowControl/>
      <w:spacing w:line="360" w:lineRule="auto"/>
    </w:pPr>
    <w:rPr>
      <w:rFonts w:ascii="Arial" w:eastAsiaTheme="majorEastAsia" w:hAnsi="Arial" w:cs="Times New Roman"/>
      <w:snapToGrid/>
      <w:sz w:val="22"/>
    </w:rPr>
  </w:style>
  <w:style w:type="character" w:customStyle="1" w:styleId="BodyText2Char">
    <w:name w:val="Body Text 2 Char"/>
    <w:basedOn w:val="DefaultParagraphFont"/>
    <w:link w:val="BodyText2"/>
    <w:uiPriority w:val="99"/>
    <w:rsid w:val="00E027EC"/>
    <w:rPr>
      <w:rFonts w:ascii="Arial" w:eastAsiaTheme="majorEastAsia" w:hAnsi="Arial"/>
      <w:sz w:val="22"/>
      <w:szCs w:val="22"/>
      <w:lang w:eastAsia="en-US"/>
    </w:rPr>
  </w:style>
  <w:style w:type="paragraph" w:customStyle="1" w:styleId="AltLevel1">
    <w:name w:val="Alt Level 1"/>
    <w:basedOn w:val="Normal"/>
    <w:next w:val="Normal"/>
    <w:link w:val="AltLevel1Char"/>
    <w:semiHidden/>
    <w:unhideWhenUsed/>
    <w:qFormat/>
    <w:rsid w:val="00E027EC"/>
    <w:pPr>
      <w:widowControl/>
      <w:numPr>
        <w:ilvl w:val="1"/>
        <w:numId w:val="11"/>
      </w:numPr>
      <w:spacing w:after="240" w:line="276" w:lineRule="auto"/>
      <w:ind w:left="360" w:hanging="360"/>
      <w:contextualSpacing/>
      <w:jc w:val="left"/>
    </w:pPr>
    <w:rPr>
      <w:rFonts w:ascii="Verdana" w:eastAsiaTheme="majorEastAsia" w:hAnsi="Verdana" w:cstheme="majorBidi"/>
      <w:b/>
      <w:snapToGrid/>
      <w:sz w:val="32"/>
      <w:lang w:bidi="en-US"/>
    </w:rPr>
  </w:style>
  <w:style w:type="character" w:customStyle="1" w:styleId="AltLevel1Char">
    <w:name w:val="Alt Level 1 Char"/>
    <w:basedOn w:val="DefaultParagraphFont"/>
    <w:link w:val="AltLevel1"/>
    <w:semiHidden/>
    <w:rsid w:val="00E027EC"/>
    <w:rPr>
      <w:rFonts w:ascii="Verdana" w:eastAsiaTheme="majorEastAsia" w:hAnsi="Verdana" w:cstheme="majorBidi"/>
      <w:b/>
      <w:sz w:val="32"/>
      <w:szCs w:val="22"/>
      <w:lang w:eastAsia="en-US" w:bidi="en-US"/>
    </w:rPr>
  </w:style>
  <w:style w:type="character" w:customStyle="1" w:styleId="SmallSubscript">
    <w:name w:val="Small Subscript"/>
    <w:basedOn w:val="Small"/>
    <w:uiPriority w:val="1"/>
    <w:qFormat/>
    <w:rsid w:val="00E027EC"/>
    <w:rPr>
      <w:rFonts w:ascii="Candara" w:hAnsi="Candara"/>
      <w:b w:val="0"/>
      <w:sz w:val="20"/>
      <w:vertAlign w:val="subscript"/>
    </w:rPr>
  </w:style>
  <w:style w:type="character" w:customStyle="1" w:styleId="SmallSuperscript">
    <w:name w:val="Small Superscript"/>
    <w:basedOn w:val="Small"/>
    <w:uiPriority w:val="1"/>
    <w:qFormat/>
    <w:rsid w:val="00E027EC"/>
    <w:rPr>
      <w:rFonts w:ascii="Candara" w:hAnsi="Candara"/>
      <w:sz w:val="20"/>
      <w:vertAlign w:val="superscript"/>
    </w:rPr>
  </w:style>
  <w:style w:type="paragraph" w:customStyle="1" w:styleId="paragraph">
    <w:name w:val="paragraph"/>
    <w:basedOn w:val="Normal"/>
    <w:rsid w:val="00E027EC"/>
    <w:pPr>
      <w:widowControl/>
      <w:spacing w:before="100" w:beforeAutospacing="1" w:after="100" w:afterAutospacing="1"/>
      <w:jc w:val="left"/>
    </w:pPr>
    <w:rPr>
      <w:rFonts w:ascii="Times New Roman" w:hAnsi="Times New Roman" w:cs="Times New Roman"/>
      <w:snapToGrid/>
      <w:szCs w:val="24"/>
      <w:lang w:eastAsia="en-AU"/>
    </w:rPr>
  </w:style>
  <w:style w:type="character" w:customStyle="1" w:styleId="UnresolvedMention3">
    <w:name w:val="Unresolved Mention3"/>
    <w:basedOn w:val="DefaultParagraphFont"/>
    <w:uiPriority w:val="99"/>
    <w:semiHidden/>
    <w:unhideWhenUsed/>
    <w:rsid w:val="00E027EC"/>
    <w:rPr>
      <w:color w:val="605E5C"/>
      <w:shd w:val="clear" w:color="auto" w:fill="E1DFDD"/>
    </w:rPr>
  </w:style>
  <w:style w:type="table" w:customStyle="1" w:styleId="BiniencoTable2">
    <w:name w:val="Binienco Table2"/>
    <w:basedOn w:val="TableNormal"/>
    <w:uiPriority w:val="99"/>
    <w:rsid w:val="00E027EC"/>
    <w:rPr>
      <w:lang w:val="en-US" w:eastAsia="en-US"/>
    </w:rPr>
    <w:tblPr>
      <w:tblStyleRow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tblPr/>
      <w:tcPr>
        <w:shd w:val="clear" w:color="auto" w:fill="4F81BD"/>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ListBullet">
    <w:name w:val="List Bullet"/>
    <w:basedOn w:val="Normal"/>
    <w:uiPriority w:val="99"/>
    <w:qFormat/>
    <w:rsid w:val="00E027EC"/>
    <w:pPr>
      <w:widowControl/>
      <w:numPr>
        <w:numId w:val="12"/>
      </w:numPr>
      <w:spacing w:after="60" w:line="300" w:lineRule="exact"/>
    </w:pPr>
    <w:rPr>
      <w:rFonts w:cs="Times New Roman"/>
      <w:snapToGrid/>
      <w:color w:val="1F497D" w:themeColor="text2"/>
      <w:sz w:val="20"/>
      <w:szCs w:val="20"/>
      <w:lang w:val="en-US"/>
    </w:rPr>
  </w:style>
  <w:style w:type="paragraph" w:customStyle="1" w:styleId="xmsocaption">
    <w:name w:val="x_msocaption"/>
    <w:basedOn w:val="Normal"/>
    <w:rsid w:val="00E027EC"/>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xtableleft">
    <w:name w:val="x_tableleft"/>
    <w:basedOn w:val="Normal"/>
    <w:rsid w:val="00E027EC"/>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xtablebullets">
    <w:name w:val="x_tablebullets"/>
    <w:basedOn w:val="Normal"/>
    <w:rsid w:val="00E027EC"/>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xcaptionfootnote">
    <w:name w:val="x_captionfootnote"/>
    <w:basedOn w:val="Normal"/>
    <w:rsid w:val="00E027EC"/>
    <w:pPr>
      <w:widowControl/>
      <w:spacing w:before="100" w:beforeAutospacing="1" w:after="100" w:afterAutospacing="1"/>
      <w:jc w:val="left"/>
    </w:pPr>
    <w:rPr>
      <w:rFonts w:ascii="Times New Roman" w:hAnsi="Times New Roman" w:cs="Times New Roman"/>
      <w:snapToGrid/>
      <w:szCs w:val="24"/>
      <w:lang w:eastAsia="en-AU"/>
    </w:rPr>
  </w:style>
  <w:style w:type="character" w:customStyle="1" w:styleId="UnresolvedMention4">
    <w:name w:val="Unresolved Mention4"/>
    <w:basedOn w:val="DefaultParagraphFont"/>
    <w:uiPriority w:val="99"/>
    <w:semiHidden/>
    <w:unhideWhenUsed/>
    <w:rsid w:val="00E02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518">
      <w:bodyDiv w:val="1"/>
      <w:marLeft w:val="0"/>
      <w:marRight w:val="0"/>
      <w:marTop w:val="0"/>
      <w:marBottom w:val="0"/>
      <w:divBdr>
        <w:top w:val="none" w:sz="0" w:space="0" w:color="auto"/>
        <w:left w:val="none" w:sz="0" w:space="0" w:color="auto"/>
        <w:bottom w:val="none" w:sz="0" w:space="0" w:color="auto"/>
        <w:right w:val="none" w:sz="0" w:space="0" w:color="auto"/>
      </w:divBdr>
    </w:div>
    <w:div w:id="6176271">
      <w:bodyDiv w:val="1"/>
      <w:marLeft w:val="0"/>
      <w:marRight w:val="0"/>
      <w:marTop w:val="0"/>
      <w:marBottom w:val="0"/>
      <w:divBdr>
        <w:top w:val="none" w:sz="0" w:space="0" w:color="auto"/>
        <w:left w:val="none" w:sz="0" w:space="0" w:color="auto"/>
        <w:bottom w:val="none" w:sz="0" w:space="0" w:color="auto"/>
        <w:right w:val="none" w:sz="0" w:space="0" w:color="auto"/>
      </w:divBdr>
    </w:div>
    <w:div w:id="22706115">
      <w:bodyDiv w:val="1"/>
      <w:marLeft w:val="0"/>
      <w:marRight w:val="0"/>
      <w:marTop w:val="0"/>
      <w:marBottom w:val="0"/>
      <w:divBdr>
        <w:top w:val="none" w:sz="0" w:space="0" w:color="auto"/>
        <w:left w:val="none" w:sz="0" w:space="0" w:color="auto"/>
        <w:bottom w:val="none" w:sz="0" w:space="0" w:color="auto"/>
        <w:right w:val="none" w:sz="0" w:space="0" w:color="auto"/>
      </w:divBdr>
    </w:div>
    <w:div w:id="43844061">
      <w:bodyDiv w:val="1"/>
      <w:marLeft w:val="0"/>
      <w:marRight w:val="0"/>
      <w:marTop w:val="0"/>
      <w:marBottom w:val="0"/>
      <w:divBdr>
        <w:top w:val="none" w:sz="0" w:space="0" w:color="auto"/>
        <w:left w:val="none" w:sz="0" w:space="0" w:color="auto"/>
        <w:bottom w:val="none" w:sz="0" w:space="0" w:color="auto"/>
        <w:right w:val="none" w:sz="0" w:space="0" w:color="auto"/>
      </w:divBdr>
    </w:div>
    <w:div w:id="46417434">
      <w:bodyDiv w:val="1"/>
      <w:marLeft w:val="0"/>
      <w:marRight w:val="0"/>
      <w:marTop w:val="0"/>
      <w:marBottom w:val="0"/>
      <w:divBdr>
        <w:top w:val="none" w:sz="0" w:space="0" w:color="auto"/>
        <w:left w:val="none" w:sz="0" w:space="0" w:color="auto"/>
        <w:bottom w:val="none" w:sz="0" w:space="0" w:color="auto"/>
        <w:right w:val="none" w:sz="0" w:space="0" w:color="auto"/>
      </w:divBdr>
    </w:div>
    <w:div w:id="62871191">
      <w:bodyDiv w:val="1"/>
      <w:marLeft w:val="0"/>
      <w:marRight w:val="0"/>
      <w:marTop w:val="0"/>
      <w:marBottom w:val="0"/>
      <w:divBdr>
        <w:top w:val="none" w:sz="0" w:space="0" w:color="auto"/>
        <w:left w:val="none" w:sz="0" w:space="0" w:color="auto"/>
        <w:bottom w:val="none" w:sz="0" w:space="0" w:color="auto"/>
        <w:right w:val="none" w:sz="0" w:space="0" w:color="auto"/>
      </w:divBdr>
    </w:div>
    <w:div w:id="82655445">
      <w:bodyDiv w:val="1"/>
      <w:marLeft w:val="0"/>
      <w:marRight w:val="0"/>
      <w:marTop w:val="0"/>
      <w:marBottom w:val="0"/>
      <w:divBdr>
        <w:top w:val="none" w:sz="0" w:space="0" w:color="auto"/>
        <w:left w:val="none" w:sz="0" w:space="0" w:color="auto"/>
        <w:bottom w:val="none" w:sz="0" w:space="0" w:color="auto"/>
        <w:right w:val="none" w:sz="0" w:space="0" w:color="auto"/>
      </w:divBdr>
    </w:div>
    <w:div w:id="102579280">
      <w:bodyDiv w:val="1"/>
      <w:marLeft w:val="0"/>
      <w:marRight w:val="0"/>
      <w:marTop w:val="0"/>
      <w:marBottom w:val="0"/>
      <w:divBdr>
        <w:top w:val="none" w:sz="0" w:space="0" w:color="auto"/>
        <w:left w:val="none" w:sz="0" w:space="0" w:color="auto"/>
        <w:bottom w:val="none" w:sz="0" w:space="0" w:color="auto"/>
        <w:right w:val="none" w:sz="0" w:space="0" w:color="auto"/>
      </w:divBdr>
    </w:div>
    <w:div w:id="106197182">
      <w:bodyDiv w:val="1"/>
      <w:marLeft w:val="0"/>
      <w:marRight w:val="0"/>
      <w:marTop w:val="0"/>
      <w:marBottom w:val="0"/>
      <w:divBdr>
        <w:top w:val="none" w:sz="0" w:space="0" w:color="auto"/>
        <w:left w:val="none" w:sz="0" w:space="0" w:color="auto"/>
        <w:bottom w:val="none" w:sz="0" w:space="0" w:color="auto"/>
        <w:right w:val="none" w:sz="0" w:space="0" w:color="auto"/>
      </w:divBdr>
    </w:div>
    <w:div w:id="110518106">
      <w:bodyDiv w:val="1"/>
      <w:marLeft w:val="0"/>
      <w:marRight w:val="0"/>
      <w:marTop w:val="0"/>
      <w:marBottom w:val="0"/>
      <w:divBdr>
        <w:top w:val="none" w:sz="0" w:space="0" w:color="auto"/>
        <w:left w:val="none" w:sz="0" w:space="0" w:color="auto"/>
        <w:bottom w:val="none" w:sz="0" w:space="0" w:color="auto"/>
        <w:right w:val="none" w:sz="0" w:space="0" w:color="auto"/>
      </w:divBdr>
    </w:div>
    <w:div w:id="112789484">
      <w:bodyDiv w:val="1"/>
      <w:marLeft w:val="0"/>
      <w:marRight w:val="0"/>
      <w:marTop w:val="0"/>
      <w:marBottom w:val="0"/>
      <w:divBdr>
        <w:top w:val="none" w:sz="0" w:space="0" w:color="auto"/>
        <w:left w:val="none" w:sz="0" w:space="0" w:color="auto"/>
        <w:bottom w:val="none" w:sz="0" w:space="0" w:color="auto"/>
        <w:right w:val="none" w:sz="0" w:space="0" w:color="auto"/>
      </w:divBdr>
    </w:div>
    <w:div w:id="115948013">
      <w:bodyDiv w:val="1"/>
      <w:marLeft w:val="0"/>
      <w:marRight w:val="0"/>
      <w:marTop w:val="0"/>
      <w:marBottom w:val="0"/>
      <w:divBdr>
        <w:top w:val="none" w:sz="0" w:space="0" w:color="auto"/>
        <w:left w:val="none" w:sz="0" w:space="0" w:color="auto"/>
        <w:bottom w:val="none" w:sz="0" w:space="0" w:color="auto"/>
        <w:right w:val="none" w:sz="0" w:space="0" w:color="auto"/>
      </w:divBdr>
    </w:div>
    <w:div w:id="125516792">
      <w:bodyDiv w:val="1"/>
      <w:marLeft w:val="0"/>
      <w:marRight w:val="0"/>
      <w:marTop w:val="0"/>
      <w:marBottom w:val="0"/>
      <w:divBdr>
        <w:top w:val="none" w:sz="0" w:space="0" w:color="auto"/>
        <w:left w:val="none" w:sz="0" w:space="0" w:color="auto"/>
        <w:bottom w:val="none" w:sz="0" w:space="0" w:color="auto"/>
        <w:right w:val="none" w:sz="0" w:space="0" w:color="auto"/>
      </w:divBdr>
    </w:div>
    <w:div w:id="127482928">
      <w:bodyDiv w:val="1"/>
      <w:marLeft w:val="0"/>
      <w:marRight w:val="0"/>
      <w:marTop w:val="0"/>
      <w:marBottom w:val="0"/>
      <w:divBdr>
        <w:top w:val="none" w:sz="0" w:space="0" w:color="auto"/>
        <w:left w:val="none" w:sz="0" w:space="0" w:color="auto"/>
        <w:bottom w:val="none" w:sz="0" w:space="0" w:color="auto"/>
        <w:right w:val="none" w:sz="0" w:space="0" w:color="auto"/>
      </w:divBdr>
    </w:div>
    <w:div w:id="141898288">
      <w:bodyDiv w:val="1"/>
      <w:marLeft w:val="0"/>
      <w:marRight w:val="0"/>
      <w:marTop w:val="0"/>
      <w:marBottom w:val="0"/>
      <w:divBdr>
        <w:top w:val="none" w:sz="0" w:space="0" w:color="auto"/>
        <w:left w:val="none" w:sz="0" w:space="0" w:color="auto"/>
        <w:bottom w:val="none" w:sz="0" w:space="0" w:color="auto"/>
        <w:right w:val="none" w:sz="0" w:space="0" w:color="auto"/>
      </w:divBdr>
    </w:div>
    <w:div w:id="169565635">
      <w:bodyDiv w:val="1"/>
      <w:marLeft w:val="0"/>
      <w:marRight w:val="0"/>
      <w:marTop w:val="0"/>
      <w:marBottom w:val="0"/>
      <w:divBdr>
        <w:top w:val="none" w:sz="0" w:space="0" w:color="auto"/>
        <w:left w:val="none" w:sz="0" w:space="0" w:color="auto"/>
        <w:bottom w:val="none" w:sz="0" w:space="0" w:color="auto"/>
        <w:right w:val="none" w:sz="0" w:space="0" w:color="auto"/>
      </w:divBdr>
    </w:div>
    <w:div w:id="189880662">
      <w:bodyDiv w:val="1"/>
      <w:marLeft w:val="0"/>
      <w:marRight w:val="0"/>
      <w:marTop w:val="0"/>
      <w:marBottom w:val="0"/>
      <w:divBdr>
        <w:top w:val="none" w:sz="0" w:space="0" w:color="auto"/>
        <w:left w:val="none" w:sz="0" w:space="0" w:color="auto"/>
        <w:bottom w:val="none" w:sz="0" w:space="0" w:color="auto"/>
        <w:right w:val="none" w:sz="0" w:space="0" w:color="auto"/>
      </w:divBdr>
    </w:div>
    <w:div w:id="213808457">
      <w:bodyDiv w:val="1"/>
      <w:marLeft w:val="0"/>
      <w:marRight w:val="0"/>
      <w:marTop w:val="0"/>
      <w:marBottom w:val="0"/>
      <w:divBdr>
        <w:top w:val="none" w:sz="0" w:space="0" w:color="auto"/>
        <w:left w:val="none" w:sz="0" w:space="0" w:color="auto"/>
        <w:bottom w:val="none" w:sz="0" w:space="0" w:color="auto"/>
        <w:right w:val="none" w:sz="0" w:space="0" w:color="auto"/>
      </w:divBdr>
    </w:div>
    <w:div w:id="214972633">
      <w:bodyDiv w:val="1"/>
      <w:marLeft w:val="0"/>
      <w:marRight w:val="0"/>
      <w:marTop w:val="0"/>
      <w:marBottom w:val="0"/>
      <w:divBdr>
        <w:top w:val="none" w:sz="0" w:space="0" w:color="auto"/>
        <w:left w:val="none" w:sz="0" w:space="0" w:color="auto"/>
        <w:bottom w:val="none" w:sz="0" w:space="0" w:color="auto"/>
        <w:right w:val="none" w:sz="0" w:space="0" w:color="auto"/>
      </w:divBdr>
    </w:div>
    <w:div w:id="234820422">
      <w:bodyDiv w:val="1"/>
      <w:marLeft w:val="0"/>
      <w:marRight w:val="0"/>
      <w:marTop w:val="0"/>
      <w:marBottom w:val="0"/>
      <w:divBdr>
        <w:top w:val="none" w:sz="0" w:space="0" w:color="auto"/>
        <w:left w:val="none" w:sz="0" w:space="0" w:color="auto"/>
        <w:bottom w:val="none" w:sz="0" w:space="0" w:color="auto"/>
        <w:right w:val="none" w:sz="0" w:space="0" w:color="auto"/>
      </w:divBdr>
    </w:div>
    <w:div w:id="242223063">
      <w:bodyDiv w:val="1"/>
      <w:marLeft w:val="0"/>
      <w:marRight w:val="0"/>
      <w:marTop w:val="0"/>
      <w:marBottom w:val="0"/>
      <w:divBdr>
        <w:top w:val="none" w:sz="0" w:space="0" w:color="auto"/>
        <w:left w:val="none" w:sz="0" w:space="0" w:color="auto"/>
        <w:bottom w:val="none" w:sz="0" w:space="0" w:color="auto"/>
        <w:right w:val="none" w:sz="0" w:space="0" w:color="auto"/>
      </w:divBdr>
    </w:div>
    <w:div w:id="244144764">
      <w:bodyDiv w:val="1"/>
      <w:marLeft w:val="0"/>
      <w:marRight w:val="0"/>
      <w:marTop w:val="0"/>
      <w:marBottom w:val="0"/>
      <w:divBdr>
        <w:top w:val="none" w:sz="0" w:space="0" w:color="auto"/>
        <w:left w:val="none" w:sz="0" w:space="0" w:color="auto"/>
        <w:bottom w:val="none" w:sz="0" w:space="0" w:color="auto"/>
        <w:right w:val="none" w:sz="0" w:space="0" w:color="auto"/>
      </w:divBdr>
    </w:div>
    <w:div w:id="266547640">
      <w:bodyDiv w:val="1"/>
      <w:marLeft w:val="0"/>
      <w:marRight w:val="0"/>
      <w:marTop w:val="0"/>
      <w:marBottom w:val="0"/>
      <w:divBdr>
        <w:top w:val="none" w:sz="0" w:space="0" w:color="auto"/>
        <w:left w:val="none" w:sz="0" w:space="0" w:color="auto"/>
        <w:bottom w:val="none" w:sz="0" w:space="0" w:color="auto"/>
        <w:right w:val="none" w:sz="0" w:space="0" w:color="auto"/>
      </w:divBdr>
    </w:div>
    <w:div w:id="289090071">
      <w:bodyDiv w:val="1"/>
      <w:marLeft w:val="0"/>
      <w:marRight w:val="0"/>
      <w:marTop w:val="0"/>
      <w:marBottom w:val="0"/>
      <w:divBdr>
        <w:top w:val="none" w:sz="0" w:space="0" w:color="auto"/>
        <w:left w:val="none" w:sz="0" w:space="0" w:color="auto"/>
        <w:bottom w:val="none" w:sz="0" w:space="0" w:color="auto"/>
        <w:right w:val="none" w:sz="0" w:space="0" w:color="auto"/>
      </w:divBdr>
    </w:div>
    <w:div w:id="299921037">
      <w:bodyDiv w:val="1"/>
      <w:marLeft w:val="0"/>
      <w:marRight w:val="0"/>
      <w:marTop w:val="0"/>
      <w:marBottom w:val="0"/>
      <w:divBdr>
        <w:top w:val="none" w:sz="0" w:space="0" w:color="auto"/>
        <w:left w:val="none" w:sz="0" w:space="0" w:color="auto"/>
        <w:bottom w:val="none" w:sz="0" w:space="0" w:color="auto"/>
        <w:right w:val="none" w:sz="0" w:space="0" w:color="auto"/>
      </w:divBdr>
    </w:div>
    <w:div w:id="318659512">
      <w:bodyDiv w:val="1"/>
      <w:marLeft w:val="0"/>
      <w:marRight w:val="0"/>
      <w:marTop w:val="0"/>
      <w:marBottom w:val="0"/>
      <w:divBdr>
        <w:top w:val="none" w:sz="0" w:space="0" w:color="auto"/>
        <w:left w:val="none" w:sz="0" w:space="0" w:color="auto"/>
        <w:bottom w:val="none" w:sz="0" w:space="0" w:color="auto"/>
        <w:right w:val="none" w:sz="0" w:space="0" w:color="auto"/>
      </w:divBdr>
    </w:div>
    <w:div w:id="334575289">
      <w:bodyDiv w:val="1"/>
      <w:marLeft w:val="0"/>
      <w:marRight w:val="0"/>
      <w:marTop w:val="0"/>
      <w:marBottom w:val="0"/>
      <w:divBdr>
        <w:top w:val="none" w:sz="0" w:space="0" w:color="auto"/>
        <w:left w:val="none" w:sz="0" w:space="0" w:color="auto"/>
        <w:bottom w:val="none" w:sz="0" w:space="0" w:color="auto"/>
        <w:right w:val="none" w:sz="0" w:space="0" w:color="auto"/>
      </w:divBdr>
    </w:div>
    <w:div w:id="340622262">
      <w:bodyDiv w:val="1"/>
      <w:marLeft w:val="0"/>
      <w:marRight w:val="0"/>
      <w:marTop w:val="0"/>
      <w:marBottom w:val="0"/>
      <w:divBdr>
        <w:top w:val="none" w:sz="0" w:space="0" w:color="auto"/>
        <w:left w:val="none" w:sz="0" w:space="0" w:color="auto"/>
        <w:bottom w:val="none" w:sz="0" w:space="0" w:color="auto"/>
        <w:right w:val="none" w:sz="0" w:space="0" w:color="auto"/>
      </w:divBdr>
    </w:div>
    <w:div w:id="351879540">
      <w:bodyDiv w:val="1"/>
      <w:marLeft w:val="0"/>
      <w:marRight w:val="0"/>
      <w:marTop w:val="0"/>
      <w:marBottom w:val="0"/>
      <w:divBdr>
        <w:top w:val="none" w:sz="0" w:space="0" w:color="auto"/>
        <w:left w:val="none" w:sz="0" w:space="0" w:color="auto"/>
        <w:bottom w:val="none" w:sz="0" w:space="0" w:color="auto"/>
        <w:right w:val="none" w:sz="0" w:space="0" w:color="auto"/>
      </w:divBdr>
    </w:div>
    <w:div w:id="356392720">
      <w:bodyDiv w:val="1"/>
      <w:marLeft w:val="0"/>
      <w:marRight w:val="0"/>
      <w:marTop w:val="0"/>
      <w:marBottom w:val="0"/>
      <w:divBdr>
        <w:top w:val="none" w:sz="0" w:space="0" w:color="auto"/>
        <w:left w:val="none" w:sz="0" w:space="0" w:color="auto"/>
        <w:bottom w:val="none" w:sz="0" w:space="0" w:color="auto"/>
        <w:right w:val="none" w:sz="0" w:space="0" w:color="auto"/>
      </w:divBdr>
    </w:div>
    <w:div w:id="366224217">
      <w:bodyDiv w:val="1"/>
      <w:marLeft w:val="0"/>
      <w:marRight w:val="0"/>
      <w:marTop w:val="0"/>
      <w:marBottom w:val="0"/>
      <w:divBdr>
        <w:top w:val="none" w:sz="0" w:space="0" w:color="auto"/>
        <w:left w:val="none" w:sz="0" w:space="0" w:color="auto"/>
        <w:bottom w:val="none" w:sz="0" w:space="0" w:color="auto"/>
        <w:right w:val="none" w:sz="0" w:space="0" w:color="auto"/>
      </w:divBdr>
    </w:div>
    <w:div w:id="398866245">
      <w:bodyDiv w:val="1"/>
      <w:marLeft w:val="0"/>
      <w:marRight w:val="0"/>
      <w:marTop w:val="0"/>
      <w:marBottom w:val="0"/>
      <w:divBdr>
        <w:top w:val="none" w:sz="0" w:space="0" w:color="auto"/>
        <w:left w:val="none" w:sz="0" w:space="0" w:color="auto"/>
        <w:bottom w:val="none" w:sz="0" w:space="0" w:color="auto"/>
        <w:right w:val="none" w:sz="0" w:space="0" w:color="auto"/>
      </w:divBdr>
    </w:div>
    <w:div w:id="425613713">
      <w:bodyDiv w:val="1"/>
      <w:marLeft w:val="0"/>
      <w:marRight w:val="0"/>
      <w:marTop w:val="0"/>
      <w:marBottom w:val="0"/>
      <w:divBdr>
        <w:top w:val="none" w:sz="0" w:space="0" w:color="auto"/>
        <w:left w:val="none" w:sz="0" w:space="0" w:color="auto"/>
        <w:bottom w:val="none" w:sz="0" w:space="0" w:color="auto"/>
        <w:right w:val="none" w:sz="0" w:space="0" w:color="auto"/>
      </w:divBdr>
    </w:div>
    <w:div w:id="429814106">
      <w:bodyDiv w:val="1"/>
      <w:marLeft w:val="0"/>
      <w:marRight w:val="0"/>
      <w:marTop w:val="0"/>
      <w:marBottom w:val="0"/>
      <w:divBdr>
        <w:top w:val="none" w:sz="0" w:space="0" w:color="auto"/>
        <w:left w:val="none" w:sz="0" w:space="0" w:color="auto"/>
        <w:bottom w:val="none" w:sz="0" w:space="0" w:color="auto"/>
        <w:right w:val="none" w:sz="0" w:space="0" w:color="auto"/>
      </w:divBdr>
    </w:div>
    <w:div w:id="431896801">
      <w:bodyDiv w:val="1"/>
      <w:marLeft w:val="0"/>
      <w:marRight w:val="0"/>
      <w:marTop w:val="0"/>
      <w:marBottom w:val="0"/>
      <w:divBdr>
        <w:top w:val="none" w:sz="0" w:space="0" w:color="auto"/>
        <w:left w:val="none" w:sz="0" w:space="0" w:color="auto"/>
        <w:bottom w:val="none" w:sz="0" w:space="0" w:color="auto"/>
        <w:right w:val="none" w:sz="0" w:space="0" w:color="auto"/>
      </w:divBdr>
    </w:div>
    <w:div w:id="441922122">
      <w:bodyDiv w:val="1"/>
      <w:marLeft w:val="0"/>
      <w:marRight w:val="0"/>
      <w:marTop w:val="0"/>
      <w:marBottom w:val="0"/>
      <w:divBdr>
        <w:top w:val="none" w:sz="0" w:space="0" w:color="auto"/>
        <w:left w:val="none" w:sz="0" w:space="0" w:color="auto"/>
        <w:bottom w:val="none" w:sz="0" w:space="0" w:color="auto"/>
        <w:right w:val="none" w:sz="0" w:space="0" w:color="auto"/>
      </w:divBdr>
    </w:div>
    <w:div w:id="455026876">
      <w:bodyDiv w:val="1"/>
      <w:marLeft w:val="0"/>
      <w:marRight w:val="0"/>
      <w:marTop w:val="0"/>
      <w:marBottom w:val="0"/>
      <w:divBdr>
        <w:top w:val="none" w:sz="0" w:space="0" w:color="auto"/>
        <w:left w:val="none" w:sz="0" w:space="0" w:color="auto"/>
        <w:bottom w:val="none" w:sz="0" w:space="0" w:color="auto"/>
        <w:right w:val="none" w:sz="0" w:space="0" w:color="auto"/>
      </w:divBdr>
    </w:div>
    <w:div w:id="456065227">
      <w:bodyDiv w:val="1"/>
      <w:marLeft w:val="0"/>
      <w:marRight w:val="0"/>
      <w:marTop w:val="0"/>
      <w:marBottom w:val="0"/>
      <w:divBdr>
        <w:top w:val="none" w:sz="0" w:space="0" w:color="auto"/>
        <w:left w:val="none" w:sz="0" w:space="0" w:color="auto"/>
        <w:bottom w:val="none" w:sz="0" w:space="0" w:color="auto"/>
        <w:right w:val="none" w:sz="0" w:space="0" w:color="auto"/>
      </w:divBdr>
    </w:div>
    <w:div w:id="491331129">
      <w:bodyDiv w:val="1"/>
      <w:marLeft w:val="0"/>
      <w:marRight w:val="0"/>
      <w:marTop w:val="0"/>
      <w:marBottom w:val="0"/>
      <w:divBdr>
        <w:top w:val="none" w:sz="0" w:space="0" w:color="auto"/>
        <w:left w:val="none" w:sz="0" w:space="0" w:color="auto"/>
        <w:bottom w:val="none" w:sz="0" w:space="0" w:color="auto"/>
        <w:right w:val="none" w:sz="0" w:space="0" w:color="auto"/>
      </w:divBdr>
    </w:div>
    <w:div w:id="495800503">
      <w:bodyDiv w:val="1"/>
      <w:marLeft w:val="0"/>
      <w:marRight w:val="0"/>
      <w:marTop w:val="0"/>
      <w:marBottom w:val="0"/>
      <w:divBdr>
        <w:top w:val="none" w:sz="0" w:space="0" w:color="auto"/>
        <w:left w:val="none" w:sz="0" w:space="0" w:color="auto"/>
        <w:bottom w:val="none" w:sz="0" w:space="0" w:color="auto"/>
        <w:right w:val="none" w:sz="0" w:space="0" w:color="auto"/>
      </w:divBdr>
    </w:div>
    <w:div w:id="513883378">
      <w:bodyDiv w:val="1"/>
      <w:marLeft w:val="0"/>
      <w:marRight w:val="0"/>
      <w:marTop w:val="0"/>
      <w:marBottom w:val="0"/>
      <w:divBdr>
        <w:top w:val="none" w:sz="0" w:space="0" w:color="auto"/>
        <w:left w:val="none" w:sz="0" w:space="0" w:color="auto"/>
        <w:bottom w:val="none" w:sz="0" w:space="0" w:color="auto"/>
        <w:right w:val="none" w:sz="0" w:space="0" w:color="auto"/>
      </w:divBdr>
    </w:div>
    <w:div w:id="532574333">
      <w:bodyDiv w:val="1"/>
      <w:marLeft w:val="0"/>
      <w:marRight w:val="0"/>
      <w:marTop w:val="0"/>
      <w:marBottom w:val="0"/>
      <w:divBdr>
        <w:top w:val="none" w:sz="0" w:space="0" w:color="auto"/>
        <w:left w:val="none" w:sz="0" w:space="0" w:color="auto"/>
        <w:bottom w:val="none" w:sz="0" w:space="0" w:color="auto"/>
        <w:right w:val="none" w:sz="0" w:space="0" w:color="auto"/>
      </w:divBdr>
    </w:div>
    <w:div w:id="556937647">
      <w:bodyDiv w:val="1"/>
      <w:marLeft w:val="0"/>
      <w:marRight w:val="0"/>
      <w:marTop w:val="0"/>
      <w:marBottom w:val="0"/>
      <w:divBdr>
        <w:top w:val="none" w:sz="0" w:space="0" w:color="auto"/>
        <w:left w:val="none" w:sz="0" w:space="0" w:color="auto"/>
        <w:bottom w:val="none" w:sz="0" w:space="0" w:color="auto"/>
        <w:right w:val="none" w:sz="0" w:space="0" w:color="auto"/>
      </w:divBdr>
    </w:div>
    <w:div w:id="559828074">
      <w:bodyDiv w:val="1"/>
      <w:marLeft w:val="0"/>
      <w:marRight w:val="0"/>
      <w:marTop w:val="0"/>
      <w:marBottom w:val="0"/>
      <w:divBdr>
        <w:top w:val="none" w:sz="0" w:space="0" w:color="auto"/>
        <w:left w:val="none" w:sz="0" w:space="0" w:color="auto"/>
        <w:bottom w:val="none" w:sz="0" w:space="0" w:color="auto"/>
        <w:right w:val="none" w:sz="0" w:space="0" w:color="auto"/>
      </w:divBdr>
    </w:div>
    <w:div w:id="570117006">
      <w:bodyDiv w:val="1"/>
      <w:marLeft w:val="0"/>
      <w:marRight w:val="0"/>
      <w:marTop w:val="0"/>
      <w:marBottom w:val="0"/>
      <w:divBdr>
        <w:top w:val="none" w:sz="0" w:space="0" w:color="auto"/>
        <w:left w:val="none" w:sz="0" w:space="0" w:color="auto"/>
        <w:bottom w:val="none" w:sz="0" w:space="0" w:color="auto"/>
        <w:right w:val="none" w:sz="0" w:space="0" w:color="auto"/>
      </w:divBdr>
    </w:div>
    <w:div w:id="584342388">
      <w:bodyDiv w:val="1"/>
      <w:marLeft w:val="0"/>
      <w:marRight w:val="0"/>
      <w:marTop w:val="0"/>
      <w:marBottom w:val="0"/>
      <w:divBdr>
        <w:top w:val="none" w:sz="0" w:space="0" w:color="auto"/>
        <w:left w:val="none" w:sz="0" w:space="0" w:color="auto"/>
        <w:bottom w:val="none" w:sz="0" w:space="0" w:color="auto"/>
        <w:right w:val="none" w:sz="0" w:space="0" w:color="auto"/>
      </w:divBdr>
      <w:divsChild>
        <w:div w:id="210269710">
          <w:marLeft w:val="360"/>
          <w:marRight w:val="0"/>
          <w:marTop w:val="200"/>
          <w:marBottom w:val="0"/>
          <w:divBdr>
            <w:top w:val="none" w:sz="0" w:space="0" w:color="auto"/>
            <w:left w:val="none" w:sz="0" w:space="0" w:color="auto"/>
            <w:bottom w:val="none" w:sz="0" w:space="0" w:color="auto"/>
            <w:right w:val="none" w:sz="0" w:space="0" w:color="auto"/>
          </w:divBdr>
        </w:div>
      </w:divsChild>
    </w:div>
    <w:div w:id="622926918">
      <w:bodyDiv w:val="1"/>
      <w:marLeft w:val="0"/>
      <w:marRight w:val="0"/>
      <w:marTop w:val="0"/>
      <w:marBottom w:val="0"/>
      <w:divBdr>
        <w:top w:val="none" w:sz="0" w:space="0" w:color="auto"/>
        <w:left w:val="none" w:sz="0" w:space="0" w:color="auto"/>
        <w:bottom w:val="none" w:sz="0" w:space="0" w:color="auto"/>
        <w:right w:val="none" w:sz="0" w:space="0" w:color="auto"/>
      </w:divBdr>
    </w:div>
    <w:div w:id="628122231">
      <w:bodyDiv w:val="1"/>
      <w:marLeft w:val="0"/>
      <w:marRight w:val="0"/>
      <w:marTop w:val="0"/>
      <w:marBottom w:val="0"/>
      <w:divBdr>
        <w:top w:val="none" w:sz="0" w:space="0" w:color="auto"/>
        <w:left w:val="none" w:sz="0" w:space="0" w:color="auto"/>
        <w:bottom w:val="none" w:sz="0" w:space="0" w:color="auto"/>
        <w:right w:val="none" w:sz="0" w:space="0" w:color="auto"/>
      </w:divBdr>
    </w:div>
    <w:div w:id="665402384">
      <w:bodyDiv w:val="1"/>
      <w:marLeft w:val="0"/>
      <w:marRight w:val="0"/>
      <w:marTop w:val="0"/>
      <w:marBottom w:val="0"/>
      <w:divBdr>
        <w:top w:val="none" w:sz="0" w:space="0" w:color="auto"/>
        <w:left w:val="none" w:sz="0" w:space="0" w:color="auto"/>
        <w:bottom w:val="none" w:sz="0" w:space="0" w:color="auto"/>
        <w:right w:val="none" w:sz="0" w:space="0" w:color="auto"/>
      </w:divBdr>
    </w:div>
    <w:div w:id="669066104">
      <w:bodyDiv w:val="1"/>
      <w:marLeft w:val="0"/>
      <w:marRight w:val="0"/>
      <w:marTop w:val="0"/>
      <w:marBottom w:val="0"/>
      <w:divBdr>
        <w:top w:val="none" w:sz="0" w:space="0" w:color="auto"/>
        <w:left w:val="none" w:sz="0" w:space="0" w:color="auto"/>
        <w:bottom w:val="none" w:sz="0" w:space="0" w:color="auto"/>
        <w:right w:val="none" w:sz="0" w:space="0" w:color="auto"/>
      </w:divBdr>
    </w:div>
    <w:div w:id="680472620">
      <w:bodyDiv w:val="1"/>
      <w:marLeft w:val="0"/>
      <w:marRight w:val="0"/>
      <w:marTop w:val="0"/>
      <w:marBottom w:val="0"/>
      <w:divBdr>
        <w:top w:val="none" w:sz="0" w:space="0" w:color="auto"/>
        <w:left w:val="none" w:sz="0" w:space="0" w:color="auto"/>
        <w:bottom w:val="none" w:sz="0" w:space="0" w:color="auto"/>
        <w:right w:val="none" w:sz="0" w:space="0" w:color="auto"/>
      </w:divBdr>
    </w:div>
    <w:div w:id="716127646">
      <w:bodyDiv w:val="1"/>
      <w:marLeft w:val="0"/>
      <w:marRight w:val="0"/>
      <w:marTop w:val="0"/>
      <w:marBottom w:val="0"/>
      <w:divBdr>
        <w:top w:val="none" w:sz="0" w:space="0" w:color="auto"/>
        <w:left w:val="none" w:sz="0" w:space="0" w:color="auto"/>
        <w:bottom w:val="none" w:sz="0" w:space="0" w:color="auto"/>
        <w:right w:val="none" w:sz="0" w:space="0" w:color="auto"/>
      </w:divBdr>
    </w:div>
    <w:div w:id="768549880">
      <w:bodyDiv w:val="1"/>
      <w:marLeft w:val="0"/>
      <w:marRight w:val="0"/>
      <w:marTop w:val="0"/>
      <w:marBottom w:val="0"/>
      <w:divBdr>
        <w:top w:val="none" w:sz="0" w:space="0" w:color="auto"/>
        <w:left w:val="none" w:sz="0" w:space="0" w:color="auto"/>
        <w:bottom w:val="none" w:sz="0" w:space="0" w:color="auto"/>
        <w:right w:val="none" w:sz="0" w:space="0" w:color="auto"/>
      </w:divBdr>
    </w:div>
    <w:div w:id="770512862">
      <w:bodyDiv w:val="1"/>
      <w:marLeft w:val="0"/>
      <w:marRight w:val="0"/>
      <w:marTop w:val="0"/>
      <w:marBottom w:val="0"/>
      <w:divBdr>
        <w:top w:val="none" w:sz="0" w:space="0" w:color="auto"/>
        <w:left w:val="none" w:sz="0" w:space="0" w:color="auto"/>
        <w:bottom w:val="none" w:sz="0" w:space="0" w:color="auto"/>
        <w:right w:val="none" w:sz="0" w:space="0" w:color="auto"/>
      </w:divBdr>
    </w:div>
    <w:div w:id="789593929">
      <w:bodyDiv w:val="1"/>
      <w:marLeft w:val="0"/>
      <w:marRight w:val="0"/>
      <w:marTop w:val="0"/>
      <w:marBottom w:val="0"/>
      <w:divBdr>
        <w:top w:val="none" w:sz="0" w:space="0" w:color="auto"/>
        <w:left w:val="none" w:sz="0" w:space="0" w:color="auto"/>
        <w:bottom w:val="none" w:sz="0" w:space="0" w:color="auto"/>
        <w:right w:val="none" w:sz="0" w:space="0" w:color="auto"/>
      </w:divBdr>
    </w:div>
    <w:div w:id="798842383">
      <w:bodyDiv w:val="1"/>
      <w:marLeft w:val="0"/>
      <w:marRight w:val="0"/>
      <w:marTop w:val="0"/>
      <w:marBottom w:val="0"/>
      <w:divBdr>
        <w:top w:val="none" w:sz="0" w:space="0" w:color="auto"/>
        <w:left w:val="none" w:sz="0" w:space="0" w:color="auto"/>
        <w:bottom w:val="none" w:sz="0" w:space="0" w:color="auto"/>
        <w:right w:val="none" w:sz="0" w:space="0" w:color="auto"/>
      </w:divBdr>
    </w:div>
    <w:div w:id="830213964">
      <w:bodyDiv w:val="1"/>
      <w:marLeft w:val="0"/>
      <w:marRight w:val="0"/>
      <w:marTop w:val="0"/>
      <w:marBottom w:val="0"/>
      <w:divBdr>
        <w:top w:val="none" w:sz="0" w:space="0" w:color="auto"/>
        <w:left w:val="none" w:sz="0" w:space="0" w:color="auto"/>
        <w:bottom w:val="none" w:sz="0" w:space="0" w:color="auto"/>
        <w:right w:val="none" w:sz="0" w:space="0" w:color="auto"/>
      </w:divBdr>
    </w:div>
    <w:div w:id="839738633">
      <w:bodyDiv w:val="1"/>
      <w:marLeft w:val="0"/>
      <w:marRight w:val="0"/>
      <w:marTop w:val="0"/>
      <w:marBottom w:val="0"/>
      <w:divBdr>
        <w:top w:val="none" w:sz="0" w:space="0" w:color="auto"/>
        <w:left w:val="none" w:sz="0" w:space="0" w:color="auto"/>
        <w:bottom w:val="none" w:sz="0" w:space="0" w:color="auto"/>
        <w:right w:val="none" w:sz="0" w:space="0" w:color="auto"/>
      </w:divBdr>
    </w:div>
    <w:div w:id="856581007">
      <w:bodyDiv w:val="1"/>
      <w:marLeft w:val="0"/>
      <w:marRight w:val="0"/>
      <w:marTop w:val="0"/>
      <w:marBottom w:val="0"/>
      <w:divBdr>
        <w:top w:val="none" w:sz="0" w:space="0" w:color="auto"/>
        <w:left w:val="none" w:sz="0" w:space="0" w:color="auto"/>
        <w:bottom w:val="none" w:sz="0" w:space="0" w:color="auto"/>
        <w:right w:val="none" w:sz="0" w:space="0" w:color="auto"/>
      </w:divBdr>
      <w:divsChild>
        <w:div w:id="2124304399">
          <w:marLeft w:val="547"/>
          <w:marRight w:val="0"/>
          <w:marTop w:val="0"/>
          <w:marBottom w:val="0"/>
          <w:divBdr>
            <w:top w:val="none" w:sz="0" w:space="0" w:color="auto"/>
            <w:left w:val="none" w:sz="0" w:space="0" w:color="auto"/>
            <w:bottom w:val="none" w:sz="0" w:space="0" w:color="auto"/>
            <w:right w:val="none" w:sz="0" w:space="0" w:color="auto"/>
          </w:divBdr>
        </w:div>
        <w:div w:id="1390493722">
          <w:marLeft w:val="1166"/>
          <w:marRight w:val="0"/>
          <w:marTop w:val="0"/>
          <w:marBottom w:val="0"/>
          <w:divBdr>
            <w:top w:val="none" w:sz="0" w:space="0" w:color="auto"/>
            <w:left w:val="none" w:sz="0" w:space="0" w:color="auto"/>
            <w:bottom w:val="none" w:sz="0" w:space="0" w:color="auto"/>
            <w:right w:val="none" w:sz="0" w:space="0" w:color="auto"/>
          </w:divBdr>
        </w:div>
        <w:div w:id="1805610605">
          <w:marLeft w:val="1800"/>
          <w:marRight w:val="0"/>
          <w:marTop w:val="0"/>
          <w:marBottom w:val="0"/>
          <w:divBdr>
            <w:top w:val="none" w:sz="0" w:space="0" w:color="auto"/>
            <w:left w:val="none" w:sz="0" w:space="0" w:color="auto"/>
            <w:bottom w:val="none" w:sz="0" w:space="0" w:color="auto"/>
            <w:right w:val="none" w:sz="0" w:space="0" w:color="auto"/>
          </w:divBdr>
        </w:div>
        <w:div w:id="523402141">
          <w:marLeft w:val="1800"/>
          <w:marRight w:val="0"/>
          <w:marTop w:val="0"/>
          <w:marBottom w:val="0"/>
          <w:divBdr>
            <w:top w:val="none" w:sz="0" w:space="0" w:color="auto"/>
            <w:left w:val="none" w:sz="0" w:space="0" w:color="auto"/>
            <w:bottom w:val="none" w:sz="0" w:space="0" w:color="auto"/>
            <w:right w:val="none" w:sz="0" w:space="0" w:color="auto"/>
          </w:divBdr>
        </w:div>
        <w:div w:id="799034349">
          <w:marLeft w:val="1800"/>
          <w:marRight w:val="0"/>
          <w:marTop w:val="0"/>
          <w:marBottom w:val="0"/>
          <w:divBdr>
            <w:top w:val="none" w:sz="0" w:space="0" w:color="auto"/>
            <w:left w:val="none" w:sz="0" w:space="0" w:color="auto"/>
            <w:bottom w:val="none" w:sz="0" w:space="0" w:color="auto"/>
            <w:right w:val="none" w:sz="0" w:space="0" w:color="auto"/>
          </w:divBdr>
        </w:div>
        <w:div w:id="88426947">
          <w:marLeft w:val="1800"/>
          <w:marRight w:val="0"/>
          <w:marTop w:val="0"/>
          <w:marBottom w:val="0"/>
          <w:divBdr>
            <w:top w:val="none" w:sz="0" w:space="0" w:color="auto"/>
            <w:left w:val="none" w:sz="0" w:space="0" w:color="auto"/>
            <w:bottom w:val="none" w:sz="0" w:space="0" w:color="auto"/>
            <w:right w:val="none" w:sz="0" w:space="0" w:color="auto"/>
          </w:divBdr>
        </w:div>
        <w:div w:id="1934891853">
          <w:marLeft w:val="1800"/>
          <w:marRight w:val="0"/>
          <w:marTop w:val="0"/>
          <w:marBottom w:val="0"/>
          <w:divBdr>
            <w:top w:val="none" w:sz="0" w:space="0" w:color="auto"/>
            <w:left w:val="none" w:sz="0" w:space="0" w:color="auto"/>
            <w:bottom w:val="none" w:sz="0" w:space="0" w:color="auto"/>
            <w:right w:val="none" w:sz="0" w:space="0" w:color="auto"/>
          </w:divBdr>
        </w:div>
        <w:div w:id="696201791">
          <w:marLeft w:val="1800"/>
          <w:marRight w:val="0"/>
          <w:marTop w:val="0"/>
          <w:marBottom w:val="0"/>
          <w:divBdr>
            <w:top w:val="none" w:sz="0" w:space="0" w:color="auto"/>
            <w:left w:val="none" w:sz="0" w:space="0" w:color="auto"/>
            <w:bottom w:val="none" w:sz="0" w:space="0" w:color="auto"/>
            <w:right w:val="none" w:sz="0" w:space="0" w:color="auto"/>
          </w:divBdr>
        </w:div>
        <w:div w:id="287130793">
          <w:marLeft w:val="1800"/>
          <w:marRight w:val="0"/>
          <w:marTop w:val="0"/>
          <w:marBottom w:val="0"/>
          <w:divBdr>
            <w:top w:val="none" w:sz="0" w:space="0" w:color="auto"/>
            <w:left w:val="none" w:sz="0" w:space="0" w:color="auto"/>
            <w:bottom w:val="none" w:sz="0" w:space="0" w:color="auto"/>
            <w:right w:val="none" w:sz="0" w:space="0" w:color="auto"/>
          </w:divBdr>
        </w:div>
        <w:div w:id="485559413">
          <w:marLeft w:val="1800"/>
          <w:marRight w:val="0"/>
          <w:marTop w:val="0"/>
          <w:marBottom w:val="0"/>
          <w:divBdr>
            <w:top w:val="none" w:sz="0" w:space="0" w:color="auto"/>
            <w:left w:val="none" w:sz="0" w:space="0" w:color="auto"/>
            <w:bottom w:val="none" w:sz="0" w:space="0" w:color="auto"/>
            <w:right w:val="none" w:sz="0" w:space="0" w:color="auto"/>
          </w:divBdr>
        </w:div>
        <w:div w:id="932207863">
          <w:marLeft w:val="1166"/>
          <w:marRight w:val="0"/>
          <w:marTop w:val="0"/>
          <w:marBottom w:val="0"/>
          <w:divBdr>
            <w:top w:val="none" w:sz="0" w:space="0" w:color="auto"/>
            <w:left w:val="none" w:sz="0" w:space="0" w:color="auto"/>
            <w:bottom w:val="none" w:sz="0" w:space="0" w:color="auto"/>
            <w:right w:val="none" w:sz="0" w:space="0" w:color="auto"/>
          </w:divBdr>
        </w:div>
        <w:div w:id="236325494">
          <w:marLeft w:val="1800"/>
          <w:marRight w:val="0"/>
          <w:marTop w:val="0"/>
          <w:marBottom w:val="0"/>
          <w:divBdr>
            <w:top w:val="none" w:sz="0" w:space="0" w:color="auto"/>
            <w:left w:val="none" w:sz="0" w:space="0" w:color="auto"/>
            <w:bottom w:val="none" w:sz="0" w:space="0" w:color="auto"/>
            <w:right w:val="none" w:sz="0" w:space="0" w:color="auto"/>
          </w:divBdr>
        </w:div>
        <w:div w:id="401677636">
          <w:marLeft w:val="1800"/>
          <w:marRight w:val="0"/>
          <w:marTop w:val="0"/>
          <w:marBottom w:val="0"/>
          <w:divBdr>
            <w:top w:val="none" w:sz="0" w:space="0" w:color="auto"/>
            <w:left w:val="none" w:sz="0" w:space="0" w:color="auto"/>
            <w:bottom w:val="none" w:sz="0" w:space="0" w:color="auto"/>
            <w:right w:val="none" w:sz="0" w:space="0" w:color="auto"/>
          </w:divBdr>
        </w:div>
        <w:div w:id="1822847663">
          <w:marLeft w:val="1800"/>
          <w:marRight w:val="0"/>
          <w:marTop w:val="0"/>
          <w:marBottom w:val="0"/>
          <w:divBdr>
            <w:top w:val="none" w:sz="0" w:space="0" w:color="auto"/>
            <w:left w:val="none" w:sz="0" w:space="0" w:color="auto"/>
            <w:bottom w:val="none" w:sz="0" w:space="0" w:color="auto"/>
            <w:right w:val="none" w:sz="0" w:space="0" w:color="auto"/>
          </w:divBdr>
        </w:div>
        <w:div w:id="1471944909">
          <w:marLeft w:val="1800"/>
          <w:marRight w:val="0"/>
          <w:marTop w:val="0"/>
          <w:marBottom w:val="0"/>
          <w:divBdr>
            <w:top w:val="none" w:sz="0" w:space="0" w:color="auto"/>
            <w:left w:val="none" w:sz="0" w:space="0" w:color="auto"/>
            <w:bottom w:val="none" w:sz="0" w:space="0" w:color="auto"/>
            <w:right w:val="none" w:sz="0" w:space="0" w:color="auto"/>
          </w:divBdr>
        </w:div>
        <w:div w:id="1357660032">
          <w:marLeft w:val="1166"/>
          <w:marRight w:val="0"/>
          <w:marTop w:val="0"/>
          <w:marBottom w:val="0"/>
          <w:divBdr>
            <w:top w:val="none" w:sz="0" w:space="0" w:color="auto"/>
            <w:left w:val="none" w:sz="0" w:space="0" w:color="auto"/>
            <w:bottom w:val="none" w:sz="0" w:space="0" w:color="auto"/>
            <w:right w:val="none" w:sz="0" w:space="0" w:color="auto"/>
          </w:divBdr>
        </w:div>
      </w:divsChild>
    </w:div>
    <w:div w:id="877816117">
      <w:bodyDiv w:val="1"/>
      <w:marLeft w:val="0"/>
      <w:marRight w:val="0"/>
      <w:marTop w:val="0"/>
      <w:marBottom w:val="0"/>
      <w:divBdr>
        <w:top w:val="none" w:sz="0" w:space="0" w:color="auto"/>
        <w:left w:val="none" w:sz="0" w:space="0" w:color="auto"/>
        <w:bottom w:val="none" w:sz="0" w:space="0" w:color="auto"/>
        <w:right w:val="none" w:sz="0" w:space="0" w:color="auto"/>
      </w:divBdr>
    </w:div>
    <w:div w:id="913776570">
      <w:bodyDiv w:val="1"/>
      <w:marLeft w:val="0"/>
      <w:marRight w:val="0"/>
      <w:marTop w:val="0"/>
      <w:marBottom w:val="0"/>
      <w:divBdr>
        <w:top w:val="none" w:sz="0" w:space="0" w:color="auto"/>
        <w:left w:val="none" w:sz="0" w:space="0" w:color="auto"/>
        <w:bottom w:val="none" w:sz="0" w:space="0" w:color="auto"/>
        <w:right w:val="none" w:sz="0" w:space="0" w:color="auto"/>
      </w:divBdr>
    </w:div>
    <w:div w:id="937639355">
      <w:bodyDiv w:val="1"/>
      <w:marLeft w:val="0"/>
      <w:marRight w:val="0"/>
      <w:marTop w:val="0"/>
      <w:marBottom w:val="0"/>
      <w:divBdr>
        <w:top w:val="none" w:sz="0" w:space="0" w:color="auto"/>
        <w:left w:val="none" w:sz="0" w:space="0" w:color="auto"/>
        <w:bottom w:val="none" w:sz="0" w:space="0" w:color="auto"/>
        <w:right w:val="none" w:sz="0" w:space="0" w:color="auto"/>
      </w:divBdr>
    </w:div>
    <w:div w:id="938873723">
      <w:bodyDiv w:val="1"/>
      <w:marLeft w:val="0"/>
      <w:marRight w:val="0"/>
      <w:marTop w:val="0"/>
      <w:marBottom w:val="0"/>
      <w:divBdr>
        <w:top w:val="none" w:sz="0" w:space="0" w:color="auto"/>
        <w:left w:val="none" w:sz="0" w:space="0" w:color="auto"/>
        <w:bottom w:val="none" w:sz="0" w:space="0" w:color="auto"/>
        <w:right w:val="none" w:sz="0" w:space="0" w:color="auto"/>
      </w:divBdr>
    </w:div>
    <w:div w:id="946692660">
      <w:bodyDiv w:val="1"/>
      <w:marLeft w:val="0"/>
      <w:marRight w:val="0"/>
      <w:marTop w:val="0"/>
      <w:marBottom w:val="0"/>
      <w:divBdr>
        <w:top w:val="none" w:sz="0" w:space="0" w:color="auto"/>
        <w:left w:val="none" w:sz="0" w:space="0" w:color="auto"/>
        <w:bottom w:val="none" w:sz="0" w:space="0" w:color="auto"/>
        <w:right w:val="none" w:sz="0" w:space="0" w:color="auto"/>
      </w:divBdr>
    </w:div>
    <w:div w:id="985279004">
      <w:bodyDiv w:val="1"/>
      <w:marLeft w:val="0"/>
      <w:marRight w:val="0"/>
      <w:marTop w:val="0"/>
      <w:marBottom w:val="0"/>
      <w:divBdr>
        <w:top w:val="none" w:sz="0" w:space="0" w:color="auto"/>
        <w:left w:val="none" w:sz="0" w:space="0" w:color="auto"/>
        <w:bottom w:val="none" w:sz="0" w:space="0" w:color="auto"/>
        <w:right w:val="none" w:sz="0" w:space="0" w:color="auto"/>
      </w:divBdr>
    </w:div>
    <w:div w:id="994993983">
      <w:bodyDiv w:val="1"/>
      <w:marLeft w:val="0"/>
      <w:marRight w:val="0"/>
      <w:marTop w:val="0"/>
      <w:marBottom w:val="0"/>
      <w:divBdr>
        <w:top w:val="none" w:sz="0" w:space="0" w:color="auto"/>
        <w:left w:val="none" w:sz="0" w:space="0" w:color="auto"/>
        <w:bottom w:val="none" w:sz="0" w:space="0" w:color="auto"/>
        <w:right w:val="none" w:sz="0" w:space="0" w:color="auto"/>
      </w:divBdr>
    </w:div>
    <w:div w:id="1002972754">
      <w:bodyDiv w:val="1"/>
      <w:marLeft w:val="0"/>
      <w:marRight w:val="0"/>
      <w:marTop w:val="0"/>
      <w:marBottom w:val="0"/>
      <w:divBdr>
        <w:top w:val="none" w:sz="0" w:space="0" w:color="auto"/>
        <w:left w:val="none" w:sz="0" w:space="0" w:color="auto"/>
        <w:bottom w:val="none" w:sz="0" w:space="0" w:color="auto"/>
        <w:right w:val="none" w:sz="0" w:space="0" w:color="auto"/>
      </w:divBdr>
    </w:div>
    <w:div w:id="1010765590">
      <w:bodyDiv w:val="1"/>
      <w:marLeft w:val="0"/>
      <w:marRight w:val="0"/>
      <w:marTop w:val="0"/>
      <w:marBottom w:val="0"/>
      <w:divBdr>
        <w:top w:val="none" w:sz="0" w:space="0" w:color="auto"/>
        <w:left w:val="none" w:sz="0" w:space="0" w:color="auto"/>
        <w:bottom w:val="none" w:sz="0" w:space="0" w:color="auto"/>
        <w:right w:val="none" w:sz="0" w:space="0" w:color="auto"/>
      </w:divBdr>
    </w:div>
    <w:div w:id="1011487492">
      <w:bodyDiv w:val="1"/>
      <w:marLeft w:val="0"/>
      <w:marRight w:val="0"/>
      <w:marTop w:val="0"/>
      <w:marBottom w:val="0"/>
      <w:divBdr>
        <w:top w:val="none" w:sz="0" w:space="0" w:color="auto"/>
        <w:left w:val="none" w:sz="0" w:space="0" w:color="auto"/>
        <w:bottom w:val="none" w:sz="0" w:space="0" w:color="auto"/>
        <w:right w:val="none" w:sz="0" w:space="0" w:color="auto"/>
      </w:divBdr>
    </w:div>
    <w:div w:id="1015039810">
      <w:bodyDiv w:val="1"/>
      <w:marLeft w:val="0"/>
      <w:marRight w:val="0"/>
      <w:marTop w:val="0"/>
      <w:marBottom w:val="0"/>
      <w:divBdr>
        <w:top w:val="none" w:sz="0" w:space="0" w:color="auto"/>
        <w:left w:val="none" w:sz="0" w:space="0" w:color="auto"/>
        <w:bottom w:val="none" w:sz="0" w:space="0" w:color="auto"/>
        <w:right w:val="none" w:sz="0" w:space="0" w:color="auto"/>
      </w:divBdr>
    </w:div>
    <w:div w:id="1032606428">
      <w:bodyDiv w:val="1"/>
      <w:marLeft w:val="0"/>
      <w:marRight w:val="0"/>
      <w:marTop w:val="0"/>
      <w:marBottom w:val="0"/>
      <w:divBdr>
        <w:top w:val="none" w:sz="0" w:space="0" w:color="auto"/>
        <w:left w:val="none" w:sz="0" w:space="0" w:color="auto"/>
        <w:bottom w:val="none" w:sz="0" w:space="0" w:color="auto"/>
        <w:right w:val="none" w:sz="0" w:space="0" w:color="auto"/>
      </w:divBdr>
    </w:div>
    <w:div w:id="1036391257">
      <w:bodyDiv w:val="1"/>
      <w:marLeft w:val="0"/>
      <w:marRight w:val="0"/>
      <w:marTop w:val="0"/>
      <w:marBottom w:val="0"/>
      <w:divBdr>
        <w:top w:val="none" w:sz="0" w:space="0" w:color="auto"/>
        <w:left w:val="none" w:sz="0" w:space="0" w:color="auto"/>
        <w:bottom w:val="none" w:sz="0" w:space="0" w:color="auto"/>
        <w:right w:val="none" w:sz="0" w:space="0" w:color="auto"/>
      </w:divBdr>
    </w:div>
    <w:div w:id="1055156342">
      <w:bodyDiv w:val="1"/>
      <w:marLeft w:val="0"/>
      <w:marRight w:val="0"/>
      <w:marTop w:val="0"/>
      <w:marBottom w:val="0"/>
      <w:divBdr>
        <w:top w:val="none" w:sz="0" w:space="0" w:color="auto"/>
        <w:left w:val="none" w:sz="0" w:space="0" w:color="auto"/>
        <w:bottom w:val="none" w:sz="0" w:space="0" w:color="auto"/>
        <w:right w:val="none" w:sz="0" w:space="0" w:color="auto"/>
      </w:divBdr>
    </w:div>
    <w:div w:id="1063675781">
      <w:bodyDiv w:val="1"/>
      <w:marLeft w:val="0"/>
      <w:marRight w:val="0"/>
      <w:marTop w:val="0"/>
      <w:marBottom w:val="0"/>
      <w:divBdr>
        <w:top w:val="none" w:sz="0" w:space="0" w:color="auto"/>
        <w:left w:val="none" w:sz="0" w:space="0" w:color="auto"/>
        <w:bottom w:val="none" w:sz="0" w:space="0" w:color="auto"/>
        <w:right w:val="none" w:sz="0" w:space="0" w:color="auto"/>
      </w:divBdr>
    </w:div>
    <w:div w:id="1081949962">
      <w:bodyDiv w:val="1"/>
      <w:marLeft w:val="0"/>
      <w:marRight w:val="0"/>
      <w:marTop w:val="0"/>
      <w:marBottom w:val="0"/>
      <w:divBdr>
        <w:top w:val="none" w:sz="0" w:space="0" w:color="auto"/>
        <w:left w:val="none" w:sz="0" w:space="0" w:color="auto"/>
        <w:bottom w:val="none" w:sz="0" w:space="0" w:color="auto"/>
        <w:right w:val="none" w:sz="0" w:space="0" w:color="auto"/>
      </w:divBdr>
    </w:div>
    <w:div w:id="1103306448">
      <w:bodyDiv w:val="1"/>
      <w:marLeft w:val="0"/>
      <w:marRight w:val="0"/>
      <w:marTop w:val="0"/>
      <w:marBottom w:val="0"/>
      <w:divBdr>
        <w:top w:val="none" w:sz="0" w:space="0" w:color="auto"/>
        <w:left w:val="none" w:sz="0" w:space="0" w:color="auto"/>
        <w:bottom w:val="none" w:sz="0" w:space="0" w:color="auto"/>
        <w:right w:val="none" w:sz="0" w:space="0" w:color="auto"/>
      </w:divBdr>
    </w:div>
    <w:div w:id="1115054268">
      <w:bodyDiv w:val="1"/>
      <w:marLeft w:val="0"/>
      <w:marRight w:val="0"/>
      <w:marTop w:val="0"/>
      <w:marBottom w:val="0"/>
      <w:divBdr>
        <w:top w:val="none" w:sz="0" w:space="0" w:color="auto"/>
        <w:left w:val="none" w:sz="0" w:space="0" w:color="auto"/>
        <w:bottom w:val="none" w:sz="0" w:space="0" w:color="auto"/>
        <w:right w:val="none" w:sz="0" w:space="0" w:color="auto"/>
      </w:divBdr>
    </w:div>
    <w:div w:id="1120341297">
      <w:bodyDiv w:val="1"/>
      <w:marLeft w:val="0"/>
      <w:marRight w:val="0"/>
      <w:marTop w:val="0"/>
      <w:marBottom w:val="0"/>
      <w:divBdr>
        <w:top w:val="none" w:sz="0" w:space="0" w:color="auto"/>
        <w:left w:val="none" w:sz="0" w:space="0" w:color="auto"/>
        <w:bottom w:val="none" w:sz="0" w:space="0" w:color="auto"/>
        <w:right w:val="none" w:sz="0" w:space="0" w:color="auto"/>
      </w:divBdr>
    </w:div>
    <w:div w:id="1120566497">
      <w:bodyDiv w:val="1"/>
      <w:marLeft w:val="0"/>
      <w:marRight w:val="0"/>
      <w:marTop w:val="0"/>
      <w:marBottom w:val="0"/>
      <w:divBdr>
        <w:top w:val="none" w:sz="0" w:space="0" w:color="auto"/>
        <w:left w:val="none" w:sz="0" w:space="0" w:color="auto"/>
        <w:bottom w:val="none" w:sz="0" w:space="0" w:color="auto"/>
        <w:right w:val="none" w:sz="0" w:space="0" w:color="auto"/>
      </w:divBdr>
    </w:div>
    <w:div w:id="1130900501">
      <w:bodyDiv w:val="1"/>
      <w:marLeft w:val="0"/>
      <w:marRight w:val="0"/>
      <w:marTop w:val="0"/>
      <w:marBottom w:val="0"/>
      <w:divBdr>
        <w:top w:val="none" w:sz="0" w:space="0" w:color="auto"/>
        <w:left w:val="none" w:sz="0" w:space="0" w:color="auto"/>
        <w:bottom w:val="none" w:sz="0" w:space="0" w:color="auto"/>
        <w:right w:val="none" w:sz="0" w:space="0" w:color="auto"/>
      </w:divBdr>
    </w:div>
    <w:div w:id="1132558281">
      <w:bodyDiv w:val="1"/>
      <w:marLeft w:val="0"/>
      <w:marRight w:val="0"/>
      <w:marTop w:val="0"/>
      <w:marBottom w:val="0"/>
      <w:divBdr>
        <w:top w:val="none" w:sz="0" w:space="0" w:color="auto"/>
        <w:left w:val="none" w:sz="0" w:space="0" w:color="auto"/>
        <w:bottom w:val="none" w:sz="0" w:space="0" w:color="auto"/>
        <w:right w:val="none" w:sz="0" w:space="0" w:color="auto"/>
      </w:divBdr>
    </w:div>
    <w:div w:id="1150053919">
      <w:bodyDiv w:val="1"/>
      <w:marLeft w:val="0"/>
      <w:marRight w:val="0"/>
      <w:marTop w:val="0"/>
      <w:marBottom w:val="0"/>
      <w:divBdr>
        <w:top w:val="none" w:sz="0" w:space="0" w:color="auto"/>
        <w:left w:val="none" w:sz="0" w:space="0" w:color="auto"/>
        <w:bottom w:val="none" w:sz="0" w:space="0" w:color="auto"/>
        <w:right w:val="none" w:sz="0" w:space="0" w:color="auto"/>
      </w:divBdr>
    </w:div>
    <w:div w:id="1167746214">
      <w:bodyDiv w:val="1"/>
      <w:marLeft w:val="0"/>
      <w:marRight w:val="0"/>
      <w:marTop w:val="0"/>
      <w:marBottom w:val="0"/>
      <w:divBdr>
        <w:top w:val="none" w:sz="0" w:space="0" w:color="auto"/>
        <w:left w:val="none" w:sz="0" w:space="0" w:color="auto"/>
        <w:bottom w:val="none" w:sz="0" w:space="0" w:color="auto"/>
        <w:right w:val="none" w:sz="0" w:space="0" w:color="auto"/>
      </w:divBdr>
    </w:div>
    <w:div w:id="1225264356">
      <w:bodyDiv w:val="1"/>
      <w:marLeft w:val="0"/>
      <w:marRight w:val="0"/>
      <w:marTop w:val="0"/>
      <w:marBottom w:val="0"/>
      <w:divBdr>
        <w:top w:val="none" w:sz="0" w:space="0" w:color="auto"/>
        <w:left w:val="none" w:sz="0" w:space="0" w:color="auto"/>
        <w:bottom w:val="none" w:sz="0" w:space="0" w:color="auto"/>
        <w:right w:val="none" w:sz="0" w:space="0" w:color="auto"/>
      </w:divBdr>
    </w:div>
    <w:div w:id="1250577988">
      <w:bodyDiv w:val="1"/>
      <w:marLeft w:val="0"/>
      <w:marRight w:val="0"/>
      <w:marTop w:val="0"/>
      <w:marBottom w:val="0"/>
      <w:divBdr>
        <w:top w:val="none" w:sz="0" w:space="0" w:color="auto"/>
        <w:left w:val="none" w:sz="0" w:space="0" w:color="auto"/>
        <w:bottom w:val="none" w:sz="0" w:space="0" w:color="auto"/>
        <w:right w:val="none" w:sz="0" w:space="0" w:color="auto"/>
      </w:divBdr>
    </w:div>
    <w:div w:id="1284069305">
      <w:bodyDiv w:val="1"/>
      <w:marLeft w:val="0"/>
      <w:marRight w:val="0"/>
      <w:marTop w:val="0"/>
      <w:marBottom w:val="0"/>
      <w:divBdr>
        <w:top w:val="none" w:sz="0" w:space="0" w:color="auto"/>
        <w:left w:val="none" w:sz="0" w:space="0" w:color="auto"/>
        <w:bottom w:val="none" w:sz="0" w:space="0" w:color="auto"/>
        <w:right w:val="none" w:sz="0" w:space="0" w:color="auto"/>
      </w:divBdr>
    </w:div>
    <w:div w:id="1347445904">
      <w:bodyDiv w:val="1"/>
      <w:marLeft w:val="0"/>
      <w:marRight w:val="0"/>
      <w:marTop w:val="0"/>
      <w:marBottom w:val="0"/>
      <w:divBdr>
        <w:top w:val="none" w:sz="0" w:space="0" w:color="auto"/>
        <w:left w:val="none" w:sz="0" w:space="0" w:color="auto"/>
        <w:bottom w:val="none" w:sz="0" w:space="0" w:color="auto"/>
        <w:right w:val="none" w:sz="0" w:space="0" w:color="auto"/>
      </w:divBdr>
    </w:div>
    <w:div w:id="1366367880">
      <w:bodyDiv w:val="1"/>
      <w:marLeft w:val="0"/>
      <w:marRight w:val="0"/>
      <w:marTop w:val="0"/>
      <w:marBottom w:val="0"/>
      <w:divBdr>
        <w:top w:val="none" w:sz="0" w:space="0" w:color="auto"/>
        <w:left w:val="none" w:sz="0" w:space="0" w:color="auto"/>
        <w:bottom w:val="none" w:sz="0" w:space="0" w:color="auto"/>
        <w:right w:val="none" w:sz="0" w:space="0" w:color="auto"/>
      </w:divBdr>
    </w:div>
    <w:div w:id="1400438816">
      <w:bodyDiv w:val="1"/>
      <w:marLeft w:val="0"/>
      <w:marRight w:val="0"/>
      <w:marTop w:val="0"/>
      <w:marBottom w:val="0"/>
      <w:divBdr>
        <w:top w:val="none" w:sz="0" w:space="0" w:color="auto"/>
        <w:left w:val="none" w:sz="0" w:space="0" w:color="auto"/>
        <w:bottom w:val="none" w:sz="0" w:space="0" w:color="auto"/>
        <w:right w:val="none" w:sz="0" w:space="0" w:color="auto"/>
      </w:divBdr>
    </w:div>
    <w:div w:id="1412507771">
      <w:bodyDiv w:val="1"/>
      <w:marLeft w:val="0"/>
      <w:marRight w:val="0"/>
      <w:marTop w:val="0"/>
      <w:marBottom w:val="0"/>
      <w:divBdr>
        <w:top w:val="none" w:sz="0" w:space="0" w:color="auto"/>
        <w:left w:val="none" w:sz="0" w:space="0" w:color="auto"/>
        <w:bottom w:val="none" w:sz="0" w:space="0" w:color="auto"/>
        <w:right w:val="none" w:sz="0" w:space="0" w:color="auto"/>
      </w:divBdr>
    </w:div>
    <w:div w:id="1416978147">
      <w:bodyDiv w:val="1"/>
      <w:marLeft w:val="0"/>
      <w:marRight w:val="0"/>
      <w:marTop w:val="0"/>
      <w:marBottom w:val="0"/>
      <w:divBdr>
        <w:top w:val="none" w:sz="0" w:space="0" w:color="auto"/>
        <w:left w:val="none" w:sz="0" w:space="0" w:color="auto"/>
        <w:bottom w:val="none" w:sz="0" w:space="0" w:color="auto"/>
        <w:right w:val="none" w:sz="0" w:space="0" w:color="auto"/>
      </w:divBdr>
    </w:div>
    <w:div w:id="1420326970">
      <w:bodyDiv w:val="1"/>
      <w:marLeft w:val="0"/>
      <w:marRight w:val="0"/>
      <w:marTop w:val="0"/>
      <w:marBottom w:val="0"/>
      <w:divBdr>
        <w:top w:val="none" w:sz="0" w:space="0" w:color="auto"/>
        <w:left w:val="none" w:sz="0" w:space="0" w:color="auto"/>
        <w:bottom w:val="none" w:sz="0" w:space="0" w:color="auto"/>
        <w:right w:val="none" w:sz="0" w:space="0" w:color="auto"/>
      </w:divBdr>
    </w:div>
    <w:div w:id="1437939758">
      <w:bodyDiv w:val="1"/>
      <w:marLeft w:val="0"/>
      <w:marRight w:val="0"/>
      <w:marTop w:val="0"/>
      <w:marBottom w:val="0"/>
      <w:divBdr>
        <w:top w:val="none" w:sz="0" w:space="0" w:color="auto"/>
        <w:left w:val="none" w:sz="0" w:space="0" w:color="auto"/>
        <w:bottom w:val="none" w:sz="0" w:space="0" w:color="auto"/>
        <w:right w:val="none" w:sz="0" w:space="0" w:color="auto"/>
      </w:divBdr>
    </w:div>
    <w:div w:id="1439330282">
      <w:bodyDiv w:val="1"/>
      <w:marLeft w:val="0"/>
      <w:marRight w:val="0"/>
      <w:marTop w:val="0"/>
      <w:marBottom w:val="0"/>
      <w:divBdr>
        <w:top w:val="none" w:sz="0" w:space="0" w:color="auto"/>
        <w:left w:val="none" w:sz="0" w:space="0" w:color="auto"/>
        <w:bottom w:val="none" w:sz="0" w:space="0" w:color="auto"/>
        <w:right w:val="none" w:sz="0" w:space="0" w:color="auto"/>
      </w:divBdr>
    </w:div>
    <w:div w:id="1477340354">
      <w:bodyDiv w:val="1"/>
      <w:marLeft w:val="0"/>
      <w:marRight w:val="0"/>
      <w:marTop w:val="0"/>
      <w:marBottom w:val="0"/>
      <w:divBdr>
        <w:top w:val="none" w:sz="0" w:space="0" w:color="auto"/>
        <w:left w:val="none" w:sz="0" w:space="0" w:color="auto"/>
        <w:bottom w:val="none" w:sz="0" w:space="0" w:color="auto"/>
        <w:right w:val="none" w:sz="0" w:space="0" w:color="auto"/>
      </w:divBdr>
    </w:div>
    <w:div w:id="1481187005">
      <w:bodyDiv w:val="1"/>
      <w:marLeft w:val="0"/>
      <w:marRight w:val="0"/>
      <w:marTop w:val="0"/>
      <w:marBottom w:val="0"/>
      <w:divBdr>
        <w:top w:val="none" w:sz="0" w:space="0" w:color="auto"/>
        <w:left w:val="none" w:sz="0" w:space="0" w:color="auto"/>
        <w:bottom w:val="none" w:sz="0" w:space="0" w:color="auto"/>
        <w:right w:val="none" w:sz="0" w:space="0" w:color="auto"/>
      </w:divBdr>
    </w:div>
    <w:div w:id="1488864037">
      <w:bodyDiv w:val="1"/>
      <w:marLeft w:val="0"/>
      <w:marRight w:val="0"/>
      <w:marTop w:val="0"/>
      <w:marBottom w:val="0"/>
      <w:divBdr>
        <w:top w:val="none" w:sz="0" w:space="0" w:color="auto"/>
        <w:left w:val="none" w:sz="0" w:space="0" w:color="auto"/>
        <w:bottom w:val="none" w:sz="0" w:space="0" w:color="auto"/>
        <w:right w:val="none" w:sz="0" w:space="0" w:color="auto"/>
      </w:divBdr>
    </w:div>
    <w:div w:id="1496074049">
      <w:bodyDiv w:val="1"/>
      <w:marLeft w:val="0"/>
      <w:marRight w:val="0"/>
      <w:marTop w:val="0"/>
      <w:marBottom w:val="0"/>
      <w:divBdr>
        <w:top w:val="none" w:sz="0" w:space="0" w:color="auto"/>
        <w:left w:val="none" w:sz="0" w:space="0" w:color="auto"/>
        <w:bottom w:val="none" w:sz="0" w:space="0" w:color="auto"/>
        <w:right w:val="none" w:sz="0" w:space="0" w:color="auto"/>
      </w:divBdr>
    </w:div>
    <w:div w:id="1511027369">
      <w:bodyDiv w:val="1"/>
      <w:marLeft w:val="0"/>
      <w:marRight w:val="0"/>
      <w:marTop w:val="0"/>
      <w:marBottom w:val="0"/>
      <w:divBdr>
        <w:top w:val="none" w:sz="0" w:space="0" w:color="auto"/>
        <w:left w:val="none" w:sz="0" w:space="0" w:color="auto"/>
        <w:bottom w:val="none" w:sz="0" w:space="0" w:color="auto"/>
        <w:right w:val="none" w:sz="0" w:space="0" w:color="auto"/>
      </w:divBdr>
    </w:div>
    <w:div w:id="1515992913">
      <w:bodyDiv w:val="1"/>
      <w:marLeft w:val="0"/>
      <w:marRight w:val="0"/>
      <w:marTop w:val="0"/>
      <w:marBottom w:val="0"/>
      <w:divBdr>
        <w:top w:val="none" w:sz="0" w:space="0" w:color="auto"/>
        <w:left w:val="none" w:sz="0" w:space="0" w:color="auto"/>
        <w:bottom w:val="none" w:sz="0" w:space="0" w:color="auto"/>
        <w:right w:val="none" w:sz="0" w:space="0" w:color="auto"/>
      </w:divBdr>
    </w:div>
    <w:div w:id="1525440190">
      <w:bodyDiv w:val="1"/>
      <w:marLeft w:val="0"/>
      <w:marRight w:val="0"/>
      <w:marTop w:val="0"/>
      <w:marBottom w:val="0"/>
      <w:divBdr>
        <w:top w:val="none" w:sz="0" w:space="0" w:color="auto"/>
        <w:left w:val="none" w:sz="0" w:space="0" w:color="auto"/>
        <w:bottom w:val="none" w:sz="0" w:space="0" w:color="auto"/>
        <w:right w:val="none" w:sz="0" w:space="0" w:color="auto"/>
      </w:divBdr>
    </w:div>
    <w:div w:id="1550334539">
      <w:bodyDiv w:val="1"/>
      <w:marLeft w:val="0"/>
      <w:marRight w:val="0"/>
      <w:marTop w:val="0"/>
      <w:marBottom w:val="0"/>
      <w:divBdr>
        <w:top w:val="none" w:sz="0" w:space="0" w:color="auto"/>
        <w:left w:val="none" w:sz="0" w:space="0" w:color="auto"/>
        <w:bottom w:val="none" w:sz="0" w:space="0" w:color="auto"/>
        <w:right w:val="none" w:sz="0" w:space="0" w:color="auto"/>
      </w:divBdr>
    </w:div>
    <w:div w:id="1556434461">
      <w:bodyDiv w:val="1"/>
      <w:marLeft w:val="0"/>
      <w:marRight w:val="0"/>
      <w:marTop w:val="0"/>
      <w:marBottom w:val="0"/>
      <w:divBdr>
        <w:top w:val="none" w:sz="0" w:space="0" w:color="auto"/>
        <w:left w:val="none" w:sz="0" w:space="0" w:color="auto"/>
        <w:bottom w:val="none" w:sz="0" w:space="0" w:color="auto"/>
        <w:right w:val="none" w:sz="0" w:space="0" w:color="auto"/>
      </w:divBdr>
    </w:div>
    <w:div w:id="1564875073">
      <w:bodyDiv w:val="1"/>
      <w:marLeft w:val="0"/>
      <w:marRight w:val="0"/>
      <w:marTop w:val="0"/>
      <w:marBottom w:val="0"/>
      <w:divBdr>
        <w:top w:val="none" w:sz="0" w:space="0" w:color="auto"/>
        <w:left w:val="none" w:sz="0" w:space="0" w:color="auto"/>
        <w:bottom w:val="none" w:sz="0" w:space="0" w:color="auto"/>
        <w:right w:val="none" w:sz="0" w:space="0" w:color="auto"/>
      </w:divBdr>
    </w:div>
    <w:div w:id="1566722988">
      <w:bodyDiv w:val="1"/>
      <w:marLeft w:val="0"/>
      <w:marRight w:val="0"/>
      <w:marTop w:val="0"/>
      <w:marBottom w:val="0"/>
      <w:divBdr>
        <w:top w:val="none" w:sz="0" w:space="0" w:color="auto"/>
        <w:left w:val="none" w:sz="0" w:space="0" w:color="auto"/>
        <w:bottom w:val="none" w:sz="0" w:space="0" w:color="auto"/>
        <w:right w:val="none" w:sz="0" w:space="0" w:color="auto"/>
      </w:divBdr>
    </w:div>
    <w:div w:id="1570269183">
      <w:bodyDiv w:val="1"/>
      <w:marLeft w:val="0"/>
      <w:marRight w:val="0"/>
      <w:marTop w:val="0"/>
      <w:marBottom w:val="0"/>
      <w:divBdr>
        <w:top w:val="none" w:sz="0" w:space="0" w:color="auto"/>
        <w:left w:val="none" w:sz="0" w:space="0" w:color="auto"/>
        <w:bottom w:val="none" w:sz="0" w:space="0" w:color="auto"/>
        <w:right w:val="none" w:sz="0" w:space="0" w:color="auto"/>
      </w:divBdr>
    </w:div>
    <w:div w:id="1579484515">
      <w:bodyDiv w:val="1"/>
      <w:marLeft w:val="0"/>
      <w:marRight w:val="0"/>
      <w:marTop w:val="0"/>
      <w:marBottom w:val="0"/>
      <w:divBdr>
        <w:top w:val="none" w:sz="0" w:space="0" w:color="auto"/>
        <w:left w:val="none" w:sz="0" w:space="0" w:color="auto"/>
        <w:bottom w:val="none" w:sz="0" w:space="0" w:color="auto"/>
        <w:right w:val="none" w:sz="0" w:space="0" w:color="auto"/>
      </w:divBdr>
    </w:div>
    <w:div w:id="1601717173">
      <w:bodyDiv w:val="1"/>
      <w:marLeft w:val="0"/>
      <w:marRight w:val="0"/>
      <w:marTop w:val="0"/>
      <w:marBottom w:val="0"/>
      <w:divBdr>
        <w:top w:val="none" w:sz="0" w:space="0" w:color="auto"/>
        <w:left w:val="none" w:sz="0" w:space="0" w:color="auto"/>
        <w:bottom w:val="none" w:sz="0" w:space="0" w:color="auto"/>
        <w:right w:val="none" w:sz="0" w:space="0" w:color="auto"/>
      </w:divBdr>
    </w:div>
    <w:div w:id="1613509269">
      <w:bodyDiv w:val="1"/>
      <w:marLeft w:val="0"/>
      <w:marRight w:val="0"/>
      <w:marTop w:val="0"/>
      <w:marBottom w:val="0"/>
      <w:divBdr>
        <w:top w:val="none" w:sz="0" w:space="0" w:color="auto"/>
        <w:left w:val="none" w:sz="0" w:space="0" w:color="auto"/>
        <w:bottom w:val="none" w:sz="0" w:space="0" w:color="auto"/>
        <w:right w:val="none" w:sz="0" w:space="0" w:color="auto"/>
      </w:divBdr>
    </w:div>
    <w:div w:id="1618179764">
      <w:bodyDiv w:val="1"/>
      <w:marLeft w:val="0"/>
      <w:marRight w:val="0"/>
      <w:marTop w:val="0"/>
      <w:marBottom w:val="0"/>
      <w:divBdr>
        <w:top w:val="none" w:sz="0" w:space="0" w:color="auto"/>
        <w:left w:val="none" w:sz="0" w:space="0" w:color="auto"/>
        <w:bottom w:val="none" w:sz="0" w:space="0" w:color="auto"/>
        <w:right w:val="none" w:sz="0" w:space="0" w:color="auto"/>
      </w:divBdr>
    </w:div>
    <w:div w:id="1627152333">
      <w:bodyDiv w:val="1"/>
      <w:marLeft w:val="0"/>
      <w:marRight w:val="0"/>
      <w:marTop w:val="0"/>
      <w:marBottom w:val="0"/>
      <w:divBdr>
        <w:top w:val="none" w:sz="0" w:space="0" w:color="auto"/>
        <w:left w:val="none" w:sz="0" w:space="0" w:color="auto"/>
        <w:bottom w:val="none" w:sz="0" w:space="0" w:color="auto"/>
        <w:right w:val="none" w:sz="0" w:space="0" w:color="auto"/>
      </w:divBdr>
    </w:div>
    <w:div w:id="1627275219">
      <w:bodyDiv w:val="1"/>
      <w:marLeft w:val="0"/>
      <w:marRight w:val="0"/>
      <w:marTop w:val="0"/>
      <w:marBottom w:val="0"/>
      <w:divBdr>
        <w:top w:val="none" w:sz="0" w:space="0" w:color="auto"/>
        <w:left w:val="none" w:sz="0" w:space="0" w:color="auto"/>
        <w:bottom w:val="none" w:sz="0" w:space="0" w:color="auto"/>
        <w:right w:val="none" w:sz="0" w:space="0" w:color="auto"/>
      </w:divBdr>
    </w:div>
    <w:div w:id="1646472205">
      <w:bodyDiv w:val="1"/>
      <w:marLeft w:val="0"/>
      <w:marRight w:val="0"/>
      <w:marTop w:val="0"/>
      <w:marBottom w:val="0"/>
      <w:divBdr>
        <w:top w:val="none" w:sz="0" w:space="0" w:color="auto"/>
        <w:left w:val="none" w:sz="0" w:space="0" w:color="auto"/>
        <w:bottom w:val="none" w:sz="0" w:space="0" w:color="auto"/>
        <w:right w:val="none" w:sz="0" w:space="0" w:color="auto"/>
      </w:divBdr>
    </w:div>
    <w:div w:id="1655644544">
      <w:bodyDiv w:val="1"/>
      <w:marLeft w:val="0"/>
      <w:marRight w:val="0"/>
      <w:marTop w:val="0"/>
      <w:marBottom w:val="0"/>
      <w:divBdr>
        <w:top w:val="none" w:sz="0" w:space="0" w:color="auto"/>
        <w:left w:val="none" w:sz="0" w:space="0" w:color="auto"/>
        <w:bottom w:val="none" w:sz="0" w:space="0" w:color="auto"/>
        <w:right w:val="none" w:sz="0" w:space="0" w:color="auto"/>
      </w:divBdr>
    </w:div>
    <w:div w:id="1668825767">
      <w:bodyDiv w:val="1"/>
      <w:marLeft w:val="0"/>
      <w:marRight w:val="0"/>
      <w:marTop w:val="0"/>
      <w:marBottom w:val="0"/>
      <w:divBdr>
        <w:top w:val="none" w:sz="0" w:space="0" w:color="auto"/>
        <w:left w:val="none" w:sz="0" w:space="0" w:color="auto"/>
        <w:bottom w:val="none" w:sz="0" w:space="0" w:color="auto"/>
        <w:right w:val="none" w:sz="0" w:space="0" w:color="auto"/>
      </w:divBdr>
    </w:div>
    <w:div w:id="1679499023">
      <w:bodyDiv w:val="1"/>
      <w:marLeft w:val="0"/>
      <w:marRight w:val="0"/>
      <w:marTop w:val="0"/>
      <w:marBottom w:val="0"/>
      <w:divBdr>
        <w:top w:val="none" w:sz="0" w:space="0" w:color="auto"/>
        <w:left w:val="none" w:sz="0" w:space="0" w:color="auto"/>
        <w:bottom w:val="none" w:sz="0" w:space="0" w:color="auto"/>
        <w:right w:val="none" w:sz="0" w:space="0" w:color="auto"/>
      </w:divBdr>
    </w:div>
    <w:div w:id="1689023919">
      <w:bodyDiv w:val="1"/>
      <w:marLeft w:val="0"/>
      <w:marRight w:val="0"/>
      <w:marTop w:val="0"/>
      <w:marBottom w:val="0"/>
      <w:divBdr>
        <w:top w:val="none" w:sz="0" w:space="0" w:color="auto"/>
        <w:left w:val="none" w:sz="0" w:space="0" w:color="auto"/>
        <w:bottom w:val="none" w:sz="0" w:space="0" w:color="auto"/>
        <w:right w:val="none" w:sz="0" w:space="0" w:color="auto"/>
      </w:divBdr>
    </w:div>
    <w:div w:id="1704011721">
      <w:bodyDiv w:val="1"/>
      <w:marLeft w:val="0"/>
      <w:marRight w:val="0"/>
      <w:marTop w:val="0"/>
      <w:marBottom w:val="0"/>
      <w:divBdr>
        <w:top w:val="none" w:sz="0" w:space="0" w:color="auto"/>
        <w:left w:val="none" w:sz="0" w:space="0" w:color="auto"/>
        <w:bottom w:val="none" w:sz="0" w:space="0" w:color="auto"/>
        <w:right w:val="none" w:sz="0" w:space="0" w:color="auto"/>
      </w:divBdr>
    </w:div>
    <w:div w:id="1711108747">
      <w:bodyDiv w:val="1"/>
      <w:marLeft w:val="0"/>
      <w:marRight w:val="0"/>
      <w:marTop w:val="0"/>
      <w:marBottom w:val="0"/>
      <w:divBdr>
        <w:top w:val="none" w:sz="0" w:space="0" w:color="auto"/>
        <w:left w:val="none" w:sz="0" w:space="0" w:color="auto"/>
        <w:bottom w:val="none" w:sz="0" w:space="0" w:color="auto"/>
        <w:right w:val="none" w:sz="0" w:space="0" w:color="auto"/>
      </w:divBdr>
    </w:div>
    <w:div w:id="1725719668">
      <w:bodyDiv w:val="1"/>
      <w:marLeft w:val="0"/>
      <w:marRight w:val="0"/>
      <w:marTop w:val="0"/>
      <w:marBottom w:val="0"/>
      <w:divBdr>
        <w:top w:val="none" w:sz="0" w:space="0" w:color="auto"/>
        <w:left w:val="none" w:sz="0" w:space="0" w:color="auto"/>
        <w:bottom w:val="none" w:sz="0" w:space="0" w:color="auto"/>
        <w:right w:val="none" w:sz="0" w:space="0" w:color="auto"/>
      </w:divBdr>
    </w:div>
    <w:div w:id="1735271015">
      <w:bodyDiv w:val="1"/>
      <w:marLeft w:val="0"/>
      <w:marRight w:val="0"/>
      <w:marTop w:val="0"/>
      <w:marBottom w:val="0"/>
      <w:divBdr>
        <w:top w:val="none" w:sz="0" w:space="0" w:color="auto"/>
        <w:left w:val="none" w:sz="0" w:space="0" w:color="auto"/>
        <w:bottom w:val="none" w:sz="0" w:space="0" w:color="auto"/>
        <w:right w:val="none" w:sz="0" w:space="0" w:color="auto"/>
      </w:divBdr>
    </w:div>
    <w:div w:id="1742827880">
      <w:bodyDiv w:val="1"/>
      <w:marLeft w:val="0"/>
      <w:marRight w:val="0"/>
      <w:marTop w:val="0"/>
      <w:marBottom w:val="0"/>
      <w:divBdr>
        <w:top w:val="none" w:sz="0" w:space="0" w:color="auto"/>
        <w:left w:val="none" w:sz="0" w:space="0" w:color="auto"/>
        <w:bottom w:val="none" w:sz="0" w:space="0" w:color="auto"/>
        <w:right w:val="none" w:sz="0" w:space="0" w:color="auto"/>
      </w:divBdr>
    </w:div>
    <w:div w:id="1758206444">
      <w:bodyDiv w:val="1"/>
      <w:marLeft w:val="0"/>
      <w:marRight w:val="0"/>
      <w:marTop w:val="0"/>
      <w:marBottom w:val="0"/>
      <w:divBdr>
        <w:top w:val="none" w:sz="0" w:space="0" w:color="auto"/>
        <w:left w:val="none" w:sz="0" w:space="0" w:color="auto"/>
        <w:bottom w:val="none" w:sz="0" w:space="0" w:color="auto"/>
        <w:right w:val="none" w:sz="0" w:space="0" w:color="auto"/>
      </w:divBdr>
    </w:div>
    <w:div w:id="1800956537">
      <w:bodyDiv w:val="1"/>
      <w:marLeft w:val="0"/>
      <w:marRight w:val="0"/>
      <w:marTop w:val="0"/>
      <w:marBottom w:val="0"/>
      <w:divBdr>
        <w:top w:val="none" w:sz="0" w:space="0" w:color="auto"/>
        <w:left w:val="none" w:sz="0" w:space="0" w:color="auto"/>
        <w:bottom w:val="none" w:sz="0" w:space="0" w:color="auto"/>
        <w:right w:val="none" w:sz="0" w:space="0" w:color="auto"/>
      </w:divBdr>
    </w:div>
    <w:div w:id="1801651677">
      <w:bodyDiv w:val="1"/>
      <w:marLeft w:val="0"/>
      <w:marRight w:val="0"/>
      <w:marTop w:val="0"/>
      <w:marBottom w:val="0"/>
      <w:divBdr>
        <w:top w:val="none" w:sz="0" w:space="0" w:color="auto"/>
        <w:left w:val="none" w:sz="0" w:space="0" w:color="auto"/>
        <w:bottom w:val="none" w:sz="0" w:space="0" w:color="auto"/>
        <w:right w:val="none" w:sz="0" w:space="0" w:color="auto"/>
      </w:divBdr>
    </w:div>
    <w:div w:id="1806048386">
      <w:bodyDiv w:val="1"/>
      <w:marLeft w:val="0"/>
      <w:marRight w:val="0"/>
      <w:marTop w:val="0"/>
      <w:marBottom w:val="0"/>
      <w:divBdr>
        <w:top w:val="none" w:sz="0" w:space="0" w:color="auto"/>
        <w:left w:val="none" w:sz="0" w:space="0" w:color="auto"/>
        <w:bottom w:val="none" w:sz="0" w:space="0" w:color="auto"/>
        <w:right w:val="none" w:sz="0" w:space="0" w:color="auto"/>
      </w:divBdr>
    </w:div>
    <w:div w:id="1813595813">
      <w:bodyDiv w:val="1"/>
      <w:marLeft w:val="0"/>
      <w:marRight w:val="0"/>
      <w:marTop w:val="0"/>
      <w:marBottom w:val="0"/>
      <w:divBdr>
        <w:top w:val="none" w:sz="0" w:space="0" w:color="auto"/>
        <w:left w:val="none" w:sz="0" w:space="0" w:color="auto"/>
        <w:bottom w:val="none" w:sz="0" w:space="0" w:color="auto"/>
        <w:right w:val="none" w:sz="0" w:space="0" w:color="auto"/>
      </w:divBdr>
    </w:div>
    <w:div w:id="1823043797">
      <w:bodyDiv w:val="1"/>
      <w:marLeft w:val="0"/>
      <w:marRight w:val="0"/>
      <w:marTop w:val="0"/>
      <w:marBottom w:val="0"/>
      <w:divBdr>
        <w:top w:val="none" w:sz="0" w:space="0" w:color="auto"/>
        <w:left w:val="none" w:sz="0" w:space="0" w:color="auto"/>
        <w:bottom w:val="none" w:sz="0" w:space="0" w:color="auto"/>
        <w:right w:val="none" w:sz="0" w:space="0" w:color="auto"/>
      </w:divBdr>
    </w:div>
    <w:div w:id="1828281926">
      <w:bodyDiv w:val="1"/>
      <w:marLeft w:val="0"/>
      <w:marRight w:val="0"/>
      <w:marTop w:val="0"/>
      <w:marBottom w:val="0"/>
      <w:divBdr>
        <w:top w:val="none" w:sz="0" w:space="0" w:color="auto"/>
        <w:left w:val="none" w:sz="0" w:space="0" w:color="auto"/>
        <w:bottom w:val="none" w:sz="0" w:space="0" w:color="auto"/>
        <w:right w:val="none" w:sz="0" w:space="0" w:color="auto"/>
      </w:divBdr>
    </w:div>
    <w:div w:id="1844005914">
      <w:bodyDiv w:val="1"/>
      <w:marLeft w:val="0"/>
      <w:marRight w:val="0"/>
      <w:marTop w:val="0"/>
      <w:marBottom w:val="0"/>
      <w:divBdr>
        <w:top w:val="none" w:sz="0" w:space="0" w:color="auto"/>
        <w:left w:val="none" w:sz="0" w:space="0" w:color="auto"/>
        <w:bottom w:val="none" w:sz="0" w:space="0" w:color="auto"/>
        <w:right w:val="none" w:sz="0" w:space="0" w:color="auto"/>
      </w:divBdr>
      <w:divsChild>
        <w:div w:id="2098012624">
          <w:marLeft w:val="547"/>
          <w:marRight w:val="0"/>
          <w:marTop w:val="0"/>
          <w:marBottom w:val="0"/>
          <w:divBdr>
            <w:top w:val="none" w:sz="0" w:space="0" w:color="auto"/>
            <w:left w:val="none" w:sz="0" w:space="0" w:color="auto"/>
            <w:bottom w:val="none" w:sz="0" w:space="0" w:color="auto"/>
            <w:right w:val="none" w:sz="0" w:space="0" w:color="auto"/>
          </w:divBdr>
        </w:div>
        <w:div w:id="544636752">
          <w:marLeft w:val="1166"/>
          <w:marRight w:val="0"/>
          <w:marTop w:val="0"/>
          <w:marBottom w:val="0"/>
          <w:divBdr>
            <w:top w:val="none" w:sz="0" w:space="0" w:color="auto"/>
            <w:left w:val="none" w:sz="0" w:space="0" w:color="auto"/>
            <w:bottom w:val="none" w:sz="0" w:space="0" w:color="auto"/>
            <w:right w:val="none" w:sz="0" w:space="0" w:color="auto"/>
          </w:divBdr>
        </w:div>
        <w:div w:id="1337415853">
          <w:marLeft w:val="1800"/>
          <w:marRight w:val="0"/>
          <w:marTop w:val="0"/>
          <w:marBottom w:val="0"/>
          <w:divBdr>
            <w:top w:val="none" w:sz="0" w:space="0" w:color="auto"/>
            <w:left w:val="none" w:sz="0" w:space="0" w:color="auto"/>
            <w:bottom w:val="none" w:sz="0" w:space="0" w:color="auto"/>
            <w:right w:val="none" w:sz="0" w:space="0" w:color="auto"/>
          </w:divBdr>
        </w:div>
        <w:div w:id="2112698861">
          <w:marLeft w:val="1800"/>
          <w:marRight w:val="0"/>
          <w:marTop w:val="0"/>
          <w:marBottom w:val="0"/>
          <w:divBdr>
            <w:top w:val="none" w:sz="0" w:space="0" w:color="auto"/>
            <w:left w:val="none" w:sz="0" w:space="0" w:color="auto"/>
            <w:bottom w:val="none" w:sz="0" w:space="0" w:color="auto"/>
            <w:right w:val="none" w:sz="0" w:space="0" w:color="auto"/>
          </w:divBdr>
        </w:div>
        <w:div w:id="1937133610">
          <w:marLeft w:val="1800"/>
          <w:marRight w:val="0"/>
          <w:marTop w:val="0"/>
          <w:marBottom w:val="0"/>
          <w:divBdr>
            <w:top w:val="none" w:sz="0" w:space="0" w:color="auto"/>
            <w:left w:val="none" w:sz="0" w:space="0" w:color="auto"/>
            <w:bottom w:val="none" w:sz="0" w:space="0" w:color="auto"/>
            <w:right w:val="none" w:sz="0" w:space="0" w:color="auto"/>
          </w:divBdr>
        </w:div>
        <w:div w:id="2142534232">
          <w:marLeft w:val="1800"/>
          <w:marRight w:val="0"/>
          <w:marTop w:val="0"/>
          <w:marBottom w:val="0"/>
          <w:divBdr>
            <w:top w:val="none" w:sz="0" w:space="0" w:color="auto"/>
            <w:left w:val="none" w:sz="0" w:space="0" w:color="auto"/>
            <w:bottom w:val="none" w:sz="0" w:space="0" w:color="auto"/>
            <w:right w:val="none" w:sz="0" w:space="0" w:color="auto"/>
          </w:divBdr>
        </w:div>
        <w:div w:id="1399864636">
          <w:marLeft w:val="1800"/>
          <w:marRight w:val="0"/>
          <w:marTop w:val="0"/>
          <w:marBottom w:val="0"/>
          <w:divBdr>
            <w:top w:val="none" w:sz="0" w:space="0" w:color="auto"/>
            <w:left w:val="none" w:sz="0" w:space="0" w:color="auto"/>
            <w:bottom w:val="none" w:sz="0" w:space="0" w:color="auto"/>
            <w:right w:val="none" w:sz="0" w:space="0" w:color="auto"/>
          </w:divBdr>
        </w:div>
        <w:div w:id="1060010654">
          <w:marLeft w:val="1800"/>
          <w:marRight w:val="0"/>
          <w:marTop w:val="0"/>
          <w:marBottom w:val="0"/>
          <w:divBdr>
            <w:top w:val="none" w:sz="0" w:space="0" w:color="auto"/>
            <w:left w:val="none" w:sz="0" w:space="0" w:color="auto"/>
            <w:bottom w:val="none" w:sz="0" w:space="0" w:color="auto"/>
            <w:right w:val="none" w:sz="0" w:space="0" w:color="auto"/>
          </w:divBdr>
        </w:div>
        <w:div w:id="1718628648">
          <w:marLeft w:val="1800"/>
          <w:marRight w:val="0"/>
          <w:marTop w:val="0"/>
          <w:marBottom w:val="0"/>
          <w:divBdr>
            <w:top w:val="none" w:sz="0" w:space="0" w:color="auto"/>
            <w:left w:val="none" w:sz="0" w:space="0" w:color="auto"/>
            <w:bottom w:val="none" w:sz="0" w:space="0" w:color="auto"/>
            <w:right w:val="none" w:sz="0" w:space="0" w:color="auto"/>
          </w:divBdr>
        </w:div>
        <w:div w:id="1149638899">
          <w:marLeft w:val="1800"/>
          <w:marRight w:val="0"/>
          <w:marTop w:val="0"/>
          <w:marBottom w:val="0"/>
          <w:divBdr>
            <w:top w:val="none" w:sz="0" w:space="0" w:color="auto"/>
            <w:left w:val="none" w:sz="0" w:space="0" w:color="auto"/>
            <w:bottom w:val="none" w:sz="0" w:space="0" w:color="auto"/>
            <w:right w:val="none" w:sz="0" w:space="0" w:color="auto"/>
          </w:divBdr>
        </w:div>
        <w:div w:id="867568027">
          <w:marLeft w:val="1166"/>
          <w:marRight w:val="0"/>
          <w:marTop w:val="0"/>
          <w:marBottom w:val="0"/>
          <w:divBdr>
            <w:top w:val="none" w:sz="0" w:space="0" w:color="auto"/>
            <w:left w:val="none" w:sz="0" w:space="0" w:color="auto"/>
            <w:bottom w:val="none" w:sz="0" w:space="0" w:color="auto"/>
            <w:right w:val="none" w:sz="0" w:space="0" w:color="auto"/>
          </w:divBdr>
        </w:div>
        <w:div w:id="200097425">
          <w:marLeft w:val="1800"/>
          <w:marRight w:val="0"/>
          <w:marTop w:val="0"/>
          <w:marBottom w:val="0"/>
          <w:divBdr>
            <w:top w:val="none" w:sz="0" w:space="0" w:color="auto"/>
            <w:left w:val="none" w:sz="0" w:space="0" w:color="auto"/>
            <w:bottom w:val="none" w:sz="0" w:space="0" w:color="auto"/>
            <w:right w:val="none" w:sz="0" w:space="0" w:color="auto"/>
          </w:divBdr>
        </w:div>
        <w:div w:id="4093537">
          <w:marLeft w:val="1800"/>
          <w:marRight w:val="0"/>
          <w:marTop w:val="0"/>
          <w:marBottom w:val="0"/>
          <w:divBdr>
            <w:top w:val="none" w:sz="0" w:space="0" w:color="auto"/>
            <w:left w:val="none" w:sz="0" w:space="0" w:color="auto"/>
            <w:bottom w:val="none" w:sz="0" w:space="0" w:color="auto"/>
            <w:right w:val="none" w:sz="0" w:space="0" w:color="auto"/>
          </w:divBdr>
        </w:div>
        <w:div w:id="442962253">
          <w:marLeft w:val="1800"/>
          <w:marRight w:val="0"/>
          <w:marTop w:val="0"/>
          <w:marBottom w:val="0"/>
          <w:divBdr>
            <w:top w:val="none" w:sz="0" w:space="0" w:color="auto"/>
            <w:left w:val="none" w:sz="0" w:space="0" w:color="auto"/>
            <w:bottom w:val="none" w:sz="0" w:space="0" w:color="auto"/>
            <w:right w:val="none" w:sz="0" w:space="0" w:color="auto"/>
          </w:divBdr>
        </w:div>
        <w:div w:id="1547913100">
          <w:marLeft w:val="1800"/>
          <w:marRight w:val="0"/>
          <w:marTop w:val="0"/>
          <w:marBottom w:val="0"/>
          <w:divBdr>
            <w:top w:val="none" w:sz="0" w:space="0" w:color="auto"/>
            <w:left w:val="none" w:sz="0" w:space="0" w:color="auto"/>
            <w:bottom w:val="none" w:sz="0" w:space="0" w:color="auto"/>
            <w:right w:val="none" w:sz="0" w:space="0" w:color="auto"/>
          </w:divBdr>
        </w:div>
        <w:div w:id="444009599">
          <w:marLeft w:val="1166"/>
          <w:marRight w:val="0"/>
          <w:marTop w:val="0"/>
          <w:marBottom w:val="0"/>
          <w:divBdr>
            <w:top w:val="none" w:sz="0" w:space="0" w:color="auto"/>
            <w:left w:val="none" w:sz="0" w:space="0" w:color="auto"/>
            <w:bottom w:val="none" w:sz="0" w:space="0" w:color="auto"/>
            <w:right w:val="none" w:sz="0" w:space="0" w:color="auto"/>
          </w:divBdr>
        </w:div>
      </w:divsChild>
    </w:div>
    <w:div w:id="1849560119">
      <w:bodyDiv w:val="1"/>
      <w:marLeft w:val="0"/>
      <w:marRight w:val="0"/>
      <w:marTop w:val="0"/>
      <w:marBottom w:val="0"/>
      <w:divBdr>
        <w:top w:val="none" w:sz="0" w:space="0" w:color="auto"/>
        <w:left w:val="none" w:sz="0" w:space="0" w:color="auto"/>
        <w:bottom w:val="none" w:sz="0" w:space="0" w:color="auto"/>
        <w:right w:val="none" w:sz="0" w:space="0" w:color="auto"/>
      </w:divBdr>
    </w:div>
    <w:div w:id="1857889390">
      <w:bodyDiv w:val="1"/>
      <w:marLeft w:val="0"/>
      <w:marRight w:val="0"/>
      <w:marTop w:val="0"/>
      <w:marBottom w:val="0"/>
      <w:divBdr>
        <w:top w:val="none" w:sz="0" w:space="0" w:color="auto"/>
        <w:left w:val="none" w:sz="0" w:space="0" w:color="auto"/>
        <w:bottom w:val="none" w:sz="0" w:space="0" w:color="auto"/>
        <w:right w:val="none" w:sz="0" w:space="0" w:color="auto"/>
      </w:divBdr>
    </w:div>
    <w:div w:id="1860577945">
      <w:bodyDiv w:val="1"/>
      <w:marLeft w:val="0"/>
      <w:marRight w:val="0"/>
      <w:marTop w:val="0"/>
      <w:marBottom w:val="0"/>
      <w:divBdr>
        <w:top w:val="none" w:sz="0" w:space="0" w:color="auto"/>
        <w:left w:val="none" w:sz="0" w:space="0" w:color="auto"/>
        <w:bottom w:val="none" w:sz="0" w:space="0" w:color="auto"/>
        <w:right w:val="none" w:sz="0" w:space="0" w:color="auto"/>
      </w:divBdr>
    </w:div>
    <w:div w:id="1876188176">
      <w:bodyDiv w:val="1"/>
      <w:marLeft w:val="0"/>
      <w:marRight w:val="0"/>
      <w:marTop w:val="0"/>
      <w:marBottom w:val="0"/>
      <w:divBdr>
        <w:top w:val="none" w:sz="0" w:space="0" w:color="auto"/>
        <w:left w:val="none" w:sz="0" w:space="0" w:color="auto"/>
        <w:bottom w:val="none" w:sz="0" w:space="0" w:color="auto"/>
        <w:right w:val="none" w:sz="0" w:space="0" w:color="auto"/>
      </w:divBdr>
    </w:div>
    <w:div w:id="1878201396">
      <w:bodyDiv w:val="1"/>
      <w:marLeft w:val="0"/>
      <w:marRight w:val="0"/>
      <w:marTop w:val="0"/>
      <w:marBottom w:val="0"/>
      <w:divBdr>
        <w:top w:val="none" w:sz="0" w:space="0" w:color="auto"/>
        <w:left w:val="none" w:sz="0" w:space="0" w:color="auto"/>
        <w:bottom w:val="none" w:sz="0" w:space="0" w:color="auto"/>
        <w:right w:val="none" w:sz="0" w:space="0" w:color="auto"/>
      </w:divBdr>
    </w:div>
    <w:div w:id="1883051456">
      <w:bodyDiv w:val="1"/>
      <w:marLeft w:val="0"/>
      <w:marRight w:val="0"/>
      <w:marTop w:val="0"/>
      <w:marBottom w:val="0"/>
      <w:divBdr>
        <w:top w:val="none" w:sz="0" w:space="0" w:color="auto"/>
        <w:left w:val="none" w:sz="0" w:space="0" w:color="auto"/>
        <w:bottom w:val="none" w:sz="0" w:space="0" w:color="auto"/>
        <w:right w:val="none" w:sz="0" w:space="0" w:color="auto"/>
      </w:divBdr>
    </w:div>
    <w:div w:id="1904749911">
      <w:bodyDiv w:val="1"/>
      <w:marLeft w:val="0"/>
      <w:marRight w:val="0"/>
      <w:marTop w:val="0"/>
      <w:marBottom w:val="0"/>
      <w:divBdr>
        <w:top w:val="none" w:sz="0" w:space="0" w:color="auto"/>
        <w:left w:val="none" w:sz="0" w:space="0" w:color="auto"/>
        <w:bottom w:val="none" w:sz="0" w:space="0" w:color="auto"/>
        <w:right w:val="none" w:sz="0" w:space="0" w:color="auto"/>
      </w:divBdr>
    </w:div>
    <w:div w:id="1923562827">
      <w:bodyDiv w:val="1"/>
      <w:marLeft w:val="0"/>
      <w:marRight w:val="0"/>
      <w:marTop w:val="0"/>
      <w:marBottom w:val="0"/>
      <w:divBdr>
        <w:top w:val="none" w:sz="0" w:space="0" w:color="auto"/>
        <w:left w:val="none" w:sz="0" w:space="0" w:color="auto"/>
        <w:bottom w:val="none" w:sz="0" w:space="0" w:color="auto"/>
        <w:right w:val="none" w:sz="0" w:space="0" w:color="auto"/>
      </w:divBdr>
    </w:div>
    <w:div w:id="1928034895">
      <w:bodyDiv w:val="1"/>
      <w:marLeft w:val="0"/>
      <w:marRight w:val="0"/>
      <w:marTop w:val="0"/>
      <w:marBottom w:val="0"/>
      <w:divBdr>
        <w:top w:val="none" w:sz="0" w:space="0" w:color="auto"/>
        <w:left w:val="none" w:sz="0" w:space="0" w:color="auto"/>
        <w:bottom w:val="none" w:sz="0" w:space="0" w:color="auto"/>
        <w:right w:val="none" w:sz="0" w:space="0" w:color="auto"/>
      </w:divBdr>
    </w:div>
    <w:div w:id="1944528066">
      <w:bodyDiv w:val="1"/>
      <w:marLeft w:val="0"/>
      <w:marRight w:val="0"/>
      <w:marTop w:val="0"/>
      <w:marBottom w:val="0"/>
      <w:divBdr>
        <w:top w:val="none" w:sz="0" w:space="0" w:color="auto"/>
        <w:left w:val="none" w:sz="0" w:space="0" w:color="auto"/>
        <w:bottom w:val="none" w:sz="0" w:space="0" w:color="auto"/>
        <w:right w:val="none" w:sz="0" w:space="0" w:color="auto"/>
      </w:divBdr>
    </w:div>
    <w:div w:id="2053458550">
      <w:bodyDiv w:val="1"/>
      <w:marLeft w:val="0"/>
      <w:marRight w:val="0"/>
      <w:marTop w:val="0"/>
      <w:marBottom w:val="0"/>
      <w:divBdr>
        <w:top w:val="none" w:sz="0" w:space="0" w:color="auto"/>
        <w:left w:val="none" w:sz="0" w:space="0" w:color="auto"/>
        <w:bottom w:val="none" w:sz="0" w:space="0" w:color="auto"/>
        <w:right w:val="none" w:sz="0" w:space="0" w:color="auto"/>
      </w:divBdr>
    </w:div>
    <w:div w:id="2061897746">
      <w:bodyDiv w:val="1"/>
      <w:marLeft w:val="0"/>
      <w:marRight w:val="0"/>
      <w:marTop w:val="0"/>
      <w:marBottom w:val="0"/>
      <w:divBdr>
        <w:top w:val="none" w:sz="0" w:space="0" w:color="auto"/>
        <w:left w:val="none" w:sz="0" w:space="0" w:color="auto"/>
        <w:bottom w:val="none" w:sz="0" w:space="0" w:color="auto"/>
        <w:right w:val="none" w:sz="0" w:space="0" w:color="auto"/>
      </w:divBdr>
    </w:div>
    <w:div w:id="2067605153">
      <w:bodyDiv w:val="1"/>
      <w:marLeft w:val="0"/>
      <w:marRight w:val="0"/>
      <w:marTop w:val="0"/>
      <w:marBottom w:val="0"/>
      <w:divBdr>
        <w:top w:val="none" w:sz="0" w:space="0" w:color="auto"/>
        <w:left w:val="none" w:sz="0" w:space="0" w:color="auto"/>
        <w:bottom w:val="none" w:sz="0" w:space="0" w:color="auto"/>
        <w:right w:val="none" w:sz="0" w:space="0" w:color="auto"/>
      </w:divBdr>
    </w:div>
    <w:div w:id="2084133447">
      <w:bodyDiv w:val="1"/>
      <w:marLeft w:val="0"/>
      <w:marRight w:val="0"/>
      <w:marTop w:val="0"/>
      <w:marBottom w:val="0"/>
      <w:divBdr>
        <w:top w:val="none" w:sz="0" w:space="0" w:color="auto"/>
        <w:left w:val="none" w:sz="0" w:space="0" w:color="auto"/>
        <w:bottom w:val="none" w:sz="0" w:space="0" w:color="auto"/>
        <w:right w:val="none" w:sz="0" w:space="0" w:color="auto"/>
      </w:divBdr>
    </w:div>
    <w:div w:id="2099322991">
      <w:bodyDiv w:val="1"/>
      <w:marLeft w:val="0"/>
      <w:marRight w:val="0"/>
      <w:marTop w:val="0"/>
      <w:marBottom w:val="0"/>
      <w:divBdr>
        <w:top w:val="none" w:sz="0" w:space="0" w:color="auto"/>
        <w:left w:val="none" w:sz="0" w:space="0" w:color="auto"/>
        <w:bottom w:val="none" w:sz="0" w:space="0" w:color="auto"/>
        <w:right w:val="none" w:sz="0" w:space="0" w:color="auto"/>
      </w:divBdr>
    </w:div>
    <w:div w:id="2105879819">
      <w:bodyDiv w:val="1"/>
      <w:marLeft w:val="0"/>
      <w:marRight w:val="0"/>
      <w:marTop w:val="0"/>
      <w:marBottom w:val="0"/>
      <w:divBdr>
        <w:top w:val="none" w:sz="0" w:space="0" w:color="auto"/>
        <w:left w:val="none" w:sz="0" w:space="0" w:color="auto"/>
        <w:bottom w:val="none" w:sz="0" w:space="0" w:color="auto"/>
        <w:right w:val="none" w:sz="0" w:space="0" w:color="auto"/>
      </w:divBdr>
    </w:div>
    <w:div w:id="2114275011">
      <w:bodyDiv w:val="1"/>
      <w:marLeft w:val="0"/>
      <w:marRight w:val="0"/>
      <w:marTop w:val="0"/>
      <w:marBottom w:val="0"/>
      <w:divBdr>
        <w:top w:val="none" w:sz="0" w:space="0" w:color="auto"/>
        <w:left w:val="none" w:sz="0" w:space="0" w:color="auto"/>
        <w:bottom w:val="none" w:sz="0" w:space="0" w:color="auto"/>
        <w:right w:val="none" w:sz="0" w:space="0" w:color="auto"/>
      </w:divBdr>
    </w:div>
    <w:div w:id="2125881419">
      <w:bodyDiv w:val="1"/>
      <w:marLeft w:val="0"/>
      <w:marRight w:val="0"/>
      <w:marTop w:val="0"/>
      <w:marBottom w:val="0"/>
      <w:divBdr>
        <w:top w:val="none" w:sz="0" w:space="0" w:color="auto"/>
        <w:left w:val="none" w:sz="0" w:space="0" w:color="auto"/>
        <w:bottom w:val="none" w:sz="0" w:space="0" w:color="auto"/>
        <w:right w:val="none" w:sz="0" w:space="0" w:color="auto"/>
      </w:divBdr>
    </w:div>
    <w:div w:id="21463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iki.cancer.org.au/australia/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Mil061</b:Tag>
    <b:SourceType>JournalArticle</b:SourceType>
    <b:Guid>{2BD257BE-B5ED-4117-B889-72FAD3642E53}</b:Guid>
    <b:Author>
      <b:Author>
        <b:NameList>
          <b:Person>
            <b:Last>Miller</b:Last>
            <b:First>A.</b:First>
            <b:Middle>J. &amp; Mihm, M. C. J.</b:Middle>
          </b:Person>
        </b:NameList>
      </b:Author>
    </b:Author>
    <b:Title>Melanoma</b:Title>
    <b:Year>2006</b:Year>
    <b:JournalName>N. Engl. J. Med.</b:JournalName>
    <b:Pages>355, 51–65</b:Pages>
    <b:RefOrder>2</b:RefOrder>
  </b:Source>
  <b:Source>
    <b:Tag>Pot151</b:Tag>
    <b:SourceType>JournalArticle</b:SourceType>
    <b:Guid>{6634A61C-35E3-4105-BA2F-B6E5202FDE8E}</b:Guid>
    <b:Author>
      <b:Author>
        <b:NameList>
          <b:Person>
            <b:Last>Potrony</b:Last>
            <b:First>M.</b:First>
            <b:Middle>et al.</b:Middle>
          </b:Person>
        </b:NameList>
      </b:Author>
    </b:Author>
    <b:Title>Update in genetic susceptibility in melanoma</b:Title>
    <b:JournalName>Ann. Transl. Med.</b:JournalName>
    <b:Year>2015</b:Year>
    <b:Pages>3</b:Pages>
    <b:RefOrder>3</b:RefOrder>
  </b:Source>
  <b:Source>
    <b:Tag>Ryu17</b:Tag>
    <b:SourceType>JournalArticle</b:SourceType>
    <b:Guid>{48D30EDB-1333-4A9F-B4E3-4742BC64F6A4}</b:Guid>
    <b:Author>
      <b:Author>
        <b:NameList>
          <b:Person>
            <b:Last>Ryu</b:Last>
            <b:First>S.</b:First>
            <b:Middle>et al.</b:Middle>
          </b:Person>
        </b:NameList>
      </b:Author>
    </b:Author>
    <b:Title>Therapeutic Inhibitors against Mutated BRAF and MEK for the Treatment of Metastatic Melanoma.</b:Title>
    <b:JournalName>Chonnam Med. J.</b:JournalName>
    <b:Year>2017</b:Year>
    <b:Pages>53, 173–177</b:Pages>
    <b:RefOrder>4</b:RefOrder>
  </b:Source>
  <b:Source>
    <b:Tag>Mor12</b:Tag>
    <b:SourceType>JournalArticle</b:SourceType>
    <b:Guid>{F1F085CD-5EB5-4434-BAE3-6521107AA296}</b:Guid>
    <b:Author>
      <b:Author>
        <b:NameList>
          <b:Person>
            <b:Last>Moreau</b:Last>
            <b:First>S.</b:First>
            <b:Middle>et al.</b:Middle>
          </b:Person>
        </b:NameList>
      </b:Author>
    </b:Author>
    <b:Title>Prognostic value of BRAF(V600) mutations in melanoma patients after resection of metastatic lymph nodes.</b:Title>
    <b:JournalName>Ann. Surg. Oncol.</b:JournalName>
    <b:Year>2012</b:Year>
    <b:Pages>19, 4314–4321</b:Pages>
    <b:RefOrder>5</b:RefOrder>
  </b:Source>
  <b:Source>
    <b:Tag>Rut14</b:Tag>
    <b:SourceType>JournalArticle</b:SourceType>
    <b:Guid>{B3E0DC23-B6EC-4006-9255-84D1E344EFBA}</b:Guid>
    <b:Author>
      <b:Author>
        <b:NameList>
          <b:Person>
            <b:Last>Rutkowsi</b:Last>
            <b:First>P.</b:First>
            <b:Middle>et al.</b:Middle>
          </b:Person>
        </b:NameList>
      </b:Author>
    </b:Author>
    <b:Title>Molecular alterations in clinical stage III cutaneous melanoma: Correlation with clinicopathological features and patient outcome.</b:Title>
    <b:JournalName>Oncol. Lett.</b:JournalName>
    <b:Year>2014</b:Year>
    <b:Pages>8, 47–54</b:Pages>
    <b:RefOrder>6</b:RefOrder>
  </b:Source>
  <b:Source>
    <b:Tag>Ara15</b:Tag>
    <b:SourceType>JournalArticle</b:SourceType>
    <b:Guid>{635DC17C-2D94-46D0-8530-C3558DE50732}</b:Guid>
    <b:Author>
      <b:Author>
        <b:NameList>
          <b:Person>
            <b:Last>Arance Fernández</b:Last>
            <b:First>A.</b:First>
            <b:Middle>M. et al.</b:Middle>
          </b:Person>
        </b:NameList>
      </b:Author>
    </b:Author>
    <b:Title>Epidemiological study to evaluate the prevalence of BRAF V600 mutation in patients (pts) diagnosed with advanced melanoma (AM) in routine clinical practice in Spain.</b:Title>
    <b:JournalName>J. Clin. Oncol.</b:JournalName>
    <b:Year>2015</b:Year>
    <b:Pages>33, e20115–e20115</b:Pages>
    <b:RefOrder>7</b:RefOrder>
  </b:Source>
  <b:Source>
    <b:Tag>Pic14</b:Tag>
    <b:SourceType>JournalArticle</b:SourceType>
    <b:Guid>{7711D0AA-E213-420A-815F-6A7F7DB5BB80}</b:Guid>
    <b:Author>
      <b:Author>
        <b:NameList>
          <b:Person>
            <b:Last>Picard</b:Last>
            <b:First>M.</b:First>
            <b:Middle>et al.</b:Middle>
          </b:Person>
        </b:NameList>
      </b:Author>
    </b:Author>
    <b:Title>Is BRAF a prognostic factor in stage III skin melanoma? A retrospective study of 72 patients after positive sentinel lymph node dissection.</b:Title>
    <b:JournalName>Br. J. Dermatol.</b:JournalName>
    <b:Year>2014</b:Year>
    <b:Pages>171, 108–114</b:Pages>
    <b:RefOrder>8</b:RefOrder>
  </b:Source>
  <b:Source>
    <b:Tag>Col13</b:Tag>
    <b:SourceType>JournalArticle</b:SourceType>
    <b:Guid>{528DBAC2-59EB-4BB7-BECC-914FBCDC3CF2}</b:Guid>
    <b:Author>
      <b:Author>
        <b:NameList>
          <b:Person>
            <b:Last>Colombino</b:Last>
            <b:First>M.</b:First>
            <b:Middle>et al.</b:Middle>
          </b:Person>
        </b:NameList>
      </b:Author>
    </b:Author>
    <b:Title>Heterogeneous distribution of BRAF/NRAS mutations among Italian patients with advanced melanoma.</b:Title>
    <b:JournalName>J. Transl. Med.</b:JournalName>
    <b:Year>2013</b:Year>
    <b:Pages>11, 202</b:Pages>
    <b:RefOrder>9</b:RefOrder>
  </b:Source>
  <b:Source>
    <b:Tag>Ama12</b:Tag>
    <b:SourceType>JournalArticle</b:SourceType>
    <b:Guid>{14A9CAB4-4B31-4B63-BA1A-5D0A66526257}</b:Guid>
    <b:Author>
      <b:Author>
        <b:NameList>
          <b:Person>
            <b:Last>Amanuel</b:Last>
            <b:First>B.,</b:First>
            <b:Middle>Grieu, F., Kular, J., Millward, M. &amp; Iacopetta, B.</b:Middle>
          </b:Person>
        </b:NameList>
      </b:Author>
    </b:Author>
    <b:Title>Incidence of BRAF p.Val600Glu and p.Val600Lys mutations in a consecutive series of 183 metastatic melanoma patients from a high incidence region</b:Title>
    <b:JournalName>Pathology (Phila.)</b:JournalName>
    <b:Year>2012</b:Year>
    <b:Pages>44, 357–359</b:Pages>
    <b:RefOrder>10</b:RefOrder>
  </b:Source>
  <b:Source>
    <b:Tag>Bar14</b:Tag>
    <b:SourceType>JournalArticle</b:SourceType>
    <b:Guid>{536A780D-E735-4F32-B5A8-211889DA3EE6}</b:Guid>
    <b:Author>
      <b:Author>
        <b:NameList>
          <b:Person>
            <b:Last>Barbour</b:Last>
            <b:First>A.</b:First>
            <b:Middle>P. et al.</b:Middle>
          </b:Person>
        </b:NameList>
      </b:Author>
    </b:Author>
    <b:Title>BRAF mutation status is an independent prognostic factor for resected stage IIIB and IIIC melanoma: implications for melanoma staging and adjuvant therapy.</b:Title>
    <b:JournalName>Eur. J. Cancer Oxf. Engl.</b:JournalName>
    <b:Year>2014</b:Year>
    <b:Pages>50, 2668–2676</b:Pages>
    <b:RefOrder>11</b:RefOrder>
  </b:Source>
  <b:Source>
    <b:Tag>Car14</b:Tag>
    <b:SourceType>JournalArticle</b:SourceType>
    <b:Guid>{3C4452CE-1659-4581-B159-062B4A00393A}</b:Guid>
    <b:Author>
      <b:Author>
        <b:NameList>
          <b:Person>
            <b:Last>Carlino</b:Last>
            <b:First>M.</b:First>
            <b:Middle>S. et al.</b:Middle>
          </b:Person>
        </b:NameList>
      </b:Author>
    </b:Author>
    <b:Title>Correlation of BRAF and NRAS mutation status with outcome, site of distant metastasis and response to chemotherapy in metastatic melanoma.</b:Title>
    <b:JournalName>Br. J. Cancer</b:JournalName>
    <b:Year>2014</b:Year>
    <b:Pages>111,292</b:Pages>
    <b:RefOrder>12</b:RefOrder>
  </b:Source>
  <b:Source>
    <b:Tag>Gor17</b:Tag>
    <b:SourceType>JournalArticle</b:SourceType>
    <b:Guid>{5DAE4713-B163-4EFF-B192-B23102580DCF}</b:Guid>
    <b:Author>
      <b:Author>
        <b:NameList>
          <b:Person>
            <b:Last>Gorayski</b:Last>
            <b:First>P.</b:First>
            <b:Middle>et al.</b:Middle>
          </b:Person>
        </b:NameList>
      </b:Author>
    </b:Author>
    <b:Title>Radiotherapy utilization in BRAF mutation-tested metastatic melanoma in the targeted therapy era.</b:Title>
    <b:JournalName>Asia Pac. J. Clin. Oncol.</b:JournalName>
    <b:Year>2017</b:Year>
    <b:Pages>13, e117–e123</b:Pages>
    <b:RefOrder>13</b:RefOrder>
  </b:Source>
  <b:Source>
    <b:Tag>Lyl16</b:Tag>
    <b:SourceType>JournalArticle</b:SourceType>
    <b:Guid>{343CE593-7432-4884-AE52-20B2B06E2686}</b:Guid>
    <b:Author>
      <b:Author>
        <b:NameList>
          <b:Person>
            <b:Last>Lyle</b:Last>
            <b:First>M.</b:First>
            <b:Middle>et al.</b:Middle>
          </b:Person>
        </b:NameList>
      </b:Author>
    </b:Author>
    <b:Title>The molecular profile of metastatic melanoma in Australia.</b:Title>
    <b:JournalName>Pathology (Phila.)</b:JournalName>
    <b:Year>2016</b:Year>
    <b:Pages>48, 188-193</b:Pages>
    <b:RefOrder>14</b:RefOrder>
  </b:Source>
  <b:Source>
    <b:Tag>McL15</b:Tag>
    <b:SourceType>JournalArticle</b:SourceType>
    <b:Guid>{EB99F845-A02E-42F5-B5E1-AB69550C3CEB}</b:Guid>
    <b:Author>
      <b:Author>
        <b:NameList>
          <b:Person>
            <b:Last>McLean</b:Last>
            <b:First>L.</b:First>
            <b:Middle>et al.</b:Middle>
          </b:Person>
        </b:NameList>
      </b:Author>
    </b:Author>
    <b:Title>BRAF mutation status – a good prognostic indicator in the era of targeted therapies?</b:Title>
    <b:JournalName>Ann. Oncol.</b:JournalName>
    <b:Year>2015</b:Year>
    <b:Pages>26, ix104-ix104</b:Pages>
    <b:RefOrder>15</b:RefOrder>
  </b:Source>
  <b:Source>
    <b:Tag>Eke13</b:Tag>
    <b:SourceType>JournalArticle</b:SourceType>
    <b:Guid>{0C21B499-8675-4604-A1E3-B3D540812CC8}</b:Guid>
    <b:Author>
      <b:Author>
        <b:NameList>
          <b:Person>
            <b:Last>Ekedahl</b:Last>
            <b:First>H.</b:First>
            <b:Middle>et al.</b:Middle>
          </b:Person>
        </b:NameList>
      </b:Author>
    </b:Author>
    <b:Title>The clinical significance of BRAF and NRAS mutations in a clinic-based metastatic melanoma cohort.</b:Title>
    <b:JournalName>Br. J. Dermatol.</b:JournalName>
    <b:Year>2013</b:Year>
    <b:Pages>169, 1049-1055</b:Pages>
    <b:RefOrder>16</b:RefOrder>
  </b:Source>
  <b:Source>
    <b:Tag>Fra16</b:Tag>
    <b:SourceType>JournalArticle</b:SourceType>
    <b:Guid>{C7DA7E0A-887E-4090-A862-48877DA6F2E9}</b:Guid>
    <b:Author>
      <b:Author>
        <b:NameList>
          <b:Person>
            <b:Last>Frauchiger</b:Last>
            <b:First>A.</b:First>
            <b:Middle>L. et al.</b:Middle>
          </b:Person>
        </b:NameList>
      </b:Author>
    </b:Author>
    <b:Title>Prognostic relevance of lactate dehydrogenase and serum S100 levels in stage IV melanoma with known BRAF mutation status.</b:Title>
    <b:JournalName>Br. J. Dermatol.</b:JournalName>
    <b:Year>2016</b:Year>
    <b:Pages>174, 823-830</b:Pages>
    <b:RefOrder>17</b:RefOrder>
  </b:Source>
  <b:Source>
    <b:Tag>Mec14</b:Tag>
    <b:SourceType>JournalArticle</b:SourceType>
    <b:Guid>{50BCC487-7388-428E-996B-7AA21559FBC0}</b:Guid>
    <b:Author>
      <b:Author>
        <b:NameList>
          <b:Person>
            <b:Last>Meckbach</b:Last>
            <b:First>D.</b:First>
            <b:Middle>et al.</b:Middle>
          </b:Person>
        </b:NameList>
      </b:Author>
    </b:Author>
    <b:Title>Survival according to BRAF-V600 tumor mutations--an analysis of 437 patients with primary melanoma.</b:Title>
    <b:JournalName>PloS One</b:JournalName>
    <b:Year>2014</b:Year>
    <b:Pages>9, e86194</b:Pages>
    <b:RefOrder>18</b:RefOrder>
  </b:Source>
  <b:Source>
    <b:Tag>Mec141</b:Tag>
    <b:SourceType>JournalArticle</b:SourceType>
    <b:Guid>{A8C18B02-2096-4992-82FF-4A6BD1CD2075}</b:Guid>
    <b:Author>
      <b:Author>
        <b:NameList>
          <b:Person>
            <b:Last>Meckbach</b:Last>
            <b:First>D.</b:First>
            <b:Middle>et al.</b:Middle>
          </b:Person>
        </b:NameList>
      </b:Author>
    </b:Author>
    <b:Title>BRAF-V600 mutations have no prognostic impact in stage IV melanoma patients treated with monochemotherapy.</b:Title>
    <b:JournalName>PloS One 9</b:JournalName>
    <b:Year>2014</b:Year>
    <b:Pages>e89218</b:Pages>
    <b:RefOrder>19</b:RefOrder>
  </b:Source>
  <b:Source>
    <b:Tag>Sch13</b:Tag>
    <b:SourceType>JournalArticle</b:SourceType>
    <b:Guid>{38684546-0122-4678-B897-6064F7A7885C}</b:Guid>
    <b:Author>
      <b:Author>
        <b:NameList>
          <b:Person>
            <b:Last>Schlaak</b:Last>
            <b:First>M.</b:First>
            <b:Middle>et al.</b:Middle>
          </b:Person>
        </b:NameList>
      </b:Author>
    </b:Author>
    <b:Title>Assessment of clinical parameters associated with mutational status in metastatic malignant melanoma: a single-centre investigation of 141 patients.</b:Title>
    <b:JournalName>Br. J. Dermatol</b:JournalName>
    <b:Year>2013</b:Year>
    <b:Pages>168, 708-716</b:Pages>
    <b:RefOrder>20</b:RefOrder>
  </b:Source>
  <b:Source>
    <b:Tag>Liu07</b:Tag>
    <b:SourceType>JournalArticle</b:SourceType>
    <b:Guid>{60CF8ED2-7DA6-4509-BC92-D54C3D8F485A}</b:Guid>
    <b:Author>
      <b:Author>
        <b:NameList>
          <b:Person>
            <b:Last>Liu</b:Last>
            <b:First>W.</b:First>
            <b:Middle>et al.</b:Middle>
          </b:Person>
        </b:NameList>
      </b:Author>
    </b:Author>
    <b:Title>Distinct Clinical and Pathological Features Are Associated with the BRAFT1799A(V600E) Mutation in Primary Melanoma.</b:Title>
    <b:JournalName>J. Invest. Dermatol.</b:JournalName>
    <b:Year>2007</b:Year>
    <b:Pages>127, 900-905</b:Pages>
    <b:RefOrder>21</b:RefOrder>
  </b:Source>
  <b:Source>
    <b:Tag>Lon11</b:Tag>
    <b:SourceType>JournalArticle</b:SourceType>
    <b:Guid>{C6C4E346-23E5-4684-922A-4DFDF281473A}</b:Guid>
    <b:Author>
      <b:Author>
        <b:NameList>
          <b:Person>
            <b:Last>Long</b:Last>
            <b:First>G.</b:First>
            <b:Middle>V. et al.</b:Middle>
          </b:Person>
        </b:NameList>
      </b:Author>
    </b:Author>
    <b:Title>Prognostic and clinicopathologic associations of oncogenic BRAF in metastatic melanoma.</b:Title>
    <b:JournalName>J. Clin. Oncol. Off. J. Am. Soc. Clin. Oncol.</b:JournalName>
    <b:Year>2011</b:Year>
    <b:Pages>29, 1239-1246</b:Pages>
    <b:RefOrder>22</b:RefOrder>
  </b:Source>
  <b:Source>
    <b:Tag>Aus17</b:Tag>
    <b:SourceType>Report</b:SourceType>
    <b:Guid>{021C2C60-B7BB-4118-85AD-3D8052E70693}</b:Guid>
    <b:Title>Cancer in Australia 2017</b:Title>
    <b:Year>2017</b:Year>
    <b:Author>
      <b:Author>
        <b:Corporate>Australian Institute of Health and Welfare</b:Corporate>
      </b:Author>
    </b:Author>
    <b:Publisher>Cancer series no. 101. Cat. no. CAN 100. Canberra: AIHW.</b:Publisher>
    <b:RefOrder>23</b:RefOrder>
  </b:Source>
  <b:Source>
    <b:Tag>Rob15</b:Tag>
    <b:SourceType>JournalArticle</b:SourceType>
    <b:Guid>{353255C9-C360-49C3-90E3-EC5E861E2709}</b:Guid>
    <b:Title>Improved overall survival in melanoma with combined dabrafenib and trametinib.</b:Title>
    <b:Year>2015</b:Year>
    <b:JournalName>New England Journal of Medicine</b:JournalName>
    <b:Pages>372(1):30-39</b:Pages>
    <b:Author>
      <b:Author>
        <b:NameList>
          <b:Person>
            <b:Last>Robert</b:Last>
            <b:First>C</b:First>
          </b:Person>
          <b:Person>
            <b:Last>Karaszekska</b:Last>
            <b:First>B</b:First>
          </b:Person>
          <b:Person>
            <b:Last>Scachter</b:Last>
            <b:First>J</b:First>
          </b:Person>
          <b:Person>
            <b:Last>Rutkowski</b:Last>
            <b:First>P</b:First>
          </b:Person>
          <b:Person>
            <b:Last>Mackiewicz</b:Last>
            <b:First>A</b:First>
          </b:Person>
          <b:Person>
            <b:Last>Stroiakovski</b:Last>
            <b:First>D</b:First>
          </b:Person>
          <b:Person>
            <b:Last>Lichinitser</b:Last>
            <b:First>M</b:First>
          </b:Person>
          <b:Person>
            <b:Last>Dummer</b:Last>
            <b:First>R</b:First>
          </b:Person>
          <b:Person>
            <b:Last>Grange</b:Last>
            <b:First>F</b:First>
          </b:Person>
          <b:Person>
            <b:Last>Mortier</b:Last>
            <b:First>L</b:First>
          </b:Person>
          <b:Person>
            <b:Last>Chiarion-Sileni</b:Last>
            <b:First>V</b:First>
          </b:Person>
          <b:Person>
            <b:Last>Drucis</b:Last>
            <b:First>K</b:First>
          </b:Person>
          <b:Person>
            <b:Last>Krajsova</b:Last>
            <b:First>I</b:First>
          </b:Person>
          <b:Person>
            <b:Last>Hauschild</b:Last>
            <b:First>A</b:First>
          </b:Person>
          <b:Person>
            <b:Last>Lorigan</b:Last>
            <b:First>P</b:First>
          </b:Person>
          <b:Person>
            <b:Last>Wolter</b:Last>
            <b:First>P</b:First>
          </b:Person>
          <b:Person>
            <b:Last>Long</b:Last>
            <b:Middle>V</b:Middle>
            <b:First>G</b:First>
          </b:Person>
          <b:Person>
            <b:Last>Flaherty</b:Last>
            <b:First>K</b:First>
          </b:Person>
          <b:Person>
            <b:Last>Nathan</b:Last>
            <b:First>P</b:First>
          </b:Person>
          <b:Person>
            <b:Last>Ribas</b:Last>
            <b:First>A</b:First>
          </b:Person>
          <b:Person>
            <b:Last>Martin</b:Last>
            <b:Middle>M</b:Middle>
            <b:First>A</b:First>
          </b:Person>
          <b:Person>
            <b:Last>Sun</b:Last>
            <b:First>P</b:First>
          </b:Person>
          <b:Person>
            <b:Last>Crist</b:Last>
            <b:First>W</b:First>
          </b:Person>
          <b:Person>
            <b:Last>Legos</b:Last>
            <b:First>J</b:First>
          </b:Person>
          <b:Person>
            <b:Last>Rubin</b:Last>
            <b:Middle>D</b:Middle>
            <b:First>S</b:First>
          </b:Person>
          <b:Person>
            <b:Last>Little</b:Last>
            <b:Middle>M</b:Middle>
            <b:First>S</b:First>
          </b:Person>
          <b:Person>
            <b:Last>Schadendork</b:Last>
            <b:First>D</b:First>
          </b:Person>
        </b:NameList>
      </b:Author>
    </b:Author>
    <b:RefOrder>24</b:RefOrder>
  </b:Source>
  <b:Source>
    <b:Tag>Gro15</b:Tag>
    <b:SourceType>JournalArticle</b:SourceType>
    <b:Guid>{F287AA3B-4D2C-4B23-A6B3-F9E55D0C3A62}</b:Guid>
    <b:Title>Comparison of dabrafenib and trametinib combination therapy with vemurafenib monotherapy on health-related quality of life in patients with unresectable or metastatic cutaneous BRAF Val600-mutation-positive melanoma (COMBI-v): Results of a phase 3, open-l</b:Title>
    <b:JournalName>The Lancet Oncology</b:JournalName>
    <b:Year>2015</b:Year>
    <b:Pages>16(13):1389-1398</b:Pages>
    <b:Author>
      <b:Author>
        <b:NameList>
          <b:Person>
            <b:Last>Grob</b:Last>
            <b:Middle>J</b:Middle>
            <b:First>J</b:First>
          </b:Person>
          <b:Person>
            <b:Last>Amonkar</b:Last>
            <b:Middle>M</b:Middle>
            <b:First>M</b:First>
          </b:Person>
          <b:Person>
            <b:Last>Karaszewska</b:Last>
            <b:First>B</b:First>
          </b:Person>
          <b:Person>
            <b:Last>Schachter</b:Last>
            <b:First>J</b:First>
          </b:Person>
          <b:Person>
            <b:Last>Dummer</b:Last>
            <b:First>R</b:First>
          </b:Person>
          <b:Person>
            <b:Last>Mackiewicz</b:Last>
            <b:First>A</b:First>
          </b:Person>
          <b:Person>
            <b:Last>Stroyakovskiy</b:Last>
            <b:First>D</b:First>
          </b:Person>
          <b:Person>
            <b:Last>Drucis</b:Last>
            <b:First>K</b:First>
          </b:Person>
          <b:Person>
            <b:Last>Grange</b:Last>
            <b:First>F</b:First>
          </b:Person>
          <b:Person>
            <b:Last>Chirarion-Sileni</b:Last>
            <b:First>V</b:First>
          </b:Person>
          <b:Person>
            <b:Last>Rutkowski</b:Last>
            <b:First>P</b:First>
          </b:Person>
          <b:Person>
            <b:Last>Lichinitser</b:Last>
            <b:First>M</b:First>
          </b:Person>
          <b:Person>
            <b:Last>Levchenko</b:Last>
            <b:First>E</b:First>
          </b:Person>
          <b:Person>
            <b:Last>Wolter</b:Last>
            <b:First>P</b:First>
          </b:Person>
          <b:Person>
            <b:Last>Hauschild</b:Last>
            <b:First>A</b:First>
          </b:Person>
          <b:Person>
            <b:Last>Long</b:Last>
            <b:Middle>V</b:Middle>
            <b:First>G</b:First>
          </b:Person>
          <b:Person>
            <b:Last>Nathan</b:Last>
            <b:First>P</b:First>
          </b:Person>
          <b:Person>
            <b:Last>Ribas</b:Last>
            <b:First>A</b:First>
          </b:Person>
          <b:Person>
            <b:Last>Flaherty</b:Last>
            <b:First>K</b:First>
          </b:Person>
          <b:Person>
            <b:Last>Sun</b:Last>
            <b:First>P</b:First>
          </b:Person>
          <b:Person>
            <b:Last>Legos</b:Last>
            <b:Middle>J</b:Middle>
            <b:First>J</b:First>
          </b:Person>
          <b:Person>
            <b:Last>McDowell</b:Last>
            <b:Middle>O</b:Middle>
            <b:First>D</b:First>
          </b:Person>
          <b:Person>
            <b:Last>Mookerjee</b:Last>
            <b:First>B</b:First>
          </b:Person>
          <b:Person>
            <b:Last>Schadendorf</b:Last>
            <b:First>D</b:First>
          </b:Person>
          <b:Person>
            <b:Last>Robert</b:Last>
            <b:First>C</b:First>
          </b:Person>
        </b:NameList>
      </b:Author>
    </b:Author>
    <b:RefOrder>25</b:RefOrder>
  </b:Source>
  <b:Source>
    <b:Tag>Lon161</b:Tag>
    <b:SourceType>JournalArticle</b:SourceType>
    <b:Guid>{7EA3890D-1DA0-4DF9-868B-7BD0122EE7A5}</b:Guid>
    <b:Title>Factors predictive of response, disease progression, and overall survival after dabrafenib and trametinib combination treatment: a pooled analysis of individual patient data from randomised trials.</b:Title>
    <b:JournalName>The Lancet Oncology</b:JournalName>
    <b:Year>2016</b:Year>
    <b:Pages>17(12):1743-1754</b:Pages>
    <b:Author>
      <b:Author>
        <b:NameList>
          <b:Person>
            <b:Last>Long</b:Last>
            <b:Middle>V</b:Middle>
            <b:First>G</b:First>
          </b:Person>
          <b:Person>
            <b:Last>Grob</b:Last>
            <b:Middle>J</b:Middle>
            <b:First>J</b:First>
          </b:Person>
          <b:Person>
            <b:Last>Nathan</b:Last>
            <b:First>P</b:First>
          </b:Person>
          <b:Person>
            <b:Last>Ribas</b:Last>
            <b:First>A</b:First>
          </b:Person>
          <b:Person>
            <b:Last>Robert</b:Last>
            <b:First>C</b:First>
          </b:Person>
          <b:Person>
            <b:Last>Schadendork</b:Last>
            <b:First>D</b:First>
          </b:Person>
          <b:Person>
            <b:Last>Lane</b:Last>
            <b:Middle>R</b:Middle>
            <b:First>S</b:First>
          </b:Person>
          <b:Person>
            <b:Last>Mak</b:Last>
            <b:First>C</b:First>
          </b:Person>
          <b:Person>
            <b:Last>Legenne</b:Last>
            <b:First>P</b:First>
          </b:Person>
          <b:Person>
            <b:Last>Flaherty</b:Last>
            <b:Middle>T</b:Middle>
            <b:First>K</b:First>
          </b:Person>
          <b:Person>
            <b:Last>Davies</b:Last>
            <b:Middle>A</b:Middle>
            <b:First>M</b:First>
          </b:Person>
        </b:NameList>
      </b:Author>
    </b:Author>
    <b:RefOrder>26</b:RefOrder>
  </b:Source>
  <b:Source>
    <b:Tag>Rob151</b:Tag>
    <b:SourceType>ConferenceProceedings</b:SourceType>
    <b:Guid>{3DBB1A40-BC1D-4250-896A-2E3F305BCBD3}</b:Guid>
    <b:Title>Two year estimate of overall survival in COMBI-v, a randomized, open-label, phase III study comparing the combination of dabrafenib (D) and trametinib (T) with vemurafenib (Vem) as first-line therapy in patients (pts) with unresectable or metastatic BRAF </b:Title>
    <b:Pages>51:S663</b:Pages>
    <b:Year>Sept 2015</b:Year>
    <b:ConferenceName>European Journal of Cancer</b:ConferenceName>
    <b:Author>
      <b:Author>
        <b:NameList>
          <b:Person>
            <b:Last>Robert</b:Last>
            <b:First>C</b:First>
          </b:Person>
          <b:Person>
            <b:Last>Karaszewska</b:Last>
            <b:First>B</b:First>
          </b:Person>
          <b:Person>
            <b:Last>Schachter</b:Last>
            <b:First>J</b:First>
          </b:Person>
          <b:Person>
            <b:Last>Rutkowski</b:Last>
            <b:First>P</b:First>
          </b:Person>
          <b:Person>
            <b:Last>Mackiewicz</b:Last>
            <b:First>A</b:First>
          </b:Person>
          <b:Person>
            <b:Last>Stroyakovskiy</b:Last>
            <b:First>D</b:First>
          </b:Person>
          <b:Person>
            <b:Last>Michinitser</b:Last>
            <b:First>M</b:First>
          </b:Person>
          <b:Person>
            <b:Last>Dummer</b:Last>
            <b:First>R</b:First>
          </b:Person>
          <b:Person>
            <b:Last>Grange</b:Last>
            <b:First>F</b:First>
          </b:Person>
          <b:Person>
            <b:Last>Mortier</b:Last>
            <b:First>L</b:First>
          </b:Person>
          <b:Person>
            <b:Last>Chirarion-Sileni</b:Last>
            <b:First>V</b:First>
          </b:Person>
          <b:Person>
            <b:Last>Drucis</b:Last>
            <b:First>K</b:First>
          </b:Person>
          <b:Person>
            <b:Last>Krajsova</b:Last>
            <b:First>I</b:First>
          </b:Person>
          <b:Person>
            <b:Last>Hauschild</b:Last>
            <b:First>A</b:First>
          </b:Person>
          <b:Person>
            <b:Last>Mookerjee</b:Last>
            <b:First>B</b:First>
          </b:Person>
          <b:Person>
            <b:Last>Legos</b:Last>
            <b:First>J</b:First>
          </b:Person>
          <b:Person>
            <b:Last>Schadendorf</b:Last>
            <b:First>D</b:First>
          </b:Person>
        </b:NameList>
      </b:Author>
    </b:Author>
    <b:RefOrder>27</b:RefOrder>
  </b:Source>
  <b:Source>
    <b:Tag>Rob161</b:Tag>
    <b:SourceType>ConferenceProceedings</b:SourceType>
    <b:Guid>{EFC8FE15-868F-45EB-B960-B4A845B37967}</b:Guid>
    <b:Title>Three-year estimate of overall survival in COMBI-v, a randomized phase 3 study evaluating first-line dabrafenib (D) + trametinib (T) in patients (pts) with unresectable or metastatic BRAF V600E/K-mutant cutaneous melanoma</b:Title>
    <b:JournalName>Annals of Oncology</b:JournalName>
    <b:Year>2016</b:Year>
    <b:Author>
      <b:Author>
        <b:NameList>
          <b:Person>
            <b:Last>Robert</b:Last>
            <b:First>C</b:First>
          </b:Person>
          <b:Person>
            <b:Last>Karaszewska</b:Last>
            <b:First>B</b:First>
          </b:Person>
          <b:Person>
            <b:Last>Schachter</b:Last>
            <b:First>J</b:First>
          </b:Person>
          <b:Person>
            <b:Last>Rutkowski</b:Last>
            <b:First>P</b:First>
          </b:Person>
          <b:Person>
            <b:Last>Mackiewicz</b:Last>
            <b:First>A</b:First>
          </b:Person>
          <b:Person>
            <b:Last>Stroyakovskiy</b:Last>
            <b:First>D</b:First>
          </b:Person>
          <b:Person>
            <b:Last>Dummer</b:Last>
            <b:First>R</b:First>
          </b:Person>
          <b:Person>
            <b:Last>Grange</b:Last>
            <b:First>F</b:First>
          </b:Person>
          <b:Person>
            <b:Last>Mortier</b:Last>
            <b:First>L</b:First>
          </b:Person>
          <b:Person>
            <b:Last>Chiarion-Sileni</b:Last>
            <b:First>V</b:First>
          </b:Person>
          <b:Person>
            <b:Last>Drucis</b:Last>
            <b:First>K</b:First>
          </b:Person>
          <b:Person>
            <b:Last>Krajsova</b:Last>
            <b:First>I</b:First>
          </b:Person>
          <b:Person>
            <b:Last>Hauschild</b:Last>
            <b:First>A</b:First>
          </b:Person>
          <b:Person>
            <b:Last>Mookerjee</b:Last>
            <b:First>B</b:First>
          </b:Person>
          <b:Person>
            <b:Last>Legos</b:Last>
            <b:First>JJ</b:First>
          </b:Person>
          <b:Person>
            <b:Last>Zhang</b:Last>
            <b:First>Y</b:First>
          </b:Person>
          <b:Person>
            <b:Last>Lane</b:Last>
            <b:First>S</b:First>
          </b:Person>
          <b:Person>
            <b:Last>Schadendorf</b:Last>
            <b:First>D</b:First>
          </b:Person>
        </b:NameList>
      </b:Author>
    </b:Author>
    <b:ConferenceName>Annals of oncology. Conference: 41st european society for medical oncology congress</b:ConferenceName>
    <b:City>Denmark</b:City>
    <b:Publisher>ESMO</b:Publisher>
    <b:RefOrder>28</b:RefOrder>
  </b:Source>
  <b:Source>
    <b:Tag>Sch17</b:Tag>
    <b:SourceType>ConferenceProceedings</b:SourceType>
    <b:Guid>{2ECB137E-D484-4047-B1BA-42EAD9909419}</b:Guid>
    <b:Title>PD-L1 and CD8 expression and association with outcomes in patients (pts) with BRAF V600E/K-mutant metastatic melanoma (MM) who received dabrafenib + trametinib (D+T) in the randomized phase 3 COMBI-v study</b:Title>
    <b:Year>2017</b:Year>
    <b:ConferenceName>Journal of clinical oncology. Conference: 2017 annual meeting of the american society of clinical oncology</b:ConferenceName>
    <b:City>United States</b:City>
    <b:Publisher>ASMO</b:Publisher>
    <b:Author>
      <b:Author>
        <b:NameList>
          <b:Person>
            <b:Last>Schadendorf</b:Last>
            <b:First>D</b:First>
          </b:Person>
          <b:Person>
            <b:Last>Long</b:Last>
            <b:Middle>V</b:Middle>
            <b:First>G</b:First>
          </b:Person>
          <b:Person>
            <b:Last>Grob</b:Last>
            <b:Middle>J</b:Middle>
            <b:First>J</b:First>
          </b:Person>
          <b:Person>
            <b:Last>Nathan</b:Last>
            <b:Middle>D</b:Middle>
            <b:First>P</b:First>
          </b:Person>
          <b:Person>
            <b:Last>Ribas</b:Last>
            <b:First>A</b:First>
          </b:Person>
          <b:Person>
            <b:Last>Davies</b:Last>
            <b:Middle>A</b:Middle>
            <b:First>M</b:First>
          </b:Person>
          <b:Person>
            <b:Last>Flaherty</b:Last>
            <b:Middle>T</b:Middle>
            <b:First>K</b:First>
          </b:Person>
          <b:Person>
            <b:Last>Squires</b:Last>
            <b:First>M</b:First>
          </b:Person>
          <b:Person>
            <b:Last>Jaeger</b:Last>
            <b:First>S</b:First>
          </b:Person>
          <b:Person>
            <b:Last>Powell</b:Last>
            <b:First>W</b:First>
          </b:Person>
          <b:Person>
            <b:Last>Tan</b:Last>
            <b:First>P</b:First>
          </b:Person>
          <b:Person>
            <b:Last>Robert</b:Last>
            <b:First>C</b:First>
          </b:Person>
        </b:NameList>
      </b:Author>
    </b:Author>
    <b:RefOrder>29</b:RefOrder>
  </b:Source>
  <b:Source>
    <b:Tag>Gro16</b:Tag>
    <b:SourceType>ConferenceProceedings</b:SourceType>
    <b:Guid>{5D701390-6B93-4BB1-8266-75253A938D4B}</b:Guid>
    <b:Title>Health-related quality-of-life (HRQOL) impact of dabrafenib (D) and trametinib (T) vs BRAF inhibitor (BRAFi) monotherapy by lactate dehydrogenase (LDH) in patients (pts) with BRAF V600-mutant melanoma</b:Title>
    <b:Year>2016</b:Year>
    <b:ConferenceName>Annals of oncology. Conference: 41st european society for medical oncology congress</b:ConferenceName>
    <b:City>Denmark</b:City>
    <b:Publisher>ESMO</b:Publisher>
    <b:Author>
      <b:Author>
        <b:NameList>
          <b:Person>
            <b:Last>Grob</b:Last>
            <b:Middle>J</b:Middle>
            <b:First>J</b:First>
          </b:Person>
          <b:Person>
            <b:Last>Robert</b:Last>
            <b:First>C</b:First>
          </b:Person>
          <b:Person>
            <b:Last>Long</b:Last>
            <b:Middle>V</b:Middle>
            <b:First>G</b:First>
          </b:Person>
          <b:Person>
            <b:Last>Stroyakovskiy</b:Last>
            <b:First>D</b:First>
          </b:Person>
          <b:Person>
            <b:Last>Levchenko</b:Last>
            <b:First>E</b:First>
          </b:Person>
          <b:Person>
            <b:Last>Chiarion-Sileni</b:Last>
            <b:First>V</b:First>
          </b:Person>
          <b:Person>
            <b:Last>Flaherty</b:Last>
            <b:First>K</b:First>
          </b:Person>
          <b:Person>
            <b:Last>Nathan</b:Last>
            <b:First>P</b:First>
          </b:Person>
          <b:Person>
            <b:Last>Ribas</b:Last>
            <b:First>A</b:First>
          </b:Person>
          <b:Person>
            <b:Last>Davies</b:Last>
            <b:First>M</b:First>
          </b:Person>
          <b:Person>
            <b:Last>Zhang</b:Last>
            <b:First>J</b:First>
          </b:Person>
          <b:Person>
            <b:Last>Chen</b:Last>
            <b:First>L</b:First>
          </b:Person>
          <b:Person>
            <b:Last>Mookerjee</b:Last>
            <b:First>B</b:First>
          </b:Person>
          <b:Person>
            <b:Last>Redhu</b:Last>
            <b:First>S</b:First>
          </b:Person>
        </b:NameList>
      </b:Author>
    </b:Author>
    <b:RefOrder>30</b:RefOrder>
  </b:Source>
  <b:Source>
    <b:Tag>Rob162</b:Tag>
    <b:SourceType>ConferenceProceedings</b:SourceType>
    <b:Guid>{8CD47A5E-CB6B-4CED-B413-603D827FE143}</b:Guid>
    <b:Title>Analysis of patient-reported outcomes by disease progression status in patients (pts) with BRAF V600-mutant metastatic melanoma in the COMBI-d and COMBI-v trials</b:Title>
    <b:Year>2016</b:Year>
    <b:ConferenceName>Annals of oncology. Conference: 41st european society for medical oncology congress</b:ConferenceName>
    <b:City>Denmark</b:City>
    <b:Publisher>ESMO</b:Publisher>
    <b:Author>
      <b:Author>
        <b:NameList>
          <b:Person>
            <b:Last>Robert</b:Last>
            <b:First>C</b:First>
          </b:Person>
          <b:Person>
            <b:Last>Schadendorf</b:Last>
            <b:First>D</b:First>
          </b:Person>
          <b:Person>
            <b:Last>Long</b:Last>
            <b:Middle>V</b:Middle>
            <b:First>G</b:First>
          </b:Person>
          <b:Person>
            <b:Last>Stroyakovskiy</b:Last>
            <b:First>D</b:First>
          </b:Person>
          <b:Person>
            <b:Last>Levchenko</b:Last>
            <b:First>E</b:First>
          </b:Person>
          <b:Person>
            <b:Last>Chiarion-Sileni</b:Last>
            <b:First>V</b:First>
          </b:Person>
          <b:Person>
            <b:Last>Flaherty</b:Last>
            <b:First>K</b:First>
          </b:Person>
          <b:Person>
            <b:Last>Nathan</b:Last>
            <b:First>P</b:First>
          </b:Person>
          <b:Person>
            <b:Last>Ribas</b:Last>
            <b:First>A</b:First>
          </b:Person>
          <b:Person>
            <b:Last>Davies</b:Last>
            <b:First>M</b:First>
          </b:Person>
          <b:Person>
            <b:Last>Zhang</b:Last>
            <b:First>J</b:First>
          </b:Person>
          <b:Person>
            <b:Last>Chen</b:Last>
            <b:First>L</b:First>
          </b:Person>
          <b:Person>
            <b:Last>Mookerjee</b:Last>
            <b:First>B</b:First>
          </b:Person>
          <b:Person>
            <b:Last>Redhu</b:Last>
            <b:First>S</b:First>
          </b:Person>
          <b:Person>
            <b:Last>Grob</b:Last>
            <b:Middle>J</b:Middle>
            <b:First>J</b:First>
          </b:Person>
        </b:NameList>
      </b:Author>
    </b:Author>
    <b:RefOrder>31</b:RefOrder>
  </b:Source>
  <b:Source>
    <b:Tag>Lon14</b:Tag>
    <b:SourceType>JournalArticle</b:SourceType>
    <b:Guid>{55E0F08D-6790-4FE9-AC23-B5A3F1094F07}</b:Guid>
    <b:Title>Combined BRAF and MEK inhibition versus BRAF inhibition alone in melanoma.</b:Title>
    <b:JournalName>New England Journal of Medicine</b:JournalName>
    <b:Year>2014</b:Year>
    <b:Pages>371(20):1877-1888</b:Pages>
    <b:Author>
      <b:Author>
        <b:NameList>
          <b:Person>
            <b:Last>Long</b:Last>
            <b:Middle>V</b:Middle>
            <b:First>G</b:First>
          </b:Person>
          <b:Person>
            <b:Last>Stroyakovskiy</b:Last>
            <b:First>D</b:First>
          </b:Person>
          <b:Person>
            <b:Last>Gogas</b:Last>
            <b:First>H</b:First>
          </b:Person>
          <b:Person>
            <b:Last>Levchenko</b:Last>
            <b:First>E</b:First>
          </b:Person>
          <b:Person>
            <b:Last>De Braud</b:Last>
            <b:First>F</b:First>
          </b:Person>
          <b:Person>
            <b:Last>Larkin</b:Last>
            <b:First>J</b:First>
          </b:Person>
          <b:Person>
            <b:Last>Garbe</b:Last>
            <b:First>C</b:First>
          </b:Person>
          <b:Person>
            <b:Last>Jouary</b:Last>
            <b:First>T</b:First>
          </b:Person>
          <b:Person>
            <b:Last>Hauschild</b:Last>
            <b:First>A</b:First>
          </b:Person>
          <b:Person>
            <b:Last>Grob</b:Last>
            <b:Middle>J</b:Middle>
            <b:First>J</b:First>
          </b:Person>
          <b:Person>
            <b:Last>Chirarion Sileni</b:Last>
            <b:First>V</b:First>
          </b:Person>
          <b:Person>
            <b:Last>Lebbe</b:Last>
            <b:First>C</b:First>
          </b:Person>
          <b:Person>
            <b:Last>Mandala</b:Last>
            <b:First>M</b:First>
          </b:Person>
          <b:Person>
            <b:Last>Millward</b:Last>
            <b:First>M</b:First>
          </b:Person>
          <b:Person>
            <b:Last>Arance</b:Last>
            <b:First>A</b:First>
          </b:Person>
          <b:Person>
            <b:Last>Bondarenko</b:Last>
            <b:First>I</b:First>
          </b:Person>
          <b:Person>
            <b:Last>Haanen</b:Last>
            <b:Middle>B A G</b:Middle>
            <b:First>J</b:First>
          </b:Person>
          <b:Person>
            <b:Last>Hansson</b:Last>
            <b:First>J</b:First>
          </b:Person>
          <b:Person>
            <b:Last>Utikal</b:Last>
            <b:First>J</b:First>
          </b:Person>
          <b:Person>
            <b:Last>Ferraresi</b:Last>
            <b:First>V</b:First>
          </b:Person>
          <b:Person>
            <b:Last>Kovalenko</b:Last>
            <b:First>N</b:First>
          </b:Person>
          <b:Person>
            <b:Last>Mohr</b:Last>
            <b:First>P</b:First>
          </b:Person>
          <b:Person>
            <b:Last>Probachai</b:Last>
            <b:First>V</b:First>
          </b:Person>
          <b:Person>
            <b:Last>Schadendork</b:Last>
            <b:First>D</b:First>
          </b:Person>
          <b:Person>
            <b:Last>Nathan</b:Last>
            <b:First>P</b:First>
          </b:Person>
          <b:Person>
            <b:Last>Robert </b:Last>
            <b:First>C</b:First>
          </b:Person>
          <b:Person>
            <b:Last>Ribas</b:Last>
            <b:First>A</b:First>
          </b:Person>
          <b:Person>
            <b:Last>DeMarini</b:Last>
            <b:Middle>J</b:Middle>
            <b:First>D</b:First>
          </b:Person>
          <b:Person>
            <b:Last>Irani</b:Last>
            <b:Middle>G</b:Middle>
            <b:First>J</b:First>
          </b:Person>
          <b:Person>
            <b:Last>Casey</b:Last>
            <b:First>M</b:First>
          </b:Person>
          <b:Person>
            <b:Last>Ouellet</b:Last>
            <b:First>D</b:First>
          </b:Person>
          <b:Person>
            <b:Last>Martin</b:Last>
            <b:Middle>M</b:Middle>
            <b:First>A</b:First>
          </b:Person>
          <b:Person>
            <b:Last>Le</b:Last>
            <b:First>N</b:First>
          </b:Person>
          <b:Person>
            <b:Last>Patel</b:Last>
            <b:First>K</b:First>
          </b:Person>
          <b:Person>
            <b:Last>Flaherty</b:Last>
            <b:First>K</b:First>
          </b:Person>
        </b:NameList>
      </b:Author>
    </b:Author>
    <b:RefOrder>32</b:RefOrder>
  </b:Source>
  <b:Source>
    <b:Tag>Lon141</b:Tag>
    <b:SourceType>JournalArticle</b:SourceType>
    <b:Guid>{08FE016D-87AD-4D34-8CC5-3A8F24731A77}</b:Guid>
    <b:Title>COMBI-d: a randomized, double-blinded, Phase III study comparing the combination of dabrafenib and trametinib to dabrafenib and trametinib placebo as first-line therapy in patients (pts) with unresectable or metastatic BRAFV600E/Kmutation-positive cutaneo</b:Title>
    <b:JournalName>Journal of Clinical Oncology</b:JournalName>
    <b:Year>2014</b:Year>
    <b:Author>
      <b:Author>
        <b:NameList>
          <b:Person>
            <b:Last>Long</b:Last>
            <b:Middle>V</b:Middle>
            <b:First>G</b:First>
          </b:Person>
          <b:Person>
            <b:Last>Stroyakovsky</b:Last>
            <b:Middle>L</b:Middle>
            <b:First>D</b:First>
          </b:Person>
          <b:Person>
            <b:Last>Gogas</b:Last>
            <b:First>H</b:First>
          </b:Person>
          <b:Person>
            <b:Last>Levchenko</b:Last>
            <b:First>E</b:First>
          </b:Person>
          <b:Person>
            <b:Last>Braud</b:Last>
            <b:First>F</b:First>
          </b:Person>
          <b:Person>
            <b:Last>Larkin</b:Last>
            <b:Middle>M G</b:Middle>
            <b:First>J</b:First>
          </b:Person>
          <b:Person>
            <b:Last>Garbe</b:Last>
            <b:First>C</b:First>
          </b:Person>
          <b:Person>
            <b:Last>Jouary</b:Last>
            <b:First>T</b:First>
          </b:Person>
          <b:Person>
            <b:Last>Hauschild</b:Last>
            <b:First>A</b:First>
          </b:Person>
          <b:Person>
            <b:Last>Grob</b:Last>
            <b:Middle>J</b:Middle>
            <b:First>J</b:First>
          </b:Person>
          <b:Person>
            <b:Last>Chiarion-Sileni</b:Last>
            <b:First>V</b:First>
          </b:Person>
          <b:Person>
            <b:Last>Lebbe</b:Last>
            <b:First>C</b:First>
          </b:Person>
          <b:Person>
            <b:Last>Mandala</b:Last>
            <b:First>M</b:First>
          </b:Person>
          <b:Person>
            <b:Last>Millward</b:Last>
            <b:First>M</b:First>
          </b:Person>
          <b:Person>
            <b:Last>Marini</b:Last>
            <b:Middle>J</b:Middle>
            <b:First>D</b:First>
          </b:Person>
          <b:Person>
            <b:Last>Irani</b:Last>
            <b:Middle>G</b:Middle>
            <b:First>J</b:First>
          </b:Person>
          <b:Person>
            <b:Last>Le</b:Last>
            <b:First>N</b:First>
          </b:Person>
          <b:Person>
            <b:Last>Casey</b:Last>
            <b:First>M</b:First>
          </b:Person>
          <b:Person>
            <b:Last>Patel</b:Last>
            <b:First>K</b:First>
          </b:Person>
          <b:Person>
            <b:Last>Flaherty</b:Last>
            <b:First>K</b:First>
          </b:Person>
        </b:NameList>
      </b:Author>
    </b:Author>
    <b:RefOrder>33</b:RefOrder>
  </b:Source>
  <b:Source>
    <b:Tag>Lon15</b:Tag>
    <b:SourceType>JournalArticle</b:SourceType>
    <b:Guid>{55710EC7-6887-49E7-87BF-F75D15684E0F}</b:Guid>
    <b:Title>Dabrafenib and trametinib versus dabrafenib and placebo for Val600 BRAF-mutant melanoma: A multicentre, double-blind, phase 3 randomised controlled trial.</b:Title>
    <b:JournalName>The Lancet</b:JournalName>
    <b:Year>2015</b:Year>
    <b:Pages>386(9992):444-451</b:Pages>
    <b:Author>
      <b:Author>
        <b:NameList>
          <b:Person>
            <b:Last>Long</b:Last>
            <b:Middle>V</b:Middle>
            <b:First>G</b:First>
          </b:Person>
          <b:Person>
            <b:Last>Stroyakovskiy</b:Last>
            <b:First>D</b:First>
          </b:Person>
          <b:Person>
            <b:Last>Gogas</b:Last>
            <b:First>H</b:First>
          </b:Person>
          <b:Person>
            <b:Last>Levchenko</b:Last>
            <b:First>E</b:First>
          </b:Person>
          <b:Person>
            <b:Last>De Braud</b:Last>
            <b:First>F</b:First>
          </b:Person>
          <b:Person>
            <b:Last>Larkin</b:Last>
            <b:First>J</b:First>
          </b:Person>
          <b:Person>
            <b:Last>Garbe</b:Last>
            <b:First>C</b:First>
          </b:Person>
          <b:Person>
            <b:Last>Jouary</b:Last>
            <b:First>T</b:First>
          </b:Person>
          <b:Person>
            <b:Last>Hauschild</b:Last>
            <b:First>A</b:First>
          </b:Person>
          <b:Person>
            <b:Last>Grob</b:Last>
            <b:Middle>J</b:Middle>
            <b:First>J</b:First>
          </b:Person>
          <b:Person>
            <b:Last>Chiarion-Sileni</b:Last>
            <b:First>V</b:First>
          </b:Person>
          <b:Person>
            <b:Last>Lebbe</b:Last>
            <b:First>C</b:First>
          </b:Person>
          <b:Person>
            <b:Last>Mandala</b:Last>
            <b:First>M</b:First>
          </b:Person>
          <b:Person>
            <b:Last>Millward</b:Last>
            <b:First>M</b:First>
          </b:Person>
          <b:Person>
            <b:Last>Arance</b:Last>
            <b:First>A</b:First>
          </b:Person>
          <b:Person>
            <b:Last>Bondarenko</b:Last>
            <b:First>I</b:First>
          </b:Person>
          <b:Person>
            <b:Last>Haanen</b:Last>
            <b:Middle>B A G</b:Middle>
            <b:First>J</b:First>
          </b:Person>
          <b:Person>
            <b:Last>Hansson</b:Last>
            <b:First>J</b:First>
          </b:Person>
          <b:Person>
            <b:Last>Utikal</b:Last>
            <b:First>J</b:First>
          </b:Person>
          <b:Person>
            <b:Last>Ferraresi</b:Last>
            <b:First>V</b:First>
          </b:Person>
          <b:Person>
            <b:Last>Kovalenko</b:Last>
            <b:First>N</b:First>
          </b:Person>
          <b:Person>
            <b:Last>Mohr</b:Last>
            <b:First>P</b:First>
          </b:Person>
          <b:Person>
            <b:Last>Probachai</b:Last>
            <b:First>V</b:First>
          </b:Person>
          <b:Person>
            <b:Last>Schadendork</b:Last>
            <b:First>D</b:First>
          </b:Person>
          <b:Person>
            <b:Last>Nathan</b:Last>
            <b:First>P</b:First>
          </b:Person>
          <b:Person>
            <b:Last>Robert</b:Last>
            <b:First>C</b:First>
          </b:Person>
          <b:Person>
            <b:Last>Ribas</b:Last>
            <b:First>A</b:First>
          </b:Person>
          <b:Person>
            <b:Last>Demarini</b:Last>
            <b:Middle>J</b:Middle>
            <b:First>D</b:First>
          </b:Person>
          <b:Person>
            <b:Last>Irani</b:Last>
            <b:Middle>G</b:Middle>
            <b:First>J</b:First>
          </b:Person>
          <b:Person>
            <b:Last>Swann</b:Last>
            <b:First>S</b:First>
          </b:Person>
          <b:Person>
            <b:Last>Legos</b:Last>
            <b:Middle>J</b:Middle>
            <b:First>J</b:First>
          </b:Person>
          <b:Person>
            <b:Last>Jin</b:Last>
            <b:First>F</b:First>
          </b:Person>
          <b:Person>
            <b:Last>Mookerjee</b:Last>
            <b:First>B</b:First>
          </b:Person>
          <b:Person>
            <b:Last>Flaherty</b:Last>
            <b:First>K</b:First>
          </b:Person>
        </b:NameList>
      </b:Author>
    </b:Author>
    <b:RefOrder>34</b:RefOrder>
  </b:Source>
  <b:Source>
    <b:Tag>Lon151</b:Tag>
    <b:SourceType>JournalArticle</b:SourceType>
    <b:Guid>{405ED96B-8DDB-4B90-8D6F-8BE4CAE27440}</b:Guid>
    <b:Title>Overall survival in COMBI-d, a randomized, double-blinded, phase III study comparing the combination of dabrafenib and trametinib with dabrafenib and placebo as first-line therapy in patients (pts) with unresectable or metastatic BRAF V600E/K mutation-pos</b:Title>
    <b:JournalName>Journal of Clinical Oncology</b:JournalName>
    <b:Year>2015</b:Year>
    <b:Author>
      <b:Author>
        <b:NameList>
          <b:Person>
            <b:Last>Long</b:Last>
            <b:Middle>V</b:Middle>
            <b:First>G</b:First>
          </b:Person>
          <b:Person>
            <b:Last>Stroyakovskiy</b:Last>
            <b:First>D</b:First>
          </b:Person>
          <b:Person>
            <b:Last>Gogas</b:Last>
            <b:First>H</b:First>
          </b:Person>
          <b:Person>
            <b:Last>Levchenko</b:Last>
            <b:First>E</b:First>
          </b:Person>
          <b:Person>
            <b:Last>Braud</b:Last>
            <b:Middle>G</b:Middle>
            <b:First>F</b:First>
          </b:Person>
          <b:Person>
            <b:Last>Larkin</b:Last>
            <b:Middle>M G</b:Middle>
            <b:First>J</b:First>
          </b:Person>
          <b:Person>
            <b:Last>Garbe</b:Last>
            <b:First>C</b:First>
          </b:Person>
          <b:Person>
            <b:Last>Jouary</b:Last>
            <b:First>T</b:First>
          </b:Person>
          <b:Person>
            <b:Last>Hauschild</b:Last>
            <b:First>A</b:First>
          </b:Person>
          <b:Person>
            <b:Last>Grob</b:Last>
            <b:Middle>J</b:Middle>
            <b:First>J</b:First>
          </b:Person>
          <b:Person>
            <b:Last>Chiarion-Sileni</b:Last>
            <b:First>V</b:First>
          </b:Person>
          <b:Person>
            <b:Last>Lebbe</b:Last>
            <b:First>C</b:First>
          </b:Person>
          <b:Person>
            <b:Last>Mandala</b:Last>
            <b:First>M</b:First>
          </b:Person>
          <b:Person>
            <b:Last>Millward</b:Last>
            <b:First>M</b:First>
          </b:Person>
          <b:Person>
            <b:Last>De-Marini</b:Last>
            <b:Middle>J</b:Middle>
            <b:First>D</b:First>
          </b:Person>
          <b:Person>
            <b:Last>Irani</b:Last>
            <b:Middle>G</b:Middle>
            <b:First>J</b:First>
          </b:Person>
          <b:Person>
            <b:Last>Jin</b:Last>
            <b:First>F</b:First>
          </b:Person>
          <b:Person>
            <b:Last>Swann</b:Last>
            <b:Middle>S</b:Middle>
            <b:First>R</b:First>
          </b:Person>
          <b:Person>
            <b:Last>Mookerjee</b:Last>
            <b:First>B</b:First>
          </b:Person>
          <b:Person>
            <b:Last>Flaherty</b:Last>
            <b:First>K</b:First>
          </b:Person>
        </b:NameList>
      </b:Author>
    </b:Author>
    <b:RefOrder>35</b:RefOrder>
  </b:Source>
  <b:Source>
    <b:Tag>Sch152</b:Tag>
    <b:SourceType>JournalArticle</b:SourceType>
    <b:Guid>{C090D9E4-7592-46D6-9B47-D9B9AD48C9F1}</b:Guid>
    <b:Title>Health-related quality of life impact in a randomised phase III study of the combination of dabrafenib and trametinib versus dabrafenib monotherapy in patients with BRAF V600 metastatic melanoma.</b:Title>
    <b:JournalName>European Journal of Cancer</b:JournalName>
    <b:Year>2015</b:Year>
    <b:Pages>51(7):833-840</b:Pages>
    <b:Author>
      <b:Author>
        <b:NameList>
          <b:Person>
            <b:Last>Schadendorf</b:Last>
            <b:First>D</b:First>
          </b:Person>
          <b:Person>
            <b:Last>Amonkar</b:Last>
            <b:Middle>M</b:Middle>
            <b:First>M</b:First>
          </b:Person>
          <b:Person>
            <b:Last>Stroyakovskiy</b:Last>
            <b:First>D</b:First>
          </b:Person>
          <b:Person>
            <b:Last>Levchenko</b:Last>
            <b:First>E</b:First>
          </b:Person>
          <b:Person>
            <b:Last>Gogas</b:Last>
            <b:First>H</b:First>
          </b:Person>
          <b:Person>
            <b:Last>De Braud</b:Last>
            <b:First>F</b:First>
          </b:Person>
          <b:Person>
            <b:Last>Grob</b:Last>
            <b:Middle>J</b:Middle>
            <b:First>J</b:First>
          </b:Person>
          <b:Person>
            <b:Last>Bondarenko</b:Last>
            <b:First>I</b:First>
          </b:Person>
          <b:Person>
            <b:Last>Garbe</b:Last>
            <b:First>C</b:First>
          </b:Person>
          <b:Person>
            <b:Last>Lebbe</b:Last>
            <b:First>C</b:First>
          </b:Person>
          <b:Person>
            <b:Last>Larkin</b:Last>
            <b:First>J</b:First>
          </b:Person>
          <b:Person>
            <b:Last>Chirarion-Sileni</b:Last>
            <b:First>V</b:First>
          </b:Person>
          <b:Person>
            <b:Last>Millward</b:Last>
            <b:First>M</b:First>
          </b:Person>
          <b:Person>
            <b:Last>Arance</b:Last>
            <b:First>A</b:First>
          </b:Person>
          <b:Person>
            <b:Last>Mandala</b:Last>
            <b:First>M</b:First>
          </b:Person>
          <b:Person>
            <b:Last>Flaherty</b:Last>
            <b:Middle>T</b:Middle>
            <b:First>K</b:First>
          </b:Person>
          <b:Person>
            <b:Last>Nathan</b:Last>
            <b:First>P</b:First>
          </b:Person>
          <b:Person>
            <b:Last>Ribas</b:Last>
            <b:First>A</b:First>
          </b:Person>
          <b:Person>
            <b:Last>Robert</b:Last>
            <b:First>C</b:First>
          </b:Person>
          <b:Person>
            <b:Last>Casey</b:Last>
            <b:First>M</b:First>
          </b:Person>
          <b:Person>
            <b:Last>Demarini</b:Last>
            <b:Middle>J</b:Middle>
            <b:First>D</b:First>
          </b:Person>
          <b:Person>
            <b:Last>Irani</b:Last>
            <b:Middle>G</b:Middle>
            <b:First>J</b:First>
          </b:Person>
          <b:Person>
            <b:Last>Aktan</b:Last>
            <b:First>G</b:First>
          </b:Person>
          <b:Person>
            <b:Last>Long</b:Last>
            <b:Middle>V</b:Middle>
            <b:First>G</b:First>
          </b:Person>
        </b:NameList>
      </b:Author>
    </b:Author>
    <b:RefOrder>36</b:RefOrder>
  </b:Source>
  <b:Source>
    <b:Tag>Men15</b:Tag>
    <b:SourceType>JournalArticle</b:SourceType>
    <b:Guid>{27F1CF96-04D5-4575-8B0B-576FD1B13852}</b:Guid>
    <b:Title>Characteristics of pyrexia in BRAFV600E/K metastatic melanoma patients treated with combined dabrafenib and trametinib in a phase I/II clinical trial.</b:Title>
    <b:JournalName>Annals of Oncology</b:JournalName>
    <b:Year>2015</b:Year>
    <b:Pages>26(2):415-21</b:Pages>
    <b:Author>
      <b:Author>
        <b:NameList>
          <b:Person>
            <b:Last>Menzies</b:Last>
            <b:Middle>M</b:Middle>
            <b:First>A</b:First>
          </b:Person>
          <b:Person>
            <b:Last>Ashworth</b:Last>
            <b:Middle>T</b:Middle>
            <b:First>M</b:First>
          </b:Person>
          <b:Person>
            <b:Last>Swann</b:Last>
            <b:First>S</b:First>
          </b:Person>
          <b:Person>
            <b:Last>Kefford</b:Last>
            <b:Middle>F</b:Middle>
            <b:First>R</b:First>
          </b:Person>
          <b:Person>
            <b:Last>Flaherty</b:Last>
            <b:First>K</b:First>
          </b:Person>
          <b:Person>
            <b:Last>Weber</b:Last>
            <b:First>J</b:First>
          </b:Person>
          <b:Person>
            <b:Last>Infante</b:Last>
            <b:Middle>R</b:Middle>
            <b:First>J</b:First>
          </b:Person>
          <b:Person>
            <b:Last>Kim</b:Last>
            <b:Middle>B</b:Middle>
            <b:First>K</b:First>
          </b:Person>
          <b:Person>
            <b:Last>Gonzales</b:Last>
            <b:First>R</b:First>
          </b:Person>
          <b:Person>
            <b:Last>Hamid</b:Last>
            <b:First>O</b:First>
          </b:Person>
          <b:Person>
            <b:Last>Schuchter</b:Last>
            <b:First>L</b:First>
          </b:Person>
          <b:Person>
            <b:Last>Cebon</b:Last>
            <b:First>J</b:First>
          </b:Person>
          <b:Person>
            <b:Last>Sosman</b:Last>
            <b:Middle>A</b:Middle>
            <b:First>J</b:First>
          </b:Person>
          <b:Person>
            <b:Last>Little</b:Last>
            <b:First>S</b:First>
          </b:Person>
          <b:Person>
            <b:Last>Sun</b:Last>
            <b:First>P</b:First>
          </b:Person>
          <b:Person>
            <b:Last>Aktan</b:Last>
            <b:First>G</b:First>
          </b:Person>
          <b:Person>
            <b:Last>Ouellet</b:Last>
            <b:First>D</b:First>
          </b:Person>
          <b:Person>
            <b:Last>Jin</b:Last>
            <b:First>F</b:First>
          </b:Person>
          <b:Person>
            <b:Last>Long</b:Last>
            <b:Middle>V</b:Middle>
            <b:First>G</b:First>
          </b:Person>
          <b:Person>
            <b:Last>Daud</b:Last>
            <b:First>A</b:First>
          </b:Person>
        </b:NameList>
      </b:Author>
    </b:Author>
    <b:RefOrder>37</b:RefOrder>
  </b:Source>
  <b:Source>
    <b:Tag>Lon17</b:Tag>
    <b:SourceType>JournalArticle</b:SourceType>
    <b:Guid>{283B89DF-2A0D-41FA-8688-B9604999A7EE}</b:Guid>
    <b:Title>Dabrafenib plus trametinib versus dabrafenib monotherapy in patients with metastatic BRAF V600E/K-mutant melanoma: long-term survival and safety analysis of a phase 3 study.</b:Title>
    <b:JournalName>Annals of oncology : official journal of the European Society for Medical Oncology</b:JournalName>
    <b:Year>2017</b:Year>
    <b:Pages>28(7):1631-1639</b:Pages>
    <b:Author>
      <b:Author>
        <b:NameList>
          <b:Person>
            <b:Last>Long</b:Last>
            <b:Middle>V</b:Middle>
            <b:First>G</b:First>
          </b:Person>
          <b:Person>
            <b:Last>Flaherty</b:Last>
            <b:Middle>T</b:Middle>
            <b:First>K</b:First>
          </b:Person>
          <b:Person>
            <b:Last>Stroyakovskiy</b:Last>
            <b:First>D</b:First>
          </b:Person>
          <b:Person>
            <b:Last>Gogas</b:Last>
            <b:First>H</b:First>
          </b:Person>
          <b:Person>
            <b:Last>Levchenko</b:Last>
            <b:First>E</b:First>
          </b:Person>
          <b:Person>
            <b:Last>de Braud</b:Last>
            <b:First>F</b:First>
          </b:Person>
          <b:Person>
            <b:Last>Larkin</b:Last>
            <b:First>J</b:First>
          </b:Person>
          <b:Person>
            <b:Last>Garbe</b:Last>
            <b:First>C</b:First>
          </b:Person>
          <b:Person>
            <b:Last>Jouary</b:Last>
            <b:First>T</b:First>
          </b:Person>
          <b:Person>
            <b:Last>Hauschild</b:Last>
            <b:First>A</b:First>
          </b:Person>
          <b:Person>
            <b:Last>Chirarion-Sileni</b:Last>
            <b:First>V</b:First>
          </b:Person>
          <b:Person>
            <b:Last>Lebbe</b:Last>
            <b:First>C</b:First>
          </b:Person>
          <b:Person>
            <b:Last>Mandala</b:Last>
            <b:First>M</b:First>
          </b:Person>
          <b:Person>
            <b:Last>Millward</b:Last>
            <b:First>M</b:First>
          </b:Person>
          <b:Person>
            <b:Last>Arance</b:Last>
            <b:First>A</b:First>
          </b:Person>
          <b:Person>
            <b:Last>Bondarenko</b:Last>
            <b:First>I</b:First>
          </b:Person>
          <b:Person>
            <b:Last>Haanen</b:Last>
            <b:Middle>B A G</b:Middle>
            <b:First>J</b:First>
          </b:Person>
          <b:Person>
            <b:Last>Hansson</b:Last>
            <b:First>J</b:First>
          </b:Person>
          <b:Person>
            <b:Last>Utikal</b:Last>
            <b:First>J</b:First>
          </b:Person>
          <b:Person>
            <b:Last>Ferraresi</b:Last>
            <b:First>V</b:First>
          </b:Person>
          <b:Person>
            <b:Last>Mohr</b:Last>
            <b:First>P</b:First>
          </b:Person>
          <b:Person>
            <b:Last>Probachai</b:Last>
            <b:First>V</b:First>
          </b:Person>
          <b:Person>
            <b:Last>Schadendorf</b:Last>
            <b:First>D</b:First>
          </b:Person>
          <b:Person>
            <b:Last>Nathan</b:Last>
            <b:First>P</b:First>
          </b:Person>
          <b:Person>
            <b:Last>Robert</b:Last>
            <b:First>C</b:First>
          </b:Person>
          <b:Person>
            <b:Last>Ribas</b:Last>
            <b:First>A</b:First>
          </b:Person>
          <b:Person>
            <b:Last>Davies</b:Last>
            <b:Middle>A</b:Middle>
            <b:First>M</b:First>
          </b:Person>
          <b:Person>
            <b:Last>Lane</b:Last>
            <b:Middle>R</b:Middle>
            <b:First>S</b:First>
          </b:Person>
          <b:Person>
            <b:Last>Legos</b:Last>
            <b:Middle>J</b:Middle>
            <b:First>J</b:First>
          </b:Person>
          <b:Person>
            <b:Last>Mookerjee</b:Last>
            <b:First>B</b:First>
          </b:Person>
          <b:Person>
            <b:Last>Grob</b:Last>
            <b:Middle>J</b:Middle>
            <b:First>J</b:First>
          </b:Person>
        </b:NameList>
      </b:Author>
    </b:Author>
    <b:RefOrder>38</b:RefOrder>
  </b:Source>
  <b:Source>
    <b:Tag>Lar14</b:Tag>
    <b:SourceType>JournalArticle</b:SourceType>
    <b:Guid>{F90EB522-FC28-417F-B1A6-5FED9E7280E0}</b:Guid>
    <b:Title>Combined vemurafenib and cobimetinib in BRAF-mutated melanoma.</b:Title>
    <b:JournalName>New England Journal of Medicine</b:JournalName>
    <b:Year>2014</b:Year>
    <b:Pages>371(20):1867-1876</b:Pages>
    <b:Author>
      <b:Author>
        <b:NameList>
          <b:Person>
            <b:Last>Larkin</b:Last>
            <b:First>J</b:First>
          </b:Person>
          <b:Person>
            <b:Last>Ascierto</b:Last>
            <b:Middle>A</b:Middle>
            <b:First>P</b:First>
          </b:Person>
          <b:Person>
            <b:Last>Dreno</b:Last>
            <b:First>B</b:First>
          </b:Person>
          <b:Person>
            <b:Last>Atkinson</b:Last>
            <b:First>V</b:First>
          </b:Person>
          <b:Person>
            <b:Last>Liszkay</b:Last>
            <b:First>G</b:First>
          </b:Person>
          <b:Person>
            <b:Last>Maio</b:Last>
            <b:First>M</b:First>
          </b:Person>
          <b:Person>
            <b:Last>Mandala</b:Last>
            <b:First>M</b:First>
          </b:Person>
          <b:Person>
            <b:Last>Demidov</b:Last>
            <b:First>L</b:First>
          </b:Person>
          <b:Person>
            <b:Last>Stroyakovskiy</b:Last>
            <b:First>D</b:First>
          </b:Person>
          <b:Person>
            <b:Last>Thomas</b:Last>
            <b:First>L</b:First>
          </b:Person>
          <b:Person>
            <b:Last>De La Cruz-Merino</b:Last>
            <b:First>L</b:First>
          </b:Person>
          <b:Person>
            <b:Last>Dutriaux</b:Last>
            <b:First>C</b:First>
          </b:Person>
          <b:Person>
            <b:Last>Garbe</b:Last>
            <b:First>C</b:First>
          </b:Person>
          <b:Person>
            <b:Last>Sovak</b:Last>
            <b:Middle>A</b:Middle>
            <b:First>M</b:First>
          </b:Person>
          <b:Person>
            <b:Last>Chang</b:Last>
            <b:First>I</b:First>
          </b:Person>
          <b:Person>
            <b:Last>Choong</b:Last>
            <b:First>N</b:First>
          </b:Person>
          <b:Person>
            <b:Last>Hack</b:Last>
            <b:Middle>P</b:Middle>
            <b:First>S</b:First>
          </b:Person>
          <b:Person>
            <b:Last>McArthur</b:Last>
            <b:Middle>A</b:Middle>
            <b:First>G</b:First>
          </b:Person>
          <b:Person>
            <b:Last>Ribas</b:Last>
            <b:First>A</b:First>
          </b:Person>
        </b:NameList>
      </b:Author>
    </b:Author>
    <b:RefOrder>39</b:RefOrder>
  </b:Source>
  <b:Source>
    <b:Tag>Asc16</b:Tag>
    <b:SourceType>JournalArticle</b:SourceType>
    <b:Guid>{3F5E7F80-77A3-4845-A5C8-0D8EFFDA7491}</b:Guid>
    <b:Title>Cobimetinib combined with vemurafenib in advanced BRAF(V600)-mutant melanoma (coBRIM): updated efficacy results from a randomised, double-blind, phase 3 trial.</b:Title>
    <b:JournalName>Lancet Oncology</b:JournalName>
    <b:Year>2016</b:Year>
    <b:Pages>17(9):1248-60</b:Pages>
    <b:Author>
      <b:Author>
        <b:NameList>
          <b:Person>
            <b:Last>Ascierto</b:Last>
            <b:Middle>A</b:Middle>
            <b:First>P</b:First>
          </b:Person>
          <b:Person>
            <b:Last>McArthur</b:Last>
            <b:Middle>A</b:Middle>
            <b:First>G</b:First>
          </b:Person>
          <b:Person>
            <b:Last>Dreno</b:Last>
            <b:First>B</b:First>
          </b:Person>
          <b:Person>
            <b:Last>Atkinson</b:Last>
            <b:First>V</b:First>
          </b:Person>
          <b:Person>
            <b:Last>Liszkay</b:Last>
            <b:First>G</b:First>
          </b:Person>
          <b:Person>
            <b:Last>Di Giacomo</b:Last>
            <b:Middle>M</b:Middle>
            <b:First>A</b:First>
          </b:Person>
          <b:Person>
            <b:Last>Mandala</b:Last>
            <b:First>M</b:First>
          </b:Person>
          <b:Person>
            <b:Last>Demidov</b:Last>
            <b:First>L</b:First>
          </b:Person>
          <b:Person>
            <b:Last>Stroyakovskiy</b:Last>
            <b:First>D</b:First>
          </b:Person>
          <b:Person>
            <b:Last>Thomas</b:Last>
            <b:First>L</b:First>
          </b:Person>
          <b:Person>
            <b:Last>De La Cruz-Merino</b:Last>
            <b:First>L</b:First>
          </b:Person>
          <b:Person>
            <b:Last>Dutriaux</b:Last>
            <b:First>C</b:First>
          </b:Person>
          <b:Person>
            <b:Last>Garbe</b:Last>
            <b:First>C</b:First>
          </b:Person>
          <b:Person>
            <b:Last>Yan</b:Last>
            <b:First>Y</b:First>
          </b:Person>
          <b:Person>
            <b:Last>Wongchenko</b:Last>
            <b:First>M</b:First>
          </b:Person>
          <b:Person>
            <b:Last>Chang</b:Last>
            <b:First>I</b:First>
          </b:Person>
          <b:Person>
            <b:Last>Hsu</b:Last>
            <b:Middle>J</b:Middle>
            <b:First>J</b:First>
          </b:Person>
          <b:Person>
            <b:Last>Koralek</b:Last>
            <b:Middle>O</b:Middle>
            <b:First>D</b:First>
          </b:Person>
          <b:Person>
            <b:Last>Rooney</b:Last>
            <b:First>I</b:First>
          </b:Person>
          <b:Person>
            <b:Last>Ribas</b:Last>
            <b:First>A</b:First>
          </b:Person>
          <b:Person>
            <b:Last>Larkin</b:Last>
            <b:First>J</b:First>
          </b:Person>
        </b:NameList>
      </b:Author>
    </b:Author>
    <b:RefOrder>40</b:RefOrder>
  </b:Source>
  <b:Source>
    <b:Tag>DeL17</b:Tag>
    <b:SourceType>JournalArticle</b:SourceType>
    <b:Guid>{9C42F362-4113-4888-8E36-365B9FB52873}</b:Guid>
    <b:Title>Clinical features of serous retinopathy observed with cobimetinib in patients with BRAF-mutated melanoma treated in the randomized coBRIM study.</b:Title>
    <b:JournalName>Journal of Translational Medicine</b:JournalName>
    <b:Year>2017</b:Year>
    <b:Pages>15(1):no pagination</b:Pages>
    <b:Author>
      <b:Author>
        <b:NameList>
          <b:Person>
            <b:Last>De La Cruz-Merino</b:Last>
            <b:First>L</b:First>
          </b:Person>
          <b:Person>
            <b:Last>Di Guardo</b:Last>
            <b:First>L</b:First>
          </b:Person>
          <b:Person>
            <b:Last>Grob</b:Last>
            <b:Middle>J</b:Middle>
            <b:First>J</b:First>
          </b:Person>
          <b:Person>
            <b:Last>Venosa</b:Last>
            <b:First>A</b:First>
          </b:Person>
          <b:Person>
            <b:Last>Larkin</b:Last>
            <b:First>J</b:First>
          </b:Person>
          <b:Person>
            <b:Last>McArthur</b:Last>
            <b:Middle>A</b:Middle>
            <b:First>G</b:First>
          </b:Person>
          <b:Person>
            <b:Last>Ribas</b:Last>
            <b:First>A</b:First>
          </b:Person>
          <b:Person>
            <b:Last>Ascierto</b:Last>
            <b:Middle>A</b:Middle>
            <b:First>P</b:First>
          </b:Person>
          <b:Person>
            <b:Last>Evans</b:Last>
            <b:Middle>T R</b:Middle>
            <b:First>J</b:First>
          </b:Person>
          <b:Person>
            <b:Last>Gomez-Escobar</b:Last>
            <b:First>A</b:First>
          </b:Person>
          <b:Person>
            <b:Last>Barteselli</b:Last>
            <b:First>G</b:First>
          </b:Person>
          <b:Person>
            <b:Last>Eng</b:Last>
            <b:First>S</b:First>
          </b:Person>
          <b:Person>
            <b:Last>Hsu</b:Last>
            <b:Middle>J</b:Middle>
            <b:First>J</b:First>
          </b:Person>
          <b:Person>
            <b:Last>Uyei</b:Last>
            <b:First>A</b:First>
          </b:Person>
          <b:Person>
            <b:Last>Dreno</b:Last>
            <b:First>B</b:First>
          </b:Person>
        </b:NameList>
      </b:Author>
    </b:Author>
    <b:RefOrder>41</b:RefOrder>
  </b:Source>
  <b:Source>
    <b:Tag>Dre17</b:Tag>
    <b:SourceType>JournalArticle</b:SourceType>
    <b:Guid>{D487ACAF-B9A8-43DA-82EF-916273C06B67}</b:Guid>
    <b:Title>Incidence, course, and management of toxicities associated with cobimetinib in combination with vemurafenib in the coBRIM study.</b:Title>
    <b:JournalName>Annals of oncology: official journal of the European Society for Medical Oncology</b:JournalName>
    <b:Year>2017</b:Year>
    <b:Pages>28(5):1137-1144</b:Pages>
    <b:Author>
      <b:Author>
        <b:NameList>
          <b:Person>
            <b:Last>Dreno</b:Last>
            <b:First>B</b:First>
          </b:Person>
          <b:Person>
            <b:Last>Ribas</b:Last>
            <b:First>A</b:First>
          </b:Person>
          <b:Person>
            <b:Last>Larkin</b:Last>
            <b:First>J</b:First>
          </b:Person>
          <b:Person>
            <b:Last>Ascierto</b:Last>
            <b:Middle>A</b:Middle>
            <b:First>P</b:First>
          </b:Person>
          <b:Person>
            <b:Last>Hauschild</b:Last>
            <b:First>A</b:First>
          </b:Person>
          <b:Person>
            <b:Last>Thomas</b:Last>
            <b:First>L</b:First>
          </b:Person>
          <b:Person>
            <b:Last>Grob</b:Last>
            <b:Middle>J</b:Middle>
            <b:First>J</b:First>
          </b:Person>
          <b:Person>
            <b:Last>Koralek</b:Last>
            <b:Middle>O</b:Middle>
            <b:First>D</b:First>
          </b:Person>
          <b:Person>
            <b:Last>Rooney</b:Last>
            <b:First>I</b:First>
          </b:Person>
          <b:Person>
            <b:Last>Hsu</b:Last>
            <b:Middle>J</b:Middle>
            <b:First>J</b:First>
          </b:Person>
          <b:Person>
            <b:Last>McKenna</b:Last>
            <b:Middle>F</b:Middle>
            <b:First>E</b:First>
          </b:Person>
          <b:Person>
            <b:Last>McArthur</b:Last>
            <b:Middle>A</b:Middle>
            <b:First>G</b:First>
          </b:Person>
        </b:NameList>
      </b:Author>
    </b:Author>
    <b:RefOrder>42</b:RefOrder>
  </b:Source>
  <b:Source>
    <b:Tag>Dre18</b:Tag>
    <b:SourceType>JournalArticle</b:SourceType>
    <b:Guid>{0B0F053D-2E53-4DCB-BDC0-BC0963489D3E}</b:Guid>
    <b:Title>Health-related quality of life impact of cobimetinib in combination with vemurafenib in patients with advanced or metastatic BRAFV600 mutation-positive melanoma.</b:Title>
    <b:JournalName>British Journal of Cancer</b:JournalName>
    <b:Year>2018</b:Year>
    <b:Pages>118(6):777-784</b:Pages>
    <b:Author>
      <b:Author>
        <b:NameList>
          <b:Person>
            <b:Last>Dreno</b:Last>
            <b:First>B</b:First>
          </b:Person>
          <b:Person>
            <b:Last>Ascierto</b:Last>
            <b:Middle>A</b:Middle>
            <b:First>P</b:First>
          </b:Person>
          <b:Person>
            <b:Last>Atkinson</b:Last>
            <b:First>V</b:First>
          </b:Person>
          <b:Person>
            <b:Last>Liszkay</b:Last>
            <b:First>G</b:First>
          </b:Person>
          <b:Person>
            <b:Last>Maio</b:Last>
            <b:First>M</b:First>
          </b:Person>
          <b:Person>
            <b:Last>Mandala</b:Last>
            <b:First>M</b:First>
          </b:Person>
          <b:Person>
            <b:Last>Demidov</b:Last>
            <b:First>L</b:First>
          </b:Person>
          <b:Person>
            <b:Last>Stroyakovskiy</b:Last>
            <b:First>D</b:First>
          </b:Person>
          <b:Person>
            <b:Last>Thomas</b:Last>
            <b:First>L</b:First>
          </b:Person>
          <b:Person>
            <b:Last>De La Cruz-Merino</b:Last>
            <b:First>L</b:First>
          </b:Person>
          <b:Person>
            <b:Last>Dutriaux</b:Last>
            <b:First>C</b:First>
          </b:Person>
          <b:Person>
            <b:Last>Garbe</b:Last>
            <b:First>C</b:First>
          </b:Person>
          <b:Person>
            <b:Last>Bartley</b:Last>
            <b:First>K</b:First>
          </b:Person>
          <b:Person>
            <b:Last>Karagiannis</b:Last>
            <b:First>T</b:First>
          </b:Person>
          <b:Person>
            <b:Last>Chang</b:Last>
            <b:First>I</b:First>
          </b:Person>
          <b:Person>
            <b:Last>Rooney</b:Last>
            <b:First>I</b:First>
          </b:Person>
          <b:Person>
            <b:Last>Koralek</b:Last>
            <b:Middle>O</b:Middle>
            <b:First>D</b:First>
          </b:Person>
          <b:Person>
            <b:Last>Larkin</b:Last>
            <b:First>J</b:First>
          </b:Person>
          <b:Person>
            <b:Last>McArthur</b:Last>
            <b:Middle>A</b:Middle>
            <b:First>G</b:First>
          </b:Person>
          <b:Person>
            <b:Last>Ribas</b:Last>
            <b:First>A</b:First>
          </b:Person>
        </b:NameList>
      </b:Author>
    </b:Author>
    <b:RefOrder>43</b:RefOrder>
  </b:Source>
  <b:Source>
    <b:Tag>Lar13</b:Tag>
    <b:SourceType>Report</b:SourceType>
    <b:Guid>{7213FCBF-862A-4158-8002-6EEBFBF52548}</b:Guid>
    <b:Title>Protocol for: Larkin J, Ascierto PA, Dreno E, et al. Combined vemurafenib and cobimetinib in BRAF-mutated melanoma. N Engl J Med 2014; 371:1867-76. DOI: 10.1056/NEJMoa1408868</b:Title>
    <b:Year>2013</b:Year>
    <b:Author>
      <b:Author>
        <b:NameList>
          <b:Person>
            <b:Last>Larkin</b:Last>
            <b:First>J</b:First>
          </b:Person>
          <b:Person>
            <b:Last>Ascierto</b:Last>
            <b:First>PA</b:First>
          </b:Person>
          <b:Person>
            <b:Last>Dreno</b:Last>
            <b:First>B</b:First>
          </b:Person>
          <b:Person>
            <b:Last>Atkinson</b:Last>
            <b:First>V</b:First>
          </b:Person>
          <b:Person>
            <b:Last>Liszkay</b:Last>
            <b:First>G</b:First>
          </b:Person>
          <b:Person>
            <b:Last>Naui</b:Last>
            <b:First>N</b:First>
          </b:Person>
          <b:Person>
            <b:Last>Mandala</b:Last>
            <b:First>M</b:First>
          </b:Person>
          <b:Person>
            <b:Last>Demidov</b:Last>
            <b:First>L</b:First>
          </b:Person>
          <b:Person>
            <b:Last>Stoyakovskiy</b:Last>
            <b:First>D</b:First>
          </b:Person>
        </b:NameList>
      </b:Author>
    </b:Author>
    <b:RefOrder>44</b:RefOrder>
  </b:Source>
  <b:Source>
    <b:Tag>Dum18</b:Tag>
    <b:SourceType>JournalArticle</b:SourceType>
    <b:Guid>{69A06E31-92D2-4768-9BBF-7733D983622F}</b:Guid>
    <b:Title>Encorafenib plus binimetinib versus vemurafenib or encorafenib in patients with BRAF-mutant melanoma (COLUMBUS): a multicentre, open-label, randomised phase 3 trial</b:Title>
    <b:Year>2018</b:Year>
    <b:Author>
      <b:Author>
        <b:NameList>
          <b:Person>
            <b:Last>Dummer</b:Last>
            <b:First>R</b:First>
          </b:Person>
          <b:Person>
            <b:Last>Ascierto</b:Last>
            <b:First>PA</b:First>
          </b:Person>
          <b:Person>
            <b:Last>Gogas</b:Last>
            <b:First>HJ</b:First>
          </b:Person>
          <b:Person>
            <b:Last>Arance</b:Last>
            <b:First>A</b:First>
          </b:Person>
          <b:Person>
            <b:Last>Mandala</b:Last>
            <b:First>M</b:First>
          </b:Person>
          <b:Person>
            <b:Last>Liszkay</b:Last>
            <b:First>G</b:First>
          </b:Person>
          <b:Person>
            <b:Last>Garbe</b:Last>
            <b:First>C</b:First>
          </b:Person>
          <b:Person>
            <b:Last>al.</b:Last>
            <b:First>et</b:First>
          </b:Person>
        </b:NameList>
      </b:Author>
    </b:Author>
    <b:JournalName>Lancet Oncol</b:JournalName>
    <b:Pages>19(5):603-615</b:Pages>
    <b:RefOrder>45</b:RefOrder>
  </b:Source>
  <b:Source>
    <b:Tag>Bro82</b:Tag>
    <b:SourceType>JournalArticle</b:SourceType>
    <b:Guid>{AB47DB9F-423E-4F8A-94FF-E7B5E7094978}</b:Guid>
    <b:Title>A confidence interval for the median survival time.</b:Title>
    <b:Year>1982</b:Year>
    <b:Author>
      <b:Author>
        <b:NameList>
          <b:Person>
            <b:Last>Brookmeyer</b:Last>
            <b:First>R</b:First>
          </b:Person>
          <b:Person>
            <b:Last>Crowley</b:Last>
            <b:First>J</b:First>
          </b:Person>
        </b:NameList>
      </b:Author>
    </b:Author>
    <b:JournalName>Biometrics</b:JournalName>
    <b:Pages>38:29-41</b:Pages>
    <b:RefOrder>46</b:RefOrder>
  </b:Source>
  <b:Source>
    <b:Tag>Kle97</b:Tag>
    <b:SourceType>Report</b:SourceType>
    <b:Guid>{AB0CE899-1488-4C68-B4F1-FDF9D5CC5122}</b:Guid>
    <b:Title>Survival analysis: techniques for censored and truncated data</b:Title>
    <b:Year>1997</b:Year>
    <b:Author>
      <b:Author>
        <b:NameList>
          <b:Person>
            <b:Last>Klein</b:Last>
            <b:Middle>P</b:Middle>
            <b:First>J</b:First>
          </b:Person>
          <b:Person>
            <b:Last>Moeschberger</b:Last>
            <b:Middle>L</b:Middle>
            <b:First>M</b:First>
          </b:Person>
        </b:NameList>
      </b:Author>
    </b:Author>
    <b:Publisher>Springer-Verlag</b:Publisher>
    <b:City>New York</b:City>
    <b:RefOrder>47</b:RefOrder>
  </b:Source>
  <b:Source>
    <b:Tag>Kal02</b:Tag>
    <b:SourceType>Book</b:SourceType>
    <b:Guid>{95E8B4D5-0B59-481F-8094-924F6EC4C73F}</b:Guid>
    <b:Title>The statistical analysis of failure time data. Wiley Series in Probability and Statistics</b:Title>
    <b:Year>2002</b:Year>
    <b:Author>
      <b:Author>
        <b:NameList>
          <b:Person>
            <b:Last>Kalbfleisch</b:Last>
            <b:Middle>D</b:Middle>
            <b:First>J</b:First>
          </b:Person>
          <b:Person>
            <b:Last>Prentice</b:Last>
            <b:Middle>L</b:Middle>
            <b:First>R</b:First>
          </b:Person>
        </b:NameList>
      </b:Author>
    </b:Author>
    <b:RefOrder>48</b:RefOrder>
  </b:Source>
  <b:Source>
    <b:Tag>PBA18</b:Tag>
    <b:SourceType>DocumentFromInternetSite</b:SourceType>
    <b:Guid>{36A2CBE2-E62F-41ED-8849-801764D2AD57}</b:Guid>
    <b:Author>
      <b:Author>
        <b:Corporate>PBAC</b:Corporate>
      </b:Author>
    </b:Author>
    <b:Title>The Pharmaceutical Benefits Scheme</b:Title>
    <b:InternetSiteTitle>Vemurafenib and cobimetinib Public Summary Document</b:InternetSiteTitle>
    <b:Year>2016</b:Year>
    <b:URL>http://www.pbs.gov.au/info/industry/listing/elements/pbac-meetings/psd/2016-03/cobimetinib-vemurafenib-zelboraf-psd-03-2016</b:URL>
    <b:RefOrder>49</b:RefOrder>
  </b:Source>
  <b:Source>
    <b:Tag>Can181</b:Tag>
    <b:SourceType>InternetSite</b:SourceType>
    <b:Guid>{E3700B63-9B11-41D7-8B28-F7789D9BF174}</b:Guid>
    <b:Title>Melanoma of the skin statistics</b:Title>
    <b:Year>2018</b:Year>
    <b:Author>
      <b:Author>
        <b:Corporate>Cancer Australia</b:Corporate>
      </b:Author>
    </b:Author>
    <b:InternetSiteTitle>Melanoma of the skin</b:InternetSiteTitle>
    <b:URL>https://melanoma.canceraustralia.gov.au/statistics</b:URL>
    <b:RefOrder>1</b:RefOrder>
  </b:Source>
  <b:Source>
    <b:Tag>PBS18</b:Tag>
    <b:SourceType>InternetSite</b:SourceType>
    <b:Guid>{120C6DA0-A415-40C9-8E61-B7F64F33C85F}</b:Guid>
    <b:Author>
      <b:Author>
        <b:Corporate>PBS</b:Corporate>
      </b:Author>
    </b:Author>
    <b:Title>The Pharmaceutical Benefits Scheme</b:Title>
    <b:InternetSiteTitle>The Pharmaceutical Benefits Scheme</b:InternetSiteTitle>
    <b:Year>2018</b:Year>
    <b:RefOrder>50</b:RefOrder>
  </b:Source>
</b:Sources>
</file>

<file path=customXml/itemProps1.xml><?xml version="1.0" encoding="utf-8"?>
<ds:datastoreItem xmlns:ds="http://schemas.openxmlformats.org/officeDocument/2006/customXml" ds:itemID="{4E1B2229-B2CE-4F6A-ABC9-1711FC0C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7981</Words>
  <Characters>49213</Characters>
  <Application>Microsoft Office Word</Application>
  <DocSecurity>0</DocSecurity>
  <Lines>410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2019-02-20T03:25:00Z</dcterms:created>
  <dcterms:modified xsi:type="dcterms:W3CDTF">2019-02-25T03:09:00Z</dcterms:modified>
</cp:coreProperties>
</file>