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BD" w:rsidRPr="00111D05" w:rsidRDefault="00F20789" w:rsidP="008404A4">
      <w:pPr>
        <w:pStyle w:val="Title"/>
        <w:widowControl/>
      </w:pPr>
      <w:bookmarkStart w:id="0" w:name="_Toc341702043"/>
      <w:bookmarkStart w:id="1" w:name="_Toc380742621"/>
      <w:bookmarkStart w:id="2" w:name="_Toc380746188"/>
      <w:bookmarkStart w:id="3" w:name="_Toc380746314"/>
      <w:bookmarkStart w:id="4" w:name="_Toc380746595"/>
      <w:bookmarkStart w:id="5" w:name="_GoBack"/>
      <w:bookmarkEnd w:id="5"/>
      <w:r w:rsidRPr="00111D05">
        <w:t>5.04</w:t>
      </w:r>
      <w:r w:rsidR="006D0FBD" w:rsidRPr="00111D05">
        <w:tab/>
        <w:t>DURVALUMAB</w:t>
      </w:r>
      <w:r w:rsidR="00111D05">
        <w:t>,</w:t>
      </w:r>
      <w:r w:rsidR="00F50E38" w:rsidRPr="00111D05">
        <w:br/>
      </w:r>
      <w:r w:rsidR="00111D05" w:rsidRPr="00111D05">
        <w:t>Solution for I.V. infusion 120 mg in 2.4 mL; Solution for I.V. infusion 500 mg in 10 mL</w:t>
      </w:r>
      <w:r w:rsidR="00CF766D">
        <w:t>,</w:t>
      </w:r>
      <w:r w:rsidR="00111D05" w:rsidRPr="00111D05">
        <w:br/>
      </w:r>
      <w:r w:rsidR="006D0FBD" w:rsidRPr="00111D05">
        <w:t>Imfinzi®</w:t>
      </w:r>
      <w:r w:rsidR="001F33D9" w:rsidRPr="00111D05">
        <w:t>,</w:t>
      </w:r>
      <w:r w:rsidR="003C493B" w:rsidRPr="00111D05">
        <w:br/>
      </w:r>
      <w:r w:rsidR="001F33D9" w:rsidRPr="00111D05">
        <w:t>AstraZeneca</w:t>
      </w:r>
      <w:r w:rsidR="00F50E38" w:rsidRPr="00111D05">
        <w:t xml:space="preserve"> Pty Ltd</w:t>
      </w:r>
    </w:p>
    <w:p w:rsidR="006D0FBD" w:rsidRPr="00882085" w:rsidRDefault="006D0FBD" w:rsidP="008404A4">
      <w:pPr>
        <w:pStyle w:val="PBACHeading1"/>
        <w:spacing w:before="240" w:after="120"/>
      </w:pPr>
      <w:bookmarkStart w:id="6" w:name="_Toc524446338"/>
      <w:r w:rsidRPr="00407F2D">
        <w:t>Purpose of Application</w:t>
      </w:r>
      <w:bookmarkEnd w:id="6"/>
    </w:p>
    <w:p w:rsidR="006D0FBD" w:rsidRPr="008B1757" w:rsidRDefault="00F50E38" w:rsidP="008404A4">
      <w:pPr>
        <w:pStyle w:val="ListParagraph"/>
        <w:widowControl/>
        <w:numPr>
          <w:ilvl w:val="1"/>
          <w:numId w:val="2"/>
        </w:numPr>
      </w:pPr>
      <w:r>
        <w:t xml:space="preserve">The submission requested a </w:t>
      </w:r>
      <w:r w:rsidR="006D0FBD" w:rsidRPr="004B3DDB">
        <w:t>Section 100</w:t>
      </w:r>
      <w:r w:rsidR="00820188">
        <w:t xml:space="preserve"> (Efficient Funding of Chemotherapy)</w:t>
      </w:r>
      <w:r w:rsidR="006D0FBD" w:rsidRPr="004B3DDB">
        <w:t xml:space="preserve">, </w:t>
      </w:r>
      <w:r w:rsidR="00820188">
        <w:t>Authority Required (</w:t>
      </w:r>
      <w:r w:rsidR="006D0FBD">
        <w:t>Streamlined</w:t>
      </w:r>
      <w:r w:rsidR="00820188">
        <w:t>)</w:t>
      </w:r>
      <w:r w:rsidR="006D0FBD" w:rsidRPr="004B3DDB">
        <w:t xml:space="preserve"> listing for </w:t>
      </w:r>
      <w:r w:rsidR="006D0FBD">
        <w:t>durvalumab</w:t>
      </w:r>
      <w:r w:rsidR="006D0FBD" w:rsidRPr="004B3DDB">
        <w:t xml:space="preserve"> for treatment of </w:t>
      </w:r>
      <w:r w:rsidR="006D0FBD">
        <w:t xml:space="preserve">Stage III unresectable </w:t>
      </w:r>
      <w:r w:rsidR="00820188">
        <w:t>non-small cell lung cancer (</w:t>
      </w:r>
      <w:r w:rsidR="006D0FBD">
        <w:t>NSCLC</w:t>
      </w:r>
      <w:r w:rsidR="00820188">
        <w:t>)</w:t>
      </w:r>
      <w:r w:rsidR="006D0FBD">
        <w:t xml:space="preserve"> in patients who have not progressed after platinum-based chemoradiation therapy</w:t>
      </w:r>
      <w:r w:rsidR="0084259F">
        <w:t xml:space="preserve"> (CRT)</w:t>
      </w:r>
      <w:r w:rsidR="006D0FBD">
        <w:t xml:space="preserve">. This </w:t>
      </w:r>
      <w:r w:rsidR="00840AA2">
        <w:t>wa</w:t>
      </w:r>
      <w:r w:rsidR="006D0FBD">
        <w:t>s the first submission for durvalumab.</w:t>
      </w:r>
    </w:p>
    <w:p w:rsidR="00684F07" w:rsidRDefault="006D0FBD" w:rsidP="008404A4">
      <w:pPr>
        <w:pStyle w:val="ListParagraph"/>
        <w:widowControl/>
        <w:numPr>
          <w:ilvl w:val="1"/>
          <w:numId w:val="2"/>
        </w:numPr>
        <w:spacing w:after="120"/>
      </w:pPr>
      <w:r>
        <w:t xml:space="preserve">The submission requested </w:t>
      </w:r>
      <w:r w:rsidR="00820188">
        <w:t xml:space="preserve">PBS </w:t>
      </w:r>
      <w:r>
        <w:t>listing on the basis of a cost-utility analysis comparing durvalumab to placebo or ‘watch and wait’ monitoring plus best supportive care.</w:t>
      </w:r>
    </w:p>
    <w:p w:rsidR="006D0FBD" w:rsidRPr="00500D65" w:rsidRDefault="006D0FBD" w:rsidP="008404A4">
      <w:pPr>
        <w:pStyle w:val="TableHeading0"/>
      </w:pPr>
      <w:r w:rsidRPr="00500D65">
        <w:rPr>
          <w:rStyle w:val="CommentReference"/>
          <w:b/>
          <w:szCs w:val="20"/>
        </w:rPr>
        <w:t xml:space="preserve">Table </w:t>
      </w:r>
      <w:r w:rsidR="00FA3901">
        <w:rPr>
          <w:noProof/>
        </w:rPr>
        <w:t>1</w:t>
      </w:r>
      <w:r w:rsidR="002A3FD7" w:rsidRPr="00500D65">
        <w:rPr>
          <w:rStyle w:val="CommentReference"/>
          <w:b/>
          <w:szCs w:val="20"/>
        </w:rPr>
        <w:t xml:space="preserve">: </w:t>
      </w:r>
      <w:r w:rsidRPr="00500D65">
        <w:rPr>
          <w:rStyle w:val="CommentReference"/>
          <w:b/>
          <w:szCs w:val="20"/>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 Key components of the clinical issue addressed by the submission"/>
      </w:tblPr>
      <w:tblGrid>
        <w:gridCol w:w="1668"/>
        <w:gridCol w:w="7488"/>
      </w:tblGrid>
      <w:tr w:rsidR="002A3FD7" w:rsidRPr="00A518F3" w:rsidTr="00580395">
        <w:tc>
          <w:tcPr>
            <w:tcW w:w="1668" w:type="dxa"/>
            <w:vAlign w:val="center"/>
          </w:tcPr>
          <w:p w:rsidR="002A3FD7" w:rsidRPr="00A518F3" w:rsidRDefault="002A3FD7" w:rsidP="008404A4">
            <w:pPr>
              <w:pStyle w:val="Tabletext"/>
              <w:spacing w:before="40" w:after="40"/>
              <w:rPr>
                <w:b/>
              </w:rPr>
            </w:pPr>
            <w:r w:rsidRPr="00A518F3">
              <w:rPr>
                <w:b/>
              </w:rPr>
              <w:t>Component</w:t>
            </w:r>
          </w:p>
        </w:tc>
        <w:tc>
          <w:tcPr>
            <w:tcW w:w="7488" w:type="dxa"/>
            <w:vAlign w:val="center"/>
          </w:tcPr>
          <w:p w:rsidR="002A3FD7" w:rsidRPr="00A518F3" w:rsidRDefault="002A3FD7" w:rsidP="008404A4">
            <w:pPr>
              <w:pStyle w:val="Tabletext"/>
              <w:spacing w:before="40" w:after="40"/>
              <w:jc w:val="center"/>
              <w:rPr>
                <w:b/>
              </w:rPr>
            </w:pPr>
            <w:r w:rsidRPr="00A518F3">
              <w:rPr>
                <w:b/>
              </w:rPr>
              <w:t>Description</w:t>
            </w:r>
          </w:p>
        </w:tc>
      </w:tr>
      <w:tr w:rsidR="002A3FD7" w:rsidTr="00580395">
        <w:tc>
          <w:tcPr>
            <w:tcW w:w="1668" w:type="dxa"/>
            <w:vAlign w:val="center"/>
          </w:tcPr>
          <w:p w:rsidR="002A3FD7" w:rsidRDefault="002A3FD7" w:rsidP="008404A4">
            <w:pPr>
              <w:pStyle w:val="Tabletext"/>
              <w:spacing w:before="40" w:after="40"/>
            </w:pPr>
            <w:r>
              <w:t>Population</w:t>
            </w:r>
          </w:p>
        </w:tc>
        <w:tc>
          <w:tcPr>
            <w:tcW w:w="7488" w:type="dxa"/>
            <w:vAlign w:val="center"/>
          </w:tcPr>
          <w:p w:rsidR="002A3FD7" w:rsidRPr="00580197" w:rsidRDefault="002A3FD7" w:rsidP="008404A4">
            <w:pPr>
              <w:pStyle w:val="Tabletext"/>
              <w:spacing w:before="40" w:after="40"/>
              <w:rPr>
                <w:i/>
              </w:rPr>
            </w:pPr>
            <w:r>
              <w:t xml:space="preserve">Patients with unresectable Stage III NSCLC who have not progressed following platinum-based chemoradiation therapy. </w:t>
            </w:r>
          </w:p>
        </w:tc>
      </w:tr>
      <w:tr w:rsidR="002A3FD7" w:rsidTr="00580395">
        <w:tc>
          <w:tcPr>
            <w:tcW w:w="1668" w:type="dxa"/>
            <w:vAlign w:val="center"/>
          </w:tcPr>
          <w:p w:rsidR="002A3FD7" w:rsidRDefault="002A3FD7" w:rsidP="008404A4">
            <w:pPr>
              <w:pStyle w:val="Tabletext"/>
              <w:spacing w:before="40" w:after="40"/>
            </w:pPr>
            <w:r>
              <w:t>Intervention</w:t>
            </w:r>
          </w:p>
        </w:tc>
        <w:tc>
          <w:tcPr>
            <w:tcW w:w="7488" w:type="dxa"/>
            <w:vAlign w:val="center"/>
          </w:tcPr>
          <w:p w:rsidR="002A3FD7" w:rsidRDefault="002A3FD7" w:rsidP="008404A4">
            <w:pPr>
              <w:pStyle w:val="Tabletext"/>
              <w:spacing w:before="40" w:after="40"/>
            </w:pPr>
            <w:r>
              <w:t>Durvalumab 10mg/kg via a 60-minute infusion every two weeks as maintenance therapy after chemoradiation for up to 12 months or until disease progression</w:t>
            </w:r>
          </w:p>
        </w:tc>
      </w:tr>
      <w:tr w:rsidR="002A3FD7" w:rsidTr="00580395">
        <w:tc>
          <w:tcPr>
            <w:tcW w:w="1668" w:type="dxa"/>
            <w:vAlign w:val="center"/>
          </w:tcPr>
          <w:p w:rsidR="002A3FD7" w:rsidRDefault="002A3FD7" w:rsidP="008404A4">
            <w:pPr>
              <w:pStyle w:val="Tabletext"/>
              <w:spacing w:before="40" w:after="40"/>
            </w:pPr>
            <w:r>
              <w:t>Comparator</w:t>
            </w:r>
          </w:p>
        </w:tc>
        <w:tc>
          <w:tcPr>
            <w:tcW w:w="7488" w:type="dxa"/>
            <w:vAlign w:val="center"/>
          </w:tcPr>
          <w:p w:rsidR="002A3FD7" w:rsidRDefault="002A3FD7" w:rsidP="008404A4">
            <w:pPr>
              <w:pStyle w:val="Tabletext"/>
              <w:spacing w:before="40" w:after="40"/>
            </w:pPr>
            <w:r>
              <w:t xml:space="preserve">‘Watch-and-wait’ monitoring plus best supportive care (represented in the key trial by a matched placebo infusion every two weeks for up to 12 months or until disease progression) </w:t>
            </w:r>
          </w:p>
        </w:tc>
      </w:tr>
      <w:tr w:rsidR="002A3FD7" w:rsidTr="00580395">
        <w:tc>
          <w:tcPr>
            <w:tcW w:w="1668" w:type="dxa"/>
            <w:vAlign w:val="center"/>
          </w:tcPr>
          <w:p w:rsidR="002A3FD7" w:rsidRDefault="002A3FD7" w:rsidP="008404A4">
            <w:pPr>
              <w:pStyle w:val="Tabletext"/>
              <w:spacing w:before="40" w:after="40"/>
            </w:pPr>
            <w:r>
              <w:t>Outcomes</w:t>
            </w:r>
          </w:p>
        </w:tc>
        <w:tc>
          <w:tcPr>
            <w:tcW w:w="7488" w:type="dxa"/>
            <w:vAlign w:val="center"/>
          </w:tcPr>
          <w:p w:rsidR="002A3FD7" w:rsidRDefault="002A3FD7" w:rsidP="008404A4">
            <w:pPr>
              <w:pStyle w:val="Tabletext"/>
              <w:spacing w:before="40" w:after="40"/>
            </w:pPr>
            <w:r>
              <w:t>OS, PFS as primary endpoints and TTDM, OS24, ORR, DOR, APF12; APF18; PFS2 HRQOL as secondary endpoints</w:t>
            </w:r>
          </w:p>
        </w:tc>
      </w:tr>
      <w:tr w:rsidR="002A3FD7" w:rsidTr="00580395">
        <w:tc>
          <w:tcPr>
            <w:tcW w:w="1668" w:type="dxa"/>
            <w:vAlign w:val="center"/>
          </w:tcPr>
          <w:p w:rsidR="002A3FD7" w:rsidRDefault="002A3FD7" w:rsidP="008404A4">
            <w:pPr>
              <w:pStyle w:val="Tabletext"/>
              <w:spacing w:before="40" w:after="40"/>
            </w:pPr>
            <w:r>
              <w:t>Clinical claim</w:t>
            </w:r>
          </w:p>
        </w:tc>
        <w:tc>
          <w:tcPr>
            <w:tcW w:w="7488" w:type="dxa"/>
            <w:vAlign w:val="center"/>
          </w:tcPr>
          <w:p w:rsidR="002A3FD7" w:rsidRPr="00580197" w:rsidRDefault="002A3FD7" w:rsidP="008404A4">
            <w:pPr>
              <w:pStyle w:val="Tabletext"/>
              <w:spacing w:before="40" w:after="40"/>
              <w:rPr>
                <w:i/>
              </w:rPr>
            </w:pPr>
            <w:r>
              <w:t xml:space="preserve">Durvalumab demonstrated superior efficacy, similar quality of life and manageable safety compared with watch-and-wait monitoring of patients with Stage III NSCLC whose disease has not progressed following definitive chemoradiation therapy. </w:t>
            </w:r>
          </w:p>
        </w:tc>
      </w:tr>
    </w:tbl>
    <w:p w:rsidR="005F13BD" w:rsidRDefault="002A3FD7" w:rsidP="008404A4">
      <w:pPr>
        <w:widowControl/>
        <w:rPr>
          <w:rFonts w:ascii="Arial Narrow" w:hAnsi="Arial Narrow"/>
          <w:sz w:val="18"/>
        </w:rPr>
      </w:pPr>
      <w:r w:rsidRPr="002A3FD7">
        <w:rPr>
          <w:rFonts w:ascii="Arial Narrow" w:hAnsi="Arial Narrow"/>
          <w:sz w:val="18"/>
        </w:rPr>
        <w:t xml:space="preserve">Source: Table 1.1.1, p2 of the submission. </w:t>
      </w:r>
    </w:p>
    <w:p w:rsidR="002A3FD7" w:rsidRDefault="002A3FD7" w:rsidP="008404A4">
      <w:pPr>
        <w:widowControl/>
        <w:rPr>
          <w:rFonts w:ascii="Arial Narrow" w:hAnsi="Arial Narrow"/>
          <w:sz w:val="18"/>
        </w:rPr>
      </w:pPr>
      <w:r w:rsidRPr="002A3FD7">
        <w:rPr>
          <w:rFonts w:ascii="Arial Narrow" w:hAnsi="Arial Narrow"/>
          <w:sz w:val="18"/>
        </w:rPr>
        <w:t xml:space="preserve">APF12/APF18= proportion of patients alive and </w:t>
      </w:r>
      <w:r w:rsidR="000F7EDB">
        <w:rPr>
          <w:rFonts w:ascii="Arial Narrow" w:hAnsi="Arial Narrow"/>
          <w:sz w:val="18"/>
        </w:rPr>
        <w:t>progression-free</w:t>
      </w:r>
      <w:r w:rsidRPr="002A3FD7">
        <w:rPr>
          <w:rFonts w:ascii="Arial Narrow" w:hAnsi="Arial Narrow"/>
          <w:sz w:val="18"/>
        </w:rPr>
        <w:t xml:space="preserve"> at 12/18 months from randomisation; DOR=duration of response; HRQOL = health related quality of life; NSCLC = non-small cell lung cancer; ORR = objective response rate; OS = overall survival; OS24 = overall survival at 24 months; PFS = progression</w:t>
      </w:r>
      <w:r w:rsidR="005F13BD">
        <w:rPr>
          <w:rFonts w:ascii="Arial Narrow" w:hAnsi="Arial Narrow"/>
          <w:sz w:val="18"/>
        </w:rPr>
        <w:t>-</w:t>
      </w:r>
      <w:r w:rsidRPr="002A3FD7">
        <w:rPr>
          <w:rFonts w:ascii="Arial Narrow" w:hAnsi="Arial Narrow"/>
          <w:sz w:val="18"/>
        </w:rPr>
        <w:t xml:space="preserve">free survival; PFS2 </w:t>
      </w:r>
      <w:r w:rsidR="00CF766D" w:rsidRPr="002A3FD7">
        <w:rPr>
          <w:rFonts w:ascii="Arial Narrow" w:hAnsi="Arial Narrow"/>
          <w:sz w:val="18"/>
        </w:rPr>
        <w:t>= time</w:t>
      </w:r>
      <w:r w:rsidRPr="002A3FD7">
        <w:rPr>
          <w:rFonts w:ascii="Arial Narrow" w:hAnsi="Arial Narrow"/>
          <w:sz w:val="18"/>
        </w:rPr>
        <w:t xml:space="preserve"> from randomisation to second progression; TTDM = time to death or distant metastasis.</w:t>
      </w:r>
    </w:p>
    <w:p w:rsidR="00EC5947" w:rsidRDefault="00EC5947" w:rsidP="008404A4">
      <w:pPr>
        <w:widowControl/>
        <w:rPr>
          <w:rFonts w:ascii="Arial Narrow" w:hAnsi="Arial Narrow"/>
          <w:sz w:val="18"/>
        </w:rPr>
      </w:pPr>
    </w:p>
    <w:p w:rsidR="00EC5947" w:rsidRPr="006A599D" w:rsidRDefault="00EC5947" w:rsidP="008404A4">
      <w:pPr>
        <w:widowControl/>
        <w:rPr>
          <w:rFonts w:ascii="Arial Narrow" w:hAnsi="Arial Narrow"/>
          <w:sz w:val="18"/>
        </w:rPr>
      </w:pPr>
      <w:r w:rsidRPr="00673EB8">
        <w:rPr>
          <w:rStyle w:val="CommentReference"/>
          <w:rFonts w:ascii="Calibri" w:hAnsi="Calibri" w:cs="Calibri"/>
          <w:b w:val="0"/>
          <w:i/>
          <w:sz w:val="24"/>
          <w:szCs w:val="24"/>
        </w:rPr>
        <w:t>For more detail on PBAC’s view, see Section 7 PBAC outcome.</w:t>
      </w:r>
    </w:p>
    <w:p w:rsidR="009359C9" w:rsidRPr="006A599D" w:rsidRDefault="006D0FBD" w:rsidP="008404A4">
      <w:pPr>
        <w:pStyle w:val="PBACHeading1"/>
        <w:spacing w:before="240" w:after="120"/>
      </w:pPr>
      <w:bookmarkStart w:id="7" w:name="_Toc524446339"/>
      <w:r w:rsidRPr="00407F2D">
        <w:t>Requested listing</w:t>
      </w:r>
      <w:bookmarkEnd w:id="7"/>
    </w:p>
    <w:p w:rsidR="005F7A14" w:rsidRDefault="005F7A14" w:rsidP="008404A4">
      <w:pPr>
        <w:pStyle w:val="ListParagraph"/>
        <w:widowControl/>
        <w:numPr>
          <w:ilvl w:val="1"/>
          <w:numId w:val="2"/>
        </w:numPr>
      </w:pPr>
      <w:r w:rsidRPr="005F7A14">
        <w:t xml:space="preserve">The listing proposed by the submission is given below with wording changes suggested by the Secretariat marked (additions in italics, deletions </w:t>
      </w:r>
      <w:r w:rsidR="001F33D9" w:rsidRPr="005F7A14">
        <w:t>struck through</w:t>
      </w:r>
      <w:r w:rsidRPr="005F7A14">
        <w:t>).</w:t>
      </w:r>
    </w:p>
    <w:p w:rsidR="00A348A5" w:rsidRDefault="00020D40" w:rsidP="008404A4">
      <w:pPr>
        <w:pStyle w:val="ListParagraph"/>
        <w:widowControl/>
        <w:numPr>
          <w:ilvl w:val="1"/>
          <w:numId w:val="2"/>
        </w:numPr>
      </w:pPr>
      <w:r w:rsidRPr="005F7A14">
        <w:t xml:space="preserve">The Pre-PBAC response provided a revised </w:t>
      </w:r>
      <w:r w:rsidR="00107283" w:rsidRPr="005F7A14">
        <w:t xml:space="preserve">effective price for durvalumab, which was approximately </w:t>
      </w:r>
      <w:r w:rsidR="00145C02">
        <w:rPr>
          <w:noProof/>
          <w:color w:val="000000"/>
          <w:highlight w:val="black"/>
        </w:rPr>
        <w:t>'''''</w:t>
      </w:r>
      <w:r w:rsidR="00107283" w:rsidRPr="005F7A14">
        <w:t xml:space="preserve">% lower than in the original submission </w:t>
      </w:r>
      <w:r w:rsidR="005F7A14" w:rsidRPr="005F7A14">
        <w:t>(see also section 6).</w:t>
      </w:r>
    </w:p>
    <w:p w:rsidR="009359C9" w:rsidRPr="009359C9" w:rsidRDefault="009359C9" w:rsidP="008404A4">
      <w:pPr>
        <w:widowControl/>
        <w:spacing w:after="120"/>
        <w:contextualSpacing/>
        <w:rPr>
          <w:rFonts w:asciiTheme="minorHAnsi" w:hAnsiTheme="minorHAnsi" w:cstheme="minorHAnsi"/>
          <w:i/>
          <w:color w:val="000000"/>
          <w:szCs w:val="24"/>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83"/>
        <w:gridCol w:w="1571"/>
        <w:gridCol w:w="1142"/>
        <w:gridCol w:w="250"/>
        <w:gridCol w:w="2285"/>
        <w:gridCol w:w="1712"/>
      </w:tblGrid>
      <w:tr w:rsidR="009359C9" w:rsidRPr="009359C9" w:rsidTr="005D2DA9">
        <w:trPr>
          <w:tblHeader/>
        </w:trPr>
        <w:tc>
          <w:tcPr>
            <w:tcW w:w="1235" w:type="pct"/>
          </w:tcPr>
          <w:p w:rsidR="009359C9" w:rsidRPr="009359C9" w:rsidRDefault="009359C9" w:rsidP="008404A4">
            <w:pPr>
              <w:widowControl/>
              <w:rPr>
                <w:rFonts w:ascii="Arial Narrow" w:hAnsi="Arial Narrow"/>
                <w:b/>
                <w:sz w:val="20"/>
                <w:szCs w:val="20"/>
              </w:rPr>
            </w:pPr>
            <w:r w:rsidRPr="009359C9">
              <w:rPr>
                <w:rFonts w:ascii="Arial Narrow" w:hAnsi="Arial Narrow"/>
                <w:b/>
                <w:sz w:val="20"/>
                <w:szCs w:val="20"/>
              </w:rPr>
              <w:lastRenderedPageBreak/>
              <w:t>Name, restriction, manner of administration, form</w:t>
            </w:r>
          </w:p>
        </w:tc>
        <w:tc>
          <w:tcPr>
            <w:tcW w:w="850" w:type="pct"/>
          </w:tcPr>
          <w:p w:rsidR="009359C9" w:rsidRPr="009359C9" w:rsidRDefault="009359C9" w:rsidP="008404A4">
            <w:pPr>
              <w:widowControl/>
              <w:jc w:val="center"/>
              <w:rPr>
                <w:rFonts w:ascii="Arial Narrow" w:hAnsi="Arial Narrow"/>
                <w:b/>
                <w:sz w:val="20"/>
                <w:szCs w:val="20"/>
              </w:rPr>
            </w:pPr>
            <w:r w:rsidRPr="009359C9">
              <w:rPr>
                <w:rFonts w:ascii="Arial Narrow" w:hAnsi="Arial Narrow"/>
                <w:b/>
                <w:sz w:val="20"/>
                <w:szCs w:val="20"/>
              </w:rPr>
              <w:t>Maximum amount (units)</w:t>
            </w:r>
          </w:p>
        </w:tc>
        <w:tc>
          <w:tcPr>
            <w:tcW w:w="753" w:type="pct"/>
            <w:gridSpan w:val="2"/>
          </w:tcPr>
          <w:p w:rsidR="009359C9" w:rsidRPr="009359C9" w:rsidRDefault="009359C9" w:rsidP="008404A4">
            <w:pPr>
              <w:widowControl/>
              <w:jc w:val="center"/>
              <w:rPr>
                <w:rFonts w:ascii="Arial Narrow" w:hAnsi="Arial Narrow"/>
                <w:b/>
                <w:sz w:val="20"/>
                <w:szCs w:val="20"/>
              </w:rPr>
            </w:pPr>
            <w:r w:rsidRPr="009359C9">
              <w:rPr>
                <w:rFonts w:ascii="Arial Narrow" w:hAnsi="Arial Narrow"/>
                <w:b/>
                <w:sz w:val="20"/>
                <w:szCs w:val="20"/>
              </w:rPr>
              <w:t>No. of repeats</w:t>
            </w:r>
          </w:p>
        </w:tc>
        <w:tc>
          <w:tcPr>
            <w:tcW w:w="1235" w:type="pct"/>
          </w:tcPr>
          <w:p w:rsidR="009359C9" w:rsidRPr="009359C9" w:rsidRDefault="009359C9" w:rsidP="008404A4">
            <w:pPr>
              <w:widowControl/>
              <w:jc w:val="center"/>
              <w:rPr>
                <w:rFonts w:ascii="Arial Narrow" w:hAnsi="Arial Narrow"/>
                <w:b/>
                <w:sz w:val="20"/>
                <w:szCs w:val="20"/>
              </w:rPr>
            </w:pPr>
            <w:r w:rsidRPr="009359C9">
              <w:rPr>
                <w:rFonts w:ascii="Arial Narrow" w:hAnsi="Arial Narrow"/>
                <w:b/>
                <w:sz w:val="20"/>
                <w:szCs w:val="20"/>
              </w:rPr>
              <w:t>Dispensed price for maximum amount</w:t>
            </w:r>
          </w:p>
        </w:tc>
        <w:tc>
          <w:tcPr>
            <w:tcW w:w="926" w:type="pct"/>
          </w:tcPr>
          <w:p w:rsidR="009359C9" w:rsidRPr="009359C9" w:rsidRDefault="009359C9" w:rsidP="008404A4">
            <w:pPr>
              <w:widowControl/>
              <w:jc w:val="center"/>
              <w:rPr>
                <w:rFonts w:ascii="Arial Narrow" w:hAnsi="Arial Narrow"/>
                <w:b/>
                <w:sz w:val="20"/>
                <w:szCs w:val="20"/>
              </w:rPr>
            </w:pPr>
            <w:r w:rsidRPr="009359C9">
              <w:rPr>
                <w:rFonts w:ascii="Arial Narrow" w:hAnsi="Arial Narrow"/>
                <w:b/>
                <w:sz w:val="20"/>
                <w:szCs w:val="20"/>
              </w:rPr>
              <w:t>Proprietary name and manufacturer</w:t>
            </w:r>
          </w:p>
        </w:tc>
      </w:tr>
      <w:tr w:rsidR="009359C9" w:rsidRPr="009359C9" w:rsidTr="005D2DA9">
        <w:tc>
          <w:tcPr>
            <w:tcW w:w="1235" w:type="pct"/>
          </w:tcPr>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t>Durvalumab</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t>500mg/10mL; 10mL</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t>120mg/2.4mL; 10mL</w:t>
            </w:r>
          </w:p>
        </w:tc>
        <w:tc>
          <w:tcPr>
            <w:tcW w:w="850" w:type="pct"/>
          </w:tcPr>
          <w:p w:rsidR="009359C9" w:rsidRPr="009359C9" w:rsidRDefault="009359C9" w:rsidP="008404A4">
            <w:pPr>
              <w:widowControl/>
              <w:jc w:val="center"/>
              <w:rPr>
                <w:rFonts w:ascii="Arial Narrow" w:hAnsi="Arial Narrow" w:cs="Times New Roman"/>
                <w:snapToGrid/>
                <w:sz w:val="20"/>
              </w:rPr>
            </w:pPr>
            <w:r w:rsidRPr="009359C9">
              <w:rPr>
                <w:rFonts w:ascii="Arial Narrow" w:hAnsi="Arial Narrow" w:cs="Times New Roman"/>
                <w:snapToGrid/>
                <w:sz w:val="20"/>
              </w:rPr>
              <w:t>1240mg</w:t>
            </w:r>
          </w:p>
        </w:tc>
        <w:tc>
          <w:tcPr>
            <w:tcW w:w="618" w:type="pct"/>
          </w:tcPr>
          <w:p w:rsidR="009359C9" w:rsidRPr="009359C9" w:rsidRDefault="009359C9" w:rsidP="008404A4">
            <w:pPr>
              <w:widowControl/>
              <w:jc w:val="center"/>
              <w:rPr>
                <w:rFonts w:ascii="Arial Narrow" w:hAnsi="Arial Narrow" w:cs="Times New Roman"/>
                <w:snapToGrid/>
                <w:sz w:val="20"/>
              </w:rPr>
            </w:pPr>
            <w:r w:rsidRPr="009359C9">
              <w:rPr>
                <w:rFonts w:ascii="Arial Narrow" w:hAnsi="Arial Narrow" w:cs="Times New Roman"/>
                <w:snapToGrid/>
                <w:sz w:val="20"/>
              </w:rPr>
              <w:t>8</w:t>
            </w:r>
          </w:p>
          <w:p w:rsidR="009359C9" w:rsidRPr="009359C9" w:rsidRDefault="009359C9" w:rsidP="008404A4">
            <w:pPr>
              <w:widowControl/>
              <w:jc w:val="center"/>
              <w:rPr>
                <w:rFonts w:ascii="Arial Narrow" w:hAnsi="Arial Narrow" w:cs="Times New Roman"/>
                <w:snapToGrid/>
                <w:sz w:val="20"/>
              </w:rPr>
            </w:pPr>
          </w:p>
        </w:tc>
        <w:tc>
          <w:tcPr>
            <w:tcW w:w="1371" w:type="pct"/>
            <w:gridSpan w:val="2"/>
          </w:tcPr>
          <w:p w:rsidR="009359C9" w:rsidRPr="009359C9" w:rsidRDefault="009359C9" w:rsidP="008404A4">
            <w:pPr>
              <w:widowControl/>
              <w:jc w:val="center"/>
              <w:rPr>
                <w:rFonts w:ascii="Arial Narrow" w:hAnsi="Arial Narrow" w:cs="Times New Roman"/>
                <w:snapToGrid/>
                <w:sz w:val="20"/>
              </w:rPr>
            </w:pPr>
            <w:r w:rsidRPr="009359C9">
              <w:rPr>
                <w:rFonts w:ascii="Arial Narrow" w:hAnsi="Arial Narrow" w:cs="Times New Roman"/>
                <w:snapToGrid/>
                <w:sz w:val="20"/>
              </w:rPr>
              <w:t>$</w:t>
            </w:r>
            <w:r w:rsidR="00145C02">
              <w:rPr>
                <w:rFonts w:ascii="Arial Narrow" w:hAnsi="Arial Narrow" w:cs="Times New Roman"/>
                <w:noProof/>
                <w:snapToGrid/>
                <w:color w:val="000000"/>
                <w:sz w:val="20"/>
                <w:highlight w:val="black"/>
              </w:rPr>
              <w:t>'''''''''''''''''''</w:t>
            </w:r>
            <w:r w:rsidRPr="009359C9">
              <w:rPr>
                <w:rFonts w:ascii="Arial Narrow" w:hAnsi="Arial Narrow" w:cs="Times New Roman"/>
                <w:snapToGrid/>
                <w:sz w:val="20"/>
              </w:rPr>
              <w:t xml:space="preserve"> published (public)</w:t>
            </w:r>
          </w:p>
          <w:p w:rsidR="009359C9" w:rsidRPr="009359C9" w:rsidRDefault="009359C9" w:rsidP="008404A4">
            <w:pPr>
              <w:widowControl/>
              <w:jc w:val="center"/>
              <w:rPr>
                <w:rFonts w:ascii="Arial Narrow" w:hAnsi="Arial Narrow" w:cs="Times New Roman"/>
                <w:snapToGrid/>
                <w:sz w:val="20"/>
              </w:rPr>
            </w:pPr>
            <w:r w:rsidRPr="009359C9">
              <w:rPr>
                <w:rFonts w:ascii="Arial Narrow" w:hAnsi="Arial Narrow" w:cs="Times New Roman"/>
                <w:snapToGrid/>
                <w:sz w:val="20"/>
              </w:rPr>
              <w:t>$</w:t>
            </w:r>
            <w:r w:rsidR="00145C02">
              <w:rPr>
                <w:rFonts w:ascii="Arial Narrow" w:hAnsi="Arial Narrow" w:cs="Times New Roman"/>
                <w:noProof/>
                <w:snapToGrid/>
                <w:color w:val="000000"/>
                <w:sz w:val="20"/>
                <w:highlight w:val="black"/>
              </w:rPr>
              <w:t>'''''''''''''''''''''</w:t>
            </w:r>
            <w:r w:rsidRPr="009359C9">
              <w:rPr>
                <w:rFonts w:ascii="Arial Narrow" w:hAnsi="Arial Narrow" w:cs="Times New Roman"/>
                <w:snapToGrid/>
                <w:sz w:val="20"/>
              </w:rPr>
              <w:t xml:space="preserve"> published (private)</w:t>
            </w:r>
          </w:p>
          <w:p w:rsidR="009359C9" w:rsidRPr="009359C9" w:rsidRDefault="009359C9" w:rsidP="008404A4">
            <w:pPr>
              <w:widowControl/>
              <w:jc w:val="center"/>
              <w:rPr>
                <w:rFonts w:ascii="Arial Narrow" w:hAnsi="Arial Narrow" w:cs="Times New Roman"/>
                <w:snapToGrid/>
                <w:sz w:val="20"/>
              </w:rPr>
            </w:pPr>
            <w:r w:rsidRPr="009359C9">
              <w:rPr>
                <w:rFonts w:ascii="Arial Narrow" w:hAnsi="Arial Narrow" w:cs="Times New Roman"/>
                <w:snapToGrid/>
                <w:sz w:val="20"/>
              </w:rPr>
              <w:t>$</w:t>
            </w:r>
            <w:r w:rsidR="00145C02">
              <w:rPr>
                <w:rFonts w:ascii="Arial Narrow" w:hAnsi="Arial Narrow" w:cs="Times New Roman"/>
                <w:noProof/>
                <w:snapToGrid/>
                <w:color w:val="000000"/>
                <w:sz w:val="20"/>
                <w:highlight w:val="black"/>
              </w:rPr>
              <w:t>'''''''''''''''''''''</w:t>
            </w:r>
            <w:r w:rsidRPr="009359C9">
              <w:rPr>
                <w:rFonts w:ascii="Arial Narrow" w:hAnsi="Arial Narrow" w:cs="Times New Roman"/>
                <w:snapToGrid/>
                <w:sz w:val="20"/>
              </w:rPr>
              <w:t xml:space="preserve"> effective (public)</w:t>
            </w:r>
          </w:p>
          <w:p w:rsidR="009359C9" w:rsidRPr="009359C9" w:rsidRDefault="009359C9" w:rsidP="008404A4">
            <w:pPr>
              <w:widowControl/>
              <w:jc w:val="center"/>
              <w:rPr>
                <w:rFonts w:ascii="Arial Narrow" w:hAnsi="Arial Narrow" w:cs="Times New Roman"/>
                <w:snapToGrid/>
                <w:sz w:val="20"/>
              </w:rPr>
            </w:pPr>
            <w:r w:rsidRPr="009359C9">
              <w:rPr>
                <w:rFonts w:ascii="Arial Narrow" w:hAnsi="Arial Narrow" w:cs="Times New Roman"/>
                <w:snapToGrid/>
                <w:sz w:val="20"/>
              </w:rPr>
              <w:t>$</w:t>
            </w:r>
            <w:r w:rsidR="00145C02">
              <w:rPr>
                <w:rFonts w:ascii="Arial Narrow" w:hAnsi="Arial Narrow" w:cs="Times New Roman"/>
                <w:noProof/>
                <w:snapToGrid/>
                <w:color w:val="000000"/>
                <w:sz w:val="20"/>
                <w:highlight w:val="black"/>
              </w:rPr>
              <w:t>'''''''''''''''''''''</w:t>
            </w:r>
            <w:r w:rsidRPr="009359C9">
              <w:rPr>
                <w:rFonts w:ascii="Arial Narrow" w:hAnsi="Arial Narrow" w:cs="Times New Roman"/>
                <w:snapToGrid/>
                <w:sz w:val="20"/>
              </w:rPr>
              <w:t xml:space="preserve"> effective (private)</w:t>
            </w:r>
          </w:p>
        </w:tc>
        <w:tc>
          <w:tcPr>
            <w:tcW w:w="926" w:type="pct"/>
          </w:tcPr>
          <w:p w:rsidR="009359C9" w:rsidRPr="009359C9" w:rsidRDefault="009359C9" w:rsidP="008404A4">
            <w:pPr>
              <w:widowControl/>
              <w:jc w:val="center"/>
              <w:rPr>
                <w:rFonts w:ascii="Arial Narrow" w:hAnsi="Arial Narrow" w:cs="Times New Roman"/>
                <w:snapToGrid/>
                <w:sz w:val="20"/>
              </w:rPr>
            </w:pPr>
            <w:r w:rsidRPr="009359C9">
              <w:rPr>
                <w:rFonts w:ascii="Arial Narrow" w:hAnsi="Arial Narrow" w:cs="Times New Roman"/>
                <w:snapToGrid/>
                <w:sz w:val="20"/>
              </w:rPr>
              <w:t>Imfinzi,</w:t>
            </w:r>
          </w:p>
          <w:p w:rsidR="009359C9" w:rsidRPr="009359C9" w:rsidRDefault="001F33D9" w:rsidP="008404A4">
            <w:pPr>
              <w:widowControl/>
              <w:jc w:val="center"/>
              <w:rPr>
                <w:rFonts w:ascii="Arial Narrow" w:hAnsi="Arial Narrow" w:cs="Times New Roman"/>
                <w:snapToGrid/>
                <w:sz w:val="20"/>
              </w:rPr>
            </w:pPr>
            <w:r w:rsidRPr="009359C9">
              <w:rPr>
                <w:rFonts w:ascii="Arial Narrow" w:hAnsi="Arial Narrow" w:cs="Times New Roman"/>
                <w:snapToGrid/>
                <w:sz w:val="20"/>
              </w:rPr>
              <w:t>AstraZeneca</w:t>
            </w:r>
            <w:r w:rsidR="009359C9" w:rsidRPr="009359C9">
              <w:rPr>
                <w:rFonts w:ascii="Arial Narrow" w:hAnsi="Arial Narrow" w:cs="Times New Roman"/>
                <w:snapToGrid/>
                <w:sz w:val="20"/>
              </w:rPr>
              <w:t xml:space="preserve"> Pty Ltd</w:t>
            </w:r>
          </w:p>
        </w:tc>
      </w:tr>
    </w:tbl>
    <w:p w:rsidR="009359C9" w:rsidRPr="009359C9" w:rsidRDefault="009359C9" w:rsidP="008404A4">
      <w:pPr>
        <w:widowControl/>
        <w:rPr>
          <w:rFonts w:ascii="Arial Narrow" w:hAnsi="Arial Narrow"/>
          <w:sz w:val="18"/>
        </w:rPr>
      </w:pPr>
    </w:p>
    <w:tbl>
      <w:tblPr>
        <w:tblW w:w="5000" w:type="pct"/>
        <w:tblLook w:val="0000" w:firstRow="0" w:lastRow="0" w:firstColumn="0" w:lastColumn="0" w:noHBand="0" w:noVBand="0"/>
      </w:tblPr>
      <w:tblGrid>
        <w:gridCol w:w="3466"/>
        <w:gridCol w:w="5777"/>
      </w:tblGrid>
      <w:tr w:rsidR="009359C9" w:rsidRPr="009359C9" w:rsidTr="005D2DA9">
        <w:trPr>
          <w:cantSplit/>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rPr>
                <w:rFonts w:ascii="Arial Narrow" w:hAnsi="Arial Narrow"/>
                <w:b/>
                <w:sz w:val="20"/>
                <w:szCs w:val="20"/>
              </w:rPr>
            </w:pPr>
            <w:r w:rsidRPr="009359C9">
              <w:rPr>
                <w:rFonts w:ascii="Arial Narrow" w:hAnsi="Arial Narrow"/>
                <w:b/>
                <w:sz w:val="20"/>
                <w:szCs w:val="20"/>
              </w:rPr>
              <w:t xml:space="preserve">Category / </w:t>
            </w:r>
          </w:p>
          <w:p w:rsidR="009359C9" w:rsidRPr="009359C9" w:rsidRDefault="009359C9" w:rsidP="008404A4">
            <w:pPr>
              <w:widowControl/>
              <w:jc w:val="left"/>
              <w:rPr>
                <w:rFonts w:ascii="Arial Narrow" w:hAnsi="Arial Narrow" w:cs="Times New Roman"/>
                <w:b/>
                <w:snapToGrid/>
                <w:sz w:val="20"/>
              </w:rPr>
            </w:pPr>
            <w:r w:rsidRPr="009359C9">
              <w:rPr>
                <w:rFonts w:ascii="Arial Narrow" w:hAnsi="Arial Narrow"/>
                <w:b/>
                <w:snapToGrid/>
                <w:sz w:val="20"/>
                <w:szCs w:val="20"/>
              </w:rPr>
              <w:t>Program</w:t>
            </w: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snapToGrid/>
                <w:sz w:val="20"/>
                <w:szCs w:val="20"/>
              </w:rPr>
              <w:t>Section 100 – Efficient funding of Chemotherapy (Public and Private Hospital)</w:t>
            </w:r>
          </w:p>
        </w:tc>
      </w:tr>
      <w:tr w:rsidR="009359C9" w:rsidRPr="009359C9" w:rsidTr="005D2DA9">
        <w:trPr>
          <w:cantSplit/>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rPr>
                <w:rFonts w:ascii="Arial Narrow" w:hAnsi="Arial Narrow"/>
                <w:b/>
                <w:sz w:val="20"/>
                <w:szCs w:val="20"/>
              </w:rPr>
            </w:pPr>
            <w:r w:rsidRPr="009359C9">
              <w:rPr>
                <w:rFonts w:ascii="Arial Narrow" w:hAnsi="Arial Narrow"/>
                <w:b/>
                <w:sz w:val="20"/>
                <w:szCs w:val="20"/>
              </w:rPr>
              <w:t>Prescriber type:</w:t>
            </w:r>
          </w:p>
          <w:p w:rsidR="009359C9" w:rsidRPr="009359C9" w:rsidRDefault="009359C9" w:rsidP="008404A4">
            <w:pPr>
              <w:widowControl/>
              <w:jc w:val="left"/>
              <w:rPr>
                <w:rFonts w:ascii="Arial Narrow" w:hAnsi="Arial Narrow" w:cs="Times New Roman"/>
                <w:b/>
                <w:snapToGrid/>
                <w:sz w:val="20"/>
              </w:rPr>
            </w:pP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rPr>
                <w:rFonts w:ascii="Arial Narrow" w:hAnsi="Arial Narrow"/>
                <w:sz w:val="20"/>
                <w:szCs w:val="20"/>
              </w:rPr>
            </w:pPr>
            <w:r w:rsidRPr="009359C9">
              <w:rPr>
                <w:rFonts w:ascii="Arial Narrow" w:hAnsi="Arial Narrow"/>
                <w:sz w:val="20"/>
                <w:szCs w:val="20"/>
              </w:rPr>
              <w:fldChar w:fldCharType="begin">
                <w:ffData>
                  <w:name w:val="Check1"/>
                  <w:enabled/>
                  <w:calcOnExit w:val="0"/>
                  <w:checkBox>
                    <w:sizeAuto/>
                    <w:default w:val="0"/>
                  </w:checkBox>
                </w:ffData>
              </w:fldChar>
            </w:r>
            <w:r w:rsidRPr="009359C9">
              <w:rPr>
                <w:rFonts w:ascii="Arial Narrow" w:hAnsi="Arial Narrow"/>
                <w:sz w:val="20"/>
                <w:szCs w:val="20"/>
              </w:rPr>
              <w:instrText xml:space="preserve"> FORMCHECKBOX </w:instrText>
            </w:r>
            <w:r w:rsidR="00145C02">
              <w:rPr>
                <w:rFonts w:ascii="Arial Narrow" w:hAnsi="Arial Narrow"/>
                <w:sz w:val="20"/>
                <w:szCs w:val="20"/>
              </w:rPr>
            </w:r>
            <w:r w:rsidR="00145C02">
              <w:rPr>
                <w:rFonts w:ascii="Arial Narrow" w:hAnsi="Arial Narrow"/>
                <w:sz w:val="20"/>
                <w:szCs w:val="20"/>
              </w:rPr>
              <w:fldChar w:fldCharType="separate"/>
            </w:r>
            <w:r w:rsidRPr="009359C9">
              <w:rPr>
                <w:rFonts w:ascii="Arial Narrow" w:hAnsi="Arial Narrow"/>
                <w:sz w:val="20"/>
                <w:szCs w:val="20"/>
              </w:rPr>
              <w:fldChar w:fldCharType="end"/>
            </w:r>
            <w:r w:rsidRPr="009359C9">
              <w:rPr>
                <w:rFonts w:ascii="Arial Narrow" w:hAnsi="Arial Narrow"/>
                <w:sz w:val="20"/>
                <w:szCs w:val="20"/>
              </w:rPr>
              <w:t xml:space="preserve">Dental  </w:t>
            </w:r>
            <w:r w:rsidRPr="009359C9">
              <w:rPr>
                <w:rFonts w:ascii="Arial Narrow" w:hAnsi="Arial Narrow"/>
                <w:sz w:val="20"/>
                <w:szCs w:val="20"/>
              </w:rPr>
              <w:fldChar w:fldCharType="begin">
                <w:ffData>
                  <w:name w:val=""/>
                  <w:enabled/>
                  <w:calcOnExit w:val="0"/>
                  <w:checkBox>
                    <w:sizeAuto/>
                    <w:default w:val="1"/>
                  </w:checkBox>
                </w:ffData>
              </w:fldChar>
            </w:r>
            <w:r w:rsidRPr="009359C9">
              <w:rPr>
                <w:rFonts w:ascii="Arial Narrow" w:hAnsi="Arial Narrow"/>
                <w:sz w:val="20"/>
                <w:szCs w:val="20"/>
              </w:rPr>
              <w:instrText xml:space="preserve"> FORMCHECKBOX </w:instrText>
            </w:r>
            <w:r w:rsidR="00145C02">
              <w:rPr>
                <w:rFonts w:ascii="Arial Narrow" w:hAnsi="Arial Narrow"/>
                <w:sz w:val="20"/>
                <w:szCs w:val="20"/>
              </w:rPr>
            </w:r>
            <w:r w:rsidR="00145C02">
              <w:rPr>
                <w:rFonts w:ascii="Arial Narrow" w:hAnsi="Arial Narrow"/>
                <w:sz w:val="20"/>
                <w:szCs w:val="20"/>
              </w:rPr>
              <w:fldChar w:fldCharType="separate"/>
            </w:r>
            <w:r w:rsidRPr="009359C9">
              <w:rPr>
                <w:rFonts w:ascii="Arial Narrow" w:hAnsi="Arial Narrow"/>
                <w:sz w:val="20"/>
                <w:szCs w:val="20"/>
              </w:rPr>
              <w:fldChar w:fldCharType="end"/>
            </w:r>
            <w:r w:rsidRPr="009359C9">
              <w:rPr>
                <w:rFonts w:ascii="Arial Narrow" w:hAnsi="Arial Narrow"/>
                <w:sz w:val="20"/>
                <w:szCs w:val="20"/>
              </w:rPr>
              <w:t xml:space="preserve">Medical Practitioners  </w:t>
            </w:r>
            <w:r w:rsidRPr="009359C9">
              <w:rPr>
                <w:rFonts w:ascii="Arial Narrow" w:hAnsi="Arial Narrow"/>
                <w:sz w:val="20"/>
                <w:szCs w:val="20"/>
              </w:rPr>
              <w:fldChar w:fldCharType="begin">
                <w:ffData>
                  <w:name w:val="Check3"/>
                  <w:enabled/>
                  <w:calcOnExit w:val="0"/>
                  <w:checkBox>
                    <w:sizeAuto/>
                    <w:default w:val="0"/>
                  </w:checkBox>
                </w:ffData>
              </w:fldChar>
            </w:r>
            <w:r w:rsidRPr="009359C9">
              <w:rPr>
                <w:rFonts w:ascii="Arial Narrow" w:hAnsi="Arial Narrow"/>
                <w:sz w:val="20"/>
                <w:szCs w:val="20"/>
              </w:rPr>
              <w:instrText xml:space="preserve"> FORMCHECKBOX </w:instrText>
            </w:r>
            <w:r w:rsidR="00145C02">
              <w:rPr>
                <w:rFonts w:ascii="Arial Narrow" w:hAnsi="Arial Narrow"/>
                <w:sz w:val="20"/>
                <w:szCs w:val="20"/>
              </w:rPr>
            </w:r>
            <w:r w:rsidR="00145C02">
              <w:rPr>
                <w:rFonts w:ascii="Arial Narrow" w:hAnsi="Arial Narrow"/>
                <w:sz w:val="20"/>
                <w:szCs w:val="20"/>
              </w:rPr>
              <w:fldChar w:fldCharType="separate"/>
            </w:r>
            <w:r w:rsidRPr="009359C9">
              <w:rPr>
                <w:rFonts w:ascii="Arial Narrow" w:hAnsi="Arial Narrow"/>
                <w:sz w:val="20"/>
                <w:szCs w:val="20"/>
              </w:rPr>
              <w:fldChar w:fldCharType="end"/>
            </w:r>
            <w:r w:rsidRPr="009359C9">
              <w:rPr>
                <w:rFonts w:ascii="Arial Narrow" w:hAnsi="Arial Narrow"/>
                <w:sz w:val="20"/>
                <w:szCs w:val="20"/>
              </w:rPr>
              <w:t xml:space="preserve">Nurse practitioners  </w:t>
            </w:r>
            <w:r w:rsidRPr="009359C9">
              <w:rPr>
                <w:rFonts w:ascii="Arial Narrow" w:hAnsi="Arial Narrow"/>
                <w:sz w:val="20"/>
                <w:szCs w:val="20"/>
              </w:rPr>
              <w:fldChar w:fldCharType="begin">
                <w:ffData>
                  <w:name w:val=""/>
                  <w:enabled/>
                  <w:calcOnExit w:val="0"/>
                  <w:checkBox>
                    <w:sizeAuto/>
                    <w:default w:val="0"/>
                  </w:checkBox>
                </w:ffData>
              </w:fldChar>
            </w:r>
            <w:r w:rsidRPr="009359C9">
              <w:rPr>
                <w:rFonts w:ascii="Arial Narrow" w:hAnsi="Arial Narrow"/>
                <w:sz w:val="20"/>
                <w:szCs w:val="20"/>
              </w:rPr>
              <w:instrText xml:space="preserve"> FORMCHECKBOX </w:instrText>
            </w:r>
            <w:r w:rsidR="00145C02">
              <w:rPr>
                <w:rFonts w:ascii="Arial Narrow" w:hAnsi="Arial Narrow"/>
                <w:sz w:val="20"/>
                <w:szCs w:val="20"/>
              </w:rPr>
            </w:r>
            <w:r w:rsidR="00145C02">
              <w:rPr>
                <w:rFonts w:ascii="Arial Narrow" w:hAnsi="Arial Narrow"/>
                <w:sz w:val="20"/>
                <w:szCs w:val="20"/>
              </w:rPr>
              <w:fldChar w:fldCharType="separate"/>
            </w:r>
            <w:r w:rsidRPr="009359C9">
              <w:rPr>
                <w:rFonts w:ascii="Arial Narrow" w:hAnsi="Arial Narrow"/>
                <w:sz w:val="20"/>
                <w:szCs w:val="20"/>
              </w:rPr>
              <w:fldChar w:fldCharType="end"/>
            </w:r>
            <w:r w:rsidRPr="009359C9">
              <w:rPr>
                <w:rFonts w:ascii="Arial Narrow" w:hAnsi="Arial Narrow"/>
                <w:sz w:val="20"/>
                <w:szCs w:val="20"/>
              </w:rPr>
              <w:t>Optometrists</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snapToGrid/>
                <w:sz w:val="20"/>
                <w:szCs w:val="20"/>
              </w:rPr>
              <w:fldChar w:fldCharType="begin">
                <w:ffData>
                  <w:name w:val="Check5"/>
                  <w:enabled/>
                  <w:calcOnExit w:val="0"/>
                  <w:checkBox>
                    <w:sizeAuto/>
                    <w:default w:val="0"/>
                  </w:checkBox>
                </w:ffData>
              </w:fldChar>
            </w:r>
            <w:r w:rsidRPr="009359C9">
              <w:rPr>
                <w:rFonts w:ascii="Arial Narrow" w:hAnsi="Arial Narrow"/>
                <w:snapToGrid/>
                <w:sz w:val="20"/>
                <w:szCs w:val="20"/>
              </w:rPr>
              <w:instrText xml:space="preserve"> FORMCHECKBOX </w:instrText>
            </w:r>
            <w:r w:rsidR="00145C02">
              <w:rPr>
                <w:rFonts w:ascii="Arial Narrow" w:hAnsi="Arial Narrow"/>
                <w:snapToGrid/>
                <w:sz w:val="20"/>
                <w:szCs w:val="20"/>
              </w:rPr>
            </w:r>
            <w:r w:rsidR="00145C02">
              <w:rPr>
                <w:rFonts w:ascii="Arial Narrow" w:hAnsi="Arial Narrow"/>
                <w:snapToGrid/>
                <w:sz w:val="20"/>
                <w:szCs w:val="20"/>
              </w:rPr>
              <w:fldChar w:fldCharType="separate"/>
            </w:r>
            <w:r w:rsidRPr="009359C9">
              <w:rPr>
                <w:rFonts w:ascii="Arial Narrow" w:hAnsi="Arial Narrow"/>
                <w:snapToGrid/>
                <w:sz w:val="20"/>
                <w:szCs w:val="20"/>
              </w:rPr>
              <w:fldChar w:fldCharType="end"/>
            </w:r>
            <w:r w:rsidRPr="009359C9">
              <w:rPr>
                <w:rFonts w:ascii="Arial Narrow" w:hAnsi="Arial Narrow"/>
                <w:snapToGrid/>
                <w:sz w:val="20"/>
                <w:szCs w:val="20"/>
              </w:rPr>
              <w:t>Midwives</w:t>
            </w:r>
          </w:p>
        </w:tc>
      </w:tr>
      <w:tr w:rsidR="009359C9" w:rsidRPr="009359C9" w:rsidTr="005D2DA9">
        <w:trPr>
          <w:cantSplit/>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b/>
                <w:snapToGrid/>
                <w:sz w:val="20"/>
              </w:rPr>
            </w:pPr>
            <w:r w:rsidRPr="009359C9">
              <w:rPr>
                <w:rFonts w:ascii="Arial Narrow" w:hAnsi="Arial Narrow" w:cs="Times New Roman"/>
                <w:b/>
                <w:snapToGrid/>
                <w:sz w:val="20"/>
              </w:rPr>
              <w:t>Severity:</w:t>
            </w: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D845A5" w:rsidP="008404A4">
            <w:pPr>
              <w:widowControl/>
              <w:jc w:val="left"/>
              <w:rPr>
                <w:rFonts w:ascii="Arial Narrow" w:hAnsi="Arial Narrow" w:cs="Times New Roman"/>
                <w:snapToGrid/>
                <w:sz w:val="20"/>
              </w:rPr>
            </w:pPr>
            <w:r w:rsidRPr="009359C9">
              <w:rPr>
                <w:rFonts w:ascii="Arial Narrow" w:hAnsi="Arial Narrow" w:cs="Times New Roman"/>
                <w:i/>
                <w:snapToGrid/>
                <w:sz w:val="20"/>
              </w:rPr>
              <w:t>U</w:t>
            </w:r>
            <w:r w:rsidR="009359C9" w:rsidRPr="009359C9">
              <w:rPr>
                <w:rFonts w:ascii="Arial Narrow" w:hAnsi="Arial Narrow" w:cs="Times New Roman"/>
                <w:i/>
                <w:snapToGrid/>
                <w:sz w:val="20"/>
              </w:rPr>
              <w:t>nresectable</w:t>
            </w:r>
          </w:p>
        </w:tc>
      </w:tr>
      <w:tr w:rsidR="009359C9" w:rsidRPr="009359C9" w:rsidTr="005D2DA9">
        <w:trPr>
          <w:cantSplit/>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b/>
                <w:snapToGrid/>
                <w:sz w:val="20"/>
              </w:rPr>
            </w:pPr>
            <w:r w:rsidRPr="009359C9">
              <w:rPr>
                <w:rFonts w:ascii="Arial Narrow" w:hAnsi="Arial Narrow" w:cs="Times New Roman"/>
                <w:b/>
                <w:snapToGrid/>
                <w:sz w:val="20"/>
              </w:rPr>
              <w:t>Condition:</w:t>
            </w: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t>Stage III Non-small cell lung cancer</w:t>
            </w:r>
          </w:p>
        </w:tc>
      </w:tr>
      <w:tr w:rsidR="009359C9" w:rsidRPr="009359C9" w:rsidTr="005D2DA9">
        <w:trPr>
          <w:cantSplit/>
          <w:trHeight w:val="249"/>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b/>
                <w:snapToGrid/>
                <w:sz w:val="20"/>
              </w:rPr>
            </w:pPr>
            <w:r w:rsidRPr="009359C9">
              <w:rPr>
                <w:rFonts w:ascii="Arial Narrow" w:hAnsi="Arial Narrow" w:cs="Times New Roman"/>
                <w:b/>
                <w:snapToGrid/>
                <w:sz w:val="20"/>
              </w:rPr>
              <w:t>PBS Indication:</w:t>
            </w: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t xml:space="preserve">Unresectable Stage III non-small cell lung cancer </w:t>
            </w:r>
          </w:p>
        </w:tc>
      </w:tr>
      <w:tr w:rsidR="009359C9" w:rsidRPr="009359C9" w:rsidTr="005D2DA9">
        <w:trPr>
          <w:cantSplit/>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b/>
                <w:snapToGrid/>
                <w:sz w:val="20"/>
              </w:rPr>
              <w:t>Treatment phase:</w:t>
            </w: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strike/>
                <w:snapToGrid/>
                <w:sz w:val="20"/>
              </w:rPr>
            </w:pPr>
            <w:r w:rsidRPr="009359C9">
              <w:rPr>
                <w:rFonts w:ascii="Arial Narrow" w:hAnsi="Arial Narrow" w:cs="Times New Roman"/>
                <w:snapToGrid/>
                <w:sz w:val="20"/>
              </w:rPr>
              <w:t xml:space="preserve">Initial </w:t>
            </w:r>
            <w:r w:rsidRPr="009359C9">
              <w:rPr>
                <w:rFonts w:ascii="Arial Narrow" w:hAnsi="Arial Narrow" w:cs="Times New Roman"/>
                <w:i/>
                <w:snapToGrid/>
                <w:sz w:val="20"/>
              </w:rPr>
              <w:t xml:space="preserve">treatment </w:t>
            </w:r>
          </w:p>
        </w:tc>
      </w:tr>
      <w:tr w:rsidR="009359C9" w:rsidRPr="009359C9" w:rsidTr="005D2DA9">
        <w:trPr>
          <w:cantSplit/>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i/>
                <w:snapToGrid/>
                <w:sz w:val="20"/>
              </w:rPr>
            </w:pPr>
            <w:r w:rsidRPr="009359C9">
              <w:rPr>
                <w:rFonts w:ascii="Arial Narrow" w:hAnsi="Arial Narrow" w:cs="Times New Roman"/>
                <w:b/>
                <w:snapToGrid/>
                <w:sz w:val="20"/>
              </w:rPr>
              <w:t>Restriction:</w:t>
            </w: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fldChar w:fldCharType="begin">
                <w:ffData>
                  <w:name w:val="Check1"/>
                  <w:enabled/>
                  <w:calcOnExit w:val="0"/>
                  <w:checkBox>
                    <w:sizeAuto/>
                    <w:default w:val="0"/>
                  </w:checkBox>
                </w:ffData>
              </w:fldChar>
            </w:r>
            <w:r w:rsidRPr="009359C9">
              <w:rPr>
                <w:rFonts w:ascii="Arial Narrow" w:hAnsi="Arial Narrow" w:cs="Times New Roman"/>
                <w:snapToGrid/>
                <w:sz w:val="20"/>
              </w:rPr>
              <w:instrText xml:space="preserve"> FORMCHECKBOX </w:instrText>
            </w:r>
            <w:r w:rsidR="00145C02">
              <w:rPr>
                <w:rFonts w:ascii="Arial Narrow" w:hAnsi="Arial Narrow" w:cs="Times New Roman"/>
                <w:snapToGrid/>
                <w:sz w:val="20"/>
              </w:rPr>
            </w:r>
            <w:r w:rsidR="00145C02">
              <w:rPr>
                <w:rFonts w:ascii="Arial Narrow" w:hAnsi="Arial Narrow" w:cs="Times New Roman"/>
                <w:snapToGrid/>
                <w:sz w:val="20"/>
              </w:rPr>
              <w:fldChar w:fldCharType="separate"/>
            </w:r>
            <w:r w:rsidRPr="009359C9">
              <w:rPr>
                <w:rFonts w:ascii="Arial Narrow" w:hAnsi="Arial Narrow" w:cs="Times New Roman"/>
                <w:snapToGrid/>
                <w:sz w:val="20"/>
              </w:rPr>
              <w:fldChar w:fldCharType="end"/>
            </w:r>
            <w:r w:rsidRPr="009359C9">
              <w:rPr>
                <w:rFonts w:ascii="Arial Narrow" w:hAnsi="Arial Narrow" w:cs="Times New Roman"/>
                <w:snapToGrid/>
                <w:sz w:val="20"/>
              </w:rPr>
              <w:t>Restricted benefit</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fldChar w:fldCharType="begin">
                <w:ffData>
                  <w:name w:val=""/>
                  <w:enabled/>
                  <w:calcOnExit w:val="0"/>
                  <w:checkBox>
                    <w:sizeAuto/>
                    <w:default w:val="0"/>
                  </w:checkBox>
                </w:ffData>
              </w:fldChar>
            </w:r>
            <w:r w:rsidRPr="009359C9">
              <w:rPr>
                <w:rFonts w:ascii="Arial Narrow" w:hAnsi="Arial Narrow" w:cs="Times New Roman"/>
                <w:snapToGrid/>
                <w:sz w:val="20"/>
              </w:rPr>
              <w:instrText xml:space="preserve"> FORMCHECKBOX </w:instrText>
            </w:r>
            <w:r w:rsidR="00145C02">
              <w:rPr>
                <w:rFonts w:ascii="Arial Narrow" w:hAnsi="Arial Narrow" w:cs="Times New Roman"/>
                <w:snapToGrid/>
                <w:sz w:val="20"/>
              </w:rPr>
            </w:r>
            <w:r w:rsidR="00145C02">
              <w:rPr>
                <w:rFonts w:ascii="Arial Narrow" w:hAnsi="Arial Narrow" w:cs="Times New Roman"/>
                <w:snapToGrid/>
                <w:sz w:val="20"/>
              </w:rPr>
              <w:fldChar w:fldCharType="separate"/>
            </w:r>
            <w:r w:rsidRPr="009359C9">
              <w:rPr>
                <w:rFonts w:ascii="Arial Narrow" w:hAnsi="Arial Narrow" w:cs="Times New Roman"/>
                <w:snapToGrid/>
                <w:sz w:val="20"/>
              </w:rPr>
              <w:fldChar w:fldCharType="end"/>
            </w:r>
            <w:r w:rsidRPr="009359C9">
              <w:rPr>
                <w:rFonts w:ascii="Arial Narrow" w:hAnsi="Arial Narrow" w:cs="Times New Roman"/>
                <w:snapToGrid/>
                <w:sz w:val="20"/>
              </w:rPr>
              <w:t>Authority Required - In Writing</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fldChar w:fldCharType="begin">
                <w:ffData>
                  <w:name w:val="Check3"/>
                  <w:enabled/>
                  <w:calcOnExit w:val="0"/>
                  <w:checkBox>
                    <w:sizeAuto/>
                    <w:default w:val="0"/>
                  </w:checkBox>
                </w:ffData>
              </w:fldChar>
            </w:r>
            <w:r w:rsidRPr="009359C9">
              <w:rPr>
                <w:rFonts w:ascii="Arial Narrow" w:hAnsi="Arial Narrow" w:cs="Times New Roman"/>
                <w:snapToGrid/>
                <w:sz w:val="20"/>
              </w:rPr>
              <w:instrText xml:space="preserve"> FORMCHECKBOX </w:instrText>
            </w:r>
            <w:r w:rsidR="00145C02">
              <w:rPr>
                <w:rFonts w:ascii="Arial Narrow" w:hAnsi="Arial Narrow" w:cs="Times New Roman"/>
                <w:snapToGrid/>
                <w:sz w:val="20"/>
              </w:rPr>
            </w:r>
            <w:r w:rsidR="00145C02">
              <w:rPr>
                <w:rFonts w:ascii="Arial Narrow" w:hAnsi="Arial Narrow" w:cs="Times New Roman"/>
                <w:snapToGrid/>
                <w:sz w:val="20"/>
              </w:rPr>
              <w:fldChar w:fldCharType="separate"/>
            </w:r>
            <w:r w:rsidRPr="009359C9">
              <w:rPr>
                <w:rFonts w:ascii="Arial Narrow" w:hAnsi="Arial Narrow" w:cs="Times New Roman"/>
                <w:snapToGrid/>
                <w:sz w:val="20"/>
              </w:rPr>
              <w:fldChar w:fldCharType="end"/>
            </w:r>
            <w:r w:rsidRPr="009359C9">
              <w:rPr>
                <w:rFonts w:ascii="Arial Narrow" w:hAnsi="Arial Narrow" w:cs="Times New Roman"/>
                <w:snapToGrid/>
                <w:sz w:val="20"/>
              </w:rPr>
              <w:t>Authority Required - Telephone</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fldChar w:fldCharType="begin">
                <w:ffData>
                  <w:name w:val=""/>
                  <w:enabled/>
                  <w:calcOnExit w:val="0"/>
                  <w:checkBox>
                    <w:sizeAuto/>
                    <w:default w:val="0"/>
                  </w:checkBox>
                </w:ffData>
              </w:fldChar>
            </w:r>
            <w:r w:rsidRPr="009359C9">
              <w:rPr>
                <w:rFonts w:ascii="Arial Narrow" w:hAnsi="Arial Narrow" w:cs="Times New Roman"/>
                <w:snapToGrid/>
                <w:sz w:val="20"/>
              </w:rPr>
              <w:instrText xml:space="preserve"> FORMCHECKBOX </w:instrText>
            </w:r>
            <w:r w:rsidR="00145C02">
              <w:rPr>
                <w:rFonts w:ascii="Arial Narrow" w:hAnsi="Arial Narrow" w:cs="Times New Roman"/>
                <w:snapToGrid/>
                <w:sz w:val="20"/>
              </w:rPr>
            </w:r>
            <w:r w:rsidR="00145C02">
              <w:rPr>
                <w:rFonts w:ascii="Arial Narrow" w:hAnsi="Arial Narrow" w:cs="Times New Roman"/>
                <w:snapToGrid/>
                <w:sz w:val="20"/>
              </w:rPr>
              <w:fldChar w:fldCharType="separate"/>
            </w:r>
            <w:r w:rsidRPr="009359C9">
              <w:rPr>
                <w:rFonts w:ascii="Arial Narrow" w:hAnsi="Arial Narrow" w:cs="Times New Roman"/>
                <w:snapToGrid/>
                <w:sz w:val="20"/>
              </w:rPr>
              <w:fldChar w:fldCharType="end"/>
            </w:r>
            <w:r w:rsidRPr="009359C9">
              <w:rPr>
                <w:rFonts w:ascii="Arial Narrow" w:hAnsi="Arial Narrow" w:cs="Times New Roman"/>
                <w:snapToGrid/>
                <w:sz w:val="20"/>
              </w:rPr>
              <w:t>Authority Required – Emergency</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fldChar w:fldCharType="begin">
                <w:ffData>
                  <w:name w:val="Check5"/>
                  <w:enabled/>
                  <w:calcOnExit w:val="0"/>
                  <w:checkBox>
                    <w:sizeAuto/>
                    <w:default w:val="0"/>
                  </w:checkBox>
                </w:ffData>
              </w:fldChar>
            </w:r>
            <w:r w:rsidRPr="009359C9">
              <w:rPr>
                <w:rFonts w:ascii="Arial Narrow" w:hAnsi="Arial Narrow" w:cs="Times New Roman"/>
                <w:snapToGrid/>
                <w:sz w:val="20"/>
              </w:rPr>
              <w:instrText xml:space="preserve"> FORMCHECKBOX </w:instrText>
            </w:r>
            <w:r w:rsidR="00145C02">
              <w:rPr>
                <w:rFonts w:ascii="Arial Narrow" w:hAnsi="Arial Narrow" w:cs="Times New Roman"/>
                <w:snapToGrid/>
                <w:sz w:val="20"/>
              </w:rPr>
            </w:r>
            <w:r w:rsidR="00145C02">
              <w:rPr>
                <w:rFonts w:ascii="Arial Narrow" w:hAnsi="Arial Narrow" w:cs="Times New Roman"/>
                <w:snapToGrid/>
                <w:sz w:val="20"/>
              </w:rPr>
              <w:fldChar w:fldCharType="separate"/>
            </w:r>
            <w:r w:rsidRPr="009359C9">
              <w:rPr>
                <w:rFonts w:ascii="Arial Narrow" w:hAnsi="Arial Narrow" w:cs="Times New Roman"/>
                <w:snapToGrid/>
                <w:sz w:val="20"/>
              </w:rPr>
              <w:fldChar w:fldCharType="end"/>
            </w:r>
            <w:r w:rsidRPr="009359C9">
              <w:rPr>
                <w:rFonts w:ascii="Arial Narrow" w:hAnsi="Arial Narrow" w:cs="Times New Roman"/>
                <w:snapToGrid/>
                <w:sz w:val="20"/>
              </w:rPr>
              <w:t>Authority Required - Electronic</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fldChar w:fldCharType="begin">
                <w:ffData>
                  <w:name w:val="Check5"/>
                  <w:enabled/>
                  <w:calcOnExit w:val="0"/>
                  <w:checkBox>
                    <w:sizeAuto/>
                    <w:default w:val="1"/>
                  </w:checkBox>
                </w:ffData>
              </w:fldChar>
            </w:r>
            <w:r w:rsidRPr="009359C9">
              <w:rPr>
                <w:rFonts w:ascii="Arial Narrow" w:hAnsi="Arial Narrow" w:cs="Times New Roman"/>
                <w:snapToGrid/>
                <w:sz w:val="20"/>
              </w:rPr>
              <w:instrText xml:space="preserve"> FORMCHECKBOX </w:instrText>
            </w:r>
            <w:r w:rsidR="00145C02">
              <w:rPr>
                <w:rFonts w:ascii="Arial Narrow" w:hAnsi="Arial Narrow" w:cs="Times New Roman"/>
                <w:snapToGrid/>
                <w:sz w:val="20"/>
              </w:rPr>
            </w:r>
            <w:r w:rsidR="00145C02">
              <w:rPr>
                <w:rFonts w:ascii="Arial Narrow" w:hAnsi="Arial Narrow" w:cs="Times New Roman"/>
                <w:snapToGrid/>
                <w:sz w:val="20"/>
              </w:rPr>
              <w:fldChar w:fldCharType="separate"/>
            </w:r>
            <w:r w:rsidRPr="009359C9">
              <w:rPr>
                <w:rFonts w:ascii="Arial Narrow" w:hAnsi="Arial Narrow" w:cs="Times New Roman"/>
                <w:snapToGrid/>
                <w:sz w:val="20"/>
              </w:rPr>
              <w:fldChar w:fldCharType="end"/>
            </w:r>
            <w:r w:rsidRPr="009359C9">
              <w:rPr>
                <w:rFonts w:ascii="Arial Narrow" w:hAnsi="Arial Narrow" w:cs="Times New Roman"/>
                <w:snapToGrid/>
                <w:sz w:val="20"/>
              </w:rPr>
              <w:t>Streamlined</w:t>
            </w:r>
          </w:p>
        </w:tc>
      </w:tr>
      <w:tr w:rsidR="009359C9" w:rsidRPr="009359C9" w:rsidTr="005D2DA9">
        <w:trPr>
          <w:cantSplit/>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i/>
                <w:snapToGrid/>
                <w:sz w:val="20"/>
              </w:rPr>
            </w:pPr>
            <w:r w:rsidRPr="009359C9">
              <w:rPr>
                <w:rFonts w:ascii="Arial Narrow" w:hAnsi="Arial Narrow" w:cs="Times New Roman"/>
                <w:b/>
                <w:snapToGrid/>
                <w:sz w:val="20"/>
              </w:rPr>
              <w:t>Clinical criteria:</w:t>
            </w:r>
            <w:r w:rsidRPr="009359C9">
              <w:rPr>
                <w:rFonts w:ascii="Arial Narrow" w:hAnsi="Arial Narrow" w:cs="Times New Roman"/>
                <w:snapToGrid/>
                <w:sz w:val="20"/>
              </w:rPr>
              <w:t xml:space="preserve"> </w:t>
            </w: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spacing w:before="20" w:after="20" w:line="276" w:lineRule="auto"/>
              <w:jc w:val="left"/>
              <w:rPr>
                <w:rFonts w:ascii="Arial Narrow" w:eastAsiaTheme="majorEastAsia" w:hAnsi="Arial Narrow"/>
                <w:snapToGrid/>
                <w:sz w:val="20"/>
                <w:szCs w:val="20"/>
                <w:lang w:bidi="en-US"/>
              </w:rPr>
            </w:pPr>
            <w:r w:rsidRPr="009359C9">
              <w:rPr>
                <w:rFonts w:ascii="Arial Narrow" w:eastAsiaTheme="majorEastAsia" w:hAnsi="Arial Narrow"/>
                <w:snapToGrid/>
                <w:sz w:val="20"/>
                <w:szCs w:val="20"/>
                <w:lang w:bidi="en-US"/>
              </w:rPr>
              <w:t>The patient must have received platinum</w:t>
            </w:r>
            <w:r w:rsidRPr="009359C9">
              <w:rPr>
                <w:rFonts w:ascii="Arial Narrow" w:eastAsiaTheme="majorEastAsia" w:hAnsi="Arial Narrow"/>
                <w:snapToGrid/>
                <w:sz w:val="20"/>
                <w:szCs w:val="20"/>
                <w:lang w:bidi="en-US"/>
              </w:rPr>
              <w:noBreakHyphen/>
              <w:t xml:space="preserve">based chemoradiation therapy </w:t>
            </w:r>
          </w:p>
          <w:p w:rsidR="009359C9" w:rsidRPr="009359C9" w:rsidRDefault="009359C9" w:rsidP="008404A4">
            <w:pPr>
              <w:widowControl/>
              <w:spacing w:before="20" w:after="20" w:line="276" w:lineRule="auto"/>
              <w:jc w:val="left"/>
              <w:rPr>
                <w:rFonts w:ascii="Arial Narrow" w:eastAsiaTheme="majorEastAsia" w:hAnsi="Arial Narrow"/>
                <w:snapToGrid/>
                <w:sz w:val="20"/>
                <w:szCs w:val="20"/>
                <w:lang w:bidi="en-US"/>
              </w:rPr>
            </w:pPr>
            <w:r w:rsidRPr="009359C9">
              <w:rPr>
                <w:rFonts w:ascii="Arial Narrow" w:eastAsiaTheme="majorEastAsia" w:hAnsi="Arial Narrow"/>
                <w:snapToGrid/>
                <w:sz w:val="20"/>
                <w:szCs w:val="20"/>
                <w:lang w:bidi="en-US"/>
              </w:rPr>
              <w:t xml:space="preserve">AND </w:t>
            </w:r>
          </w:p>
          <w:p w:rsidR="009359C9" w:rsidRPr="009359C9" w:rsidRDefault="009359C9" w:rsidP="008404A4">
            <w:pPr>
              <w:widowControl/>
              <w:jc w:val="left"/>
              <w:rPr>
                <w:rFonts w:ascii="Arial Narrow" w:eastAsiaTheme="majorEastAsia" w:hAnsi="Arial Narrow"/>
                <w:snapToGrid/>
                <w:sz w:val="20"/>
                <w:szCs w:val="20"/>
                <w:lang w:bidi="en-US"/>
              </w:rPr>
            </w:pPr>
            <w:r w:rsidRPr="009359C9">
              <w:rPr>
                <w:rFonts w:ascii="Arial Narrow" w:eastAsiaTheme="majorEastAsia" w:hAnsi="Arial Narrow"/>
                <w:snapToGrid/>
                <w:sz w:val="20"/>
                <w:szCs w:val="20"/>
                <w:lang w:bidi="en-US"/>
              </w:rPr>
              <w:t>The condition must not have progressed following platinum</w:t>
            </w:r>
            <w:r w:rsidRPr="009359C9">
              <w:rPr>
                <w:rFonts w:ascii="Arial Narrow" w:eastAsiaTheme="majorEastAsia" w:hAnsi="Arial Narrow"/>
                <w:snapToGrid/>
                <w:sz w:val="20"/>
                <w:szCs w:val="20"/>
                <w:lang w:bidi="en-US"/>
              </w:rPr>
              <w:noBreakHyphen/>
              <w:t xml:space="preserve">based chemoradiation therapy </w:t>
            </w:r>
          </w:p>
          <w:p w:rsidR="009359C9" w:rsidRPr="009359C9" w:rsidRDefault="009359C9" w:rsidP="008404A4">
            <w:pPr>
              <w:widowControl/>
              <w:jc w:val="left"/>
              <w:rPr>
                <w:rFonts w:ascii="Arial Narrow" w:eastAsiaTheme="majorEastAsia" w:hAnsi="Arial Narrow"/>
                <w:snapToGrid/>
                <w:sz w:val="20"/>
                <w:szCs w:val="20"/>
                <w:lang w:bidi="en-US"/>
              </w:rPr>
            </w:pPr>
            <w:r w:rsidRPr="009359C9">
              <w:rPr>
                <w:rFonts w:ascii="Arial Narrow" w:eastAsiaTheme="majorEastAsia" w:hAnsi="Arial Narrow"/>
                <w:snapToGrid/>
                <w:sz w:val="20"/>
                <w:szCs w:val="20"/>
                <w:lang w:bidi="en-US"/>
              </w:rPr>
              <w:t>AND</w:t>
            </w:r>
          </w:p>
          <w:p w:rsidR="009359C9" w:rsidRPr="009359C9" w:rsidRDefault="009359C9" w:rsidP="008404A4">
            <w:pPr>
              <w:widowControl/>
              <w:jc w:val="left"/>
              <w:rPr>
                <w:rFonts w:ascii="Arial Narrow" w:eastAsiaTheme="majorEastAsia" w:hAnsi="Arial Narrow"/>
                <w:snapToGrid/>
                <w:sz w:val="20"/>
                <w:szCs w:val="20"/>
                <w:lang w:bidi="en-US"/>
              </w:rPr>
            </w:pPr>
            <w:r w:rsidRPr="009359C9">
              <w:rPr>
                <w:rFonts w:ascii="Arial Narrow" w:eastAsiaTheme="majorEastAsia" w:hAnsi="Arial Narrow"/>
                <w:snapToGrid/>
                <w:sz w:val="20"/>
                <w:szCs w:val="20"/>
                <w:lang w:bidi="en-US"/>
              </w:rPr>
              <w:t>The patient must not have received prior PD</w:t>
            </w:r>
            <w:r w:rsidRPr="009359C9">
              <w:rPr>
                <w:rFonts w:ascii="Arial Narrow" w:eastAsiaTheme="majorEastAsia" w:hAnsi="Arial Narrow"/>
                <w:snapToGrid/>
                <w:sz w:val="20"/>
                <w:szCs w:val="20"/>
                <w:lang w:bidi="en-US"/>
              </w:rPr>
              <w:noBreakHyphen/>
              <w:t>1 or PD</w:t>
            </w:r>
            <w:r w:rsidRPr="009359C9">
              <w:rPr>
                <w:rFonts w:ascii="Arial Narrow" w:eastAsiaTheme="majorEastAsia" w:hAnsi="Arial Narrow"/>
                <w:snapToGrid/>
                <w:sz w:val="20"/>
                <w:szCs w:val="20"/>
                <w:lang w:bidi="en-US"/>
              </w:rPr>
              <w:noBreakHyphen/>
              <w:t xml:space="preserve">L1 inhibitor therapy for this condition </w:t>
            </w:r>
          </w:p>
          <w:p w:rsidR="009359C9" w:rsidRPr="009359C9" w:rsidRDefault="009359C9" w:rsidP="008404A4">
            <w:pPr>
              <w:widowControl/>
              <w:spacing w:before="20" w:after="20" w:line="276" w:lineRule="auto"/>
              <w:jc w:val="left"/>
              <w:rPr>
                <w:rFonts w:ascii="Arial Narrow" w:eastAsiaTheme="majorEastAsia" w:hAnsi="Arial Narrow"/>
                <w:snapToGrid/>
                <w:sz w:val="20"/>
                <w:szCs w:val="20"/>
                <w:lang w:bidi="en-US"/>
              </w:rPr>
            </w:pPr>
            <w:r w:rsidRPr="009359C9">
              <w:rPr>
                <w:rFonts w:ascii="Arial Narrow" w:eastAsiaTheme="majorEastAsia" w:hAnsi="Arial Narrow"/>
                <w:snapToGrid/>
                <w:sz w:val="20"/>
                <w:szCs w:val="20"/>
                <w:lang w:bidi="en-US"/>
              </w:rPr>
              <w:t xml:space="preserve">AND </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snapToGrid/>
                <w:sz w:val="20"/>
              </w:rPr>
              <w:t>The treatment must be the sole PBS</w:t>
            </w:r>
            <w:r w:rsidRPr="009359C9">
              <w:rPr>
                <w:rFonts w:ascii="Arial Narrow" w:hAnsi="Arial Narrow" w:cs="Times New Roman"/>
                <w:snapToGrid/>
                <w:sz w:val="20"/>
              </w:rPr>
              <w:noBreakHyphen/>
              <w:t>subsidised treatment for this condition</w:t>
            </w:r>
          </w:p>
          <w:p w:rsidR="009359C9" w:rsidRPr="009359C9" w:rsidRDefault="009359C9" w:rsidP="008404A4">
            <w:pPr>
              <w:widowControl/>
              <w:jc w:val="left"/>
              <w:rPr>
                <w:rFonts w:ascii="Arial Narrow" w:hAnsi="Arial Narrow" w:cs="Times New Roman"/>
                <w:strike/>
                <w:snapToGrid/>
                <w:sz w:val="20"/>
              </w:rPr>
            </w:pPr>
            <w:r w:rsidRPr="009359C9">
              <w:rPr>
                <w:rFonts w:ascii="Arial Narrow" w:hAnsi="Arial Narrow" w:cs="Times New Roman"/>
                <w:strike/>
                <w:snapToGrid/>
                <w:sz w:val="20"/>
              </w:rPr>
              <w:t>AND</w:t>
            </w:r>
          </w:p>
          <w:p w:rsidR="009359C9" w:rsidRPr="009359C9" w:rsidRDefault="009359C9" w:rsidP="008404A4">
            <w:pPr>
              <w:widowControl/>
              <w:spacing w:before="20" w:after="20" w:line="276" w:lineRule="auto"/>
              <w:jc w:val="left"/>
              <w:rPr>
                <w:rFonts w:ascii="Arial Narrow" w:eastAsiaTheme="majorEastAsia" w:hAnsi="Arial Narrow"/>
                <w:strike/>
                <w:snapToGrid/>
                <w:sz w:val="20"/>
                <w:szCs w:val="20"/>
                <w:lang w:bidi="en-US"/>
              </w:rPr>
            </w:pPr>
            <w:r w:rsidRPr="009359C9">
              <w:rPr>
                <w:rFonts w:ascii="Arial Narrow" w:eastAsiaTheme="majorEastAsia" w:hAnsi="Arial Narrow"/>
                <w:strike/>
                <w:snapToGrid/>
                <w:sz w:val="20"/>
                <w:szCs w:val="20"/>
                <w:lang w:bidi="en-US"/>
              </w:rPr>
              <w:t>The condition must be Stage III non–small cell lung cancer</w:t>
            </w:r>
          </w:p>
          <w:p w:rsidR="009359C9" w:rsidRPr="009359C9" w:rsidRDefault="009359C9" w:rsidP="008404A4">
            <w:pPr>
              <w:widowControl/>
              <w:spacing w:before="20" w:after="20" w:line="276" w:lineRule="auto"/>
              <w:jc w:val="left"/>
              <w:rPr>
                <w:rFonts w:ascii="Arial Narrow" w:eastAsiaTheme="majorEastAsia" w:hAnsi="Arial Narrow"/>
                <w:strike/>
                <w:snapToGrid/>
                <w:sz w:val="20"/>
                <w:szCs w:val="20"/>
                <w:lang w:bidi="en-US"/>
              </w:rPr>
            </w:pPr>
            <w:r w:rsidRPr="009359C9">
              <w:rPr>
                <w:rFonts w:ascii="Arial Narrow" w:eastAsiaTheme="majorEastAsia" w:hAnsi="Arial Narrow"/>
                <w:strike/>
                <w:snapToGrid/>
                <w:sz w:val="20"/>
                <w:szCs w:val="20"/>
                <w:lang w:bidi="en-US"/>
              </w:rPr>
              <w:t xml:space="preserve">AND </w:t>
            </w:r>
          </w:p>
          <w:p w:rsidR="009359C9" w:rsidRPr="009359C9" w:rsidRDefault="009359C9" w:rsidP="008404A4">
            <w:pPr>
              <w:widowControl/>
              <w:spacing w:before="20" w:after="20" w:line="276" w:lineRule="auto"/>
              <w:jc w:val="left"/>
              <w:rPr>
                <w:rFonts w:ascii="Arial Narrow" w:eastAsiaTheme="majorEastAsia" w:hAnsi="Arial Narrow"/>
                <w:snapToGrid/>
                <w:sz w:val="20"/>
                <w:szCs w:val="20"/>
                <w:lang w:bidi="en-US"/>
              </w:rPr>
            </w:pPr>
            <w:r w:rsidRPr="009359C9">
              <w:rPr>
                <w:rFonts w:ascii="Arial Narrow" w:eastAsiaTheme="majorEastAsia" w:hAnsi="Arial Narrow"/>
                <w:strike/>
                <w:snapToGrid/>
                <w:sz w:val="20"/>
                <w:szCs w:val="20"/>
                <w:lang w:bidi="en-US"/>
              </w:rPr>
              <w:t>The condition must be unresectable</w:t>
            </w:r>
          </w:p>
        </w:tc>
      </w:tr>
      <w:tr w:rsidR="009359C9" w:rsidRPr="009359C9" w:rsidTr="005D2DA9">
        <w:trPr>
          <w:cantSplit/>
        </w:trPr>
        <w:tc>
          <w:tcPr>
            <w:tcW w:w="187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b/>
                <w:snapToGrid/>
                <w:sz w:val="20"/>
              </w:rPr>
            </w:pPr>
            <w:r w:rsidRPr="009359C9">
              <w:rPr>
                <w:rFonts w:ascii="Arial Narrow" w:hAnsi="Arial Narrow" w:cs="Times New Roman"/>
                <w:b/>
                <w:snapToGrid/>
                <w:sz w:val="20"/>
              </w:rPr>
              <w:t>Administrative Advice:</w:t>
            </w:r>
          </w:p>
        </w:tc>
        <w:tc>
          <w:tcPr>
            <w:tcW w:w="3125" w:type="pct"/>
            <w:tcBorders>
              <w:top w:val="single" w:sz="4" w:space="0" w:color="auto"/>
              <w:left w:val="single" w:sz="4" w:space="0" w:color="auto"/>
              <w:bottom w:val="single" w:sz="4" w:space="0" w:color="auto"/>
              <w:right w:val="single" w:sz="4" w:space="0" w:color="auto"/>
            </w:tcBorders>
          </w:tcPr>
          <w:p w:rsidR="009359C9" w:rsidRPr="009359C9" w:rsidRDefault="009359C9" w:rsidP="008404A4">
            <w:pPr>
              <w:widowControl/>
              <w:jc w:val="left"/>
              <w:rPr>
                <w:rFonts w:ascii="Arial Narrow" w:hAnsi="Arial Narrow" w:cs="Times New Roman"/>
                <w:i/>
                <w:snapToGrid/>
                <w:sz w:val="20"/>
              </w:rPr>
            </w:pPr>
            <w:r w:rsidRPr="009359C9">
              <w:rPr>
                <w:rFonts w:ascii="Arial Narrow" w:hAnsi="Arial Narrow" w:cs="Times New Roman"/>
                <w:i/>
                <w:snapToGrid/>
                <w:sz w:val="20"/>
              </w:rPr>
              <w:t>No increase in the maximum number of repeats will be authorised.</w:t>
            </w:r>
          </w:p>
          <w:p w:rsidR="009359C9" w:rsidRPr="009359C9" w:rsidRDefault="009359C9" w:rsidP="008404A4">
            <w:pPr>
              <w:widowControl/>
              <w:jc w:val="left"/>
              <w:rPr>
                <w:rFonts w:ascii="Arial Narrow" w:hAnsi="Arial Narrow" w:cs="Times New Roman"/>
                <w:snapToGrid/>
                <w:sz w:val="20"/>
              </w:rPr>
            </w:pPr>
            <w:r w:rsidRPr="009359C9">
              <w:rPr>
                <w:rFonts w:ascii="Arial Narrow" w:hAnsi="Arial Narrow" w:cs="Times New Roman"/>
                <w:i/>
                <w:snapToGrid/>
                <w:sz w:val="20"/>
              </w:rPr>
              <w:t>Special pricing arrangement apply</w:t>
            </w:r>
          </w:p>
        </w:tc>
      </w:tr>
    </w:tbl>
    <w:p w:rsidR="006D0FBD" w:rsidRPr="009C2648" w:rsidRDefault="006D0FBD" w:rsidP="008404A4">
      <w:pPr>
        <w:widowControl/>
        <w:jc w:val="left"/>
        <w:rPr>
          <w:rFonts w:ascii="Arial Narrow" w:hAnsi="Arial Narrow"/>
          <w:sz w:val="18"/>
          <w:szCs w:val="20"/>
        </w:rPr>
      </w:pPr>
      <w:r w:rsidRPr="009C2648">
        <w:rPr>
          <w:rFonts w:ascii="Arial Narrow" w:hAnsi="Arial Narrow"/>
          <w:sz w:val="18"/>
          <w:szCs w:val="20"/>
        </w:rPr>
        <w:t>Source: Tables 1.4.2 -1.4.4, pp12-17</w:t>
      </w:r>
      <w:r w:rsidR="009359C9" w:rsidRPr="009C2648">
        <w:rPr>
          <w:rFonts w:ascii="Arial Narrow" w:hAnsi="Arial Narrow"/>
          <w:sz w:val="18"/>
          <w:szCs w:val="20"/>
        </w:rPr>
        <w:t>, with Sec additions</w:t>
      </w:r>
      <w:r w:rsidRPr="009C2648">
        <w:rPr>
          <w:rFonts w:ascii="Arial Narrow" w:hAnsi="Arial Narrow"/>
          <w:sz w:val="18"/>
          <w:szCs w:val="20"/>
        </w:rPr>
        <w:t>.</w:t>
      </w:r>
    </w:p>
    <w:p w:rsidR="006D0FBD" w:rsidRPr="00882085" w:rsidRDefault="006D0FBD" w:rsidP="008404A4">
      <w:pPr>
        <w:pStyle w:val="TableFooter"/>
        <w:widowControl/>
      </w:pPr>
    </w:p>
    <w:p w:rsidR="006D0FBD" w:rsidRDefault="006D0FBD" w:rsidP="008404A4">
      <w:pPr>
        <w:pStyle w:val="ListParagraph"/>
        <w:widowControl/>
        <w:numPr>
          <w:ilvl w:val="1"/>
          <w:numId w:val="2"/>
        </w:numPr>
      </w:pPr>
      <w:r>
        <w:t>The submission proposed a special pricing arrangement (SPA</w:t>
      </w:r>
      <w:r w:rsidR="00A91101">
        <w:t>)</w:t>
      </w:r>
      <w:r w:rsidR="005F7A14">
        <w:t>.</w:t>
      </w:r>
    </w:p>
    <w:p w:rsidR="002A3FD7" w:rsidRPr="009359C9" w:rsidRDefault="002A3FD7" w:rsidP="008404A4">
      <w:pPr>
        <w:pStyle w:val="ListParagraph"/>
        <w:widowControl/>
        <w:numPr>
          <w:ilvl w:val="1"/>
          <w:numId w:val="2"/>
        </w:numPr>
      </w:pPr>
      <w:r w:rsidRPr="009359C9">
        <w:t>The patients in the proposed population were broader than those enrolled in the PACIFIC trial where eligibility for the trial required patients to have (i) not progressed after at least two rounds of concurrent platinum-based chemoradiation therapy</w:t>
      </w:r>
      <w:r w:rsidR="009A0CCD" w:rsidRPr="009359C9">
        <w:t>;</w:t>
      </w:r>
      <w:r w:rsidRPr="009359C9">
        <w:t xml:space="preserve"> and (ii) a WHO performance status of 0 or 1.</w:t>
      </w:r>
    </w:p>
    <w:p w:rsidR="00A348A5" w:rsidRDefault="006B13F9" w:rsidP="00306D03">
      <w:pPr>
        <w:pStyle w:val="ListParagraph"/>
        <w:keepNext/>
        <w:widowControl/>
        <w:numPr>
          <w:ilvl w:val="1"/>
          <w:numId w:val="2"/>
        </w:numPr>
      </w:pPr>
      <w:r w:rsidRPr="00EC5947">
        <w:t xml:space="preserve">The ESC </w:t>
      </w:r>
      <w:r w:rsidR="005F7A14">
        <w:t>considered</w:t>
      </w:r>
      <w:r w:rsidRPr="00EC5947">
        <w:t xml:space="preserve"> that the restriction should specify that treatment should continue until disease progression</w:t>
      </w:r>
      <w:r w:rsidR="00840AA2">
        <w:t xml:space="preserve"> or</w:t>
      </w:r>
      <w:r w:rsidRPr="00EC5947">
        <w:t xml:space="preserve"> up to a maximum of 12 months</w:t>
      </w:r>
      <w:r w:rsidR="005F7A14">
        <w:t xml:space="preserve"> consistent with the </w:t>
      </w:r>
      <w:r w:rsidR="001F33D9">
        <w:t>pivotal</w:t>
      </w:r>
      <w:r w:rsidR="005F7A14">
        <w:t xml:space="preserve"> clinical trial</w:t>
      </w:r>
      <w:r w:rsidR="00570483" w:rsidRPr="00EC5947">
        <w:t xml:space="preserve">. </w:t>
      </w:r>
      <w:r w:rsidR="00A348A5">
        <w:t xml:space="preserve"> </w:t>
      </w:r>
      <w:r w:rsidR="00570483" w:rsidRPr="00EC5947">
        <w:t>The ESC further advised that the issue of sequential treatment with checkpoint inhibitors at different stages of NSCLC require</w:t>
      </w:r>
      <w:r w:rsidR="00840AA2">
        <w:t>d</w:t>
      </w:r>
      <w:r w:rsidR="00570483" w:rsidRPr="00EC5947">
        <w:t xml:space="preserve"> consideration by the </w:t>
      </w:r>
      <w:r w:rsidR="00AE2909" w:rsidRPr="00EC5947">
        <w:t>PBAC</w:t>
      </w:r>
      <w:r w:rsidR="005F7A14">
        <w:t>.</w:t>
      </w:r>
      <w:r w:rsidR="005F7A14" w:rsidDel="005F7A14">
        <w:t xml:space="preserve"> </w:t>
      </w:r>
    </w:p>
    <w:p w:rsidR="00EC5947" w:rsidRPr="002A3FD7" w:rsidRDefault="00EC5947" w:rsidP="008404A4">
      <w:pPr>
        <w:pStyle w:val="ListParagraph"/>
        <w:widowControl/>
      </w:pPr>
      <w:r w:rsidRPr="00673EB8">
        <w:rPr>
          <w:rStyle w:val="CommentReference"/>
          <w:rFonts w:ascii="Calibri" w:hAnsi="Calibri" w:cs="Calibri"/>
          <w:b w:val="0"/>
          <w:i/>
          <w:sz w:val="24"/>
          <w:szCs w:val="24"/>
        </w:rPr>
        <w:t>For more detail on PBAC’s view, see Section 7 PBAC outcome.</w:t>
      </w:r>
    </w:p>
    <w:p w:rsidR="00820188" w:rsidRPr="006A599D" w:rsidRDefault="006D0FBD" w:rsidP="008404A4">
      <w:pPr>
        <w:pStyle w:val="PBACHeading1"/>
        <w:spacing w:before="240" w:after="120"/>
      </w:pPr>
      <w:bookmarkStart w:id="8" w:name="_Toc524446340"/>
      <w:r w:rsidRPr="00407F2D">
        <w:lastRenderedPageBreak/>
        <w:t>Background</w:t>
      </w:r>
      <w:bookmarkEnd w:id="8"/>
    </w:p>
    <w:p w:rsidR="006D0FBD" w:rsidRPr="006A599D" w:rsidRDefault="006A599D" w:rsidP="008404A4">
      <w:pPr>
        <w:widowControl/>
        <w:spacing w:after="120"/>
        <w:rPr>
          <w:b/>
          <w:i/>
          <w:sz w:val="28"/>
          <w:szCs w:val="28"/>
        </w:rPr>
      </w:pPr>
      <w:r>
        <w:rPr>
          <w:b/>
          <w:i/>
          <w:sz w:val="28"/>
          <w:szCs w:val="28"/>
        </w:rPr>
        <w:t>Registration status</w:t>
      </w:r>
    </w:p>
    <w:p w:rsidR="006D0FBD" w:rsidRDefault="006D0FBD" w:rsidP="008404A4">
      <w:pPr>
        <w:pStyle w:val="ListParagraph"/>
        <w:widowControl/>
        <w:numPr>
          <w:ilvl w:val="1"/>
          <w:numId w:val="2"/>
        </w:numPr>
      </w:pPr>
      <w:r w:rsidRPr="00882085">
        <w:t>The submission was made under</w:t>
      </w:r>
      <w:r w:rsidR="006822A5">
        <w:t xml:space="preserve"> the</w:t>
      </w:r>
      <w:r w:rsidRPr="00882085">
        <w:t xml:space="preserve"> TGA/PBAC Parallel Proce</w:t>
      </w:r>
      <w:r w:rsidR="00256738">
        <w:t>ss. The TGA</w:t>
      </w:r>
      <w:r w:rsidR="00020688">
        <w:t xml:space="preserve"> </w:t>
      </w:r>
      <w:r w:rsidR="00256738">
        <w:t>d</w:t>
      </w:r>
      <w:r w:rsidR="00020688">
        <w:t xml:space="preserve">elegate’s </w:t>
      </w:r>
      <w:r w:rsidR="00256738">
        <w:t>Summary</w:t>
      </w:r>
      <w:r w:rsidR="00256738" w:rsidRPr="00882085">
        <w:t xml:space="preserve"> </w:t>
      </w:r>
      <w:r w:rsidR="00256738">
        <w:t>was finalised on 8 August 2018.  The TGA</w:t>
      </w:r>
      <w:r w:rsidR="00256738" w:rsidRPr="00882085">
        <w:t xml:space="preserve"> </w:t>
      </w:r>
      <w:r w:rsidR="00256738">
        <w:t>delegate n</w:t>
      </w:r>
      <w:r w:rsidR="00256738" w:rsidRPr="00020D40">
        <w:t>ote</w:t>
      </w:r>
      <w:r w:rsidR="00840AA2">
        <w:t>d</w:t>
      </w:r>
      <w:r w:rsidR="00256738" w:rsidRPr="00020D40">
        <w:t xml:space="preserve"> “Currently there are no approved consolidation therapies for patients with locally advanced, unresectable NSCLC after definitive cCRT</w:t>
      </w:r>
      <w:r w:rsidR="00C95417">
        <w:t xml:space="preserve"> [</w:t>
      </w:r>
      <w:r w:rsidR="00C95417" w:rsidRPr="00C95417">
        <w:t>concurrent chemoradiotherapy</w:t>
      </w:r>
      <w:r w:rsidR="00C95417">
        <w:t>]</w:t>
      </w:r>
      <w:r w:rsidR="00256738" w:rsidRPr="00020D40">
        <w:t>, and if progression occurs after cCRT, patients are no longer considered curable. Durvalumab in the proposed indication is more effective than placebo on both PFS and OS measures, and has a manageable safety profile similar to that of other PD-L1/PD-1 inhibitors.”</w:t>
      </w:r>
    </w:p>
    <w:p w:rsidR="00020D40" w:rsidRDefault="00020D40" w:rsidP="008404A4">
      <w:pPr>
        <w:pStyle w:val="ListParagraph"/>
        <w:widowControl/>
        <w:numPr>
          <w:ilvl w:val="1"/>
          <w:numId w:val="2"/>
        </w:numPr>
      </w:pPr>
      <w:r>
        <w:t>The Pre-PBAC response informed the PBAC that durvalumab had been approved by the TGA on 22 October 2018, for the following indication:</w:t>
      </w:r>
    </w:p>
    <w:p w:rsidR="00020D40" w:rsidRPr="009E0CFE" w:rsidRDefault="00020D40" w:rsidP="008404A4">
      <w:pPr>
        <w:pStyle w:val="ListParagraph"/>
        <w:widowControl/>
        <w:rPr>
          <w:i/>
        </w:rPr>
      </w:pPr>
      <w:r w:rsidRPr="009E0CFE">
        <w:rPr>
          <w:i/>
        </w:rPr>
        <w:t>IMFINZI (durvalumab) is indicated for the treatment of patients with locally advanced, unresectable NSCLC whose disease has not progressed following platinum-based chemoradiation therapy.</w:t>
      </w:r>
    </w:p>
    <w:p w:rsidR="006D0FBD" w:rsidRPr="00882085" w:rsidRDefault="006D0FBD" w:rsidP="008404A4">
      <w:pPr>
        <w:pStyle w:val="PBACHeading1"/>
        <w:spacing w:before="240" w:after="120"/>
      </w:pPr>
      <w:bookmarkStart w:id="9" w:name="_Toc524446341"/>
      <w:r>
        <w:t>Population and disease</w:t>
      </w:r>
      <w:bookmarkEnd w:id="9"/>
    </w:p>
    <w:p w:rsidR="006D0FBD" w:rsidRDefault="006D0FBD" w:rsidP="008404A4">
      <w:pPr>
        <w:pStyle w:val="ListParagraph"/>
        <w:widowControl/>
        <w:numPr>
          <w:ilvl w:val="1"/>
          <w:numId w:val="2"/>
        </w:numPr>
      </w:pPr>
      <w:r w:rsidRPr="006A1E87">
        <w:t xml:space="preserve">Lung cancer was estimated to be the leading cause of death from cancer in Australia in 2017, the fifth most commonly diagnosed cancer in Australia, and one of the most lethal cancer types (AIHW 2017). Non-small cell lung cancer (NSCLC) accounts for approximately 80% of lung cancer cases in Australia and is usually diagnosed at an advanced stage when it is no longer amenable to surgical resection (AIHW 2011; NCCN 2016). Around 20% of these cases </w:t>
      </w:r>
      <w:r w:rsidR="00C53C78">
        <w:t>are</w:t>
      </w:r>
      <w:r w:rsidR="00820188">
        <w:t xml:space="preserve"> </w:t>
      </w:r>
      <w:r w:rsidRPr="006A1E87">
        <w:t xml:space="preserve">Stage III disease, and while surgery remains a viable treatment option for patients, some tumours cannot be resected, and in these cases </w:t>
      </w:r>
      <w:r w:rsidR="00000329">
        <w:t>non-surgical treatments are</w:t>
      </w:r>
      <w:r w:rsidRPr="006A1E87">
        <w:t xml:space="preserve"> indicated.</w:t>
      </w:r>
    </w:p>
    <w:p w:rsidR="006D0FBD" w:rsidRDefault="006D0FBD" w:rsidP="008404A4">
      <w:pPr>
        <w:pStyle w:val="ListParagraph"/>
        <w:widowControl/>
        <w:numPr>
          <w:ilvl w:val="1"/>
          <w:numId w:val="2"/>
        </w:numPr>
      </w:pPr>
      <w:r>
        <w:t xml:space="preserve">The submission proposed durvalumab for use in unresectable </w:t>
      </w:r>
      <w:r w:rsidR="00877F31">
        <w:t>S</w:t>
      </w:r>
      <w:r>
        <w:t xml:space="preserve">tage III NSCLC as a </w:t>
      </w:r>
      <w:r w:rsidR="00000329">
        <w:t xml:space="preserve">consolidation </w:t>
      </w:r>
      <w:r>
        <w:t>therapy for patients who have not progressed after platinum-based chemoradiation treatment (CRT).</w:t>
      </w:r>
    </w:p>
    <w:p w:rsidR="006D0FBD" w:rsidRDefault="006D0FBD" w:rsidP="008404A4">
      <w:pPr>
        <w:pStyle w:val="ListParagraph"/>
        <w:widowControl/>
        <w:numPr>
          <w:ilvl w:val="1"/>
          <w:numId w:val="2"/>
        </w:numPr>
        <w:spacing w:after="0"/>
      </w:pPr>
      <w:r>
        <w:t xml:space="preserve">The submission noted that in the current management algorithm, if progression to </w:t>
      </w:r>
      <w:r w:rsidR="00877F31">
        <w:t>S</w:t>
      </w:r>
      <w:r>
        <w:t>tage IIIb/c or IV disease occurs after CRT, a patient’s treatment path is informed by the molecular phenotype of the tumour.</w:t>
      </w:r>
    </w:p>
    <w:p w:rsidR="006D0FBD" w:rsidRPr="00907B5C" w:rsidRDefault="006D0FBD" w:rsidP="008404A4">
      <w:pPr>
        <w:pStyle w:val="Bulletpoints"/>
        <w:widowControl/>
        <w:numPr>
          <w:ilvl w:val="1"/>
          <w:numId w:val="3"/>
        </w:numPr>
        <w:ind w:left="1134" w:hanging="425"/>
      </w:pPr>
      <w:r w:rsidRPr="00907B5C">
        <w:t xml:space="preserve">Those with wild type disease </w:t>
      </w:r>
      <w:r w:rsidR="0035709D">
        <w:rPr>
          <w:i/>
        </w:rPr>
        <w:t>(</w:t>
      </w:r>
      <w:r w:rsidR="0035709D" w:rsidRPr="00840AA2">
        <w:t>presumed to be EGFR or ALK wild type)</w:t>
      </w:r>
      <w:r w:rsidR="0035709D">
        <w:rPr>
          <w:i/>
        </w:rPr>
        <w:t xml:space="preserve"> </w:t>
      </w:r>
      <w:r w:rsidRPr="00907B5C">
        <w:t>will receive platinum-based chemotherapy followed by nivolumab or atezolizumab on progression</w:t>
      </w:r>
      <w:r w:rsidR="0035709D">
        <w:t>;</w:t>
      </w:r>
      <w:r w:rsidRPr="00907B5C">
        <w:t xml:space="preserve"> or </w:t>
      </w:r>
      <w:r w:rsidR="0035709D">
        <w:t>the recently recommended, but not yet PBS-listed</w:t>
      </w:r>
      <w:r w:rsidR="0035709D" w:rsidRPr="00907B5C">
        <w:t xml:space="preserve"> </w:t>
      </w:r>
      <w:r w:rsidR="0035709D">
        <w:t xml:space="preserve">use of </w:t>
      </w:r>
      <w:r w:rsidRPr="00907B5C">
        <w:t xml:space="preserve">pembrolizumab as a first-line treatment </w:t>
      </w:r>
      <w:r w:rsidR="00DF2378">
        <w:t xml:space="preserve">of Stage IV NSCLC </w:t>
      </w:r>
      <w:r w:rsidRPr="00907B5C">
        <w:t xml:space="preserve">if PD-L1 expression is ≥50%. </w:t>
      </w:r>
    </w:p>
    <w:p w:rsidR="006D0FBD" w:rsidRPr="00907B5C" w:rsidRDefault="006D0FBD" w:rsidP="008404A4">
      <w:pPr>
        <w:pStyle w:val="Bulletpoints"/>
        <w:widowControl/>
        <w:numPr>
          <w:ilvl w:val="1"/>
          <w:numId w:val="3"/>
        </w:numPr>
        <w:ind w:left="1134" w:hanging="425"/>
      </w:pPr>
      <w:r w:rsidRPr="00907B5C">
        <w:t>Those with mutations such as EGFR or ALK will receive an agent specific to the relevant mutation.</w:t>
      </w:r>
    </w:p>
    <w:p w:rsidR="006D0FBD" w:rsidRPr="00907B5C" w:rsidRDefault="006D0FBD" w:rsidP="008404A4">
      <w:pPr>
        <w:pStyle w:val="Bulletpoints"/>
        <w:widowControl/>
        <w:numPr>
          <w:ilvl w:val="1"/>
          <w:numId w:val="3"/>
        </w:numPr>
        <w:spacing w:after="160"/>
        <w:ind w:left="1134" w:hanging="425"/>
      </w:pPr>
      <w:r w:rsidRPr="00907B5C">
        <w:t>A proportion of patients may receive supportive palliative care with no active therapy, depending on their overall health, prognosis and personal choice.</w:t>
      </w:r>
    </w:p>
    <w:p w:rsidR="006D0FBD" w:rsidRPr="00EC5947" w:rsidRDefault="006D0FBD" w:rsidP="008404A4">
      <w:pPr>
        <w:pStyle w:val="ListParagraph"/>
        <w:widowControl/>
        <w:numPr>
          <w:ilvl w:val="1"/>
          <w:numId w:val="2"/>
        </w:numPr>
      </w:pPr>
      <w:r w:rsidRPr="00EC5947">
        <w:t xml:space="preserve">The submission also observed that in the proposed management algorithm, patients with Stage III NSCLC, whose wild-type disease progresses on or following durvalumab maintenance therapy are expected to receive platinum-based chemotherapy. The submission stated that the nivolumab and atezolizumab PBS restrictions exclude patients who have received prior treatment with </w:t>
      </w:r>
      <w:r w:rsidR="00E90701" w:rsidRPr="00EC5947">
        <w:t>a PD</w:t>
      </w:r>
      <w:r w:rsidRPr="00EC5947">
        <w:t>-</w:t>
      </w:r>
      <w:r w:rsidR="00B95642">
        <w:t>(</w:t>
      </w:r>
      <w:r w:rsidRPr="00EC5947">
        <w:t>L</w:t>
      </w:r>
      <w:r w:rsidR="00B95642">
        <w:t>)</w:t>
      </w:r>
      <w:r w:rsidRPr="00EC5947">
        <w:t xml:space="preserve">1 inhibitor, and thus durvalumab treated patients would not have access to </w:t>
      </w:r>
      <w:r w:rsidR="00E90701" w:rsidRPr="00EC5947">
        <w:t>subsequent PD</w:t>
      </w:r>
      <w:r w:rsidRPr="00EC5947">
        <w:t>-</w:t>
      </w:r>
      <w:r w:rsidR="00B95642">
        <w:t>(</w:t>
      </w:r>
      <w:r w:rsidRPr="00EC5947">
        <w:t>L</w:t>
      </w:r>
      <w:r w:rsidR="00B95642">
        <w:t>)</w:t>
      </w:r>
      <w:r w:rsidRPr="00EC5947">
        <w:t xml:space="preserve">1 inhibitors after progression. </w:t>
      </w:r>
    </w:p>
    <w:p w:rsidR="00EC5947" w:rsidRPr="00142999" w:rsidRDefault="00EC5947" w:rsidP="008404A4">
      <w:pPr>
        <w:pStyle w:val="ListParagraph"/>
        <w:widowControl/>
        <w:rPr>
          <w:i/>
        </w:rPr>
      </w:pPr>
      <w:r w:rsidRPr="00673EB8">
        <w:rPr>
          <w:rStyle w:val="CommentReference"/>
          <w:rFonts w:ascii="Calibri" w:hAnsi="Calibri" w:cs="Calibri"/>
          <w:b w:val="0"/>
          <w:i/>
          <w:sz w:val="24"/>
          <w:szCs w:val="24"/>
        </w:rPr>
        <w:t>For more detail on PBAC’s view, see Section 7 PBAC outcome.</w:t>
      </w:r>
    </w:p>
    <w:p w:rsidR="006D0FBD" w:rsidRPr="00882085" w:rsidRDefault="006D0FBD" w:rsidP="008404A4">
      <w:pPr>
        <w:pStyle w:val="PBACHeading1"/>
        <w:spacing w:before="240" w:after="120"/>
      </w:pPr>
      <w:bookmarkStart w:id="10" w:name="_Toc524446342"/>
      <w:r w:rsidRPr="00407F2D">
        <w:t>Comparator</w:t>
      </w:r>
      <w:bookmarkEnd w:id="10"/>
    </w:p>
    <w:p w:rsidR="003D0034" w:rsidRPr="0035709D" w:rsidRDefault="006D0FBD" w:rsidP="008404A4">
      <w:pPr>
        <w:pStyle w:val="ListParagraph"/>
        <w:widowControl/>
        <w:numPr>
          <w:ilvl w:val="1"/>
          <w:numId w:val="2"/>
        </w:numPr>
      </w:pPr>
      <w:r>
        <w:t>The submission nominated placebo, representing ‘watch-and-wait’ monitoring plus best supportive care as the main comparator, based on the absence of PBS</w:t>
      </w:r>
      <w:r w:rsidR="0084259F">
        <w:t>-</w:t>
      </w:r>
      <w:r>
        <w:t xml:space="preserve">listed maintenance therapies after chemoradiation treatment (CRT) in </w:t>
      </w:r>
      <w:r w:rsidR="0084259F">
        <w:t>S</w:t>
      </w:r>
      <w:r>
        <w:t xml:space="preserve">tage III NSCLC. </w:t>
      </w:r>
    </w:p>
    <w:p w:rsidR="009531E3" w:rsidRPr="00AE2909" w:rsidRDefault="009531E3" w:rsidP="008404A4">
      <w:pPr>
        <w:pStyle w:val="ListParagraph"/>
        <w:widowControl/>
      </w:pPr>
      <w:r w:rsidRPr="00673EB8">
        <w:rPr>
          <w:rStyle w:val="CommentReference"/>
          <w:rFonts w:ascii="Calibri" w:hAnsi="Calibri" w:cs="Calibri"/>
          <w:b w:val="0"/>
          <w:i/>
          <w:sz w:val="24"/>
          <w:szCs w:val="24"/>
        </w:rPr>
        <w:t>For more detail on PBAC’s view, see Section 7 PBAC outcome.</w:t>
      </w:r>
    </w:p>
    <w:p w:rsidR="006D0FBD" w:rsidRPr="005F7A14" w:rsidRDefault="006D0FBD" w:rsidP="008404A4">
      <w:pPr>
        <w:pStyle w:val="PBACHeading1"/>
        <w:spacing w:before="240" w:after="120"/>
      </w:pPr>
      <w:bookmarkStart w:id="11" w:name="_Toc524446343"/>
      <w:r w:rsidRPr="005F7A14">
        <w:t>Consideration of the evidence</w:t>
      </w:r>
      <w:bookmarkEnd w:id="11"/>
    </w:p>
    <w:p w:rsidR="00992CCB" w:rsidRPr="005F7A14" w:rsidRDefault="00992CCB" w:rsidP="008404A4">
      <w:pPr>
        <w:pStyle w:val="Heading2"/>
        <w:widowControl/>
      </w:pPr>
      <w:r w:rsidRPr="005F7A14">
        <w:t>Sponsor hearing</w:t>
      </w:r>
    </w:p>
    <w:p w:rsidR="00992CCB" w:rsidRPr="005F7A14" w:rsidRDefault="00992CCB" w:rsidP="008404A4">
      <w:pPr>
        <w:widowControl/>
        <w:numPr>
          <w:ilvl w:val="1"/>
          <w:numId w:val="2"/>
        </w:numPr>
        <w:spacing w:after="120"/>
        <w:rPr>
          <w:rFonts w:asciiTheme="minorHAnsi" w:hAnsiTheme="minorHAnsi"/>
          <w:bCs/>
        </w:rPr>
      </w:pPr>
      <w:r w:rsidRPr="005F7A14">
        <w:rPr>
          <w:rFonts w:asciiTheme="minorHAnsi" w:hAnsiTheme="minorHAnsi"/>
          <w:bCs/>
        </w:rPr>
        <w:t>There was no hearing for this item.</w:t>
      </w:r>
    </w:p>
    <w:p w:rsidR="00992CCB" w:rsidRPr="005F7A14" w:rsidRDefault="00992CCB" w:rsidP="008404A4">
      <w:pPr>
        <w:pStyle w:val="Heading2"/>
        <w:widowControl/>
      </w:pPr>
      <w:r w:rsidRPr="005F7A14">
        <w:t>Consumer comments</w:t>
      </w:r>
    </w:p>
    <w:p w:rsidR="005B71C7" w:rsidRDefault="00992CCB" w:rsidP="008404A4">
      <w:pPr>
        <w:widowControl/>
        <w:numPr>
          <w:ilvl w:val="1"/>
          <w:numId w:val="2"/>
        </w:numPr>
        <w:spacing w:after="120"/>
        <w:rPr>
          <w:rFonts w:asciiTheme="minorHAnsi" w:hAnsiTheme="minorHAnsi"/>
          <w:bCs/>
        </w:rPr>
      </w:pPr>
      <w:r w:rsidRPr="009E0CFE">
        <w:rPr>
          <w:rFonts w:asciiTheme="minorHAnsi" w:hAnsiTheme="minorHAnsi"/>
          <w:bCs/>
        </w:rPr>
        <w:t xml:space="preserve">The PBAC noted and welcomed the input from </w:t>
      </w:r>
      <w:r w:rsidR="00AF2F20" w:rsidRPr="009E0CFE">
        <w:rPr>
          <w:rFonts w:asciiTheme="minorHAnsi" w:hAnsiTheme="minorHAnsi"/>
          <w:bCs/>
        </w:rPr>
        <w:t xml:space="preserve">two </w:t>
      </w:r>
      <w:r w:rsidRPr="009E0CFE">
        <w:rPr>
          <w:rFonts w:asciiTheme="minorHAnsi" w:hAnsiTheme="minorHAnsi"/>
          <w:bCs/>
        </w:rPr>
        <w:t>individuals via the Consumer Comments facility on the PBS website</w:t>
      </w:r>
      <w:r w:rsidR="00035C87" w:rsidRPr="009E0CFE">
        <w:rPr>
          <w:rFonts w:asciiTheme="minorHAnsi" w:hAnsiTheme="minorHAnsi"/>
          <w:bCs/>
        </w:rPr>
        <w:t>.</w:t>
      </w:r>
    </w:p>
    <w:p w:rsidR="005B71C7" w:rsidRDefault="005B71C7" w:rsidP="008404A4">
      <w:pPr>
        <w:widowControl/>
        <w:jc w:val="left"/>
        <w:rPr>
          <w:rFonts w:asciiTheme="minorHAnsi" w:hAnsiTheme="minorHAnsi"/>
          <w:bCs/>
        </w:rPr>
      </w:pPr>
      <w:r>
        <w:rPr>
          <w:rFonts w:asciiTheme="minorHAnsi" w:hAnsiTheme="minorHAnsi"/>
          <w:bCs/>
        </w:rPr>
        <w:br w:type="page"/>
      </w:r>
    </w:p>
    <w:p w:rsidR="00992CCB" w:rsidRPr="009E0CFE" w:rsidRDefault="00992CCB" w:rsidP="008404A4">
      <w:pPr>
        <w:widowControl/>
        <w:numPr>
          <w:ilvl w:val="1"/>
          <w:numId w:val="2"/>
        </w:numPr>
        <w:spacing w:after="120"/>
        <w:rPr>
          <w:rFonts w:asciiTheme="minorHAnsi" w:hAnsiTheme="minorHAnsi"/>
          <w:bCs/>
        </w:rPr>
      </w:pPr>
      <w:r w:rsidRPr="009E0CFE">
        <w:rPr>
          <w:rFonts w:asciiTheme="minorHAnsi" w:hAnsiTheme="minorHAnsi"/>
          <w:bCs/>
        </w:rPr>
        <w:t xml:space="preserve">The Medical Oncology Group of Australia (MOGA) also expressed its </w:t>
      </w:r>
      <w:r w:rsidR="00C6288B" w:rsidRPr="009E0CFE">
        <w:rPr>
          <w:rFonts w:asciiTheme="minorHAnsi" w:hAnsiTheme="minorHAnsi"/>
          <w:bCs/>
        </w:rPr>
        <w:t xml:space="preserve">strong </w:t>
      </w:r>
      <w:r w:rsidRPr="009E0CFE">
        <w:rPr>
          <w:rFonts w:asciiTheme="minorHAnsi" w:hAnsiTheme="minorHAnsi"/>
          <w:bCs/>
        </w:rPr>
        <w:t xml:space="preserve">support for the </w:t>
      </w:r>
      <w:r w:rsidR="00E25550" w:rsidRPr="009E0CFE">
        <w:rPr>
          <w:rFonts w:asciiTheme="minorHAnsi" w:hAnsiTheme="minorHAnsi"/>
          <w:bCs/>
        </w:rPr>
        <w:t>d</w:t>
      </w:r>
      <w:r w:rsidR="00035C87" w:rsidRPr="009E0CFE">
        <w:rPr>
          <w:rFonts w:asciiTheme="minorHAnsi" w:hAnsiTheme="minorHAnsi"/>
          <w:bCs/>
        </w:rPr>
        <w:t>urvalumab</w:t>
      </w:r>
      <w:r w:rsidRPr="009E0CFE">
        <w:rPr>
          <w:rFonts w:asciiTheme="minorHAnsi" w:hAnsiTheme="minorHAnsi"/>
          <w:bCs/>
        </w:rPr>
        <w:t xml:space="preserve"> submission</w:t>
      </w:r>
      <w:r w:rsidR="00035C87" w:rsidRPr="009E0CFE">
        <w:rPr>
          <w:rFonts w:asciiTheme="minorHAnsi" w:hAnsiTheme="minorHAnsi"/>
          <w:bCs/>
        </w:rPr>
        <w:t xml:space="preserve"> for the treatment of Stage III NSCLC following chemoradiation</w:t>
      </w:r>
      <w:r w:rsidRPr="009E0CFE">
        <w:rPr>
          <w:rFonts w:asciiTheme="minorHAnsi" w:hAnsiTheme="minorHAnsi"/>
          <w:bCs/>
        </w:rPr>
        <w:t xml:space="preserve"> on the basis of </w:t>
      </w:r>
      <w:r w:rsidR="00035C87" w:rsidRPr="009E0CFE">
        <w:rPr>
          <w:rFonts w:asciiTheme="minorHAnsi" w:hAnsiTheme="minorHAnsi"/>
          <w:bCs/>
        </w:rPr>
        <w:t xml:space="preserve">comparative benefit observed in the PACIFIC study. </w:t>
      </w:r>
      <w:r w:rsidRPr="009E0CFE">
        <w:rPr>
          <w:rFonts w:asciiTheme="minorHAnsi" w:hAnsiTheme="minorHAnsi"/>
          <w:bCs/>
        </w:rPr>
        <w:t xml:space="preserve">The PBAC noted that the MOGA presented the European Society for Medical Oncology Magnitude of Clinical Benefit Scale (ESMO-MCBS) for </w:t>
      </w:r>
      <w:r w:rsidR="00E25550" w:rsidRPr="009E0CFE">
        <w:rPr>
          <w:rFonts w:asciiTheme="minorHAnsi" w:hAnsiTheme="minorHAnsi"/>
          <w:bCs/>
        </w:rPr>
        <w:t>d</w:t>
      </w:r>
      <w:r w:rsidR="00035C87" w:rsidRPr="009E0CFE">
        <w:rPr>
          <w:rFonts w:asciiTheme="minorHAnsi" w:hAnsiTheme="minorHAnsi"/>
          <w:bCs/>
        </w:rPr>
        <w:t>urvalumab</w:t>
      </w:r>
      <w:r w:rsidRPr="009E0CFE">
        <w:rPr>
          <w:rFonts w:asciiTheme="minorHAnsi" w:hAnsiTheme="minorHAnsi"/>
          <w:bCs/>
        </w:rPr>
        <w:t xml:space="preserve">, which was limited to </w:t>
      </w:r>
      <w:r w:rsidR="00035C87" w:rsidRPr="009E0CFE">
        <w:rPr>
          <w:rFonts w:asciiTheme="minorHAnsi" w:hAnsiTheme="minorHAnsi"/>
          <w:bCs/>
        </w:rPr>
        <w:t>3</w:t>
      </w:r>
      <w:r w:rsidRPr="009E0CFE">
        <w:rPr>
          <w:rFonts w:asciiTheme="minorHAnsi" w:hAnsiTheme="minorHAnsi"/>
          <w:bCs/>
        </w:rPr>
        <w:t xml:space="preserve"> (out of a maximum of 5, where 5 and 4 represent the grades with substantial improvement)</w:t>
      </w:r>
      <w:r w:rsidRPr="009E0CFE">
        <w:rPr>
          <w:rFonts w:asciiTheme="minorHAnsi" w:hAnsiTheme="minorHAnsi"/>
          <w:bCs/>
          <w:vertAlign w:val="superscript"/>
        </w:rPr>
        <w:t>[1]</w:t>
      </w:r>
      <w:r w:rsidRPr="009E0CFE">
        <w:rPr>
          <w:rFonts w:asciiTheme="minorHAnsi" w:hAnsiTheme="minorHAnsi"/>
          <w:bCs/>
        </w:rPr>
        <w:t xml:space="preserve">, based on a comparison with </w:t>
      </w:r>
      <w:r w:rsidR="00A21A5C" w:rsidRPr="009E0CFE">
        <w:rPr>
          <w:rFonts w:asciiTheme="minorHAnsi" w:hAnsiTheme="minorHAnsi"/>
          <w:bCs/>
        </w:rPr>
        <w:t>placebo</w:t>
      </w:r>
      <w:r w:rsidRPr="009E0CFE">
        <w:rPr>
          <w:rFonts w:asciiTheme="minorHAnsi" w:hAnsiTheme="minorHAnsi"/>
          <w:bCs/>
        </w:rPr>
        <w:t>.</w:t>
      </w:r>
      <w:r w:rsidR="00A21A5C" w:rsidRPr="009E0CFE">
        <w:rPr>
          <w:rStyle w:val="FootnoteReference"/>
          <w:rFonts w:asciiTheme="minorHAnsi" w:hAnsiTheme="minorHAnsi"/>
          <w:bCs/>
        </w:rPr>
        <w:footnoteReference w:id="1"/>
      </w:r>
      <w:r w:rsidR="00A21A5C" w:rsidRPr="009E0CFE">
        <w:rPr>
          <w:rFonts w:asciiTheme="minorHAnsi" w:hAnsiTheme="minorHAnsi"/>
          <w:bCs/>
        </w:rPr>
        <w:t xml:space="preserve"> The ESMO-MCBS did not account for benefits in overall survival due to the immaturity of the survival data in the PACIFIC study.</w:t>
      </w:r>
    </w:p>
    <w:p w:rsidR="006D0FBD" w:rsidRPr="00882085" w:rsidRDefault="006D0FBD" w:rsidP="008404A4">
      <w:pPr>
        <w:pStyle w:val="Heading2"/>
        <w:widowControl/>
      </w:pPr>
      <w:bookmarkStart w:id="12" w:name="_Toc524446344"/>
      <w:r w:rsidRPr="00C9624D">
        <w:t>Clinical trials</w:t>
      </w:r>
      <w:bookmarkEnd w:id="12"/>
    </w:p>
    <w:p w:rsidR="006D0FBD" w:rsidRPr="00862502" w:rsidRDefault="006D0FBD" w:rsidP="008404A4">
      <w:pPr>
        <w:pStyle w:val="ListParagraph"/>
        <w:widowControl/>
        <w:numPr>
          <w:ilvl w:val="1"/>
          <w:numId w:val="2"/>
        </w:numPr>
      </w:pPr>
      <w:r>
        <w:rPr>
          <w:rFonts w:cs="Calibri"/>
          <w:snapToGrid/>
          <w:szCs w:val="24"/>
          <w:lang w:val="en-US" w:eastAsia="en-AU"/>
        </w:rPr>
        <w:t>The</w:t>
      </w:r>
      <w:r w:rsidR="00277A82">
        <w:rPr>
          <w:rFonts w:cs="Calibri"/>
          <w:snapToGrid/>
          <w:szCs w:val="24"/>
          <w:lang w:val="en-US" w:eastAsia="en-AU"/>
        </w:rPr>
        <w:t xml:space="preserve"> submission </w:t>
      </w:r>
      <w:r w:rsidR="00A91101">
        <w:rPr>
          <w:rFonts w:cs="Calibri"/>
          <w:snapToGrid/>
          <w:szCs w:val="24"/>
          <w:lang w:val="en-US" w:eastAsia="en-AU"/>
        </w:rPr>
        <w:t>wa</w:t>
      </w:r>
      <w:r w:rsidR="00277A82">
        <w:rPr>
          <w:rFonts w:cs="Calibri"/>
          <w:snapToGrid/>
          <w:szCs w:val="24"/>
          <w:lang w:val="en-US" w:eastAsia="en-AU"/>
        </w:rPr>
        <w:t xml:space="preserve">s based on </w:t>
      </w:r>
      <w:r w:rsidR="00F27C7E">
        <w:rPr>
          <w:rFonts w:cs="Calibri"/>
          <w:snapToGrid/>
          <w:szCs w:val="24"/>
          <w:lang w:val="en-US" w:eastAsia="en-AU"/>
        </w:rPr>
        <w:t xml:space="preserve">one </w:t>
      </w:r>
      <w:r w:rsidR="00277A82">
        <w:rPr>
          <w:rFonts w:cs="Calibri"/>
          <w:snapToGrid/>
          <w:szCs w:val="24"/>
          <w:lang w:val="en-US" w:eastAsia="en-AU"/>
        </w:rPr>
        <w:t>randomis</w:t>
      </w:r>
      <w:r>
        <w:rPr>
          <w:rFonts w:cs="Calibri"/>
          <w:snapToGrid/>
          <w:szCs w:val="24"/>
          <w:lang w:val="en-US" w:eastAsia="en-AU"/>
        </w:rPr>
        <w:t xml:space="preserve">ed </w:t>
      </w:r>
      <w:r w:rsidR="00B95642">
        <w:rPr>
          <w:rFonts w:cs="Calibri"/>
          <w:snapToGrid/>
          <w:szCs w:val="24"/>
          <w:lang w:val="en-US" w:eastAsia="en-AU"/>
        </w:rPr>
        <w:t xml:space="preserve">placebo </w:t>
      </w:r>
      <w:r>
        <w:rPr>
          <w:rFonts w:cs="Calibri"/>
          <w:snapToGrid/>
          <w:szCs w:val="24"/>
          <w:lang w:val="en-US" w:eastAsia="en-AU"/>
        </w:rPr>
        <w:t>control</w:t>
      </w:r>
      <w:r w:rsidR="00B95642">
        <w:rPr>
          <w:rFonts w:cs="Calibri"/>
          <w:snapToGrid/>
          <w:szCs w:val="24"/>
          <w:lang w:val="en-US" w:eastAsia="en-AU"/>
        </w:rPr>
        <w:t>led</w:t>
      </w:r>
      <w:r>
        <w:rPr>
          <w:rFonts w:cs="Calibri"/>
          <w:snapToGrid/>
          <w:szCs w:val="24"/>
          <w:lang w:val="en-US" w:eastAsia="en-AU"/>
        </w:rPr>
        <w:t xml:space="preserve"> trial comparing durvalumab to placebo (PACIFIC; n=713)</w:t>
      </w:r>
      <w:r w:rsidR="00AD5F06">
        <w:rPr>
          <w:rFonts w:cs="Calibri"/>
          <w:snapToGrid/>
          <w:szCs w:val="24"/>
          <w:lang w:val="en-US" w:eastAsia="en-AU"/>
        </w:rPr>
        <w:t>.</w:t>
      </w:r>
      <w:r w:rsidRPr="00B50DB8">
        <w:rPr>
          <w:color w:val="3366FF"/>
        </w:rPr>
        <w:t xml:space="preserve"> </w:t>
      </w:r>
    </w:p>
    <w:p w:rsidR="006D0FBD" w:rsidRPr="00B50DB8" w:rsidRDefault="006D0FBD" w:rsidP="008404A4">
      <w:pPr>
        <w:pStyle w:val="ListParagraph"/>
        <w:widowControl/>
        <w:numPr>
          <w:ilvl w:val="1"/>
          <w:numId w:val="2"/>
        </w:numPr>
      </w:pPr>
      <w:r>
        <w:rPr>
          <w:rFonts w:cs="Calibri"/>
          <w:snapToGrid/>
          <w:szCs w:val="24"/>
          <w:lang w:val="en-US" w:eastAsia="en-AU"/>
        </w:rPr>
        <w:t xml:space="preserve">Details of the trial presented in the submission are provided </w:t>
      </w:r>
      <w:r w:rsidRPr="00277A82">
        <w:t xml:space="preserve">in </w:t>
      </w:r>
      <w:r w:rsidR="00FA3901" w:rsidRPr="00FA3901">
        <w:t xml:space="preserve">Table </w:t>
      </w:r>
      <w:r w:rsidR="00FA3901">
        <w:t>2</w:t>
      </w:r>
      <w:r w:rsidRPr="00277A82">
        <w:t>.</w:t>
      </w:r>
      <w:r>
        <w:rPr>
          <w:rFonts w:cs="Calibri"/>
          <w:snapToGrid/>
          <w:szCs w:val="24"/>
          <w:lang w:val="en-US" w:eastAsia="en-AU"/>
        </w:rPr>
        <w:t xml:space="preserve">  </w:t>
      </w:r>
    </w:p>
    <w:p w:rsidR="006D0FBD" w:rsidRPr="00500D65" w:rsidRDefault="006D0FBD" w:rsidP="008404A4">
      <w:pPr>
        <w:pStyle w:val="TableHeading0"/>
        <w:spacing w:line="240" w:lineRule="auto"/>
        <w:rPr>
          <w:rStyle w:val="CommentReference"/>
          <w:b/>
          <w:szCs w:val="20"/>
        </w:rPr>
      </w:pPr>
      <w:bookmarkStart w:id="13" w:name="_Ref521875604"/>
      <w:r w:rsidRPr="00500D65">
        <w:rPr>
          <w:rStyle w:val="CommentReference"/>
          <w:b/>
          <w:szCs w:val="20"/>
        </w:rPr>
        <w:t xml:space="preserve">Table </w:t>
      </w:r>
      <w:r w:rsidR="00FA3901">
        <w:rPr>
          <w:noProof/>
        </w:rPr>
        <w:t>2</w:t>
      </w:r>
      <w:bookmarkEnd w:id="13"/>
      <w:r w:rsidR="00277A82" w:rsidRPr="00500D65">
        <w:rPr>
          <w:rStyle w:val="CommentReference"/>
          <w:b/>
          <w:szCs w:val="20"/>
        </w:rPr>
        <w:t xml:space="preserve">: </w:t>
      </w:r>
      <w:r w:rsidRPr="00500D65">
        <w:rPr>
          <w:rStyle w:val="CommentReference"/>
          <w:b/>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32"/>
        <w:gridCol w:w="5473"/>
        <w:gridCol w:w="2378"/>
      </w:tblGrid>
      <w:tr w:rsidR="006D0FBD" w:rsidRPr="00B41614" w:rsidTr="006F3DC5">
        <w:trPr>
          <w:tblHeader/>
        </w:trPr>
        <w:tc>
          <w:tcPr>
            <w:tcW w:w="560" w:type="pct"/>
            <w:vAlign w:val="center"/>
          </w:tcPr>
          <w:p w:rsidR="006D0FBD" w:rsidRPr="00B41614" w:rsidRDefault="006D0FBD" w:rsidP="008404A4">
            <w:pPr>
              <w:pStyle w:val="Tabletext"/>
              <w:keepNext/>
              <w:keepLines/>
              <w:spacing w:after="40"/>
              <w:rPr>
                <w:b/>
              </w:rPr>
            </w:pPr>
            <w:r w:rsidRPr="00B41614">
              <w:rPr>
                <w:b/>
              </w:rPr>
              <w:t>Trial ID</w:t>
            </w:r>
          </w:p>
        </w:tc>
        <w:tc>
          <w:tcPr>
            <w:tcW w:w="3072" w:type="pct"/>
            <w:vAlign w:val="center"/>
          </w:tcPr>
          <w:p w:rsidR="006D0FBD" w:rsidRPr="00B41614" w:rsidRDefault="006D0FBD" w:rsidP="008404A4">
            <w:pPr>
              <w:pStyle w:val="Tabletext"/>
              <w:keepNext/>
              <w:keepLines/>
              <w:spacing w:after="40"/>
              <w:jc w:val="center"/>
              <w:rPr>
                <w:b/>
              </w:rPr>
            </w:pPr>
            <w:r w:rsidRPr="00B41614">
              <w:rPr>
                <w:b/>
              </w:rPr>
              <w:t>Protocol title/ Publication title</w:t>
            </w:r>
          </w:p>
        </w:tc>
        <w:tc>
          <w:tcPr>
            <w:tcW w:w="1368" w:type="pct"/>
            <w:vAlign w:val="center"/>
          </w:tcPr>
          <w:p w:rsidR="006D0FBD" w:rsidRPr="00B41614" w:rsidRDefault="006D0FBD" w:rsidP="008404A4">
            <w:pPr>
              <w:pStyle w:val="Tabletext"/>
              <w:keepNext/>
              <w:keepLines/>
              <w:spacing w:after="40"/>
              <w:jc w:val="center"/>
              <w:rPr>
                <w:b/>
              </w:rPr>
            </w:pPr>
            <w:r w:rsidRPr="00B41614">
              <w:rPr>
                <w:b/>
              </w:rPr>
              <w:t>Publication citation</w:t>
            </w:r>
          </w:p>
        </w:tc>
      </w:tr>
      <w:tr w:rsidR="006D0FBD" w:rsidRPr="00CB38A8" w:rsidTr="00277A82">
        <w:tc>
          <w:tcPr>
            <w:tcW w:w="560" w:type="pct"/>
            <w:tcBorders>
              <w:top w:val="nil"/>
              <w:bottom w:val="nil"/>
            </w:tcBorders>
            <w:vAlign w:val="center"/>
          </w:tcPr>
          <w:p w:rsidR="006D0FBD" w:rsidRPr="00CB38A8" w:rsidRDefault="006D0FBD" w:rsidP="008404A4">
            <w:pPr>
              <w:pStyle w:val="Tabletext"/>
              <w:keepNext/>
              <w:keepLines/>
              <w:spacing w:after="40"/>
            </w:pPr>
            <w:r>
              <w:t>PACIFIC</w:t>
            </w:r>
            <w:r w:rsidR="00355A77" w:rsidRPr="00355A77">
              <w:t xml:space="preserve"> </w:t>
            </w:r>
            <w:r w:rsidR="00355A77">
              <w:t>(</w:t>
            </w:r>
            <w:r w:rsidR="00355A77" w:rsidRPr="00355A77">
              <w:t>NCT02125461</w:t>
            </w:r>
            <w:r w:rsidR="00355A77">
              <w:t>)</w:t>
            </w:r>
          </w:p>
        </w:tc>
        <w:tc>
          <w:tcPr>
            <w:tcW w:w="3072" w:type="pct"/>
            <w:tcBorders>
              <w:top w:val="nil"/>
              <w:bottom w:val="nil"/>
            </w:tcBorders>
          </w:tcPr>
          <w:p w:rsidR="006D0FBD" w:rsidRPr="00E34A35" w:rsidRDefault="006D0FBD" w:rsidP="008404A4">
            <w:pPr>
              <w:pStyle w:val="Tabletext"/>
              <w:keepNext/>
              <w:keepLines/>
              <w:spacing w:after="40"/>
              <w:rPr>
                <w:szCs w:val="18"/>
                <w:lang w:eastAsia="en-AU"/>
              </w:rPr>
            </w:pPr>
            <w:r w:rsidRPr="0062188C">
              <w:rPr>
                <w:szCs w:val="18"/>
                <w:lang w:eastAsia="en-AU"/>
              </w:rPr>
              <w:t xml:space="preserve">Clinical Study Protocol. A Phase III, Randomised, Double blind, Placebo controlled, Multi centre, International Study of MEDI4736 as Sequential Therapy in Patients with Locally Advanced, Unresectable Non Small Cell Lung Cancer (Stage III) Who Have Not Progressed Following Definitive, Platinum based, Concurrent Chemoradiation Therapy (PACIFIC). </w:t>
            </w:r>
          </w:p>
        </w:tc>
        <w:tc>
          <w:tcPr>
            <w:tcW w:w="1368" w:type="pct"/>
            <w:tcBorders>
              <w:top w:val="nil"/>
              <w:bottom w:val="nil"/>
            </w:tcBorders>
          </w:tcPr>
          <w:p w:rsidR="006D0FBD" w:rsidRPr="00E34A35" w:rsidRDefault="006D0FBD" w:rsidP="008404A4">
            <w:pPr>
              <w:pStyle w:val="Tabletext"/>
              <w:keepNext/>
              <w:keepLines/>
              <w:spacing w:after="40"/>
              <w:rPr>
                <w:szCs w:val="18"/>
                <w:lang w:eastAsia="en-AU"/>
              </w:rPr>
            </w:pPr>
            <w:r w:rsidRPr="0062188C">
              <w:rPr>
                <w:szCs w:val="18"/>
                <w:lang w:eastAsia="en-AU"/>
              </w:rPr>
              <w:t>24 February 2016.</w:t>
            </w:r>
          </w:p>
        </w:tc>
      </w:tr>
      <w:tr w:rsidR="006D0FBD" w:rsidRPr="00CB38A8" w:rsidTr="00277A82">
        <w:tc>
          <w:tcPr>
            <w:tcW w:w="560" w:type="pct"/>
            <w:tcBorders>
              <w:top w:val="nil"/>
              <w:bottom w:val="nil"/>
            </w:tcBorders>
            <w:vAlign w:val="center"/>
          </w:tcPr>
          <w:p w:rsidR="006D0FBD" w:rsidRPr="00CB38A8" w:rsidRDefault="006D0FBD" w:rsidP="008404A4">
            <w:pPr>
              <w:pStyle w:val="Tabletext"/>
              <w:keepNext/>
              <w:keepLines/>
              <w:spacing w:after="40"/>
            </w:pPr>
          </w:p>
        </w:tc>
        <w:tc>
          <w:tcPr>
            <w:tcW w:w="3072" w:type="pct"/>
            <w:tcBorders>
              <w:top w:val="nil"/>
              <w:bottom w:val="nil"/>
            </w:tcBorders>
          </w:tcPr>
          <w:p w:rsidR="006D0FBD" w:rsidRPr="00AB6248" w:rsidRDefault="006D0FBD" w:rsidP="008404A4">
            <w:pPr>
              <w:pStyle w:val="Tabletext"/>
              <w:keepNext/>
              <w:keepLines/>
              <w:spacing w:after="40"/>
              <w:rPr>
                <w:szCs w:val="18"/>
                <w:lang w:val="en-US" w:eastAsia="en-AU"/>
              </w:rPr>
            </w:pPr>
            <w:r w:rsidRPr="0062188C">
              <w:rPr>
                <w:szCs w:val="18"/>
                <w:lang w:val="en-US" w:eastAsia="en-AU"/>
              </w:rPr>
              <w:t xml:space="preserve">Clinical Study Report. A Phase III, Randomized, Double blind, Placebo controlled, Multi center, International Study of MEDI4736 as Sequential Therapy in Patients with Locally Advanced, Unresectable Non Small Cell Lung Cancer (Stage III) Who Have Not Progressed Following Definitive, Platinum based, Concurrent Chemoradiation Therapy (PACIFIC). </w:t>
            </w:r>
          </w:p>
        </w:tc>
        <w:tc>
          <w:tcPr>
            <w:tcW w:w="1368" w:type="pct"/>
            <w:tcBorders>
              <w:top w:val="nil"/>
              <w:bottom w:val="nil"/>
            </w:tcBorders>
          </w:tcPr>
          <w:p w:rsidR="006D0FBD" w:rsidRPr="00AB6248" w:rsidRDefault="006D0FBD" w:rsidP="008404A4">
            <w:pPr>
              <w:pStyle w:val="Tabletext"/>
              <w:keepNext/>
              <w:keepLines/>
              <w:spacing w:after="40"/>
              <w:rPr>
                <w:i/>
                <w:szCs w:val="18"/>
                <w:lang w:val="en-US" w:eastAsia="en-AU"/>
              </w:rPr>
            </w:pPr>
            <w:r w:rsidRPr="0062188C">
              <w:rPr>
                <w:szCs w:val="18"/>
                <w:lang w:val="en-US" w:eastAsia="en-AU"/>
              </w:rPr>
              <w:t>21 July 2017.</w:t>
            </w:r>
          </w:p>
        </w:tc>
      </w:tr>
      <w:tr w:rsidR="006D0FBD" w:rsidRPr="00CB38A8" w:rsidTr="00277A82">
        <w:tc>
          <w:tcPr>
            <w:tcW w:w="560" w:type="pct"/>
            <w:tcBorders>
              <w:top w:val="nil"/>
              <w:bottom w:val="nil"/>
            </w:tcBorders>
            <w:vAlign w:val="center"/>
          </w:tcPr>
          <w:p w:rsidR="006D0FBD" w:rsidRPr="00CB38A8" w:rsidRDefault="006D0FBD" w:rsidP="008404A4">
            <w:pPr>
              <w:pStyle w:val="Tabletext"/>
              <w:keepNext/>
              <w:keepLines/>
              <w:spacing w:after="40"/>
              <w:rPr>
                <w:rFonts w:ascii="Times" w:hAnsi="Times"/>
              </w:rPr>
            </w:pPr>
          </w:p>
        </w:tc>
        <w:tc>
          <w:tcPr>
            <w:tcW w:w="3072" w:type="pct"/>
            <w:tcBorders>
              <w:top w:val="nil"/>
              <w:bottom w:val="nil"/>
            </w:tcBorders>
          </w:tcPr>
          <w:p w:rsidR="006D0FBD" w:rsidRPr="00CB38A8" w:rsidRDefault="006D0FBD" w:rsidP="008404A4">
            <w:pPr>
              <w:pStyle w:val="Tabletext"/>
              <w:keepNext/>
              <w:keepLines/>
              <w:spacing w:after="40"/>
              <w:rPr>
                <w:rFonts w:ascii="Times" w:hAnsi="Times"/>
              </w:rPr>
            </w:pPr>
            <w:r w:rsidRPr="0062188C">
              <w:rPr>
                <w:szCs w:val="18"/>
              </w:rPr>
              <w:t xml:space="preserve">Antonia SJ et al. Durvalumab after Chemoradiotherapy in Stage III Non–Small Cell Lung Cancer. </w:t>
            </w:r>
          </w:p>
        </w:tc>
        <w:tc>
          <w:tcPr>
            <w:tcW w:w="1368" w:type="pct"/>
            <w:tcBorders>
              <w:top w:val="nil"/>
              <w:bottom w:val="nil"/>
            </w:tcBorders>
          </w:tcPr>
          <w:p w:rsidR="006D0FBD" w:rsidRPr="004A2558" w:rsidRDefault="006D0FBD" w:rsidP="008404A4">
            <w:pPr>
              <w:pStyle w:val="Tabletext"/>
              <w:keepNext/>
              <w:keepLines/>
              <w:spacing w:after="40"/>
            </w:pPr>
            <w:r w:rsidRPr="0062188C">
              <w:rPr>
                <w:szCs w:val="18"/>
              </w:rPr>
              <w:t>NEJM 2017; 377(20):1919–1929 [plus supplementary material].</w:t>
            </w:r>
          </w:p>
        </w:tc>
      </w:tr>
      <w:tr w:rsidR="006D0FBD" w:rsidRPr="00CB38A8" w:rsidTr="00277A82">
        <w:tc>
          <w:tcPr>
            <w:tcW w:w="560" w:type="pct"/>
            <w:tcBorders>
              <w:top w:val="nil"/>
              <w:bottom w:val="nil"/>
            </w:tcBorders>
            <w:vAlign w:val="center"/>
          </w:tcPr>
          <w:p w:rsidR="006D0FBD" w:rsidRPr="00CB38A8" w:rsidRDefault="006D0FBD" w:rsidP="008404A4">
            <w:pPr>
              <w:pStyle w:val="Tabletext"/>
              <w:keepNext/>
              <w:keepLines/>
              <w:spacing w:after="40"/>
            </w:pPr>
          </w:p>
        </w:tc>
        <w:tc>
          <w:tcPr>
            <w:tcW w:w="3072" w:type="pct"/>
            <w:tcBorders>
              <w:top w:val="nil"/>
              <w:bottom w:val="nil"/>
            </w:tcBorders>
          </w:tcPr>
          <w:p w:rsidR="006D0FBD" w:rsidRPr="00E34A35" w:rsidRDefault="006D0FBD" w:rsidP="008404A4">
            <w:pPr>
              <w:pStyle w:val="Tabletext"/>
              <w:keepNext/>
              <w:keepLines/>
              <w:spacing w:after="40"/>
              <w:rPr>
                <w:szCs w:val="18"/>
              </w:rPr>
            </w:pPr>
            <w:r w:rsidRPr="0062188C">
              <w:rPr>
                <w:szCs w:val="18"/>
              </w:rPr>
              <w:t xml:space="preserve">Antonia SJ, Villegas A, Daniel D, Vincente Baz D, Murakami S, Hui R, et al. Pacific: A double blind, placebo controlled phase 3 study of durvalumab as consolidation therapy after chemoradiation in patients with locally advanced, unresectable non small cell lung cancer. </w:t>
            </w:r>
          </w:p>
        </w:tc>
        <w:tc>
          <w:tcPr>
            <w:tcW w:w="1368" w:type="pct"/>
            <w:tcBorders>
              <w:top w:val="nil"/>
              <w:bottom w:val="nil"/>
            </w:tcBorders>
          </w:tcPr>
          <w:p w:rsidR="006D0FBD" w:rsidRPr="00CB38A8" w:rsidRDefault="006D0FBD" w:rsidP="008404A4">
            <w:pPr>
              <w:pStyle w:val="Tabletext"/>
              <w:keepNext/>
              <w:keepLines/>
              <w:spacing w:after="40"/>
              <w:rPr>
                <w:i/>
              </w:rPr>
            </w:pPr>
            <w:r w:rsidRPr="0062188C">
              <w:rPr>
                <w:szCs w:val="18"/>
              </w:rPr>
              <w:t>International Journal of Radiation Oncology Biology Physics 2017; 99(5): 1314–1315.</w:t>
            </w:r>
          </w:p>
        </w:tc>
      </w:tr>
      <w:tr w:rsidR="006D0FBD" w:rsidRPr="00CB38A8" w:rsidTr="00277A82">
        <w:tc>
          <w:tcPr>
            <w:tcW w:w="560" w:type="pct"/>
            <w:tcBorders>
              <w:top w:val="nil"/>
              <w:bottom w:val="nil"/>
            </w:tcBorders>
            <w:vAlign w:val="center"/>
          </w:tcPr>
          <w:p w:rsidR="006D0FBD" w:rsidRPr="00CB38A8" w:rsidRDefault="006D0FBD" w:rsidP="008404A4">
            <w:pPr>
              <w:pStyle w:val="Tabletext"/>
              <w:keepNext/>
              <w:keepLines/>
              <w:spacing w:after="40"/>
            </w:pPr>
          </w:p>
        </w:tc>
        <w:tc>
          <w:tcPr>
            <w:tcW w:w="3072" w:type="pct"/>
            <w:tcBorders>
              <w:top w:val="nil"/>
              <w:bottom w:val="nil"/>
            </w:tcBorders>
          </w:tcPr>
          <w:p w:rsidR="006D0FBD" w:rsidRPr="00804917" w:rsidRDefault="006D0FBD" w:rsidP="008404A4">
            <w:pPr>
              <w:pStyle w:val="Tabletext"/>
              <w:keepNext/>
              <w:keepLines/>
              <w:spacing w:after="40"/>
              <w:rPr>
                <w:szCs w:val="18"/>
              </w:rPr>
            </w:pPr>
            <w:r w:rsidRPr="0062188C">
              <w:rPr>
                <w:szCs w:val="18"/>
              </w:rPr>
              <w:t xml:space="preserve">Hui R, Antonia SJ. Clinical activity, patient reported outcomes, and safety with durvalumab after chemoradiation in locally advanced, unresectable NSCLC: Pacific study. </w:t>
            </w:r>
          </w:p>
        </w:tc>
        <w:tc>
          <w:tcPr>
            <w:tcW w:w="1368" w:type="pct"/>
            <w:tcBorders>
              <w:top w:val="nil"/>
              <w:bottom w:val="nil"/>
            </w:tcBorders>
          </w:tcPr>
          <w:p w:rsidR="006D0FBD" w:rsidRPr="005C3BD2" w:rsidRDefault="006D0FBD" w:rsidP="008404A4">
            <w:pPr>
              <w:pStyle w:val="Tabletext"/>
              <w:keepNext/>
              <w:keepLines/>
              <w:spacing w:after="40"/>
              <w:rPr>
                <w:rFonts w:ascii="Times" w:hAnsi="Times"/>
              </w:rPr>
            </w:pPr>
            <w:r w:rsidRPr="0062188C">
              <w:rPr>
                <w:szCs w:val="18"/>
              </w:rPr>
              <w:t>Asia Pacific Journal of Clinical Oncology 2017; 13: 145.</w:t>
            </w:r>
          </w:p>
        </w:tc>
      </w:tr>
      <w:tr w:rsidR="006D0FBD" w:rsidRPr="00CB38A8" w:rsidTr="00277A82">
        <w:tc>
          <w:tcPr>
            <w:tcW w:w="560" w:type="pct"/>
            <w:tcBorders>
              <w:top w:val="nil"/>
              <w:bottom w:val="nil"/>
            </w:tcBorders>
            <w:vAlign w:val="center"/>
          </w:tcPr>
          <w:p w:rsidR="006D0FBD" w:rsidRPr="00CB38A8" w:rsidRDefault="006D0FBD" w:rsidP="008404A4">
            <w:pPr>
              <w:pStyle w:val="Tabletext"/>
              <w:keepNext/>
              <w:keepLines/>
              <w:spacing w:after="40"/>
            </w:pPr>
          </w:p>
        </w:tc>
        <w:tc>
          <w:tcPr>
            <w:tcW w:w="3072" w:type="pct"/>
            <w:tcBorders>
              <w:top w:val="nil"/>
              <w:bottom w:val="nil"/>
            </w:tcBorders>
          </w:tcPr>
          <w:p w:rsidR="006D0FBD" w:rsidRPr="00CB38A8" w:rsidRDefault="006D0FBD" w:rsidP="008404A4">
            <w:pPr>
              <w:pStyle w:val="Tabletext"/>
              <w:keepNext/>
              <w:keepLines/>
              <w:spacing w:after="40"/>
              <w:rPr>
                <w:rFonts w:ascii="Times" w:hAnsi="Times"/>
              </w:rPr>
            </w:pPr>
            <w:r w:rsidRPr="0062188C">
              <w:rPr>
                <w:szCs w:val="18"/>
              </w:rPr>
              <w:t>Hui R, Özgüro</w:t>
            </w:r>
            <w:r w:rsidRPr="0062188C">
              <w:rPr>
                <w:rFonts w:ascii="Arial" w:hAnsi="Arial" w:cs="Arial"/>
                <w:szCs w:val="18"/>
              </w:rPr>
              <w:t>ǧ</w:t>
            </w:r>
            <w:r w:rsidRPr="0062188C">
              <w:rPr>
                <w:szCs w:val="18"/>
              </w:rPr>
              <w:t>lu M, Daniel D, Baz D, Murakami S, Yokoi T, et al. Patient reported outcomes with durvalumab after chemoradiation in locally advanced, unresectable NSCLC: Data from PACIFIC</w:t>
            </w:r>
            <w:r>
              <w:rPr>
                <w:szCs w:val="18"/>
              </w:rPr>
              <w:t>.</w:t>
            </w:r>
          </w:p>
        </w:tc>
        <w:tc>
          <w:tcPr>
            <w:tcW w:w="1368" w:type="pct"/>
            <w:tcBorders>
              <w:top w:val="nil"/>
              <w:bottom w:val="nil"/>
            </w:tcBorders>
          </w:tcPr>
          <w:p w:rsidR="006D0FBD" w:rsidRPr="00CB38A8" w:rsidRDefault="006D0FBD" w:rsidP="008404A4">
            <w:pPr>
              <w:pStyle w:val="Tabletext"/>
              <w:keepNext/>
              <w:keepLines/>
              <w:spacing w:after="40"/>
              <w:rPr>
                <w:rFonts w:ascii="Times" w:hAnsi="Times"/>
              </w:rPr>
            </w:pPr>
            <w:r w:rsidRPr="0062188C">
              <w:rPr>
                <w:szCs w:val="18"/>
              </w:rPr>
              <w:t>Journal of Thoracic Oncology. 2017; 12(11): S1604.</w:t>
            </w:r>
          </w:p>
        </w:tc>
      </w:tr>
      <w:tr w:rsidR="006D0FBD" w:rsidRPr="00CB38A8" w:rsidTr="00277A82">
        <w:tc>
          <w:tcPr>
            <w:tcW w:w="560" w:type="pct"/>
            <w:tcBorders>
              <w:top w:val="nil"/>
              <w:bottom w:val="single" w:sz="4" w:space="0" w:color="auto"/>
            </w:tcBorders>
            <w:vAlign w:val="center"/>
          </w:tcPr>
          <w:p w:rsidR="006D0FBD" w:rsidRPr="00CB38A8" w:rsidRDefault="006D0FBD" w:rsidP="008404A4">
            <w:pPr>
              <w:pStyle w:val="Tabletext"/>
              <w:keepNext/>
              <w:keepLines/>
              <w:spacing w:after="40"/>
            </w:pPr>
          </w:p>
        </w:tc>
        <w:tc>
          <w:tcPr>
            <w:tcW w:w="3072" w:type="pct"/>
            <w:tcBorders>
              <w:top w:val="nil"/>
              <w:bottom w:val="single" w:sz="4" w:space="0" w:color="auto"/>
            </w:tcBorders>
          </w:tcPr>
          <w:p w:rsidR="006D0FBD" w:rsidRPr="00AC45E8" w:rsidRDefault="006D0FBD" w:rsidP="008404A4">
            <w:pPr>
              <w:pStyle w:val="Tabletext"/>
              <w:keepNext/>
              <w:keepLines/>
              <w:spacing w:after="40"/>
              <w:rPr>
                <w:szCs w:val="18"/>
              </w:rPr>
            </w:pPr>
            <w:r w:rsidRPr="0062188C">
              <w:rPr>
                <w:szCs w:val="18"/>
              </w:rPr>
              <w:t xml:space="preserve">Laack HE, Schulz C, Wolff T, Rückert A, Reck M, Faehling M, et al. PACIFIC: A double blind, placebo controlled phase III study of durvalumab after chemoradiation therapy in patients with stage III, locally advanced, unresectable NSCLC. </w:t>
            </w:r>
          </w:p>
        </w:tc>
        <w:tc>
          <w:tcPr>
            <w:tcW w:w="1368" w:type="pct"/>
            <w:tcBorders>
              <w:top w:val="nil"/>
              <w:bottom w:val="single" w:sz="4" w:space="0" w:color="auto"/>
            </w:tcBorders>
          </w:tcPr>
          <w:p w:rsidR="006D0FBD" w:rsidRPr="00AC45E8" w:rsidRDefault="006D0FBD" w:rsidP="008404A4">
            <w:pPr>
              <w:pStyle w:val="Tabletext"/>
              <w:keepNext/>
              <w:keepLines/>
              <w:spacing w:after="40"/>
            </w:pPr>
            <w:r w:rsidRPr="0062188C">
              <w:rPr>
                <w:szCs w:val="18"/>
              </w:rPr>
              <w:t>Oncology Research and Treatment 2018; 41 (Suppl 1): 186–187.</w:t>
            </w:r>
          </w:p>
        </w:tc>
      </w:tr>
    </w:tbl>
    <w:p w:rsidR="009E0CFE" w:rsidRDefault="006D0FBD" w:rsidP="008404A4">
      <w:pPr>
        <w:pStyle w:val="TableFooter"/>
        <w:widowControl/>
      </w:pPr>
      <w:r>
        <w:t xml:space="preserve">Source: Table 2.2.1, p22-23 of the submission. NSCLC = non-small cell lung cancer; </w:t>
      </w:r>
    </w:p>
    <w:p w:rsidR="009E0CFE" w:rsidRDefault="009E0CFE" w:rsidP="008404A4">
      <w:pPr>
        <w:pStyle w:val="TableFooter"/>
        <w:widowControl/>
      </w:pPr>
    </w:p>
    <w:p w:rsidR="00FC56EA" w:rsidRDefault="00FC56EA">
      <w:pPr>
        <w:widowControl/>
        <w:jc w:val="left"/>
      </w:pPr>
      <w:r>
        <w:br w:type="page"/>
      </w:r>
    </w:p>
    <w:p w:rsidR="006D0FBD" w:rsidRDefault="006D0FBD" w:rsidP="008404A4">
      <w:pPr>
        <w:widowControl/>
      </w:pPr>
      <w:r w:rsidRPr="00B50DB8">
        <w:t xml:space="preserve">The key features of the </w:t>
      </w:r>
      <w:r w:rsidR="00277A82">
        <w:t>PACIFIC trial</w:t>
      </w:r>
      <w:r w:rsidRPr="00B50DB8">
        <w:t xml:space="preserve"> are summarised </w:t>
      </w:r>
      <w:r w:rsidRPr="00277A82">
        <w:t xml:space="preserve">in </w:t>
      </w:r>
      <w:r w:rsidR="00FA3901" w:rsidRPr="00FA3901">
        <w:t xml:space="preserve">Table </w:t>
      </w:r>
      <w:r w:rsidR="00FA3901">
        <w:t>3</w:t>
      </w:r>
      <w:r w:rsidR="00277A82">
        <w:t>.</w:t>
      </w:r>
    </w:p>
    <w:p w:rsidR="006D0FBD" w:rsidRPr="00500D65" w:rsidRDefault="006D0FBD" w:rsidP="008404A4">
      <w:pPr>
        <w:pStyle w:val="TableHeading0"/>
        <w:spacing w:before="120" w:after="0" w:line="240" w:lineRule="auto"/>
        <w:rPr>
          <w:rStyle w:val="CommentReference"/>
          <w:b/>
          <w:szCs w:val="20"/>
        </w:rPr>
      </w:pPr>
      <w:bookmarkStart w:id="14" w:name="_Ref521875684"/>
      <w:r w:rsidRPr="00500D65">
        <w:rPr>
          <w:rStyle w:val="CommentReference"/>
          <w:b/>
          <w:szCs w:val="20"/>
        </w:rPr>
        <w:t xml:space="preserve">Table </w:t>
      </w:r>
      <w:r w:rsidR="00FA3901">
        <w:rPr>
          <w:noProof/>
        </w:rPr>
        <w:t>3</w:t>
      </w:r>
      <w:bookmarkEnd w:id="14"/>
      <w:r w:rsidRPr="00500D65">
        <w:rPr>
          <w:rStyle w:val="CommentReference"/>
          <w:b/>
          <w:szCs w:val="2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91"/>
        <w:gridCol w:w="847"/>
        <w:gridCol w:w="1421"/>
        <w:gridCol w:w="1128"/>
        <w:gridCol w:w="1557"/>
        <w:gridCol w:w="1130"/>
        <w:gridCol w:w="1709"/>
      </w:tblGrid>
      <w:tr w:rsidR="006D0FBD" w:rsidRPr="00B41614" w:rsidTr="006F3DC5">
        <w:tc>
          <w:tcPr>
            <w:tcW w:w="711" w:type="pct"/>
            <w:shd w:val="clear" w:color="auto" w:fill="auto"/>
            <w:vAlign w:val="center"/>
          </w:tcPr>
          <w:p w:rsidR="006D0FBD" w:rsidRPr="00B41614" w:rsidRDefault="006D0FBD" w:rsidP="008404A4">
            <w:pPr>
              <w:pStyle w:val="Tabletext"/>
              <w:spacing w:before="40" w:after="40"/>
              <w:rPr>
                <w:b/>
                <w:lang w:val="en-US"/>
              </w:rPr>
            </w:pPr>
            <w:r w:rsidRPr="00B41614">
              <w:rPr>
                <w:b/>
                <w:lang w:val="en-US"/>
              </w:rPr>
              <w:t>Trial</w:t>
            </w:r>
          </w:p>
        </w:tc>
        <w:tc>
          <w:tcPr>
            <w:tcW w:w="466" w:type="pct"/>
            <w:shd w:val="clear" w:color="auto" w:fill="auto"/>
            <w:vAlign w:val="center"/>
          </w:tcPr>
          <w:p w:rsidR="006D0FBD" w:rsidRPr="00B41614" w:rsidRDefault="006D0FBD" w:rsidP="008404A4">
            <w:pPr>
              <w:pStyle w:val="Tabletext"/>
              <w:spacing w:before="40" w:after="40"/>
              <w:jc w:val="center"/>
              <w:rPr>
                <w:b/>
                <w:lang w:val="en-US"/>
              </w:rPr>
            </w:pPr>
            <w:r w:rsidRPr="00B41614">
              <w:rPr>
                <w:b/>
                <w:lang w:val="en-US"/>
              </w:rPr>
              <w:t>N</w:t>
            </w:r>
          </w:p>
        </w:tc>
        <w:tc>
          <w:tcPr>
            <w:tcW w:w="782" w:type="pct"/>
            <w:shd w:val="clear" w:color="auto" w:fill="auto"/>
            <w:vAlign w:val="center"/>
          </w:tcPr>
          <w:p w:rsidR="006D0FBD" w:rsidRPr="00B41614" w:rsidRDefault="006D0FBD" w:rsidP="008404A4">
            <w:pPr>
              <w:pStyle w:val="Tabletext"/>
              <w:spacing w:before="40" w:after="40"/>
              <w:jc w:val="center"/>
              <w:rPr>
                <w:b/>
                <w:lang w:val="en-US"/>
              </w:rPr>
            </w:pPr>
            <w:r w:rsidRPr="00B41614">
              <w:rPr>
                <w:b/>
                <w:lang w:val="en-US"/>
              </w:rPr>
              <w:t>Design/ duration</w:t>
            </w:r>
          </w:p>
        </w:tc>
        <w:tc>
          <w:tcPr>
            <w:tcW w:w="621" w:type="pct"/>
            <w:shd w:val="clear" w:color="auto" w:fill="auto"/>
            <w:vAlign w:val="center"/>
          </w:tcPr>
          <w:p w:rsidR="006D0FBD" w:rsidRPr="00B41614" w:rsidRDefault="006D0FBD" w:rsidP="008404A4">
            <w:pPr>
              <w:pStyle w:val="Tabletext"/>
              <w:spacing w:before="40" w:after="40"/>
              <w:jc w:val="center"/>
              <w:rPr>
                <w:b/>
                <w:lang w:val="en-US"/>
              </w:rPr>
            </w:pPr>
            <w:r w:rsidRPr="00B41614">
              <w:rPr>
                <w:b/>
                <w:lang w:val="en-US"/>
              </w:rPr>
              <w:t>Risk of bias</w:t>
            </w:r>
          </w:p>
        </w:tc>
        <w:tc>
          <w:tcPr>
            <w:tcW w:w="857" w:type="pct"/>
            <w:shd w:val="clear" w:color="auto" w:fill="auto"/>
            <w:vAlign w:val="center"/>
          </w:tcPr>
          <w:p w:rsidR="006D0FBD" w:rsidRPr="00B41614" w:rsidRDefault="006D0FBD" w:rsidP="008404A4">
            <w:pPr>
              <w:pStyle w:val="Tabletext"/>
              <w:spacing w:before="40" w:after="40"/>
              <w:jc w:val="center"/>
              <w:rPr>
                <w:b/>
                <w:lang w:val="en-US"/>
              </w:rPr>
            </w:pPr>
            <w:r w:rsidRPr="00B41614">
              <w:rPr>
                <w:b/>
                <w:lang w:val="en-US"/>
              </w:rPr>
              <w:t>Patient population</w:t>
            </w:r>
          </w:p>
        </w:tc>
        <w:tc>
          <w:tcPr>
            <w:tcW w:w="622" w:type="pct"/>
            <w:shd w:val="clear" w:color="auto" w:fill="auto"/>
            <w:vAlign w:val="center"/>
          </w:tcPr>
          <w:p w:rsidR="006D0FBD" w:rsidRPr="00B41614" w:rsidRDefault="006D0FBD" w:rsidP="008404A4">
            <w:pPr>
              <w:pStyle w:val="Tabletext"/>
              <w:spacing w:before="40" w:after="40"/>
              <w:jc w:val="center"/>
              <w:rPr>
                <w:b/>
                <w:lang w:val="en-US"/>
              </w:rPr>
            </w:pPr>
            <w:r>
              <w:rPr>
                <w:b/>
                <w:lang w:val="en-US"/>
              </w:rPr>
              <w:t>Outcomes</w:t>
            </w:r>
          </w:p>
        </w:tc>
        <w:tc>
          <w:tcPr>
            <w:tcW w:w="940" w:type="pct"/>
            <w:shd w:val="clear" w:color="auto" w:fill="auto"/>
            <w:vAlign w:val="center"/>
          </w:tcPr>
          <w:p w:rsidR="006D0FBD" w:rsidRPr="00B41614" w:rsidRDefault="006D0FBD" w:rsidP="008404A4">
            <w:pPr>
              <w:pStyle w:val="Tabletext"/>
              <w:spacing w:before="40" w:after="40"/>
              <w:jc w:val="center"/>
              <w:rPr>
                <w:b/>
                <w:lang w:val="en-US"/>
              </w:rPr>
            </w:pPr>
            <w:r w:rsidRPr="00B41614">
              <w:rPr>
                <w:b/>
                <w:lang w:val="en-US"/>
              </w:rPr>
              <w:t>Use in modelled evaluation</w:t>
            </w:r>
          </w:p>
        </w:tc>
      </w:tr>
      <w:tr w:rsidR="006D0FBD" w:rsidRPr="00E2771E" w:rsidTr="006F3DC5">
        <w:tc>
          <w:tcPr>
            <w:tcW w:w="5000" w:type="pct"/>
            <w:gridSpan w:val="7"/>
            <w:shd w:val="clear" w:color="auto" w:fill="auto"/>
            <w:vAlign w:val="center"/>
          </w:tcPr>
          <w:p w:rsidR="006D0FBD" w:rsidRPr="00B41614" w:rsidRDefault="006D0FBD" w:rsidP="008404A4">
            <w:pPr>
              <w:pStyle w:val="Tabletext"/>
              <w:spacing w:before="40" w:after="40"/>
              <w:rPr>
                <w:b/>
                <w:lang w:val="en-US"/>
              </w:rPr>
            </w:pPr>
            <w:r>
              <w:rPr>
                <w:b/>
                <w:lang w:val="en-US"/>
              </w:rPr>
              <w:t>Durvalumab</w:t>
            </w:r>
            <w:r w:rsidRPr="00B41614">
              <w:rPr>
                <w:b/>
                <w:lang w:val="en-US"/>
              </w:rPr>
              <w:t xml:space="preserve"> vs. </w:t>
            </w:r>
            <w:r>
              <w:rPr>
                <w:b/>
                <w:lang w:val="en-US"/>
              </w:rPr>
              <w:t>placebo</w:t>
            </w:r>
          </w:p>
        </w:tc>
      </w:tr>
      <w:tr w:rsidR="006D0FBD" w:rsidRPr="00E2771E" w:rsidTr="006F3DC5">
        <w:tc>
          <w:tcPr>
            <w:tcW w:w="711" w:type="pct"/>
            <w:shd w:val="clear" w:color="auto" w:fill="auto"/>
            <w:vAlign w:val="center"/>
          </w:tcPr>
          <w:p w:rsidR="006D0FBD" w:rsidRPr="00E2771E" w:rsidRDefault="006D0FBD" w:rsidP="008404A4">
            <w:pPr>
              <w:pStyle w:val="Tabletext"/>
              <w:spacing w:before="40" w:after="40"/>
              <w:rPr>
                <w:lang w:val="en-US"/>
              </w:rPr>
            </w:pPr>
            <w:r>
              <w:rPr>
                <w:lang w:val="en-US"/>
              </w:rPr>
              <w:t>PACIFIC</w:t>
            </w:r>
          </w:p>
        </w:tc>
        <w:tc>
          <w:tcPr>
            <w:tcW w:w="466" w:type="pct"/>
            <w:shd w:val="clear" w:color="auto" w:fill="auto"/>
            <w:vAlign w:val="center"/>
          </w:tcPr>
          <w:p w:rsidR="006D0FBD" w:rsidRPr="00E2771E" w:rsidRDefault="006D0FBD" w:rsidP="008404A4">
            <w:pPr>
              <w:pStyle w:val="Tabletext"/>
              <w:spacing w:before="40" w:after="40"/>
              <w:jc w:val="center"/>
              <w:rPr>
                <w:lang w:val="en-US"/>
              </w:rPr>
            </w:pPr>
            <w:r>
              <w:rPr>
                <w:lang w:val="en-US"/>
              </w:rPr>
              <w:t>713</w:t>
            </w:r>
          </w:p>
        </w:tc>
        <w:tc>
          <w:tcPr>
            <w:tcW w:w="782" w:type="pct"/>
            <w:shd w:val="clear" w:color="auto" w:fill="auto"/>
            <w:vAlign w:val="center"/>
          </w:tcPr>
          <w:p w:rsidR="006D0FBD" w:rsidRPr="00E2771E" w:rsidRDefault="006D0FBD" w:rsidP="008404A4">
            <w:pPr>
              <w:pStyle w:val="Tabletext"/>
              <w:spacing w:before="40" w:after="40"/>
              <w:jc w:val="center"/>
              <w:rPr>
                <w:lang w:val="en-US"/>
              </w:rPr>
            </w:pPr>
            <w:r w:rsidRPr="00E2771E">
              <w:rPr>
                <w:lang w:val="en-US"/>
              </w:rPr>
              <w:t>R, DB</w:t>
            </w:r>
            <w:r>
              <w:rPr>
                <w:lang w:val="en-US"/>
              </w:rPr>
              <w:t>, MC</w:t>
            </w:r>
          </w:p>
          <w:p w:rsidR="006D0FBD" w:rsidRPr="00E2771E" w:rsidRDefault="006D0FBD" w:rsidP="008404A4">
            <w:pPr>
              <w:pStyle w:val="Tabletext"/>
              <w:spacing w:before="40" w:after="40"/>
              <w:jc w:val="center"/>
              <w:rPr>
                <w:lang w:val="en-US"/>
              </w:rPr>
            </w:pPr>
            <w:r>
              <w:rPr>
                <w:lang w:val="en-US"/>
              </w:rPr>
              <w:t>40-43 months</w:t>
            </w:r>
          </w:p>
        </w:tc>
        <w:tc>
          <w:tcPr>
            <w:tcW w:w="621" w:type="pct"/>
            <w:shd w:val="clear" w:color="auto" w:fill="auto"/>
            <w:vAlign w:val="center"/>
          </w:tcPr>
          <w:p w:rsidR="006D0FBD" w:rsidRPr="00E2771E" w:rsidRDefault="006D0FBD" w:rsidP="008404A4">
            <w:pPr>
              <w:pStyle w:val="Tabletext"/>
              <w:spacing w:before="40" w:after="40"/>
              <w:jc w:val="center"/>
              <w:rPr>
                <w:lang w:val="en-US"/>
              </w:rPr>
            </w:pPr>
            <w:r w:rsidRPr="00E2771E">
              <w:rPr>
                <w:lang w:val="en-US"/>
              </w:rPr>
              <w:t>Low</w:t>
            </w:r>
          </w:p>
        </w:tc>
        <w:tc>
          <w:tcPr>
            <w:tcW w:w="857" w:type="pct"/>
            <w:shd w:val="clear" w:color="auto" w:fill="auto"/>
            <w:vAlign w:val="center"/>
          </w:tcPr>
          <w:p w:rsidR="006D0FBD" w:rsidRPr="00E2771E" w:rsidRDefault="006D0FBD" w:rsidP="008404A4">
            <w:pPr>
              <w:pStyle w:val="Tabletext"/>
              <w:spacing w:before="40" w:after="40"/>
              <w:jc w:val="center"/>
              <w:rPr>
                <w:lang w:val="en-US"/>
              </w:rPr>
            </w:pPr>
            <w:r>
              <w:rPr>
                <w:lang w:val="en-US"/>
              </w:rPr>
              <w:t>Have not progressed after CRT</w:t>
            </w:r>
          </w:p>
        </w:tc>
        <w:tc>
          <w:tcPr>
            <w:tcW w:w="622" w:type="pct"/>
            <w:shd w:val="clear" w:color="auto" w:fill="auto"/>
            <w:vAlign w:val="center"/>
          </w:tcPr>
          <w:p w:rsidR="006D0FBD" w:rsidRPr="00E2771E" w:rsidRDefault="006D0FBD" w:rsidP="008404A4">
            <w:pPr>
              <w:pStyle w:val="Tabletext"/>
              <w:spacing w:before="40" w:after="40"/>
              <w:jc w:val="center"/>
              <w:rPr>
                <w:lang w:val="en-US"/>
              </w:rPr>
            </w:pPr>
            <w:r w:rsidRPr="00E2771E">
              <w:rPr>
                <w:lang w:val="en-US"/>
              </w:rPr>
              <w:t>OS</w:t>
            </w:r>
            <w:r>
              <w:rPr>
                <w:lang w:val="en-US"/>
              </w:rPr>
              <w:t>, PFS</w:t>
            </w:r>
          </w:p>
        </w:tc>
        <w:tc>
          <w:tcPr>
            <w:tcW w:w="940" w:type="pct"/>
            <w:shd w:val="clear" w:color="auto" w:fill="auto"/>
            <w:vAlign w:val="center"/>
          </w:tcPr>
          <w:p w:rsidR="006D0FBD" w:rsidRPr="00E2771E" w:rsidRDefault="006D0FBD" w:rsidP="008404A4">
            <w:pPr>
              <w:pStyle w:val="Tabletext"/>
              <w:spacing w:before="40" w:after="40"/>
              <w:jc w:val="center"/>
              <w:rPr>
                <w:lang w:val="en-US"/>
              </w:rPr>
            </w:pPr>
            <w:r>
              <w:rPr>
                <w:lang w:val="en-US"/>
              </w:rPr>
              <w:t>Used in the model</w:t>
            </w:r>
          </w:p>
        </w:tc>
      </w:tr>
    </w:tbl>
    <w:p w:rsidR="006D0FBD" w:rsidRPr="0072416F" w:rsidRDefault="006D0FBD" w:rsidP="008404A4">
      <w:pPr>
        <w:pStyle w:val="TableFooter"/>
        <w:widowControl/>
      </w:pPr>
      <w:r>
        <w:t xml:space="preserve">CRT = chemoradiation treatment; </w:t>
      </w:r>
      <w:r w:rsidRPr="0072416F">
        <w:t>DB=double blind; MC=multi-centre; OS=overall survival; PFS=progression-free survival; R=randomised.</w:t>
      </w:r>
    </w:p>
    <w:p w:rsidR="006D0FBD" w:rsidRPr="00B1011F" w:rsidRDefault="006D0FBD" w:rsidP="008404A4">
      <w:pPr>
        <w:pStyle w:val="TableFooter"/>
        <w:widowControl/>
        <w:rPr>
          <w:sz w:val="20"/>
        </w:rPr>
      </w:pPr>
      <w:r>
        <w:t xml:space="preserve">Source: pp24-37 of the submission. </w:t>
      </w:r>
    </w:p>
    <w:p w:rsidR="006D0FBD" w:rsidRPr="00882085" w:rsidRDefault="006D0FBD" w:rsidP="008404A4">
      <w:pPr>
        <w:pStyle w:val="TableFooter"/>
        <w:widowControl/>
      </w:pPr>
    </w:p>
    <w:p w:rsidR="005B71C7" w:rsidRDefault="00355A77" w:rsidP="008404A4">
      <w:pPr>
        <w:pStyle w:val="ListParagraph"/>
        <w:widowControl/>
        <w:numPr>
          <w:ilvl w:val="1"/>
          <w:numId w:val="2"/>
        </w:numPr>
      </w:pPr>
      <w:r w:rsidRPr="001B0B62">
        <w:t xml:space="preserve">The PACIFIC trial </w:t>
      </w:r>
      <w:r w:rsidR="00E448B6">
        <w:t xml:space="preserve">participants </w:t>
      </w:r>
      <w:r w:rsidRPr="001B0B62">
        <w:t>w</w:t>
      </w:r>
      <w:r w:rsidR="00E448B6">
        <w:t>ere</w:t>
      </w:r>
      <w:r w:rsidRPr="001B0B62">
        <w:t xml:space="preserve"> a</w:t>
      </w:r>
      <w:r w:rsidR="0024369D" w:rsidRPr="001B0B62">
        <w:t>dequately</w:t>
      </w:r>
      <w:r w:rsidRPr="001B0B62">
        <w:t xml:space="preserve"> randomised and the overall risk of bias was low. </w:t>
      </w:r>
    </w:p>
    <w:p w:rsidR="00FE6BFB" w:rsidRPr="00A21A5C" w:rsidRDefault="000047BC" w:rsidP="008404A4">
      <w:pPr>
        <w:pStyle w:val="ListParagraph"/>
        <w:widowControl/>
        <w:numPr>
          <w:ilvl w:val="1"/>
          <w:numId w:val="2"/>
        </w:numPr>
        <w:spacing w:after="0"/>
      </w:pPr>
      <w:r w:rsidRPr="00A21A5C">
        <w:rPr>
          <w:iCs/>
        </w:rPr>
        <w:t>The proportion of patients receiving subsequent PD-</w:t>
      </w:r>
      <w:r w:rsidR="00717D6A">
        <w:rPr>
          <w:iCs/>
        </w:rPr>
        <w:t>(L)</w:t>
      </w:r>
      <w:r w:rsidR="001F33D9" w:rsidRPr="00A21A5C">
        <w:rPr>
          <w:iCs/>
        </w:rPr>
        <w:t>1 inhibitors</w:t>
      </w:r>
      <w:r w:rsidRPr="00A21A5C">
        <w:rPr>
          <w:iCs/>
        </w:rPr>
        <w:t xml:space="preserve"> in both the durvalumab arm and watch-and-wait arm of the PACIFIC trial may not reflect Australian clinical practice, and the impact of this on the applicability of the treatment effect remains unclear. </w:t>
      </w:r>
    </w:p>
    <w:p w:rsidR="00FE6BFB" w:rsidRPr="00A21A5C" w:rsidRDefault="001B0B62" w:rsidP="008404A4">
      <w:pPr>
        <w:pStyle w:val="ListParagraph"/>
        <w:widowControl/>
        <w:numPr>
          <w:ilvl w:val="0"/>
          <w:numId w:val="21"/>
        </w:numPr>
        <w:spacing w:after="0"/>
      </w:pPr>
      <w:r w:rsidRPr="00A21A5C">
        <w:t>If</w:t>
      </w:r>
      <w:r w:rsidR="00FE6BFB" w:rsidRPr="00A21A5C">
        <w:t xml:space="preserve"> the use of subsequent PD</w:t>
      </w:r>
      <w:r w:rsidR="00717D6A">
        <w:t>-</w:t>
      </w:r>
      <w:r w:rsidRPr="00A21A5C">
        <w:t>(L)</w:t>
      </w:r>
      <w:r w:rsidR="00FE6BFB" w:rsidRPr="00A21A5C">
        <w:t xml:space="preserve">1 </w:t>
      </w:r>
      <w:r w:rsidRPr="00A21A5C">
        <w:t>inhibitors</w:t>
      </w:r>
      <w:r w:rsidR="00FE6BFB" w:rsidRPr="00A21A5C">
        <w:t xml:space="preserve"> in Australia </w:t>
      </w:r>
      <w:r w:rsidRPr="00A21A5C">
        <w:t>is</w:t>
      </w:r>
      <w:r w:rsidR="00FE6BFB" w:rsidRPr="00A21A5C">
        <w:t xml:space="preserve"> limited due to restrictions against sequential use of nivolumab, atezolizumab and pembrolizumab</w:t>
      </w:r>
      <w:r w:rsidRPr="00A21A5C">
        <w:t>, then t</w:t>
      </w:r>
      <w:r w:rsidR="00B04525" w:rsidRPr="00A21A5C">
        <w:rPr>
          <w:iCs/>
        </w:rPr>
        <w:t>he effect of the u</w:t>
      </w:r>
      <w:r w:rsidR="00FE6BFB" w:rsidRPr="00A21A5C">
        <w:t>se of PD</w:t>
      </w:r>
      <w:r w:rsidR="00717D6A">
        <w:t>-</w:t>
      </w:r>
      <w:r w:rsidR="004B7E28">
        <w:t>(L)</w:t>
      </w:r>
      <w:r w:rsidR="00FE6BFB" w:rsidRPr="00A21A5C">
        <w:t>1 inhibitors foll</w:t>
      </w:r>
      <w:r w:rsidR="00B04525" w:rsidRPr="00A21A5C">
        <w:t>owing treatment with durvalumab, as occurred in the PACIFIC trial, may influence OS in a way that would not occur in the Austr</w:t>
      </w:r>
      <w:r w:rsidRPr="00A21A5C">
        <w:t>a</w:t>
      </w:r>
      <w:r w:rsidR="00B04525" w:rsidRPr="00A21A5C">
        <w:t>lian setting.</w:t>
      </w:r>
    </w:p>
    <w:p w:rsidR="006D0FBD" w:rsidRPr="00882085" w:rsidRDefault="006D0FBD" w:rsidP="008404A4">
      <w:pPr>
        <w:pStyle w:val="Heading2"/>
        <w:widowControl/>
      </w:pPr>
      <w:bookmarkStart w:id="15" w:name="_Toc524446345"/>
      <w:r w:rsidRPr="00C9624D">
        <w:t>Comparative effectiveness</w:t>
      </w:r>
      <w:bookmarkEnd w:id="15"/>
    </w:p>
    <w:p w:rsidR="006D0FBD" w:rsidRDefault="00FA3901" w:rsidP="008404A4">
      <w:pPr>
        <w:pStyle w:val="ListParagraph"/>
        <w:widowControl/>
        <w:numPr>
          <w:ilvl w:val="1"/>
          <w:numId w:val="2"/>
        </w:numPr>
      </w:pPr>
      <w:r w:rsidRPr="00FA3901">
        <w:t xml:space="preserve">Table </w:t>
      </w:r>
      <w:r>
        <w:t>4</w:t>
      </w:r>
      <w:r w:rsidR="00277A82" w:rsidRPr="00277A82">
        <w:t xml:space="preserve"> </w:t>
      </w:r>
      <w:r w:rsidR="006D0FBD" w:rsidRPr="00277A82">
        <w:t>prese</w:t>
      </w:r>
      <w:r w:rsidR="006D0FBD">
        <w:t xml:space="preserve">nts a summary of the overall survival </w:t>
      </w:r>
      <w:r w:rsidR="00AD3254">
        <w:t xml:space="preserve">(OS) </w:t>
      </w:r>
      <w:r w:rsidR="006D0FBD">
        <w:t>estimates in the PACIFIC trial.</w:t>
      </w:r>
    </w:p>
    <w:p w:rsidR="006D0FBD" w:rsidRPr="00500D65" w:rsidRDefault="006D0FBD" w:rsidP="008404A4">
      <w:pPr>
        <w:pStyle w:val="TableHeading0"/>
        <w:spacing w:line="240" w:lineRule="auto"/>
        <w:rPr>
          <w:rStyle w:val="CommentReference"/>
          <w:b/>
          <w:szCs w:val="20"/>
        </w:rPr>
      </w:pPr>
      <w:bookmarkStart w:id="16" w:name="_Ref521875751"/>
      <w:r w:rsidRPr="00500D65">
        <w:rPr>
          <w:rStyle w:val="CommentReference"/>
          <w:b/>
          <w:szCs w:val="20"/>
        </w:rPr>
        <w:t xml:space="preserve">Table </w:t>
      </w:r>
      <w:r w:rsidR="00FA3901">
        <w:rPr>
          <w:noProof/>
        </w:rPr>
        <w:t>4</w:t>
      </w:r>
      <w:bookmarkEnd w:id="16"/>
      <w:r w:rsidRPr="00500D65">
        <w:rPr>
          <w:rStyle w:val="CommentReference"/>
          <w:b/>
          <w:szCs w:val="20"/>
        </w:rPr>
        <w:t>: Summary of OS in PACIFIC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4: Summary of OS in PACIFIC"/>
      </w:tblPr>
      <w:tblGrid>
        <w:gridCol w:w="1814"/>
        <w:gridCol w:w="1825"/>
        <w:gridCol w:w="1816"/>
        <w:gridCol w:w="1820"/>
        <w:gridCol w:w="1810"/>
      </w:tblGrid>
      <w:tr w:rsidR="006D0FBD" w:rsidRPr="008D4C3D" w:rsidTr="006F3DC5">
        <w:tc>
          <w:tcPr>
            <w:tcW w:w="1848" w:type="dxa"/>
            <w:vAlign w:val="center"/>
          </w:tcPr>
          <w:p w:rsidR="006D0FBD" w:rsidRPr="008D4C3D" w:rsidRDefault="006D0FBD" w:rsidP="008404A4">
            <w:pPr>
              <w:pStyle w:val="Tabletext"/>
              <w:spacing w:before="40" w:after="40"/>
              <w:rPr>
                <w:b/>
              </w:rPr>
            </w:pPr>
          </w:p>
        </w:tc>
        <w:tc>
          <w:tcPr>
            <w:tcW w:w="1848" w:type="dxa"/>
            <w:vAlign w:val="center"/>
          </w:tcPr>
          <w:p w:rsidR="006D0FBD" w:rsidRPr="008D4C3D" w:rsidRDefault="00DF2378" w:rsidP="008404A4">
            <w:pPr>
              <w:pStyle w:val="Tabletext"/>
              <w:spacing w:before="40" w:after="40"/>
              <w:jc w:val="center"/>
              <w:rPr>
                <w:b/>
              </w:rPr>
            </w:pPr>
            <w:r>
              <w:rPr>
                <w:b/>
              </w:rPr>
              <w:t>Durvalumab;</w:t>
            </w:r>
            <w:r w:rsidR="006D0FBD">
              <w:rPr>
                <w:b/>
              </w:rPr>
              <w:t xml:space="preserve"> n/N (%)</w:t>
            </w:r>
          </w:p>
        </w:tc>
        <w:tc>
          <w:tcPr>
            <w:tcW w:w="1848" w:type="dxa"/>
            <w:vAlign w:val="center"/>
          </w:tcPr>
          <w:p w:rsidR="006D0FBD" w:rsidRPr="008D4C3D" w:rsidRDefault="00DF2378" w:rsidP="008404A4">
            <w:pPr>
              <w:pStyle w:val="Tabletext"/>
              <w:spacing w:before="40" w:after="40"/>
              <w:jc w:val="center"/>
              <w:rPr>
                <w:b/>
              </w:rPr>
            </w:pPr>
            <w:r>
              <w:rPr>
                <w:b/>
              </w:rPr>
              <w:t xml:space="preserve">Placebo; </w:t>
            </w:r>
            <w:r w:rsidR="006D0FBD">
              <w:rPr>
                <w:b/>
              </w:rPr>
              <w:t>n/N (%)</w:t>
            </w:r>
          </w:p>
        </w:tc>
        <w:tc>
          <w:tcPr>
            <w:tcW w:w="1849" w:type="dxa"/>
            <w:vAlign w:val="center"/>
          </w:tcPr>
          <w:p w:rsidR="006D0FBD" w:rsidRPr="008D4C3D" w:rsidRDefault="006D0FBD" w:rsidP="008404A4">
            <w:pPr>
              <w:pStyle w:val="Tabletext"/>
              <w:spacing w:before="40" w:after="40"/>
              <w:jc w:val="center"/>
              <w:rPr>
                <w:b/>
              </w:rPr>
            </w:pPr>
            <w:r>
              <w:rPr>
                <w:b/>
              </w:rPr>
              <w:t>Absolute difference</w:t>
            </w:r>
          </w:p>
        </w:tc>
        <w:tc>
          <w:tcPr>
            <w:tcW w:w="1849" w:type="dxa"/>
            <w:vAlign w:val="center"/>
          </w:tcPr>
          <w:p w:rsidR="006D0FBD" w:rsidRPr="008D4C3D" w:rsidRDefault="006D0FBD" w:rsidP="008404A4">
            <w:pPr>
              <w:pStyle w:val="Tabletext"/>
              <w:spacing w:before="40" w:after="40"/>
              <w:jc w:val="center"/>
              <w:rPr>
                <w:b/>
              </w:rPr>
            </w:pPr>
            <w:r>
              <w:rPr>
                <w:b/>
              </w:rPr>
              <w:t>HR (95% CI)</w:t>
            </w:r>
          </w:p>
        </w:tc>
      </w:tr>
      <w:tr w:rsidR="006D0FBD" w:rsidTr="006F3DC5">
        <w:tc>
          <w:tcPr>
            <w:tcW w:w="9242" w:type="dxa"/>
            <w:gridSpan w:val="5"/>
            <w:vAlign w:val="center"/>
          </w:tcPr>
          <w:p w:rsidR="006D0FBD" w:rsidRPr="00DE3138" w:rsidRDefault="006D0FBD" w:rsidP="008404A4">
            <w:pPr>
              <w:pStyle w:val="Tabletext"/>
              <w:spacing w:before="40" w:after="40"/>
              <w:rPr>
                <w:b/>
              </w:rPr>
            </w:pPr>
            <w:r>
              <w:rPr>
                <w:b/>
              </w:rPr>
              <w:t>Overall survival</w:t>
            </w:r>
          </w:p>
        </w:tc>
      </w:tr>
      <w:tr w:rsidR="006D0FBD" w:rsidTr="006F3DC5">
        <w:tc>
          <w:tcPr>
            <w:tcW w:w="1848" w:type="dxa"/>
            <w:vAlign w:val="center"/>
          </w:tcPr>
          <w:p w:rsidR="006D0FBD" w:rsidRDefault="006D0FBD" w:rsidP="008404A4">
            <w:pPr>
              <w:pStyle w:val="Tabletext"/>
              <w:spacing w:before="40" w:after="40"/>
            </w:pPr>
            <w:r>
              <w:t>Patients with event</w:t>
            </w:r>
          </w:p>
        </w:tc>
        <w:tc>
          <w:tcPr>
            <w:tcW w:w="1848" w:type="dxa"/>
            <w:vAlign w:val="center"/>
          </w:tcPr>
          <w:p w:rsidR="006D0FBD" w:rsidRDefault="006D0FBD" w:rsidP="008404A4">
            <w:pPr>
              <w:pStyle w:val="Tabletext"/>
              <w:spacing w:before="40" w:after="40"/>
              <w:jc w:val="center"/>
            </w:pPr>
            <w:r>
              <w:t>183/476 (38.4)</w:t>
            </w:r>
          </w:p>
        </w:tc>
        <w:tc>
          <w:tcPr>
            <w:tcW w:w="1848" w:type="dxa"/>
            <w:vAlign w:val="center"/>
          </w:tcPr>
          <w:p w:rsidR="006D0FBD" w:rsidRDefault="006D0FBD" w:rsidP="008404A4">
            <w:pPr>
              <w:pStyle w:val="Tabletext"/>
              <w:spacing w:before="40" w:after="40"/>
              <w:jc w:val="center"/>
            </w:pPr>
            <w:r>
              <w:t>116/237 (48.9)</w:t>
            </w:r>
          </w:p>
        </w:tc>
        <w:tc>
          <w:tcPr>
            <w:tcW w:w="1849" w:type="dxa"/>
            <w:vAlign w:val="center"/>
          </w:tcPr>
          <w:p w:rsidR="006D0FBD" w:rsidRDefault="006D0FBD" w:rsidP="008404A4">
            <w:pPr>
              <w:pStyle w:val="Tabletext"/>
              <w:spacing w:before="40" w:after="40"/>
              <w:jc w:val="center"/>
            </w:pPr>
            <w:r>
              <w:t>10.5%</w:t>
            </w:r>
          </w:p>
        </w:tc>
        <w:tc>
          <w:tcPr>
            <w:tcW w:w="1849" w:type="dxa"/>
            <w:vAlign w:val="center"/>
          </w:tcPr>
          <w:p w:rsidR="006D0FBD" w:rsidRDefault="006D0FBD" w:rsidP="008404A4">
            <w:pPr>
              <w:pStyle w:val="Tabletext"/>
              <w:spacing w:before="40" w:after="40"/>
              <w:jc w:val="center"/>
            </w:pPr>
            <w:r>
              <w:t>-</w:t>
            </w:r>
          </w:p>
        </w:tc>
      </w:tr>
      <w:tr w:rsidR="006D0FBD" w:rsidTr="006F3DC5">
        <w:trPr>
          <w:trHeight w:val="84"/>
        </w:trPr>
        <w:tc>
          <w:tcPr>
            <w:tcW w:w="1848" w:type="dxa"/>
            <w:vAlign w:val="center"/>
          </w:tcPr>
          <w:p w:rsidR="006D0FBD" w:rsidRDefault="006D0FBD" w:rsidP="008404A4">
            <w:pPr>
              <w:pStyle w:val="Tabletext"/>
              <w:spacing w:before="40" w:after="40"/>
            </w:pPr>
            <w:r>
              <w:t>Median months OS (95% CI)</w:t>
            </w:r>
          </w:p>
        </w:tc>
        <w:tc>
          <w:tcPr>
            <w:tcW w:w="1848" w:type="dxa"/>
            <w:vAlign w:val="center"/>
          </w:tcPr>
          <w:p w:rsidR="006D0FBD" w:rsidRDefault="006D0FBD" w:rsidP="008404A4">
            <w:pPr>
              <w:pStyle w:val="Tabletext"/>
              <w:spacing w:before="40" w:after="40"/>
              <w:jc w:val="center"/>
            </w:pPr>
            <w:r>
              <w:t>NR (34.7, NR)</w:t>
            </w:r>
          </w:p>
        </w:tc>
        <w:tc>
          <w:tcPr>
            <w:tcW w:w="1848" w:type="dxa"/>
            <w:vAlign w:val="center"/>
          </w:tcPr>
          <w:p w:rsidR="006D0FBD" w:rsidRDefault="006D0FBD" w:rsidP="008404A4">
            <w:pPr>
              <w:pStyle w:val="Tabletext"/>
              <w:spacing w:before="40" w:after="40"/>
              <w:jc w:val="center"/>
            </w:pPr>
            <w:r>
              <w:t>28.7 (22.9, NR)</w:t>
            </w:r>
          </w:p>
        </w:tc>
        <w:tc>
          <w:tcPr>
            <w:tcW w:w="1849" w:type="dxa"/>
            <w:vAlign w:val="center"/>
          </w:tcPr>
          <w:p w:rsidR="006D0FBD" w:rsidRDefault="006D0FBD" w:rsidP="008404A4">
            <w:pPr>
              <w:pStyle w:val="Tabletext"/>
              <w:spacing w:before="40" w:after="40"/>
              <w:jc w:val="center"/>
            </w:pPr>
            <w:r>
              <w:t>NR</w:t>
            </w:r>
          </w:p>
        </w:tc>
        <w:tc>
          <w:tcPr>
            <w:tcW w:w="1849" w:type="dxa"/>
            <w:vAlign w:val="center"/>
          </w:tcPr>
          <w:p w:rsidR="006D0FBD" w:rsidRPr="00277A82" w:rsidRDefault="006D0FBD" w:rsidP="008404A4">
            <w:pPr>
              <w:pStyle w:val="Tabletext"/>
              <w:spacing w:before="40" w:after="40"/>
              <w:jc w:val="center"/>
              <w:rPr>
                <w:b/>
              </w:rPr>
            </w:pPr>
            <w:r w:rsidRPr="00277A82">
              <w:rPr>
                <w:b/>
              </w:rPr>
              <w:t>0.68 (0.53, 0.87)</w:t>
            </w:r>
          </w:p>
        </w:tc>
      </w:tr>
    </w:tbl>
    <w:p w:rsidR="006D0FBD" w:rsidRPr="00B1011F" w:rsidRDefault="006D0FBD" w:rsidP="008404A4">
      <w:pPr>
        <w:pStyle w:val="TableFooter"/>
        <w:widowControl/>
        <w:rPr>
          <w:sz w:val="20"/>
        </w:rPr>
      </w:pPr>
      <w:r>
        <w:t xml:space="preserve">Source: Table 2.5.1, p40 of the submission. CI = confidence interval; HR = hazard ratio; NR = not reported; OS = overall survival </w:t>
      </w:r>
    </w:p>
    <w:p w:rsidR="00E12C3E" w:rsidRDefault="00E12C3E" w:rsidP="008404A4">
      <w:pPr>
        <w:pStyle w:val="TableFooter"/>
        <w:widowControl/>
      </w:pPr>
    </w:p>
    <w:p w:rsidR="00FC56EA" w:rsidRDefault="00FC56EA">
      <w:pPr>
        <w:widowControl/>
        <w:jc w:val="left"/>
      </w:pPr>
      <w:r>
        <w:br w:type="page"/>
      </w:r>
    </w:p>
    <w:p w:rsidR="006D0FBD" w:rsidRDefault="00FA3901" w:rsidP="008404A4">
      <w:pPr>
        <w:pStyle w:val="ListParagraph"/>
        <w:widowControl/>
        <w:numPr>
          <w:ilvl w:val="1"/>
          <w:numId w:val="2"/>
        </w:numPr>
      </w:pPr>
      <w:r w:rsidRPr="00FA3901">
        <w:t>Figure 1</w:t>
      </w:r>
      <w:r w:rsidR="00277A82" w:rsidRPr="00277A82">
        <w:t xml:space="preserve"> </w:t>
      </w:r>
      <w:r w:rsidR="006D0FBD" w:rsidRPr="00277A82">
        <w:t>p</w:t>
      </w:r>
      <w:r w:rsidR="006D0FBD">
        <w:t>resents the OS Kaplan Meier curve in the PACIFIC trial</w:t>
      </w:r>
      <w:r w:rsidR="00277A82">
        <w:t>.</w:t>
      </w:r>
    </w:p>
    <w:p w:rsidR="006D0FBD" w:rsidRPr="004C0D05" w:rsidRDefault="006D0FBD" w:rsidP="008404A4">
      <w:pPr>
        <w:pStyle w:val="TableFooter"/>
        <w:widowControl/>
        <w:rPr>
          <w:sz w:val="20"/>
        </w:rPr>
      </w:pPr>
    </w:p>
    <w:p w:rsidR="006D0FBD" w:rsidRPr="00500D65" w:rsidRDefault="006D0FBD" w:rsidP="008404A4">
      <w:pPr>
        <w:pStyle w:val="TableHeading0"/>
        <w:rPr>
          <w:rStyle w:val="CommentReference"/>
          <w:b/>
          <w:szCs w:val="20"/>
        </w:rPr>
      </w:pPr>
      <w:bookmarkStart w:id="17" w:name="_Ref521875801"/>
      <w:r w:rsidRPr="00500D65">
        <w:rPr>
          <w:rStyle w:val="CommentReference"/>
          <w:b/>
          <w:szCs w:val="20"/>
        </w:rPr>
        <w:t xml:space="preserve">Figure </w:t>
      </w:r>
      <w:r w:rsidR="00FA3901">
        <w:rPr>
          <w:rStyle w:val="CommentReference"/>
          <w:b/>
          <w:noProof/>
          <w:szCs w:val="20"/>
        </w:rPr>
        <w:t>1</w:t>
      </w:r>
      <w:bookmarkEnd w:id="17"/>
      <w:r w:rsidRPr="00500D65">
        <w:rPr>
          <w:rStyle w:val="CommentReference"/>
          <w:b/>
          <w:szCs w:val="20"/>
        </w:rPr>
        <w:t xml:space="preserve">: OS Kaplan Meier curve in PACIFIC </w:t>
      </w:r>
    </w:p>
    <w:p w:rsidR="006D0FBD" w:rsidRPr="00F03C2E" w:rsidRDefault="006D0FBD" w:rsidP="00DB4795">
      <w:pPr>
        <w:widowControl/>
        <w:jc w:val="left"/>
        <w:rPr>
          <w:color w:val="3366FF"/>
        </w:rPr>
      </w:pPr>
      <w:r>
        <w:rPr>
          <w:noProof/>
          <w:szCs w:val="24"/>
          <w:lang w:eastAsia="en-AU"/>
        </w:rPr>
        <w:drawing>
          <wp:inline distT="0" distB="0" distL="0" distR="0" wp14:anchorId="2C9F478E" wp14:editId="7588DA84">
            <wp:extent cx="4791075" cy="2397756"/>
            <wp:effectExtent l="0" t="0" r="0" b="3175"/>
            <wp:docPr id="3" name="Picture 3" title="Figure 1: OS Kaplan Meier curve in PAC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3765" cy="2419121"/>
                    </a:xfrm>
                    <a:prstGeom prst="rect">
                      <a:avLst/>
                    </a:prstGeom>
                    <a:noFill/>
                    <a:ln>
                      <a:noFill/>
                    </a:ln>
                  </pic:spPr>
                </pic:pic>
              </a:graphicData>
            </a:graphic>
          </wp:inline>
        </w:drawing>
      </w:r>
    </w:p>
    <w:p w:rsidR="006D0FBD" w:rsidRPr="00B1011F" w:rsidRDefault="006D0FBD" w:rsidP="008404A4">
      <w:pPr>
        <w:pStyle w:val="TableFooter"/>
        <w:widowControl/>
      </w:pPr>
      <w:r w:rsidRPr="009D122F">
        <w:t>Source: Figure 2.5.1, p40 of the submission. BICR = blinded independent central review; FAS = full analysis set; OS = overall survival; RECIST = response evaluation criteria in solid tumours</w:t>
      </w:r>
    </w:p>
    <w:p w:rsidR="006D0FBD" w:rsidRPr="001F0A0D" w:rsidRDefault="006D0FBD" w:rsidP="008404A4">
      <w:pPr>
        <w:pStyle w:val="TableFooter"/>
        <w:widowControl/>
        <w:rPr>
          <w:rStyle w:val="CommentReference"/>
          <w:b w:val="0"/>
          <w:sz w:val="18"/>
          <w:szCs w:val="22"/>
        </w:rPr>
      </w:pPr>
    </w:p>
    <w:p w:rsidR="005B71C7" w:rsidRDefault="006D0FBD" w:rsidP="008404A4">
      <w:pPr>
        <w:pStyle w:val="ListParagraph"/>
        <w:widowControl/>
        <w:numPr>
          <w:ilvl w:val="1"/>
          <w:numId w:val="2"/>
        </w:numPr>
        <w:spacing w:after="0"/>
      </w:pPr>
      <w:r>
        <w:t xml:space="preserve">The </w:t>
      </w:r>
      <w:r w:rsidR="009D122F">
        <w:t xml:space="preserve">PBAC noted that </w:t>
      </w:r>
      <w:r>
        <w:t xml:space="preserve">results </w:t>
      </w:r>
      <w:r w:rsidR="00AD3254">
        <w:t xml:space="preserve">of the PACFIC trial were </w:t>
      </w:r>
      <w:r>
        <w:t>immature</w:t>
      </w:r>
      <w:r w:rsidR="00AD3254">
        <w:t>,</w:t>
      </w:r>
      <w:r>
        <w:t xml:space="preserve"> with</w:t>
      </w:r>
      <w:r w:rsidR="00AD3254">
        <w:t xml:space="preserve"> </w:t>
      </w:r>
      <w:r w:rsidR="00B04525">
        <w:t xml:space="preserve">median OS not reached in </w:t>
      </w:r>
      <w:r w:rsidR="00AD3254">
        <w:t xml:space="preserve">the </w:t>
      </w:r>
      <w:r w:rsidR="0024369D">
        <w:t>durvalumab</w:t>
      </w:r>
      <w:r w:rsidR="00AD3254">
        <w:t xml:space="preserve"> arm</w:t>
      </w:r>
      <w:r w:rsidR="00DF2378">
        <w:t>.</w:t>
      </w:r>
      <w:r w:rsidR="00AD3254">
        <w:t xml:space="preserve"> </w:t>
      </w:r>
      <w:r w:rsidR="0050795B">
        <w:t xml:space="preserve"> The main findings were</w:t>
      </w:r>
      <w:r>
        <w:t>:</w:t>
      </w:r>
    </w:p>
    <w:p w:rsidR="006D0FBD" w:rsidRDefault="00AD3254" w:rsidP="008404A4">
      <w:pPr>
        <w:pStyle w:val="ListParagraph"/>
        <w:widowControl/>
        <w:numPr>
          <w:ilvl w:val="0"/>
          <w:numId w:val="6"/>
        </w:numPr>
        <w:spacing w:before="40" w:after="40"/>
        <w:ind w:left="1134" w:hanging="425"/>
      </w:pPr>
      <w:r>
        <w:t>OS</w:t>
      </w:r>
      <w:r w:rsidR="006D0FBD">
        <w:t xml:space="preserve"> among patients in the durvalumab arm of the trial was significantly longer than those in the placebo </w:t>
      </w:r>
      <w:r w:rsidR="006D0FBD" w:rsidRPr="00A21A5C">
        <w:t>arm (HR = 0.68 [95%</w:t>
      </w:r>
      <w:r w:rsidR="00DF2378" w:rsidRPr="00A21A5C">
        <w:t xml:space="preserve"> </w:t>
      </w:r>
      <w:r w:rsidR="006D0FBD" w:rsidRPr="00A21A5C">
        <w:t>CI: 0.53, 0.87]).</w:t>
      </w:r>
      <w:r w:rsidR="00B04525" w:rsidRPr="00A21A5C">
        <w:t xml:space="preserve"> The submission did not indicate when final OS data from the PACIFIC trial would be expected.</w:t>
      </w:r>
    </w:p>
    <w:p w:rsidR="00CE143D" w:rsidRPr="00A21A5C" w:rsidRDefault="006D0FBD" w:rsidP="008404A4">
      <w:pPr>
        <w:pStyle w:val="ListParagraph"/>
        <w:widowControl/>
        <w:numPr>
          <w:ilvl w:val="0"/>
          <w:numId w:val="6"/>
        </w:numPr>
        <w:spacing w:before="40" w:after="40"/>
        <w:ind w:left="1134" w:hanging="425"/>
      </w:pPr>
      <w:r w:rsidRPr="00A21A5C">
        <w:t xml:space="preserve">The submission noted that 22.4% of patients randomised to the placebo arm received immunotherapy treatment following progression during the post study follow up, and that </w:t>
      </w:r>
      <w:r w:rsidR="00326AEC" w:rsidRPr="00A21A5C">
        <w:t xml:space="preserve">8% </w:t>
      </w:r>
      <w:r w:rsidRPr="00A21A5C">
        <w:t xml:space="preserve">of durvalumab patients received </w:t>
      </w:r>
      <w:r w:rsidR="00326AEC" w:rsidRPr="00A21A5C">
        <w:t>immunotherapy following progression (see Table 5).</w:t>
      </w:r>
    </w:p>
    <w:p w:rsidR="0050795B" w:rsidRDefault="0050795B" w:rsidP="008404A4">
      <w:pPr>
        <w:pStyle w:val="ListParagraph"/>
        <w:widowControl/>
        <w:numPr>
          <w:ilvl w:val="0"/>
          <w:numId w:val="6"/>
        </w:numPr>
        <w:spacing w:before="40" w:after="40"/>
        <w:ind w:left="1134" w:hanging="425"/>
      </w:pPr>
      <w:r w:rsidRPr="00A21A5C">
        <w:t xml:space="preserve">The </w:t>
      </w:r>
      <w:r w:rsidR="00AE2909" w:rsidRPr="00A21A5C">
        <w:t>Pre-Sub-Committee Response (</w:t>
      </w:r>
      <w:r w:rsidRPr="00A21A5C">
        <w:t>PSCR</w:t>
      </w:r>
      <w:r w:rsidR="00AE2909" w:rsidRPr="00A21A5C">
        <w:t>)</w:t>
      </w:r>
      <w:r w:rsidRPr="00A21A5C">
        <w:t xml:space="preserve"> addressed the possibility of second-line PD</w:t>
      </w:r>
      <w:r w:rsidR="00717D6A">
        <w:t>-</w:t>
      </w:r>
      <w:r w:rsidR="00327A0B">
        <w:t>(L)</w:t>
      </w:r>
      <w:r w:rsidRPr="00A21A5C">
        <w:t>1 inhibitors in the durvalumab arm of the PACIFIC trial affecting the estimates of overall survival with an analysis that adjusted for these subsequent treatments. The PSCR described a rank-preserving structural failure time model (RPSFTM), which was applied to remove the effect of second line PD</w:t>
      </w:r>
      <w:r w:rsidR="00717D6A">
        <w:t>-</w:t>
      </w:r>
      <w:r w:rsidR="00327A0B">
        <w:t>(L)</w:t>
      </w:r>
      <w:r w:rsidRPr="00A21A5C">
        <w:t xml:space="preserve">1  inhibitors in the durvalumab arm. The analysis reported an adjusted hazard ratio of </w:t>
      </w:r>
      <w:r w:rsidR="00145C02">
        <w:rPr>
          <w:noProof/>
          <w:color w:val="000000"/>
          <w:highlight w:val="black"/>
        </w:rPr>
        <w:t>''''''''</w:t>
      </w:r>
      <w:r w:rsidRPr="009C2648">
        <w:t xml:space="preserve">, 95% CI </w:t>
      </w:r>
      <w:r w:rsidR="00145C02">
        <w:rPr>
          <w:noProof/>
          <w:color w:val="000000"/>
          <w:highlight w:val="black"/>
        </w:rPr>
        <w:t>'''''''''</w:t>
      </w:r>
      <w:r w:rsidRPr="009C2648">
        <w:t xml:space="preserve">, </w:t>
      </w:r>
      <w:r w:rsidR="00145C02">
        <w:rPr>
          <w:noProof/>
          <w:color w:val="000000"/>
          <w:highlight w:val="black"/>
        </w:rPr>
        <w:t>'''''''''</w:t>
      </w:r>
      <w:r w:rsidRPr="009C2648">
        <w:t>.</w:t>
      </w:r>
      <w:r w:rsidRPr="00A21A5C">
        <w:t xml:space="preserve"> This result is consistent with the primary analysis.</w:t>
      </w:r>
    </w:p>
    <w:p w:rsidR="008C329D" w:rsidRDefault="00510515" w:rsidP="00FC56EA">
      <w:pPr>
        <w:pStyle w:val="ListParagraph"/>
        <w:keepNext/>
        <w:widowControl/>
        <w:numPr>
          <w:ilvl w:val="1"/>
          <w:numId w:val="2"/>
        </w:numPr>
        <w:spacing w:before="240"/>
        <w:jc w:val="left"/>
      </w:pPr>
      <w:r>
        <w:t>Table 5</w:t>
      </w:r>
      <w:r w:rsidR="008C329D">
        <w:t xml:space="preserve"> presents a summary of </w:t>
      </w:r>
      <w:r w:rsidR="000F7EDB">
        <w:t>post-progression</w:t>
      </w:r>
      <w:r w:rsidR="008C329D">
        <w:t xml:space="preserve"> t</w:t>
      </w:r>
      <w:r w:rsidR="00BF55B8">
        <w:t>he</w:t>
      </w:r>
      <w:r w:rsidR="008C329D">
        <w:t>rapies in the P</w:t>
      </w:r>
      <w:r w:rsidR="00BF55B8">
        <w:t>ACIFIC</w:t>
      </w:r>
      <w:r w:rsidR="008C329D">
        <w:t xml:space="preserve"> trial</w:t>
      </w:r>
      <w:r w:rsidR="00BF55B8">
        <w:t>.</w:t>
      </w:r>
    </w:p>
    <w:p w:rsidR="008C329D" w:rsidRPr="001F0A0D" w:rsidRDefault="008C329D" w:rsidP="008404A4">
      <w:pPr>
        <w:keepNext/>
        <w:widowControl/>
        <w:jc w:val="left"/>
        <w:rPr>
          <w:rStyle w:val="CommentReference"/>
          <w:szCs w:val="20"/>
        </w:rPr>
      </w:pPr>
      <w:bookmarkStart w:id="18" w:name="_Ref524292605"/>
      <w:r w:rsidRPr="001F0A0D">
        <w:rPr>
          <w:rStyle w:val="CommentReference"/>
          <w:szCs w:val="20"/>
        </w:rPr>
        <w:t xml:space="preserve">Table </w:t>
      </w:r>
      <w:r w:rsidR="00FA3901" w:rsidRPr="001F0A0D">
        <w:rPr>
          <w:rFonts w:ascii="Arial Narrow" w:hAnsi="Arial Narrow"/>
          <w:b/>
          <w:noProof/>
          <w:sz w:val="20"/>
          <w:szCs w:val="20"/>
        </w:rPr>
        <w:t>5</w:t>
      </w:r>
      <w:bookmarkEnd w:id="18"/>
      <w:r w:rsidRPr="001F0A0D">
        <w:rPr>
          <w:rStyle w:val="CommentReference"/>
          <w:szCs w:val="20"/>
        </w:rPr>
        <w:t xml:space="preserve">: </w:t>
      </w:r>
      <w:r w:rsidR="000F7EDB" w:rsidRPr="001F0A0D">
        <w:rPr>
          <w:rStyle w:val="CommentReference"/>
          <w:szCs w:val="20"/>
        </w:rPr>
        <w:t>Post-progression</w:t>
      </w:r>
      <w:r w:rsidRPr="001F0A0D">
        <w:rPr>
          <w:rStyle w:val="CommentReference"/>
          <w:szCs w:val="20"/>
        </w:rPr>
        <w:t xml:space="preserve"> therapies in the PACIFIC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29" w:type="dxa"/>
          <w:bottom w:w="15" w:type="dxa"/>
          <w:right w:w="29" w:type="dxa"/>
        </w:tblCellMar>
        <w:tblLook w:val="04A0" w:firstRow="1" w:lastRow="0" w:firstColumn="1" w:lastColumn="0" w:noHBand="0" w:noVBand="1"/>
        <w:tblCaption w:val="Table 5: Post-progression therapies in the PACIFIC trial"/>
      </w:tblPr>
      <w:tblGrid>
        <w:gridCol w:w="1558"/>
        <w:gridCol w:w="1886"/>
        <w:gridCol w:w="1886"/>
        <w:gridCol w:w="1886"/>
        <w:gridCol w:w="1888"/>
      </w:tblGrid>
      <w:tr w:rsidR="008C329D" w:rsidTr="00DF2378">
        <w:trPr>
          <w:tblHeader/>
        </w:trPr>
        <w:tc>
          <w:tcPr>
            <w:tcW w:w="855" w:type="pct"/>
            <w:vMerge w:val="restart"/>
            <w:shd w:val="clear" w:color="auto" w:fill="FFFFFF" w:themeFill="background1"/>
            <w:tcMar>
              <w:top w:w="48" w:type="dxa"/>
              <w:left w:w="48" w:type="dxa"/>
              <w:bottom w:w="48" w:type="dxa"/>
              <w:right w:w="48" w:type="dxa"/>
            </w:tcMar>
            <w:vAlign w:val="bottom"/>
          </w:tcPr>
          <w:p w:rsidR="008C329D" w:rsidRDefault="008C329D" w:rsidP="008404A4">
            <w:pPr>
              <w:pStyle w:val="TableHeading0"/>
              <w:spacing w:before="0" w:after="0" w:line="240" w:lineRule="auto"/>
            </w:pPr>
            <w:r>
              <w:t>Subsequent therapy</w:t>
            </w:r>
          </w:p>
        </w:tc>
        <w:tc>
          <w:tcPr>
            <w:tcW w:w="2072" w:type="pct"/>
            <w:gridSpan w:val="2"/>
            <w:shd w:val="clear" w:color="auto" w:fill="FFFFFF" w:themeFill="background1"/>
            <w:tcMar>
              <w:top w:w="48" w:type="dxa"/>
              <w:left w:w="48" w:type="dxa"/>
              <w:bottom w:w="48" w:type="dxa"/>
              <w:right w:w="48" w:type="dxa"/>
            </w:tcMar>
            <w:vAlign w:val="center"/>
          </w:tcPr>
          <w:p w:rsidR="008C329D" w:rsidRDefault="008C329D" w:rsidP="008404A4">
            <w:pPr>
              <w:pStyle w:val="TableHeading0"/>
              <w:spacing w:before="0" w:after="0" w:line="240" w:lineRule="auto"/>
              <w:jc w:val="center"/>
            </w:pPr>
            <w:r>
              <w:t>PACIFIC</w:t>
            </w:r>
            <w:r w:rsidR="00BF55B8">
              <w:br/>
            </w:r>
            <w:r>
              <w:t>(ITT population)</w:t>
            </w:r>
          </w:p>
        </w:tc>
        <w:tc>
          <w:tcPr>
            <w:tcW w:w="2073" w:type="pct"/>
            <w:gridSpan w:val="2"/>
            <w:tcBorders>
              <w:left w:val="single" w:sz="4" w:space="0" w:color="auto"/>
            </w:tcBorders>
            <w:shd w:val="clear" w:color="auto" w:fill="FFFFFF" w:themeFill="background1"/>
            <w:vAlign w:val="center"/>
          </w:tcPr>
          <w:p w:rsidR="008C329D" w:rsidRDefault="008C329D" w:rsidP="008404A4">
            <w:pPr>
              <w:pStyle w:val="TableHeading0"/>
              <w:spacing w:before="0" w:after="0" w:line="240" w:lineRule="auto"/>
              <w:jc w:val="center"/>
            </w:pPr>
            <w:r>
              <w:t>PACIFIC</w:t>
            </w:r>
            <w:r w:rsidR="00BF55B8">
              <w:br/>
            </w:r>
            <w:r>
              <w:t>(patients treated with subsequent therapy)</w:t>
            </w:r>
          </w:p>
        </w:tc>
      </w:tr>
      <w:tr w:rsidR="008C329D" w:rsidRPr="00B25E7A" w:rsidTr="00DF2378">
        <w:trPr>
          <w:trHeight w:val="102"/>
        </w:trPr>
        <w:tc>
          <w:tcPr>
            <w:tcW w:w="855" w:type="pct"/>
            <w:vMerge/>
            <w:shd w:val="clear" w:color="auto" w:fill="FFFFFF" w:themeFill="background1"/>
            <w:tcMar>
              <w:top w:w="48" w:type="dxa"/>
              <w:left w:w="48" w:type="dxa"/>
              <w:bottom w:w="48" w:type="dxa"/>
              <w:right w:w="48" w:type="dxa"/>
            </w:tcMar>
          </w:tcPr>
          <w:p w:rsidR="008C329D" w:rsidRPr="00B25E7A" w:rsidRDefault="008C329D" w:rsidP="008404A4">
            <w:pPr>
              <w:pStyle w:val="TableText0"/>
              <w:keepNext/>
              <w:spacing w:before="0" w:after="0" w:line="240" w:lineRule="auto"/>
              <w:rPr>
                <w:b/>
              </w:rPr>
            </w:pPr>
          </w:p>
        </w:tc>
        <w:tc>
          <w:tcPr>
            <w:tcW w:w="1036"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jc w:val="center"/>
              <w:rPr>
                <w:b/>
              </w:rPr>
            </w:pPr>
            <w:r w:rsidRPr="00B25E7A">
              <w:rPr>
                <w:b/>
              </w:rPr>
              <w:t>Durvalumab</w:t>
            </w:r>
          </w:p>
          <w:p w:rsidR="008C329D" w:rsidRPr="00B25E7A" w:rsidRDefault="008C329D" w:rsidP="008404A4">
            <w:pPr>
              <w:pStyle w:val="TableText0"/>
              <w:keepNext/>
              <w:spacing w:before="0" w:after="0" w:line="240" w:lineRule="auto"/>
              <w:jc w:val="center"/>
              <w:rPr>
                <w:b/>
              </w:rPr>
            </w:pPr>
            <w:r w:rsidRPr="00B25E7A">
              <w:rPr>
                <w:b/>
              </w:rPr>
              <w:t>(N=476</w:t>
            </w:r>
            <w:r>
              <w:rPr>
                <w:b/>
              </w:rPr>
              <w:t>)</w:t>
            </w:r>
          </w:p>
        </w:tc>
        <w:tc>
          <w:tcPr>
            <w:tcW w:w="1036" w:type="pct"/>
            <w:shd w:val="clear" w:color="auto" w:fill="FFFFFF" w:themeFill="background1"/>
          </w:tcPr>
          <w:p w:rsidR="008C329D" w:rsidRDefault="008C329D" w:rsidP="008404A4">
            <w:pPr>
              <w:pStyle w:val="TableText0"/>
              <w:keepNext/>
              <w:spacing w:before="0" w:after="0" w:line="240" w:lineRule="auto"/>
              <w:jc w:val="center"/>
              <w:rPr>
                <w:b/>
              </w:rPr>
            </w:pPr>
            <w:r w:rsidRPr="00B25E7A">
              <w:rPr>
                <w:b/>
              </w:rPr>
              <w:t>Placebo</w:t>
            </w:r>
          </w:p>
          <w:p w:rsidR="008C329D" w:rsidRPr="00B25E7A" w:rsidRDefault="008C329D" w:rsidP="008404A4">
            <w:pPr>
              <w:pStyle w:val="TableText0"/>
              <w:keepNext/>
              <w:spacing w:before="0" w:after="0" w:line="240" w:lineRule="auto"/>
              <w:jc w:val="center"/>
              <w:rPr>
                <w:b/>
              </w:rPr>
            </w:pPr>
            <w:r w:rsidRPr="00B25E7A">
              <w:rPr>
                <w:b/>
              </w:rPr>
              <w:t>(N=237</w:t>
            </w:r>
            <w:r>
              <w:rPr>
                <w:b/>
              </w:rPr>
              <w:t>)</w:t>
            </w:r>
          </w:p>
        </w:tc>
        <w:tc>
          <w:tcPr>
            <w:tcW w:w="1036" w:type="pct"/>
            <w:tcBorders>
              <w:left w:val="single" w:sz="4" w:space="0" w:color="auto"/>
            </w:tcBorders>
            <w:shd w:val="clear" w:color="auto" w:fill="FFFFFF" w:themeFill="background1"/>
          </w:tcPr>
          <w:p w:rsidR="008C329D" w:rsidRDefault="008C329D" w:rsidP="008404A4">
            <w:pPr>
              <w:pStyle w:val="TableText0"/>
              <w:keepNext/>
              <w:spacing w:before="0" w:after="0" w:line="240" w:lineRule="auto"/>
              <w:jc w:val="center"/>
              <w:rPr>
                <w:b/>
              </w:rPr>
            </w:pPr>
            <w:r>
              <w:rPr>
                <w:b/>
              </w:rPr>
              <w:t>Durvalumab</w:t>
            </w:r>
          </w:p>
          <w:p w:rsidR="008C329D" w:rsidRPr="00B25E7A" w:rsidRDefault="008C329D" w:rsidP="008404A4">
            <w:pPr>
              <w:pStyle w:val="TableText0"/>
              <w:keepNext/>
              <w:spacing w:before="0" w:after="0" w:line="240" w:lineRule="auto"/>
              <w:jc w:val="center"/>
              <w:rPr>
                <w:b/>
              </w:rPr>
            </w:pPr>
            <w:r>
              <w:rPr>
                <w:b/>
              </w:rPr>
              <w:t>(N=195)</w:t>
            </w:r>
          </w:p>
        </w:tc>
        <w:tc>
          <w:tcPr>
            <w:tcW w:w="1036" w:type="pct"/>
            <w:shd w:val="clear" w:color="auto" w:fill="FFFFFF" w:themeFill="background1"/>
          </w:tcPr>
          <w:p w:rsidR="008C329D" w:rsidRDefault="008C329D" w:rsidP="008404A4">
            <w:pPr>
              <w:pStyle w:val="TableText0"/>
              <w:keepNext/>
              <w:spacing w:before="0" w:after="0" w:line="240" w:lineRule="auto"/>
              <w:jc w:val="center"/>
              <w:rPr>
                <w:b/>
              </w:rPr>
            </w:pPr>
            <w:r w:rsidRPr="00B25E7A">
              <w:rPr>
                <w:b/>
              </w:rPr>
              <w:t>Placebo</w:t>
            </w:r>
          </w:p>
          <w:p w:rsidR="008C329D" w:rsidRPr="00B25E7A" w:rsidRDefault="008C329D" w:rsidP="008404A4">
            <w:pPr>
              <w:pStyle w:val="TableText0"/>
              <w:keepNext/>
              <w:spacing w:before="0" w:after="0" w:line="240" w:lineRule="auto"/>
              <w:jc w:val="center"/>
              <w:rPr>
                <w:b/>
              </w:rPr>
            </w:pPr>
            <w:r w:rsidRPr="00B25E7A">
              <w:rPr>
                <w:b/>
              </w:rPr>
              <w:t>(N=</w:t>
            </w:r>
            <w:r>
              <w:rPr>
                <w:b/>
              </w:rPr>
              <w:t>128)</w:t>
            </w:r>
          </w:p>
        </w:tc>
      </w:tr>
      <w:tr w:rsidR="008C329D" w:rsidTr="00DF2378">
        <w:trPr>
          <w:trHeight w:val="22"/>
        </w:trPr>
        <w:tc>
          <w:tcPr>
            <w:tcW w:w="855"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pPr>
            <w:r>
              <w:t>Radiotherapy</w:t>
            </w:r>
          </w:p>
        </w:tc>
        <w:tc>
          <w:tcPr>
            <w:tcW w:w="1036"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jc w:val="center"/>
            </w:pPr>
            <w:r>
              <w:t>17.2%</w:t>
            </w:r>
          </w:p>
        </w:tc>
        <w:tc>
          <w:tcPr>
            <w:tcW w:w="1036" w:type="pct"/>
            <w:shd w:val="clear" w:color="auto" w:fill="FFFFFF" w:themeFill="background1"/>
          </w:tcPr>
          <w:p w:rsidR="008C329D" w:rsidRDefault="008C329D" w:rsidP="008404A4">
            <w:pPr>
              <w:pStyle w:val="TableText0"/>
              <w:keepNext/>
              <w:spacing w:before="0" w:after="0" w:line="240" w:lineRule="auto"/>
              <w:jc w:val="center"/>
            </w:pPr>
            <w:r>
              <w:t>23.6%</w:t>
            </w:r>
          </w:p>
        </w:tc>
        <w:tc>
          <w:tcPr>
            <w:tcW w:w="1036" w:type="pct"/>
            <w:tcBorders>
              <w:left w:val="single" w:sz="4" w:space="0" w:color="auto"/>
            </w:tcBorders>
            <w:shd w:val="clear" w:color="auto" w:fill="FFFFFF" w:themeFill="background1"/>
          </w:tcPr>
          <w:p w:rsidR="008C329D" w:rsidRDefault="008C329D" w:rsidP="008404A4">
            <w:pPr>
              <w:pStyle w:val="TableText0"/>
              <w:keepNext/>
              <w:spacing w:before="0" w:after="0" w:line="240" w:lineRule="auto"/>
              <w:jc w:val="center"/>
            </w:pPr>
            <w:r>
              <w:t>42.1%</w:t>
            </w:r>
          </w:p>
        </w:tc>
        <w:tc>
          <w:tcPr>
            <w:tcW w:w="1036" w:type="pct"/>
            <w:shd w:val="clear" w:color="auto" w:fill="FFFFFF" w:themeFill="background1"/>
          </w:tcPr>
          <w:p w:rsidR="008C329D" w:rsidRDefault="008C329D" w:rsidP="008404A4">
            <w:pPr>
              <w:pStyle w:val="TableText0"/>
              <w:keepNext/>
              <w:spacing w:before="0" w:after="0" w:line="240" w:lineRule="auto"/>
              <w:jc w:val="center"/>
            </w:pPr>
            <w:r>
              <w:t>43.8%</w:t>
            </w:r>
          </w:p>
        </w:tc>
      </w:tr>
      <w:tr w:rsidR="008C329D" w:rsidTr="00DF2378">
        <w:tc>
          <w:tcPr>
            <w:tcW w:w="855"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pPr>
            <w:r>
              <w:t>Immunotherapy</w:t>
            </w:r>
          </w:p>
        </w:tc>
        <w:tc>
          <w:tcPr>
            <w:tcW w:w="1036"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jc w:val="center"/>
            </w:pPr>
            <w:r>
              <w:t>8.0%</w:t>
            </w:r>
          </w:p>
        </w:tc>
        <w:tc>
          <w:tcPr>
            <w:tcW w:w="1036" w:type="pct"/>
            <w:shd w:val="clear" w:color="auto" w:fill="FFFFFF" w:themeFill="background1"/>
          </w:tcPr>
          <w:p w:rsidR="008C329D" w:rsidRDefault="008C329D" w:rsidP="008404A4">
            <w:pPr>
              <w:pStyle w:val="TableText0"/>
              <w:keepNext/>
              <w:spacing w:before="0" w:after="0" w:line="240" w:lineRule="auto"/>
              <w:jc w:val="center"/>
            </w:pPr>
            <w:r>
              <w:t>22.4%</w:t>
            </w:r>
          </w:p>
        </w:tc>
        <w:tc>
          <w:tcPr>
            <w:tcW w:w="1036" w:type="pct"/>
            <w:tcBorders>
              <w:left w:val="single" w:sz="4" w:space="0" w:color="auto"/>
            </w:tcBorders>
            <w:shd w:val="clear" w:color="auto" w:fill="FFFFFF" w:themeFill="background1"/>
          </w:tcPr>
          <w:p w:rsidR="008C329D" w:rsidRDefault="008C329D" w:rsidP="008404A4">
            <w:pPr>
              <w:pStyle w:val="TableText0"/>
              <w:keepNext/>
              <w:spacing w:before="0" w:after="0" w:line="240" w:lineRule="auto"/>
              <w:jc w:val="center"/>
            </w:pPr>
            <w:r>
              <w:t>19.5%</w:t>
            </w:r>
          </w:p>
        </w:tc>
        <w:tc>
          <w:tcPr>
            <w:tcW w:w="1036" w:type="pct"/>
            <w:shd w:val="clear" w:color="auto" w:fill="FFFFFF" w:themeFill="background1"/>
          </w:tcPr>
          <w:p w:rsidR="008C329D" w:rsidRDefault="008C329D" w:rsidP="008404A4">
            <w:pPr>
              <w:pStyle w:val="TableText0"/>
              <w:keepNext/>
              <w:spacing w:before="0" w:after="0" w:line="240" w:lineRule="auto"/>
              <w:jc w:val="center"/>
            </w:pPr>
            <w:r>
              <w:t>41.4%</w:t>
            </w:r>
          </w:p>
        </w:tc>
      </w:tr>
      <w:tr w:rsidR="008C329D" w:rsidTr="00DF2378">
        <w:tc>
          <w:tcPr>
            <w:tcW w:w="855" w:type="pct"/>
            <w:tcBorders>
              <w:top w:val="single" w:sz="4" w:space="0" w:color="auto"/>
            </w:tcBorders>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pPr>
            <w:r>
              <w:t>Chemotherapy</w:t>
            </w:r>
          </w:p>
        </w:tc>
        <w:tc>
          <w:tcPr>
            <w:tcW w:w="1036" w:type="pct"/>
            <w:tcBorders>
              <w:top w:val="single" w:sz="4" w:space="0" w:color="auto"/>
            </w:tcBorders>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jc w:val="center"/>
            </w:pPr>
            <w:r>
              <w:t>26.9%</w:t>
            </w:r>
          </w:p>
        </w:tc>
        <w:tc>
          <w:tcPr>
            <w:tcW w:w="1036" w:type="pct"/>
            <w:tcBorders>
              <w:top w:val="single" w:sz="4" w:space="0" w:color="auto"/>
            </w:tcBorders>
            <w:shd w:val="clear" w:color="auto" w:fill="FFFFFF" w:themeFill="background1"/>
          </w:tcPr>
          <w:p w:rsidR="008C329D" w:rsidRDefault="008C329D" w:rsidP="008404A4">
            <w:pPr>
              <w:pStyle w:val="TableText0"/>
              <w:keepNext/>
              <w:spacing w:before="0" w:after="0" w:line="240" w:lineRule="auto"/>
              <w:jc w:val="center"/>
            </w:pPr>
            <w:r>
              <w:t>30.0%</w:t>
            </w:r>
          </w:p>
        </w:tc>
        <w:tc>
          <w:tcPr>
            <w:tcW w:w="1036" w:type="pct"/>
            <w:tcBorders>
              <w:top w:val="single" w:sz="4" w:space="0" w:color="auto"/>
              <w:left w:val="single" w:sz="4" w:space="0" w:color="auto"/>
            </w:tcBorders>
            <w:shd w:val="clear" w:color="auto" w:fill="FFFFFF" w:themeFill="background1"/>
          </w:tcPr>
          <w:p w:rsidR="008C329D" w:rsidRDefault="008C329D" w:rsidP="008404A4">
            <w:pPr>
              <w:pStyle w:val="TableText0"/>
              <w:keepNext/>
              <w:spacing w:before="0" w:after="0" w:line="240" w:lineRule="auto"/>
              <w:jc w:val="center"/>
            </w:pPr>
            <w:r>
              <w:t>65.6%</w:t>
            </w:r>
          </w:p>
        </w:tc>
        <w:tc>
          <w:tcPr>
            <w:tcW w:w="1036" w:type="pct"/>
            <w:tcBorders>
              <w:top w:val="single" w:sz="4" w:space="0" w:color="auto"/>
            </w:tcBorders>
            <w:shd w:val="clear" w:color="auto" w:fill="FFFFFF" w:themeFill="background1"/>
          </w:tcPr>
          <w:p w:rsidR="008C329D" w:rsidRDefault="008C329D" w:rsidP="008404A4">
            <w:pPr>
              <w:pStyle w:val="TableText0"/>
              <w:keepNext/>
              <w:spacing w:before="0" w:after="0" w:line="240" w:lineRule="auto"/>
              <w:jc w:val="center"/>
            </w:pPr>
            <w:r>
              <w:t>55.5%</w:t>
            </w:r>
          </w:p>
        </w:tc>
      </w:tr>
      <w:tr w:rsidR="008C329D" w:rsidTr="00DF2378">
        <w:tc>
          <w:tcPr>
            <w:tcW w:w="855"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pPr>
            <w:r>
              <w:t xml:space="preserve">Systemic therapy </w:t>
            </w:r>
          </w:p>
        </w:tc>
        <w:tc>
          <w:tcPr>
            <w:tcW w:w="1036"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jc w:val="center"/>
            </w:pPr>
            <w:r>
              <w:t>9.9%</w:t>
            </w:r>
          </w:p>
        </w:tc>
        <w:tc>
          <w:tcPr>
            <w:tcW w:w="1036" w:type="pct"/>
            <w:shd w:val="clear" w:color="auto" w:fill="FFFFFF" w:themeFill="background1"/>
          </w:tcPr>
          <w:p w:rsidR="008C329D" w:rsidRDefault="008C329D" w:rsidP="008404A4">
            <w:pPr>
              <w:pStyle w:val="TableText0"/>
              <w:keepNext/>
              <w:spacing w:before="0" w:after="0" w:line="240" w:lineRule="auto"/>
              <w:jc w:val="center"/>
            </w:pPr>
            <w:r>
              <w:t>13.1%</w:t>
            </w:r>
          </w:p>
        </w:tc>
        <w:tc>
          <w:tcPr>
            <w:tcW w:w="1036" w:type="pct"/>
            <w:tcBorders>
              <w:left w:val="single" w:sz="4" w:space="0" w:color="auto"/>
            </w:tcBorders>
            <w:shd w:val="clear" w:color="auto" w:fill="FFFFFF" w:themeFill="background1"/>
          </w:tcPr>
          <w:p w:rsidR="008C329D" w:rsidRDefault="008C329D" w:rsidP="008404A4">
            <w:pPr>
              <w:pStyle w:val="TableText0"/>
              <w:keepNext/>
              <w:spacing w:before="0" w:after="0" w:line="240" w:lineRule="auto"/>
              <w:jc w:val="center"/>
            </w:pPr>
            <w:r>
              <w:t>24.1%</w:t>
            </w:r>
          </w:p>
        </w:tc>
        <w:tc>
          <w:tcPr>
            <w:tcW w:w="1036" w:type="pct"/>
            <w:shd w:val="clear" w:color="auto" w:fill="FFFFFF" w:themeFill="background1"/>
          </w:tcPr>
          <w:p w:rsidR="008C329D" w:rsidRDefault="008C329D" w:rsidP="008404A4">
            <w:pPr>
              <w:pStyle w:val="TableText0"/>
              <w:keepNext/>
              <w:spacing w:before="0" w:after="0" w:line="240" w:lineRule="auto"/>
              <w:jc w:val="center"/>
            </w:pPr>
            <w:r>
              <w:t>24.2%</w:t>
            </w:r>
          </w:p>
        </w:tc>
      </w:tr>
      <w:tr w:rsidR="008C329D" w:rsidTr="00DF2378">
        <w:tc>
          <w:tcPr>
            <w:tcW w:w="855"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pPr>
            <w:r>
              <w:t>Other therapies</w:t>
            </w:r>
          </w:p>
        </w:tc>
        <w:tc>
          <w:tcPr>
            <w:tcW w:w="1036" w:type="pct"/>
            <w:shd w:val="clear" w:color="auto" w:fill="FFFFFF" w:themeFill="background1"/>
            <w:tcMar>
              <w:top w:w="48" w:type="dxa"/>
              <w:left w:w="48" w:type="dxa"/>
              <w:bottom w:w="48" w:type="dxa"/>
              <w:right w:w="48" w:type="dxa"/>
            </w:tcMar>
          </w:tcPr>
          <w:p w:rsidR="008C329D" w:rsidRDefault="008C329D" w:rsidP="008404A4">
            <w:pPr>
              <w:pStyle w:val="TableText0"/>
              <w:keepNext/>
              <w:spacing w:before="0" w:after="0" w:line="240" w:lineRule="auto"/>
              <w:jc w:val="center"/>
            </w:pPr>
            <w:r>
              <w:t>0.2%</w:t>
            </w:r>
          </w:p>
        </w:tc>
        <w:tc>
          <w:tcPr>
            <w:tcW w:w="1036" w:type="pct"/>
            <w:shd w:val="clear" w:color="auto" w:fill="FFFFFF" w:themeFill="background1"/>
          </w:tcPr>
          <w:p w:rsidR="008C329D" w:rsidRDefault="008C329D" w:rsidP="008404A4">
            <w:pPr>
              <w:pStyle w:val="TableText0"/>
              <w:keepNext/>
              <w:spacing w:before="0" w:after="0" w:line="240" w:lineRule="auto"/>
              <w:jc w:val="center"/>
            </w:pPr>
            <w:r>
              <w:t>0.4%</w:t>
            </w:r>
          </w:p>
        </w:tc>
        <w:tc>
          <w:tcPr>
            <w:tcW w:w="1036" w:type="pct"/>
            <w:tcBorders>
              <w:left w:val="single" w:sz="4" w:space="0" w:color="auto"/>
            </w:tcBorders>
            <w:shd w:val="clear" w:color="auto" w:fill="FFFFFF" w:themeFill="background1"/>
          </w:tcPr>
          <w:p w:rsidR="008C329D" w:rsidRDefault="008C329D" w:rsidP="008404A4">
            <w:pPr>
              <w:pStyle w:val="TableText0"/>
              <w:keepNext/>
              <w:spacing w:before="0" w:after="0" w:line="240" w:lineRule="auto"/>
              <w:jc w:val="center"/>
            </w:pPr>
            <w:r>
              <w:t>0.5%</w:t>
            </w:r>
          </w:p>
        </w:tc>
        <w:tc>
          <w:tcPr>
            <w:tcW w:w="1036" w:type="pct"/>
            <w:shd w:val="clear" w:color="auto" w:fill="FFFFFF" w:themeFill="background1"/>
          </w:tcPr>
          <w:p w:rsidR="008C329D" w:rsidRDefault="008C329D" w:rsidP="008404A4">
            <w:pPr>
              <w:pStyle w:val="TableText0"/>
              <w:keepNext/>
              <w:spacing w:before="0" w:after="0" w:line="240" w:lineRule="auto"/>
              <w:jc w:val="center"/>
            </w:pPr>
            <w:r>
              <w:t>0.8%</w:t>
            </w:r>
          </w:p>
        </w:tc>
      </w:tr>
    </w:tbl>
    <w:p w:rsidR="008C329D" w:rsidRDefault="008C329D" w:rsidP="008404A4">
      <w:pPr>
        <w:pStyle w:val="TableFooter"/>
        <w:widowControl/>
      </w:pPr>
      <w:r>
        <w:t>Source: Table 2.7.3, p70 of the submission. ITT = intention to treat</w:t>
      </w:r>
    </w:p>
    <w:p w:rsidR="008C329D" w:rsidRDefault="008C329D" w:rsidP="008404A4">
      <w:pPr>
        <w:pStyle w:val="TableFooter"/>
        <w:widowControl/>
      </w:pPr>
    </w:p>
    <w:p w:rsidR="005B71C7" w:rsidRDefault="00FA3901" w:rsidP="008404A4">
      <w:pPr>
        <w:pStyle w:val="ListParagraph"/>
        <w:widowControl/>
        <w:numPr>
          <w:ilvl w:val="1"/>
          <w:numId w:val="2"/>
        </w:numPr>
      </w:pPr>
      <w:r w:rsidRPr="00500D65">
        <w:t xml:space="preserve">Table </w:t>
      </w:r>
      <w:r>
        <w:t>6</w:t>
      </w:r>
      <w:r w:rsidR="006F492B" w:rsidRPr="006F492B">
        <w:t xml:space="preserve"> </w:t>
      </w:r>
      <w:r w:rsidR="006D0FBD" w:rsidRPr="00A21A5C">
        <w:t xml:space="preserve">presents a summary of PFS outcomes in the PACIFIC trial at </w:t>
      </w:r>
      <w:r w:rsidR="00523AB9">
        <w:t xml:space="preserve">two </w:t>
      </w:r>
      <w:r w:rsidR="006D0FBD" w:rsidRPr="00A21A5C">
        <w:t>data</w:t>
      </w:r>
      <w:r w:rsidR="008E0603" w:rsidRPr="00A21A5C">
        <w:t xml:space="preserve"> </w:t>
      </w:r>
      <w:r w:rsidR="006D0FBD" w:rsidRPr="00A21A5C">
        <w:t>cuts.</w:t>
      </w:r>
      <w:r w:rsidR="000924D7" w:rsidRPr="00A21A5C">
        <w:t xml:space="preserve"> The </w:t>
      </w:r>
      <w:r w:rsidR="0066001B" w:rsidRPr="00A21A5C">
        <w:t xml:space="preserve">estimates from </w:t>
      </w:r>
      <w:r w:rsidR="00E77C54">
        <w:t>22 March 2018</w:t>
      </w:r>
      <w:r w:rsidR="0066001B" w:rsidRPr="00A21A5C">
        <w:t xml:space="preserve"> could not be located in the CSR or </w:t>
      </w:r>
      <w:r w:rsidR="000924D7" w:rsidRPr="00A21A5C">
        <w:t xml:space="preserve">references provided by the submission. </w:t>
      </w:r>
    </w:p>
    <w:p w:rsidR="006D0FBD" w:rsidRPr="001F0A0D" w:rsidRDefault="006D0FBD" w:rsidP="008404A4">
      <w:pPr>
        <w:pStyle w:val="TableHeading0"/>
        <w:rPr>
          <w:rStyle w:val="CommentReference"/>
          <w:b/>
          <w:szCs w:val="20"/>
        </w:rPr>
      </w:pPr>
      <w:bookmarkStart w:id="19" w:name="_Ref521875873"/>
      <w:r w:rsidRPr="00500D65">
        <w:t xml:space="preserve">Table </w:t>
      </w:r>
      <w:r w:rsidR="00FA3901">
        <w:rPr>
          <w:noProof/>
        </w:rPr>
        <w:t>6</w:t>
      </w:r>
      <w:bookmarkEnd w:id="19"/>
      <w:r w:rsidRPr="00500D65">
        <w:t xml:space="preserve">: </w:t>
      </w:r>
      <w:r w:rsidRPr="001F0A0D">
        <w:rPr>
          <w:rStyle w:val="CommentReference"/>
          <w:b/>
          <w:szCs w:val="20"/>
        </w:rPr>
        <w:t>Summary of PFS outcomes in PACIFIC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6: Summary of PFS outcomes in PACIFIC"/>
      </w:tblPr>
      <w:tblGrid>
        <w:gridCol w:w="1815"/>
        <w:gridCol w:w="1824"/>
        <w:gridCol w:w="1815"/>
        <w:gridCol w:w="1821"/>
        <w:gridCol w:w="1810"/>
      </w:tblGrid>
      <w:tr w:rsidR="006D0FBD" w:rsidRPr="008D4C3D" w:rsidTr="006F3DC5">
        <w:tc>
          <w:tcPr>
            <w:tcW w:w="1848" w:type="dxa"/>
            <w:vAlign w:val="center"/>
          </w:tcPr>
          <w:p w:rsidR="006D0FBD" w:rsidRPr="008D4C3D" w:rsidRDefault="006D0FBD" w:rsidP="008404A4">
            <w:pPr>
              <w:pStyle w:val="Tabletext"/>
              <w:spacing w:before="40" w:after="40"/>
              <w:rPr>
                <w:b/>
              </w:rPr>
            </w:pPr>
          </w:p>
        </w:tc>
        <w:tc>
          <w:tcPr>
            <w:tcW w:w="1848" w:type="dxa"/>
            <w:vAlign w:val="center"/>
          </w:tcPr>
          <w:p w:rsidR="006D0FBD" w:rsidRPr="008D4C3D" w:rsidRDefault="006D0FBD" w:rsidP="008404A4">
            <w:pPr>
              <w:pStyle w:val="Tabletext"/>
              <w:spacing w:before="40" w:after="40"/>
              <w:jc w:val="center"/>
              <w:rPr>
                <w:b/>
              </w:rPr>
            </w:pPr>
            <w:r>
              <w:rPr>
                <w:b/>
              </w:rPr>
              <w:t>Durvalumab n/N (%)</w:t>
            </w:r>
          </w:p>
        </w:tc>
        <w:tc>
          <w:tcPr>
            <w:tcW w:w="1848" w:type="dxa"/>
            <w:vAlign w:val="center"/>
          </w:tcPr>
          <w:p w:rsidR="006D0FBD" w:rsidRPr="008D4C3D" w:rsidRDefault="006D0FBD" w:rsidP="008404A4">
            <w:pPr>
              <w:pStyle w:val="Tabletext"/>
              <w:spacing w:before="40" w:after="40"/>
              <w:jc w:val="center"/>
              <w:rPr>
                <w:b/>
              </w:rPr>
            </w:pPr>
            <w:r>
              <w:rPr>
                <w:b/>
              </w:rPr>
              <w:t>Placebo n/N (%)</w:t>
            </w:r>
          </w:p>
        </w:tc>
        <w:tc>
          <w:tcPr>
            <w:tcW w:w="1849" w:type="dxa"/>
            <w:vAlign w:val="center"/>
          </w:tcPr>
          <w:p w:rsidR="006D0FBD" w:rsidRPr="008D4C3D" w:rsidRDefault="006D0FBD" w:rsidP="008404A4">
            <w:pPr>
              <w:pStyle w:val="Tabletext"/>
              <w:spacing w:before="40" w:after="40"/>
              <w:jc w:val="center"/>
              <w:rPr>
                <w:b/>
              </w:rPr>
            </w:pPr>
            <w:r>
              <w:rPr>
                <w:b/>
              </w:rPr>
              <w:t>Absolute difference</w:t>
            </w:r>
          </w:p>
        </w:tc>
        <w:tc>
          <w:tcPr>
            <w:tcW w:w="1849" w:type="dxa"/>
            <w:vAlign w:val="center"/>
          </w:tcPr>
          <w:p w:rsidR="006D0FBD" w:rsidRPr="008D4C3D" w:rsidRDefault="006D0FBD" w:rsidP="008404A4">
            <w:pPr>
              <w:pStyle w:val="Tabletext"/>
              <w:spacing w:before="40" w:after="40"/>
              <w:jc w:val="center"/>
              <w:rPr>
                <w:b/>
              </w:rPr>
            </w:pPr>
            <w:r>
              <w:rPr>
                <w:b/>
              </w:rPr>
              <w:t>HR (95% CI)</w:t>
            </w:r>
          </w:p>
        </w:tc>
      </w:tr>
      <w:tr w:rsidR="006D0FBD" w:rsidTr="006F3DC5">
        <w:tc>
          <w:tcPr>
            <w:tcW w:w="9242" w:type="dxa"/>
            <w:gridSpan w:val="5"/>
            <w:vAlign w:val="center"/>
          </w:tcPr>
          <w:p w:rsidR="006D0FBD" w:rsidRPr="00DE3138" w:rsidRDefault="006D0FBD" w:rsidP="008404A4">
            <w:pPr>
              <w:pStyle w:val="Tabletext"/>
              <w:spacing w:before="40" w:after="40"/>
              <w:rPr>
                <w:b/>
              </w:rPr>
            </w:pPr>
            <w:r>
              <w:rPr>
                <w:b/>
              </w:rPr>
              <w:t xml:space="preserve">Progression-free survival by BICR (primary analysis, </w:t>
            </w:r>
            <w:r w:rsidR="0098531B">
              <w:rPr>
                <w:b/>
              </w:rPr>
              <w:t>22</w:t>
            </w:r>
            <w:r>
              <w:rPr>
                <w:b/>
              </w:rPr>
              <w:t xml:space="preserve"> March 2018 data cut)</w:t>
            </w:r>
          </w:p>
        </w:tc>
      </w:tr>
      <w:tr w:rsidR="006D0FBD" w:rsidTr="006F3DC5">
        <w:tc>
          <w:tcPr>
            <w:tcW w:w="1848" w:type="dxa"/>
            <w:vAlign w:val="center"/>
          </w:tcPr>
          <w:p w:rsidR="006D0FBD" w:rsidRDefault="006D0FBD" w:rsidP="008404A4">
            <w:pPr>
              <w:pStyle w:val="Tabletext"/>
              <w:spacing w:before="40" w:after="40"/>
            </w:pPr>
            <w:r>
              <w:t>Patients with event</w:t>
            </w:r>
          </w:p>
        </w:tc>
        <w:tc>
          <w:tcPr>
            <w:tcW w:w="1848" w:type="dxa"/>
            <w:vAlign w:val="center"/>
          </w:tcPr>
          <w:p w:rsidR="006D0FBD" w:rsidRDefault="006D0FBD" w:rsidP="008404A4">
            <w:pPr>
              <w:pStyle w:val="Tabletext"/>
              <w:spacing w:before="40" w:after="40"/>
              <w:jc w:val="center"/>
            </w:pPr>
            <w:r>
              <w:t>24</w:t>
            </w:r>
            <w:r w:rsidR="00D218C2">
              <w:t>3</w:t>
            </w:r>
            <w:r>
              <w:t>/</w:t>
            </w:r>
            <w:r w:rsidR="00BD6749">
              <w:t>476</w:t>
            </w:r>
            <w:r>
              <w:t xml:space="preserve"> (51.1)</w:t>
            </w:r>
          </w:p>
        </w:tc>
        <w:tc>
          <w:tcPr>
            <w:tcW w:w="1848" w:type="dxa"/>
            <w:vAlign w:val="center"/>
          </w:tcPr>
          <w:p w:rsidR="006D0FBD" w:rsidRDefault="006D0FBD" w:rsidP="008404A4">
            <w:pPr>
              <w:pStyle w:val="Tabletext"/>
              <w:spacing w:before="40" w:after="40"/>
              <w:jc w:val="center"/>
            </w:pPr>
            <w:r>
              <w:t>173/237 (73.0)</w:t>
            </w:r>
          </w:p>
        </w:tc>
        <w:tc>
          <w:tcPr>
            <w:tcW w:w="1849" w:type="dxa"/>
            <w:vAlign w:val="center"/>
          </w:tcPr>
          <w:p w:rsidR="006D0FBD" w:rsidRDefault="006D0FBD" w:rsidP="008404A4">
            <w:pPr>
              <w:pStyle w:val="Tabletext"/>
              <w:spacing w:before="40" w:after="40"/>
              <w:jc w:val="center"/>
            </w:pPr>
            <w:r>
              <w:t>21.9%</w:t>
            </w:r>
          </w:p>
        </w:tc>
        <w:tc>
          <w:tcPr>
            <w:tcW w:w="1849" w:type="dxa"/>
            <w:vAlign w:val="center"/>
          </w:tcPr>
          <w:p w:rsidR="006D0FBD" w:rsidRDefault="006D0FBD" w:rsidP="008404A4">
            <w:pPr>
              <w:pStyle w:val="Tabletext"/>
              <w:spacing w:before="40" w:after="40"/>
              <w:jc w:val="center"/>
            </w:pPr>
            <w:r>
              <w:t>-</w:t>
            </w:r>
          </w:p>
        </w:tc>
      </w:tr>
      <w:tr w:rsidR="006D0FBD" w:rsidTr="006F3DC5">
        <w:tc>
          <w:tcPr>
            <w:tcW w:w="1848" w:type="dxa"/>
            <w:vAlign w:val="center"/>
          </w:tcPr>
          <w:p w:rsidR="006D0FBD" w:rsidRDefault="006D0FBD" w:rsidP="008404A4">
            <w:pPr>
              <w:pStyle w:val="Tabletext"/>
              <w:spacing w:before="40" w:after="40"/>
            </w:pPr>
            <w:r>
              <w:t>Median PFS months (95% CI)</w:t>
            </w:r>
          </w:p>
        </w:tc>
        <w:tc>
          <w:tcPr>
            <w:tcW w:w="1848" w:type="dxa"/>
            <w:vAlign w:val="center"/>
          </w:tcPr>
          <w:p w:rsidR="006D0FBD" w:rsidRDefault="006D0FBD" w:rsidP="008404A4">
            <w:pPr>
              <w:pStyle w:val="Tabletext"/>
              <w:spacing w:before="40" w:after="40"/>
              <w:jc w:val="center"/>
            </w:pPr>
            <w:r>
              <w:t>17.2 (13.1, 23.9)</w:t>
            </w:r>
          </w:p>
        </w:tc>
        <w:tc>
          <w:tcPr>
            <w:tcW w:w="1848" w:type="dxa"/>
            <w:vAlign w:val="center"/>
          </w:tcPr>
          <w:p w:rsidR="006D0FBD" w:rsidRDefault="006D0FBD" w:rsidP="008404A4">
            <w:pPr>
              <w:pStyle w:val="Tabletext"/>
              <w:spacing w:before="40" w:after="40"/>
              <w:jc w:val="center"/>
            </w:pPr>
            <w:r>
              <w:t>5.6 (4.6, 7.7)</w:t>
            </w:r>
          </w:p>
        </w:tc>
        <w:tc>
          <w:tcPr>
            <w:tcW w:w="1849" w:type="dxa"/>
            <w:vAlign w:val="center"/>
          </w:tcPr>
          <w:p w:rsidR="006D0FBD" w:rsidRDefault="006D0FBD" w:rsidP="008404A4">
            <w:pPr>
              <w:pStyle w:val="Tabletext"/>
              <w:spacing w:before="40" w:after="40"/>
              <w:jc w:val="center"/>
            </w:pPr>
            <w:r>
              <w:t>11.6 months</w:t>
            </w:r>
          </w:p>
        </w:tc>
        <w:tc>
          <w:tcPr>
            <w:tcW w:w="1849" w:type="dxa"/>
            <w:vAlign w:val="center"/>
          </w:tcPr>
          <w:p w:rsidR="006D0FBD" w:rsidRPr="006F492B" w:rsidRDefault="006D0FBD" w:rsidP="008404A4">
            <w:pPr>
              <w:pStyle w:val="Tabletext"/>
              <w:spacing w:before="40" w:after="40"/>
              <w:jc w:val="center"/>
              <w:rPr>
                <w:b/>
              </w:rPr>
            </w:pPr>
            <w:r w:rsidRPr="006F492B">
              <w:rPr>
                <w:b/>
              </w:rPr>
              <w:t>0.51 (0.41, 0.63)</w:t>
            </w:r>
          </w:p>
        </w:tc>
      </w:tr>
      <w:tr w:rsidR="006D0FBD" w:rsidTr="006F3DC5">
        <w:tc>
          <w:tcPr>
            <w:tcW w:w="9242" w:type="dxa"/>
            <w:gridSpan w:val="5"/>
            <w:vAlign w:val="center"/>
          </w:tcPr>
          <w:p w:rsidR="006D0FBD" w:rsidRPr="00DE3138" w:rsidRDefault="006D0FBD" w:rsidP="008404A4">
            <w:pPr>
              <w:pStyle w:val="Tabletext"/>
              <w:spacing w:before="40" w:after="40"/>
              <w:rPr>
                <w:b/>
              </w:rPr>
            </w:pPr>
            <w:r>
              <w:rPr>
                <w:b/>
              </w:rPr>
              <w:t xml:space="preserve">Progression-free survival </w:t>
            </w:r>
            <w:r w:rsidR="008E0603">
              <w:rPr>
                <w:b/>
              </w:rPr>
              <w:t>b</w:t>
            </w:r>
            <w:r>
              <w:rPr>
                <w:b/>
              </w:rPr>
              <w:t xml:space="preserve">y </w:t>
            </w:r>
            <w:r w:rsidR="00C43A22" w:rsidRPr="00327A0B">
              <w:rPr>
                <w:b/>
              </w:rPr>
              <w:t>BICR</w:t>
            </w:r>
            <w:r w:rsidRPr="00BF55B8">
              <w:rPr>
                <w:b/>
                <w:i/>
              </w:rPr>
              <w:t xml:space="preserve"> </w:t>
            </w:r>
            <w:r>
              <w:rPr>
                <w:b/>
              </w:rPr>
              <w:t>(primary analysis</w:t>
            </w:r>
            <w:r w:rsidR="0037306A">
              <w:rPr>
                <w:b/>
              </w:rPr>
              <w:t xml:space="preserve">; </w:t>
            </w:r>
            <w:r w:rsidR="00523AB9">
              <w:rPr>
                <w:b/>
              </w:rPr>
              <w:t>CSR</w:t>
            </w:r>
            <w:r w:rsidR="0037306A">
              <w:rPr>
                <w:b/>
              </w:rPr>
              <w:t>,</w:t>
            </w:r>
            <w:r w:rsidR="00523AB9">
              <w:rPr>
                <w:b/>
              </w:rPr>
              <w:t xml:space="preserve"> </w:t>
            </w:r>
            <w:r w:rsidR="00B9532C">
              <w:rPr>
                <w:b/>
              </w:rPr>
              <w:t>21 July</w:t>
            </w:r>
            <w:r w:rsidR="000924D7">
              <w:rPr>
                <w:b/>
              </w:rPr>
              <w:t xml:space="preserve"> </w:t>
            </w:r>
            <w:r>
              <w:rPr>
                <w:b/>
              </w:rPr>
              <w:t>2017)</w:t>
            </w:r>
          </w:p>
        </w:tc>
      </w:tr>
      <w:tr w:rsidR="006D0FBD" w:rsidTr="006F3DC5">
        <w:tc>
          <w:tcPr>
            <w:tcW w:w="1848" w:type="dxa"/>
            <w:vAlign w:val="center"/>
          </w:tcPr>
          <w:p w:rsidR="006D0FBD" w:rsidRDefault="006D0FBD" w:rsidP="008404A4">
            <w:pPr>
              <w:pStyle w:val="Tabletext"/>
              <w:spacing w:before="40" w:after="40"/>
            </w:pPr>
            <w:r>
              <w:t>Patients with event</w:t>
            </w:r>
          </w:p>
        </w:tc>
        <w:tc>
          <w:tcPr>
            <w:tcW w:w="1848" w:type="dxa"/>
            <w:vAlign w:val="center"/>
          </w:tcPr>
          <w:p w:rsidR="006D0FBD" w:rsidRDefault="006D0FBD" w:rsidP="008404A4">
            <w:pPr>
              <w:pStyle w:val="Tabletext"/>
              <w:spacing w:before="40" w:after="40"/>
              <w:jc w:val="center"/>
            </w:pPr>
            <w:r>
              <w:t>214/476 (45.0)</w:t>
            </w:r>
          </w:p>
        </w:tc>
        <w:tc>
          <w:tcPr>
            <w:tcW w:w="1848" w:type="dxa"/>
            <w:vAlign w:val="center"/>
          </w:tcPr>
          <w:p w:rsidR="006D0FBD" w:rsidRDefault="006D0FBD" w:rsidP="008404A4">
            <w:pPr>
              <w:pStyle w:val="Tabletext"/>
              <w:spacing w:before="40" w:after="40"/>
              <w:jc w:val="center"/>
            </w:pPr>
            <w:r>
              <w:t>157/237 (66.2)</w:t>
            </w:r>
          </w:p>
        </w:tc>
        <w:tc>
          <w:tcPr>
            <w:tcW w:w="1849" w:type="dxa"/>
            <w:vAlign w:val="center"/>
          </w:tcPr>
          <w:p w:rsidR="006D0FBD" w:rsidRDefault="006D0FBD" w:rsidP="008404A4">
            <w:pPr>
              <w:pStyle w:val="Tabletext"/>
              <w:spacing w:before="40" w:after="40"/>
              <w:jc w:val="center"/>
            </w:pPr>
            <w:r>
              <w:t>21.2%</w:t>
            </w:r>
          </w:p>
        </w:tc>
        <w:tc>
          <w:tcPr>
            <w:tcW w:w="1849" w:type="dxa"/>
            <w:vAlign w:val="center"/>
          </w:tcPr>
          <w:p w:rsidR="006D0FBD" w:rsidRDefault="006D0FBD" w:rsidP="008404A4">
            <w:pPr>
              <w:pStyle w:val="Tabletext"/>
              <w:spacing w:before="40" w:after="40"/>
              <w:jc w:val="center"/>
            </w:pPr>
            <w:r>
              <w:t>-</w:t>
            </w:r>
          </w:p>
        </w:tc>
      </w:tr>
      <w:tr w:rsidR="006D0FBD" w:rsidTr="006F3DC5">
        <w:tc>
          <w:tcPr>
            <w:tcW w:w="1848" w:type="dxa"/>
            <w:vAlign w:val="center"/>
          </w:tcPr>
          <w:p w:rsidR="006D0FBD" w:rsidRDefault="006D0FBD" w:rsidP="008404A4">
            <w:pPr>
              <w:pStyle w:val="Tabletext"/>
              <w:spacing w:before="40" w:after="40"/>
            </w:pPr>
            <w:r>
              <w:t>Median months PFS (95% CI)</w:t>
            </w:r>
          </w:p>
        </w:tc>
        <w:tc>
          <w:tcPr>
            <w:tcW w:w="1848" w:type="dxa"/>
            <w:vAlign w:val="center"/>
          </w:tcPr>
          <w:p w:rsidR="006D0FBD" w:rsidRDefault="006D0FBD" w:rsidP="008404A4">
            <w:pPr>
              <w:pStyle w:val="Tabletext"/>
              <w:spacing w:before="40" w:after="40"/>
              <w:jc w:val="center"/>
            </w:pPr>
            <w:r>
              <w:t>16.8 (13.0, 18.1)</w:t>
            </w:r>
          </w:p>
        </w:tc>
        <w:tc>
          <w:tcPr>
            <w:tcW w:w="1848" w:type="dxa"/>
            <w:vAlign w:val="center"/>
          </w:tcPr>
          <w:p w:rsidR="006D0FBD" w:rsidRDefault="006D0FBD" w:rsidP="008404A4">
            <w:pPr>
              <w:pStyle w:val="Tabletext"/>
              <w:spacing w:before="40" w:after="40"/>
              <w:jc w:val="center"/>
            </w:pPr>
            <w:r>
              <w:t>5.6 (4.6, 7.8)</w:t>
            </w:r>
          </w:p>
        </w:tc>
        <w:tc>
          <w:tcPr>
            <w:tcW w:w="1849" w:type="dxa"/>
            <w:vAlign w:val="center"/>
          </w:tcPr>
          <w:p w:rsidR="006D0FBD" w:rsidRDefault="006D0FBD" w:rsidP="008404A4">
            <w:pPr>
              <w:pStyle w:val="Tabletext"/>
              <w:spacing w:before="40" w:after="40"/>
              <w:jc w:val="center"/>
            </w:pPr>
            <w:r>
              <w:t>11.2 months</w:t>
            </w:r>
          </w:p>
        </w:tc>
        <w:tc>
          <w:tcPr>
            <w:tcW w:w="1849" w:type="dxa"/>
            <w:vAlign w:val="center"/>
          </w:tcPr>
          <w:p w:rsidR="006D0FBD" w:rsidRPr="006F492B" w:rsidRDefault="006D0FBD" w:rsidP="008404A4">
            <w:pPr>
              <w:pStyle w:val="Tabletext"/>
              <w:spacing w:before="40" w:after="40"/>
              <w:jc w:val="center"/>
              <w:rPr>
                <w:b/>
              </w:rPr>
            </w:pPr>
            <w:r w:rsidRPr="006F492B">
              <w:rPr>
                <w:b/>
              </w:rPr>
              <w:t>0.52 (0.</w:t>
            </w:r>
            <w:r w:rsidR="00D218C2" w:rsidRPr="006F492B">
              <w:rPr>
                <w:b/>
              </w:rPr>
              <w:t>4</w:t>
            </w:r>
            <w:r w:rsidR="00D218C2">
              <w:rPr>
                <w:b/>
              </w:rPr>
              <w:t>2</w:t>
            </w:r>
            <w:r w:rsidRPr="006F492B">
              <w:rPr>
                <w:b/>
              </w:rPr>
              <w:t>, 0.65)</w:t>
            </w:r>
          </w:p>
        </w:tc>
      </w:tr>
      <w:tr w:rsidR="006D0FBD" w:rsidRPr="00F407B3" w:rsidTr="006F3DC5">
        <w:tc>
          <w:tcPr>
            <w:tcW w:w="9242" w:type="dxa"/>
            <w:gridSpan w:val="5"/>
            <w:vAlign w:val="center"/>
          </w:tcPr>
          <w:p w:rsidR="006D0FBD" w:rsidRPr="00327A0B" w:rsidRDefault="008E0603" w:rsidP="008404A4">
            <w:pPr>
              <w:pStyle w:val="Tabletext"/>
              <w:spacing w:before="40" w:after="40"/>
              <w:rPr>
                <w:b/>
              </w:rPr>
            </w:pPr>
            <w:r w:rsidRPr="00327A0B">
              <w:rPr>
                <w:b/>
              </w:rPr>
              <w:t>Progression-free survival b</w:t>
            </w:r>
            <w:r w:rsidR="006D0FBD" w:rsidRPr="00327A0B">
              <w:rPr>
                <w:b/>
              </w:rPr>
              <w:t xml:space="preserve">y investigator assessment </w:t>
            </w:r>
            <w:r w:rsidR="00E77C54">
              <w:rPr>
                <w:b/>
              </w:rPr>
              <w:t>(</w:t>
            </w:r>
            <w:r w:rsidR="00523AB9">
              <w:rPr>
                <w:b/>
              </w:rPr>
              <w:t>CSR</w:t>
            </w:r>
            <w:r w:rsidR="00E77C54">
              <w:rPr>
                <w:b/>
              </w:rPr>
              <w:t xml:space="preserve">, </w:t>
            </w:r>
            <w:r w:rsidR="00523AB9">
              <w:rPr>
                <w:b/>
              </w:rPr>
              <w:t>21 July 2017</w:t>
            </w:r>
            <w:r w:rsidR="00E77C54">
              <w:rPr>
                <w:b/>
              </w:rPr>
              <w:t>)</w:t>
            </w:r>
            <w:r w:rsidR="00523AB9">
              <w:rPr>
                <w:b/>
              </w:rPr>
              <w:t xml:space="preserve"> </w:t>
            </w:r>
          </w:p>
        </w:tc>
      </w:tr>
      <w:tr w:rsidR="006D0FBD" w:rsidTr="006F3DC5">
        <w:tc>
          <w:tcPr>
            <w:tcW w:w="1848" w:type="dxa"/>
            <w:vAlign w:val="center"/>
          </w:tcPr>
          <w:p w:rsidR="006D0FBD" w:rsidRDefault="006D0FBD" w:rsidP="008404A4">
            <w:pPr>
              <w:pStyle w:val="Tabletext"/>
              <w:spacing w:before="40" w:after="40"/>
            </w:pPr>
            <w:r>
              <w:t>Patients with event</w:t>
            </w:r>
          </w:p>
        </w:tc>
        <w:tc>
          <w:tcPr>
            <w:tcW w:w="1848" w:type="dxa"/>
            <w:vAlign w:val="center"/>
          </w:tcPr>
          <w:p w:rsidR="006D0FBD" w:rsidRDefault="0098531B" w:rsidP="008404A4">
            <w:pPr>
              <w:pStyle w:val="Tabletext"/>
              <w:spacing w:before="40" w:after="40"/>
              <w:jc w:val="center"/>
            </w:pPr>
            <w:r>
              <w:t>252</w:t>
            </w:r>
            <w:r w:rsidR="006D0FBD">
              <w:t>/476 (52.9)</w:t>
            </w:r>
          </w:p>
        </w:tc>
        <w:tc>
          <w:tcPr>
            <w:tcW w:w="1848" w:type="dxa"/>
            <w:vAlign w:val="center"/>
          </w:tcPr>
          <w:p w:rsidR="006D0FBD" w:rsidRDefault="006D0FBD" w:rsidP="008404A4">
            <w:pPr>
              <w:pStyle w:val="Tabletext"/>
              <w:spacing w:before="40" w:after="40"/>
              <w:jc w:val="center"/>
            </w:pPr>
            <w:r>
              <w:t>167/237 (70.5)</w:t>
            </w:r>
          </w:p>
        </w:tc>
        <w:tc>
          <w:tcPr>
            <w:tcW w:w="1849" w:type="dxa"/>
            <w:vAlign w:val="center"/>
          </w:tcPr>
          <w:p w:rsidR="006D0FBD" w:rsidRDefault="006D0FBD" w:rsidP="008404A4">
            <w:pPr>
              <w:pStyle w:val="Tabletext"/>
              <w:spacing w:before="40" w:after="40"/>
              <w:jc w:val="center"/>
            </w:pPr>
            <w:r>
              <w:t>17.6%</w:t>
            </w:r>
          </w:p>
        </w:tc>
        <w:tc>
          <w:tcPr>
            <w:tcW w:w="1849" w:type="dxa"/>
            <w:vAlign w:val="center"/>
          </w:tcPr>
          <w:p w:rsidR="006D0FBD" w:rsidRDefault="006D0FBD" w:rsidP="008404A4">
            <w:pPr>
              <w:pStyle w:val="Tabletext"/>
              <w:spacing w:before="40" w:after="40"/>
              <w:jc w:val="center"/>
            </w:pPr>
            <w:r>
              <w:t>-</w:t>
            </w:r>
          </w:p>
        </w:tc>
      </w:tr>
      <w:tr w:rsidR="006D0FBD" w:rsidTr="006F3DC5">
        <w:tc>
          <w:tcPr>
            <w:tcW w:w="1848" w:type="dxa"/>
            <w:vAlign w:val="center"/>
          </w:tcPr>
          <w:p w:rsidR="006D0FBD" w:rsidRDefault="006D0FBD" w:rsidP="008404A4">
            <w:pPr>
              <w:pStyle w:val="Tabletext"/>
              <w:spacing w:before="40" w:after="40"/>
            </w:pPr>
            <w:r>
              <w:t>Median months PFS (95% CI)</w:t>
            </w:r>
          </w:p>
        </w:tc>
        <w:tc>
          <w:tcPr>
            <w:tcW w:w="1848" w:type="dxa"/>
            <w:vAlign w:val="center"/>
          </w:tcPr>
          <w:p w:rsidR="006D0FBD" w:rsidRDefault="006D0FBD" w:rsidP="008404A4">
            <w:pPr>
              <w:pStyle w:val="Tabletext"/>
              <w:spacing w:before="40" w:after="40"/>
              <w:jc w:val="center"/>
            </w:pPr>
            <w:r>
              <w:t>13.6 (11.0, 14.0)</w:t>
            </w:r>
          </w:p>
        </w:tc>
        <w:tc>
          <w:tcPr>
            <w:tcW w:w="1848" w:type="dxa"/>
            <w:vAlign w:val="center"/>
          </w:tcPr>
          <w:p w:rsidR="006D0FBD" w:rsidRDefault="006D0FBD" w:rsidP="008404A4">
            <w:pPr>
              <w:pStyle w:val="Tabletext"/>
              <w:spacing w:before="40" w:after="40"/>
              <w:jc w:val="center"/>
            </w:pPr>
            <w:r>
              <w:t>7.4 (5.6, 9.0)</w:t>
            </w:r>
          </w:p>
        </w:tc>
        <w:tc>
          <w:tcPr>
            <w:tcW w:w="1849" w:type="dxa"/>
            <w:vAlign w:val="center"/>
          </w:tcPr>
          <w:p w:rsidR="006D0FBD" w:rsidRDefault="006D0FBD" w:rsidP="008404A4">
            <w:pPr>
              <w:pStyle w:val="Tabletext"/>
              <w:spacing w:before="40" w:after="40"/>
              <w:jc w:val="center"/>
            </w:pPr>
            <w:r>
              <w:t>6.2 months</w:t>
            </w:r>
          </w:p>
        </w:tc>
        <w:tc>
          <w:tcPr>
            <w:tcW w:w="1849" w:type="dxa"/>
            <w:vAlign w:val="center"/>
          </w:tcPr>
          <w:p w:rsidR="006D0FBD" w:rsidRPr="006F492B" w:rsidRDefault="006D0FBD" w:rsidP="008404A4">
            <w:pPr>
              <w:pStyle w:val="Tabletext"/>
              <w:spacing w:before="40" w:after="40"/>
              <w:jc w:val="center"/>
              <w:rPr>
                <w:b/>
              </w:rPr>
            </w:pPr>
            <w:r w:rsidRPr="006F492B">
              <w:rPr>
                <w:b/>
              </w:rPr>
              <w:t>0.61 (0.50, 0.76)</w:t>
            </w:r>
          </w:p>
        </w:tc>
      </w:tr>
    </w:tbl>
    <w:p w:rsidR="005F13BD" w:rsidRDefault="006D0FBD" w:rsidP="008404A4">
      <w:pPr>
        <w:pStyle w:val="TableFooter"/>
        <w:widowControl/>
      </w:pPr>
      <w:r>
        <w:t>Source: Table 2.5.4, p42 of the submission</w:t>
      </w:r>
      <w:r w:rsidR="0037306A">
        <w:t xml:space="preserve"> and corrected in the PSCR</w:t>
      </w:r>
      <w:r>
        <w:t xml:space="preserve">. </w:t>
      </w:r>
    </w:p>
    <w:p w:rsidR="006D0FBD" w:rsidRDefault="000924D7" w:rsidP="008404A4">
      <w:pPr>
        <w:pStyle w:val="TableFooter"/>
        <w:widowControl/>
      </w:pPr>
      <w:r>
        <w:t>BICR = blinded independent central review; CI = confidence interval; HR = hazard ratio; PFS = progression</w:t>
      </w:r>
      <w:r w:rsidR="000F7EDB">
        <w:t>-</w:t>
      </w:r>
      <w:r>
        <w:t>free survival</w:t>
      </w:r>
    </w:p>
    <w:p w:rsidR="000924D7" w:rsidRPr="00B1011F" w:rsidRDefault="000924D7" w:rsidP="008404A4">
      <w:pPr>
        <w:pStyle w:val="TableFooter"/>
        <w:widowControl/>
        <w:tabs>
          <w:tab w:val="left" w:pos="284"/>
        </w:tabs>
        <w:ind w:left="284" w:hanging="284"/>
        <w:rPr>
          <w:sz w:val="20"/>
        </w:rPr>
      </w:pPr>
    </w:p>
    <w:p w:rsidR="00FC56EA" w:rsidRDefault="008B571F" w:rsidP="00FC56EA">
      <w:pPr>
        <w:pStyle w:val="ListParagraph"/>
        <w:keepNext/>
        <w:widowControl/>
        <w:numPr>
          <w:ilvl w:val="1"/>
          <w:numId w:val="2"/>
        </w:numPr>
      </w:pPr>
      <w:r>
        <w:t xml:space="preserve">In the </w:t>
      </w:r>
      <w:r w:rsidR="00CA5B05">
        <w:t xml:space="preserve">21 July 2017 </w:t>
      </w:r>
      <w:r>
        <w:t xml:space="preserve">data cut, </w:t>
      </w:r>
      <w:r w:rsidR="000B4C85">
        <w:t>the hazard ratios and differen</w:t>
      </w:r>
      <w:r w:rsidR="00BF55B8">
        <w:t>c</w:t>
      </w:r>
      <w:r w:rsidR="000B4C85">
        <w:t>es in median progression</w:t>
      </w:r>
      <w:r w:rsidR="00BF55B8">
        <w:t>-</w:t>
      </w:r>
      <w:r w:rsidR="000B4C85">
        <w:t xml:space="preserve">free survival showed that the benefit in the investigator assessed results were substantially smaller than the benefit assessed by </w:t>
      </w:r>
      <w:r w:rsidR="00BF55B8" w:rsidRPr="00BF55B8">
        <w:t xml:space="preserve">blinded independent central review </w:t>
      </w:r>
      <w:r w:rsidR="00BF55B8">
        <w:t>(</w:t>
      </w:r>
      <w:r w:rsidR="000B4C85">
        <w:t>BICR</w:t>
      </w:r>
      <w:r w:rsidR="00BF55B8">
        <w:t>)</w:t>
      </w:r>
      <w:r w:rsidR="000B4C85">
        <w:t xml:space="preserve">. </w:t>
      </w:r>
      <w:r w:rsidR="000B4C85" w:rsidRPr="003A613B">
        <w:t>The PBAC had previously expressed a preference for BICR PFS estimates as a less biased estimate (Palbociclib March 2017 PSD; paragraph</w:t>
      </w:r>
      <w:r w:rsidR="00BF55B8" w:rsidRPr="003A613B">
        <w:t>s</w:t>
      </w:r>
      <w:r w:rsidR="000B4C85" w:rsidRPr="003A613B">
        <w:t xml:space="preserve"> 7.9, 7.13)</w:t>
      </w:r>
      <w:r w:rsidR="00510515">
        <w:t>.</w:t>
      </w:r>
      <w:r w:rsidR="000B4C85" w:rsidRPr="003A613B">
        <w:t xml:space="preserve"> </w:t>
      </w:r>
      <w:r w:rsidR="00FC56EA">
        <w:br/>
      </w:r>
    </w:p>
    <w:p w:rsidR="00FC56EA" w:rsidRDefault="00FC56EA">
      <w:pPr>
        <w:widowControl/>
        <w:jc w:val="left"/>
      </w:pPr>
      <w:r>
        <w:br w:type="page"/>
      </w:r>
    </w:p>
    <w:p w:rsidR="006034CB" w:rsidRPr="006034CB" w:rsidRDefault="006034CB" w:rsidP="00FC56EA">
      <w:pPr>
        <w:pStyle w:val="ListParagraph"/>
        <w:keepNext/>
        <w:widowControl/>
        <w:numPr>
          <w:ilvl w:val="1"/>
          <w:numId w:val="2"/>
        </w:numPr>
      </w:pPr>
      <w:r w:rsidRPr="006034CB">
        <w:rPr>
          <w:szCs w:val="20"/>
        </w:rPr>
        <w:t>The PACIFIC trial also collected results of the EuroQol 5D (EQ-5D</w:t>
      </w:r>
      <w:r>
        <w:rPr>
          <w:szCs w:val="20"/>
        </w:rPr>
        <w:t>)</w:t>
      </w:r>
      <w:r w:rsidRPr="006034CB">
        <w:rPr>
          <w:szCs w:val="20"/>
        </w:rPr>
        <w:t>. The submission noted that the mean and median baseline scores from the EQ-5D were similar in the two treatment groups and the scores remained similar across the arms of the trial over time</w:t>
      </w:r>
      <w:r>
        <w:rPr>
          <w:szCs w:val="20"/>
        </w:rPr>
        <w:t>.</w:t>
      </w:r>
    </w:p>
    <w:p w:rsidR="006D0FBD" w:rsidRPr="00882085" w:rsidRDefault="006D0FBD" w:rsidP="00FC56EA">
      <w:pPr>
        <w:pStyle w:val="Heading2"/>
        <w:keepNext/>
        <w:widowControl/>
        <w:spacing w:before="0"/>
      </w:pPr>
      <w:bookmarkStart w:id="20" w:name="_Toc524446346"/>
      <w:r w:rsidRPr="00C9624D">
        <w:t>Comparative harms</w:t>
      </w:r>
      <w:bookmarkEnd w:id="20"/>
    </w:p>
    <w:p w:rsidR="006D0FBD" w:rsidRDefault="006D0FBD" w:rsidP="00FC56EA">
      <w:pPr>
        <w:pStyle w:val="ListParagraph"/>
        <w:keepNext/>
        <w:widowControl/>
        <w:numPr>
          <w:ilvl w:val="1"/>
          <w:numId w:val="2"/>
        </w:numPr>
      </w:pPr>
      <w:r w:rsidRPr="0018743A">
        <w:t xml:space="preserve">The submission considered that </w:t>
      </w:r>
      <w:r w:rsidR="00B84C39">
        <w:t xml:space="preserve">a </w:t>
      </w:r>
      <w:r w:rsidRPr="0018743A">
        <w:t xml:space="preserve">similar </w:t>
      </w:r>
      <w:r w:rsidR="00715832">
        <w:t>proportion</w:t>
      </w:r>
      <w:r w:rsidR="00715832" w:rsidRPr="0018743A">
        <w:t xml:space="preserve"> </w:t>
      </w:r>
      <w:r w:rsidRPr="0018743A">
        <w:t xml:space="preserve">of </w:t>
      </w:r>
      <w:r w:rsidR="00B84C39">
        <w:t xml:space="preserve">patients in each treatment group in the PACIFIC trial experienced </w:t>
      </w:r>
      <w:r w:rsidRPr="0018743A">
        <w:t>adverse events, and that the majority were not severe in nature</w:t>
      </w:r>
      <w:r w:rsidR="006F492B">
        <w:t xml:space="preserve">, </w:t>
      </w:r>
      <w:r w:rsidR="006F492B" w:rsidRPr="006F492B">
        <w:t xml:space="preserve">see </w:t>
      </w:r>
      <w:r w:rsidR="00FA3901">
        <w:t xml:space="preserve">Table </w:t>
      </w:r>
      <w:r w:rsidR="00FA3901">
        <w:rPr>
          <w:noProof/>
        </w:rPr>
        <w:t>7</w:t>
      </w:r>
      <w:r w:rsidRPr="006F492B">
        <w:t>.</w:t>
      </w:r>
      <w:r w:rsidRPr="0018743A">
        <w:t xml:space="preserve"> The submission noted that durvalumab patients experienced more treatment related AEs than placebo patients (67.8% and 53.4%, respectively), but that </w:t>
      </w:r>
      <w:r w:rsidR="0066001B">
        <w:t>for</w:t>
      </w:r>
      <w:r w:rsidRPr="0018743A">
        <w:t xml:space="preserve"> most AEs, the difference was not significant.</w:t>
      </w:r>
    </w:p>
    <w:p w:rsidR="005B71C7" w:rsidRDefault="006D0FBD" w:rsidP="00FC56EA">
      <w:pPr>
        <w:pStyle w:val="ListParagraph"/>
        <w:keepNext/>
        <w:widowControl/>
        <w:numPr>
          <w:ilvl w:val="1"/>
          <w:numId w:val="2"/>
        </w:numPr>
      </w:pPr>
      <w:r w:rsidRPr="009857B3">
        <w:t xml:space="preserve">The submission noted adjusting for </w:t>
      </w:r>
      <w:r w:rsidR="00715832">
        <w:t>duration of exposure</w:t>
      </w:r>
      <w:r w:rsidRPr="009857B3">
        <w:t xml:space="preserve"> did not </w:t>
      </w:r>
      <w:r w:rsidR="00715832">
        <w:t>substantially</w:t>
      </w:r>
      <w:r w:rsidR="00715832" w:rsidRPr="009857B3">
        <w:t xml:space="preserve"> </w:t>
      </w:r>
      <w:r w:rsidRPr="009857B3">
        <w:t xml:space="preserve">alter the </w:t>
      </w:r>
      <w:r w:rsidR="00715832">
        <w:t>unadjusted results</w:t>
      </w:r>
      <w:r w:rsidRPr="009857B3">
        <w:t>, but that the rate of AEs leading to discontinuation was no longer significant after this adjustment.</w:t>
      </w:r>
    </w:p>
    <w:p w:rsidR="00FC56EA" w:rsidRDefault="00FC56EA">
      <w:pPr>
        <w:widowControl/>
        <w:jc w:val="left"/>
        <w:rPr>
          <w:rFonts w:ascii="Arial Narrow" w:eastAsiaTheme="majorEastAsia" w:hAnsi="Arial Narrow"/>
          <w:b/>
          <w:snapToGrid/>
          <w:sz w:val="20"/>
          <w:szCs w:val="20"/>
          <w:lang w:eastAsia="en-AU" w:bidi="en-US"/>
        </w:rPr>
      </w:pPr>
      <w:bookmarkStart w:id="21" w:name="_Ref524293750"/>
      <w:r>
        <w:br w:type="page"/>
      </w:r>
    </w:p>
    <w:p w:rsidR="00D10ABF" w:rsidRPr="0079378F" w:rsidRDefault="00D10ABF" w:rsidP="00FC56EA">
      <w:pPr>
        <w:pStyle w:val="TableHeading0"/>
      </w:pPr>
      <w:r w:rsidRPr="0079378F">
        <w:t>Table 7</w:t>
      </w:r>
      <w:bookmarkEnd w:id="21"/>
      <w:r w:rsidRPr="0079378F">
        <w:t>:</w:t>
      </w:r>
      <w:r w:rsidRPr="00D10ABF">
        <w:rPr>
          <w:b w:val="0"/>
        </w:rPr>
        <w:t xml:space="preserve"> </w:t>
      </w:r>
      <w:r w:rsidRPr="0079378F">
        <w:t>Summary of key adverse events in the PACIFIC trial</w:t>
      </w:r>
    </w:p>
    <w:tbl>
      <w:tblPr>
        <w:tblW w:w="9072" w:type="dxa"/>
        <w:tblInd w:w="-5" w:type="dxa"/>
        <w:tblLayout w:type="fixed"/>
        <w:tblCellMar>
          <w:left w:w="29" w:type="dxa"/>
          <w:right w:w="29" w:type="dxa"/>
        </w:tblCellMar>
        <w:tblLook w:val="04A0" w:firstRow="1" w:lastRow="0" w:firstColumn="1" w:lastColumn="0" w:noHBand="0" w:noVBand="1"/>
        <w:tblCaption w:val="Table 7: Summary of key adverse events in the PACIFIC trial"/>
      </w:tblPr>
      <w:tblGrid>
        <w:gridCol w:w="2835"/>
        <w:gridCol w:w="1559"/>
        <w:gridCol w:w="1559"/>
        <w:gridCol w:w="1559"/>
        <w:gridCol w:w="1560"/>
      </w:tblGrid>
      <w:tr w:rsidR="00D10ABF" w:rsidRPr="00127F8A" w:rsidTr="00556E3F">
        <w:trPr>
          <w:trHeight w:val="46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0ABF" w:rsidRPr="00127F8A" w:rsidRDefault="00D10ABF" w:rsidP="00FC56EA">
            <w:pPr>
              <w:keepNext/>
              <w:widowControl/>
              <w:jc w:val="left"/>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rPr>
              <w:t>Adverse event</w:t>
            </w:r>
            <w:r w:rsidRPr="00697D19">
              <w:rPr>
                <w:rFonts w:ascii="Arial Narrow" w:hAnsi="Arial Narrow" w:cs="Times New Roman"/>
                <w:snapToGrid/>
                <w:color w:val="000000"/>
                <w:sz w:val="20"/>
                <w:szCs w:val="20"/>
                <w:lang w:val="en-US"/>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rPr>
              <w:t>Durvalumab, n (%)</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lang w:val="en-US"/>
              </w:rPr>
              <w:t>N=47</w:t>
            </w:r>
            <w:r>
              <w:rPr>
                <w:rFonts w:ascii="Arial Narrow" w:hAnsi="Arial Narrow" w:cs="Times New Roman"/>
                <w:b/>
                <w:snapToGrid/>
                <w:color w:val="000000"/>
                <w:sz w:val="20"/>
                <w:szCs w:val="20"/>
                <w:lang w:val="en-US"/>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rPr>
              <w:t>Placebo, n (%)</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lang w:val="en-US"/>
              </w:rPr>
              <w:t>N=234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rPr>
              <w:t>Relative risk</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rPr>
              <w:t>(95% CI)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rPr>
              <w:t>Risk difference</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F8A">
              <w:rPr>
                <w:rFonts w:ascii="Arial Narrow" w:hAnsi="Arial Narrow" w:cs="Times New Roman"/>
                <w:b/>
                <w:snapToGrid/>
                <w:color w:val="000000"/>
                <w:sz w:val="20"/>
                <w:szCs w:val="20"/>
              </w:rPr>
              <w:t>(95% CI)</w:t>
            </w:r>
            <w:r>
              <w:rPr>
                <w:rFonts w:ascii="Arial Narrow" w:hAnsi="Arial Narrow" w:cs="Times New Roman"/>
                <w:b/>
                <w:snapToGrid/>
                <w:color w:val="000000"/>
                <w:sz w:val="20"/>
                <w:szCs w:val="20"/>
              </w:rPr>
              <w:t xml:space="preserve"> (%)</w:t>
            </w:r>
          </w:p>
        </w:tc>
      </w:tr>
      <w:tr w:rsidR="00D10ABF" w:rsidRPr="00127F8A" w:rsidTr="00556E3F">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Any AE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460 (96.8)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222 (94.9)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snapToGrid/>
                <w:color w:val="000000"/>
                <w:sz w:val="20"/>
                <w:szCs w:val="20"/>
              </w:rPr>
            </w:pPr>
            <w:r w:rsidRPr="0086650C">
              <w:rPr>
                <w:rFonts w:ascii="Arial Narrow" w:hAnsi="Arial Narrow" w:cs="Times New Roman"/>
                <w:snapToGrid/>
                <w:color w:val="000000"/>
                <w:sz w:val="20"/>
                <w:szCs w:val="20"/>
              </w:rPr>
              <w:t>1.02 (0.99, 1.06)</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86650C">
              <w:rPr>
                <w:rFonts w:ascii="Arial Narrow" w:hAnsi="Arial Narrow" w:cs="Times New Roman"/>
                <w:snapToGrid/>
                <w:color w:val="000000"/>
                <w:sz w:val="20"/>
                <w:szCs w:val="20"/>
              </w:rPr>
              <w:t>p=0.21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snapToGrid/>
                <w:color w:val="000000"/>
                <w:sz w:val="20"/>
                <w:szCs w:val="20"/>
              </w:rPr>
            </w:pPr>
            <w:r w:rsidRPr="0086650C">
              <w:rPr>
                <w:rFonts w:ascii="Arial Narrow" w:hAnsi="Arial Narrow" w:cs="Times New Roman"/>
                <w:snapToGrid/>
                <w:color w:val="000000"/>
                <w:sz w:val="20"/>
                <w:szCs w:val="20"/>
              </w:rPr>
              <w:t>1.97 (-1.03,5.57)</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86650C">
              <w:rPr>
                <w:rFonts w:ascii="Arial Narrow" w:hAnsi="Arial Narrow" w:cs="Times New Roman"/>
                <w:snapToGrid/>
                <w:color w:val="000000"/>
                <w:sz w:val="20"/>
                <w:szCs w:val="20"/>
              </w:rPr>
              <w:t>p=0.21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Any AE related to treatment</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322 (67.8)</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125 (53.4)</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b/>
                <w:snapToGrid/>
                <w:color w:val="000000"/>
                <w:sz w:val="20"/>
                <w:szCs w:val="20"/>
              </w:rPr>
            </w:pPr>
            <w:r w:rsidRPr="0086650C">
              <w:rPr>
                <w:rFonts w:ascii="Arial Narrow" w:hAnsi="Arial Narrow" w:cs="Times New Roman"/>
                <w:b/>
                <w:snapToGrid/>
                <w:color w:val="000000"/>
                <w:sz w:val="20"/>
                <w:szCs w:val="20"/>
              </w:rPr>
              <w:t>1.27 (1.11, 1.46)</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86650C">
              <w:rPr>
                <w:rFonts w:ascii="Arial Narrow" w:hAnsi="Arial Narrow" w:cs="Times New Roman"/>
                <w:b/>
                <w:snapToGrid/>
                <w:color w:val="000000"/>
                <w:sz w:val="20"/>
                <w:szCs w:val="20"/>
              </w:rPr>
              <w:t>p=0.0002</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b/>
                <w:snapToGrid/>
                <w:color w:val="000000"/>
                <w:sz w:val="20"/>
                <w:szCs w:val="20"/>
              </w:rPr>
            </w:pPr>
            <w:r w:rsidRPr="0086650C">
              <w:rPr>
                <w:rFonts w:ascii="Arial Narrow" w:hAnsi="Arial Narrow" w:cs="Times New Roman"/>
                <w:b/>
                <w:snapToGrid/>
                <w:color w:val="000000"/>
                <w:sz w:val="20"/>
                <w:szCs w:val="20"/>
              </w:rPr>
              <w:t>14.37 (6.73,22.00)</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86650C">
              <w:rPr>
                <w:rFonts w:ascii="Arial Narrow" w:hAnsi="Arial Narrow" w:cs="Times New Roman"/>
                <w:b/>
                <w:snapToGrid/>
                <w:color w:val="000000"/>
                <w:sz w:val="20"/>
                <w:szCs w:val="20"/>
              </w:rPr>
              <w:t>p=0.0002</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Any AE of CTCAE Grade 3 or 4 related to treatment</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59 (12.4)</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11 (4.7)</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b/>
                <w:snapToGrid/>
                <w:color w:val="000000"/>
                <w:sz w:val="20"/>
                <w:szCs w:val="20"/>
              </w:rPr>
            </w:pPr>
            <w:r w:rsidRPr="0086650C">
              <w:rPr>
                <w:rFonts w:ascii="Arial Narrow" w:hAnsi="Arial Narrow" w:cs="Times New Roman"/>
                <w:b/>
                <w:snapToGrid/>
                <w:color w:val="000000"/>
                <w:sz w:val="20"/>
                <w:szCs w:val="20"/>
              </w:rPr>
              <w:t>2.64 (1.48, 5.22)</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86650C">
              <w:rPr>
                <w:rFonts w:ascii="Arial Narrow" w:hAnsi="Arial Narrow" w:cs="Times New Roman"/>
                <w:b/>
                <w:snapToGrid/>
                <w:color w:val="000000"/>
                <w:sz w:val="20"/>
                <w:szCs w:val="20"/>
              </w:rPr>
              <w:t>p=0.001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b/>
                <w:snapToGrid/>
                <w:color w:val="000000"/>
                <w:sz w:val="20"/>
                <w:szCs w:val="20"/>
              </w:rPr>
            </w:pPr>
            <w:r w:rsidRPr="0086650C">
              <w:rPr>
                <w:rFonts w:ascii="Arial Narrow" w:hAnsi="Arial Narrow" w:cs="Times New Roman"/>
                <w:b/>
                <w:snapToGrid/>
                <w:color w:val="000000"/>
                <w:sz w:val="20"/>
                <w:szCs w:val="20"/>
              </w:rPr>
              <w:t>7.72 (3.52, 11.68)</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86650C">
              <w:rPr>
                <w:rFonts w:ascii="Arial Narrow" w:hAnsi="Arial Narrow" w:cs="Times New Roman"/>
                <w:b/>
                <w:snapToGrid/>
                <w:color w:val="000000"/>
                <w:sz w:val="20"/>
                <w:szCs w:val="20"/>
              </w:rPr>
              <w:t>p=0.001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Any SAE related to treatment</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41 (8.6)</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9 (3.8)</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b/>
                <w:snapToGrid/>
                <w:color w:val="000000"/>
                <w:sz w:val="20"/>
                <w:szCs w:val="20"/>
              </w:rPr>
            </w:pPr>
            <w:r w:rsidRPr="0086650C">
              <w:rPr>
                <w:rFonts w:ascii="Arial Narrow" w:hAnsi="Arial Narrow" w:cs="Times New Roman"/>
                <w:b/>
                <w:snapToGrid/>
                <w:color w:val="000000"/>
                <w:sz w:val="20"/>
                <w:szCs w:val="20"/>
              </w:rPr>
              <w:t>2.24 (1.17, 4.86)</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86650C">
              <w:rPr>
                <w:rFonts w:ascii="Arial Narrow" w:hAnsi="Arial Narrow" w:cs="Times New Roman"/>
                <w:b/>
                <w:snapToGrid/>
                <w:color w:val="000000"/>
                <w:sz w:val="20"/>
                <w:szCs w:val="20"/>
              </w:rPr>
              <w:t>p=0.01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b/>
                <w:snapToGrid/>
                <w:color w:val="000000"/>
                <w:sz w:val="20"/>
                <w:szCs w:val="20"/>
              </w:rPr>
            </w:pPr>
            <w:r w:rsidRPr="0086650C">
              <w:rPr>
                <w:rFonts w:ascii="Arial Narrow" w:hAnsi="Arial Narrow" w:cs="Times New Roman"/>
                <w:b/>
                <w:snapToGrid/>
                <w:color w:val="000000"/>
                <w:sz w:val="20"/>
                <w:szCs w:val="20"/>
              </w:rPr>
              <w:t>4.79 (1.05, 8.26)</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86650C">
              <w:rPr>
                <w:rFonts w:ascii="Arial Narrow" w:hAnsi="Arial Narrow" w:cs="Times New Roman"/>
                <w:b/>
                <w:snapToGrid/>
                <w:color w:val="000000"/>
                <w:sz w:val="20"/>
                <w:szCs w:val="20"/>
              </w:rPr>
              <w:t>p=0.01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Any AE leading to discontinuation related to treatment</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47 (9.9)</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8 (3.4)</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b/>
                <w:snapToGrid/>
                <w:color w:val="000000"/>
                <w:sz w:val="20"/>
                <w:szCs w:val="20"/>
              </w:rPr>
            </w:pPr>
            <w:r w:rsidRPr="0086650C">
              <w:rPr>
                <w:rFonts w:ascii="Arial Narrow" w:hAnsi="Arial Narrow" w:cs="Times New Roman"/>
                <w:b/>
                <w:snapToGrid/>
                <w:color w:val="000000"/>
                <w:sz w:val="20"/>
                <w:szCs w:val="20"/>
              </w:rPr>
              <w:t>2.89 (1.48, 6.53)</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86650C">
              <w:rPr>
                <w:rFonts w:ascii="Arial Narrow" w:hAnsi="Arial Narrow" w:cs="Times New Roman"/>
                <w:b/>
                <w:snapToGrid/>
                <w:color w:val="000000"/>
                <w:sz w:val="20"/>
                <w:szCs w:val="20"/>
              </w:rPr>
              <w:t>p=0.0012</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86650C" w:rsidRDefault="00D10ABF" w:rsidP="00FC56EA">
            <w:pPr>
              <w:keepNext/>
              <w:widowControl/>
              <w:jc w:val="center"/>
              <w:rPr>
                <w:rFonts w:ascii="Arial Narrow" w:hAnsi="Arial Narrow" w:cs="Times New Roman"/>
                <w:b/>
                <w:snapToGrid/>
                <w:color w:val="000000"/>
                <w:sz w:val="20"/>
                <w:szCs w:val="20"/>
              </w:rPr>
            </w:pPr>
            <w:r w:rsidRPr="0086650C">
              <w:rPr>
                <w:rFonts w:ascii="Arial Narrow" w:hAnsi="Arial Narrow" w:cs="Times New Roman"/>
                <w:b/>
                <w:snapToGrid/>
                <w:color w:val="000000"/>
                <w:sz w:val="20"/>
                <w:szCs w:val="20"/>
              </w:rPr>
              <w:t>6.48 (2.75, 10.00)</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86650C">
              <w:rPr>
                <w:rFonts w:ascii="Arial Narrow" w:hAnsi="Arial Narrow" w:cs="Times New Roman"/>
                <w:b/>
                <w:snapToGrid/>
                <w:color w:val="000000"/>
                <w:sz w:val="20"/>
                <w:szCs w:val="20"/>
              </w:rPr>
              <w:t>p=0.0012</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Any AE leading to death</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21 (4.4)</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15 (6.4)</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2F1B6D" w:rsidRDefault="00D10ABF" w:rsidP="00FC56EA">
            <w:pPr>
              <w:keepNext/>
              <w:widowControl/>
              <w:jc w:val="center"/>
              <w:rPr>
                <w:rFonts w:ascii="Arial Narrow" w:hAnsi="Arial Narrow" w:cs="Times New Roman"/>
                <w:iCs/>
                <w:snapToGrid/>
                <w:color w:val="000000"/>
                <w:sz w:val="20"/>
                <w:szCs w:val="20"/>
              </w:rPr>
            </w:pPr>
            <w:r w:rsidRPr="002F1B6D">
              <w:rPr>
                <w:rFonts w:ascii="Arial Narrow" w:hAnsi="Arial Narrow" w:cs="Times New Roman"/>
                <w:iCs/>
                <w:snapToGrid/>
                <w:color w:val="000000"/>
                <w:sz w:val="20"/>
                <w:szCs w:val="20"/>
              </w:rPr>
              <w:t>0.69 (0.36, 1.34)</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2F1B6D">
              <w:rPr>
                <w:rFonts w:ascii="Arial Narrow" w:hAnsi="Arial Narrow" w:cs="Times New Roman"/>
                <w:iCs/>
                <w:snapToGrid/>
                <w:color w:val="000000"/>
                <w:sz w:val="20"/>
                <w:szCs w:val="20"/>
              </w:rPr>
              <w:t>p=0.26</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2F1B6D" w:rsidRDefault="00D10ABF" w:rsidP="00FC56EA">
            <w:pPr>
              <w:keepNext/>
              <w:widowControl/>
              <w:jc w:val="center"/>
              <w:rPr>
                <w:rFonts w:ascii="Arial Narrow" w:hAnsi="Arial Narrow" w:cs="Times New Roman"/>
                <w:iCs/>
                <w:snapToGrid/>
                <w:color w:val="000000"/>
                <w:sz w:val="20"/>
                <w:szCs w:val="20"/>
              </w:rPr>
            </w:pPr>
            <w:r w:rsidRPr="002F1B6D">
              <w:rPr>
                <w:rFonts w:ascii="Arial Narrow" w:hAnsi="Arial Narrow" w:cs="Times New Roman"/>
                <w:iCs/>
                <w:snapToGrid/>
                <w:color w:val="000000"/>
                <w:sz w:val="20"/>
                <w:szCs w:val="20"/>
              </w:rPr>
              <w:t>-1.99 (-5.97, 1.43)</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2F1B6D">
              <w:rPr>
                <w:rFonts w:ascii="Arial Narrow" w:hAnsi="Arial Narrow" w:cs="Times New Roman"/>
                <w:iCs/>
                <w:snapToGrid/>
                <w:color w:val="000000"/>
                <w:sz w:val="20"/>
                <w:szCs w:val="20"/>
              </w:rPr>
              <w:t>p=0.26</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Any AE leading to death related to treatment</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7 (1.5)</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4 (1.7)</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2F1B6D" w:rsidRDefault="00D10ABF" w:rsidP="00FC56EA">
            <w:pPr>
              <w:keepNext/>
              <w:widowControl/>
              <w:jc w:val="center"/>
              <w:rPr>
                <w:rFonts w:ascii="Arial Narrow" w:hAnsi="Arial Narrow" w:cs="Times New Roman"/>
                <w:iCs/>
                <w:snapToGrid/>
                <w:color w:val="000000"/>
                <w:sz w:val="20"/>
                <w:szCs w:val="20"/>
              </w:rPr>
            </w:pPr>
            <w:r w:rsidRPr="002F1B6D">
              <w:rPr>
                <w:rFonts w:ascii="Arial Narrow" w:hAnsi="Arial Narrow" w:cs="Times New Roman"/>
                <w:iCs/>
                <w:snapToGrid/>
                <w:color w:val="000000"/>
                <w:sz w:val="20"/>
                <w:szCs w:val="20"/>
              </w:rPr>
              <w:t>0.86 (0.26, 3.26)</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2F1B6D">
              <w:rPr>
                <w:rFonts w:ascii="Arial Narrow" w:hAnsi="Arial Narrow" w:cs="Times New Roman"/>
                <w:iCs/>
                <w:snapToGrid/>
                <w:color w:val="000000"/>
                <w:sz w:val="20"/>
                <w:szCs w:val="20"/>
              </w:rPr>
              <w:t>p=0.81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2F1B6D" w:rsidRDefault="00D10ABF" w:rsidP="00FC56EA">
            <w:pPr>
              <w:keepNext/>
              <w:widowControl/>
              <w:jc w:val="center"/>
              <w:rPr>
                <w:rFonts w:ascii="Arial Narrow" w:hAnsi="Arial Narrow" w:cs="Times New Roman"/>
                <w:iCs/>
                <w:snapToGrid/>
                <w:color w:val="000000"/>
                <w:sz w:val="20"/>
                <w:szCs w:val="20"/>
              </w:rPr>
            </w:pPr>
            <w:r w:rsidRPr="002F1B6D">
              <w:rPr>
                <w:rFonts w:ascii="Arial Narrow" w:hAnsi="Arial Narrow" w:cs="Times New Roman"/>
                <w:iCs/>
                <w:snapToGrid/>
                <w:color w:val="000000"/>
                <w:sz w:val="20"/>
                <w:szCs w:val="20"/>
              </w:rPr>
              <w:t>-0.24 (-2.63, 1.62)</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2F1B6D">
              <w:rPr>
                <w:rFonts w:ascii="Arial Narrow" w:hAnsi="Arial Narrow" w:cs="Times New Roman"/>
                <w:iCs/>
                <w:snapToGrid/>
                <w:color w:val="000000"/>
                <w:sz w:val="20"/>
                <w:szCs w:val="20"/>
              </w:rPr>
              <w:t>p=0.81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Any AESI</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317 (66.7)</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115 (49.1)</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1275CB" w:rsidRDefault="00D10ABF" w:rsidP="00FC56EA">
            <w:pPr>
              <w:keepNext/>
              <w:widowControl/>
              <w:jc w:val="center"/>
              <w:rPr>
                <w:rFonts w:ascii="Arial Narrow" w:hAnsi="Arial Narrow" w:cs="Times New Roman"/>
                <w:b/>
                <w:snapToGrid/>
                <w:color w:val="000000"/>
                <w:sz w:val="20"/>
                <w:szCs w:val="20"/>
              </w:rPr>
            </w:pPr>
            <w:r w:rsidRPr="001275CB">
              <w:rPr>
                <w:rFonts w:ascii="Arial Narrow" w:hAnsi="Arial Narrow" w:cs="Times New Roman"/>
                <w:b/>
                <w:snapToGrid/>
                <w:color w:val="000000"/>
                <w:sz w:val="20"/>
                <w:szCs w:val="20"/>
              </w:rPr>
              <w:t>1.36 (1.18, 1.58)</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5CB">
              <w:rPr>
                <w:rFonts w:ascii="Arial Narrow" w:hAnsi="Arial Narrow" w:cs="Times New Roman"/>
                <w:b/>
                <w:snapToGrid/>
                <w:color w:val="000000"/>
                <w:sz w:val="20"/>
                <w:szCs w:val="20"/>
              </w:rPr>
              <w:t>p&lt;.0001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1275CB" w:rsidRDefault="00D10ABF" w:rsidP="00FC56EA">
            <w:pPr>
              <w:keepNext/>
              <w:widowControl/>
              <w:jc w:val="center"/>
              <w:rPr>
                <w:rFonts w:ascii="Arial Narrow" w:hAnsi="Arial Narrow" w:cs="Times New Roman"/>
                <w:b/>
                <w:snapToGrid/>
                <w:color w:val="000000"/>
                <w:sz w:val="20"/>
                <w:szCs w:val="20"/>
              </w:rPr>
            </w:pPr>
            <w:r w:rsidRPr="001275CB">
              <w:rPr>
                <w:rFonts w:ascii="Arial Narrow" w:hAnsi="Arial Narrow" w:cs="Times New Roman"/>
                <w:b/>
                <w:snapToGrid/>
                <w:color w:val="000000"/>
                <w:sz w:val="20"/>
                <w:szCs w:val="20"/>
              </w:rPr>
              <w:t>17.59 (9.89, 25.22)</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1275CB">
              <w:rPr>
                <w:rFonts w:ascii="Arial Narrow" w:hAnsi="Arial Narrow" w:cs="Times New Roman"/>
                <w:b/>
                <w:snapToGrid/>
                <w:color w:val="000000"/>
                <w:sz w:val="20"/>
                <w:szCs w:val="20"/>
              </w:rPr>
              <w:t>p&lt;.0001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CF766D">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 xml:space="preserve">Any </w:t>
            </w:r>
            <w:r w:rsidR="00CF766D">
              <w:rPr>
                <w:rFonts w:ascii="Arial Narrow" w:hAnsi="Arial Narrow" w:cs="Times New Roman"/>
                <w:snapToGrid/>
                <w:color w:val="000000"/>
                <w:sz w:val="20"/>
                <w:szCs w:val="20"/>
              </w:rPr>
              <w:t>I</w:t>
            </w:r>
            <w:r w:rsidRPr="00697D19">
              <w:rPr>
                <w:rFonts w:ascii="Arial Narrow" w:hAnsi="Arial Narrow" w:cs="Times New Roman"/>
                <w:snapToGrid/>
                <w:color w:val="000000"/>
                <w:sz w:val="20"/>
                <w:szCs w:val="20"/>
              </w:rPr>
              <w:t>mAEs</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166 (34.9)</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39 (16.7)</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2.10 (1.56, 2.91)</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p&lt;.0001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18.28 (11.69, 24.54)</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p&lt;.0001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Cough</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167 (35.2)</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59 (25.2)</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1.39 (1.09, 1.81)</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p=0.01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9.94 (2.78, 16.83)</w:t>
            </w:r>
          </w:p>
          <w:p w:rsidR="00D10ABF" w:rsidRPr="00127F8A"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p=0.01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Pyrexia</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72 (15.2)</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22 (9.4)</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1.61 (1.05, 2.60)</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p=0.03</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5.76 (0.61, 10.56)</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p=0.03</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Pneumonia</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63 (13.3)</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18 (7.7)</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1.72 (1.07, 2.93)</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p=0.02</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5.57 (0.78, 10.03)</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p=0.02</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Pneumonitis</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60 (12.6)</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18 (7.7)</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6E4683" w:rsidRDefault="00D10ABF" w:rsidP="00FC56EA">
            <w:pPr>
              <w:keepNext/>
              <w:widowControl/>
              <w:jc w:val="center"/>
              <w:rPr>
                <w:rFonts w:ascii="Arial Narrow" w:hAnsi="Arial Narrow" w:cs="Times New Roman"/>
                <w:b/>
                <w:iCs/>
                <w:snapToGrid/>
                <w:color w:val="000000"/>
                <w:sz w:val="20"/>
                <w:szCs w:val="20"/>
              </w:rPr>
            </w:pPr>
            <w:r w:rsidRPr="006E4683">
              <w:rPr>
                <w:rFonts w:ascii="Arial Narrow" w:hAnsi="Arial Narrow" w:cs="Times New Roman"/>
                <w:b/>
                <w:iCs/>
                <w:snapToGrid/>
                <w:color w:val="000000"/>
                <w:sz w:val="20"/>
                <w:szCs w:val="20"/>
              </w:rPr>
              <w:t>1.64 (1.02, 2.80)</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6E4683">
              <w:rPr>
                <w:rFonts w:ascii="Arial Narrow" w:hAnsi="Arial Narrow" w:cs="Times New Roman"/>
                <w:b/>
                <w:iCs/>
                <w:snapToGrid/>
                <w:color w:val="000000"/>
                <w:sz w:val="20"/>
                <w:szCs w:val="20"/>
              </w:rPr>
              <w:t>p=0.04</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4.94 (0.18, 9.35)</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C852E3">
              <w:rPr>
                <w:rFonts w:ascii="Arial Narrow" w:hAnsi="Arial Narrow" w:cs="Times New Roman"/>
                <w:b/>
                <w:snapToGrid/>
                <w:color w:val="000000"/>
                <w:sz w:val="20"/>
                <w:szCs w:val="20"/>
              </w:rPr>
              <w:t>p=0.04</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Prurit</w:t>
            </w:r>
            <w:r>
              <w:rPr>
                <w:rFonts w:ascii="Arial Narrow" w:hAnsi="Arial Narrow" w:cs="Times New Roman"/>
                <w:snapToGrid/>
                <w:color w:val="000000"/>
                <w:sz w:val="20"/>
                <w:szCs w:val="20"/>
              </w:rPr>
              <w:t>u</w:t>
            </w:r>
            <w:r w:rsidRPr="00697D19">
              <w:rPr>
                <w:rFonts w:ascii="Arial Narrow" w:hAnsi="Arial Narrow" w:cs="Times New Roman"/>
                <w:snapToGrid/>
                <w:color w:val="000000"/>
                <w:sz w:val="20"/>
                <w:szCs w:val="20"/>
              </w:rPr>
              <w:t>s</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59 (12.4)</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12 (5.1)</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2.42 (1.38, 4.65)</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p=0.001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7.29 (3.01, 11.32)</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p=0.001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Hypothyroidism</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55 (11.6)</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4 (1.7)</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6.77 (2.82, 22.17)</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p&lt;.0001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9.87 (6.49, 13.26)</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C852E3">
              <w:rPr>
                <w:rFonts w:ascii="Arial Narrow" w:hAnsi="Arial Narrow" w:cs="Times New Roman"/>
                <w:b/>
                <w:snapToGrid/>
                <w:color w:val="000000"/>
                <w:sz w:val="20"/>
                <w:szCs w:val="20"/>
              </w:rPr>
              <w:t>p&lt;.0001</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Myalgia</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38 (8.0)</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10 (4.3)</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iCs/>
                <w:snapToGrid/>
                <w:color w:val="000000"/>
                <w:sz w:val="20"/>
                <w:szCs w:val="20"/>
              </w:rPr>
            </w:pPr>
            <w:r w:rsidRPr="00C852E3">
              <w:rPr>
                <w:rFonts w:ascii="Arial Narrow" w:hAnsi="Arial Narrow" w:cs="Times New Roman"/>
                <w:iCs/>
                <w:snapToGrid/>
                <w:color w:val="000000"/>
                <w:sz w:val="20"/>
                <w:szCs w:val="20"/>
              </w:rPr>
              <w:t>1.87 (0.99, 3.91)</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C852E3">
              <w:rPr>
                <w:rFonts w:ascii="Arial Narrow" w:hAnsi="Arial Narrow" w:cs="Times New Roman"/>
                <w:iCs/>
                <w:snapToGrid/>
                <w:color w:val="000000"/>
                <w:sz w:val="20"/>
                <w:szCs w:val="20"/>
              </w:rPr>
              <w:t>p=0.054</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6E4683" w:rsidRDefault="00D10ABF" w:rsidP="00FC56EA">
            <w:pPr>
              <w:keepNext/>
              <w:widowControl/>
              <w:jc w:val="center"/>
              <w:rPr>
                <w:rFonts w:ascii="Arial Narrow" w:hAnsi="Arial Narrow" w:cs="Times New Roman"/>
                <w:snapToGrid/>
                <w:color w:val="000000"/>
                <w:sz w:val="20"/>
                <w:szCs w:val="20"/>
              </w:rPr>
            </w:pPr>
            <w:r w:rsidRPr="006E4683">
              <w:rPr>
                <w:rFonts w:ascii="Arial Narrow" w:hAnsi="Arial Narrow" w:cs="Times New Roman"/>
                <w:snapToGrid/>
                <w:color w:val="000000"/>
                <w:sz w:val="20"/>
                <w:szCs w:val="20"/>
              </w:rPr>
              <w:t>3.73 (-0.07, 7.20)</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6E4683">
              <w:rPr>
                <w:rFonts w:ascii="Arial Narrow" w:hAnsi="Arial Narrow" w:cs="Times New Roman"/>
                <w:snapToGrid/>
                <w:color w:val="000000"/>
                <w:sz w:val="20"/>
                <w:szCs w:val="20"/>
              </w:rPr>
              <w:t>p=0.054</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Oedema peripheral</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37 (7.8)</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9 (3.8)</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6E4683" w:rsidRDefault="00D10ABF" w:rsidP="00FC56EA">
            <w:pPr>
              <w:keepNext/>
              <w:widowControl/>
              <w:jc w:val="center"/>
              <w:rPr>
                <w:rFonts w:ascii="Arial Narrow" w:hAnsi="Arial Narrow" w:cs="Times New Roman"/>
                <w:b/>
                <w:iCs/>
                <w:snapToGrid/>
                <w:color w:val="000000"/>
                <w:sz w:val="20"/>
                <w:szCs w:val="20"/>
              </w:rPr>
            </w:pPr>
            <w:r w:rsidRPr="006E4683">
              <w:rPr>
                <w:rFonts w:ascii="Arial Narrow" w:hAnsi="Arial Narrow" w:cs="Times New Roman"/>
                <w:b/>
                <w:iCs/>
                <w:snapToGrid/>
                <w:color w:val="000000"/>
                <w:sz w:val="20"/>
                <w:szCs w:val="20"/>
              </w:rPr>
              <w:t>2.03 (1.04, 4.41)</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6E4683">
              <w:rPr>
                <w:rFonts w:ascii="Arial Narrow" w:hAnsi="Arial Narrow" w:cs="Times New Roman"/>
                <w:b/>
                <w:iCs/>
                <w:snapToGrid/>
                <w:color w:val="000000"/>
                <w:sz w:val="20"/>
                <w:szCs w:val="20"/>
              </w:rPr>
              <w:t>p=0.04</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C852E3" w:rsidRDefault="00D10ABF" w:rsidP="00FC56EA">
            <w:pPr>
              <w:keepNext/>
              <w:widowControl/>
              <w:jc w:val="center"/>
              <w:rPr>
                <w:rFonts w:ascii="Arial Narrow" w:hAnsi="Arial Narrow" w:cs="Times New Roman"/>
                <w:b/>
                <w:snapToGrid/>
                <w:color w:val="000000"/>
                <w:sz w:val="20"/>
                <w:szCs w:val="20"/>
              </w:rPr>
            </w:pPr>
            <w:r w:rsidRPr="00C852E3">
              <w:rPr>
                <w:rFonts w:ascii="Arial Narrow" w:hAnsi="Arial Narrow" w:cs="Times New Roman"/>
                <w:b/>
                <w:snapToGrid/>
                <w:color w:val="000000"/>
                <w:sz w:val="20"/>
                <w:szCs w:val="20"/>
              </w:rPr>
              <w:t>3.94 (0.27, 7.32)</w:t>
            </w:r>
          </w:p>
          <w:p w:rsidR="00D10ABF" w:rsidRPr="00127F8A" w:rsidRDefault="00D10ABF" w:rsidP="00FC56EA">
            <w:pPr>
              <w:keepNext/>
              <w:widowControl/>
              <w:jc w:val="center"/>
              <w:rPr>
                <w:rFonts w:ascii="Arial Narrow" w:hAnsi="Arial Narrow" w:cs="Times New Roman"/>
                <w:snapToGrid/>
                <w:color w:val="000000"/>
                <w:sz w:val="20"/>
                <w:szCs w:val="20"/>
                <w:lang w:val="en-US"/>
              </w:rPr>
            </w:pPr>
            <w:r w:rsidRPr="00C852E3">
              <w:rPr>
                <w:rFonts w:ascii="Arial Narrow" w:hAnsi="Arial Narrow" w:cs="Times New Roman"/>
                <w:b/>
                <w:snapToGrid/>
                <w:color w:val="000000"/>
                <w:sz w:val="20"/>
                <w:szCs w:val="20"/>
              </w:rPr>
              <w:t>p=0.04</w:t>
            </w:r>
          </w:p>
        </w:tc>
      </w:tr>
      <w:tr w:rsidR="00D10ABF" w:rsidRPr="00127F8A" w:rsidTr="00556E3F">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D10ABF" w:rsidRPr="00697D19" w:rsidRDefault="00D10ABF" w:rsidP="00FC56EA">
            <w:pPr>
              <w:keepNext/>
              <w:widowControl/>
              <w:jc w:val="left"/>
              <w:rPr>
                <w:rFonts w:ascii="Arial Narrow" w:hAnsi="Arial Narrow" w:cs="Times New Roman"/>
                <w:snapToGrid/>
                <w:color w:val="000000"/>
                <w:sz w:val="20"/>
                <w:szCs w:val="20"/>
                <w:lang w:val="en-US"/>
              </w:rPr>
            </w:pPr>
            <w:r w:rsidRPr="00697D19">
              <w:rPr>
                <w:rFonts w:ascii="Arial Narrow" w:hAnsi="Arial Narrow" w:cs="Times New Roman"/>
                <w:snapToGrid/>
                <w:color w:val="000000"/>
                <w:sz w:val="20"/>
                <w:szCs w:val="20"/>
              </w:rPr>
              <w:t>Hyperthyroidism</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35 (7.4)</w:t>
            </w:r>
          </w:p>
        </w:tc>
        <w:tc>
          <w:tcPr>
            <w:tcW w:w="1559" w:type="dxa"/>
            <w:tcBorders>
              <w:top w:val="nil"/>
              <w:left w:val="nil"/>
              <w:bottom w:val="single" w:sz="4" w:space="0" w:color="auto"/>
              <w:right w:val="single" w:sz="4" w:space="0" w:color="auto"/>
            </w:tcBorders>
            <w:shd w:val="clear" w:color="auto" w:fill="auto"/>
            <w:noWrap/>
            <w:vAlign w:val="center"/>
            <w:hideMark/>
          </w:tcPr>
          <w:p w:rsidR="00D10ABF" w:rsidRPr="00127F8A" w:rsidRDefault="00D10ABF" w:rsidP="00FC56EA">
            <w:pPr>
              <w:keepNext/>
              <w:widowControl/>
              <w:jc w:val="center"/>
              <w:rPr>
                <w:rFonts w:ascii="Arial Narrow" w:hAnsi="Arial Narrow" w:cs="Times New Roman"/>
                <w:snapToGrid/>
                <w:color w:val="000000"/>
                <w:sz w:val="20"/>
                <w:szCs w:val="20"/>
                <w:lang w:val="en-US"/>
              </w:rPr>
            </w:pPr>
            <w:r w:rsidRPr="00127F8A">
              <w:rPr>
                <w:rFonts w:ascii="Arial Narrow" w:hAnsi="Arial Narrow" w:cs="Times New Roman"/>
                <w:snapToGrid/>
                <w:color w:val="000000"/>
                <w:sz w:val="20"/>
                <w:szCs w:val="20"/>
              </w:rPr>
              <w:t>4 (1.7)</w:t>
            </w:r>
          </w:p>
        </w:tc>
        <w:tc>
          <w:tcPr>
            <w:tcW w:w="1559" w:type="dxa"/>
            <w:tcBorders>
              <w:top w:val="nil"/>
              <w:left w:val="nil"/>
              <w:bottom w:val="single" w:sz="4" w:space="0" w:color="auto"/>
              <w:right w:val="single" w:sz="4" w:space="0" w:color="auto"/>
            </w:tcBorders>
            <w:shd w:val="clear" w:color="auto" w:fill="auto"/>
            <w:noWrap/>
            <w:vAlign w:val="bottom"/>
            <w:hideMark/>
          </w:tcPr>
          <w:p w:rsidR="00D10ABF" w:rsidRPr="00EB0D68" w:rsidRDefault="00D10ABF" w:rsidP="00FC56EA">
            <w:pPr>
              <w:keepNext/>
              <w:widowControl/>
              <w:jc w:val="center"/>
              <w:rPr>
                <w:rFonts w:ascii="Arial Narrow" w:hAnsi="Arial Narrow" w:cs="Times New Roman"/>
                <w:b/>
                <w:snapToGrid/>
                <w:color w:val="000000"/>
                <w:sz w:val="20"/>
                <w:szCs w:val="20"/>
              </w:rPr>
            </w:pPr>
            <w:r w:rsidRPr="00EB0D68">
              <w:rPr>
                <w:rFonts w:ascii="Arial Narrow" w:hAnsi="Arial Narrow" w:cs="Times New Roman"/>
                <w:b/>
                <w:snapToGrid/>
                <w:color w:val="000000"/>
                <w:sz w:val="20"/>
                <w:szCs w:val="20"/>
              </w:rPr>
              <w:t>4.31 (1.75, 14.30)</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EB0D68">
              <w:rPr>
                <w:rFonts w:ascii="Arial Narrow" w:hAnsi="Arial Narrow" w:cs="Times New Roman"/>
                <w:b/>
                <w:snapToGrid/>
                <w:color w:val="000000"/>
                <w:sz w:val="20"/>
                <w:szCs w:val="20"/>
              </w:rPr>
              <w:t>p=0.001</w:t>
            </w:r>
          </w:p>
        </w:tc>
        <w:tc>
          <w:tcPr>
            <w:tcW w:w="1560" w:type="dxa"/>
            <w:tcBorders>
              <w:top w:val="nil"/>
              <w:left w:val="nil"/>
              <w:bottom w:val="single" w:sz="4" w:space="0" w:color="auto"/>
              <w:right w:val="single" w:sz="4" w:space="0" w:color="auto"/>
            </w:tcBorders>
            <w:shd w:val="clear" w:color="auto" w:fill="auto"/>
            <w:noWrap/>
            <w:vAlign w:val="bottom"/>
            <w:hideMark/>
          </w:tcPr>
          <w:p w:rsidR="00D10ABF" w:rsidRPr="00EB0D68" w:rsidRDefault="00D10ABF" w:rsidP="00FC56EA">
            <w:pPr>
              <w:keepNext/>
              <w:widowControl/>
              <w:jc w:val="center"/>
              <w:rPr>
                <w:rFonts w:ascii="Arial Narrow" w:hAnsi="Arial Narrow" w:cs="Times New Roman"/>
                <w:b/>
                <w:snapToGrid/>
                <w:color w:val="000000"/>
                <w:sz w:val="20"/>
                <w:szCs w:val="20"/>
              </w:rPr>
            </w:pPr>
            <w:r w:rsidRPr="00EB0D68">
              <w:rPr>
                <w:rFonts w:ascii="Arial Narrow" w:hAnsi="Arial Narrow" w:cs="Times New Roman"/>
                <w:b/>
                <w:snapToGrid/>
                <w:color w:val="000000"/>
                <w:sz w:val="20"/>
                <w:szCs w:val="20"/>
              </w:rPr>
              <w:t>5.66 (2.65, 8.59)</w:t>
            </w:r>
          </w:p>
          <w:p w:rsidR="00D10ABF" w:rsidRPr="00697D19" w:rsidRDefault="00D10ABF" w:rsidP="00FC56EA">
            <w:pPr>
              <w:keepNext/>
              <w:widowControl/>
              <w:jc w:val="center"/>
              <w:rPr>
                <w:rFonts w:ascii="Arial Narrow" w:hAnsi="Arial Narrow" w:cs="Times New Roman"/>
                <w:b/>
                <w:snapToGrid/>
                <w:color w:val="000000"/>
                <w:sz w:val="20"/>
                <w:szCs w:val="20"/>
                <w:lang w:val="en-US"/>
              </w:rPr>
            </w:pPr>
            <w:r w:rsidRPr="00EB0D68">
              <w:rPr>
                <w:rFonts w:ascii="Arial Narrow" w:hAnsi="Arial Narrow" w:cs="Times New Roman"/>
                <w:b/>
                <w:snapToGrid/>
                <w:color w:val="000000"/>
                <w:sz w:val="20"/>
                <w:szCs w:val="20"/>
              </w:rPr>
              <w:t>p=0.001</w:t>
            </w:r>
          </w:p>
        </w:tc>
      </w:tr>
    </w:tbl>
    <w:p w:rsidR="00D10ABF" w:rsidRPr="00E70756" w:rsidRDefault="00D10ABF" w:rsidP="00FC56EA">
      <w:pPr>
        <w:pStyle w:val="TableFooter"/>
        <w:keepNext/>
        <w:widowControl/>
      </w:pPr>
      <w:r>
        <w:t>Source: Table 2.5.8, pp52-55 of the submission and corrected by sponsor. AE = adverse event; AESI = adverse event of special interest; CI = confidence interval; CTCAE = Common terminology criteria for adverse events; ImAE = immune mediated adverse events; SAE = serious adverse events.</w:t>
      </w:r>
    </w:p>
    <w:p w:rsidR="006D0FBD" w:rsidRDefault="006D0FBD" w:rsidP="00FC56EA">
      <w:pPr>
        <w:pStyle w:val="TableFooter"/>
        <w:keepNext/>
        <w:widowControl/>
      </w:pPr>
    </w:p>
    <w:p w:rsidR="00211D05" w:rsidRPr="003A613B" w:rsidRDefault="00211D05" w:rsidP="00FC56EA">
      <w:pPr>
        <w:pStyle w:val="ListParagraph"/>
        <w:keepNext/>
        <w:widowControl/>
        <w:numPr>
          <w:ilvl w:val="1"/>
          <w:numId w:val="2"/>
        </w:numPr>
      </w:pPr>
      <w:r w:rsidRPr="003A613B">
        <w:t>Overall, durvalumab was associated with greater toxicity than placebo</w:t>
      </w:r>
      <w:r w:rsidR="00510515">
        <w:t>.</w:t>
      </w:r>
    </w:p>
    <w:p w:rsidR="00FC56EA" w:rsidRDefault="00FC56EA">
      <w:pPr>
        <w:widowControl/>
        <w:jc w:val="left"/>
        <w:rPr>
          <w:b/>
          <w:i/>
          <w:sz w:val="28"/>
        </w:rPr>
      </w:pPr>
      <w:bookmarkStart w:id="22" w:name="_Toc524446347"/>
      <w:r>
        <w:br w:type="page"/>
      </w:r>
    </w:p>
    <w:p w:rsidR="006D0FBD" w:rsidRPr="00116D22" w:rsidRDefault="006D0FBD" w:rsidP="00FC56EA">
      <w:pPr>
        <w:pStyle w:val="Heading2"/>
        <w:keepNext/>
        <w:widowControl/>
      </w:pPr>
      <w:r w:rsidRPr="00C9624D">
        <w:t>Benefits/harms</w:t>
      </w:r>
      <w:bookmarkEnd w:id="22"/>
    </w:p>
    <w:p w:rsidR="00510515" w:rsidRDefault="006D0FBD" w:rsidP="00FC56EA">
      <w:pPr>
        <w:pStyle w:val="ListParagraph"/>
        <w:keepNext/>
        <w:widowControl/>
        <w:numPr>
          <w:ilvl w:val="1"/>
          <w:numId w:val="2"/>
        </w:numPr>
      </w:pPr>
      <w:r w:rsidRPr="00B50DB8">
        <w:t>A summary of the comp</w:t>
      </w:r>
      <w:r>
        <w:t xml:space="preserve">arative benefits and harms for durvalumab </w:t>
      </w:r>
      <w:r w:rsidRPr="00B50DB8">
        <w:t xml:space="preserve">versus </w:t>
      </w:r>
      <w:r>
        <w:t>placebo</w:t>
      </w:r>
      <w:r w:rsidRPr="00B50DB8">
        <w:t xml:space="preserve"> is presented </w:t>
      </w:r>
      <w:r w:rsidRPr="00580395">
        <w:t xml:space="preserve">in </w:t>
      </w:r>
      <w:r w:rsidR="00FA3901" w:rsidRPr="00FA3901">
        <w:t xml:space="preserve">Table </w:t>
      </w:r>
      <w:r w:rsidR="00FA3901">
        <w:t>8</w:t>
      </w:r>
      <w:r w:rsidRPr="00580395">
        <w:t>.</w:t>
      </w:r>
      <w:r w:rsidRPr="00B50DB8">
        <w:t xml:space="preserve"> </w:t>
      </w:r>
    </w:p>
    <w:p w:rsidR="00D10ABF" w:rsidRPr="0093501A" w:rsidRDefault="00D10ABF" w:rsidP="00FC56EA">
      <w:pPr>
        <w:pStyle w:val="TableHeading0"/>
        <w:keepLines w:val="0"/>
        <w:rPr>
          <w:rStyle w:val="CommentReference"/>
          <w:b/>
          <w:szCs w:val="20"/>
        </w:rPr>
      </w:pPr>
      <w:bookmarkStart w:id="23" w:name="_Ref521876254"/>
      <w:r w:rsidRPr="0093501A">
        <w:rPr>
          <w:rStyle w:val="CommentReference"/>
          <w:b/>
          <w:szCs w:val="20"/>
        </w:rPr>
        <w:t>Table</w:t>
      </w:r>
      <w:r w:rsidRPr="00CB1657">
        <w:rPr>
          <w:rStyle w:val="CommentReference"/>
          <w:b/>
          <w:szCs w:val="20"/>
        </w:rPr>
        <w:t xml:space="preserve"> </w:t>
      </w:r>
      <w:r w:rsidRPr="00CB1657">
        <w:rPr>
          <w:noProof/>
        </w:rPr>
        <w:t>8</w:t>
      </w:r>
      <w:bookmarkEnd w:id="23"/>
      <w:r w:rsidRPr="0093501A">
        <w:rPr>
          <w:rStyle w:val="CommentReference"/>
          <w:b/>
          <w:szCs w:val="20"/>
        </w:rPr>
        <w:t>: Summary of comparative benefits and harms for durvalumab and placebo</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durvalumab and placebo"/>
      </w:tblPr>
      <w:tblGrid>
        <w:gridCol w:w="1647"/>
        <w:gridCol w:w="1261"/>
        <w:gridCol w:w="1261"/>
        <w:gridCol w:w="1395"/>
        <w:gridCol w:w="1001"/>
        <w:gridCol w:w="35"/>
        <w:gridCol w:w="963"/>
        <w:gridCol w:w="1520"/>
      </w:tblGrid>
      <w:tr w:rsidR="00D10ABF" w:rsidRPr="00E2771E" w:rsidTr="00556E3F">
        <w:trPr>
          <w:trHeight w:val="70"/>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FC56EA">
            <w:pPr>
              <w:keepNext/>
              <w:widowControl/>
              <w:spacing w:before="40" w:after="40"/>
              <w:rPr>
                <w:rFonts w:ascii="Arial Narrow" w:hAnsi="Arial Narrow"/>
                <w:b/>
                <w:color w:val="000000"/>
                <w:sz w:val="20"/>
                <w:szCs w:val="18"/>
              </w:rPr>
            </w:pPr>
            <w:r w:rsidRPr="00E2771E">
              <w:rPr>
                <w:rFonts w:ascii="Arial Narrow" w:hAnsi="Arial Narrow"/>
                <w:b/>
                <w:color w:val="000000"/>
                <w:sz w:val="20"/>
                <w:szCs w:val="18"/>
              </w:rPr>
              <w:t>Trial</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Default="00D10ABF" w:rsidP="00FC56EA">
            <w:pPr>
              <w:keepNext/>
              <w:widowControl/>
              <w:spacing w:before="40" w:after="40"/>
              <w:jc w:val="center"/>
              <w:rPr>
                <w:rFonts w:ascii="Arial Narrow" w:hAnsi="Arial Narrow"/>
                <w:b/>
                <w:color w:val="000000"/>
                <w:sz w:val="20"/>
                <w:szCs w:val="18"/>
              </w:rPr>
            </w:pPr>
            <w:r>
              <w:rPr>
                <w:rFonts w:ascii="Arial Narrow" w:hAnsi="Arial Narrow"/>
                <w:b/>
                <w:color w:val="000000"/>
                <w:sz w:val="20"/>
                <w:szCs w:val="18"/>
              </w:rPr>
              <w:t>Durvalu</w:t>
            </w:r>
            <w:r w:rsidRPr="00E2771E">
              <w:rPr>
                <w:rFonts w:ascii="Arial Narrow" w:hAnsi="Arial Narrow"/>
                <w:b/>
                <w:color w:val="000000"/>
                <w:sz w:val="20"/>
                <w:szCs w:val="18"/>
              </w:rPr>
              <w:t>mab</w:t>
            </w:r>
          </w:p>
          <w:p w:rsidR="00D10ABF" w:rsidRPr="00E2771E" w:rsidRDefault="00D10ABF" w:rsidP="00FC56EA">
            <w:pPr>
              <w:keepNext/>
              <w:widowControl/>
              <w:spacing w:before="40" w:after="40"/>
              <w:jc w:val="center"/>
              <w:rPr>
                <w:rFonts w:ascii="Arial Narrow" w:hAnsi="Arial Narrow"/>
                <w:b/>
                <w:color w:val="000000"/>
                <w:sz w:val="20"/>
                <w:szCs w:val="18"/>
              </w:rPr>
            </w:pPr>
            <w:r>
              <w:rPr>
                <w:rFonts w:ascii="Arial Narrow" w:hAnsi="Arial Narrow"/>
                <w:b/>
                <w:color w:val="000000"/>
                <w:sz w:val="20"/>
                <w:szCs w:val="18"/>
              </w:rPr>
              <w:t>n/N</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Default="00D10ABF" w:rsidP="00FC56EA">
            <w:pPr>
              <w:keepNext/>
              <w:widowControl/>
              <w:spacing w:before="40" w:after="40"/>
              <w:jc w:val="center"/>
              <w:rPr>
                <w:rFonts w:ascii="Arial Narrow" w:hAnsi="Arial Narrow"/>
                <w:b/>
                <w:color w:val="000000"/>
                <w:sz w:val="20"/>
                <w:szCs w:val="18"/>
              </w:rPr>
            </w:pPr>
            <w:r>
              <w:rPr>
                <w:rFonts w:ascii="Arial Narrow" w:hAnsi="Arial Narrow"/>
                <w:b/>
                <w:color w:val="000000"/>
                <w:sz w:val="20"/>
                <w:szCs w:val="18"/>
              </w:rPr>
              <w:t>Placebo</w:t>
            </w:r>
          </w:p>
          <w:p w:rsidR="00D10ABF" w:rsidRPr="00E2771E" w:rsidRDefault="00D10ABF" w:rsidP="00FC56EA">
            <w:pPr>
              <w:keepNext/>
              <w:widowControl/>
              <w:spacing w:before="40" w:after="40"/>
              <w:jc w:val="center"/>
              <w:rPr>
                <w:rFonts w:ascii="Arial Narrow" w:hAnsi="Arial Narrow"/>
                <w:b/>
                <w:color w:val="000000"/>
                <w:sz w:val="20"/>
                <w:szCs w:val="18"/>
              </w:rPr>
            </w:pPr>
            <w:r>
              <w:rPr>
                <w:rFonts w:ascii="Arial Narrow" w:hAnsi="Arial Narrow"/>
                <w:b/>
                <w:color w:val="000000"/>
                <w:sz w:val="20"/>
                <w:szCs w:val="18"/>
              </w:rPr>
              <w:t>n/N</w:t>
            </w:r>
          </w:p>
        </w:tc>
        <w:tc>
          <w:tcPr>
            <w:tcW w:w="1319" w:type="pct"/>
            <w:gridSpan w:val="2"/>
            <w:tcBorders>
              <w:top w:val="single" w:sz="4" w:space="0" w:color="auto"/>
              <w:left w:val="single" w:sz="4" w:space="0" w:color="auto"/>
              <w:right w:val="single" w:sz="4" w:space="0" w:color="auto"/>
            </w:tcBorders>
            <w:vAlign w:val="center"/>
          </w:tcPr>
          <w:p w:rsidR="00D10ABF" w:rsidRPr="00E2771E" w:rsidRDefault="00D10ABF" w:rsidP="00FC56EA">
            <w:pPr>
              <w:keepNext/>
              <w:widowControl/>
              <w:spacing w:before="40" w:after="40"/>
              <w:jc w:val="center"/>
              <w:rPr>
                <w:rFonts w:ascii="Arial Narrow" w:hAnsi="Arial Narrow"/>
                <w:b/>
                <w:color w:val="000000"/>
                <w:sz w:val="20"/>
                <w:szCs w:val="18"/>
              </w:rPr>
            </w:pPr>
            <w:r w:rsidRPr="00E2771E">
              <w:rPr>
                <w:rFonts w:ascii="Arial Narrow" w:hAnsi="Arial Narrow"/>
                <w:b/>
                <w:color w:val="000000"/>
                <w:sz w:val="20"/>
                <w:szCs w:val="18"/>
              </w:rPr>
              <w:t xml:space="preserve">Absolute </w:t>
            </w:r>
            <w:r>
              <w:rPr>
                <w:rFonts w:ascii="Arial Narrow" w:hAnsi="Arial Narrow"/>
                <w:b/>
                <w:color w:val="000000"/>
                <w:sz w:val="20"/>
                <w:szCs w:val="18"/>
              </w:rPr>
              <w:t>d</w:t>
            </w:r>
            <w:r w:rsidRPr="00E2771E">
              <w:rPr>
                <w:rFonts w:ascii="Arial Narrow" w:hAnsi="Arial Narrow"/>
                <w:b/>
                <w:color w:val="000000"/>
                <w:sz w:val="20"/>
                <w:szCs w:val="18"/>
              </w:rPr>
              <w:t>ifference</w:t>
            </w:r>
          </w:p>
        </w:tc>
        <w:tc>
          <w:tcPr>
            <w:tcW w:w="1386" w:type="pct"/>
            <w:gridSpan w:val="3"/>
            <w:tcBorders>
              <w:top w:val="single" w:sz="4" w:space="0" w:color="auto"/>
              <w:left w:val="single" w:sz="4" w:space="0" w:color="auto"/>
              <w:right w:val="single" w:sz="4" w:space="0" w:color="auto"/>
            </w:tcBorders>
            <w:vAlign w:val="center"/>
          </w:tcPr>
          <w:p w:rsidR="00D10ABF" w:rsidRPr="00E2771E" w:rsidRDefault="00D10ABF" w:rsidP="00FC56EA">
            <w:pPr>
              <w:keepNext/>
              <w:widowControl/>
              <w:spacing w:before="40" w:after="40"/>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D10ABF" w:rsidRPr="00E2771E" w:rsidTr="00556E3F">
        <w:tc>
          <w:tcPr>
            <w:tcW w:w="5000" w:type="pct"/>
            <w:gridSpan w:val="8"/>
            <w:tcBorders>
              <w:top w:val="single" w:sz="4" w:space="0" w:color="auto"/>
              <w:left w:val="single" w:sz="4" w:space="0" w:color="auto"/>
              <w:bottom w:val="double" w:sz="4" w:space="0" w:color="auto"/>
              <w:right w:val="single" w:sz="4" w:space="0" w:color="auto"/>
            </w:tcBorders>
            <w:shd w:val="clear" w:color="auto" w:fill="auto"/>
            <w:vAlign w:val="center"/>
          </w:tcPr>
          <w:p w:rsidR="00D10ABF" w:rsidRPr="00E2771E" w:rsidRDefault="00D10ABF" w:rsidP="008404A4">
            <w:pPr>
              <w:widowControl/>
              <w:spacing w:before="40" w:after="40"/>
              <w:rPr>
                <w:rFonts w:ascii="Arial Narrow" w:hAnsi="Arial Narrow"/>
                <w:b/>
                <w:color w:val="000000"/>
                <w:sz w:val="20"/>
                <w:szCs w:val="18"/>
              </w:rPr>
            </w:pPr>
            <w:r w:rsidRPr="00E2771E">
              <w:rPr>
                <w:rFonts w:ascii="Arial Narrow" w:hAnsi="Arial Narrow"/>
                <w:b/>
                <w:color w:val="000000"/>
                <w:sz w:val="20"/>
                <w:szCs w:val="18"/>
              </w:rPr>
              <w:t>Benefits</w:t>
            </w:r>
          </w:p>
        </w:tc>
      </w:tr>
      <w:tr w:rsidR="00D10ABF" w:rsidRPr="00E2771E" w:rsidTr="00556E3F">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8404A4">
            <w:pPr>
              <w:widowControl/>
              <w:spacing w:before="40" w:after="40"/>
              <w:rPr>
                <w:rFonts w:ascii="Arial Narrow" w:hAnsi="Arial Narrow"/>
                <w:b/>
                <w:color w:val="000000"/>
                <w:sz w:val="20"/>
                <w:szCs w:val="18"/>
              </w:rPr>
            </w:pPr>
            <w:r>
              <w:rPr>
                <w:rFonts w:ascii="Arial Narrow" w:hAnsi="Arial Narrow"/>
                <w:b/>
                <w:color w:val="000000"/>
                <w:sz w:val="20"/>
                <w:szCs w:val="18"/>
              </w:rPr>
              <w:t>Overall survival</w:t>
            </w:r>
          </w:p>
        </w:tc>
      </w:tr>
      <w:tr w:rsidR="00D10ABF" w:rsidRPr="00E2771E" w:rsidTr="00556E3F">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116D22" w:rsidRDefault="00D10ABF" w:rsidP="008404A4">
            <w:pPr>
              <w:widowControl/>
              <w:spacing w:before="40" w:after="40"/>
              <w:rPr>
                <w:rFonts w:ascii="Arial Narrow" w:hAnsi="Arial Narrow"/>
                <w:color w:val="000000"/>
                <w:sz w:val="20"/>
                <w:szCs w:val="20"/>
              </w:rPr>
            </w:pPr>
            <w:r w:rsidRPr="00116D22">
              <w:rPr>
                <w:rFonts w:ascii="Arial Narrow" w:hAnsi="Arial Narrow"/>
                <w:sz w:val="20"/>
                <w:szCs w:val="20"/>
              </w:rPr>
              <w:t>Patients with event</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sidRPr="00116D22">
              <w:rPr>
                <w:rFonts w:ascii="Arial Narrow" w:hAnsi="Arial Narrow"/>
                <w:sz w:val="20"/>
                <w:szCs w:val="20"/>
              </w:rPr>
              <w:t>183/476 (38.4)</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sidRPr="00116D22">
              <w:rPr>
                <w:rFonts w:ascii="Arial Narrow" w:hAnsi="Arial Narrow"/>
                <w:sz w:val="20"/>
                <w:szCs w:val="20"/>
              </w:rPr>
              <w:t>116/237 (48.9)</w:t>
            </w:r>
          </w:p>
        </w:tc>
        <w:tc>
          <w:tcPr>
            <w:tcW w:w="1338" w:type="pct"/>
            <w:gridSpan w:val="3"/>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color w:val="000000"/>
                <w:sz w:val="20"/>
                <w:szCs w:val="20"/>
              </w:rPr>
            </w:pPr>
            <w:r w:rsidRPr="00116D22">
              <w:rPr>
                <w:rFonts w:ascii="Arial Narrow" w:hAnsi="Arial Narrow"/>
                <w:sz w:val="20"/>
                <w:szCs w:val="20"/>
              </w:rPr>
              <w:t>10.5%</w:t>
            </w:r>
          </w:p>
        </w:tc>
        <w:tc>
          <w:tcPr>
            <w:tcW w:w="1367" w:type="pct"/>
            <w:gridSpan w:val="2"/>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color w:val="000000"/>
                <w:sz w:val="20"/>
                <w:szCs w:val="18"/>
              </w:rPr>
            </w:pPr>
            <w:r>
              <w:rPr>
                <w:rFonts w:ascii="Arial Narrow" w:hAnsi="Arial Narrow"/>
                <w:color w:val="000000"/>
                <w:sz w:val="20"/>
                <w:szCs w:val="18"/>
              </w:rPr>
              <w:t>-</w:t>
            </w:r>
          </w:p>
        </w:tc>
      </w:tr>
      <w:tr w:rsidR="00D10ABF" w:rsidRPr="00E2771E" w:rsidTr="00556E3F">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116D22" w:rsidRDefault="00D10ABF" w:rsidP="008404A4">
            <w:pPr>
              <w:widowControl/>
              <w:spacing w:before="40" w:after="40"/>
              <w:jc w:val="left"/>
              <w:rPr>
                <w:rFonts w:ascii="Arial Narrow" w:hAnsi="Arial Narrow"/>
                <w:color w:val="000000"/>
                <w:sz w:val="20"/>
                <w:szCs w:val="20"/>
              </w:rPr>
            </w:pPr>
            <w:r w:rsidRPr="00116D22">
              <w:rPr>
                <w:rFonts w:ascii="Arial Narrow" w:hAnsi="Arial Narrow"/>
                <w:sz w:val="20"/>
                <w:szCs w:val="20"/>
              </w:rPr>
              <w:t>Median months OS (95% CI)</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sidRPr="00116D22">
              <w:rPr>
                <w:rFonts w:ascii="Arial Narrow" w:hAnsi="Arial Narrow"/>
                <w:sz w:val="20"/>
                <w:szCs w:val="20"/>
              </w:rPr>
              <w:t>NR (34.7, NR)</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sidRPr="00116D22">
              <w:rPr>
                <w:rFonts w:ascii="Arial Narrow" w:hAnsi="Arial Narrow"/>
                <w:sz w:val="20"/>
                <w:szCs w:val="20"/>
              </w:rPr>
              <w:t>28.7 (22.9, NR)</w:t>
            </w:r>
          </w:p>
        </w:tc>
        <w:tc>
          <w:tcPr>
            <w:tcW w:w="1338" w:type="pct"/>
            <w:gridSpan w:val="3"/>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color w:val="000000"/>
                <w:sz w:val="20"/>
                <w:szCs w:val="20"/>
              </w:rPr>
            </w:pPr>
            <w:r w:rsidRPr="00116D22">
              <w:rPr>
                <w:rFonts w:ascii="Arial Narrow" w:hAnsi="Arial Narrow"/>
                <w:sz w:val="20"/>
                <w:szCs w:val="20"/>
              </w:rPr>
              <w:t>NR</w:t>
            </w:r>
          </w:p>
        </w:tc>
        <w:tc>
          <w:tcPr>
            <w:tcW w:w="1367" w:type="pct"/>
            <w:gridSpan w:val="2"/>
            <w:tcBorders>
              <w:top w:val="single" w:sz="4" w:space="0" w:color="auto"/>
              <w:left w:val="single" w:sz="4" w:space="0" w:color="auto"/>
              <w:bottom w:val="single" w:sz="4" w:space="0" w:color="auto"/>
              <w:right w:val="single" w:sz="4" w:space="0" w:color="auto"/>
            </w:tcBorders>
            <w:vAlign w:val="center"/>
          </w:tcPr>
          <w:p w:rsidR="00D10ABF" w:rsidRPr="00580395" w:rsidRDefault="00D10ABF" w:rsidP="008404A4">
            <w:pPr>
              <w:widowControl/>
              <w:spacing w:before="40" w:after="40"/>
              <w:jc w:val="center"/>
              <w:rPr>
                <w:rFonts w:ascii="Arial Narrow" w:hAnsi="Arial Narrow"/>
                <w:b/>
                <w:color w:val="000000"/>
                <w:sz w:val="20"/>
                <w:szCs w:val="20"/>
              </w:rPr>
            </w:pPr>
            <w:r w:rsidRPr="00580395">
              <w:rPr>
                <w:rFonts w:ascii="Arial Narrow" w:hAnsi="Arial Narrow"/>
                <w:b/>
                <w:sz w:val="20"/>
                <w:szCs w:val="20"/>
              </w:rPr>
              <w:t>0.68 (0.53, 0.87)</w:t>
            </w:r>
          </w:p>
        </w:tc>
      </w:tr>
      <w:tr w:rsidR="00D10ABF" w:rsidRPr="00E2771E" w:rsidTr="00556E3F">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D10ABF" w:rsidRPr="00580395" w:rsidRDefault="00D10ABF" w:rsidP="008404A4">
            <w:pPr>
              <w:widowControl/>
              <w:spacing w:before="40" w:after="40"/>
              <w:jc w:val="left"/>
              <w:rPr>
                <w:rFonts w:ascii="Arial Narrow" w:hAnsi="Arial Narrow"/>
                <w:b/>
                <w:sz w:val="20"/>
                <w:szCs w:val="20"/>
              </w:rPr>
            </w:pPr>
            <w:r>
              <w:rPr>
                <w:rFonts w:ascii="Arial Narrow" w:hAnsi="Arial Narrow"/>
                <w:b/>
                <w:sz w:val="20"/>
                <w:szCs w:val="20"/>
              </w:rPr>
              <w:t>Overall survival at 24 months</w:t>
            </w:r>
          </w:p>
        </w:tc>
      </w:tr>
      <w:tr w:rsidR="00D10ABF" w:rsidRPr="00E2771E" w:rsidTr="00556E3F">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116D22" w:rsidRDefault="00D10ABF" w:rsidP="008404A4">
            <w:pPr>
              <w:widowControl/>
              <w:spacing w:before="40" w:after="40"/>
              <w:jc w:val="left"/>
              <w:rPr>
                <w:rFonts w:ascii="Arial Narrow" w:hAnsi="Arial Narrow"/>
                <w:sz w:val="20"/>
                <w:szCs w:val="20"/>
              </w:rPr>
            </w:pPr>
            <w:r>
              <w:rPr>
                <w:rFonts w:ascii="Arial Narrow" w:hAnsi="Arial Narrow"/>
                <w:sz w:val="20"/>
                <w:szCs w:val="20"/>
              </w:rPr>
              <w:t>Patients alive at 24 months, % (95% CI)</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Pr>
                <w:rFonts w:ascii="Arial Narrow" w:hAnsi="Arial Narrow"/>
                <w:sz w:val="20"/>
                <w:szCs w:val="20"/>
              </w:rPr>
              <w:t xml:space="preserve">66.3 </w:t>
            </w:r>
            <w:r>
              <w:rPr>
                <w:rFonts w:ascii="Arial Narrow" w:hAnsi="Arial Narrow"/>
                <w:sz w:val="20"/>
                <w:szCs w:val="20"/>
              </w:rPr>
              <w:br/>
              <w:t>(61.7, 70.4)</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Pr>
                <w:rFonts w:ascii="Arial Narrow" w:hAnsi="Arial Narrow"/>
                <w:sz w:val="20"/>
                <w:szCs w:val="20"/>
              </w:rPr>
              <w:t xml:space="preserve">55.6 </w:t>
            </w:r>
            <w:r>
              <w:rPr>
                <w:rFonts w:ascii="Arial Narrow" w:hAnsi="Arial Narrow"/>
                <w:sz w:val="20"/>
                <w:szCs w:val="20"/>
              </w:rPr>
              <w:br/>
              <w:t>(48.9, 61.8)</w:t>
            </w:r>
          </w:p>
        </w:tc>
        <w:tc>
          <w:tcPr>
            <w:tcW w:w="1338" w:type="pct"/>
            <w:gridSpan w:val="3"/>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Pr>
                <w:rFonts w:ascii="Arial Narrow" w:hAnsi="Arial Narrow"/>
                <w:sz w:val="20"/>
                <w:szCs w:val="20"/>
              </w:rPr>
              <w:t>10.7%</w:t>
            </w:r>
            <w:r>
              <w:rPr>
                <w:rFonts w:ascii="Arial Narrow" w:hAnsi="Arial Narrow"/>
                <w:sz w:val="20"/>
                <w:szCs w:val="20"/>
              </w:rPr>
              <w:br/>
              <w:t>p=0.005</w:t>
            </w:r>
          </w:p>
        </w:tc>
        <w:tc>
          <w:tcPr>
            <w:tcW w:w="1367" w:type="pct"/>
            <w:gridSpan w:val="2"/>
            <w:tcBorders>
              <w:top w:val="single" w:sz="4" w:space="0" w:color="auto"/>
              <w:left w:val="single" w:sz="4" w:space="0" w:color="auto"/>
              <w:bottom w:val="single" w:sz="4" w:space="0" w:color="auto"/>
              <w:right w:val="single" w:sz="4" w:space="0" w:color="auto"/>
            </w:tcBorders>
            <w:vAlign w:val="center"/>
          </w:tcPr>
          <w:p w:rsidR="00D10ABF" w:rsidRPr="00580395" w:rsidRDefault="00D10ABF" w:rsidP="008404A4">
            <w:pPr>
              <w:widowControl/>
              <w:spacing w:before="40" w:after="40"/>
              <w:jc w:val="center"/>
              <w:rPr>
                <w:rFonts w:ascii="Arial Narrow" w:hAnsi="Arial Narrow"/>
                <w:b/>
                <w:sz w:val="20"/>
                <w:szCs w:val="20"/>
              </w:rPr>
            </w:pPr>
            <w:r>
              <w:rPr>
                <w:rFonts w:ascii="Arial Narrow" w:hAnsi="Arial Narrow"/>
                <w:b/>
                <w:sz w:val="20"/>
                <w:szCs w:val="20"/>
              </w:rPr>
              <w:t>--</w:t>
            </w:r>
          </w:p>
        </w:tc>
      </w:tr>
      <w:tr w:rsidR="00D10ABF" w:rsidRPr="00E2771E" w:rsidTr="00556E3F">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D10ABF" w:rsidRPr="00116D22" w:rsidRDefault="00D10ABF" w:rsidP="008404A4">
            <w:pPr>
              <w:widowControl/>
              <w:spacing w:before="40" w:after="40"/>
              <w:jc w:val="left"/>
              <w:rPr>
                <w:rFonts w:ascii="Arial Narrow" w:hAnsi="Arial Narrow"/>
                <w:b/>
                <w:color w:val="000000"/>
                <w:sz w:val="20"/>
                <w:szCs w:val="20"/>
              </w:rPr>
            </w:pPr>
            <w:r w:rsidRPr="00116D22">
              <w:rPr>
                <w:rFonts w:ascii="Arial Narrow" w:hAnsi="Arial Narrow"/>
                <w:b/>
                <w:sz w:val="20"/>
                <w:szCs w:val="20"/>
              </w:rPr>
              <w:t xml:space="preserve">Progression-free survival by BICR (primary analysis, </w:t>
            </w:r>
            <w:r>
              <w:rPr>
                <w:rFonts w:ascii="Arial Narrow" w:hAnsi="Arial Narrow"/>
                <w:b/>
                <w:sz w:val="20"/>
                <w:szCs w:val="20"/>
              </w:rPr>
              <w:t>22</w:t>
            </w:r>
            <w:r w:rsidRPr="00116D22">
              <w:rPr>
                <w:rFonts w:ascii="Arial Narrow" w:hAnsi="Arial Narrow"/>
                <w:b/>
                <w:sz w:val="20"/>
                <w:szCs w:val="20"/>
              </w:rPr>
              <w:t xml:space="preserve"> March 2018 data cut)</w:t>
            </w:r>
          </w:p>
        </w:tc>
      </w:tr>
      <w:tr w:rsidR="00D10ABF" w:rsidRPr="00E2771E" w:rsidTr="00556E3F">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116D22" w:rsidRDefault="00D10ABF" w:rsidP="008404A4">
            <w:pPr>
              <w:widowControl/>
              <w:spacing w:before="40" w:after="40"/>
              <w:rPr>
                <w:rFonts w:ascii="Arial Narrow" w:hAnsi="Arial Narrow"/>
                <w:color w:val="000000"/>
                <w:sz w:val="20"/>
                <w:szCs w:val="20"/>
              </w:rPr>
            </w:pPr>
            <w:r w:rsidRPr="00116D22">
              <w:rPr>
                <w:rFonts w:ascii="Arial Narrow" w:hAnsi="Arial Narrow"/>
                <w:sz w:val="20"/>
                <w:szCs w:val="20"/>
              </w:rPr>
              <w:t>Patients with event</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sidRPr="00116D22">
              <w:rPr>
                <w:rFonts w:ascii="Arial Narrow" w:hAnsi="Arial Narrow"/>
                <w:sz w:val="20"/>
                <w:szCs w:val="20"/>
              </w:rPr>
              <w:t>242/247 (51.1)</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sidRPr="00116D22">
              <w:rPr>
                <w:rFonts w:ascii="Arial Narrow" w:hAnsi="Arial Narrow"/>
                <w:sz w:val="20"/>
                <w:szCs w:val="20"/>
              </w:rPr>
              <w:t>173/237 (73.0)</w:t>
            </w:r>
          </w:p>
        </w:tc>
        <w:tc>
          <w:tcPr>
            <w:tcW w:w="1338" w:type="pct"/>
            <w:gridSpan w:val="3"/>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color w:val="000000"/>
                <w:sz w:val="20"/>
                <w:szCs w:val="20"/>
              </w:rPr>
            </w:pPr>
            <w:r w:rsidRPr="00116D22">
              <w:rPr>
                <w:rFonts w:ascii="Arial Narrow" w:hAnsi="Arial Narrow"/>
                <w:sz w:val="20"/>
                <w:szCs w:val="20"/>
              </w:rPr>
              <w:t>21.9%</w:t>
            </w:r>
          </w:p>
        </w:tc>
        <w:tc>
          <w:tcPr>
            <w:tcW w:w="1367" w:type="pct"/>
            <w:gridSpan w:val="2"/>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color w:val="000000"/>
                <w:sz w:val="20"/>
                <w:szCs w:val="20"/>
              </w:rPr>
            </w:pPr>
            <w:r w:rsidRPr="00116D22">
              <w:rPr>
                <w:rFonts w:ascii="Arial Narrow" w:hAnsi="Arial Narrow"/>
                <w:sz w:val="20"/>
                <w:szCs w:val="20"/>
              </w:rPr>
              <w:t>-</w:t>
            </w:r>
          </w:p>
        </w:tc>
      </w:tr>
      <w:tr w:rsidR="00D10ABF" w:rsidRPr="00E2771E" w:rsidTr="00556E3F">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116D22" w:rsidRDefault="00D10ABF" w:rsidP="008404A4">
            <w:pPr>
              <w:widowControl/>
              <w:spacing w:before="40" w:after="40"/>
              <w:jc w:val="left"/>
              <w:rPr>
                <w:rFonts w:ascii="Arial Narrow" w:hAnsi="Arial Narrow"/>
                <w:color w:val="000000"/>
                <w:sz w:val="20"/>
                <w:szCs w:val="20"/>
              </w:rPr>
            </w:pPr>
            <w:r w:rsidRPr="00116D22">
              <w:rPr>
                <w:rFonts w:ascii="Arial Narrow" w:hAnsi="Arial Narrow"/>
                <w:sz w:val="20"/>
                <w:szCs w:val="20"/>
              </w:rPr>
              <w:t>Median PFS months (95% CI)</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sidRPr="00116D22">
              <w:rPr>
                <w:rFonts w:ascii="Arial Narrow" w:hAnsi="Arial Narrow"/>
                <w:sz w:val="20"/>
                <w:szCs w:val="20"/>
              </w:rPr>
              <w:t xml:space="preserve">17.2 </w:t>
            </w:r>
            <w:r>
              <w:rPr>
                <w:rFonts w:ascii="Arial Narrow" w:hAnsi="Arial Narrow"/>
                <w:sz w:val="20"/>
                <w:szCs w:val="20"/>
              </w:rPr>
              <w:br/>
            </w:r>
            <w:r w:rsidRPr="00116D22">
              <w:rPr>
                <w:rFonts w:ascii="Arial Narrow" w:hAnsi="Arial Narrow"/>
                <w:sz w:val="20"/>
                <w:szCs w:val="20"/>
              </w:rPr>
              <w:t>(13.1, 23.9)</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sz w:val="20"/>
                <w:szCs w:val="20"/>
              </w:rPr>
            </w:pPr>
            <w:r w:rsidRPr="00116D22">
              <w:rPr>
                <w:rFonts w:ascii="Arial Narrow" w:hAnsi="Arial Narrow"/>
                <w:sz w:val="20"/>
                <w:szCs w:val="20"/>
              </w:rPr>
              <w:t xml:space="preserve">5.6 </w:t>
            </w:r>
            <w:r>
              <w:rPr>
                <w:rFonts w:ascii="Arial Narrow" w:hAnsi="Arial Narrow"/>
                <w:sz w:val="20"/>
                <w:szCs w:val="20"/>
              </w:rPr>
              <w:br/>
            </w:r>
            <w:r w:rsidRPr="00116D22">
              <w:rPr>
                <w:rFonts w:ascii="Arial Narrow" w:hAnsi="Arial Narrow"/>
                <w:sz w:val="20"/>
                <w:szCs w:val="20"/>
              </w:rPr>
              <w:t>(4.6, 7.7)</w:t>
            </w:r>
          </w:p>
        </w:tc>
        <w:tc>
          <w:tcPr>
            <w:tcW w:w="1338" w:type="pct"/>
            <w:gridSpan w:val="3"/>
            <w:tcBorders>
              <w:top w:val="single" w:sz="4" w:space="0" w:color="auto"/>
              <w:left w:val="single" w:sz="4" w:space="0" w:color="auto"/>
              <w:bottom w:val="single" w:sz="4" w:space="0" w:color="auto"/>
              <w:right w:val="single" w:sz="4" w:space="0" w:color="auto"/>
            </w:tcBorders>
            <w:vAlign w:val="center"/>
          </w:tcPr>
          <w:p w:rsidR="00D10ABF" w:rsidRPr="00116D22" w:rsidRDefault="00D10ABF" w:rsidP="008404A4">
            <w:pPr>
              <w:widowControl/>
              <w:spacing w:before="40" w:after="40"/>
              <w:jc w:val="center"/>
              <w:rPr>
                <w:rFonts w:ascii="Arial Narrow" w:hAnsi="Arial Narrow"/>
                <w:color w:val="000000"/>
                <w:sz w:val="20"/>
                <w:szCs w:val="20"/>
              </w:rPr>
            </w:pPr>
            <w:r w:rsidRPr="00116D22">
              <w:rPr>
                <w:rFonts w:ascii="Arial Narrow" w:hAnsi="Arial Narrow"/>
                <w:sz w:val="20"/>
                <w:szCs w:val="20"/>
              </w:rPr>
              <w:t>11.6 months</w:t>
            </w:r>
          </w:p>
        </w:tc>
        <w:tc>
          <w:tcPr>
            <w:tcW w:w="1367" w:type="pct"/>
            <w:gridSpan w:val="2"/>
            <w:tcBorders>
              <w:top w:val="single" w:sz="4" w:space="0" w:color="auto"/>
              <w:left w:val="single" w:sz="4" w:space="0" w:color="auto"/>
              <w:bottom w:val="single" w:sz="4" w:space="0" w:color="auto"/>
              <w:right w:val="single" w:sz="4" w:space="0" w:color="auto"/>
            </w:tcBorders>
            <w:vAlign w:val="center"/>
          </w:tcPr>
          <w:p w:rsidR="00D10ABF" w:rsidRPr="00580395" w:rsidRDefault="00D10ABF" w:rsidP="008404A4">
            <w:pPr>
              <w:widowControl/>
              <w:spacing w:before="40" w:after="40"/>
              <w:jc w:val="center"/>
              <w:rPr>
                <w:rFonts w:ascii="Arial Narrow" w:hAnsi="Arial Narrow"/>
                <w:b/>
                <w:color w:val="000000"/>
                <w:sz w:val="20"/>
                <w:szCs w:val="20"/>
              </w:rPr>
            </w:pPr>
            <w:r w:rsidRPr="00580395">
              <w:rPr>
                <w:rFonts w:ascii="Arial Narrow" w:hAnsi="Arial Narrow"/>
                <w:b/>
                <w:sz w:val="20"/>
                <w:szCs w:val="20"/>
              </w:rPr>
              <w:t>0.51 (0.41, 0.63)</w:t>
            </w:r>
          </w:p>
        </w:tc>
      </w:tr>
      <w:tr w:rsidR="00D10ABF" w:rsidRPr="00E2771E" w:rsidTr="00556E3F">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8404A4">
            <w:pPr>
              <w:widowControl/>
              <w:spacing w:before="40" w:after="40"/>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D10ABF" w:rsidRPr="00E2771E" w:rsidTr="00556E3F">
        <w:trPr>
          <w:trHeight w:val="70"/>
        </w:trPr>
        <w:tc>
          <w:tcPr>
            <w:tcW w:w="9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8404A4">
            <w:pPr>
              <w:widowControl/>
              <w:spacing w:before="40" w:after="40"/>
              <w:rPr>
                <w:rFonts w:ascii="Arial Narrow" w:hAnsi="Arial Narrow"/>
                <w:b/>
                <w:color w:val="000000"/>
                <w:sz w:val="20"/>
                <w:szCs w:val="18"/>
              </w:rPr>
            </w:pPr>
          </w:p>
        </w:tc>
        <w:tc>
          <w:tcPr>
            <w:tcW w:w="694" w:type="pct"/>
            <w:vMerge w:val="restart"/>
            <w:tcBorders>
              <w:top w:val="single" w:sz="4" w:space="0" w:color="auto"/>
              <w:left w:val="single" w:sz="4" w:space="0" w:color="auto"/>
              <w:bottom w:val="single" w:sz="4" w:space="0" w:color="auto"/>
              <w:right w:val="single" w:sz="4" w:space="0" w:color="auto"/>
            </w:tcBorders>
            <w:vAlign w:val="center"/>
          </w:tcPr>
          <w:p w:rsidR="00D10ABF" w:rsidRDefault="00D10ABF" w:rsidP="008404A4">
            <w:pPr>
              <w:widowControl/>
              <w:spacing w:before="40" w:after="40"/>
              <w:jc w:val="center"/>
              <w:rPr>
                <w:rFonts w:ascii="Arial Narrow" w:hAnsi="Arial Narrow"/>
                <w:b/>
                <w:color w:val="000000"/>
                <w:sz w:val="20"/>
                <w:szCs w:val="18"/>
              </w:rPr>
            </w:pPr>
            <w:r>
              <w:rPr>
                <w:rFonts w:ascii="Arial Narrow" w:hAnsi="Arial Narrow"/>
                <w:b/>
                <w:color w:val="000000"/>
                <w:sz w:val="20"/>
                <w:szCs w:val="18"/>
              </w:rPr>
              <w:t>Durvalu</w:t>
            </w:r>
            <w:r w:rsidRPr="00E2771E">
              <w:rPr>
                <w:rFonts w:ascii="Arial Narrow" w:hAnsi="Arial Narrow"/>
                <w:b/>
                <w:color w:val="000000"/>
                <w:sz w:val="20"/>
                <w:szCs w:val="18"/>
              </w:rPr>
              <w:t>mab</w:t>
            </w:r>
          </w:p>
          <w:p w:rsidR="00D10ABF" w:rsidRPr="00E2771E" w:rsidRDefault="00D10ABF" w:rsidP="008404A4">
            <w:pPr>
              <w:widowControl/>
              <w:spacing w:before="40" w:after="40"/>
              <w:jc w:val="center"/>
              <w:rPr>
                <w:rFonts w:ascii="Arial Narrow" w:hAnsi="Arial Narrow"/>
                <w:b/>
                <w:color w:val="000000"/>
                <w:sz w:val="20"/>
                <w:szCs w:val="18"/>
              </w:rPr>
            </w:pPr>
            <w:r>
              <w:rPr>
                <w:rFonts w:ascii="Arial Narrow" w:hAnsi="Arial Narrow"/>
                <w:b/>
                <w:color w:val="000000"/>
                <w:sz w:val="20"/>
                <w:szCs w:val="18"/>
              </w:rPr>
              <w:t>n/N</w:t>
            </w:r>
          </w:p>
        </w:tc>
        <w:tc>
          <w:tcPr>
            <w:tcW w:w="694" w:type="pct"/>
            <w:vMerge w:val="restart"/>
            <w:tcBorders>
              <w:top w:val="single" w:sz="4" w:space="0" w:color="auto"/>
              <w:left w:val="single" w:sz="4" w:space="0" w:color="auto"/>
              <w:bottom w:val="single" w:sz="4" w:space="0" w:color="auto"/>
              <w:right w:val="single" w:sz="4" w:space="0" w:color="auto"/>
            </w:tcBorders>
            <w:vAlign w:val="center"/>
          </w:tcPr>
          <w:p w:rsidR="00D10ABF" w:rsidRDefault="00D10ABF" w:rsidP="008404A4">
            <w:pPr>
              <w:widowControl/>
              <w:spacing w:before="40" w:after="40"/>
              <w:jc w:val="center"/>
              <w:rPr>
                <w:rFonts w:ascii="Arial Narrow" w:hAnsi="Arial Narrow"/>
                <w:b/>
                <w:color w:val="000000"/>
                <w:sz w:val="20"/>
                <w:szCs w:val="18"/>
              </w:rPr>
            </w:pPr>
            <w:r>
              <w:rPr>
                <w:rFonts w:ascii="Arial Narrow" w:hAnsi="Arial Narrow"/>
                <w:b/>
                <w:color w:val="000000"/>
                <w:sz w:val="20"/>
                <w:szCs w:val="18"/>
              </w:rPr>
              <w:t>Placebo</w:t>
            </w:r>
          </w:p>
          <w:p w:rsidR="00D10ABF" w:rsidRPr="00E2771E" w:rsidRDefault="00D10ABF" w:rsidP="008404A4">
            <w:pPr>
              <w:widowControl/>
              <w:spacing w:before="40" w:after="40"/>
              <w:jc w:val="center"/>
              <w:rPr>
                <w:rFonts w:ascii="Arial Narrow" w:hAnsi="Arial Narrow"/>
                <w:b/>
                <w:color w:val="000000"/>
                <w:sz w:val="20"/>
                <w:szCs w:val="18"/>
              </w:rPr>
            </w:pPr>
            <w:r>
              <w:rPr>
                <w:rFonts w:ascii="Arial Narrow" w:hAnsi="Arial Narrow"/>
                <w:b/>
                <w:color w:val="000000"/>
                <w:sz w:val="20"/>
                <w:szCs w:val="18"/>
              </w:rPr>
              <w:t>n/N</w:t>
            </w:r>
          </w:p>
        </w:tc>
        <w:tc>
          <w:tcPr>
            <w:tcW w:w="768" w:type="pct"/>
            <w:vMerge w:val="restart"/>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r w:rsidRPr="00E2771E">
              <w:rPr>
                <w:rFonts w:ascii="Arial Narrow" w:hAnsi="Arial Narrow"/>
                <w:b/>
                <w:color w:val="000000"/>
                <w:sz w:val="20"/>
                <w:szCs w:val="18"/>
              </w:rPr>
              <w:t>RR</w:t>
            </w:r>
          </w:p>
          <w:p w:rsidR="00D10ABF" w:rsidRPr="00E2771E" w:rsidRDefault="00D10ABF" w:rsidP="008404A4">
            <w:pPr>
              <w:widowControl/>
              <w:spacing w:before="40" w:after="40"/>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100" w:type="pct"/>
            <w:gridSpan w:val="3"/>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r w:rsidRPr="00E2771E">
              <w:rPr>
                <w:rFonts w:ascii="Arial Narrow" w:hAnsi="Arial Narrow"/>
                <w:b/>
                <w:color w:val="000000"/>
                <w:sz w:val="20"/>
                <w:szCs w:val="18"/>
              </w:rPr>
              <w:t>RD</w:t>
            </w:r>
          </w:p>
          <w:p w:rsidR="00D10ABF" w:rsidRPr="00E2771E" w:rsidRDefault="00D10ABF" w:rsidP="008404A4">
            <w:pPr>
              <w:widowControl/>
              <w:spacing w:before="40" w:after="40"/>
              <w:jc w:val="center"/>
              <w:rPr>
                <w:rFonts w:ascii="Arial Narrow" w:hAnsi="Arial Narrow"/>
                <w:b/>
                <w:color w:val="000000"/>
                <w:sz w:val="20"/>
                <w:szCs w:val="18"/>
              </w:rPr>
            </w:pPr>
            <w:r w:rsidRPr="00E2771E">
              <w:rPr>
                <w:rFonts w:ascii="Arial Narrow" w:hAnsi="Arial Narrow"/>
                <w:b/>
                <w:color w:val="000000"/>
                <w:sz w:val="20"/>
                <w:szCs w:val="18"/>
              </w:rPr>
              <w:t>(95% CI)</w:t>
            </w:r>
            <w:r>
              <w:rPr>
                <w:rFonts w:ascii="Arial Narrow" w:hAnsi="Arial Narrow"/>
                <w:b/>
                <w:color w:val="000000"/>
                <w:sz w:val="20"/>
                <w:szCs w:val="18"/>
              </w:rPr>
              <w:t xml:space="preserve"> (%)</w:t>
            </w:r>
          </w:p>
        </w:tc>
      </w:tr>
      <w:tr w:rsidR="00D10ABF" w:rsidRPr="00E2771E" w:rsidTr="00556E3F">
        <w:trPr>
          <w:trHeight w:val="70"/>
        </w:trPr>
        <w:tc>
          <w:tcPr>
            <w:tcW w:w="907" w:type="pct"/>
            <w:vMerge/>
            <w:tcBorders>
              <w:top w:val="sing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8404A4">
            <w:pPr>
              <w:widowControl/>
              <w:spacing w:before="40" w:after="40"/>
              <w:rPr>
                <w:rFonts w:ascii="Arial Narrow" w:hAnsi="Arial Narrow"/>
                <w:b/>
                <w:color w:val="000000"/>
                <w:sz w:val="20"/>
                <w:szCs w:val="18"/>
              </w:rPr>
            </w:pPr>
          </w:p>
        </w:tc>
        <w:tc>
          <w:tcPr>
            <w:tcW w:w="694" w:type="pct"/>
            <w:vMerge/>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p>
        </w:tc>
        <w:tc>
          <w:tcPr>
            <w:tcW w:w="694" w:type="pct"/>
            <w:vMerge/>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p>
        </w:tc>
        <w:tc>
          <w:tcPr>
            <w:tcW w:w="768" w:type="pct"/>
            <w:vMerge/>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p>
        </w:tc>
        <w:tc>
          <w:tcPr>
            <w:tcW w:w="551" w:type="pct"/>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r w:rsidRPr="009B1118">
              <w:rPr>
                <w:rFonts w:ascii="Arial Narrow" w:hAnsi="Arial Narrow"/>
                <w:b/>
                <w:color w:val="000000"/>
                <w:sz w:val="18"/>
                <w:szCs w:val="18"/>
              </w:rPr>
              <w:t>Durvalumab</w:t>
            </w:r>
          </w:p>
        </w:tc>
        <w:tc>
          <w:tcPr>
            <w:tcW w:w="549" w:type="pct"/>
            <w:gridSpan w:val="2"/>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r>
              <w:rPr>
                <w:rFonts w:ascii="Arial Narrow" w:hAnsi="Arial Narrow"/>
                <w:b/>
                <w:color w:val="000000"/>
                <w:sz w:val="20"/>
                <w:szCs w:val="18"/>
              </w:rPr>
              <w:t>Placebo</w:t>
            </w:r>
          </w:p>
        </w:tc>
        <w:tc>
          <w:tcPr>
            <w:tcW w:w="837" w:type="pct"/>
            <w:vMerge/>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b/>
                <w:color w:val="000000"/>
                <w:sz w:val="20"/>
                <w:szCs w:val="18"/>
              </w:rPr>
            </w:pPr>
          </w:p>
        </w:tc>
      </w:tr>
      <w:tr w:rsidR="00D10ABF" w:rsidRPr="00E2771E" w:rsidTr="00556E3F">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8404A4">
            <w:pPr>
              <w:widowControl/>
              <w:spacing w:before="40" w:after="40"/>
              <w:rPr>
                <w:rFonts w:ascii="Arial Narrow" w:hAnsi="Arial Narrow"/>
                <w:b/>
                <w:color w:val="000000"/>
                <w:sz w:val="20"/>
                <w:szCs w:val="18"/>
              </w:rPr>
            </w:pPr>
            <w:r>
              <w:rPr>
                <w:rFonts w:ascii="Arial Narrow" w:hAnsi="Arial Narrow"/>
                <w:b/>
                <w:color w:val="000000"/>
                <w:sz w:val="20"/>
                <w:szCs w:val="18"/>
              </w:rPr>
              <w:t xml:space="preserve">Adverse event </w:t>
            </w:r>
          </w:p>
        </w:tc>
      </w:tr>
      <w:tr w:rsidR="00D10ABF" w:rsidRPr="00E2771E" w:rsidTr="00556E3F">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8404A4">
            <w:pPr>
              <w:widowControl/>
              <w:spacing w:before="40" w:after="40"/>
              <w:jc w:val="left"/>
              <w:rPr>
                <w:rFonts w:ascii="Arial Narrow" w:hAnsi="Arial Narrow"/>
                <w:color w:val="000000"/>
                <w:sz w:val="20"/>
                <w:szCs w:val="18"/>
              </w:rPr>
            </w:pPr>
            <w:r w:rsidRPr="00C654BB">
              <w:rPr>
                <w:rFonts w:ascii="Arial Narrow" w:hAnsi="Arial Narrow" w:cs="Times New Roman"/>
                <w:snapToGrid/>
                <w:color w:val="000000"/>
                <w:sz w:val="20"/>
                <w:szCs w:val="20"/>
              </w:rPr>
              <w:t>Any AE of CTCAE Grade 3 or 4 related to treatment</w:t>
            </w:r>
            <w:r>
              <w:rPr>
                <w:rFonts w:ascii="Arial Narrow" w:hAnsi="Arial Narrow" w:cs="Times New Roman"/>
                <w:snapToGrid/>
                <w:color w:val="000000"/>
                <w:sz w:val="20"/>
                <w:szCs w:val="20"/>
              </w:rPr>
              <w:t xml:space="preserve"> </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color w:val="000000"/>
                <w:sz w:val="20"/>
                <w:szCs w:val="18"/>
              </w:rPr>
            </w:pPr>
            <w:r w:rsidRPr="00127F8A">
              <w:rPr>
                <w:rFonts w:ascii="Arial Narrow" w:hAnsi="Arial Narrow" w:cs="Times New Roman"/>
                <w:snapToGrid/>
                <w:color w:val="000000"/>
                <w:sz w:val="20"/>
                <w:szCs w:val="20"/>
              </w:rPr>
              <w:t>59</w:t>
            </w:r>
            <w:r>
              <w:rPr>
                <w:rFonts w:ascii="Arial Narrow" w:hAnsi="Arial Narrow" w:cs="Times New Roman"/>
                <w:snapToGrid/>
                <w:color w:val="000000"/>
                <w:sz w:val="20"/>
                <w:szCs w:val="20"/>
              </w:rPr>
              <w:t>/475</w:t>
            </w:r>
          </w:p>
        </w:tc>
        <w:tc>
          <w:tcPr>
            <w:tcW w:w="694" w:type="pct"/>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color w:val="000000"/>
                <w:sz w:val="20"/>
                <w:szCs w:val="18"/>
              </w:rPr>
            </w:pPr>
            <w:r w:rsidRPr="00127F8A">
              <w:rPr>
                <w:rFonts w:ascii="Arial Narrow" w:hAnsi="Arial Narrow" w:cs="Times New Roman"/>
                <w:snapToGrid/>
                <w:color w:val="000000"/>
                <w:sz w:val="20"/>
                <w:szCs w:val="20"/>
              </w:rPr>
              <w:t>11</w:t>
            </w:r>
            <w:r>
              <w:rPr>
                <w:rFonts w:ascii="Arial Narrow" w:hAnsi="Arial Narrow" w:cs="Times New Roman"/>
                <w:snapToGrid/>
                <w:color w:val="000000"/>
                <w:sz w:val="20"/>
                <w:szCs w:val="20"/>
              </w:rPr>
              <w:t>/234</w:t>
            </w:r>
          </w:p>
        </w:tc>
        <w:tc>
          <w:tcPr>
            <w:tcW w:w="768" w:type="pct"/>
            <w:tcBorders>
              <w:top w:val="single" w:sz="4" w:space="0" w:color="auto"/>
              <w:left w:val="single" w:sz="4" w:space="0" w:color="auto"/>
              <w:bottom w:val="single" w:sz="4" w:space="0" w:color="auto"/>
              <w:right w:val="single" w:sz="4" w:space="0" w:color="auto"/>
            </w:tcBorders>
            <w:vAlign w:val="center"/>
          </w:tcPr>
          <w:p w:rsidR="00D10ABF" w:rsidRPr="005E1A55" w:rsidRDefault="00D10ABF" w:rsidP="008404A4">
            <w:pPr>
              <w:widowControl/>
              <w:spacing w:before="40" w:after="40"/>
              <w:jc w:val="center"/>
              <w:rPr>
                <w:rFonts w:ascii="Arial Narrow" w:hAnsi="Arial Narrow" w:cs="Times New Roman"/>
                <w:b/>
                <w:snapToGrid/>
                <w:color w:val="000000"/>
                <w:sz w:val="20"/>
                <w:szCs w:val="20"/>
              </w:rPr>
            </w:pPr>
            <w:r w:rsidRPr="00EB0D68">
              <w:rPr>
                <w:rFonts w:ascii="Arial Narrow" w:hAnsi="Arial Narrow" w:cs="Times New Roman"/>
                <w:b/>
                <w:snapToGrid/>
                <w:color w:val="000000"/>
                <w:sz w:val="20"/>
                <w:szCs w:val="20"/>
              </w:rPr>
              <w:t>2.64 (1.48,</w:t>
            </w:r>
            <w:r>
              <w:rPr>
                <w:rFonts w:ascii="Arial Narrow" w:hAnsi="Arial Narrow" w:cs="Times New Roman"/>
                <w:b/>
                <w:snapToGrid/>
                <w:color w:val="000000"/>
                <w:sz w:val="20"/>
                <w:szCs w:val="20"/>
              </w:rPr>
              <w:t xml:space="preserve"> </w:t>
            </w:r>
            <w:r w:rsidRPr="00EB0D68">
              <w:rPr>
                <w:rFonts w:ascii="Arial Narrow" w:hAnsi="Arial Narrow" w:cs="Times New Roman"/>
                <w:b/>
                <w:snapToGrid/>
                <w:color w:val="000000"/>
                <w:sz w:val="20"/>
                <w:szCs w:val="20"/>
              </w:rPr>
              <w:t>5.22)</w:t>
            </w:r>
          </w:p>
        </w:tc>
        <w:tc>
          <w:tcPr>
            <w:tcW w:w="551" w:type="pct"/>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color w:val="000000"/>
                <w:sz w:val="20"/>
                <w:szCs w:val="18"/>
              </w:rPr>
            </w:pPr>
            <w:r>
              <w:rPr>
                <w:rFonts w:ascii="Arial Narrow" w:hAnsi="Arial Narrow"/>
                <w:color w:val="000000"/>
                <w:sz w:val="20"/>
                <w:szCs w:val="18"/>
              </w:rPr>
              <w:t>12.4</w:t>
            </w:r>
          </w:p>
        </w:tc>
        <w:tc>
          <w:tcPr>
            <w:tcW w:w="549" w:type="pct"/>
            <w:gridSpan w:val="2"/>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color w:val="000000"/>
                <w:sz w:val="20"/>
                <w:szCs w:val="18"/>
              </w:rPr>
            </w:pPr>
            <w:r>
              <w:rPr>
                <w:rFonts w:ascii="Arial Narrow" w:hAnsi="Arial Narrow"/>
                <w:color w:val="000000"/>
                <w:sz w:val="20"/>
                <w:szCs w:val="18"/>
              </w:rPr>
              <w:t>4.7</w:t>
            </w:r>
          </w:p>
        </w:tc>
        <w:tc>
          <w:tcPr>
            <w:tcW w:w="837" w:type="pct"/>
            <w:tcBorders>
              <w:top w:val="single" w:sz="4" w:space="0" w:color="auto"/>
              <w:left w:val="single" w:sz="4" w:space="0" w:color="auto"/>
              <w:bottom w:val="single" w:sz="4" w:space="0" w:color="auto"/>
              <w:right w:val="single" w:sz="4" w:space="0" w:color="auto"/>
            </w:tcBorders>
            <w:vAlign w:val="center"/>
          </w:tcPr>
          <w:p w:rsidR="00D10ABF" w:rsidRPr="005E1A55" w:rsidRDefault="00D10ABF" w:rsidP="008404A4">
            <w:pPr>
              <w:widowControl/>
              <w:spacing w:before="40" w:after="40"/>
              <w:jc w:val="center"/>
              <w:rPr>
                <w:rFonts w:ascii="Arial Narrow" w:hAnsi="Arial Narrow" w:cs="Times New Roman"/>
                <w:b/>
                <w:snapToGrid/>
                <w:color w:val="000000"/>
                <w:sz w:val="20"/>
                <w:szCs w:val="20"/>
              </w:rPr>
            </w:pPr>
            <w:r w:rsidRPr="00EB0D68">
              <w:rPr>
                <w:rFonts w:ascii="Arial Narrow" w:hAnsi="Arial Narrow" w:cs="Times New Roman"/>
                <w:b/>
                <w:snapToGrid/>
                <w:color w:val="000000"/>
                <w:sz w:val="20"/>
                <w:szCs w:val="20"/>
              </w:rPr>
              <w:t>7.72 (3.52, 11.68)</w:t>
            </w:r>
          </w:p>
        </w:tc>
      </w:tr>
      <w:tr w:rsidR="00D10ABF" w:rsidRPr="00E2771E" w:rsidTr="00556E3F">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8404A4">
            <w:pPr>
              <w:widowControl/>
              <w:spacing w:before="40" w:after="40"/>
              <w:jc w:val="left"/>
              <w:rPr>
                <w:rFonts w:ascii="Arial Narrow" w:hAnsi="Arial Narrow"/>
                <w:color w:val="000000"/>
                <w:sz w:val="20"/>
                <w:szCs w:val="18"/>
              </w:rPr>
            </w:pPr>
            <w:r w:rsidRPr="00697D19">
              <w:rPr>
                <w:rFonts w:ascii="Arial Narrow" w:hAnsi="Arial Narrow" w:cs="Times New Roman"/>
                <w:snapToGrid/>
                <w:color w:val="000000"/>
                <w:sz w:val="20"/>
                <w:szCs w:val="20"/>
              </w:rPr>
              <w:t>Pneumonia</w:t>
            </w:r>
          </w:p>
        </w:tc>
        <w:tc>
          <w:tcPr>
            <w:tcW w:w="694" w:type="pct"/>
            <w:tcBorders>
              <w:top w:val="single" w:sz="4" w:space="0" w:color="auto"/>
              <w:left w:val="single" w:sz="4" w:space="0" w:color="auto"/>
              <w:bottom w:val="single" w:sz="4" w:space="0" w:color="auto"/>
              <w:right w:val="single" w:sz="4" w:space="0" w:color="auto"/>
            </w:tcBorders>
            <w:vAlign w:val="bottom"/>
          </w:tcPr>
          <w:p w:rsidR="00D10ABF" w:rsidRPr="00E2771E" w:rsidRDefault="00D10ABF" w:rsidP="008404A4">
            <w:pPr>
              <w:widowControl/>
              <w:spacing w:before="40" w:after="40"/>
              <w:jc w:val="center"/>
              <w:rPr>
                <w:rFonts w:ascii="Arial Narrow" w:hAnsi="Arial Narrow"/>
                <w:color w:val="000000"/>
                <w:sz w:val="20"/>
                <w:szCs w:val="18"/>
              </w:rPr>
            </w:pPr>
            <w:r w:rsidRPr="00127F8A">
              <w:rPr>
                <w:rFonts w:ascii="Arial Narrow" w:hAnsi="Arial Narrow" w:cs="Times New Roman"/>
                <w:snapToGrid/>
                <w:color w:val="000000"/>
                <w:sz w:val="20"/>
                <w:szCs w:val="20"/>
              </w:rPr>
              <w:t>63</w:t>
            </w:r>
            <w:r>
              <w:rPr>
                <w:rFonts w:ascii="Arial Narrow" w:hAnsi="Arial Narrow" w:cs="Times New Roman"/>
                <w:snapToGrid/>
                <w:color w:val="000000"/>
                <w:sz w:val="20"/>
                <w:szCs w:val="20"/>
              </w:rPr>
              <w:t>/475</w:t>
            </w:r>
          </w:p>
        </w:tc>
        <w:tc>
          <w:tcPr>
            <w:tcW w:w="694" w:type="pct"/>
            <w:tcBorders>
              <w:top w:val="single" w:sz="4" w:space="0" w:color="auto"/>
              <w:left w:val="single" w:sz="4" w:space="0" w:color="auto"/>
              <w:bottom w:val="single" w:sz="4" w:space="0" w:color="auto"/>
              <w:right w:val="single" w:sz="4" w:space="0" w:color="auto"/>
            </w:tcBorders>
            <w:vAlign w:val="bottom"/>
          </w:tcPr>
          <w:p w:rsidR="00D10ABF" w:rsidRPr="00E2771E" w:rsidRDefault="00D10ABF" w:rsidP="008404A4">
            <w:pPr>
              <w:widowControl/>
              <w:spacing w:before="40" w:after="40"/>
              <w:jc w:val="center"/>
              <w:rPr>
                <w:rFonts w:ascii="Arial Narrow" w:hAnsi="Arial Narrow"/>
                <w:color w:val="000000"/>
                <w:sz w:val="20"/>
                <w:szCs w:val="18"/>
              </w:rPr>
            </w:pPr>
            <w:r w:rsidRPr="00127F8A">
              <w:rPr>
                <w:rFonts w:ascii="Arial Narrow" w:hAnsi="Arial Narrow" w:cs="Times New Roman"/>
                <w:snapToGrid/>
                <w:color w:val="000000"/>
                <w:sz w:val="20"/>
                <w:szCs w:val="20"/>
              </w:rPr>
              <w:t>18</w:t>
            </w:r>
            <w:r>
              <w:rPr>
                <w:rFonts w:ascii="Arial Narrow" w:hAnsi="Arial Narrow" w:cs="Times New Roman"/>
                <w:snapToGrid/>
                <w:color w:val="000000"/>
                <w:sz w:val="20"/>
                <w:szCs w:val="20"/>
              </w:rPr>
              <w:t>/234</w:t>
            </w:r>
          </w:p>
        </w:tc>
        <w:tc>
          <w:tcPr>
            <w:tcW w:w="768" w:type="pct"/>
            <w:tcBorders>
              <w:top w:val="single" w:sz="4" w:space="0" w:color="auto"/>
              <w:left w:val="single" w:sz="4" w:space="0" w:color="auto"/>
              <w:bottom w:val="single" w:sz="4" w:space="0" w:color="auto"/>
              <w:right w:val="single" w:sz="4" w:space="0" w:color="auto"/>
            </w:tcBorders>
            <w:vAlign w:val="center"/>
          </w:tcPr>
          <w:p w:rsidR="00D10ABF" w:rsidRPr="005E1A55" w:rsidRDefault="00D10ABF" w:rsidP="008404A4">
            <w:pPr>
              <w:widowControl/>
              <w:spacing w:before="40" w:after="40"/>
              <w:jc w:val="center"/>
              <w:rPr>
                <w:rFonts w:ascii="Arial Narrow" w:hAnsi="Arial Narrow" w:cs="Times New Roman"/>
                <w:b/>
                <w:snapToGrid/>
                <w:color w:val="000000"/>
                <w:sz w:val="20"/>
                <w:szCs w:val="20"/>
              </w:rPr>
            </w:pPr>
            <w:r w:rsidRPr="00697D19">
              <w:rPr>
                <w:rFonts w:ascii="Arial Narrow" w:hAnsi="Arial Narrow" w:cs="Times New Roman"/>
                <w:b/>
                <w:snapToGrid/>
                <w:color w:val="000000"/>
                <w:sz w:val="20"/>
                <w:szCs w:val="20"/>
              </w:rPr>
              <w:t xml:space="preserve">1.72 </w:t>
            </w:r>
            <w:r>
              <w:rPr>
                <w:rFonts w:ascii="Arial Narrow" w:hAnsi="Arial Narrow" w:cs="Times New Roman"/>
                <w:b/>
                <w:snapToGrid/>
                <w:color w:val="000000"/>
                <w:sz w:val="20"/>
                <w:szCs w:val="20"/>
              </w:rPr>
              <w:t xml:space="preserve"> (1.07, 2.93)</w:t>
            </w:r>
          </w:p>
        </w:tc>
        <w:tc>
          <w:tcPr>
            <w:tcW w:w="551" w:type="pct"/>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color w:val="000000"/>
                <w:sz w:val="20"/>
                <w:szCs w:val="18"/>
              </w:rPr>
            </w:pPr>
            <w:r>
              <w:rPr>
                <w:rFonts w:ascii="Arial Narrow" w:hAnsi="Arial Narrow"/>
                <w:color w:val="000000"/>
                <w:sz w:val="20"/>
                <w:szCs w:val="18"/>
              </w:rPr>
              <w:t>13.3</w:t>
            </w:r>
          </w:p>
        </w:tc>
        <w:tc>
          <w:tcPr>
            <w:tcW w:w="549" w:type="pct"/>
            <w:gridSpan w:val="2"/>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color w:val="000000"/>
                <w:sz w:val="20"/>
                <w:szCs w:val="18"/>
              </w:rPr>
            </w:pPr>
            <w:r>
              <w:rPr>
                <w:rFonts w:ascii="Arial Narrow" w:hAnsi="Arial Narrow"/>
                <w:color w:val="000000"/>
                <w:sz w:val="20"/>
                <w:szCs w:val="18"/>
              </w:rPr>
              <w:t>7.7</w:t>
            </w:r>
          </w:p>
        </w:tc>
        <w:tc>
          <w:tcPr>
            <w:tcW w:w="837" w:type="pct"/>
            <w:tcBorders>
              <w:top w:val="single" w:sz="4" w:space="0" w:color="auto"/>
              <w:left w:val="single" w:sz="4" w:space="0" w:color="auto"/>
              <w:bottom w:val="single" w:sz="4" w:space="0" w:color="auto"/>
              <w:right w:val="single" w:sz="4" w:space="0" w:color="auto"/>
            </w:tcBorders>
            <w:vAlign w:val="center"/>
          </w:tcPr>
          <w:p w:rsidR="00D10ABF" w:rsidRPr="00F54FCB" w:rsidRDefault="00D10ABF" w:rsidP="008404A4">
            <w:pPr>
              <w:widowControl/>
              <w:spacing w:before="40" w:after="40"/>
              <w:jc w:val="center"/>
              <w:rPr>
                <w:rFonts w:ascii="Arial Narrow" w:hAnsi="Arial Narrow"/>
                <w:b/>
                <w:color w:val="000000"/>
                <w:sz w:val="20"/>
                <w:szCs w:val="18"/>
              </w:rPr>
            </w:pPr>
            <w:r>
              <w:rPr>
                <w:rFonts w:ascii="Arial Narrow" w:hAnsi="Arial Narrow"/>
                <w:b/>
                <w:color w:val="000000"/>
                <w:sz w:val="20"/>
                <w:szCs w:val="18"/>
              </w:rPr>
              <w:t>5.57 (0.78, 10.03)</w:t>
            </w:r>
          </w:p>
        </w:tc>
      </w:tr>
      <w:tr w:rsidR="00D10ABF" w:rsidRPr="00E2771E" w:rsidTr="00556E3F">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10ABF" w:rsidRPr="00E2771E" w:rsidRDefault="00D10ABF" w:rsidP="008404A4">
            <w:pPr>
              <w:widowControl/>
              <w:spacing w:before="40" w:after="40"/>
              <w:jc w:val="left"/>
              <w:rPr>
                <w:rFonts w:ascii="Arial Narrow" w:hAnsi="Arial Narrow"/>
                <w:color w:val="000000"/>
                <w:sz w:val="20"/>
                <w:szCs w:val="18"/>
              </w:rPr>
            </w:pPr>
            <w:r w:rsidRPr="00697D19">
              <w:rPr>
                <w:rFonts w:ascii="Arial Narrow" w:hAnsi="Arial Narrow" w:cs="Times New Roman"/>
                <w:snapToGrid/>
                <w:color w:val="000000"/>
                <w:sz w:val="20"/>
                <w:szCs w:val="20"/>
              </w:rPr>
              <w:t>Pneumonitis</w:t>
            </w:r>
          </w:p>
        </w:tc>
        <w:tc>
          <w:tcPr>
            <w:tcW w:w="694" w:type="pct"/>
            <w:tcBorders>
              <w:top w:val="single" w:sz="4" w:space="0" w:color="auto"/>
              <w:left w:val="single" w:sz="4" w:space="0" w:color="auto"/>
              <w:bottom w:val="single" w:sz="4" w:space="0" w:color="auto"/>
              <w:right w:val="single" w:sz="4" w:space="0" w:color="auto"/>
            </w:tcBorders>
            <w:vAlign w:val="bottom"/>
          </w:tcPr>
          <w:p w:rsidR="00D10ABF" w:rsidRPr="00E2771E" w:rsidRDefault="00D10ABF" w:rsidP="008404A4">
            <w:pPr>
              <w:widowControl/>
              <w:spacing w:before="40" w:after="40"/>
              <w:jc w:val="center"/>
              <w:rPr>
                <w:rFonts w:ascii="Arial Narrow" w:hAnsi="Arial Narrow"/>
                <w:color w:val="000000"/>
                <w:sz w:val="20"/>
                <w:szCs w:val="18"/>
              </w:rPr>
            </w:pPr>
            <w:r w:rsidRPr="00127F8A">
              <w:rPr>
                <w:rFonts w:ascii="Arial Narrow" w:hAnsi="Arial Narrow" w:cs="Times New Roman"/>
                <w:snapToGrid/>
                <w:color w:val="000000"/>
                <w:sz w:val="20"/>
                <w:szCs w:val="20"/>
              </w:rPr>
              <w:t>60</w:t>
            </w:r>
            <w:r>
              <w:rPr>
                <w:rFonts w:ascii="Arial Narrow" w:hAnsi="Arial Narrow" w:cs="Times New Roman"/>
                <w:snapToGrid/>
                <w:color w:val="000000"/>
                <w:sz w:val="20"/>
                <w:szCs w:val="20"/>
              </w:rPr>
              <w:t>/475</w:t>
            </w:r>
          </w:p>
        </w:tc>
        <w:tc>
          <w:tcPr>
            <w:tcW w:w="694" w:type="pct"/>
            <w:tcBorders>
              <w:top w:val="single" w:sz="4" w:space="0" w:color="auto"/>
              <w:left w:val="single" w:sz="4" w:space="0" w:color="auto"/>
              <w:bottom w:val="single" w:sz="4" w:space="0" w:color="auto"/>
              <w:right w:val="single" w:sz="4" w:space="0" w:color="auto"/>
            </w:tcBorders>
            <w:vAlign w:val="bottom"/>
          </w:tcPr>
          <w:p w:rsidR="00D10ABF" w:rsidRPr="00E2771E" w:rsidRDefault="00D10ABF" w:rsidP="008404A4">
            <w:pPr>
              <w:widowControl/>
              <w:spacing w:before="40" w:after="40"/>
              <w:jc w:val="center"/>
              <w:rPr>
                <w:rFonts w:ascii="Arial Narrow" w:hAnsi="Arial Narrow"/>
                <w:color w:val="000000"/>
                <w:sz w:val="20"/>
                <w:szCs w:val="18"/>
              </w:rPr>
            </w:pPr>
            <w:r w:rsidRPr="00127F8A">
              <w:rPr>
                <w:rFonts w:ascii="Arial Narrow" w:hAnsi="Arial Narrow" w:cs="Times New Roman"/>
                <w:snapToGrid/>
                <w:color w:val="000000"/>
                <w:sz w:val="20"/>
                <w:szCs w:val="20"/>
              </w:rPr>
              <w:t>18</w:t>
            </w:r>
            <w:r>
              <w:rPr>
                <w:rFonts w:ascii="Arial Narrow" w:hAnsi="Arial Narrow" w:cs="Times New Roman"/>
                <w:snapToGrid/>
                <w:color w:val="000000"/>
                <w:sz w:val="20"/>
                <w:szCs w:val="20"/>
              </w:rPr>
              <w:t>/234</w:t>
            </w:r>
          </w:p>
        </w:tc>
        <w:tc>
          <w:tcPr>
            <w:tcW w:w="768" w:type="pct"/>
            <w:tcBorders>
              <w:top w:val="single" w:sz="4" w:space="0" w:color="auto"/>
              <w:left w:val="single" w:sz="4" w:space="0" w:color="auto"/>
              <w:bottom w:val="single" w:sz="4" w:space="0" w:color="auto"/>
              <w:right w:val="single" w:sz="4" w:space="0" w:color="auto"/>
            </w:tcBorders>
            <w:vAlign w:val="center"/>
          </w:tcPr>
          <w:p w:rsidR="00D10ABF" w:rsidRPr="006E4683" w:rsidRDefault="00D10ABF" w:rsidP="008404A4">
            <w:pPr>
              <w:widowControl/>
              <w:jc w:val="center"/>
              <w:rPr>
                <w:rFonts w:ascii="Arial Narrow" w:hAnsi="Arial Narrow"/>
                <w:b/>
                <w:sz w:val="20"/>
                <w:szCs w:val="20"/>
              </w:rPr>
            </w:pPr>
            <w:r w:rsidRPr="006E4683">
              <w:rPr>
                <w:rFonts w:ascii="Arial Narrow" w:hAnsi="Arial Narrow"/>
                <w:b/>
                <w:sz w:val="20"/>
                <w:szCs w:val="20"/>
              </w:rPr>
              <w:t xml:space="preserve"> 1.64 (1.02, 2.80)</w:t>
            </w:r>
          </w:p>
        </w:tc>
        <w:tc>
          <w:tcPr>
            <w:tcW w:w="551" w:type="pct"/>
            <w:tcBorders>
              <w:top w:val="single" w:sz="4" w:space="0" w:color="auto"/>
              <w:left w:val="single" w:sz="4" w:space="0" w:color="auto"/>
              <w:bottom w:val="single" w:sz="4" w:space="0" w:color="auto"/>
              <w:right w:val="single" w:sz="4" w:space="0" w:color="auto"/>
            </w:tcBorders>
            <w:vAlign w:val="center"/>
          </w:tcPr>
          <w:p w:rsidR="00D10ABF" w:rsidRPr="005E1A55" w:rsidRDefault="00D10ABF" w:rsidP="008404A4">
            <w:pPr>
              <w:widowControl/>
              <w:spacing w:before="40" w:after="40"/>
              <w:jc w:val="center"/>
              <w:rPr>
                <w:rFonts w:ascii="Arial Narrow" w:hAnsi="Arial Narrow"/>
                <w:color w:val="000000"/>
                <w:sz w:val="20"/>
                <w:szCs w:val="18"/>
              </w:rPr>
            </w:pPr>
            <w:r w:rsidRPr="005E1A55">
              <w:rPr>
                <w:rFonts w:ascii="Arial Narrow" w:hAnsi="Arial Narrow" w:cs="Times New Roman"/>
                <w:snapToGrid/>
                <w:color w:val="000000"/>
                <w:sz w:val="20"/>
                <w:szCs w:val="20"/>
              </w:rPr>
              <w:t>12.6</w:t>
            </w:r>
          </w:p>
        </w:tc>
        <w:tc>
          <w:tcPr>
            <w:tcW w:w="549" w:type="pct"/>
            <w:gridSpan w:val="2"/>
            <w:tcBorders>
              <w:top w:val="single" w:sz="4" w:space="0" w:color="auto"/>
              <w:left w:val="single" w:sz="4" w:space="0" w:color="auto"/>
              <w:bottom w:val="single" w:sz="4" w:space="0" w:color="auto"/>
              <w:right w:val="single" w:sz="4" w:space="0" w:color="auto"/>
            </w:tcBorders>
            <w:vAlign w:val="center"/>
          </w:tcPr>
          <w:p w:rsidR="00D10ABF" w:rsidRPr="00E2771E" w:rsidRDefault="00D10ABF" w:rsidP="008404A4">
            <w:pPr>
              <w:widowControl/>
              <w:spacing w:before="40" w:after="40"/>
              <w:jc w:val="center"/>
              <w:rPr>
                <w:rFonts w:ascii="Arial Narrow" w:hAnsi="Arial Narrow"/>
                <w:color w:val="000000"/>
                <w:sz w:val="20"/>
                <w:szCs w:val="18"/>
              </w:rPr>
            </w:pPr>
            <w:r>
              <w:rPr>
                <w:rFonts w:ascii="Arial Narrow" w:hAnsi="Arial Narrow"/>
                <w:color w:val="000000"/>
                <w:sz w:val="20"/>
                <w:szCs w:val="18"/>
              </w:rPr>
              <w:t>7.7</w:t>
            </w:r>
          </w:p>
        </w:tc>
        <w:tc>
          <w:tcPr>
            <w:tcW w:w="837" w:type="pct"/>
            <w:tcBorders>
              <w:top w:val="single" w:sz="4" w:space="0" w:color="auto"/>
              <w:left w:val="single" w:sz="4" w:space="0" w:color="auto"/>
              <w:bottom w:val="single" w:sz="4" w:space="0" w:color="auto"/>
              <w:right w:val="single" w:sz="4" w:space="0" w:color="auto"/>
            </w:tcBorders>
            <w:vAlign w:val="bottom"/>
          </w:tcPr>
          <w:p w:rsidR="00D10ABF" w:rsidRPr="00111D2A" w:rsidRDefault="00D10ABF" w:rsidP="008404A4">
            <w:pPr>
              <w:widowControl/>
              <w:spacing w:before="40" w:after="40"/>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4.94 (0.18, 9.35)</w:t>
            </w:r>
          </w:p>
        </w:tc>
      </w:tr>
    </w:tbl>
    <w:p w:rsidR="00D10ABF" w:rsidRPr="0072416F" w:rsidRDefault="00D10ABF" w:rsidP="008404A4">
      <w:pPr>
        <w:pStyle w:val="TableFooter"/>
        <w:widowControl/>
        <w:tabs>
          <w:tab w:val="left" w:pos="284"/>
        </w:tabs>
      </w:pPr>
      <w:r>
        <w:t>* maximum duration of follow-up for durvalumab= 40.5 months; placebo=43.1 months</w:t>
      </w:r>
      <w:r w:rsidRPr="0072416F">
        <w:t xml:space="preserve"> </w:t>
      </w:r>
    </w:p>
    <w:p w:rsidR="00D10ABF" w:rsidRPr="0072416F" w:rsidRDefault="00D10ABF" w:rsidP="008404A4">
      <w:pPr>
        <w:pStyle w:val="TableFooter"/>
        <w:widowControl/>
      </w:pPr>
      <w:r w:rsidRPr="00C654BB">
        <w:t xml:space="preserve">CTCAE = Common terminology criteria for adverse events; </w:t>
      </w:r>
      <w:r>
        <w:t xml:space="preserve">HR = hazard ratio; NR = not reported; </w:t>
      </w:r>
      <w:r w:rsidRPr="0072416F">
        <w:t>PBO = placebo; RD = risk difference; RR = risk ratio</w:t>
      </w:r>
    </w:p>
    <w:p w:rsidR="00D10ABF" w:rsidRPr="00EB0D68" w:rsidRDefault="00D10ABF" w:rsidP="008404A4">
      <w:pPr>
        <w:pStyle w:val="TableFooter"/>
        <w:widowControl/>
        <w:rPr>
          <w:i/>
          <w:sz w:val="20"/>
        </w:rPr>
      </w:pPr>
      <w:r>
        <w:t>Source: Table 2.5.1, p40, Table 2.5.4, p42</w:t>
      </w:r>
      <w:r>
        <w:rPr>
          <w:sz w:val="20"/>
        </w:rPr>
        <w:t xml:space="preserve"> and </w:t>
      </w:r>
      <w:r>
        <w:t xml:space="preserve">Table 2.5.8, pp52-55 of the submission and corrected by the sponsor. </w:t>
      </w:r>
    </w:p>
    <w:p w:rsidR="00D10ABF" w:rsidRDefault="00D10ABF" w:rsidP="008404A4">
      <w:pPr>
        <w:widowControl/>
      </w:pPr>
    </w:p>
    <w:p w:rsidR="00D10ABF" w:rsidRDefault="00D10ABF" w:rsidP="008404A4">
      <w:pPr>
        <w:pStyle w:val="ListParagraph"/>
        <w:widowControl/>
        <w:numPr>
          <w:ilvl w:val="1"/>
          <w:numId w:val="2"/>
        </w:numPr>
        <w:spacing w:after="0"/>
      </w:pPr>
      <w:r>
        <w:t xml:space="preserve">On the basis of the </w:t>
      </w:r>
      <w:r w:rsidRPr="00CF6EE4">
        <w:t>direc</w:t>
      </w:r>
      <w:r>
        <w:t xml:space="preserve">t </w:t>
      </w:r>
      <w:r w:rsidRPr="00CF6EE4">
        <w:t xml:space="preserve">evidence presented by the submission, for every 100 patients treated with </w:t>
      </w:r>
      <w:r>
        <w:t xml:space="preserve">durvalumab </w:t>
      </w:r>
      <w:r w:rsidRPr="00CF6EE4">
        <w:t xml:space="preserve">in comparison to </w:t>
      </w:r>
      <w:r>
        <w:t xml:space="preserve">placebo and followed over a maximum duration of 40-43 months: </w:t>
      </w:r>
    </w:p>
    <w:p w:rsidR="00D10ABF" w:rsidRPr="00211D05" w:rsidRDefault="00D10ABF" w:rsidP="008404A4">
      <w:pPr>
        <w:pStyle w:val="ListParagraph"/>
        <w:widowControl/>
        <w:numPr>
          <w:ilvl w:val="0"/>
          <w:numId w:val="16"/>
        </w:numPr>
        <w:spacing w:after="0"/>
        <w:ind w:left="993" w:hanging="284"/>
      </w:pPr>
      <w:r>
        <w:rPr>
          <w:rFonts w:cs="Calibri"/>
          <w:snapToGrid/>
          <w:szCs w:val="24"/>
          <w:lang w:val="en-US" w:eastAsia="en-AU"/>
        </w:rPr>
        <w:t>A</w:t>
      </w:r>
      <w:r w:rsidRPr="00B3003C">
        <w:rPr>
          <w:rFonts w:cs="Calibri"/>
          <w:snapToGrid/>
          <w:szCs w:val="24"/>
          <w:lang w:val="en-US" w:eastAsia="en-AU"/>
        </w:rPr>
        <w:t>pproximately 22 more patients remained progression-free</w:t>
      </w:r>
      <w:r>
        <w:rPr>
          <w:rFonts w:cs="Calibri"/>
          <w:snapToGrid/>
          <w:szCs w:val="24"/>
          <w:lang w:val="en-US" w:eastAsia="en-AU"/>
        </w:rPr>
        <w:t>;</w:t>
      </w:r>
    </w:p>
    <w:p w:rsidR="00D10ABF" w:rsidRPr="00CF6EE4" w:rsidRDefault="00D10ABF" w:rsidP="008404A4">
      <w:pPr>
        <w:pStyle w:val="ListParagraph"/>
        <w:widowControl/>
        <w:numPr>
          <w:ilvl w:val="0"/>
          <w:numId w:val="16"/>
        </w:numPr>
        <w:spacing w:after="0"/>
      </w:pPr>
      <w:r w:rsidRPr="00CF6EE4">
        <w:t xml:space="preserve">Approximately </w:t>
      </w:r>
      <w:r>
        <w:t>8</w:t>
      </w:r>
      <w:r w:rsidRPr="00CF6EE4">
        <w:t xml:space="preserve"> </w:t>
      </w:r>
      <w:r>
        <w:t xml:space="preserve">additional patients would have a </w:t>
      </w:r>
      <w:r w:rsidRPr="00C654BB">
        <w:t xml:space="preserve">common terminology criteria for adverse events </w:t>
      </w:r>
      <w:r>
        <w:t>(CTCAE) grade 3 (s</w:t>
      </w:r>
      <w:r w:rsidRPr="00517798">
        <w:t>evere or medically significant but not immediat</w:t>
      </w:r>
      <w:r>
        <w:t>ely life-threatening; hospitalis</w:t>
      </w:r>
      <w:r w:rsidRPr="00517798">
        <w:t>ati</w:t>
      </w:r>
      <w:r>
        <w:t>on or prolongation of hospitalis</w:t>
      </w:r>
      <w:r w:rsidRPr="00517798">
        <w:t>ation indi</w:t>
      </w:r>
      <w:r>
        <w:t>cated; disabling; limiting self-</w:t>
      </w:r>
      <w:r w:rsidRPr="00517798">
        <w:t xml:space="preserve">care </w:t>
      </w:r>
      <w:r>
        <w:t>activities of daily living) or grade 4 (l</w:t>
      </w:r>
      <w:r w:rsidRPr="00517798">
        <w:t>ife-threatening consequences;</w:t>
      </w:r>
      <w:r>
        <w:t xml:space="preserve"> urgent intervention indicated) treatment-related adverse event;</w:t>
      </w:r>
    </w:p>
    <w:p w:rsidR="00D10ABF" w:rsidRDefault="00D10ABF" w:rsidP="008404A4">
      <w:pPr>
        <w:pStyle w:val="ListParagraph"/>
        <w:widowControl/>
        <w:numPr>
          <w:ilvl w:val="0"/>
          <w:numId w:val="16"/>
        </w:numPr>
        <w:spacing w:after="0"/>
        <w:ind w:left="993" w:hanging="284"/>
      </w:pPr>
      <w:r w:rsidRPr="00CF6EE4">
        <w:t xml:space="preserve">Approximately </w:t>
      </w:r>
      <w:r>
        <w:t>6 additional</w:t>
      </w:r>
      <w:r w:rsidRPr="00CF6EE4">
        <w:t xml:space="preserve"> patients woul</w:t>
      </w:r>
      <w:r>
        <w:t>d experience pneumonia; and</w:t>
      </w:r>
    </w:p>
    <w:p w:rsidR="00D10ABF" w:rsidRDefault="00D10ABF" w:rsidP="008404A4">
      <w:pPr>
        <w:pStyle w:val="ListParagraph"/>
        <w:widowControl/>
        <w:numPr>
          <w:ilvl w:val="0"/>
          <w:numId w:val="16"/>
        </w:numPr>
        <w:spacing w:after="0"/>
        <w:ind w:left="993" w:hanging="284"/>
      </w:pPr>
      <w:r>
        <w:t>Approximately 5 additional patients would experience pneumonitis.</w:t>
      </w:r>
    </w:p>
    <w:p w:rsidR="00D10ABF" w:rsidRPr="00CF6EE4" w:rsidRDefault="00D10ABF" w:rsidP="008404A4">
      <w:pPr>
        <w:pStyle w:val="ListParagraph"/>
        <w:widowControl/>
        <w:spacing w:after="0"/>
        <w:ind w:left="993"/>
      </w:pPr>
    </w:p>
    <w:p w:rsidR="006034CB" w:rsidRPr="003D0034" w:rsidRDefault="00B3003C" w:rsidP="008404A4">
      <w:pPr>
        <w:pStyle w:val="ListParagraph"/>
        <w:widowControl/>
        <w:numPr>
          <w:ilvl w:val="1"/>
          <w:numId w:val="2"/>
        </w:numPr>
      </w:pPr>
      <w:r>
        <w:t xml:space="preserve">On the basis of the </w:t>
      </w:r>
      <w:r w:rsidRPr="00CF6EE4">
        <w:t>direc</w:t>
      </w:r>
      <w:r>
        <w:t xml:space="preserve">t </w:t>
      </w:r>
      <w:r w:rsidRPr="00CF6EE4">
        <w:t xml:space="preserve">evidence presented by the submission, for every 100 patients treated with </w:t>
      </w:r>
      <w:r>
        <w:t xml:space="preserve">durvalumab </w:t>
      </w:r>
      <w:r w:rsidRPr="00CF6EE4">
        <w:t xml:space="preserve">in comparison to </w:t>
      </w:r>
      <w:r>
        <w:t>placebo,</w:t>
      </w:r>
      <w:r>
        <w:rPr>
          <w:rFonts w:cs="Calibri"/>
          <w:snapToGrid/>
          <w:szCs w:val="24"/>
          <w:lang w:val="en-US" w:eastAsia="en-AU"/>
        </w:rPr>
        <w:t xml:space="preserve"> </w:t>
      </w:r>
      <w:r w:rsidR="006034CB">
        <w:rPr>
          <w:rFonts w:cs="Calibri"/>
          <w:snapToGrid/>
          <w:szCs w:val="24"/>
          <w:lang w:val="en-US" w:eastAsia="en-AU"/>
        </w:rPr>
        <w:t>between 10 and 11 additional patients will be alive</w:t>
      </w:r>
      <w:r>
        <w:rPr>
          <w:rFonts w:cs="Calibri"/>
          <w:snapToGrid/>
          <w:szCs w:val="24"/>
          <w:lang w:val="en-US" w:eastAsia="en-AU"/>
        </w:rPr>
        <w:t xml:space="preserve"> at 24 months</w:t>
      </w:r>
      <w:r w:rsidR="006034CB">
        <w:rPr>
          <w:rFonts w:cs="Calibri"/>
          <w:snapToGrid/>
          <w:szCs w:val="24"/>
          <w:lang w:val="en-US" w:eastAsia="en-AU"/>
        </w:rPr>
        <w:t>.</w:t>
      </w:r>
    </w:p>
    <w:p w:rsidR="006D0FBD" w:rsidRPr="00882085" w:rsidRDefault="006D0FBD" w:rsidP="008404A4">
      <w:pPr>
        <w:pStyle w:val="Heading2"/>
        <w:widowControl/>
      </w:pPr>
      <w:bookmarkStart w:id="24" w:name="_Toc524446348"/>
      <w:r w:rsidRPr="00C9624D">
        <w:t>Clinical claim</w:t>
      </w:r>
      <w:bookmarkEnd w:id="24"/>
    </w:p>
    <w:p w:rsidR="006D0FBD" w:rsidRDefault="006D0FBD" w:rsidP="008404A4">
      <w:pPr>
        <w:pStyle w:val="ListParagraph"/>
        <w:widowControl/>
        <w:numPr>
          <w:ilvl w:val="1"/>
          <w:numId w:val="2"/>
        </w:numPr>
      </w:pPr>
      <w:r w:rsidRPr="00D13A3E">
        <w:t>The submission describe</w:t>
      </w:r>
      <w:r>
        <w:t>d</w:t>
      </w:r>
      <w:r w:rsidRPr="00D13A3E">
        <w:t xml:space="preserve"> </w:t>
      </w:r>
      <w:r>
        <w:t>durvalumab</w:t>
      </w:r>
      <w:r w:rsidRPr="00D13A3E">
        <w:t xml:space="preserve"> as </w:t>
      </w:r>
      <w:r>
        <w:t>superior</w:t>
      </w:r>
      <w:r w:rsidRPr="00D13A3E">
        <w:t xml:space="preserve"> in terms of effectiveness </w:t>
      </w:r>
      <w:r>
        <w:t xml:space="preserve">with a similar quality of life and a manageable safety </w:t>
      </w:r>
      <w:r w:rsidR="00553BB4">
        <w:t xml:space="preserve">profile </w:t>
      </w:r>
      <w:r>
        <w:t>compared with watch-and-wait monitoring of patients with Stage III NSCLC whose disease has not progressed following definitive chemoradiation therapy.</w:t>
      </w:r>
    </w:p>
    <w:p w:rsidR="00883ABE" w:rsidRPr="007375CB" w:rsidRDefault="00883ABE" w:rsidP="008404A4">
      <w:pPr>
        <w:pStyle w:val="ListParagraph"/>
        <w:widowControl/>
        <w:numPr>
          <w:ilvl w:val="1"/>
          <w:numId w:val="2"/>
        </w:numPr>
        <w:ind w:left="709"/>
        <w:rPr>
          <w:rFonts w:asciiTheme="minorHAnsi" w:hAnsiTheme="minorHAnsi"/>
          <w:szCs w:val="20"/>
        </w:rPr>
      </w:pPr>
      <w:r w:rsidRPr="007375CB">
        <w:rPr>
          <w:rFonts w:asciiTheme="minorHAnsi" w:hAnsiTheme="minorHAnsi"/>
          <w:szCs w:val="20"/>
        </w:rPr>
        <w:t>The PBAC considered that the claim of superior comparative effectiveness was reasonable.</w:t>
      </w:r>
      <w:r w:rsidR="00327A0B" w:rsidRPr="007375CB">
        <w:t xml:space="preserve"> However, the magnitude of comparative benefit was difficult to determine due to the lack of mature OS data</w:t>
      </w:r>
      <w:r w:rsidR="00D96A93" w:rsidRPr="007375CB">
        <w:t xml:space="preserve"> and due to </w:t>
      </w:r>
      <w:r w:rsidR="00600AE1" w:rsidRPr="007375CB">
        <w:t>t</w:t>
      </w:r>
      <w:r w:rsidR="00327A0B" w:rsidRPr="007375CB">
        <w:t xml:space="preserve">he issues with </w:t>
      </w:r>
      <w:r w:rsidR="000D5323">
        <w:t xml:space="preserve">the </w:t>
      </w:r>
      <w:r w:rsidR="00327A0B" w:rsidRPr="007375CB">
        <w:t xml:space="preserve">applicability of the PACIFIC trial to the Australian setting </w:t>
      </w:r>
      <w:r w:rsidR="00D96A93" w:rsidRPr="007375CB">
        <w:t>(see Section 7)</w:t>
      </w:r>
      <w:r w:rsidR="007375CB" w:rsidRPr="007375CB">
        <w:t xml:space="preserve">. </w:t>
      </w:r>
      <w:r w:rsidRPr="007375CB">
        <w:rPr>
          <w:rFonts w:asciiTheme="minorHAnsi" w:hAnsiTheme="minorHAnsi"/>
          <w:szCs w:val="20"/>
        </w:rPr>
        <w:t xml:space="preserve">The PBAC considered that the claim of inferior comparative safety </w:t>
      </w:r>
      <w:r w:rsidR="001F33D9" w:rsidRPr="007375CB">
        <w:rPr>
          <w:rFonts w:asciiTheme="minorHAnsi" w:hAnsiTheme="minorHAnsi"/>
          <w:szCs w:val="20"/>
        </w:rPr>
        <w:t>was reasonable</w:t>
      </w:r>
      <w:r w:rsidRPr="007375CB">
        <w:rPr>
          <w:rFonts w:asciiTheme="minorHAnsi" w:hAnsiTheme="minorHAnsi"/>
          <w:szCs w:val="20"/>
        </w:rPr>
        <w:t>.</w:t>
      </w:r>
    </w:p>
    <w:p w:rsidR="006D0FBD" w:rsidRPr="00882085" w:rsidRDefault="006D0FBD" w:rsidP="008404A4">
      <w:pPr>
        <w:pStyle w:val="Heading2"/>
        <w:widowControl/>
      </w:pPr>
      <w:bookmarkStart w:id="25" w:name="_Toc524446349"/>
      <w:r w:rsidRPr="00C9624D">
        <w:t>Economic analysis</w:t>
      </w:r>
      <w:bookmarkEnd w:id="25"/>
      <w:r w:rsidRPr="00C9624D">
        <w:t xml:space="preserve"> </w:t>
      </w:r>
    </w:p>
    <w:p w:rsidR="006D0FBD" w:rsidRPr="00CA7AA7" w:rsidRDefault="006D0FBD" w:rsidP="008404A4">
      <w:pPr>
        <w:pStyle w:val="ListParagraph"/>
        <w:widowControl/>
        <w:numPr>
          <w:ilvl w:val="1"/>
          <w:numId w:val="2"/>
        </w:numPr>
      </w:pPr>
      <w:r>
        <w:t>The submission presented a cost-utility analysis with a three-state partitioned survival model including the health states, progression</w:t>
      </w:r>
      <w:r w:rsidR="000F7EDB">
        <w:t>-</w:t>
      </w:r>
      <w:r>
        <w:t xml:space="preserve">free disease, progressive disease and death. </w:t>
      </w:r>
    </w:p>
    <w:p w:rsidR="006D0FBD" w:rsidRDefault="00FA3901" w:rsidP="008404A4">
      <w:pPr>
        <w:pStyle w:val="ListParagraph"/>
        <w:widowControl/>
        <w:numPr>
          <w:ilvl w:val="1"/>
          <w:numId w:val="2"/>
        </w:numPr>
      </w:pPr>
      <w:r w:rsidRPr="0095142D">
        <w:t xml:space="preserve">Table </w:t>
      </w:r>
      <w:r>
        <w:rPr>
          <w:noProof/>
        </w:rPr>
        <w:t>9</w:t>
      </w:r>
      <w:r w:rsidR="00D46899" w:rsidRPr="00D46899">
        <w:t xml:space="preserve"> </w:t>
      </w:r>
      <w:r w:rsidR="006D0FBD" w:rsidRPr="00D46899">
        <w:t>pre</w:t>
      </w:r>
      <w:r w:rsidR="006D0FBD">
        <w:t>sents a summary of the model structure and rationale</w:t>
      </w:r>
      <w:r w:rsidR="00D46899">
        <w:t>.</w:t>
      </w:r>
    </w:p>
    <w:p w:rsidR="006D0FBD" w:rsidRPr="001F0A0D" w:rsidRDefault="0095142D" w:rsidP="008404A4">
      <w:pPr>
        <w:pStyle w:val="TableHeading0"/>
        <w:rPr>
          <w:rStyle w:val="CommentReference"/>
          <w:b/>
          <w:szCs w:val="20"/>
        </w:rPr>
      </w:pPr>
      <w:bookmarkStart w:id="26" w:name="_Ref524294737"/>
      <w:bookmarkStart w:id="27" w:name="_Ref521876733"/>
      <w:r w:rsidRPr="0095142D">
        <w:t xml:space="preserve">Table </w:t>
      </w:r>
      <w:r w:rsidR="00FA3901">
        <w:rPr>
          <w:noProof/>
        </w:rPr>
        <w:t>9</w:t>
      </w:r>
      <w:bookmarkEnd w:id="26"/>
      <w:r w:rsidRPr="001F0A0D">
        <w:rPr>
          <w:b w:val="0"/>
        </w:rPr>
        <w:t xml:space="preserve">: </w:t>
      </w:r>
      <w:bookmarkEnd w:id="27"/>
      <w:r w:rsidR="006D0FBD" w:rsidRPr="001F0A0D">
        <w:rPr>
          <w:rStyle w:val="CommentReference"/>
          <w:b/>
          <w:szCs w:val="20"/>
        </w:rPr>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and rationale"/>
      </w:tblPr>
      <w:tblGrid>
        <w:gridCol w:w="2098"/>
        <w:gridCol w:w="6985"/>
      </w:tblGrid>
      <w:tr w:rsidR="006D0FBD" w:rsidRPr="00E05630" w:rsidTr="0095142D">
        <w:trPr>
          <w:tblHeader/>
        </w:trPr>
        <w:tc>
          <w:tcPr>
            <w:tcW w:w="1155" w:type="pct"/>
            <w:vAlign w:val="center"/>
          </w:tcPr>
          <w:p w:rsidR="006D0FBD" w:rsidRPr="00E05630" w:rsidRDefault="006D0FBD" w:rsidP="008404A4">
            <w:pPr>
              <w:pStyle w:val="Tabletext"/>
              <w:spacing w:before="40" w:after="40"/>
              <w:rPr>
                <w:b/>
              </w:rPr>
            </w:pPr>
            <w:r w:rsidRPr="00E05630">
              <w:rPr>
                <w:b/>
              </w:rPr>
              <w:t>Component</w:t>
            </w:r>
          </w:p>
        </w:tc>
        <w:tc>
          <w:tcPr>
            <w:tcW w:w="3845" w:type="pct"/>
          </w:tcPr>
          <w:p w:rsidR="006D0FBD" w:rsidRPr="00E05630" w:rsidRDefault="006D0FBD" w:rsidP="008404A4">
            <w:pPr>
              <w:pStyle w:val="Tabletext"/>
              <w:spacing w:before="40" w:after="40"/>
              <w:jc w:val="center"/>
              <w:rPr>
                <w:b/>
              </w:rPr>
            </w:pPr>
            <w:r w:rsidRPr="00E05630">
              <w:rPr>
                <w:b/>
              </w:rPr>
              <w:t>Description</w:t>
            </w:r>
          </w:p>
        </w:tc>
      </w:tr>
      <w:tr w:rsidR="006D0FBD" w:rsidRPr="004E2ADC" w:rsidTr="006F3DC5">
        <w:tc>
          <w:tcPr>
            <w:tcW w:w="1155" w:type="pct"/>
            <w:vAlign w:val="center"/>
          </w:tcPr>
          <w:p w:rsidR="006D0FBD" w:rsidRPr="004E2ADC" w:rsidRDefault="006D0FBD" w:rsidP="008404A4">
            <w:pPr>
              <w:pStyle w:val="Tabletext"/>
              <w:spacing w:before="40" w:after="40"/>
            </w:pPr>
            <w:r>
              <w:t>Type of analysis</w:t>
            </w:r>
          </w:p>
        </w:tc>
        <w:tc>
          <w:tcPr>
            <w:tcW w:w="3845" w:type="pct"/>
          </w:tcPr>
          <w:p w:rsidR="006D0FBD" w:rsidRPr="004E2ADC" w:rsidRDefault="006D0FBD" w:rsidP="008404A4">
            <w:pPr>
              <w:pStyle w:val="Tabletext"/>
              <w:spacing w:before="40" w:after="40"/>
            </w:pPr>
            <w:r>
              <w:t>Cost-effectiveness analysis and cost-utility analysis</w:t>
            </w:r>
          </w:p>
        </w:tc>
      </w:tr>
      <w:tr w:rsidR="006D0FBD" w:rsidRPr="004E2ADC" w:rsidTr="006F3DC5">
        <w:tc>
          <w:tcPr>
            <w:tcW w:w="1155" w:type="pct"/>
            <w:vAlign w:val="center"/>
          </w:tcPr>
          <w:p w:rsidR="006D0FBD" w:rsidRPr="004E2ADC" w:rsidRDefault="006D0FBD" w:rsidP="008404A4">
            <w:pPr>
              <w:pStyle w:val="Tabletext"/>
              <w:spacing w:before="40" w:after="40"/>
            </w:pPr>
            <w:r>
              <w:t>Outcomes</w:t>
            </w:r>
          </w:p>
        </w:tc>
        <w:tc>
          <w:tcPr>
            <w:tcW w:w="3845" w:type="pct"/>
          </w:tcPr>
          <w:p w:rsidR="006D0FBD" w:rsidRPr="004E2ADC" w:rsidRDefault="006D0FBD" w:rsidP="008404A4">
            <w:pPr>
              <w:pStyle w:val="Tabletext"/>
              <w:spacing w:before="40" w:after="40"/>
            </w:pPr>
            <w:r>
              <w:t>Life years and quality-adjusted life years</w:t>
            </w:r>
          </w:p>
        </w:tc>
      </w:tr>
      <w:tr w:rsidR="006D0FBD" w:rsidRPr="004E2ADC" w:rsidTr="006F3DC5">
        <w:tc>
          <w:tcPr>
            <w:tcW w:w="1155" w:type="pct"/>
            <w:vAlign w:val="center"/>
          </w:tcPr>
          <w:p w:rsidR="006D0FBD" w:rsidRPr="004E2ADC" w:rsidRDefault="006D0FBD" w:rsidP="008404A4">
            <w:pPr>
              <w:pStyle w:val="Tabletext"/>
              <w:spacing w:before="40" w:after="40"/>
            </w:pPr>
            <w:r>
              <w:t>Time horizon</w:t>
            </w:r>
          </w:p>
        </w:tc>
        <w:tc>
          <w:tcPr>
            <w:tcW w:w="3845" w:type="pct"/>
          </w:tcPr>
          <w:p w:rsidR="006D0FBD" w:rsidRPr="004E2ADC" w:rsidRDefault="006D0FBD" w:rsidP="008404A4">
            <w:pPr>
              <w:pStyle w:val="Tabletext"/>
              <w:spacing w:before="40" w:after="40"/>
            </w:pPr>
            <w:r>
              <w:t>10 years based on 40 months in the clinical trial</w:t>
            </w:r>
          </w:p>
        </w:tc>
      </w:tr>
      <w:tr w:rsidR="006D0FBD" w:rsidRPr="004E2ADC" w:rsidTr="006F3DC5">
        <w:tc>
          <w:tcPr>
            <w:tcW w:w="1155" w:type="pct"/>
            <w:vAlign w:val="center"/>
          </w:tcPr>
          <w:p w:rsidR="006D0FBD" w:rsidRPr="004E2ADC" w:rsidRDefault="006D0FBD" w:rsidP="008404A4">
            <w:pPr>
              <w:pStyle w:val="Tabletext"/>
              <w:spacing w:before="40" w:after="40"/>
            </w:pPr>
            <w:r>
              <w:t>Methods used to generate results</w:t>
            </w:r>
          </w:p>
        </w:tc>
        <w:tc>
          <w:tcPr>
            <w:tcW w:w="3845" w:type="pct"/>
          </w:tcPr>
          <w:p w:rsidR="006D0FBD" w:rsidRPr="004E2ADC" w:rsidRDefault="006D0FBD" w:rsidP="008404A4">
            <w:pPr>
              <w:pStyle w:val="Tabletext"/>
              <w:spacing w:before="40" w:after="40"/>
            </w:pPr>
            <w:r>
              <w:t>Partitioned survival model</w:t>
            </w:r>
            <w:r w:rsidR="007E35E8">
              <w:t>. Kaplan-Meier estimates for progression</w:t>
            </w:r>
            <w:r w:rsidR="0095142D">
              <w:t>-</w:t>
            </w:r>
            <w:r w:rsidR="007E35E8">
              <w:t>free and overall survival were derived directly from the PACIFIC trial. Parametric distributions fitted to the observed KM survival estimates were used for extrapolation beyond the trial time.</w:t>
            </w:r>
          </w:p>
        </w:tc>
      </w:tr>
      <w:tr w:rsidR="006D0FBD" w:rsidRPr="004E2ADC" w:rsidTr="006F3DC5">
        <w:tc>
          <w:tcPr>
            <w:tcW w:w="1155" w:type="pct"/>
            <w:vAlign w:val="center"/>
          </w:tcPr>
          <w:p w:rsidR="006D0FBD" w:rsidRPr="004E2ADC" w:rsidRDefault="006D0FBD" w:rsidP="008404A4">
            <w:pPr>
              <w:pStyle w:val="Tabletext"/>
              <w:spacing w:before="40" w:after="40"/>
            </w:pPr>
            <w:r>
              <w:t>Health states</w:t>
            </w:r>
          </w:p>
        </w:tc>
        <w:tc>
          <w:tcPr>
            <w:tcW w:w="3845" w:type="pct"/>
          </w:tcPr>
          <w:p w:rsidR="006D0FBD" w:rsidRPr="004E2ADC" w:rsidRDefault="006D0FBD" w:rsidP="008404A4">
            <w:pPr>
              <w:pStyle w:val="Tabletext"/>
              <w:spacing w:before="40" w:after="40"/>
            </w:pPr>
            <w:r>
              <w:t>Progression-free, progressive disease and dead</w:t>
            </w:r>
          </w:p>
        </w:tc>
      </w:tr>
      <w:tr w:rsidR="006D0FBD" w:rsidRPr="004E2ADC" w:rsidTr="006F3DC5">
        <w:tc>
          <w:tcPr>
            <w:tcW w:w="1155" w:type="pct"/>
            <w:vAlign w:val="center"/>
          </w:tcPr>
          <w:p w:rsidR="006D0FBD" w:rsidRPr="004E2ADC" w:rsidRDefault="006D0FBD" w:rsidP="008404A4">
            <w:pPr>
              <w:pStyle w:val="Tabletext"/>
              <w:spacing w:before="40" w:after="40"/>
            </w:pPr>
            <w:r>
              <w:t>Cycle length</w:t>
            </w:r>
          </w:p>
        </w:tc>
        <w:tc>
          <w:tcPr>
            <w:tcW w:w="3845" w:type="pct"/>
          </w:tcPr>
          <w:p w:rsidR="006D0FBD" w:rsidRPr="004E2ADC" w:rsidRDefault="006D0FBD" w:rsidP="008404A4">
            <w:pPr>
              <w:pStyle w:val="Tabletext"/>
              <w:spacing w:before="40" w:after="40"/>
            </w:pPr>
            <w:r>
              <w:t>2 weeks for first 12 months, and 4 weeks thereafter</w:t>
            </w:r>
          </w:p>
        </w:tc>
      </w:tr>
      <w:tr w:rsidR="006D0FBD" w:rsidRPr="004E2ADC" w:rsidTr="006F3DC5">
        <w:tc>
          <w:tcPr>
            <w:tcW w:w="1155" w:type="pct"/>
            <w:vAlign w:val="center"/>
          </w:tcPr>
          <w:p w:rsidR="006D0FBD" w:rsidRPr="004E2ADC" w:rsidRDefault="006D0FBD" w:rsidP="008404A4">
            <w:pPr>
              <w:pStyle w:val="Tabletext"/>
              <w:spacing w:before="40" w:after="40"/>
            </w:pPr>
            <w:r>
              <w:t>Software package</w:t>
            </w:r>
          </w:p>
        </w:tc>
        <w:tc>
          <w:tcPr>
            <w:tcW w:w="3845" w:type="pct"/>
          </w:tcPr>
          <w:p w:rsidR="006D0FBD" w:rsidRPr="004E2ADC" w:rsidRDefault="006D0FBD" w:rsidP="008404A4">
            <w:pPr>
              <w:pStyle w:val="Tabletext"/>
              <w:spacing w:before="40" w:after="40"/>
            </w:pPr>
            <w:r>
              <w:t>Microsoft Excel 2016</w:t>
            </w:r>
          </w:p>
        </w:tc>
      </w:tr>
    </w:tbl>
    <w:p w:rsidR="006D0FBD" w:rsidRPr="00B1011F" w:rsidRDefault="006D0FBD" w:rsidP="008404A4">
      <w:pPr>
        <w:pStyle w:val="TableFooter"/>
        <w:widowControl/>
        <w:rPr>
          <w:sz w:val="20"/>
        </w:rPr>
      </w:pPr>
      <w:r>
        <w:t>Source: Table 3.1.1, p81 of the submission</w:t>
      </w:r>
    </w:p>
    <w:p w:rsidR="00FA3901" w:rsidRPr="00FA3901" w:rsidRDefault="00FA3901" w:rsidP="008404A4">
      <w:pPr>
        <w:pStyle w:val="TableFooter"/>
        <w:widowControl/>
      </w:pPr>
      <w:r w:rsidRPr="00FA3901">
        <w:br w:type="page"/>
      </w:r>
    </w:p>
    <w:p w:rsidR="00ED778D" w:rsidRPr="00ED778D" w:rsidRDefault="00FA3901" w:rsidP="008404A4">
      <w:pPr>
        <w:pStyle w:val="ListParagraph"/>
        <w:widowControl/>
        <w:numPr>
          <w:ilvl w:val="1"/>
          <w:numId w:val="2"/>
        </w:numPr>
        <w:jc w:val="left"/>
        <w:rPr>
          <w:rStyle w:val="CommentReference"/>
          <w:szCs w:val="20"/>
        </w:rPr>
      </w:pPr>
      <w:r w:rsidRPr="00FA3901">
        <w:t>Table</w:t>
      </w:r>
      <w:r w:rsidRPr="00ED778D">
        <w:rPr>
          <w:rStyle w:val="CommentReference"/>
          <w:b w:val="0"/>
          <w:szCs w:val="20"/>
        </w:rPr>
        <w:t xml:space="preserve"> </w:t>
      </w:r>
      <w:r>
        <w:rPr>
          <w:noProof/>
        </w:rPr>
        <w:t>10</w:t>
      </w:r>
      <w:r w:rsidR="00D46899" w:rsidRPr="00D46899">
        <w:t xml:space="preserve"> </w:t>
      </w:r>
      <w:r w:rsidR="006D0FBD" w:rsidRPr="00D46899">
        <w:t>pre</w:t>
      </w:r>
      <w:r w:rsidR="006D0FBD">
        <w:t>sents a summary of the key drivers of the model.</w:t>
      </w:r>
      <w:bookmarkStart w:id="28" w:name="_Ref521876752"/>
    </w:p>
    <w:p w:rsidR="006D0FBD" w:rsidRPr="00ED778D" w:rsidRDefault="006D0FBD" w:rsidP="008404A4">
      <w:pPr>
        <w:widowControl/>
        <w:jc w:val="left"/>
        <w:rPr>
          <w:rStyle w:val="CommentReference"/>
          <w:b w:val="0"/>
          <w:szCs w:val="20"/>
        </w:rPr>
      </w:pPr>
      <w:r w:rsidRPr="00FC56EA">
        <w:rPr>
          <w:rStyle w:val="CommentReference"/>
          <w:szCs w:val="20"/>
        </w:rPr>
        <w:t>Table</w:t>
      </w:r>
      <w:r w:rsidRPr="00ED778D">
        <w:rPr>
          <w:rStyle w:val="CommentReference"/>
          <w:b w:val="0"/>
          <w:szCs w:val="20"/>
        </w:rPr>
        <w:t xml:space="preserve"> </w:t>
      </w:r>
      <w:bookmarkEnd w:id="28"/>
      <w:r w:rsidR="00ED778D" w:rsidRPr="00ED778D">
        <w:rPr>
          <w:rFonts w:ascii="Arial Narrow" w:hAnsi="Arial Narrow"/>
          <w:b/>
          <w:noProof/>
          <w:sz w:val="20"/>
          <w:szCs w:val="20"/>
        </w:rPr>
        <w:t>10</w:t>
      </w:r>
      <w:r w:rsidRPr="00ED778D">
        <w:rPr>
          <w:rStyle w:val="CommentReference"/>
          <w:b w:val="0"/>
          <w:szCs w:val="20"/>
        </w:rPr>
        <w:t xml:space="preserve">: </w:t>
      </w:r>
      <w:r w:rsidRPr="001F0A0D">
        <w:rPr>
          <w:rStyle w:val="CommentReference"/>
          <w:szCs w:val="20"/>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2709"/>
        <w:gridCol w:w="3998"/>
        <w:gridCol w:w="2376"/>
      </w:tblGrid>
      <w:tr w:rsidR="006D0FBD" w:rsidRPr="003D1DE4" w:rsidTr="00E34D36">
        <w:trPr>
          <w:trHeight w:val="119"/>
          <w:tblHeader/>
        </w:trPr>
        <w:tc>
          <w:tcPr>
            <w:tcW w:w="1491" w:type="pct"/>
            <w:shd w:val="clear" w:color="auto" w:fill="auto"/>
            <w:vAlign w:val="center"/>
          </w:tcPr>
          <w:p w:rsidR="006D0FBD" w:rsidRPr="003D1DE4" w:rsidRDefault="006D0FBD" w:rsidP="008404A4">
            <w:pPr>
              <w:pStyle w:val="Tabletext"/>
              <w:spacing w:before="40" w:after="40"/>
              <w:rPr>
                <w:b/>
                <w:lang w:val="en-US"/>
              </w:rPr>
            </w:pPr>
            <w:r w:rsidRPr="003D1DE4">
              <w:rPr>
                <w:b/>
                <w:lang w:val="en-US"/>
              </w:rPr>
              <w:t>Description</w:t>
            </w:r>
          </w:p>
        </w:tc>
        <w:tc>
          <w:tcPr>
            <w:tcW w:w="2201" w:type="pct"/>
            <w:shd w:val="clear" w:color="auto" w:fill="auto"/>
            <w:vAlign w:val="center"/>
          </w:tcPr>
          <w:p w:rsidR="006D0FBD" w:rsidRPr="003D1DE4" w:rsidRDefault="006D0FBD" w:rsidP="008404A4">
            <w:pPr>
              <w:pStyle w:val="Tabletext"/>
              <w:spacing w:before="40" w:after="40"/>
              <w:jc w:val="center"/>
              <w:rPr>
                <w:b/>
                <w:lang w:val="en-US"/>
              </w:rPr>
            </w:pPr>
            <w:r w:rsidRPr="003D1DE4">
              <w:rPr>
                <w:b/>
                <w:lang w:val="en-US"/>
              </w:rPr>
              <w:t>Method/Value</w:t>
            </w:r>
          </w:p>
        </w:tc>
        <w:tc>
          <w:tcPr>
            <w:tcW w:w="1308" w:type="pct"/>
            <w:shd w:val="clear" w:color="auto" w:fill="auto"/>
            <w:vAlign w:val="center"/>
          </w:tcPr>
          <w:p w:rsidR="006D0FBD" w:rsidRPr="003D1DE4" w:rsidRDefault="006D0FBD" w:rsidP="008404A4">
            <w:pPr>
              <w:pStyle w:val="Tabletext"/>
              <w:spacing w:before="40" w:after="40"/>
              <w:jc w:val="center"/>
              <w:rPr>
                <w:b/>
                <w:lang w:val="en-US"/>
              </w:rPr>
            </w:pPr>
            <w:r w:rsidRPr="003D1DE4">
              <w:rPr>
                <w:b/>
                <w:lang w:val="en-US"/>
              </w:rPr>
              <w:t>Impact</w:t>
            </w:r>
          </w:p>
        </w:tc>
      </w:tr>
      <w:tr w:rsidR="006D0FBD" w:rsidRPr="00E2771E" w:rsidTr="00E34D36">
        <w:tc>
          <w:tcPr>
            <w:tcW w:w="1491" w:type="pct"/>
            <w:shd w:val="clear" w:color="auto" w:fill="auto"/>
            <w:vAlign w:val="center"/>
          </w:tcPr>
          <w:p w:rsidR="006D0FBD" w:rsidRPr="00E2771E" w:rsidRDefault="006D0FBD" w:rsidP="008404A4">
            <w:pPr>
              <w:pStyle w:val="Tabletext"/>
              <w:spacing w:before="40" w:after="40"/>
              <w:rPr>
                <w:lang w:val="en-US"/>
              </w:rPr>
            </w:pPr>
            <w:r>
              <w:rPr>
                <w:lang w:val="en-US"/>
              </w:rPr>
              <w:t>Time horizon</w:t>
            </w:r>
          </w:p>
        </w:tc>
        <w:tc>
          <w:tcPr>
            <w:tcW w:w="2201" w:type="pct"/>
            <w:shd w:val="clear" w:color="auto" w:fill="auto"/>
            <w:vAlign w:val="center"/>
          </w:tcPr>
          <w:p w:rsidR="006D0FBD" w:rsidRPr="00E2771E" w:rsidRDefault="00D46899" w:rsidP="008404A4">
            <w:pPr>
              <w:pStyle w:val="Tabletext"/>
              <w:spacing w:before="40" w:after="40"/>
              <w:rPr>
                <w:lang w:val="en-US"/>
              </w:rPr>
            </w:pPr>
            <w:r>
              <w:rPr>
                <w:lang w:val="en-US"/>
              </w:rPr>
              <w:t xml:space="preserve">40-43 </w:t>
            </w:r>
            <w:r w:rsidR="006D0FBD">
              <w:rPr>
                <w:lang w:val="en-US"/>
              </w:rPr>
              <w:t>month t</w:t>
            </w:r>
            <w:r>
              <w:rPr>
                <w:lang w:val="en-US"/>
              </w:rPr>
              <w:t>rial period for up to 10 years</w:t>
            </w:r>
          </w:p>
        </w:tc>
        <w:tc>
          <w:tcPr>
            <w:tcW w:w="1308" w:type="pct"/>
            <w:shd w:val="clear" w:color="auto" w:fill="auto"/>
            <w:vAlign w:val="center"/>
          </w:tcPr>
          <w:p w:rsidR="006D0FBD" w:rsidRPr="00E2771E" w:rsidRDefault="00660C61" w:rsidP="008404A4">
            <w:pPr>
              <w:pStyle w:val="Tabletext"/>
              <w:spacing w:before="40" w:after="40"/>
              <w:rPr>
                <w:lang w:val="en-US"/>
              </w:rPr>
            </w:pPr>
            <w:r>
              <w:rPr>
                <w:lang w:val="en-US"/>
              </w:rPr>
              <w:t>H</w:t>
            </w:r>
            <w:r w:rsidR="006D0FBD">
              <w:rPr>
                <w:lang w:val="en-US"/>
              </w:rPr>
              <w:t>igh</w:t>
            </w:r>
            <w:r w:rsidR="006D0FBD" w:rsidRPr="00E2771E">
              <w:rPr>
                <w:lang w:val="en-US"/>
              </w:rPr>
              <w:t xml:space="preserve">, favours </w:t>
            </w:r>
            <w:r w:rsidR="006D0FBD">
              <w:rPr>
                <w:lang w:val="en-US"/>
              </w:rPr>
              <w:t>durvalumab</w:t>
            </w:r>
          </w:p>
        </w:tc>
      </w:tr>
      <w:tr w:rsidR="006D0FBD" w:rsidRPr="00E2771E" w:rsidTr="00E34D36">
        <w:tc>
          <w:tcPr>
            <w:tcW w:w="1491" w:type="pct"/>
            <w:shd w:val="clear" w:color="auto" w:fill="auto"/>
            <w:vAlign w:val="center"/>
          </w:tcPr>
          <w:p w:rsidR="006D0FBD" w:rsidRDefault="006D0FBD" w:rsidP="008404A4">
            <w:pPr>
              <w:pStyle w:val="Tabletext"/>
              <w:spacing w:before="40" w:after="40"/>
              <w:rPr>
                <w:lang w:val="en-US"/>
              </w:rPr>
            </w:pPr>
            <w:r>
              <w:rPr>
                <w:lang w:val="en-US"/>
              </w:rPr>
              <w:t>Extrapolation function</w:t>
            </w:r>
          </w:p>
        </w:tc>
        <w:tc>
          <w:tcPr>
            <w:tcW w:w="2201" w:type="pct"/>
            <w:shd w:val="clear" w:color="auto" w:fill="auto"/>
            <w:vAlign w:val="center"/>
          </w:tcPr>
          <w:p w:rsidR="006D0FBD" w:rsidRDefault="00D46899" w:rsidP="008404A4">
            <w:pPr>
              <w:pStyle w:val="Tabletext"/>
              <w:spacing w:before="40" w:after="40"/>
              <w:rPr>
                <w:lang w:val="en-US"/>
              </w:rPr>
            </w:pPr>
            <w:r>
              <w:rPr>
                <w:lang w:val="en-US"/>
              </w:rPr>
              <w:t>OS</w:t>
            </w:r>
            <w:r w:rsidR="002F3FE4">
              <w:rPr>
                <w:lang w:val="en-US"/>
              </w:rPr>
              <w:t xml:space="preserve"> </w:t>
            </w:r>
            <w:r>
              <w:rPr>
                <w:lang w:val="en-US"/>
              </w:rPr>
              <w:t>- L</w:t>
            </w:r>
            <w:r w:rsidR="006D0FBD">
              <w:rPr>
                <w:lang w:val="en-US"/>
              </w:rPr>
              <w:t>ogLogistic and exponential for durvalumab and placebo, respectively.</w:t>
            </w:r>
          </w:p>
          <w:p w:rsidR="006D0FBD" w:rsidRDefault="006D0FBD" w:rsidP="008404A4">
            <w:pPr>
              <w:pStyle w:val="Tabletext"/>
              <w:spacing w:before="40" w:after="40"/>
              <w:rPr>
                <w:lang w:val="en-US"/>
              </w:rPr>
            </w:pPr>
            <w:r>
              <w:rPr>
                <w:lang w:val="en-US"/>
              </w:rPr>
              <w:t>PFS</w:t>
            </w:r>
            <w:r w:rsidR="002F3FE4">
              <w:rPr>
                <w:lang w:val="en-US"/>
              </w:rPr>
              <w:t xml:space="preserve"> </w:t>
            </w:r>
            <w:r>
              <w:rPr>
                <w:lang w:val="en-US"/>
              </w:rPr>
              <w:t>- Generalised gamma for both durvalumab and placebo</w:t>
            </w:r>
          </w:p>
        </w:tc>
        <w:tc>
          <w:tcPr>
            <w:tcW w:w="1308" w:type="pct"/>
            <w:shd w:val="clear" w:color="auto" w:fill="auto"/>
            <w:vAlign w:val="center"/>
          </w:tcPr>
          <w:p w:rsidR="006D0FBD" w:rsidRDefault="00660C61" w:rsidP="008404A4">
            <w:pPr>
              <w:pStyle w:val="Tabletext"/>
              <w:spacing w:before="40" w:after="40"/>
              <w:rPr>
                <w:lang w:val="en-US"/>
              </w:rPr>
            </w:pPr>
            <w:r>
              <w:rPr>
                <w:lang w:val="en-US"/>
              </w:rPr>
              <w:t>H</w:t>
            </w:r>
            <w:r w:rsidR="006D0FBD">
              <w:rPr>
                <w:lang w:val="en-US"/>
              </w:rPr>
              <w:t>igh</w:t>
            </w:r>
            <w:r w:rsidR="006D0FBD" w:rsidRPr="00E2771E">
              <w:rPr>
                <w:lang w:val="en-US"/>
              </w:rPr>
              <w:t xml:space="preserve">, favours </w:t>
            </w:r>
            <w:r w:rsidR="006D0FBD">
              <w:rPr>
                <w:lang w:val="en-US"/>
              </w:rPr>
              <w:t>durvalumab</w:t>
            </w:r>
          </w:p>
        </w:tc>
      </w:tr>
      <w:tr w:rsidR="00866ABD" w:rsidRPr="00E2771E" w:rsidTr="00E34D36">
        <w:tc>
          <w:tcPr>
            <w:tcW w:w="1491" w:type="pct"/>
            <w:shd w:val="clear" w:color="auto" w:fill="auto"/>
            <w:vAlign w:val="center"/>
          </w:tcPr>
          <w:p w:rsidR="00866ABD" w:rsidRDefault="00866ABD" w:rsidP="008404A4">
            <w:pPr>
              <w:pStyle w:val="Tabletext"/>
              <w:spacing w:before="40" w:after="40"/>
              <w:rPr>
                <w:lang w:val="en-US"/>
              </w:rPr>
            </w:pPr>
            <w:r>
              <w:rPr>
                <w:lang w:val="en-US"/>
              </w:rPr>
              <w:t>Utility values</w:t>
            </w:r>
          </w:p>
        </w:tc>
        <w:tc>
          <w:tcPr>
            <w:tcW w:w="2201" w:type="pct"/>
            <w:shd w:val="clear" w:color="auto" w:fill="auto"/>
            <w:vAlign w:val="center"/>
          </w:tcPr>
          <w:p w:rsidR="00866ABD" w:rsidRDefault="00866ABD" w:rsidP="008404A4">
            <w:pPr>
              <w:pStyle w:val="Tabletext"/>
              <w:spacing w:before="40" w:after="40"/>
              <w:rPr>
                <w:lang w:val="en-US"/>
              </w:rPr>
            </w:pPr>
            <w:r>
              <w:rPr>
                <w:lang w:val="en-US"/>
              </w:rPr>
              <w:t>Selected utility values were similar to population values.</w:t>
            </w:r>
          </w:p>
        </w:tc>
        <w:tc>
          <w:tcPr>
            <w:tcW w:w="1308" w:type="pct"/>
            <w:shd w:val="clear" w:color="auto" w:fill="auto"/>
            <w:vAlign w:val="center"/>
          </w:tcPr>
          <w:p w:rsidR="00866ABD" w:rsidRDefault="00866ABD" w:rsidP="008404A4">
            <w:pPr>
              <w:pStyle w:val="Tabletext"/>
              <w:spacing w:before="40" w:after="40"/>
              <w:rPr>
                <w:lang w:val="en-US"/>
              </w:rPr>
            </w:pPr>
            <w:r>
              <w:rPr>
                <w:lang w:val="en-US"/>
              </w:rPr>
              <w:t>Moderate, favours durvalumab</w:t>
            </w:r>
          </w:p>
        </w:tc>
      </w:tr>
      <w:tr w:rsidR="00D46899" w:rsidRPr="00E2771E" w:rsidTr="00E34D36">
        <w:tc>
          <w:tcPr>
            <w:tcW w:w="1491" w:type="pct"/>
            <w:shd w:val="clear" w:color="auto" w:fill="auto"/>
            <w:vAlign w:val="center"/>
          </w:tcPr>
          <w:p w:rsidR="00D46899" w:rsidRDefault="00D46899" w:rsidP="008404A4">
            <w:pPr>
              <w:pStyle w:val="Tabletext"/>
              <w:spacing w:before="40" w:after="40"/>
              <w:rPr>
                <w:lang w:val="en-US"/>
              </w:rPr>
            </w:pPr>
            <w:r>
              <w:rPr>
                <w:lang w:val="en-US"/>
              </w:rPr>
              <w:t>Assumed maximum treatment duration of 12 months</w:t>
            </w:r>
            <w:r w:rsidR="00E34D36">
              <w:rPr>
                <w:lang w:val="en-US"/>
              </w:rPr>
              <w:t xml:space="preserve"> or until disease progression</w:t>
            </w:r>
          </w:p>
        </w:tc>
        <w:tc>
          <w:tcPr>
            <w:tcW w:w="2201" w:type="pct"/>
            <w:shd w:val="clear" w:color="auto" w:fill="auto"/>
            <w:vAlign w:val="center"/>
          </w:tcPr>
          <w:p w:rsidR="00D46899" w:rsidRDefault="0095142D" w:rsidP="008404A4">
            <w:pPr>
              <w:pStyle w:val="Tabletext"/>
              <w:spacing w:before="40" w:after="40"/>
              <w:rPr>
                <w:lang w:val="en-US"/>
              </w:rPr>
            </w:pPr>
            <w:r>
              <w:rPr>
                <w:lang w:val="en-US"/>
              </w:rPr>
              <w:t>Maximum of 12 months of treatment was s</w:t>
            </w:r>
            <w:r w:rsidR="00D46899">
              <w:rPr>
                <w:lang w:val="en-US"/>
              </w:rPr>
              <w:t>uggested in the submission, but not specified in the restriction</w:t>
            </w:r>
            <w:r w:rsidR="00B3003C">
              <w:rPr>
                <w:lang w:val="en-US"/>
              </w:rPr>
              <w:t xml:space="preserve"> - removal of this maximum treatment duration and assuming treatment until disease progression.</w:t>
            </w:r>
          </w:p>
        </w:tc>
        <w:tc>
          <w:tcPr>
            <w:tcW w:w="1308" w:type="pct"/>
            <w:shd w:val="clear" w:color="auto" w:fill="auto"/>
            <w:vAlign w:val="center"/>
          </w:tcPr>
          <w:p w:rsidR="00D46899" w:rsidRDefault="00570483" w:rsidP="008404A4">
            <w:pPr>
              <w:pStyle w:val="Tabletext"/>
              <w:spacing w:before="40" w:after="40"/>
              <w:rPr>
                <w:lang w:val="en-US"/>
              </w:rPr>
            </w:pPr>
            <w:r>
              <w:rPr>
                <w:lang w:val="en-US"/>
              </w:rPr>
              <w:t>Low to moderate</w:t>
            </w:r>
            <w:r w:rsidR="00D46899" w:rsidRPr="00E2771E">
              <w:rPr>
                <w:lang w:val="en-US"/>
              </w:rPr>
              <w:t xml:space="preserve">, favours </w:t>
            </w:r>
            <w:r w:rsidR="00D46899">
              <w:rPr>
                <w:lang w:val="en-US"/>
              </w:rPr>
              <w:t>durvalumab</w:t>
            </w:r>
          </w:p>
        </w:tc>
      </w:tr>
    </w:tbl>
    <w:p w:rsidR="006D0FBD" w:rsidRDefault="006D0FBD" w:rsidP="008404A4">
      <w:pPr>
        <w:pStyle w:val="TableFooter"/>
        <w:widowControl/>
      </w:pPr>
      <w:r>
        <w:t xml:space="preserve">Source: Table 3.9.1, p137-138 of the submission. </w:t>
      </w:r>
    </w:p>
    <w:p w:rsidR="006D0FBD" w:rsidRPr="00275C5A" w:rsidRDefault="006D0FBD" w:rsidP="008404A4">
      <w:pPr>
        <w:pStyle w:val="TableFooter"/>
        <w:widowControl/>
      </w:pPr>
    </w:p>
    <w:p w:rsidR="006D0FBD" w:rsidRPr="00217679" w:rsidRDefault="00EF1204" w:rsidP="008404A4">
      <w:pPr>
        <w:pStyle w:val="ListParagraph"/>
        <w:widowControl/>
        <w:numPr>
          <w:ilvl w:val="1"/>
          <w:numId w:val="2"/>
        </w:numPr>
      </w:pPr>
      <w:r w:rsidRPr="00217679">
        <w:t>T</w:t>
      </w:r>
      <w:r w:rsidR="006D0FBD" w:rsidRPr="00217679">
        <w:t>he</w:t>
      </w:r>
      <w:r w:rsidR="00217679" w:rsidRPr="00217679">
        <w:t xml:space="preserve"> evaluation noted the </w:t>
      </w:r>
      <w:r w:rsidR="006D0FBD" w:rsidRPr="00217679">
        <w:t xml:space="preserve">model was most sensitive to the selection of the time horizon. </w:t>
      </w:r>
    </w:p>
    <w:p w:rsidR="006D0FBD" w:rsidRPr="00217679" w:rsidRDefault="006D0FBD" w:rsidP="008404A4">
      <w:pPr>
        <w:pStyle w:val="ListParagraph"/>
        <w:widowControl/>
        <w:numPr>
          <w:ilvl w:val="1"/>
          <w:numId w:val="2"/>
        </w:numPr>
      </w:pPr>
      <w:r w:rsidRPr="00217679">
        <w:t>Th</w:t>
      </w:r>
      <w:r w:rsidR="003C5F6B" w:rsidRPr="00217679">
        <w:t xml:space="preserve">e </w:t>
      </w:r>
      <w:r w:rsidR="00217679" w:rsidRPr="00217679">
        <w:t xml:space="preserve">evaluation and ESC noted the </w:t>
      </w:r>
      <w:r w:rsidR="003C5F6B" w:rsidRPr="00217679">
        <w:t xml:space="preserve">results were </w:t>
      </w:r>
      <w:r w:rsidR="006D7C70" w:rsidRPr="00217679">
        <w:t xml:space="preserve">also </w:t>
      </w:r>
      <w:r w:rsidR="003C5F6B" w:rsidRPr="00217679">
        <w:t xml:space="preserve">sensitive to </w:t>
      </w:r>
      <w:r w:rsidRPr="00217679">
        <w:t>the various extrapolation methods tested in sensitivity analys</w:t>
      </w:r>
      <w:r w:rsidR="000D5323">
        <w:t>e</w:t>
      </w:r>
      <w:r w:rsidRPr="00217679">
        <w:t>s</w:t>
      </w:r>
      <w:r w:rsidR="00B3003C" w:rsidRPr="00217679">
        <w:t xml:space="preserve"> (see</w:t>
      </w:r>
      <w:r w:rsidR="006822A5" w:rsidRPr="00217679">
        <w:t xml:space="preserve"> Table 12</w:t>
      </w:r>
      <w:r w:rsidR="00B3003C" w:rsidRPr="00217679">
        <w:t>)</w:t>
      </w:r>
      <w:r w:rsidRPr="00217679">
        <w:t>. The base case was among the most favourable methods for durvalumab</w:t>
      </w:r>
      <w:r w:rsidR="00EF1204" w:rsidRPr="00217679">
        <w:t>,</w:t>
      </w:r>
      <w:r w:rsidRPr="00217679">
        <w:t xml:space="preserve"> further suggesting that the base case ICER </w:t>
      </w:r>
      <w:r w:rsidR="00EF1204" w:rsidRPr="00217679">
        <w:t>was likely to</w:t>
      </w:r>
      <w:r w:rsidRPr="00217679">
        <w:t xml:space="preserve"> be underestimated. </w:t>
      </w:r>
    </w:p>
    <w:p w:rsidR="006714E7" w:rsidRPr="00883ABE" w:rsidRDefault="006714E7" w:rsidP="008404A4">
      <w:pPr>
        <w:pStyle w:val="ListParagraph"/>
        <w:widowControl/>
        <w:numPr>
          <w:ilvl w:val="1"/>
          <w:numId w:val="2"/>
        </w:numPr>
      </w:pPr>
      <w:r w:rsidRPr="00883ABE">
        <w:t>The ESC noted that the utilities applied in progression-free survival and in the progressive disease health states were high, and similar to general population utility values. The utility in the post-progressive state was based on limited EQ-5D data from the PACIFIC trial collected soon after progression. It would be expected that the quality of life of patients in a progressive state would continue to decline over time until death. For this reason, the ESC considered that the utility applied in the post progressive state was likely overestimated.</w:t>
      </w:r>
    </w:p>
    <w:p w:rsidR="00FA3901" w:rsidRDefault="006714E7" w:rsidP="008404A4">
      <w:pPr>
        <w:pStyle w:val="ListParagraph"/>
        <w:widowControl/>
        <w:numPr>
          <w:ilvl w:val="1"/>
          <w:numId w:val="2"/>
        </w:numPr>
      </w:pPr>
      <w:r w:rsidRPr="00883ABE">
        <w:t xml:space="preserve">The ESC noted that the submission had provided </w:t>
      </w:r>
      <w:r w:rsidR="004F5C5A" w:rsidRPr="00883ABE">
        <w:t xml:space="preserve">sensitivity analyses using </w:t>
      </w:r>
      <w:r w:rsidRPr="00883ABE">
        <w:t>alternative utility values from published literature, and suggested that sensitivity analyses using the Chouaid 2013 and Khan 2015 values may be informative.</w:t>
      </w:r>
      <w:r w:rsidR="00764DF5">
        <w:t xml:space="preserve"> The Pre-PBAC response noted that the utilities from Chouaid 2013 were derived from patients with Stage IIIb and IV lung cancer, and not from patients with Stage III lung cancer who have not progressed following chemoradiotherapy. However, the PBAC agreed with the ESC that the utilities derived from the PACIFIC trial are likely to overestimate the utilities in the Australian setting. The PBAC noted that the estimate for utility for non-progressed health state </w:t>
      </w:r>
      <w:r w:rsidR="00383927">
        <w:t>(0.81 for durvalumab) was only marginally lower than the average Australian utility estimate for all adults &gt;18 years. In the absence of robust consideration of the response rates to patient reported outcomes, and a comparison of responders and non-responders,</w:t>
      </w:r>
      <w:r w:rsidR="008B67DB">
        <w:t xml:space="preserve"> to rule out response bias, </w:t>
      </w:r>
      <w:r w:rsidR="00383927">
        <w:t xml:space="preserve">the utility estimates remain uncertain. </w:t>
      </w:r>
      <w:r w:rsidR="008B67DB">
        <w:t xml:space="preserve">The PBAC also noted that the average age of patients in the PACIFIC trial may be lower than in the Australian setting, which also may impact the average utility across health states. </w:t>
      </w:r>
    </w:p>
    <w:p w:rsidR="002C2FB4" w:rsidRDefault="00FA3901" w:rsidP="008404A4">
      <w:pPr>
        <w:pStyle w:val="ListParagraph"/>
        <w:widowControl/>
        <w:numPr>
          <w:ilvl w:val="1"/>
          <w:numId w:val="2"/>
        </w:numPr>
        <w:jc w:val="left"/>
      </w:pPr>
      <w:r w:rsidRPr="00FA3901">
        <w:t>Table</w:t>
      </w:r>
      <w:r w:rsidRPr="00FA3901">
        <w:rPr>
          <w:noProof/>
        </w:rPr>
        <w:t xml:space="preserve"> </w:t>
      </w:r>
      <w:r>
        <w:rPr>
          <w:noProof/>
        </w:rPr>
        <w:t>11</w:t>
      </w:r>
      <w:r w:rsidR="00E34D36" w:rsidRPr="00E34D36">
        <w:t xml:space="preserve"> </w:t>
      </w:r>
      <w:r w:rsidR="006D0FBD" w:rsidRPr="00E34D36">
        <w:t>presents the results of the economic evaluation</w:t>
      </w:r>
      <w:r w:rsidR="00217679">
        <w:t xml:space="preserve"> at the initial proposed price.</w:t>
      </w:r>
      <w:bookmarkStart w:id="29" w:name="_Ref521877471"/>
    </w:p>
    <w:p w:rsidR="006D0FBD" w:rsidRPr="00217679" w:rsidRDefault="006D0FBD" w:rsidP="008404A4">
      <w:pPr>
        <w:pStyle w:val="TableHeading0"/>
      </w:pPr>
      <w:r w:rsidRPr="002F3FE4">
        <w:rPr>
          <w:rStyle w:val="CommentReference"/>
          <w:b/>
          <w:szCs w:val="20"/>
        </w:rPr>
        <w:t xml:space="preserve">Table </w:t>
      </w:r>
      <w:r w:rsidR="00FA3901">
        <w:rPr>
          <w:noProof/>
        </w:rPr>
        <w:t>11</w:t>
      </w:r>
      <w:bookmarkEnd w:id="29"/>
      <w:r w:rsidRPr="002F3FE4">
        <w:rPr>
          <w:rStyle w:val="CommentReference"/>
          <w:b/>
          <w:szCs w:val="20"/>
        </w:rPr>
        <w:t xml:space="preserve">: </w:t>
      </w:r>
      <w:r w:rsidRPr="001F0A0D">
        <w:rPr>
          <w:rStyle w:val="CommentReference"/>
          <w:b/>
          <w:szCs w:val="20"/>
        </w:rPr>
        <w:t xml:space="preserve">Results of the </w:t>
      </w:r>
      <w:r w:rsidR="001F33D9" w:rsidRPr="001F0A0D">
        <w:rPr>
          <w:rStyle w:val="CommentReference"/>
          <w:b/>
          <w:szCs w:val="20"/>
        </w:rPr>
        <w:t>submissions</w:t>
      </w:r>
      <w:r w:rsidR="00217679" w:rsidRPr="001F0A0D">
        <w:rPr>
          <w:rStyle w:val="CommentReference"/>
          <w:b/>
          <w:szCs w:val="20"/>
        </w:rPr>
        <w:t xml:space="preserve"> </w:t>
      </w:r>
      <w:r w:rsidRPr="001F0A0D">
        <w:rPr>
          <w:rStyle w:val="CommentReference"/>
          <w:b/>
          <w:szCs w:val="20"/>
        </w:rPr>
        <w:t>stepped economic evaluation</w:t>
      </w:r>
      <w:r w:rsidR="00217679" w:rsidRPr="001F0A0D">
        <w:rPr>
          <w:rStyle w:val="CommentReference"/>
          <w:b/>
          <w:szCs w:val="20"/>
        </w:rPr>
        <w:t xml:space="preserve"> at the initial proposed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ubmissions stepped economic evaluation at the initial proposed price"/>
      </w:tblPr>
      <w:tblGrid>
        <w:gridCol w:w="2777"/>
        <w:gridCol w:w="2102"/>
        <w:gridCol w:w="2102"/>
        <w:gridCol w:w="2102"/>
      </w:tblGrid>
      <w:tr w:rsidR="006D0FBD" w:rsidRPr="002F3FE4" w:rsidTr="00D932FD">
        <w:trPr>
          <w:tblHeader/>
        </w:trPr>
        <w:tc>
          <w:tcPr>
            <w:tcW w:w="1529" w:type="pct"/>
            <w:vAlign w:val="center"/>
          </w:tcPr>
          <w:p w:rsidR="006D0FBD" w:rsidRPr="002F3FE4" w:rsidRDefault="006D0FBD" w:rsidP="008404A4">
            <w:pPr>
              <w:widowControl/>
              <w:jc w:val="left"/>
              <w:rPr>
                <w:rFonts w:ascii="Arial Narrow" w:hAnsi="Arial Narrow"/>
                <w:b/>
                <w:sz w:val="20"/>
                <w:szCs w:val="20"/>
              </w:rPr>
            </w:pPr>
            <w:r w:rsidRPr="002F3FE4">
              <w:rPr>
                <w:rFonts w:ascii="Arial Narrow" w:hAnsi="Arial Narrow"/>
                <w:b/>
                <w:sz w:val="20"/>
                <w:szCs w:val="20"/>
              </w:rPr>
              <w:t>Step and component</w:t>
            </w:r>
          </w:p>
        </w:tc>
        <w:tc>
          <w:tcPr>
            <w:tcW w:w="1157" w:type="pct"/>
            <w:vAlign w:val="center"/>
          </w:tcPr>
          <w:p w:rsidR="006D0FBD" w:rsidRPr="002F3FE4" w:rsidRDefault="006D0FBD" w:rsidP="008404A4">
            <w:pPr>
              <w:widowControl/>
              <w:jc w:val="center"/>
              <w:rPr>
                <w:rFonts w:ascii="Arial Narrow" w:hAnsi="Arial Narrow"/>
                <w:b/>
                <w:sz w:val="20"/>
                <w:szCs w:val="20"/>
              </w:rPr>
            </w:pPr>
            <w:r w:rsidRPr="002F3FE4">
              <w:rPr>
                <w:rFonts w:ascii="Arial Narrow" w:hAnsi="Arial Narrow"/>
                <w:b/>
                <w:sz w:val="20"/>
                <w:szCs w:val="20"/>
              </w:rPr>
              <w:t>Durvalumab</w:t>
            </w:r>
          </w:p>
        </w:tc>
        <w:tc>
          <w:tcPr>
            <w:tcW w:w="1157" w:type="pct"/>
            <w:vAlign w:val="center"/>
          </w:tcPr>
          <w:p w:rsidR="006D0FBD" w:rsidRPr="002F3FE4" w:rsidRDefault="006D0FBD" w:rsidP="008404A4">
            <w:pPr>
              <w:widowControl/>
              <w:jc w:val="center"/>
              <w:rPr>
                <w:rFonts w:ascii="Arial Narrow" w:hAnsi="Arial Narrow"/>
                <w:b/>
                <w:sz w:val="20"/>
                <w:szCs w:val="20"/>
              </w:rPr>
            </w:pPr>
            <w:r w:rsidRPr="002F3FE4">
              <w:rPr>
                <w:rFonts w:ascii="Arial Narrow" w:hAnsi="Arial Narrow"/>
                <w:b/>
                <w:sz w:val="20"/>
                <w:szCs w:val="20"/>
              </w:rPr>
              <w:t>Placebo</w:t>
            </w:r>
          </w:p>
        </w:tc>
        <w:tc>
          <w:tcPr>
            <w:tcW w:w="1157" w:type="pct"/>
            <w:vAlign w:val="center"/>
          </w:tcPr>
          <w:p w:rsidR="006D0FBD" w:rsidRPr="002F3FE4" w:rsidRDefault="006D0FBD" w:rsidP="008404A4">
            <w:pPr>
              <w:widowControl/>
              <w:jc w:val="center"/>
              <w:rPr>
                <w:rFonts w:ascii="Arial Narrow" w:hAnsi="Arial Narrow"/>
                <w:b/>
                <w:sz w:val="20"/>
                <w:szCs w:val="20"/>
              </w:rPr>
            </w:pPr>
            <w:r w:rsidRPr="002F3FE4">
              <w:rPr>
                <w:rFonts w:ascii="Arial Narrow" w:hAnsi="Arial Narrow"/>
                <w:b/>
                <w:sz w:val="20"/>
                <w:szCs w:val="20"/>
              </w:rPr>
              <w:t>Increment</w:t>
            </w:r>
          </w:p>
        </w:tc>
      </w:tr>
      <w:tr w:rsidR="006D0FBD" w:rsidRPr="002F3FE4" w:rsidTr="00D932FD">
        <w:tc>
          <w:tcPr>
            <w:tcW w:w="5000" w:type="pct"/>
            <w:gridSpan w:val="4"/>
            <w:vAlign w:val="center"/>
          </w:tcPr>
          <w:p w:rsidR="006D0FBD" w:rsidRPr="002F3FE4" w:rsidRDefault="006D0FBD" w:rsidP="008404A4">
            <w:pPr>
              <w:widowControl/>
              <w:jc w:val="left"/>
              <w:rPr>
                <w:rFonts w:ascii="Arial Narrow" w:hAnsi="Arial Narrow"/>
                <w:b/>
                <w:sz w:val="20"/>
                <w:szCs w:val="20"/>
              </w:rPr>
            </w:pPr>
            <w:r w:rsidRPr="002F3FE4">
              <w:rPr>
                <w:rFonts w:ascii="Arial Narrow" w:hAnsi="Arial Narrow"/>
                <w:b/>
                <w:sz w:val="20"/>
                <w:szCs w:val="20"/>
              </w:rPr>
              <w:t>Step 1: PACIFIC trial Time horizon: 42 months</w:t>
            </w:r>
          </w:p>
        </w:tc>
      </w:tr>
      <w:tr w:rsidR="006D0FBD" w:rsidRPr="002F3FE4" w:rsidTr="00D932FD">
        <w:tc>
          <w:tcPr>
            <w:tcW w:w="1529" w:type="pct"/>
            <w:vAlign w:val="center"/>
          </w:tcPr>
          <w:p w:rsidR="006D0FBD" w:rsidRPr="002F3FE4" w:rsidRDefault="006D0FBD" w:rsidP="008404A4">
            <w:pPr>
              <w:widowControl/>
              <w:jc w:val="left"/>
              <w:rPr>
                <w:rFonts w:ascii="Arial Narrow" w:hAnsi="Arial Narrow"/>
                <w:sz w:val="20"/>
                <w:szCs w:val="20"/>
              </w:rPr>
            </w:pPr>
            <w:r w:rsidRPr="002F3FE4">
              <w:rPr>
                <w:rFonts w:ascii="Arial Narrow" w:hAnsi="Arial Narrow"/>
                <w:sz w:val="20"/>
                <w:szCs w:val="20"/>
              </w:rPr>
              <w:t>Costs</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r>
      <w:tr w:rsidR="006D0FBD" w:rsidRPr="002F3FE4" w:rsidTr="00D932FD">
        <w:tc>
          <w:tcPr>
            <w:tcW w:w="1529" w:type="pct"/>
            <w:vAlign w:val="center"/>
          </w:tcPr>
          <w:p w:rsidR="006D0FBD" w:rsidRPr="002F3FE4" w:rsidRDefault="006D0FBD" w:rsidP="008404A4">
            <w:pPr>
              <w:widowControl/>
              <w:jc w:val="left"/>
              <w:rPr>
                <w:rFonts w:ascii="Arial Narrow" w:hAnsi="Arial Narrow"/>
                <w:sz w:val="20"/>
                <w:szCs w:val="20"/>
              </w:rPr>
            </w:pPr>
            <w:r w:rsidRPr="002F3FE4">
              <w:rPr>
                <w:rFonts w:ascii="Arial Narrow" w:hAnsi="Arial Narrow"/>
                <w:sz w:val="20"/>
                <w:szCs w:val="20"/>
              </w:rPr>
              <w:t>LY</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2.41</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2.08</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0.33</w:t>
            </w:r>
          </w:p>
        </w:tc>
      </w:tr>
      <w:tr w:rsidR="006D0FBD" w:rsidRPr="002F3FE4" w:rsidTr="00D932FD">
        <w:tc>
          <w:tcPr>
            <w:tcW w:w="3843" w:type="pct"/>
            <w:gridSpan w:val="3"/>
            <w:vAlign w:val="center"/>
          </w:tcPr>
          <w:p w:rsidR="006D0FBD" w:rsidRPr="002F3FE4" w:rsidRDefault="006D0FBD" w:rsidP="008404A4">
            <w:pPr>
              <w:widowControl/>
              <w:jc w:val="right"/>
              <w:rPr>
                <w:rFonts w:ascii="Arial Narrow" w:hAnsi="Arial Narrow"/>
                <w:sz w:val="20"/>
                <w:szCs w:val="20"/>
              </w:rPr>
            </w:pPr>
            <w:r w:rsidRPr="002F3FE4">
              <w:rPr>
                <w:rFonts w:ascii="Arial Narrow" w:hAnsi="Arial Narrow"/>
                <w:sz w:val="20"/>
                <w:szCs w:val="20"/>
              </w:rPr>
              <w:t xml:space="preserve">Incremental cost/extra </w:t>
            </w:r>
            <w:r w:rsidR="00361E3F" w:rsidRPr="002F3FE4">
              <w:rPr>
                <w:rFonts w:ascii="Arial Narrow" w:hAnsi="Arial Narrow"/>
                <w:sz w:val="20"/>
                <w:szCs w:val="20"/>
              </w:rPr>
              <w:t>LY</w:t>
            </w:r>
            <w:r w:rsidRPr="002F3FE4">
              <w:rPr>
                <w:rFonts w:ascii="Arial Narrow" w:hAnsi="Arial Narrow"/>
                <w:sz w:val="20"/>
                <w:szCs w:val="20"/>
              </w:rPr>
              <w:t xml:space="preserve"> gained</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r>
      <w:tr w:rsidR="006D0FBD" w:rsidRPr="002F3FE4" w:rsidTr="00D932FD">
        <w:trPr>
          <w:trHeight w:val="119"/>
        </w:trPr>
        <w:tc>
          <w:tcPr>
            <w:tcW w:w="5000" w:type="pct"/>
            <w:gridSpan w:val="4"/>
            <w:vAlign w:val="center"/>
          </w:tcPr>
          <w:p w:rsidR="006D0FBD" w:rsidRPr="002F3FE4" w:rsidRDefault="006D0FBD" w:rsidP="008404A4">
            <w:pPr>
              <w:widowControl/>
              <w:jc w:val="left"/>
              <w:rPr>
                <w:rFonts w:ascii="Arial Narrow" w:hAnsi="Arial Narrow"/>
                <w:b/>
                <w:sz w:val="20"/>
                <w:szCs w:val="20"/>
              </w:rPr>
            </w:pPr>
            <w:r w:rsidRPr="002F3FE4">
              <w:rPr>
                <w:rFonts w:ascii="Arial Narrow" w:hAnsi="Arial Narrow"/>
                <w:b/>
                <w:sz w:val="20"/>
                <w:szCs w:val="20"/>
              </w:rPr>
              <w:t>Step 2: PACIFIC trial extrapolated to 10 years</w:t>
            </w:r>
          </w:p>
        </w:tc>
      </w:tr>
      <w:tr w:rsidR="006D0FBD" w:rsidRPr="002F3FE4" w:rsidTr="00D932FD">
        <w:tc>
          <w:tcPr>
            <w:tcW w:w="1529" w:type="pct"/>
            <w:vAlign w:val="center"/>
          </w:tcPr>
          <w:p w:rsidR="006D0FBD" w:rsidRPr="002F3FE4" w:rsidRDefault="006D0FBD" w:rsidP="008404A4">
            <w:pPr>
              <w:widowControl/>
              <w:jc w:val="left"/>
              <w:rPr>
                <w:rFonts w:ascii="Arial Narrow" w:hAnsi="Arial Narrow"/>
                <w:sz w:val="20"/>
                <w:szCs w:val="20"/>
              </w:rPr>
            </w:pPr>
            <w:r w:rsidRPr="002F3FE4">
              <w:rPr>
                <w:rFonts w:ascii="Arial Narrow" w:hAnsi="Arial Narrow"/>
                <w:sz w:val="20"/>
                <w:szCs w:val="20"/>
              </w:rPr>
              <w:t>Costs</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r>
      <w:tr w:rsidR="006D0FBD" w:rsidRPr="002F3FE4" w:rsidTr="00D932FD">
        <w:tc>
          <w:tcPr>
            <w:tcW w:w="1529" w:type="pct"/>
            <w:vAlign w:val="center"/>
          </w:tcPr>
          <w:p w:rsidR="006D0FBD" w:rsidRPr="002F3FE4" w:rsidRDefault="006D0FBD" w:rsidP="008404A4">
            <w:pPr>
              <w:widowControl/>
              <w:jc w:val="left"/>
              <w:rPr>
                <w:rFonts w:ascii="Arial Narrow" w:hAnsi="Arial Narrow"/>
                <w:sz w:val="20"/>
                <w:szCs w:val="20"/>
              </w:rPr>
            </w:pPr>
            <w:r w:rsidRPr="002F3FE4">
              <w:rPr>
                <w:rFonts w:ascii="Arial Narrow" w:hAnsi="Arial Narrow"/>
                <w:sz w:val="20"/>
                <w:szCs w:val="20"/>
              </w:rPr>
              <w:t>LY</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3.38</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2.85</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0.98</w:t>
            </w:r>
          </w:p>
        </w:tc>
      </w:tr>
      <w:tr w:rsidR="006D0FBD" w:rsidRPr="002F3FE4" w:rsidTr="00D932FD">
        <w:tc>
          <w:tcPr>
            <w:tcW w:w="3843" w:type="pct"/>
            <w:gridSpan w:val="3"/>
            <w:vAlign w:val="center"/>
          </w:tcPr>
          <w:p w:rsidR="006D0FBD" w:rsidRPr="00D9059A" w:rsidRDefault="006D0FBD" w:rsidP="008404A4">
            <w:pPr>
              <w:widowControl/>
              <w:jc w:val="right"/>
              <w:rPr>
                <w:rFonts w:ascii="Arial Narrow" w:hAnsi="Arial Narrow"/>
                <w:sz w:val="20"/>
                <w:szCs w:val="20"/>
              </w:rPr>
            </w:pPr>
            <w:r w:rsidRPr="00D9059A">
              <w:rPr>
                <w:rFonts w:ascii="Arial Narrow" w:hAnsi="Arial Narrow"/>
                <w:sz w:val="20"/>
                <w:szCs w:val="20"/>
              </w:rPr>
              <w:t>Incremental cost/</w:t>
            </w:r>
            <w:r w:rsidR="00361E3F" w:rsidRPr="00D9059A">
              <w:rPr>
                <w:rFonts w:ascii="Arial Narrow" w:hAnsi="Arial Narrow"/>
                <w:sz w:val="20"/>
                <w:szCs w:val="20"/>
              </w:rPr>
              <w:t>LY</w:t>
            </w:r>
            <w:r w:rsidRPr="00D9059A">
              <w:rPr>
                <w:rFonts w:ascii="Arial Narrow" w:hAnsi="Arial Narrow"/>
                <w:sz w:val="20"/>
                <w:szCs w:val="20"/>
              </w:rPr>
              <w:t xml:space="preserve"> gained</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r>
      <w:tr w:rsidR="006D0FBD" w:rsidRPr="002F3FE4" w:rsidTr="00D932FD">
        <w:tc>
          <w:tcPr>
            <w:tcW w:w="5000" w:type="pct"/>
            <w:gridSpan w:val="4"/>
            <w:vAlign w:val="center"/>
          </w:tcPr>
          <w:p w:rsidR="006D0FBD" w:rsidRPr="00D9059A" w:rsidRDefault="006D0FBD" w:rsidP="008404A4">
            <w:pPr>
              <w:widowControl/>
              <w:jc w:val="left"/>
              <w:rPr>
                <w:rFonts w:ascii="Arial Narrow" w:hAnsi="Arial Narrow"/>
                <w:b/>
                <w:sz w:val="20"/>
                <w:szCs w:val="20"/>
              </w:rPr>
            </w:pPr>
            <w:r w:rsidRPr="00D9059A">
              <w:rPr>
                <w:rFonts w:ascii="Arial Narrow" w:hAnsi="Arial Narrow"/>
                <w:b/>
                <w:sz w:val="20"/>
                <w:szCs w:val="20"/>
              </w:rPr>
              <w:t>Step 3: Including all resource use</w:t>
            </w:r>
          </w:p>
        </w:tc>
      </w:tr>
      <w:tr w:rsidR="006D0FBD" w:rsidRPr="002F3FE4" w:rsidTr="00D932FD">
        <w:tc>
          <w:tcPr>
            <w:tcW w:w="1529" w:type="pct"/>
            <w:vAlign w:val="center"/>
          </w:tcPr>
          <w:p w:rsidR="006D0FBD" w:rsidRPr="002F3FE4" w:rsidRDefault="006D0FBD" w:rsidP="008404A4">
            <w:pPr>
              <w:widowControl/>
              <w:jc w:val="left"/>
              <w:rPr>
                <w:rFonts w:ascii="Arial Narrow" w:hAnsi="Arial Narrow"/>
                <w:sz w:val="20"/>
                <w:szCs w:val="20"/>
              </w:rPr>
            </w:pPr>
            <w:r w:rsidRPr="002F3FE4">
              <w:rPr>
                <w:rFonts w:ascii="Arial Narrow" w:hAnsi="Arial Narrow"/>
                <w:sz w:val="20"/>
                <w:szCs w:val="20"/>
              </w:rPr>
              <w:t>Costs</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r>
      <w:tr w:rsidR="006D0FBD" w:rsidRPr="002F3FE4" w:rsidTr="00D932FD">
        <w:tc>
          <w:tcPr>
            <w:tcW w:w="1529" w:type="pct"/>
            <w:vAlign w:val="center"/>
          </w:tcPr>
          <w:p w:rsidR="006D0FBD" w:rsidRPr="002F3FE4" w:rsidRDefault="006D0FBD" w:rsidP="008404A4">
            <w:pPr>
              <w:widowControl/>
              <w:jc w:val="left"/>
              <w:rPr>
                <w:rFonts w:ascii="Arial Narrow" w:hAnsi="Arial Narrow"/>
                <w:sz w:val="20"/>
                <w:szCs w:val="20"/>
              </w:rPr>
            </w:pPr>
            <w:r w:rsidRPr="002F3FE4">
              <w:rPr>
                <w:rFonts w:ascii="Arial Narrow" w:hAnsi="Arial Narrow"/>
                <w:sz w:val="20"/>
                <w:szCs w:val="20"/>
              </w:rPr>
              <w:t>LY</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3.38</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2.85</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0.98</w:t>
            </w:r>
          </w:p>
        </w:tc>
      </w:tr>
      <w:tr w:rsidR="006D0FBD" w:rsidRPr="002F3FE4" w:rsidTr="00D932FD">
        <w:tc>
          <w:tcPr>
            <w:tcW w:w="3843" w:type="pct"/>
            <w:gridSpan w:val="3"/>
            <w:vAlign w:val="center"/>
          </w:tcPr>
          <w:p w:rsidR="006D0FBD" w:rsidRPr="00D9059A" w:rsidRDefault="006D0FBD" w:rsidP="008404A4">
            <w:pPr>
              <w:widowControl/>
              <w:jc w:val="right"/>
              <w:rPr>
                <w:rFonts w:ascii="Arial Narrow" w:hAnsi="Arial Narrow"/>
                <w:sz w:val="20"/>
                <w:szCs w:val="20"/>
              </w:rPr>
            </w:pPr>
            <w:r w:rsidRPr="00D9059A">
              <w:rPr>
                <w:rFonts w:ascii="Arial Narrow" w:hAnsi="Arial Narrow"/>
                <w:sz w:val="20"/>
                <w:szCs w:val="20"/>
              </w:rPr>
              <w:t>Incremental cost/</w:t>
            </w:r>
            <w:r w:rsidR="00361E3F" w:rsidRPr="00D9059A">
              <w:rPr>
                <w:rFonts w:ascii="Arial Narrow" w:hAnsi="Arial Narrow"/>
                <w:sz w:val="20"/>
                <w:szCs w:val="20"/>
              </w:rPr>
              <w:t>LY</w:t>
            </w:r>
            <w:r w:rsidRPr="00D9059A">
              <w:rPr>
                <w:rFonts w:ascii="Arial Narrow" w:hAnsi="Arial Narrow"/>
                <w:sz w:val="20"/>
                <w:szCs w:val="20"/>
              </w:rPr>
              <w:t xml:space="preserve"> gained</w:t>
            </w:r>
          </w:p>
        </w:tc>
        <w:tc>
          <w:tcPr>
            <w:tcW w:w="1157" w:type="pct"/>
            <w:vAlign w:val="center"/>
          </w:tcPr>
          <w:p w:rsidR="006D0FBD" w:rsidRPr="002F3FE4" w:rsidRDefault="00D9059A" w:rsidP="008404A4">
            <w:pPr>
              <w:widowControl/>
              <w:jc w:val="center"/>
              <w:rPr>
                <w:rFonts w:ascii="Arial Narrow" w:hAnsi="Arial Narrow"/>
                <w:sz w:val="20"/>
                <w:szCs w:val="20"/>
              </w:rPr>
            </w:pPr>
            <w:r>
              <w:rPr>
                <w:rFonts w:ascii="Arial Narrow" w:hAnsi="Arial Narrow"/>
                <w:sz w:val="20"/>
                <w:szCs w:val="20"/>
              </w:rPr>
              <w:t>$</w:t>
            </w:r>
            <w:r w:rsidR="00145C02">
              <w:rPr>
                <w:rFonts w:ascii="Arial Narrow" w:hAnsi="Arial Narrow"/>
                <w:noProof/>
                <w:color w:val="000000"/>
                <w:sz w:val="20"/>
                <w:szCs w:val="20"/>
                <w:highlight w:val="black"/>
              </w:rPr>
              <w:t>''''''''''''''''</w:t>
            </w:r>
          </w:p>
        </w:tc>
      </w:tr>
      <w:tr w:rsidR="006D0FBD" w:rsidRPr="002F3FE4" w:rsidTr="00D932FD">
        <w:tc>
          <w:tcPr>
            <w:tcW w:w="5000" w:type="pct"/>
            <w:gridSpan w:val="4"/>
            <w:vAlign w:val="center"/>
          </w:tcPr>
          <w:p w:rsidR="006D0FBD" w:rsidRPr="00D9059A" w:rsidRDefault="006D0FBD" w:rsidP="008404A4">
            <w:pPr>
              <w:widowControl/>
              <w:jc w:val="left"/>
              <w:rPr>
                <w:rFonts w:ascii="Arial Narrow" w:hAnsi="Arial Narrow"/>
                <w:b/>
                <w:sz w:val="20"/>
                <w:szCs w:val="20"/>
              </w:rPr>
            </w:pPr>
            <w:r w:rsidRPr="00D9059A">
              <w:rPr>
                <w:rFonts w:ascii="Arial Narrow" w:hAnsi="Arial Narrow"/>
                <w:b/>
                <w:sz w:val="20"/>
                <w:szCs w:val="20"/>
              </w:rPr>
              <w:t>Step 4: Transformed to QALYs</w:t>
            </w:r>
          </w:p>
        </w:tc>
      </w:tr>
      <w:tr w:rsidR="006D0FBD" w:rsidRPr="002F3FE4" w:rsidTr="00D932FD">
        <w:trPr>
          <w:trHeight w:val="119"/>
        </w:trPr>
        <w:tc>
          <w:tcPr>
            <w:tcW w:w="1529" w:type="pct"/>
            <w:vAlign w:val="center"/>
          </w:tcPr>
          <w:p w:rsidR="006D0FBD" w:rsidRPr="002F3FE4" w:rsidRDefault="006D0FBD" w:rsidP="008404A4">
            <w:pPr>
              <w:widowControl/>
              <w:jc w:val="left"/>
              <w:rPr>
                <w:rFonts w:ascii="Arial Narrow" w:hAnsi="Arial Narrow"/>
                <w:sz w:val="20"/>
                <w:szCs w:val="20"/>
              </w:rPr>
            </w:pPr>
            <w:r w:rsidRPr="002F3FE4">
              <w:rPr>
                <w:rFonts w:ascii="Arial Narrow" w:hAnsi="Arial Narrow"/>
                <w:sz w:val="20"/>
                <w:szCs w:val="20"/>
              </w:rPr>
              <w:t>Costs</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r>
      <w:tr w:rsidR="006D0FBD" w:rsidRPr="002F3FE4" w:rsidTr="00D932FD">
        <w:tc>
          <w:tcPr>
            <w:tcW w:w="1529" w:type="pct"/>
            <w:vAlign w:val="center"/>
          </w:tcPr>
          <w:p w:rsidR="006D0FBD" w:rsidRPr="002F3FE4" w:rsidRDefault="006D0FBD" w:rsidP="008404A4">
            <w:pPr>
              <w:widowControl/>
              <w:jc w:val="left"/>
              <w:rPr>
                <w:rFonts w:ascii="Arial Narrow" w:hAnsi="Arial Narrow"/>
                <w:sz w:val="20"/>
                <w:szCs w:val="20"/>
              </w:rPr>
            </w:pPr>
            <w:r w:rsidRPr="002F3FE4">
              <w:rPr>
                <w:rFonts w:ascii="Arial Narrow" w:hAnsi="Arial Narrow"/>
                <w:sz w:val="20"/>
                <w:szCs w:val="20"/>
              </w:rPr>
              <w:t>QALY</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3.08</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2.29</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0.79</w:t>
            </w:r>
          </w:p>
        </w:tc>
      </w:tr>
      <w:tr w:rsidR="006D0FBD" w:rsidRPr="002F3FE4" w:rsidTr="00D932FD">
        <w:tc>
          <w:tcPr>
            <w:tcW w:w="3843" w:type="pct"/>
            <w:gridSpan w:val="3"/>
            <w:vAlign w:val="center"/>
          </w:tcPr>
          <w:p w:rsidR="006D0FBD" w:rsidRPr="00D9059A" w:rsidRDefault="006D0FBD" w:rsidP="008404A4">
            <w:pPr>
              <w:widowControl/>
              <w:jc w:val="right"/>
              <w:rPr>
                <w:rFonts w:ascii="Arial Narrow" w:hAnsi="Arial Narrow"/>
                <w:sz w:val="20"/>
                <w:szCs w:val="20"/>
              </w:rPr>
            </w:pPr>
            <w:r w:rsidRPr="00D9059A">
              <w:rPr>
                <w:rFonts w:ascii="Arial Narrow" w:hAnsi="Arial Narrow"/>
                <w:sz w:val="20"/>
                <w:szCs w:val="20"/>
              </w:rPr>
              <w:t>Incremental cost/</w:t>
            </w:r>
            <w:r w:rsidR="00361E3F" w:rsidRPr="00D9059A">
              <w:rPr>
                <w:rFonts w:ascii="Arial Narrow" w:hAnsi="Arial Narrow"/>
                <w:sz w:val="20"/>
                <w:szCs w:val="20"/>
              </w:rPr>
              <w:t>QALY</w:t>
            </w:r>
            <w:r w:rsidRPr="00D9059A">
              <w:rPr>
                <w:rFonts w:ascii="Arial Narrow" w:hAnsi="Arial Narrow"/>
                <w:sz w:val="20"/>
                <w:szCs w:val="20"/>
              </w:rPr>
              <w:t xml:space="preserve"> gained</w:t>
            </w:r>
          </w:p>
        </w:tc>
        <w:tc>
          <w:tcPr>
            <w:tcW w:w="1157" w:type="pct"/>
            <w:vAlign w:val="center"/>
          </w:tcPr>
          <w:p w:rsidR="006D0FBD" w:rsidRPr="002F3FE4" w:rsidRDefault="006D0FBD" w:rsidP="008404A4">
            <w:pPr>
              <w:widowControl/>
              <w:jc w:val="center"/>
              <w:rPr>
                <w:rFonts w:ascii="Arial Narrow" w:hAnsi="Arial Narrow"/>
                <w:sz w:val="20"/>
                <w:szCs w:val="20"/>
              </w:rPr>
            </w:pPr>
            <w:r w:rsidRPr="002F3FE4">
              <w:rPr>
                <w:rFonts w:ascii="Arial Narrow" w:hAnsi="Arial Narrow"/>
                <w:sz w:val="20"/>
                <w:szCs w:val="20"/>
              </w:rPr>
              <w:t>$</w:t>
            </w:r>
            <w:r w:rsidR="00145C02">
              <w:rPr>
                <w:rFonts w:ascii="Arial Narrow" w:hAnsi="Arial Narrow"/>
                <w:noProof/>
                <w:color w:val="000000"/>
                <w:sz w:val="20"/>
                <w:szCs w:val="20"/>
                <w:highlight w:val="black"/>
              </w:rPr>
              <w:t>''''''''''''''''</w:t>
            </w:r>
          </w:p>
        </w:tc>
      </w:tr>
    </w:tbl>
    <w:p w:rsidR="005B71C7" w:rsidRDefault="006D0FBD" w:rsidP="008404A4">
      <w:pPr>
        <w:pStyle w:val="TableFooter"/>
        <w:widowControl/>
        <w:spacing w:after="160"/>
      </w:pPr>
      <w:r>
        <w:t>Source: Table 3.8.1, p134. Incr = increment; LY = life years; QALY = quality adjusted life year.</w:t>
      </w:r>
    </w:p>
    <w:p w:rsidR="00E340AD" w:rsidRPr="00FB4B94" w:rsidRDefault="00E340AD" w:rsidP="008404A4">
      <w:pPr>
        <w:widowControl/>
        <w:spacing w:before="120" w:after="120"/>
        <w:rPr>
          <w:rFonts w:asciiTheme="minorHAnsi" w:hAnsiTheme="minorHAnsi" w:cstheme="minorHAnsi"/>
          <w:i/>
          <w:szCs w:val="24"/>
        </w:rPr>
      </w:pPr>
      <w:r w:rsidRPr="00FB4B94">
        <w:rPr>
          <w:i/>
        </w:rPr>
        <w:t xml:space="preserve">The redacted table shows ICERs in the range of </w:t>
      </w:r>
      <w:r w:rsidRPr="00FB4B94">
        <w:rPr>
          <w:rFonts w:asciiTheme="minorHAnsi" w:hAnsiTheme="minorHAnsi" w:cstheme="minorHAnsi"/>
          <w:i/>
          <w:szCs w:val="24"/>
        </w:rPr>
        <w:t>$45,000/LY – $75,000/LY to more than $200,000/LY, and $75,000/QALY – $105,000/QALY.</w:t>
      </w:r>
    </w:p>
    <w:p w:rsidR="001A10A5" w:rsidRPr="001A10A5" w:rsidRDefault="001A10A5" w:rsidP="008404A4">
      <w:pPr>
        <w:widowControl/>
        <w:spacing w:before="120" w:after="120"/>
        <w:rPr>
          <w:rFonts w:asciiTheme="minorHAnsi" w:hAnsiTheme="minorHAnsi" w:cstheme="minorHAnsi"/>
          <w:szCs w:val="24"/>
        </w:rPr>
      </w:pPr>
    </w:p>
    <w:p w:rsidR="005B71C7" w:rsidRDefault="005B71C7" w:rsidP="008404A4">
      <w:pPr>
        <w:widowControl/>
        <w:rPr>
          <w:rFonts w:ascii="Arial Narrow" w:hAnsi="Arial Narrow"/>
          <w:sz w:val="18"/>
        </w:rPr>
      </w:pPr>
      <w:r>
        <w:br w:type="page"/>
      </w:r>
    </w:p>
    <w:p w:rsidR="00F3481D" w:rsidRPr="00217679" w:rsidRDefault="00F3481D" w:rsidP="008404A4">
      <w:pPr>
        <w:pStyle w:val="TableHeading0"/>
        <w:rPr>
          <w:rStyle w:val="CommentReference"/>
          <w:szCs w:val="20"/>
        </w:rPr>
      </w:pPr>
      <w:r w:rsidRPr="00217679">
        <w:rPr>
          <w:rStyle w:val="CommentReference"/>
          <w:b/>
          <w:szCs w:val="20"/>
        </w:rPr>
        <w:t xml:space="preserve">Table </w:t>
      </w:r>
      <w:r w:rsidR="00FA3901">
        <w:rPr>
          <w:rStyle w:val="CommentReference"/>
          <w:b/>
          <w:noProof/>
          <w:szCs w:val="20"/>
        </w:rPr>
        <w:t>12</w:t>
      </w:r>
      <w:r w:rsidRPr="00217679">
        <w:rPr>
          <w:rStyle w:val="CommentReference"/>
          <w:szCs w:val="20"/>
        </w:rPr>
        <w:t xml:space="preserve">: </w:t>
      </w:r>
      <w:r w:rsidRPr="001F0A0D">
        <w:rPr>
          <w:rStyle w:val="CommentReference"/>
          <w:b/>
          <w:szCs w:val="20"/>
        </w:rPr>
        <w:t>Results of sensitivity analyses</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2: Results of sensitivity analyses"/>
      </w:tblPr>
      <w:tblGrid>
        <w:gridCol w:w="1588"/>
        <w:gridCol w:w="3161"/>
        <w:gridCol w:w="1498"/>
        <w:gridCol w:w="1432"/>
        <w:gridCol w:w="1421"/>
      </w:tblGrid>
      <w:tr w:rsidR="00272F90" w:rsidRPr="00B2149B" w:rsidTr="00097BED">
        <w:trPr>
          <w:tblHeader/>
        </w:trPr>
        <w:tc>
          <w:tcPr>
            <w:tcW w:w="4749" w:type="dxa"/>
            <w:gridSpan w:val="2"/>
            <w:tcMar>
              <w:top w:w="0" w:type="dxa"/>
              <w:left w:w="28" w:type="dxa"/>
              <w:bottom w:w="0" w:type="dxa"/>
              <w:right w:w="28" w:type="dxa"/>
            </w:tcMar>
            <w:hideMark/>
          </w:tcPr>
          <w:p w:rsidR="00272F90" w:rsidRPr="00097BED" w:rsidRDefault="00272F90" w:rsidP="008404A4">
            <w:pPr>
              <w:pStyle w:val="Tabletext"/>
              <w:rPr>
                <w:b/>
                <w:bCs/>
                <w:szCs w:val="20"/>
              </w:rPr>
            </w:pPr>
            <w:r w:rsidRPr="00097BED">
              <w:rPr>
                <w:b/>
                <w:bCs/>
                <w:szCs w:val="20"/>
              </w:rPr>
              <w:t>Analyses</w:t>
            </w:r>
          </w:p>
        </w:tc>
        <w:tc>
          <w:tcPr>
            <w:tcW w:w="1498" w:type="dxa"/>
            <w:tcMar>
              <w:top w:w="0" w:type="dxa"/>
              <w:left w:w="28" w:type="dxa"/>
              <w:bottom w:w="0" w:type="dxa"/>
              <w:right w:w="28" w:type="dxa"/>
            </w:tcMar>
            <w:hideMark/>
          </w:tcPr>
          <w:p w:rsidR="00272F90" w:rsidRPr="00097BED" w:rsidRDefault="00272F90" w:rsidP="008404A4">
            <w:pPr>
              <w:pStyle w:val="Tabletext"/>
              <w:jc w:val="center"/>
              <w:rPr>
                <w:b/>
                <w:bCs/>
                <w:szCs w:val="20"/>
              </w:rPr>
            </w:pPr>
            <w:r w:rsidRPr="00097BED">
              <w:rPr>
                <w:b/>
                <w:bCs/>
                <w:szCs w:val="20"/>
              </w:rPr>
              <w:t>Incremental cost*</w:t>
            </w:r>
          </w:p>
        </w:tc>
        <w:tc>
          <w:tcPr>
            <w:tcW w:w="1432" w:type="dxa"/>
            <w:tcMar>
              <w:top w:w="0" w:type="dxa"/>
              <w:left w:w="28" w:type="dxa"/>
              <w:bottom w:w="0" w:type="dxa"/>
              <w:right w:w="28" w:type="dxa"/>
            </w:tcMar>
            <w:hideMark/>
          </w:tcPr>
          <w:p w:rsidR="00272F90" w:rsidRPr="00097BED" w:rsidRDefault="00272F90" w:rsidP="008404A4">
            <w:pPr>
              <w:pStyle w:val="Tabletext"/>
              <w:jc w:val="center"/>
              <w:rPr>
                <w:b/>
                <w:bCs/>
                <w:szCs w:val="20"/>
              </w:rPr>
            </w:pPr>
            <w:r w:rsidRPr="00097BED">
              <w:rPr>
                <w:b/>
                <w:bCs/>
                <w:szCs w:val="20"/>
              </w:rPr>
              <w:t>Incremental QALY</w:t>
            </w:r>
          </w:p>
        </w:tc>
        <w:tc>
          <w:tcPr>
            <w:tcW w:w="1421" w:type="dxa"/>
            <w:tcMar>
              <w:top w:w="0" w:type="dxa"/>
              <w:left w:w="28" w:type="dxa"/>
              <w:bottom w:w="0" w:type="dxa"/>
              <w:right w:w="28" w:type="dxa"/>
            </w:tcMar>
            <w:hideMark/>
          </w:tcPr>
          <w:p w:rsidR="00272F90" w:rsidRPr="00097BED" w:rsidRDefault="00272F90" w:rsidP="008404A4">
            <w:pPr>
              <w:pStyle w:val="Tabletext"/>
              <w:jc w:val="center"/>
              <w:rPr>
                <w:b/>
                <w:bCs/>
                <w:szCs w:val="20"/>
              </w:rPr>
            </w:pPr>
            <w:r w:rsidRPr="00097BED">
              <w:rPr>
                <w:b/>
                <w:bCs/>
                <w:szCs w:val="20"/>
              </w:rPr>
              <w:t>ICER</w:t>
            </w:r>
          </w:p>
        </w:tc>
      </w:tr>
      <w:tr w:rsidR="00272F90" w:rsidRPr="00B2149B" w:rsidTr="00097BED">
        <w:trPr>
          <w:trHeight w:val="79"/>
        </w:trPr>
        <w:tc>
          <w:tcPr>
            <w:tcW w:w="4749" w:type="dxa"/>
            <w:gridSpan w:val="2"/>
            <w:tcMar>
              <w:top w:w="0" w:type="dxa"/>
              <w:left w:w="28" w:type="dxa"/>
              <w:bottom w:w="0" w:type="dxa"/>
              <w:right w:w="28" w:type="dxa"/>
            </w:tcMar>
            <w:hideMark/>
          </w:tcPr>
          <w:p w:rsidR="00272F90" w:rsidRPr="00097BED" w:rsidRDefault="00272F90" w:rsidP="008404A4">
            <w:pPr>
              <w:pStyle w:val="Tabletext"/>
              <w:rPr>
                <w:b/>
                <w:bCs/>
                <w:szCs w:val="20"/>
              </w:rPr>
            </w:pPr>
            <w:r w:rsidRPr="00097BED">
              <w:rPr>
                <w:b/>
                <w:bCs/>
                <w:szCs w:val="20"/>
              </w:rPr>
              <w:t>Base case</w:t>
            </w:r>
          </w:p>
        </w:tc>
        <w:tc>
          <w:tcPr>
            <w:tcW w:w="1498" w:type="dxa"/>
            <w:tcMar>
              <w:top w:w="0" w:type="dxa"/>
              <w:left w:w="28" w:type="dxa"/>
              <w:bottom w:w="0" w:type="dxa"/>
              <w:right w:w="28" w:type="dxa"/>
            </w:tcMar>
            <w:hideMark/>
          </w:tcPr>
          <w:p w:rsidR="00272F90" w:rsidRPr="00097BED" w:rsidRDefault="00272F90" w:rsidP="008404A4">
            <w:pPr>
              <w:pStyle w:val="Tabletext"/>
              <w:jc w:val="center"/>
              <w:rPr>
                <w:b/>
                <w:bCs/>
                <w:szCs w:val="20"/>
              </w:rPr>
            </w:pPr>
            <w:r w:rsidRPr="00097BED">
              <w:rPr>
                <w:b/>
                <w:bCs/>
                <w:szCs w:val="20"/>
              </w:rPr>
              <w:t>$</w:t>
            </w:r>
            <w:r w:rsidR="00145C02">
              <w:rPr>
                <w:b/>
                <w:bCs/>
                <w:noProof/>
                <w:color w:val="000000"/>
                <w:szCs w:val="20"/>
                <w:highlight w:val="black"/>
              </w:rPr>
              <w:t>''''''''''''''</w:t>
            </w:r>
          </w:p>
        </w:tc>
        <w:tc>
          <w:tcPr>
            <w:tcW w:w="1432" w:type="dxa"/>
            <w:tcMar>
              <w:top w:w="0" w:type="dxa"/>
              <w:left w:w="28" w:type="dxa"/>
              <w:bottom w:w="0" w:type="dxa"/>
              <w:right w:w="28" w:type="dxa"/>
            </w:tcMar>
            <w:hideMark/>
          </w:tcPr>
          <w:p w:rsidR="00272F90" w:rsidRPr="00097BED" w:rsidRDefault="00272F90" w:rsidP="008404A4">
            <w:pPr>
              <w:pStyle w:val="Tabletext"/>
              <w:jc w:val="center"/>
              <w:rPr>
                <w:b/>
                <w:bCs/>
                <w:szCs w:val="20"/>
              </w:rPr>
            </w:pPr>
            <w:r w:rsidRPr="00097BED">
              <w:rPr>
                <w:b/>
                <w:bCs/>
                <w:szCs w:val="20"/>
              </w:rPr>
              <w:t>0.79</w:t>
            </w:r>
          </w:p>
        </w:tc>
        <w:tc>
          <w:tcPr>
            <w:tcW w:w="1421" w:type="dxa"/>
            <w:tcMar>
              <w:top w:w="0" w:type="dxa"/>
              <w:left w:w="28" w:type="dxa"/>
              <w:bottom w:w="0" w:type="dxa"/>
              <w:right w:w="28" w:type="dxa"/>
            </w:tcMar>
            <w:hideMark/>
          </w:tcPr>
          <w:p w:rsidR="00272F90" w:rsidRPr="00097BED" w:rsidRDefault="00272F90" w:rsidP="008404A4">
            <w:pPr>
              <w:pStyle w:val="Tabletext"/>
              <w:jc w:val="center"/>
              <w:rPr>
                <w:b/>
                <w:bCs/>
                <w:szCs w:val="20"/>
              </w:rPr>
            </w:pPr>
            <w:r w:rsidRPr="00097BED">
              <w:rPr>
                <w:b/>
                <w:bCs/>
                <w:szCs w:val="20"/>
              </w:rPr>
              <w:t>$</w:t>
            </w:r>
            <w:r w:rsidR="00145C02">
              <w:rPr>
                <w:b/>
                <w:bCs/>
                <w:noProof/>
                <w:color w:val="000000"/>
                <w:szCs w:val="20"/>
                <w:highlight w:val="black"/>
              </w:rPr>
              <w:t>'''''''''''''</w:t>
            </w:r>
          </w:p>
        </w:tc>
      </w:tr>
      <w:tr w:rsidR="00272F90" w:rsidRPr="00B2149B" w:rsidTr="00097BED">
        <w:tc>
          <w:tcPr>
            <w:tcW w:w="1588" w:type="dxa"/>
            <w:vMerge w:val="restart"/>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Overall survival</w:t>
            </w:r>
          </w:p>
        </w:tc>
        <w:tc>
          <w:tcPr>
            <w:tcW w:w="3161"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 xml:space="preserve">LogLogistic for both curves </w:t>
            </w:r>
          </w:p>
        </w:tc>
        <w:tc>
          <w:tcPr>
            <w:tcW w:w="1498"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0.55</w:t>
            </w:r>
          </w:p>
        </w:tc>
        <w:tc>
          <w:tcPr>
            <w:tcW w:w="1421"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c>
          <w:tcPr>
            <w:tcW w:w="1588" w:type="dxa"/>
            <w:vMerge/>
            <w:vAlign w:val="center"/>
            <w:hideMark/>
          </w:tcPr>
          <w:p w:rsidR="00272F90" w:rsidRPr="00097BED" w:rsidRDefault="00272F90" w:rsidP="008404A4">
            <w:pPr>
              <w:pStyle w:val="Tabletext"/>
              <w:rPr>
                <w:szCs w:val="20"/>
              </w:rPr>
            </w:pPr>
          </w:p>
        </w:tc>
        <w:tc>
          <w:tcPr>
            <w:tcW w:w="3161"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Weibull for both curves</w:t>
            </w:r>
          </w:p>
        </w:tc>
        <w:tc>
          <w:tcPr>
            <w:tcW w:w="1498"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0.53</w:t>
            </w:r>
          </w:p>
        </w:tc>
        <w:tc>
          <w:tcPr>
            <w:tcW w:w="1421"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c>
          <w:tcPr>
            <w:tcW w:w="1588" w:type="dxa"/>
            <w:vMerge/>
            <w:vAlign w:val="center"/>
            <w:hideMark/>
          </w:tcPr>
          <w:p w:rsidR="00272F90" w:rsidRPr="00097BED" w:rsidRDefault="00272F90" w:rsidP="008404A4">
            <w:pPr>
              <w:pStyle w:val="Tabletext"/>
              <w:rPr>
                <w:szCs w:val="20"/>
              </w:rPr>
            </w:pPr>
          </w:p>
        </w:tc>
        <w:tc>
          <w:tcPr>
            <w:tcW w:w="3161"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Gompertz for both curves</w:t>
            </w:r>
          </w:p>
        </w:tc>
        <w:tc>
          <w:tcPr>
            <w:tcW w:w="1498"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0.41</w:t>
            </w:r>
          </w:p>
        </w:tc>
        <w:tc>
          <w:tcPr>
            <w:tcW w:w="1421"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rPr>
          <w:trHeight w:val="60"/>
        </w:trPr>
        <w:tc>
          <w:tcPr>
            <w:tcW w:w="1588" w:type="dxa"/>
            <w:vMerge/>
            <w:vAlign w:val="center"/>
            <w:hideMark/>
          </w:tcPr>
          <w:p w:rsidR="00272F90" w:rsidRPr="00097BED" w:rsidRDefault="00272F90" w:rsidP="008404A4">
            <w:pPr>
              <w:pStyle w:val="Tabletext"/>
              <w:rPr>
                <w:szCs w:val="20"/>
              </w:rPr>
            </w:pPr>
          </w:p>
        </w:tc>
        <w:tc>
          <w:tcPr>
            <w:tcW w:w="3161"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LogLogistic – Dependent</w:t>
            </w:r>
          </w:p>
        </w:tc>
        <w:tc>
          <w:tcPr>
            <w:tcW w:w="1498"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0.64</w:t>
            </w:r>
          </w:p>
        </w:tc>
        <w:tc>
          <w:tcPr>
            <w:tcW w:w="1421"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c>
          <w:tcPr>
            <w:tcW w:w="1588" w:type="dxa"/>
            <w:vMerge/>
            <w:vAlign w:val="center"/>
            <w:hideMark/>
          </w:tcPr>
          <w:p w:rsidR="00272F90" w:rsidRPr="00097BED" w:rsidRDefault="00272F90" w:rsidP="008404A4">
            <w:pPr>
              <w:pStyle w:val="Tabletext"/>
              <w:rPr>
                <w:szCs w:val="20"/>
              </w:rPr>
            </w:pPr>
          </w:p>
        </w:tc>
        <w:tc>
          <w:tcPr>
            <w:tcW w:w="3161"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Weibull – Dependent</w:t>
            </w:r>
          </w:p>
        </w:tc>
        <w:tc>
          <w:tcPr>
            <w:tcW w:w="1498"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0.69</w:t>
            </w:r>
          </w:p>
        </w:tc>
        <w:tc>
          <w:tcPr>
            <w:tcW w:w="1421"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c>
          <w:tcPr>
            <w:tcW w:w="1588" w:type="dxa"/>
            <w:vMerge/>
            <w:vAlign w:val="center"/>
            <w:hideMark/>
          </w:tcPr>
          <w:p w:rsidR="00272F90" w:rsidRPr="00097BED" w:rsidRDefault="00272F90" w:rsidP="008404A4">
            <w:pPr>
              <w:pStyle w:val="Tabletext"/>
              <w:rPr>
                <w:szCs w:val="20"/>
              </w:rPr>
            </w:pPr>
          </w:p>
        </w:tc>
        <w:tc>
          <w:tcPr>
            <w:tcW w:w="3161"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 xml:space="preserve">Gompertz </w:t>
            </w:r>
            <w:r w:rsidR="00620C16" w:rsidRPr="00097BED">
              <w:rPr>
                <w:szCs w:val="20"/>
              </w:rPr>
              <w:t>–</w:t>
            </w:r>
            <w:r w:rsidRPr="00097BED">
              <w:rPr>
                <w:szCs w:val="20"/>
              </w:rPr>
              <w:t xml:space="preserve"> Dependent</w:t>
            </w:r>
          </w:p>
        </w:tc>
        <w:tc>
          <w:tcPr>
            <w:tcW w:w="1498"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0.64</w:t>
            </w:r>
          </w:p>
        </w:tc>
        <w:tc>
          <w:tcPr>
            <w:tcW w:w="1421"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c>
          <w:tcPr>
            <w:tcW w:w="1588"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Progression-free survival</w:t>
            </w:r>
          </w:p>
        </w:tc>
        <w:tc>
          <w:tcPr>
            <w:tcW w:w="3161"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Exponential for both curves</w:t>
            </w:r>
          </w:p>
        </w:tc>
        <w:tc>
          <w:tcPr>
            <w:tcW w:w="1498"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0.78</w:t>
            </w:r>
          </w:p>
        </w:tc>
        <w:tc>
          <w:tcPr>
            <w:tcW w:w="1421"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c>
          <w:tcPr>
            <w:tcW w:w="1588" w:type="dxa"/>
            <w:vAlign w:val="center"/>
            <w:hideMark/>
          </w:tcPr>
          <w:p w:rsidR="00272F90" w:rsidRPr="00097BED" w:rsidRDefault="00272F90" w:rsidP="008404A4">
            <w:pPr>
              <w:pStyle w:val="Tabletext"/>
              <w:rPr>
                <w:szCs w:val="20"/>
              </w:rPr>
            </w:pPr>
          </w:p>
        </w:tc>
        <w:tc>
          <w:tcPr>
            <w:tcW w:w="3161" w:type="dxa"/>
            <w:tcMar>
              <w:top w:w="0" w:type="dxa"/>
              <w:left w:w="28" w:type="dxa"/>
              <w:bottom w:w="0" w:type="dxa"/>
              <w:right w:w="28" w:type="dxa"/>
            </w:tcMar>
            <w:hideMark/>
          </w:tcPr>
          <w:p w:rsidR="00272F90" w:rsidRPr="00097BED" w:rsidRDefault="00272F90" w:rsidP="008404A4">
            <w:pPr>
              <w:pStyle w:val="Tabletext"/>
              <w:rPr>
                <w:szCs w:val="20"/>
              </w:rPr>
            </w:pPr>
            <w:r w:rsidRPr="00097BED">
              <w:rPr>
                <w:szCs w:val="20"/>
              </w:rPr>
              <w:t xml:space="preserve">Exponential – Dependent </w:t>
            </w:r>
          </w:p>
        </w:tc>
        <w:tc>
          <w:tcPr>
            <w:tcW w:w="1498"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0.78</w:t>
            </w:r>
          </w:p>
        </w:tc>
        <w:tc>
          <w:tcPr>
            <w:tcW w:w="1421" w:type="dxa"/>
            <w:tcMar>
              <w:top w:w="0" w:type="dxa"/>
              <w:left w:w="28" w:type="dxa"/>
              <w:bottom w:w="0" w:type="dxa"/>
              <w:right w:w="28" w:type="dxa"/>
            </w:tcMar>
            <w:vAlign w:val="bottom"/>
            <w:hideMark/>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DC0FF9" w:rsidRPr="00B2149B" w:rsidTr="00097BED">
        <w:trPr>
          <w:trHeight w:val="60"/>
        </w:trPr>
        <w:tc>
          <w:tcPr>
            <w:tcW w:w="1588" w:type="dxa"/>
            <w:vMerge w:val="restart"/>
          </w:tcPr>
          <w:p w:rsidR="00DC0FF9" w:rsidRPr="00097BED" w:rsidRDefault="00DC0FF9" w:rsidP="008404A4">
            <w:pPr>
              <w:pStyle w:val="Tabletext"/>
              <w:rPr>
                <w:szCs w:val="20"/>
              </w:rPr>
            </w:pPr>
            <w:r w:rsidRPr="00097BED">
              <w:rPr>
                <w:szCs w:val="20"/>
              </w:rPr>
              <w:t>Time horizon</w:t>
            </w:r>
          </w:p>
        </w:tc>
        <w:tc>
          <w:tcPr>
            <w:tcW w:w="3161" w:type="dxa"/>
            <w:tcMar>
              <w:top w:w="0" w:type="dxa"/>
              <w:left w:w="28" w:type="dxa"/>
              <w:bottom w:w="0" w:type="dxa"/>
              <w:right w:w="28" w:type="dxa"/>
            </w:tcMar>
          </w:tcPr>
          <w:p w:rsidR="00DC0FF9" w:rsidRPr="0068618F" w:rsidRDefault="00DC0FF9" w:rsidP="008404A4">
            <w:pPr>
              <w:pStyle w:val="Tabletext"/>
              <w:rPr>
                <w:szCs w:val="20"/>
              </w:rPr>
            </w:pPr>
            <w:r w:rsidRPr="0068618F">
              <w:rPr>
                <w:szCs w:val="20"/>
              </w:rPr>
              <w:t>15 years</w:t>
            </w:r>
          </w:p>
        </w:tc>
        <w:tc>
          <w:tcPr>
            <w:tcW w:w="1498" w:type="dxa"/>
            <w:tcMar>
              <w:top w:w="0" w:type="dxa"/>
              <w:left w:w="28" w:type="dxa"/>
              <w:bottom w:w="0" w:type="dxa"/>
              <w:right w:w="28" w:type="dxa"/>
            </w:tcMar>
            <w:vAlign w:val="bottom"/>
          </w:tcPr>
          <w:p w:rsidR="00DC0FF9" w:rsidRPr="00097BED" w:rsidRDefault="00DC0FF9"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tcPr>
          <w:p w:rsidR="00DC0FF9" w:rsidRPr="00097BED" w:rsidRDefault="00DC0FF9" w:rsidP="008404A4">
            <w:pPr>
              <w:pStyle w:val="Tabletext"/>
              <w:jc w:val="center"/>
              <w:rPr>
                <w:szCs w:val="20"/>
              </w:rPr>
            </w:pPr>
            <w:r w:rsidRPr="00097BED">
              <w:rPr>
                <w:szCs w:val="20"/>
              </w:rPr>
              <w:t>1.05</w:t>
            </w:r>
          </w:p>
        </w:tc>
        <w:tc>
          <w:tcPr>
            <w:tcW w:w="1421" w:type="dxa"/>
            <w:tcMar>
              <w:top w:w="0" w:type="dxa"/>
              <w:left w:w="28" w:type="dxa"/>
              <w:bottom w:w="0" w:type="dxa"/>
              <w:right w:w="28" w:type="dxa"/>
            </w:tcMar>
            <w:vAlign w:val="bottom"/>
          </w:tcPr>
          <w:p w:rsidR="00DC0FF9" w:rsidRPr="00097BED" w:rsidRDefault="00DC0FF9" w:rsidP="008404A4">
            <w:pPr>
              <w:pStyle w:val="Tabletext"/>
              <w:jc w:val="center"/>
              <w:rPr>
                <w:szCs w:val="20"/>
              </w:rPr>
            </w:pPr>
            <w:r w:rsidRPr="00097BED">
              <w:rPr>
                <w:szCs w:val="20"/>
              </w:rPr>
              <w:t>$</w:t>
            </w:r>
            <w:r w:rsidR="00145C02">
              <w:rPr>
                <w:noProof/>
                <w:color w:val="000000"/>
                <w:szCs w:val="20"/>
                <w:highlight w:val="black"/>
              </w:rPr>
              <w:t>''''''''''''''''</w:t>
            </w:r>
          </w:p>
        </w:tc>
      </w:tr>
      <w:tr w:rsidR="00DC0FF9" w:rsidRPr="00B2149B" w:rsidTr="00097BED">
        <w:trPr>
          <w:trHeight w:val="60"/>
        </w:trPr>
        <w:tc>
          <w:tcPr>
            <w:tcW w:w="1588" w:type="dxa"/>
            <w:vMerge/>
          </w:tcPr>
          <w:p w:rsidR="00DC0FF9" w:rsidRPr="00097BED" w:rsidRDefault="00DC0FF9" w:rsidP="008404A4">
            <w:pPr>
              <w:pStyle w:val="Tabletext"/>
              <w:rPr>
                <w:szCs w:val="20"/>
              </w:rPr>
            </w:pPr>
          </w:p>
        </w:tc>
        <w:tc>
          <w:tcPr>
            <w:tcW w:w="3161" w:type="dxa"/>
            <w:tcMar>
              <w:top w:w="0" w:type="dxa"/>
              <w:left w:w="28" w:type="dxa"/>
              <w:bottom w:w="0" w:type="dxa"/>
              <w:right w:w="28" w:type="dxa"/>
            </w:tcMar>
          </w:tcPr>
          <w:p w:rsidR="00DC0FF9" w:rsidRPr="0068618F" w:rsidRDefault="00DC0FF9" w:rsidP="008404A4">
            <w:pPr>
              <w:pStyle w:val="Tabletext"/>
              <w:rPr>
                <w:szCs w:val="20"/>
              </w:rPr>
            </w:pPr>
            <w:r w:rsidRPr="0068618F">
              <w:rPr>
                <w:szCs w:val="20"/>
              </w:rPr>
              <w:t>20 years</w:t>
            </w:r>
          </w:p>
        </w:tc>
        <w:tc>
          <w:tcPr>
            <w:tcW w:w="1498" w:type="dxa"/>
            <w:tcMar>
              <w:top w:w="0" w:type="dxa"/>
              <w:left w:w="28" w:type="dxa"/>
              <w:bottom w:w="0" w:type="dxa"/>
              <w:right w:w="28" w:type="dxa"/>
            </w:tcMar>
            <w:vAlign w:val="bottom"/>
          </w:tcPr>
          <w:p w:rsidR="00DC0FF9" w:rsidRPr="00097BED" w:rsidRDefault="00DC0FF9"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tcPr>
          <w:p w:rsidR="00DC0FF9" w:rsidRPr="00097BED" w:rsidRDefault="00DC0FF9" w:rsidP="008404A4">
            <w:pPr>
              <w:pStyle w:val="Tabletext"/>
              <w:jc w:val="center"/>
              <w:rPr>
                <w:szCs w:val="20"/>
              </w:rPr>
            </w:pPr>
            <w:r w:rsidRPr="00097BED">
              <w:rPr>
                <w:szCs w:val="20"/>
              </w:rPr>
              <w:t>1.20</w:t>
            </w:r>
          </w:p>
        </w:tc>
        <w:tc>
          <w:tcPr>
            <w:tcW w:w="1421" w:type="dxa"/>
            <w:tcMar>
              <w:top w:w="0" w:type="dxa"/>
              <w:left w:w="28" w:type="dxa"/>
              <w:bottom w:w="0" w:type="dxa"/>
              <w:right w:w="28" w:type="dxa"/>
            </w:tcMar>
            <w:vAlign w:val="bottom"/>
          </w:tcPr>
          <w:p w:rsidR="00DC0FF9" w:rsidRPr="00097BED" w:rsidRDefault="00DC0FF9" w:rsidP="008404A4">
            <w:pPr>
              <w:pStyle w:val="Tabletext"/>
              <w:jc w:val="center"/>
              <w:rPr>
                <w:szCs w:val="20"/>
              </w:rPr>
            </w:pPr>
            <w:r w:rsidRPr="00097BED">
              <w:rPr>
                <w:szCs w:val="20"/>
              </w:rPr>
              <w:t>$</w:t>
            </w:r>
            <w:r w:rsidR="00145C02">
              <w:rPr>
                <w:noProof/>
                <w:color w:val="000000"/>
                <w:szCs w:val="20"/>
                <w:highlight w:val="black"/>
              </w:rPr>
              <w:t>'''''''''''''''</w:t>
            </w:r>
          </w:p>
        </w:tc>
      </w:tr>
      <w:tr w:rsidR="00DC0FF9" w:rsidRPr="00B2149B" w:rsidTr="00097BED">
        <w:trPr>
          <w:trHeight w:val="60"/>
        </w:trPr>
        <w:tc>
          <w:tcPr>
            <w:tcW w:w="1588" w:type="dxa"/>
            <w:vMerge/>
          </w:tcPr>
          <w:p w:rsidR="00DC0FF9" w:rsidRPr="00097BED" w:rsidRDefault="00DC0FF9" w:rsidP="008404A4">
            <w:pPr>
              <w:pStyle w:val="Tabletext"/>
              <w:rPr>
                <w:szCs w:val="20"/>
              </w:rPr>
            </w:pPr>
          </w:p>
        </w:tc>
        <w:tc>
          <w:tcPr>
            <w:tcW w:w="3161" w:type="dxa"/>
            <w:tcMar>
              <w:top w:w="0" w:type="dxa"/>
              <w:left w:w="28" w:type="dxa"/>
              <w:bottom w:w="0" w:type="dxa"/>
              <w:right w:w="28" w:type="dxa"/>
            </w:tcMar>
          </w:tcPr>
          <w:p w:rsidR="00DC0FF9" w:rsidRPr="0068618F" w:rsidRDefault="00DC0FF9" w:rsidP="008404A4">
            <w:pPr>
              <w:pStyle w:val="Tabletext"/>
              <w:rPr>
                <w:i/>
                <w:szCs w:val="20"/>
              </w:rPr>
            </w:pPr>
            <w:r w:rsidRPr="0068618F">
              <w:rPr>
                <w:i/>
                <w:szCs w:val="20"/>
              </w:rPr>
              <w:t>7.5 years</w:t>
            </w:r>
          </w:p>
        </w:tc>
        <w:tc>
          <w:tcPr>
            <w:tcW w:w="1498" w:type="dxa"/>
            <w:tcMar>
              <w:top w:w="0" w:type="dxa"/>
              <w:left w:w="28" w:type="dxa"/>
              <w:bottom w:w="0" w:type="dxa"/>
              <w:right w:w="28" w:type="dxa"/>
            </w:tcMar>
            <w:vAlign w:val="bottom"/>
          </w:tcPr>
          <w:p w:rsidR="00DC0FF9" w:rsidRPr="0068618F" w:rsidRDefault="00DC0FF9" w:rsidP="008404A4">
            <w:pPr>
              <w:pStyle w:val="Tabletext"/>
              <w:jc w:val="center"/>
              <w:rPr>
                <w:i/>
                <w:szCs w:val="20"/>
              </w:rPr>
            </w:pPr>
            <w:r w:rsidRPr="0068618F">
              <w:rPr>
                <w:i/>
                <w:szCs w:val="20"/>
              </w:rPr>
              <w:t>$</w:t>
            </w:r>
            <w:r w:rsidR="00145C02">
              <w:rPr>
                <w:i/>
                <w:noProof/>
                <w:color w:val="000000"/>
                <w:szCs w:val="20"/>
                <w:highlight w:val="black"/>
              </w:rPr>
              <w:t>''''''''''''''''</w:t>
            </w:r>
          </w:p>
        </w:tc>
        <w:tc>
          <w:tcPr>
            <w:tcW w:w="1432" w:type="dxa"/>
            <w:tcMar>
              <w:top w:w="0" w:type="dxa"/>
              <w:left w:w="28" w:type="dxa"/>
              <w:bottom w:w="0" w:type="dxa"/>
              <w:right w:w="28" w:type="dxa"/>
            </w:tcMar>
            <w:vAlign w:val="bottom"/>
          </w:tcPr>
          <w:p w:rsidR="00DC0FF9" w:rsidRPr="0068618F" w:rsidRDefault="00DC0FF9" w:rsidP="008404A4">
            <w:pPr>
              <w:pStyle w:val="Tabletext"/>
              <w:jc w:val="center"/>
              <w:rPr>
                <w:i/>
                <w:szCs w:val="20"/>
              </w:rPr>
            </w:pPr>
            <w:r w:rsidRPr="0068618F">
              <w:rPr>
                <w:i/>
                <w:szCs w:val="20"/>
              </w:rPr>
              <w:t>0.61</w:t>
            </w:r>
          </w:p>
        </w:tc>
        <w:tc>
          <w:tcPr>
            <w:tcW w:w="1421" w:type="dxa"/>
            <w:tcMar>
              <w:top w:w="0" w:type="dxa"/>
              <w:left w:w="28" w:type="dxa"/>
              <w:bottom w:w="0" w:type="dxa"/>
              <w:right w:w="28" w:type="dxa"/>
            </w:tcMar>
            <w:vAlign w:val="bottom"/>
          </w:tcPr>
          <w:p w:rsidR="00DC0FF9" w:rsidRPr="0068618F" w:rsidRDefault="00DC0FF9" w:rsidP="008404A4">
            <w:pPr>
              <w:pStyle w:val="Tabletext"/>
              <w:jc w:val="center"/>
              <w:rPr>
                <w:i/>
                <w:szCs w:val="20"/>
              </w:rPr>
            </w:pPr>
            <w:r w:rsidRPr="0068618F">
              <w:rPr>
                <w:i/>
                <w:szCs w:val="20"/>
              </w:rPr>
              <w:t>$</w:t>
            </w:r>
            <w:r w:rsidR="00145C02">
              <w:rPr>
                <w:i/>
                <w:noProof/>
                <w:color w:val="000000"/>
                <w:szCs w:val="20"/>
                <w:highlight w:val="black"/>
              </w:rPr>
              <w:t>'''''''''''''''''</w:t>
            </w:r>
          </w:p>
        </w:tc>
      </w:tr>
      <w:tr w:rsidR="00DC0FF9" w:rsidRPr="00B2149B" w:rsidTr="00097BED">
        <w:trPr>
          <w:trHeight w:val="60"/>
        </w:trPr>
        <w:tc>
          <w:tcPr>
            <w:tcW w:w="1588" w:type="dxa"/>
            <w:vMerge/>
          </w:tcPr>
          <w:p w:rsidR="00DC0FF9" w:rsidRPr="00097BED" w:rsidRDefault="00DC0FF9" w:rsidP="008404A4">
            <w:pPr>
              <w:pStyle w:val="Tabletext"/>
              <w:rPr>
                <w:szCs w:val="20"/>
              </w:rPr>
            </w:pPr>
          </w:p>
        </w:tc>
        <w:tc>
          <w:tcPr>
            <w:tcW w:w="3161" w:type="dxa"/>
            <w:tcMar>
              <w:top w:w="0" w:type="dxa"/>
              <w:left w:w="28" w:type="dxa"/>
              <w:bottom w:w="0" w:type="dxa"/>
              <w:right w:w="28" w:type="dxa"/>
            </w:tcMar>
          </w:tcPr>
          <w:p w:rsidR="00DC0FF9" w:rsidRPr="0068618F" w:rsidRDefault="00DC0FF9" w:rsidP="008404A4">
            <w:pPr>
              <w:pStyle w:val="Tabletext"/>
              <w:rPr>
                <w:i/>
                <w:szCs w:val="20"/>
              </w:rPr>
            </w:pPr>
            <w:r w:rsidRPr="0068618F">
              <w:rPr>
                <w:i/>
                <w:szCs w:val="20"/>
              </w:rPr>
              <w:t>5 years</w:t>
            </w:r>
          </w:p>
        </w:tc>
        <w:tc>
          <w:tcPr>
            <w:tcW w:w="1498" w:type="dxa"/>
            <w:tcMar>
              <w:top w:w="0" w:type="dxa"/>
              <w:left w:w="28" w:type="dxa"/>
              <w:bottom w:w="0" w:type="dxa"/>
              <w:right w:w="28" w:type="dxa"/>
            </w:tcMar>
            <w:vAlign w:val="bottom"/>
          </w:tcPr>
          <w:p w:rsidR="00DC0FF9" w:rsidRPr="0068618F" w:rsidRDefault="00DC0FF9" w:rsidP="008404A4">
            <w:pPr>
              <w:pStyle w:val="Tabletext"/>
              <w:jc w:val="center"/>
              <w:rPr>
                <w:i/>
                <w:szCs w:val="20"/>
              </w:rPr>
            </w:pPr>
            <w:r w:rsidRPr="0068618F">
              <w:rPr>
                <w:i/>
                <w:szCs w:val="20"/>
              </w:rPr>
              <w:t>$</w:t>
            </w:r>
            <w:r w:rsidR="00145C02">
              <w:rPr>
                <w:i/>
                <w:noProof/>
                <w:color w:val="000000"/>
                <w:szCs w:val="20"/>
                <w:highlight w:val="black"/>
              </w:rPr>
              <w:t>'''''''''''''''''</w:t>
            </w:r>
          </w:p>
        </w:tc>
        <w:tc>
          <w:tcPr>
            <w:tcW w:w="1432" w:type="dxa"/>
            <w:tcMar>
              <w:top w:w="0" w:type="dxa"/>
              <w:left w:w="28" w:type="dxa"/>
              <w:bottom w:w="0" w:type="dxa"/>
              <w:right w:w="28" w:type="dxa"/>
            </w:tcMar>
            <w:vAlign w:val="bottom"/>
          </w:tcPr>
          <w:p w:rsidR="00DC0FF9" w:rsidRPr="0068618F" w:rsidRDefault="00DC0FF9" w:rsidP="008404A4">
            <w:pPr>
              <w:pStyle w:val="Tabletext"/>
              <w:jc w:val="center"/>
              <w:rPr>
                <w:i/>
                <w:szCs w:val="20"/>
              </w:rPr>
            </w:pPr>
            <w:r w:rsidRPr="0068618F">
              <w:rPr>
                <w:i/>
                <w:szCs w:val="20"/>
              </w:rPr>
              <w:t>0.41</w:t>
            </w:r>
          </w:p>
        </w:tc>
        <w:tc>
          <w:tcPr>
            <w:tcW w:w="1421" w:type="dxa"/>
            <w:tcMar>
              <w:top w:w="0" w:type="dxa"/>
              <w:left w:w="28" w:type="dxa"/>
              <w:bottom w:w="0" w:type="dxa"/>
              <w:right w:w="28" w:type="dxa"/>
            </w:tcMar>
            <w:vAlign w:val="bottom"/>
          </w:tcPr>
          <w:p w:rsidR="00DC0FF9" w:rsidRPr="0068618F" w:rsidRDefault="00DC0FF9" w:rsidP="008404A4">
            <w:pPr>
              <w:pStyle w:val="Tabletext"/>
              <w:jc w:val="center"/>
              <w:rPr>
                <w:i/>
                <w:szCs w:val="20"/>
              </w:rPr>
            </w:pPr>
            <w:r w:rsidRPr="0068618F">
              <w:rPr>
                <w:i/>
                <w:szCs w:val="20"/>
              </w:rPr>
              <w:t>$</w:t>
            </w:r>
            <w:r w:rsidR="00145C02">
              <w:rPr>
                <w:i/>
                <w:noProof/>
                <w:color w:val="000000"/>
                <w:szCs w:val="20"/>
                <w:highlight w:val="black"/>
              </w:rPr>
              <w:t>'''''''''''''''''''</w:t>
            </w:r>
          </w:p>
        </w:tc>
      </w:tr>
      <w:tr w:rsidR="00272F90" w:rsidRPr="00B2149B" w:rsidTr="00097BED">
        <w:trPr>
          <w:trHeight w:val="60"/>
        </w:trPr>
        <w:tc>
          <w:tcPr>
            <w:tcW w:w="1588" w:type="dxa"/>
            <w:vMerge w:val="restart"/>
          </w:tcPr>
          <w:p w:rsidR="00272F90" w:rsidRPr="00097BED" w:rsidRDefault="00272F90" w:rsidP="008404A4">
            <w:pPr>
              <w:pStyle w:val="Tabletext"/>
              <w:rPr>
                <w:szCs w:val="20"/>
              </w:rPr>
            </w:pPr>
            <w:r w:rsidRPr="00097BED">
              <w:rPr>
                <w:szCs w:val="20"/>
              </w:rPr>
              <w:t>Utility values</w:t>
            </w:r>
          </w:p>
        </w:tc>
        <w:tc>
          <w:tcPr>
            <w:tcW w:w="3161" w:type="dxa"/>
            <w:tcMar>
              <w:top w:w="0" w:type="dxa"/>
              <w:left w:w="28" w:type="dxa"/>
              <w:bottom w:w="0" w:type="dxa"/>
              <w:right w:w="28" w:type="dxa"/>
            </w:tcMar>
          </w:tcPr>
          <w:p w:rsidR="00272F90" w:rsidRPr="00097BED" w:rsidRDefault="00272F90" w:rsidP="008404A4">
            <w:pPr>
              <w:pStyle w:val="Tabletext"/>
              <w:rPr>
                <w:szCs w:val="20"/>
              </w:rPr>
            </w:pPr>
            <w:r w:rsidRPr="00097BED">
              <w:rPr>
                <w:szCs w:val="20"/>
              </w:rPr>
              <w:t>Chouaid C et al., 2013</w:t>
            </w:r>
          </w:p>
        </w:tc>
        <w:tc>
          <w:tcPr>
            <w:tcW w:w="1498" w:type="dxa"/>
            <w:tcMar>
              <w:top w:w="0" w:type="dxa"/>
              <w:left w:w="28" w:type="dxa"/>
              <w:bottom w:w="0" w:type="dxa"/>
              <w:right w:w="28" w:type="dxa"/>
            </w:tcMar>
            <w:vAlign w:val="bottom"/>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tcPr>
          <w:p w:rsidR="00272F90" w:rsidRPr="00097BED" w:rsidRDefault="00272F90" w:rsidP="008404A4">
            <w:pPr>
              <w:pStyle w:val="Tabletext"/>
              <w:jc w:val="center"/>
              <w:rPr>
                <w:szCs w:val="20"/>
              </w:rPr>
            </w:pPr>
            <w:r w:rsidRPr="00097BED">
              <w:rPr>
                <w:szCs w:val="20"/>
              </w:rPr>
              <w:t>0.71</w:t>
            </w:r>
          </w:p>
        </w:tc>
        <w:tc>
          <w:tcPr>
            <w:tcW w:w="1421" w:type="dxa"/>
            <w:tcMar>
              <w:top w:w="0" w:type="dxa"/>
              <w:left w:w="28" w:type="dxa"/>
              <w:bottom w:w="0" w:type="dxa"/>
              <w:right w:w="28" w:type="dxa"/>
            </w:tcMar>
            <w:vAlign w:val="bottom"/>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rPr>
          <w:trHeight w:val="60"/>
        </w:trPr>
        <w:tc>
          <w:tcPr>
            <w:tcW w:w="1588" w:type="dxa"/>
            <w:vMerge/>
          </w:tcPr>
          <w:p w:rsidR="00272F90" w:rsidRPr="00097BED" w:rsidRDefault="00272F90" w:rsidP="008404A4">
            <w:pPr>
              <w:pStyle w:val="Tabletext"/>
              <w:rPr>
                <w:szCs w:val="20"/>
              </w:rPr>
            </w:pPr>
          </w:p>
        </w:tc>
        <w:tc>
          <w:tcPr>
            <w:tcW w:w="3161" w:type="dxa"/>
            <w:tcMar>
              <w:top w:w="0" w:type="dxa"/>
              <w:left w:w="28" w:type="dxa"/>
              <w:bottom w:w="0" w:type="dxa"/>
              <w:right w:w="28" w:type="dxa"/>
            </w:tcMar>
          </w:tcPr>
          <w:p w:rsidR="00272F90" w:rsidRPr="00097BED" w:rsidRDefault="00272F90" w:rsidP="008404A4">
            <w:pPr>
              <w:pStyle w:val="Tabletext"/>
              <w:rPr>
                <w:szCs w:val="20"/>
              </w:rPr>
            </w:pPr>
            <w:r w:rsidRPr="00097BED">
              <w:rPr>
                <w:szCs w:val="20"/>
              </w:rPr>
              <w:t>Khan I et al., 2015</w:t>
            </w:r>
          </w:p>
        </w:tc>
        <w:tc>
          <w:tcPr>
            <w:tcW w:w="1498" w:type="dxa"/>
            <w:tcMar>
              <w:top w:w="0" w:type="dxa"/>
              <w:left w:w="28" w:type="dxa"/>
              <w:bottom w:w="0" w:type="dxa"/>
              <w:right w:w="28" w:type="dxa"/>
            </w:tcMar>
            <w:vAlign w:val="bottom"/>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c>
          <w:tcPr>
            <w:tcW w:w="1432" w:type="dxa"/>
            <w:tcMar>
              <w:top w:w="0" w:type="dxa"/>
              <w:left w:w="28" w:type="dxa"/>
              <w:bottom w:w="0" w:type="dxa"/>
              <w:right w:w="28" w:type="dxa"/>
            </w:tcMar>
            <w:vAlign w:val="bottom"/>
          </w:tcPr>
          <w:p w:rsidR="00272F90" w:rsidRPr="00097BED" w:rsidRDefault="00272F90" w:rsidP="008404A4">
            <w:pPr>
              <w:pStyle w:val="Tabletext"/>
              <w:jc w:val="center"/>
              <w:rPr>
                <w:szCs w:val="20"/>
              </w:rPr>
            </w:pPr>
            <w:r w:rsidRPr="00097BED">
              <w:rPr>
                <w:szCs w:val="20"/>
              </w:rPr>
              <w:t>0.69</w:t>
            </w:r>
          </w:p>
        </w:tc>
        <w:tc>
          <w:tcPr>
            <w:tcW w:w="1421" w:type="dxa"/>
            <w:tcMar>
              <w:top w:w="0" w:type="dxa"/>
              <w:left w:w="28" w:type="dxa"/>
              <w:bottom w:w="0" w:type="dxa"/>
              <w:right w:w="28" w:type="dxa"/>
            </w:tcMar>
            <w:vAlign w:val="bottom"/>
          </w:tcPr>
          <w:p w:rsidR="00272F90" w:rsidRPr="00097BED" w:rsidRDefault="00272F90" w:rsidP="008404A4">
            <w:pPr>
              <w:pStyle w:val="Tabletext"/>
              <w:jc w:val="center"/>
              <w:rPr>
                <w:szCs w:val="20"/>
              </w:rPr>
            </w:pPr>
            <w:r w:rsidRPr="00097BED">
              <w:rPr>
                <w:szCs w:val="20"/>
              </w:rPr>
              <w:t>$</w:t>
            </w:r>
            <w:r w:rsidR="00145C02">
              <w:rPr>
                <w:noProof/>
                <w:color w:val="000000"/>
                <w:szCs w:val="20"/>
                <w:highlight w:val="black"/>
              </w:rPr>
              <w:t>'''''''''''''''''</w:t>
            </w:r>
          </w:p>
        </w:tc>
      </w:tr>
      <w:tr w:rsidR="00272F90" w:rsidRPr="00B2149B" w:rsidTr="00097BED">
        <w:trPr>
          <w:trHeight w:val="60"/>
        </w:trPr>
        <w:tc>
          <w:tcPr>
            <w:tcW w:w="1588" w:type="dxa"/>
          </w:tcPr>
          <w:p w:rsidR="00272F90" w:rsidRPr="00097BED" w:rsidRDefault="00272F90" w:rsidP="008404A4">
            <w:pPr>
              <w:pStyle w:val="Tabletext"/>
              <w:rPr>
                <w:szCs w:val="20"/>
              </w:rPr>
            </w:pPr>
            <w:r w:rsidRPr="00097BED">
              <w:rPr>
                <w:szCs w:val="20"/>
              </w:rPr>
              <w:t>Treatment duration</w:t>
            </w:r>
          </w:p>
        </w:tc>
        <w:tc>
          <w:tcPr>
            <w:tcW w:w="3161" w:type="dxa"/>
            <w:tcMar>
              <w:top w:w="0" w:type="dxa"/>
              <w:left w:w="28" w:type="dxa"/>
              <w:bottom w:w="0" w:type="dxa"/>
              <w:right w:w="28" w:type="dxa"/>
            </w:tcMar>
          </w:tcPr>
          <w:p w:rsidR="00272F90" w:rsidRPr="0068618F" w:rsidRDefault="00272F90" w:rsidP="008404A4">
            <w:pPr>
              <w:pStyle w:val="Tabletext"/>
              <w:rPr>
                <w:i/>
                <w:szCs w:val="20"/>
              </w:rPr>
            </w:pPr>
            <w:r w:rsidRPr="0068618F">
              <w:rPr>
                <w:i/>
                <w:szCs w:val="20"/>
              </w:rPr>
              <w:t xml:space="preserve">Using progression-free status as proxy for time on treatment </w:t>
            </w:r>
          </w:p>
        </w:tc>
        <w:tc>
          <w:tcPr>
            <w:tcW w:w="1498" w:type="dxa"/>
            <w:tcMar>
              <w:top w:w="0" w:type="dxa"/>
              <w:left w:w="28" w:type="dxa"/>
              <w:bottom w:w="0" w:type="dxa"/>
              <w:right w:w="28" w:type="dxa"/>
            </w:tcMar>
            <w:vAlign w:val="center"/>
          </w:tcPr>
          <w:p w:rsidR="00272F90" w:rsidRPr="0068618F" w:rsidRDefault="00272F90" w:rsidP="008404A4">
            <w:pPr>
              <w:pStyle w:val="Tabletext"/>
              <w:jc w:val="center"/>
              <w:rPr>
                <w:i/>
                <w:szCs w:val="20"/>
              </w:rPr>
            </w:pPr>
            <w:r w:rsidRPr="0068618F">
              <w:rPr>
                <w:i/>
                <w:szCs w:val="20"/>
              </w:rPr>
              <w:t>$</w:t>
            </w:r>
            <w:r w:rsidR="00145C02">
              <w:rPr>
                <w:i/>
                <w:noProof/>
                <w:color w:val="000000"/>
                <w:szCs w:val="20"/>
                <w:highlight w:val="black"/>
              </w:rPr>
              <w:t>'''''''''''''''''''''</w:t>
            </w:r>
          </w:p>
        </w:tc>
        <w:tc>
          <w:tcPr>
            <w:tcW w:w="1432" w:type="dxa"/>
            <w:tcMar>
              <w:top w:w="0" w:type="dxa"/>
              <w:left w:w="28" w:type="dxa"/>
              <w:bottom w:w="0" w:type="dxa"/>
              <w:right w:w="28" w:type="dxa"/>
            </w:tcMar>
            <w:vAlign w:val="center"/>
          </w:tcPr>
          <w:p w:rsidR="00272F90" w:rsidRPr="0068618F" w:rsidRDefault="00272F90" w:rsidP="008404A4">
            <w:pPr>
              <w:pStyle w:val="Tabletext"/>
              <w:jc w:val="center"/>
              <w:rPr>
                <w:i/>
                <w:szCs w:val="20"/>
              </w:rPr>
            </w:pPr>
            <w:r w:rsidRPr="0068618F">
              <w:rPr>
                <w:i/>
                <w:szCs w:val="20"/>
              </w:rPr>
              <w:t>0.79</w:t>
            </w:r>
          </w:p>
        </w:tc>
        <w:tc>
          <w:tcPr>
            <w:tcW w:w="1421" w:type="dxa"/>
            <w:tcMar>
              <w:top w:w="0" w:type="dxa"/>
              <w:left w:w="28" w:type="dxa"/>
              <w:bottom w:w="0" w:type="dxa"/>
              <w:right w:w="28" w:type="dxa"/>
            </w:tcMar>
            <w:vAlign w:val="center"/>
          </w:tcPr>
          <w:p w:rsidR="00272F90" w:rsidRPr="0068618F" w:rsidRDefault="00272F90" w:rsidP="008404A4">
            <w:pPr>
              <w:pStyle w:val="Tabletext"/>
              <w:jc w:val="center"/>
              <w:rPr>
                <w:i/>
                <w:szCs w:val="20"/>
              </w:rPr>
            </w:pPr>
            <w:r w:rsidRPr="0068618F">
              <w:rPr>
                <w:i/>
                <w:szCs w:val="20"/>
              </w:rPr>
              <w:t>$</w:t>
            </w:r>
            <w:r w:rsidR="00145C02">
              <w:rPr>
                <w:i/>
                <w:noProof/>
                <w:color w:val="000000"/>
                <w:szCs w:val="20"/>
                <w:highlight w:val="black"/>
              </w:rPr>
              <w:t>'''''''''''''''''''</w:t>
            </w:r>
          </w:p>
        </w:tc>
      </w:tr>
      <w:tr w:rsidR="00272F90" w:rsidRPr="00B2149B" w:rsidTr="00097BED">
        <w:trPr>
          <w:trHeight w:val="60"/>
        </w:trPr>
        <w:tc>
          <w:tcPr>
            <w:tcW w:w="1588" w:type="dxa"/>
          </w:tcPr>
          <w:p w:rsidR="00272F90" w:rsidRPr="00097BED" w:rsidRDefault="00272F90" w:rsidP="008404A4">
            <w:pPr>
              <w:pStyle w:val="Tabletext"/>
              <w:rPr>
                <w:szCs w:val="20"/>
              </w:rPr>
            </w:pPr>
            <w:r w:rsidRPr="00097BED">
              <w:rPr>
                <w:szCs w:val="20"/>
              </w:rPr>
              <w:t>Subsequent therapy</w:t>
            </w:r>
          </w:p>
        </w:tc>
        <w:tc>
          <w:tcPr>
            <w:tcW w:w="3161" w:type="dxa"/>
            <w:tcMar>
              <w:top w:w="0" w:type="dxa"/>
              <w:left w:w="28" w:type="dxa"/>
              <w:bottom w:w="0" w:type="dxa"/>
              <w:right w:w="28" w:type="dxa"/>
            </w:tcMar>
          </w:tcPr>
          <w:p w:rsidR="00272F90" w:rsidRPr="0068618F" w:rsidRDefault="00272F90" w:rsidP="008404A4">
            <w:pPr>
              <w:pStyle w:val="Tabletext"/>
              <w:rPr>
                <w:i/>
                <w:szCs w:val="20"/>
              </w:rPr>
            </w:pPr>
            <w:r w:rsidRPr="0068618F">
              <w:rPr>
                <w:i/>
                <w:szCs w:val="20"/>
              </w:rPr>
              <w:t xml:space="preserve">Set nivolumab use to 0% in the </w:t>
            </w:r>
            <w:r w:rsidR="001F33D9" w:rsidRPr="0068618F">
              <w:rPr>
                <w:i/>
                <w:szCs w:val="20"/>
              </w:rPr>
              <w:t>durvalumab</w:t>
            </w:r>
            <w:r w:rsidRPr="0068618F">
              <w:rPr>
                <w:i/>
                <w:szCs w:val="20"/>
              </w:rPr>
              <w:t xml:space="preserve"> arm</w:t>
            </w:r>
          </w:p>
        </w:tc>
        <w:tc>
          <w:tcPr>
            <w:tcW w:w="1498" w:type="dxa"/>
            <w:tcMar>
              <w:top w:w="0" w:type="dxa"/>
              <w:left w:w="28" w:type="dxa"/>
              <w:bottom w:w="0" w:type="dxa"/>
              <w:right w:w="28" w:type="dxa"/>
            </w:tcMar>
            <w:vAlign w:val="center"/>
          </w:tcPr>
          <w:p w:rsidR="00272F90" w:rsidRPr="0068618F" w:rsidRDefault="00272F90" w:rsidP="008404A4">
            <w:pPr>
              <w:pStyle w:val="Tabletext"/>
              <w:jc w:val="center"/>
              <w:rPr>
                <w:i/>
                <w:szCs w:val="20"/>
              </w:rPr>
            </w:pPr>
            <w:r w:rsidRPr="0068618F">
              <w:rPr>
                <w:i/>
                <w:szCs w:val="20"/>
              </w:rPr>
              <w:t>$</w:t>
            </w:r>
            <w:r w:rsidR="00145C02">
              <w:rPr>
                <w:i/>
                <w:noProof/>
                <w:color w:val="000000"/>
                <w:szCs w:val="20"/>
                <w:highlight w:val="black"/>
              </w:rPr>
              <w:t>''''''''''''''''</w:t>
            </w:r>
          </w:p>
        </w:tc>
        <w:tc>
          <w:tcPr>
            <w:tcW w:w="1432" w:type="dxa"/>
            <w:tcMar>
              <w:top w:w="0" w:type="dxa"/>
              <w:left w:w="28" w:type="dxa"/>
              <w:bottom w:w="0" w:type="dxa"/>
              <w:right w:w="28" w:type="dxa"/>
            </w:tcMar>
            <w:vAlign w:val="center"/>
          </w:tcPr>
          <w:p w:rsidR="00272F90" w:rsidRPr="0068618F" w:rsidRDefault="00272F90" w:rsidP="008404A4">
            <w:pPr>
              <w:pStyle w:val="Tabletext"/>
              <w:jc w:val="center"/>
              <w:rPr>
                <w:i/>
                <w:szCs w:val="20"/>
              </w:rPr>
            </w:pPr>
            <w:r w:rsidRPr="0068618F">
              <w:rPr>
                <w:i/>
                <w:szCs w:val="20"/>
              </w:rPr>
              <w:t>0.79</w:t>
            </w:r>
          </w:p>
        </w:tc>
        <w:tc>
          <w:tcPr>
            <w:tcW w:w="1421" w:type="dxa"/>
            <w:tcMar>
              <w:top w:w="0" w:type="dxa"/>
              <w:left w:w="28" w:type="dxa"/>
              <w:bottom w:w="0" w:type="dxa"/>
              <w:right w:w="28" w:type="dxa"/>
            </w:tcMar>
            <w:vAlign w:val="center"/>
          </w:tcPr>
          <w:p w:rsidR="00272F90" w:rsidRPr="0068618F" w:rsidRDefault="00272F90" w:rsidP="008404A4">
            <w:pPr>
              <w:pStyle w:val="Tabletext"/>
              <w:jc w:val="center"/>
              <w:rPr>
                <w:i/>
                <w:szCs w:val="20"/>
              </w:rPr>
            </w:pPr>
            <w:r w:rsidRPr="0068618F">
              <w:rPr>
                <w:i/>
                <w:szCs w:val="20"/>
              </w:rPr>
              <w:t>$</w:t>
            </w:r>
            <w:r w:rsidR="00145C02">
              <w:rPr>
                <w:i/>
                <w:noProof/>
                <w:color w:val="000000"/>
                <w:szCs w:val="20"/>
                <w:highlight w:val="black"/>
              </w:rPr>
              <w:t>''''''''''''''''''</w:t>
            </w:r>
          </w:p>
        </w:tc>
      </w:tr>
      <w:tr w:rsidR="00272F90" w:rsidRPr="00B2149B" w:rsidTr="00097BED">
        <w:tc>
          <w:tcPr>
            <w:tcW w:w="1588" w:type="dxa"/>
            <w:vMerge w:val="restart"/>
            <w:tcMar>
              <w:top w:w="0" w:type="dxa"/>
              <w:left w:w="28" w:type="dxa"/>
              <w:bottom w:w="0" w:type="dxa"/>
              <w:right w:w="28" w:type="dxa"/>
            </w:tcMar>
            <w:hideMark/>
          </w:tcPr>
          <w:p w:rsidR="00272F90" w:rsidRPr="00097BED" w:rsidRDefault="00272F90" w:rsidP="008404A4">
            <w:pPr>
              <w:pStyle w:val="Tabletext"/>
              <w:rPr>
                <w:iCs/>
                <w:szCs w:val="20"/>
              </w:rPr>
            </w:pPr>
            <w:r w:rsidRPr="00097BED">
              <w:rPr>
                <w:iCs/>
                <w:szCs w:val="20"/>
              </w:rPr>
              <w:t>Multivariate</w:t>
            </w:r>
          </w:p>
        </w:tc>
        <w:tc>
          <w:tcPr>
            <w:tcW w:w="3161" w:type="dxa"/>
            <w:tcMar>
              <w:top w:w="0" w:type="dxa"/>
              <w:left w:w="28" w:type="dxa"/>
              <w:bottom w:w="0" w:type="dxa"/>
              <w:right w:w="28" w:type="dxa"/>
            </w:tcMar>
            <w:hideMark/>
          </w:tcPr>
          <w:p w:rsidR="00272F90" w:rsidRPr="00097BED" w:rsidRDefault="00272F90" w:rsidP="008404A4">
            <w:pPr>
              <w:pStyle w:val="Tabletext"/>
              <w:rPr>
                <w:iCs/>
                <w:szCs w:val="20"/>
              </w:rPr>
            </w:pPr>
            <w:r w:rsidRPr="00097BED">
              <w:rPr>
                <w:iCs/>
                <w:szCs w:val="20"/>
              </w:rPr>
              <w:t>LogLogistic for OS, exponential for PFS, Chouaid 2013 utilities</w:t>
            </w:r>
          </w:p>
        </w:tc>
        <w:tc>
          <w:tcPr>
            <w:tcW w:w="1498"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w:t>
            </w:r>
            <w:r w:rsidR="00145C02">
              <w:rPr>
                <w:iCs/>
                <w:noProof/>
                <w:color w:val="000000"/>
                <w:szCs w:val="20"/>
                <w:highlight w:val="black"/>
              </w:rPr>
              <w:t>'''''''''''''''</w:t>
            </w:r>
          </w:p>
        </w:tc>
        <w:tc>
          <w:tcPr>
            <w:tcW w:w="1432"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0.49</w:t>
            </w:r>
          </w:p>
        </w:tc>
        <w:tc>
          <w:tcPr>
            <w:tcW w:w="1421"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w:t>
            </w:r>
            <w:r w:rsidR="00145C02">
              <w:rPr>
                <w:iCs/>
                <w:noProof/>
                <w:color w:val="000000"/>
                <w:szCs w:val="20"/>
                <w:highlight w:val="black"/>
              </w:rPr>
              <w:t>'''''''''''''''''''''</w:t>
            </w:r>
          </w:p>
        </w:tc>
      </w:tr>
      <w:tr w:rsidR="00272F90" w:rsidRPr="00B2149B" w:rsidTr="00097BED">
        <w:tc>
          <w:tcPr>
            <w:tcW w:w="1588" w:type="dxa"/>
            <w:vMerge/>
            <w:vAlign w:val="center"/>
            <w:hideMark/>
          </w:tcPr>
          <w:p w:rsidR="00272F90" w:rsidRPr="00097BED" w:rsidRDefault="00272F90" w:rsidP="008404A4">
            <w:pPr>
              <w:pStyle w:val="Tabletext"/>
              <w:rPr>
                <w:iCs/>
                <w:szCs w:val="20"/>
              </w:rPr>
            </w:pPr>
          </w:p>
        </w:tc>
        <w:tc>
          <w:tcPr>
            <w:tcW w:w="3161" w:type="dxa"/>
            <w:tcMar>
              <w:top w:w="0" w:type="dxa"/>
              <w:left w:w="28" w:type="dxa"/>
              <w:bottom w:w="0" w:type="dxa"/>
              <w:right w:w="28" w:type="dxa"/>
            </w:tcMar>
            <w:hideMark/>
          </w:tcPr>
          <w:p w:rsidR="00272F90" w:rsidRPr="00097BED" w:rsidRDefault="00272F90" w:rsidP="008404A4">
            <w:pPr>
              <w:pStyle w:val="Tabletext"/>
              <w:rPr>
                <w:iCs/>
                <w:szCs w:val="20"/>
              </w:rPr>
            </w:pPr>
            <w:r w:rsidRPr="00097BED">
              <w:rPr>
                <w:iCs/>
                <w:szCs w:val="20"/>
              </w:rPr>
              <w:t>Weibull for OS, exponential for PFS, Chouaid 2013 utilities</w:t>
            </w:r>
          </w:p>
        </w:tc>
        <w:tc>
          <w:tcPr>
            <w:tcW w:w="1498"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w:t>
            </w:r>
            <w:r w:rsidR="00145C02">
              <w:rPr>
                <w:iCs/>
                <w:noProof/>
                <w:color w:val="000000"/>
                <w:szCs w:val="20"/>
                <w:highlight w:val="black"/>
              </w:rPr>
              <w:t>''''''''''''''''</w:t>
            </w:r>
          </w:p>
        </w:tc>
        <w:tc>
          <w:tcPr>
            <w:tcW w:w="1432"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0.48</w:t>
            </w:r>
          </w:p>
        </w:tc>
        <w:tc>
          <w:tcPr>
            <w:tcW w:w="1421"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w:t>
            </w:r>
            <w:r w:rsidR="00145C02">
              <w:rPr>
                <w:iCs/>
                <w:noProof/>
                <w:color w:val="000000"/>
                <w:szCs w:val="20"/>
                <w:highlight w:val="black"/>
              </w:rPr>
              <w:t>''''''''''''''''''</w:t>
            </w:r>
          </w:p>
        </w:tc>
      </w:tr>
      <w:tr w:rsidR="00272F90" w:rsidRPr="00B2149B" w:rsidTr="00097BED">
        <w:tc>
          <w:tcPr>
            <w:tcW w:w="1588" w:type="dxa"/>
            <w:vMerge/>
            <w:vAlign w:val="center"/>
            <w:hideMark/>
          </w:tcPr>
          <w:p w:rsidR="00272F90" w:rsidRPr="00097BED" w:rsidRDefault="00272F90" w:rsidP="008404A4">
            <w:pPr>
              <w:pStyle w:val="Tabletext"/>
              <w:rPr>
                <w:iCs/>
                <w:szCs w:val="20"/>
              </w:rPr>
            </w:pPr>
          </w:p>
        </w:tc>
        <w:tc>
          <w:tcPr>
            <w:tcW w:w="3161" w:type="dxa"/>
            <w:tcMar>
              <w:top w:w="0" w:type="dxa"/>
              <w:left w:w="28" w:type="dxa"/>
              <w:bottom w:w="0" w:type="dxa"/>
              <w:right w:w="28" w:type="dxa"/>
            </w:tcMar>
            <w:hideMark/>
          </w:tcPr>
          <w:p w:rsidR="00272F90" w:rsidRPr="00097BED" w:rsidRDefault="00272F90" w:rsidP="008404A4">
            <w:pPr>
              <w:pStyle w:val="Tabletext"/>
              <w:rPr>
                <w:iCs/>
                <w:szCs w:val="20"/>
              </w:rPr>
            </w:pPr>
            <w:r w:rsidRPr="00097BED">
              <w:rPr>
                <w:iCs/>
                <w:szCs w:val="20"/>
              </w:rPr>
              <w:t>Gompertz for OS, exponential for PFS, Chouaid 2013 utilities</w:t>
            </w:r>
          </w:p>
        </w:tc>
        <w:tc>
          <w:tcPr>
            <w:tcW w:w="1498"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w:t>
            </w:r>
            <w:r w:rsidR="00145C02">
              <w:rPr>
                <w:iCs/>
                <w:noProof/>
                <w:color w:val="000000"/>
                <w:szCs w:val="20"/>
                <w:highlight w:val="black"/>
              </w:rPr>
              <w:t>''''''''''''''''</w:t>
            </w:r>
          </w:p>
        </w:tc>
        <w:tc>
          <w:tcPr>
            <w:tcW w:w="1432"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0.37</w:t>
            </w:r>
          </w:p>
        </w:tc>
        <w:tc>
          <w:tcPr>
            <w:tcW w:w="1421" w:type="dxa"/>
            <w:tcMar>
              <w:top w:w="0" w:type="dxa"/>
              <w:left w:w="28" w:type="dxa"/>
              <w:bottom w:w="0" w:type="dxa"/>
              <w:right w:w="28" w:type="dxa"/>
            </w:tcMar>
            <w:vAlign w:val="center"/>
            <w:hideMark/>
          </w:tcPr>
          <w:p w:rsidR="00272F90" w:rsidRPr="00097BED" w:rsidRDefault="00272F90" w:rsidP="008404A4">
            <w:pPr>
              <w:pStyle w:val="Tabletext"/>
              <w:jc w:val="center"/>
              <w:rPr>
                <w:iCs/>
                <w:szCs w:val="20"/>
              </w:rPr>
            </w:pPr>
            <w:r w:rsidRPr="00097BED">
              <w:rPr>
                <w:iCs/>
                <w:szCs w:val="20"/>
              </w:rPr>
              <w:t>$</w:t>
            </w:r>
            <w:r w:rsidR="00145C02">
              <w:rPr>
                <w:iCs/>
                <w:noProof/>
                <w:color w:val="000000"/>
                <w:szCs w:val="20"/>
                <w:highlight w:val="black"/>
              </w:rPr>
              <w:t>'''''''''''''''''</w:t>
            </w:r>
          </w:p>
        </w:tc>
      </w:tr>
    </w:tbl>
    <w:p w:rsidR="00743CDF" w:rsidRDefault="00743CDF" w:rsidP="008404A4">
      <w:pPr>
        <w:pStyle w:val="TableFooter"/>
        <w:widowControl/>
      </w:pPr>
      <w:r>
        <w:t>Source: Table 3.9.1, pp137-139 of the submission. ICER = incremental cost-effectiveness ratio;</w:t>
      </w:r>
      <w:r w:rsidR="00F3481D">
        <w:t xml:space="preserve"> </w:t>
      </w:r>
      <w:r>
        <w:t xml:space="preserve">QALY = Quality Adjusted life year; </w:t>
      </w:r>
    </w:p>
    <w:p w:rsidR="00743CDF" w:rsidRDefault="00743CDF" w:rsidP="008404A4">
      <w:pPr>
        <w:pStyle w:val="TableFooter"/>
        <w:widowControl/>
        <w:rPr>
          <w:i/>
        </w:rPr>
      </w:pPr>
      <w:r>
        <w:t xml:space="preserve">Note: sensitivity analyses conducted during the evaluation are </w:t>
      </w:r>
      <w:r>
        <w:rPr>
          <w:i/>
        </w:rPr>
        <w:t>italicized.</w:t>
      </w:r>
    </w:p>
    <w:p w:rsidR="00E340AD" w:rsidRPr="00FB4B94" w:rsidRDefault="00E340AD" w:rsidP="008404A4">
      <w:pPr>
        <w:widowControl/>
        <w:spacing w:before="120" w:after="120"/>
        <w:rPr>
          <w:i/>
        </w:rPr>
      </w:pPr>
      <w:r w:rsidRPr="00FB4B94">
        <w:rPr>
          <w:i/>
        </w:rPr>
        <w:t>The redacted table shows ICERs in the range of $45,000/QALY - $75,000/QALY and $105,000/QALY - $200,000/QALY.</w:t>
      </w:r>
    </w:p>
    <w:p w:rsidR="00E340AD" w:rsidRDefault="00E340AD" w:rsidP="008404A4">
      <w:pPr>
        <w:pStyle w:val="TableFooter"/>
        <w:widowControl/>
        <w:rPr>
          <w:i/>
        </w:rPr>
      </w:pPr>
    </w:p>
    <w:p w:rsidR="00097BED" w:rsidRDefault="003D591E" w:rsidP="008404A4">
      <w:pPr>
        <w:pStyle w:val="ListParagraph"/>
        <w:widowControl/>
        <w:numPr>
          <w:ilvl w:val="1"/>
          <w:numId w:val="2"/>
        </w:numPr>
        <w:rPr>
          <w:szCs w:val="20"/>
        </w:rPr>
      </w:pPr>
      <w:r w:rsidRPr="00883ABE">
        <w:t xml:space="preserve">Sensitivity analyses in which the overall survival data for the durvalumab and placebo arms were fitted independently had a marked impact on the ICER, with estimates ranging from </w:t>
      </w:r>
      <w:r w:rsidR="00790DAB">
        <w:t xml:space="preserve">$105,000/QALY - $200,000/QALY </w:t>
      </w:r>
      <w:r w:rsidRPr="00883ABE">
        <w:t xml:space="preserve">for independently fitted log-logistic curves to $150,492/QALY for independently fitted Gompertz curves. </w:t>
      </w:r>
      <w:r w:rsidR="000E0075" w:rsidRPr="00883ABE">
        <w:t xml:space="preserve">When combined with </w:t>
      </w:r>
      <w:r w:rsidR="004F5C5A" w:rsidRPr="00883ABE">
        <w:t xml:space="preserve">using an exponential function fitted to PFS curves and alternative utility values sourced from </w:t>
      </w:r>
      <w:r w:rsidR="004F5C5A" w:rsidRPr="00883ABE">
        <w:rPr>
          <w:szCs w:val="20"/>
        </w:rPr>
        <w:t>Chouaid C et al., 2013, the ICERs range</w:t>
      </w:r>
      <w:r w:rsidR="00DC0FF9" w:rsidRPr="00883ABE">
        <w:rPr>
          <w:szCs w:val="20"/>
        </w:rPr>
        <w:t>d</w:t>
      </w:r>
      <w:r w:rsidR="004F5C5A" w:rsidRPr="00883ABE">
        <w:rPr>
          <w:szCs w:val="20"/>
        </w:rPr>
        <w:t xml:space="preserve"> from</w:t>
      </w:r>
      <w:r w:rsidR="00CF766D">
        <w:rPr>
          <w:szCs w:val="20"/>
        </w:rPr>
        <w:t xml:space="preserve"> </w:t>
      </w:r>
      <w:r w:rsidR="004B356D">
        <w:rPr>
          <w:szCs w:val="20"/>
        </w:rPr>
        <w:t>$105,000/QALY - $200,000/QALY</w:t>
      </w:r>
      <w:r w:rsidR="004F5C5A" w:rsidRPr="00883ABE">
        <w:rPr>
          <w:szCs w:val="20"/>
        </w:rPr>
        <w:t>.</w:t>
      </w:r>
    </w:p>
    <w:p w:rsidR="00097BED" w:rsidRPr="00883ABE" w:rsidRDefault="00097BED" w:rsidP="008404A4">
      <w:pPr>
        <w:pStyle w:val="ListParagraph"/>
        <w:widowControl/>
        <w:numPr>
          <w:ilvl w:val="1"/>
          <w:numId w:val="2"/>
        </w:numPr>
      </w:pPr>
      <w:r w:rsidRPr="00217679">
        <w:t>The PBAC considered that there was a high degree of uncertainty associated with all of the extrapolations presented in the submission, due to the limited follow up duration in the trial, concern that the use of subsequent therapies in the trial may not match Australian clinical practice and the observation that patients diagnosed in Australia may be, on average, older than the population enrolled into the PACIFIC trial (and would therefore be exposed to a higher rate of background mortality). The PBAC noted that the ICER is highly sensitive to the selection of parametric function. The PBAC noted that using Gompertz extrapolations resulted in a crossing of the extrapolated curves at approximately 7.5 years, and considered the analysis to be overly conservative.</w:t>
      </w:r>
    </w:p>
    <w:p w:rsidR="00020D40" w:rsidRPr="000D5323" w:rsidRDefault="00020D40" w:rsidP="008404A4">
      <w:pPr>
        <w:pStyle w:val="ListParagraph"/>
        <w:widowControl/>
        <w:numPr>
          <w:ilvl w:val="1"/>
          <w:numId w:val="2"/>
        </w:numPr>
        <w:rPr>
          <w:rFonts w:asciiTheme="minorHAnsi" w:hAnsiTheme="minorHAnsi" w:cstheme="minorHAnsi"/>
          <w:szCs w:val="24"/>
        </w:rPr>
      </w:pPr>
      <w:r w:rsidRPr="000D5323">
        <w:rPr>
          <w:rFonts w:asciiTheme="minorHAnsi" w:hAnsiTheme="minorHAnsi" w:cstheme="minorHAnsi"/>
          <w:szCs w:val="24"/>
        </w:rPr>
        <w:t>The Pre-PBAC response presented a revised price for durvalumab</w:t>
      </w:r>
      <w:r w:rsidR="00F3481D" w:rsidRPr="000D5323">
        <w:rPr>
          <w:rFonts w:asciiTheme="minorHAnsi" w:hAnsiTheme="minorHAnsi" w:cstheme="minorHAnsi"/>
          <w:szCs w:val="24"/>
        </w:rPr>
        <w:t xml:space="preserve"> and included re-estimated ICERs for the base case and selected sensitivity analyses. These are presented in </w:t>
      </w:r>
      <w:r w:rsidR="00FA3901" w:rsidRPr="000D5323">
        <w:rPr>
          <w:rStyle w:val="CommentReference"/>
          <w:rFonts w:asciiTheme="minorHAnsi" w:hAnsiTheme="minorHAnsi" w:cstheme="minorHAnsi"/>
          <w:b w:val="0"/>
          <w:sz w:val="24"/>
          <w:szCs w:val="24"/>
        </w:rPr>
        <w:t xml:space="preserve">Table </w:t>
      </w:r>
      <w:r w:rsidR="00FA3901" w:rsidRPr="000D5323">
        <w:rPr>
          <w:rStyle w:val="CommentReference"/>
          <w:rFonts w:asciiTheme="minorHAnsi" w:hAnsiTheme="minorHAnsi" w:cstheme="minorHAnsi"/>
          <w:b w:val="0"/>
          <w:noProof/>
          <w:sz w:val="24"/>
          <w:szCs w:val="24"/>
        </w:rPr>
        <w:t>13</w:t>
      </w:r>
      <w:r w:rsidR="00F3481D" w:rsidRPr="000D5323">
        <w:rPr>
          <w:rFonts w:asciiTheme="minorHAnsi" w:hAnsiTheme="minorHAnsi" w:cstheme="minorHAnsi"/>
          <w:szCs w:val="24"/>
        </w:rPr>
        <w:t>.</w:t>
      </w:r>
    </w:p>
    <w:p w:rsidR="00F3481D" w:rsidRPr="001F0A0D" w:rsidRDefault="00F3481D" w:rsidP="008404A4">
      <w:pPr>
        <w:pStyle w:val="TableHeading0"/>
        <w:rPr>
          <w:rStyle w:val="CommentReference"/>
          <w:b/>
          <w:szCs w:val="20"/>
        </w:rPr>
      </w:pPr>
      <w:bookmarkStart w:id="30" w:name="_Ref530151486"/>
      <w:r w:rsidRPr="00217679">
        <w:rPr>
          <w:rStyle w:val="CommentReference"/>
          <w:b/>
          <w:szCs w:val="20"/>
        </w:rPr>
        <w:t xml:space="preserve">Table </w:t>
      </w:r>
      <w:r w:rsidR="00FA3901">
        <w:rPr>
          <w:rStyle w:val="CommentReference"/>
          <w:b/>
          <w:noProof/>
          <w:szCs w:val="20"/>
        </w:rPr>
        <w:t>13</w:t>
      </w:r>
      <w:bookmarkEnd w:id="30"/>
      <w:r w:rsidRPr="001F0A0D">
        <w:rPr>
          <w:rStyle w:val="CommentReference"/>
          <w:b/>
          <w:szCs w:val="20"/>
        </w:rPr>
        <w:t>: Results of sensitivity analyses with the price proposed in the pre-PBAC response.</w:t>
      </w:r>
    </w:p>
    <w:tbl>
      <w:tblPr>
        <w:tblStyle w:val="Summarybox8"/>
        <w:tblW w:w="5000" w:type="pct"/>
        <w:tblLook w:val="04A0" w:firstRow="1" w:lastRow="0" w:firstColumn="1" w:lastColumn="0" w:noHBand="0" w:noVBand="1"/>
        <w:tblCaption w:val="Table 13: Results of sensitivity analyses with the price proposed in the pre-PBAC response."/>
      </w:tblPr>
      <w:tblGrid>
        <w:gridCol w:w="1668"/>
        <w:gridCol w:w="3120"/>
        <w:gridCol w:w="1558"/>
        <w:gridCol w:w="1418"/>
        <w:gridCol w:w="1479"/>
      </w:tblGrid>
      <w:tr w:rsidR="00F3481D" w:rsidRPr="00286AF8" w:rsidTr="00DB4795">
        <w:trPr>
          <w:tblHeader/>
        </w:trPr>
        <w:tc>
          <w:tcPr>
            <w:tcW w:w="2590" w:type="pct"/>
            <w:gridSpan w:val="2"/>
            <w:hideMark/>
          </w:tcPr>
          <w:p w:rsidR="00F3481D" w:rsidRPr="00286AF8" w:rsidRDefault="00F3481D" w:rsidP="008404A4">
            <w:pPr>
              <w:pStyle w:val="Tabletext"/>
              <w:rPr>
                <w:rFonts w:eastAsia="Calibri"/>
                <w:b/>
              </w:rPr>
            </w:pPr>
            <w:r w:rsidRPr="00286AF8">
              <w:rPr>
                <w:rFonts w:eastAsia="Calibri"/>
                <w:b/>
              </w:rPr>
              <w:t>Analyses</w:t>
            </w:r>
          </w:p>
        </w:tc>
        <w:tc>
          <w:tcPr>
            <w:tcW w:w="843" w:type="pct"/>
            <w:hideMark/>
          </w:tcPr>
          <w:p w:rsidR="00F3481D" w:rsidRPr="00286AF8" w:rsidRDefault="00F3481D" w:rsidP="008404A4">
            <w:pPr>
              <w:pStyle w:val="Tabletext"/>
              <w:jc w:val="center"/>
              <w:rPr>
                <w:rFonts w:eastAsia="Calibri"/>
                <w:b/>
              </w:rPr>
            </w:pPr>
            <w:r w:rsidRPr="00286AF8">
              <w:rPr>
                <w:rFonts w:eastAsia="Calibri"/>
                <w:b/>
              </w:rPr>
              <w:t>Incremental cost*</w:t>
            </w:r>
          </w:p>
        </w:tc>
        <w:tc>
          <w:tcPr>
            <w:tcW w:w="767" w:type="pct"/>
            <w:hideMark/>
          </w:tcPr>
          <w:p w:rsidR="00F3481D" w:rsidRPr="00286AF8" w:rsidRDefault="00F3481D" w:rsidP="008404A4">
            <w:pPr>
              <w:pStyle w:val="Tabletext"/>
              <w:jc w:val="center"/>
              <w:rPr>
                <w:rFonts w:eastAsia="Calibri"/>
                <w:b/>
              </w:rPr>
            </w:pPr>
            <w:r w:rsidRPr="00286AF8">
              <w:rPr>
                <w:rFonts w:eastAsia="Calibri"/>
                <w:b/>
              </w:rPr>
              <w:t>Incremental QALY</w:t>
            </w:r>
          </w:p>
        </w:tc>
        <w:tc>
          <w:tcPr>
            <w:tcW w:w="800" w:type="pct"/>
            <w:hideMark/>
          </w:tcPr>
          <w:p w:rsidR="00F3481D" w:rsidRPr="00286AF8" w:rsidRDefault="00F3481D" w:rsidP="008404A4">
            <w:pPr>
              <w:pStyle w:val="Tabletext"/>
              <w:jc w:val="center"/>
              <w:rPr>
                <w:rFonts w:eastAsia="Calibri"/>
                <w:b/>
              </w:rPr>
            </w:pPr>
            <w:r w:rsidRPr="00286AF8">
              <w:rPr>
                <w:rFonts w:eastAsia="Calibri"/>
                <w:b/>
              </w:rPr>
              <w:t>ICER</w:t>
            </w:r>
          </w:p>
        </w:tc>
      </w:tr>
      <w:tr w:rsidR="00F3481D" w:rsidRPr="00033C42" w:rsidTr="00F3481D">
        <w:trPr>
          <w:trHeight w:val="79"/>
        </w:trPr>
        <w:tc>
          <w:tcPr>
            <w:tcW w:w="2590" w:type="pct"/>
            <w:gridSpan w:val="2"/>
            <w:hideMark/>
          </w:tcPr>
          <w:p w:rsidR="00F3481D" w:rsidRPr="00033C42" w:rsidRDefault="00F3481D" w:rsidP="008404A4">
            <w:pPr>
              <w:pStyle w:val="Tabletext"/>
              <w:rPr>
                <w:rFonts w:eastAsia="Calibri"/>
              </w:rPr>
            </w:pPr>
            <w:r w:rsidRPr="00033C42">
              <w:rPr>
                <w:rFonts w:eastAsia="Calibri"/>
              </w:rPr>
              <w:t>Base case</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0.79</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c>
          <w:tcPr>
            <w:tcW w:w="902" w:type="pct"/>
            <w:vMerge w:val="restart"/>
            <w:hideMark/>
          </w:tcPr>
          <w:p w:rsidR="00F3481D" w:rsidRPr="00033C42" w:rsidRDefault="00F3481D" w:rsidP="008404A4">
            <w:pPr>
              <w:pStyle w:val="Tabletext"/>
              <w:rPr>
                <w:rFonts w:eastAsia="Calibri"/>
              </w:rPr>
            </w:pPr>
            <w:r w:rsidRPr="00033C42">
              <w:rPr>
                <w:rFonts w:eastAsia="Calibri"/>
              </w:rPr>
              <w:t>Overall survival</w:t>
            </w:r>
          </w:p>
        </w:tc>
        <w:tc>
          <w:tcPr>
            <w:tcW w:w="1688" w:type="pct"/>
            <w:hideMark/>
          </w:tcPr>
          <w:p w:rsidR="00F3481D" w:rsidRPr="00033C42" w:rsidRDefault="00F3481D" w:rsidP="008404A4">
            <w:pPr>
              <w:pStyle w:val="Tabletext"/>
              <w:rPr>
                <w:rFonts w:eastAsia="Calibri"/>
              </w:rPr>
            </w:pPr>
            <w:r w:rsidRPr="00033C42">
              <w:rPr>
                <w:rFonts w:eastAsia="Calibri"/>
              </w:rPr>
              <w:t>Log</w:t>
            </w:r>
            <w:r>
              <w:rPr>
                <w:rFonts w:eastAsia="Calibri"/>
              </w:rPr>
              <w:t>-l</w:t>
            </w:r>
            <w:r w:rsidRPr="00033C42">
              <w:rPr>
                <w:rFonts w:eastAsia="Calibri"/>
              </w:rPr>
              <w:t xml:space="preserve">ogistic for both curves </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0.55</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Weibull for both curves</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0.53</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Gompertz for both curves</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0.41</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rPr>
          <w:trHeight w:val="60"/>
        </w:trPr>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Log</w:t>
            </w:r>
            <w:r>
              <w:rPr>
                <w:rFonts w:eastAsia="Calibri"/>
              </w:rPr>
              <w:t>-l</w:t>
            </w:r>
            <w:r w:rsidRPr="00033C42">
              <w:rPr>
                <w:rFonts w:eastAsia="Calibri"/>
              </w:rPr>
              <w:t>ogistic – Dependent</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0.64</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Weibull – Dependent</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0.69</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Gompertz – Dependent</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0.64</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c>
          <w:tcPr>
            <w:tcW w:w="902" w:type="pct"/>
            <w:vMerge w:val="restart"/>
            <w:hideMark/>
          </w:tcPr>
          <w:p w:rsidR="00F3481D" w:rsidRPr="00033C42" w:rsidRDefault="00F3481D" w:rsidP="008404A4">
            <w:pPr>
              <w:pStyle w:val="Tabletext"/>
              <w:rPr>
                <w:rFonts w:eastAsia="Calibri"/>
              </w:rPr>
            </w:pPr>
            <w:r w:rsidRPr="00033C42">
              <w:rPr>
                <w:rFonts w:eastAsia="Calibri"/>
              </w:rPr>
              <w:t>Progression-free survival</w:t>
            </w:r>
          </w:p>
        </w:tc>
        <w:tc>
          <w:tcPr>
            <w:tcW w:w="1688" w:type="pct"/>
            <w:hideMark/>
          </w:tcPr>
          <w:p w:rsidR="00F3481D" w:rsidRPr="00033C42" w:rsidRDefault="00F3481D" w:rsidP="008404A4">
            <w:pPr>
              <w:pStyle w:val="Tabletext"/>
              <w:rPr>
                <w:rFonts w:eastAsia="Calibri"/>
              </w:rPr>
            </w:pPr>
            <w:r w:rsidRPr="00033C42">
              <w:rPr>
                <w:rFonts w:eastAsia="Calibri"/>
              </w:rPr>
              <w:t>Exponential for both curves</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0.78</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c>
          <w:tcPr>
            <w:tcW w:w="902" w:type="pct"/>
            <w:vMerge/>
            <w:hideMark/>
          </w:tcPr>
          <w:p w:rsidR="00F3481D" w:rsidRPr="00033C42" w:rsidRDefault="00F3481D" w:rsidP="008404A4">
            <w:pPr>
              <w:pStyle w:val="Tabletext"/>
              <w:rPr>
                <w:rFonts w:eastAsia="Calibri" w:cs="Calibri"/>
              </w:rPr>
            </w:pPr>
          </w:p>
        </w:tc>
        <w:tc>
          <w:tcPr>
            <w:tcW w:w="1688" w:type="pct"/>
            <w:hideMark/>
          </w:tcPr>
          <w:p w:rsidR="00F3481D" w:rsidRPr="00033C42" w:rsidRDefault="00F3481D" w:rsidP="008404A4">
            <w:pPr>
              <w:pStyle w:val="Tabletext"/>
              <w:rPr>
                <w:rFonts w:eastAsia="Calibri" w:cs="Calibri"/>
              </w:rPr>
            </w:pPr>
            <w:r w:rsidRPr="00033C42">
              <w:rPr>
                <w:rFonts w:eastAsia="Calibri"/>
              </w:rPr>
              <w:t xml:space="preserve">Exponential – Dependent </w:t>
            </w:r>
          </w:p>
        </w:tc>
        <w:tc>
          <w:tcPr>
            <w:tcW w:w="843" w:type="pct"/>
            <w:hideMark/>
          </w:tcPr>
          <w:p w:rsidR="00F3481D" w:rsidRPr="00033C42" w:rsidRDefault="00F3481D" w:rsidP="008404A4">
            <w:pPr>
              <w:pStyle w:val="Tabletext"/>
              <w:jc w:val="center"/>
              <w:rPr>
                <w:lang w:eastAsia="en-AU"/>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0.78</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rPr>
          <w:trHeight w:val="60"/>
        </w:trPr>
        <w:tc>
          <w:tcPr>
            <w:tcW w:w="902" w:type="pct"/>
            <w:vMerge w:val="restart"/>
            <w:hideMark/>
          </w:tcPr>
          <w:p w:rsidR="00F3481D" w:rsidRPr="00033C42" w:rsidRDefault="00F3481D" w:rsidP="008404A4">
            <w:pPr>
              <w:pStyle w:val="Tabletext"/>
              <w:rPr>
                <w:rFonts w:eastAsia="Calibri"/>
              </w:rPr>
            </w:pPr>
            <w:r w:rsidRPr="00033C42">
              <w:rPr>
                <w:rFonts w:eastAsia="Calibri"/>
              </w:rPr>
              <w:t>Time horizon</w:t>
            </w:r>
          </w:p>
        </w:tc>
        <w:tc>
          <w:tcPr>
            <w:tcW w:w="1688" w:type="pct"/>
            <w:hideMark/>
          </w:tcPr>
          <w:p w:rsidR="00F3481D" w:rsidRPr="00033C42" w:rsidRDefault="00F3481D" w:rsidP="008404A4">
            <w:pPr>
              <w:pStyle w:val="Tabletext"/>
              <w:rPr>
                <w:rFonts w:eastAsia="Calibri"/>
              </w:rPr>
            </w:pPr>
            <w:r w:rsidRPr="00033C42">
              <w:rPr>
                <w:rFonts w:eastAsia="Calibri"/>
              </w:rPr>
              <w:t>15 years</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1.05</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rPr>
          <w:trHeight w:val="60"/>
        </w:trPr>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20 years</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1.20</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rPr>
          <w:trHeight w:val="60"/>
        </w:trPr>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7.5 years</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0.61</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rPr>
          <w:trHeight w:val="60"/>
        </w:trPr>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5 years</w:t>
            </w:r>
          </w:p>
        </w:tc>
        <w:tc>
          <w:tcPr>
            <w:tcW w:w="843" w:type="pct"/>
            <w:hideMark/>
          </w:tcPr>
          <w:p w:rsidR="00F3481D" w:rsidRPr="00033C42" w:rsidRDefault="00F3481D" w:rsidP="008404A4">
            <w:pPr>
              <w:pStyle w:val="Tabletext"/>
              <w:jc w:val="center"/>
              <w:rPr>
                <w:rFonts w:eastAsia="Calibri"/>
              </w:rPr>
            </w:pPr>
            <w:r w:rsidRPr="004B356D">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0.41</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rPr>
          <w:trHeight w:val="60"/>
        </w:trPr>
        <w:tc>
          <w:tcPr>
            <w:tcW w:w="902" w:type="pct"/>
            <w:vMerge w:val="restart"/>
            <w:hideMark/>
          </w:tcPr>
          <w:p w:rsidR="00F3481D" w:rsidRPr="00033C42" w:rsidRDefault="00F3481D" w:rsidP="008404A4">
            <w:pPr>
              <w:pStyle w:val="Tabletext"/>
              <w:rPr>
                <w:rFonts w:eastAsia="Calibri"/>
              </w:rPr>
            </w:pPr>
            <w:r w:rsidRPr="00033C42">
              <w:rPr>
                <w:rFonts w:eastAsia="Calibri"/>
              </w:rPr>
              <w:t>Utility values</w:t>
            </w:r>
          </w:p>
        </w:tc>
        <w:tc>
          <w:tcPr>
            <w:tcW w:w="1688" w:type="pct"/>
            <w:hideMark/>
          </w:tcPr>
          <w:p w:rsidR="00F3481D" w:rsidRPr="00033C42" w:rsidRDefault="00F3481D" w:rsidP="008404A4">
            <w:pPr>
              <w:pStyle w:val="Tabletext"/>
              <w:rPr>
                <w:rFonts w:eastAsia="Calibri"/>
              </w:rPr>
            </w:pPr>
            <w:r w:rsidRPr="00033C42">
              <w:rPr>
                <w:rFonts w:eastAsia="Calibri"/>
              </w:rPr>
              <w:t>Chouaid C et al 2013</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0.71</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rPr>
          <w:trHeight w:val="60"/>
        </w:trPr>
        <w:tc>
          <w:tcPr>
            <w:tcW w:w="902" w:type="pct"/>
            <w:vMerge/>
            <w:hideMark/>
          </w:tcPr>
          <w:p w:rsidR="00F3481D" w:rsidRPr="00033C42" w:rsidRDefault="00F3481D" w:rsidP="008404A4">
            <w:pPr>
              <w:pStyle w:val="Tabletext"/>
              <w:rPr>
                <w:lang w:eastAsia="en-AU"/>
              </w:rPr>
            </w:pPr>
          </w:p>
        </w:tc>
        <w:tc>
          <w:tcPr>
            <w:tcW w:w="1688" w:type="pct"/>
            <w:hideMark/>
          </w:tcPr>
          <w:p w:rsidR="00F3481D" w:rsidRPr="00033C42" w:rsidRDefault="00F3481D" w:rsidP="008404A4">
            <w:pPr>
              <w:pStyle w:val="Tabletext"/>
              <w:rPr>
                <w:rFonts w:eastAsia="Calibri"/>
              </w:rPr>
            </w:pPr>
            <w:r w:rsidRPr="00033C42">
              <w:rPr>
                <w:rFonts w:eastAsia="Calibri"/>
              </w:rPr>
              <w:t>Khan I et al 2015</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0.69</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r w:rsidR="00F3481D" w:rsidRPr="00033C42" w:rsidTr="00F3481D">
        <w:trPr>
          <w:trHeight w:val="60"/>
        </w:trPr>
        <w:tc>
          <w:tcPr>
            <w:tcW w:w="902" w:type="pct"/>
            <w:hideMark/>
          </w:tcPr>
          <w:p w:rsidR="00F3481D" w:rsidRPr="00033C42" w:rsidRDefault="00F3481D" w:rsidP="008404A4">
            <w:pPr>
              <w:pStyle w:val="Tabletext"/>
              <w:rPr>
                <w:rFonts w:eastAsia="Calibri"/>
              </w:rPr>
            </w:pPr>
            <w:r w:rsidRPr="00033C42">
              <w:rPr>
                <w:rFonts w:eastAsia="Calibri"/>
              </w:rPr>
              <w:t>Subsequent therapy</w:t>
            </w:r>
          </w:p>
        </w:tc>
        <w:tc>
          <w:tcPr>
            <w:tcW w:w="1688" w:type="pct"/>
            <w:hideMark/>
          </w:tcPr>
          <w:p w:rsidR="00F3481D" w:rsidRPr="00033C42" w:rsidRDefault="00F3481D" w:rsidP="008404A4">
            <w:pPr>
              <w:pStyle w:val="Tabletext"/>
              <w:rPr>
                <w:rFonts w:eastAsia="Calibri"/>
              </w:rPr>
            </w:pPr>
            <w:r w:rsidRPr="00033C42">
              <w:rPr>
                <w:rFonts w:eastAsia="Calibri"/>
              </w:rPr>
              <w:t>Set nivolumab use to 0% in the durvalumab arm</w:t>
            </w:r>
          </w:p>
        </w:tc>
        <w:tc>
          <w:tcPr>
            <w:tcW w:w="843"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c>
          <w:tcPr>
            <w:tcW w:w="767" w:type="pct"/>
            <w:hideMark/>
          </w:tcPr>
          <w:p w:rsidR="00F3481D" w:rsidRPr="00033C42" w:rsidRDefault="00F3481D" w:rsidP="008404A4">
            <w:pPr>
              <w:pStyle w:val="Tabletext"/>
              <w:jc w:val="center"/>
              <w:rPr>
                <w:rFonts w:eastAsia="Calibri"/>
              </w:rPr>
            </w:pPr>
            <w:r w:rsidRPr="00033C42">
              <w:rPr>
                <w:rFonts w:eastAsia="Calibri"/>
              </w:rPr>
              <w:t>0.79</w:t>
            </w:r>
          </w:p>
        </w:tc>
        <w:tc>
          <w:tcPr>
            <w:tcW w:w="800" w:type="pct"/>
            <w:hideMark/>
          </w:tcPr>
          <w:p w:rsidR="00F3481D" w:rsidRPr="00033C42" w:rsidRDefault="00F3481D" w:rsidP="008404A4">
            <w:pPr>
              <w:pStyle w:val="Tabletext"/>
              <w:jc w:val="center"/>
              <w:rPr>
                <w:rFonts w:eastAsia="Calibri"/>
              </w:rPr>
            </w:pPr>
            <w:r w:rsidRPr="00033C42">
              <w:rPr>
                <w:rFonts w:eastAsia="Calibri"/>
              </w:rPr>
              <w:t>$</w:t>
            </w:r>
            <w:r w:rsidR="00145C02">
              <w:rPr>
                <w:rFonts w:eastAsia="Calibri"/>
                <w:noProof/>
                <w:color w:val="000000"/>
                <w:highlight w:val="black"/>
              </w:rPr>
              <w:t>'''''''''''''''</w:t>
            </w:r>
          </w:p>
        </w:tc>
      </w:tr>
    </w:tbl>
    <w:p w:rsidR="00F3481D" w:rsidRDefault="00F3481D" w:rsidP="008404A4">
      <w:pPr>
        <w:pStyle w:val="TableFooter"/>
        <w:widowControl/>
      </w:pPr>
      <w:r>
        <w:t>Source: Table 2, Pre-PBAC response. ICER = incremental cost effectiveness ratio; QALY = quality adjusted life years.</w:t>
      </w:r>
    </w:p>
    <w:p w:rsidR="00E340AD" w:rsidRPr="00FB4B94" w:rsidRDefault="00E340AD" w:rsidP="008404A4">
      <w:pPr>
        <w:pStyle w:val="TableFooter"/>
        <w:widowControl/>
        <w:spacing w:before="120" w:after="120"/>
        <w:rPr>
          <w:rFonts w:asciiTheme="minorHAnsi" w:hAnsiTheme="minorHAnsi" w:cstheme="minorHAnsi"/>
          <w:i/>
          <w:sz w:val="24"/>
          <w:szCs w:val="24"/>
        </w:rPr>
      </w:pPr>
      <w:r w:rsidRPr="00FB4B94">
        <w:rPr>
          <w:rFonts w:asciiTheme="minorHAnsi" w:hAnsiTheme="minorHAnsi" w:cstheme="minorHAnsi"/>
          <w:i/>
          <w:sz w:val="24"/>
          <w:szCs w:val="24"/>
        </w:rPr>
        <w:t>The redacted table shows ICERs in the range of $15,000/QALY - $45,000/QALY to $105,000/QALY - $200,000/QALY.</w:t>
      </w:r>
    </w:p>
    <w:p w:rsidR="00F3481D" w:rsidRPr="00F3481D" w:rsidRDefault="00F3481D" w:rsidP="008404A4">
      <w:pPr>
        <w:pStyle w:val="ListParagraph"/>
        <w:widowControl/>
        <w:numPr>
          <w:ilvl w:val="1"/>
          <w:numId w:val="2"/>
        </w:numPr>
      </w:pPr>
      <w:r>
        <w:t xml:space="preserve">The </w:t>
      </w:r>
      <w:r w:rsidR="000E2577">
        <w:t>reduction in the price proposed in the Pre-PBAC response resulted in a reduction in the base case ICER of 25%.</w:t>
      </w:r>
    </w:p>
    <w:p w:rsidR="00CB1073" w:rsidRDefault="00CB1073">
      <w:pPr>
        <w:widowControl/>
        <w:jc w:val="left"/>
        <w:rPr>
          <w:b/>
          <w:i/>
          <w:sz w:val="28"/>
        </w:rPr>
      </w:pPr>
      <w:bookmarkStart w:id="31" w:name="_Toc524446350"/>
      <w:r>
        <w:br w:type="page"/>
      </w:r>
    </w:p>
    <w:p w:rsidR="006D0FBD" w:rsidRPr="00C25D9C" w:rsidRDefault="006D0FBD" w:rsidP="008404A4">
      <w:pPr>
        <w:pStyle w:val="Heading2"/>
        <w:widowControl/>
      </w:pPr>
      <w:r>
        <w:t>Drug cost/patient/</w:t>
      </w:r>
      <w:r w:rsidRPr="002C2775">
        <w:t>course</w:t>
      </w:r>
      <w:bookmarkEnd w:id="31"/>
    </w:p>
    <w:p w:rsidR="006D0FBD" w:rsidRDefault="00217679" w:rsidP="008404A4">
      <w:pPr>
        <w:pStyle w:val="ListParagraph"/>
        <w:keepNext/>
        <w:widowControl/>
        <w:numPr>
          <w:ilvl w:val="1"/>
          <w:numId w:val="2"/>
        </w:numPr>
      </w:pPr>
      <w:r>
        <w:t>At the initially proposed price, t</w:t>
      </w:r>
      <w:r w:rsidR="006D0FBD" w:rsidRPr="009B458B">
        <w:t>he cost of durvalumab was</w:t>
      </w:r>
      <w:r w:rsidR="006E7532">
        <w:t xml:space="preserve"> stated by the submission to be</w:t>
      </w:r>
      <w:r w:rsidR="006D0FBD" w:rsidRPr="009B458B">
        <w:t xml:space="preserve"> $</w:t>
      </w:r>
      <w:r w:rsidR="00145C02">
        <w:rPr>
          <w:noProof/>
          <w:color w:val="000000"/>
          <w:highlight w:val="black"/>
        </w:rPr>
        <w:t>''''''''''</w:t>
      </w:r>
      <w:r w:rsidR="006D0FBD" w:rsidRPr="009B458B">
        <w:t xml:space="preserve"> per administration. With a </w:t>
      </w:r>
      <w:r w:rsidR="002C2FB4">
        <w:t xml:space="preserve">maximum </w:t>
      </w:r>
      <w:r w:rsidR="006D0FBD" w:rsidRPr="009B458B">
        <w:t>total number of administrations of 26 (every two weeks for 12 months), the resulting total cost per course was $</w:t>
      </w:r>
      <w:r w:rsidR="00145C02">
        <w:rPr>
          <w:noProof/>
          <w:color w:val="000000"/>
          <w:highlight w:val="black"/>
        </w:rPr>
        <w:t>''''''''''''''</w:t>
      </w:r>
      <w:r w:rsidR="006D0FBD" w:rsidRPr="009B458B">
        <w:t>. When the cost associated with intravenous administration was considered, the total cost per treatment increased to $</w:t>
      </w:r>
      <w:r w:rsidR="00145C02">
        <w:rPr>
          <w:noProof/>
          <w:color w:val="000000"/>
          <w:highlight w:val="black"/>
        </w:rPr>
        <w:t>''''''''''''''''</w:t>
      </w:r>
      <w:r w:rsidR="006D0FBD" w:rsidRPr="009B458B">
        <w:t>.</w:t>
      </w:r>
      <w:r w:rsidR="002C2FB4">
        <w:t xml:space="preserve"> </w:t>
      </w:r>
      <w:r w:rsidR="002C2FB4" w:rsidRPr="0022001F">
        <w:t>This differs to the costs estimated in the model of $</w:t>
      </w:r>
      <w:r w:rsidR="00145C02">
        <w:rPr>
          <w:noProof/>
          <w:color w:val="000000"/>
          <w:highlight w:val="black"/>
        </w:rPr>
        <w:t>'''''''''''''</w:t>
      </w:r>
      <w:r w:rsidR="002C2FB4" w:rsidRPr="0022001F">
        <w:t xml:space="preserve"> a</w:t>
      </w:r>
      <w:r w:rsidR="000F7EDB" w:rsidRPr="0022001F">
        <w:t>s a</w:t>
      </w:r>
      <w:r w:rsidR="002C2FB4" w:rsidRPr="0022001F">
        <w:t xml:space="preserve"> number of patients </w:t>
      </w:r>
      <w:r w:rsidR="000F7EDB" w:rsidRPr="0022001F">
        <w:t>died</w:t>
      </w:r>
      <w:r w:rsidR="002C2FB4" w:rsidRPr="0022001F">
        <w:t xml:space="preserve"> or progress</w:t>
      </w:r>
      <w:r w:rsidR="000F7EDB" w:rsidRPr="0022001F">
        <w:t>ed</w:t>
      </w:r>
      <w:r w:rsidR="002C2FB4" w:rsidRPr="0022001F">
        <w:t xml:space="preserve"> before 12 months, so they </w:t>
      </w:r>
      <w:r w:rsidR="000F7EDB" w:rsidRPr="0022001F">
        <w:t xml:space="preserve">did </w:t>
      </w:r>
      <w:r w:rsidR="002C2FB4" w:rsidRPr="0022001F">
        <w:t xml:space="preserve">not </w:t>
      </w:r>
      <w:r w:rsidR="000F7EDB" w:rsidRPr="0022001F">
        <w:t xml:space="preserve">receive </w:t>
      </w:r>
      <w:r w:rsidR="00097BED">
        <w:t>26</w:t>
      </w:r>
      <w:r w:rsidR="002C2FB4" w:rsidRPr="0022001F">
        <w:t xml:space="preserve"> administrations.</w:t>
      </w:r>
      <w:r w:rsidR="006E7532">
        <w:t xml:space="preserve">  The average number of administrations used in the model and financial estim</w:t>
      </w:r>
      <w:r w:rsidR="00097BED">
        <w:t>ates is 17.75 (3</w:t>
      </w:r>
      <w:r w:rsidR="006E7532">
        <w:t>5.5 weeks of treatment)</w:t>
      </w:r>
      <w:r w:rsidR="00097BED">
        <w:t>.</w:t>
      </w:r>
      <w:r w:rsidR="006E7532">
        <w:t xml:space="preserve"> </w:t>
      </w:r>
    </w:p>
    <w:p w:rsidR="00417B51" w:rsidRPr="001E2B1E" w:rsidRDefault="00417B51" w:rsidP="008404A4">
      <w:pPr>
        <w:pStyle w:val="ListParagraph"/>
        <w:keepNext/>
        <w:widowControl/>
        <w:numPr>
          <w:ilvl w:val="1"/>
          <w:numId w:val="2"/>
        </w:numPr>
      </w:pPr>
      <w:r>
        <w:t xml:space="preserve">The cost per patient per 12 months </w:t>
      </w:r>
      <w:r w:rsidR="0000122C">
        <w:t>applying the Pre-PBAC revised price per administration of durvalumab ($</w:t>
      </w:r>
      <w:r w:rsidR="00145C02">
        <w:rPr>
          <w:noProof/>
          <w:color w:val="000000"/>
          <w:highlight w:val="black"/>
        </w:rPr>
        <w:t>''''''''''''''''</w:t>
      </w:r>
      <w:r w:rsidR="0000122C">
        <w:t xml:space="preserve">) </w:t>
      </w:r>
      <w:r w:rsidR="00CD1CBD">
        <w:t>was</w:t>
      </w:r>
      <w:r w:rsidR="0000122C">
        <w:t xml:space="preserve"> $</w:t>
      </w:r>
      <w:r w:rsidR="00145C02">
        <w:rPr>
          <w:noProof/>
          <w:color w:val="000000"/>
          <w:highlight w:val="black"/>
        </w:rPr>
        <w:t>''''''''''''''''''</w:t>
      </w:r>
      <w:r w:rsidR="0000122C">
        <w:t>, including the cost of administration. The estimated cost per course, applying the model estimated rate of treatment discontinuation, is $</w:t>
      </w:r>
      <w:r w:rsidR="00145C02">
        <w:rPr>
          <w:noProof/>
          <w:color w:val="000000"/>
          <w:highlight w:val="black"/>
        </w:rPr>
        <w:t>'''''''''''''</w:t>
      </w:r>
      <w:r w:rsidR="0000122C">
        <w:t xml:space="preserve">. </w:t>
      </w:r>
    </w:p>
    <w:p w:rsidR="006D0FBD" w:rsidRPr="006A599D" w:rsidRDefault="006D0FBD" w:rsidP="008404A4">
      <w:pPr>
        <w:pStyle w:val="Heading2"/>
        <w:widowControl/>
      </w:pPr>
      <w:bookmarkStart w:id="32" w:name="_Toc524446351"/>
      <w:r w:rsidRPr="00C9624D">
        <w:t>Estimated PBS usage &amp; financial implications</w:t>
      </w:r>
      <w:bookmarkEnd w:id="32"/>
    </w:p>
    <w:p w:rsidR="00442229" w:rsidRPr="00AE7316" w:rsidRDefault="00442229" w:rsidP="008404A4">
      <w:pPr>
        <w:pStyle w:val="ListParagraph"/>
        <w:widowControl/>
        <w:numPr>
          <w:ilvl w:val="1"/>
          <w:numId w:val="2"/>
        </w:numPr>
      </w:pPr>
      <w:r w:rsidRPr="00AE7316">
        <w:t>The</w:t>
      </w:r>
      <w:r w:rsidR="000D5323">
        <w:t xml:space="preserve"> submission’s initial estimates of use and financial implications are presented in Table 14. The</w:t>
      </w:r>
      <w:r w:rsidRPr="00AE7316">
        <w:t xml:space="preserve"> DUSC</w:t>
      </w:r>
      <w:r w:rsidR="00AE7316" w:rsidRPr="00AE7316">
        <w:t xml:space="preserve"> of PBAC</w:t>
      </w:r>
      <w:r w:rsidRPr="00AE7316">
        <w:t xml:space="preserve"> provided advice on the estimated extent of use and financial implications on this item.</w:t>
      </w:r>
    </w:p>
    <w:p w:rsidR="00442229" w:rsidRPr="00AE7316" w:rsidRDefault="00442229" w:rsidP="008404A4">
      <w:pPr>
        <w:pStyle w:val="ListParagraph"/>
        <w:widowControl/>
        <w:numPr>
          <w:ilvl w:val="1"/>
          <w:numId w:val="2"/>
        </w:numPr>
        <w:spacing w:after="0"/>
      </w:pPr>
      <w:r w:rsidRPr="00AE7316">
        <w:t>The</w:t>
      </w:r>
      <w:r w:rsidR="00AE7316" w:rsidRPr="00AE7316">
        <w:t xml:space="preserve"> PBAC noted that the</w:t>
      </w:r>
      <w:r w:rsidRPr="00AE7316">
        <w:t xml:space="preserve"> DUSC considered the estimates of utilisation presented in the submission to be </w:t>
      </w:r>
      <w:r w:rsidR="00AE7316" w:rsidRPr="00AE7316">
        <w:t>inaccurate</w:t>
      </w:r>
      <w:r w:rsidRPr="00AE7316">
        <w:t xml:space="preserve">. The main issues </w:t>
      </w:r>
      <w:r w:rsidR="00AE7316" w:rsidRPr="00AE7316">
        <w:t xml:space="preserve">identified by the DUSC </w:t>
      </w:r>
      <w:r w:rsidRPr="00AE7316">
        <w:t>were:</w:t>
      </w:r>
    </w:p>
    <w:p w:rsidR="00442229" w:rsidRPr="00AE7316" w:rsidRDefault="00442229" w:rsidP="008404A4">
      <w:pPr>
        <w:pStyle w:val="ListParagraph"/>
        <w:widowControl/>
        <w:numPr>
          <w:ilvl w:val="0"/>
          <w:numId w:val="16"/>
        </w:numPr>
        <w:spacing w:before="40" w:after="0"/>
        <w:ind w:left="993" w:hanging="284"/>
        <w:rPr>
          <w:rFonts w:cs="Calibri"/>
          <w:snapToGrid/>
          <w:szCs w:val="24"/>
          <w:lang w:val="en-US" w:eastAsia="en-AU"/>
        </w:rPr>
      </w:pPr>
      <w:r w:rsidRPr="00AE7316">
        <w:t xml:space="preserve">The proportion of </w:t>
      </w:r>
      <w:r w:rsidR="00AE7316" w:rsidRPr="00AE7316">
        <w:t xml:space="preserve">NSCLC </w:t>
      </w:r>
      <w:r w:rsidRPr="00AE7316">
        <w:t xml:space="preserve">of all lung cancers is likely to be </w:t>
      </w:r>
      <w:r w:rsidRPr="00AE7316">
        <w:rPr>
          <w:rFonts w:cs="Calibri"/>
          <w:snapToGrid/>
          <w:szCs w:val="24"/>
          <w:lang w:val="en-US" w:eastAsia="en-AU"/>
        </w:rPr>
        <w:t>closer to 80% than the 70.3% applied in the estimates.</w:t>
      </w:r>
    </w:p>
    <w:p w:rsidR="00442229" w:rsidRPr="002F6FB2" w:rsidRDefault="00442229" w:rsidP="008404A4">
      <w:pPr>
        <w:pStyle w:val="ListParagraph"/>
        <w:widowControl/>
        <w:numPr>
          <w:ilvl w:val="0"/>
          <w:numId w:val="16"/>
        </w:numPr>
        <w:spacing w:before="40"/>
        <w:ind w:left="993" w:hanging="284"/>
        <w:rPr>
          <w:rFonts w:cs="Calibri"/>
          <w:snapToGrid/>
          <w:szCs w:val="24"/>
          <w:lang w:val="en-US" w:eastAsia="en-AU"/>
        </w:rPr>
      </w:pPr>
      <w:r w:rsidRPr="002F6FB2">
        <w:rPr>
          <w:rFonts w:cs="Calibri"/>
          <w:snapToGrid/>
          <w:szCs w:val="24"/>
          <w:lang w:val="en-US" w:eastAsia="en-AU"/>
        </w:rPr>
        <w:t xml:space="preserve">No justification was provided for the estimate of the proportion of patients undergoing first-line chemoradiation. The submission assumed that 70%, 80% and 90% of eligible patients would receive chemoradiation in year 1, year 2 and years 3-6. </w:t>
      </w:r>
      <w:r w:rsidR="00AE7316">
        <w:rPr>
          <w:rFonts w:cs="Calibri"/>
          <w:snapToGrid/>
          <w:szCs w:val="24"/>
          <w:lang w:val="en-US" w:eastAsia="en-AU"/>
        </w:rPr>
        <w:t xml:space="preserve">The </w:t>
      </w:r>
      <w:r w:rsidRPr="002F6FB2">
        <w:rPr>
          <w:rFonts w:cs="Calibri"/>
          <w:snapToGrid/>
          <w:szCs w:val="24"/>
          <w:lang w:val="en-US" w:eastAsia="en-AU"/>
        </w:rPr>
        <w:t xml:space="preserve">DUSC did not agree that the numbers of patients receiving chemoradiation would substantially change with the introduction of durvalumab. </w:t>
      </w:r>
      <w:r w:rsidR="00AE7316">
        <w:rPr>
          <w:rFonts w:cs="Calibri"/>
          <w:snapToGrid/>
          <w:szCs w:val="24"/>
          <w:lang w:val="en-US" w:eastAsia="en-AU"/>
        </w:rPr>
        <w:t xml:space="preserve">The </w:t>
      </w:r>
      <w:r w:rsidRPr="002F6FB2">
        <w:rPr>
          <w:rFonts w:cs="Calibri"/>
          <w:snapToGrid/>
          <w:szCs w:val="24"/>
          <w:lang w:val="en-US" w:eastAsia="en-AU"/>
        </w:rPr>
        <w:t>DUSC considered that the proportion of patients receiving chemoradiation was reasonable for year 1, but was overestimated for subsequent years.</w:t>
      </w:r>
    </w:p>
    <w:p w:rsidR="00CB1073" w:rsidRDefault="00CB1073">
      <w:pPr>
        <w:widowControl/>
        <w:jc w:val="left"/>
        <w:rPr>
          <w:rFonts w:ascii="Arial Narrow" w:eastAsiaTheme="majorEastAsia" w:hAnsi="Arial Narrow"/>
          <w:b/>
          <w:snapToGrid/>
          <w:sz w:val="20"/>
          <w:szCs w:val="20"/>
          <w:lang w:eastAsia="en-AU" w:bidi="en-US"/>
        </w:rPr>
      </w:pPr>
      <w:bookmarkStart w:id="33" w:name="_Ref521878000"/>
      <w:bookmarkStart w:id="34" w:name="_Ref524296242"/>
      <w:r>
        <w:br w:type="page"/>
      </w:r>
    </w:p>
    <w:p w:rsidR="002F6FB2" w:rsidRPr="001F0A0D" w:rsidRDefault="00E348E9" w:rsidP="008404A4">
      <w:pPr>
        <w:pStyle w:val="TableHeading0"/>
        <w:rPr>
          <w:b w:val="0"/>
        </w:rPr>
      </w:pPr>
      <w:r>
        <w:t xml:space="preserve">Table </w:t>
      </w:r>
      <w:r w:rsidR="00FA3901">
        <w:rPr>
          <w:noProof/>
        </w:rPr>
        <w:t>14</w:t>
      </w:r>
      <w:r>
        <w:t>:</w:t>
      </w:r>
      <w:bookmarkEnd w:id="33"/>
      <w:bookmarkEnd w:id="34"/>
      <w:r w:rsidR="002F6FB2" w:rsidRPr="00280ABD">
        <w:rPr>
          <w:rStyle w:val="CommentReference"/>
        </w:rPr>
        <w:t xml:space="preserve"> </w:t>
      </w:r>
      <w:r w:rsidR="002F6FB2" w:rsidRPr="001F0A0D">
        <w:rPr>
          <w:rStyle w:val="CommentReference"/>
          <w:b/>
        </w:rPr>
        <w:t>Estimated use and financial implications (</w:t>
      </w:r>
      <w:r w:rsidR="00AE7316" w:rsidRPr="001F0A0D">
        <w:rPr>
          <w:rStyle w:val="CommentReference"/>
          <w:b/>
        </w:rPr>
        <w:t xml:space="preserve">at </w:t>
      </w:r>
      <w:r w:rsidR="002F6FB2" w:rsidRPr="001F0A0D">
        <w:rPr>
          <w:rStyle w:val="CommentReference"/>
          <w:b/>
        </w:rPr>
        <w:t>effective price prior to revised price in Pre-PBAC response)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at effective price prior to revised price in Pre-PBAC response)"/>
      </w:tblPr>
      <w:tblGrid>
        <w:gridCol w:w="2016"/>
        <w:gridCol w:w="1166"/>
        <w:gridCol w:w="1165"/>
        <w:gridCol w:w="1165"/>
        <w:gridCol w:w="1165"/>
        <w:gridCol w:w="1165"/>
        <w:gridCol w:w="1163"/>
      </w:tblGrid>
      <w:tr w:rsidR="002F6FB2" w:rsidRPr="00280ABD" w:rsidTr="00B96CCC">
        <w:trPr>
          <w:tblHeader/>
        </w:trPr>
        <w:tc>
          <w:tcPr>
            <w:tcW w:w="1119" w:type="pct"/>
            <w:shd w:val="clear" w:color="auto" w:fill="auto"/>
            <w:vAlign w:val="center"/>
          </w:tcPr>
          <w:p w:rsidR="002F6FB2" w:rsidRPr="00280ABD" w:rsidRDefault="002F6FB2" w:rsidP="008404A4">
            <w:pPr>
              <w:pStyle w:val="Tabletext"/>
              <w:spacing w:before="40" w:after="40"/>
            </w:pPr>
          </w:p>
        </w:tc>
        <w:tc>
          <w:tcPr>
            <w:tcW w:w="647" w:type="pct"/>
            <w:shd w:val="clear" w:color="auto" w:fill="auto"/>
            <w:vAlign w:val="center"/>
          </w:tcPr>
          <w:p w:rsidR="002F6FB2" w:rsidRPr="00280ABD" w:rsidRDefault="002F6FB2" w:rsidP="008404A4">
            <w:pPr>
              <w:pStyle w:val="Tabletext"/>
              <w:spacing w:before="40" w:after="40"/>
              <w:jc w:val="center"/>
              <w:rPr>
                <w:b/>
              </w:rPr>
            </w:pPr>
            <w:r w:rsidRPr="00280ABD">
              <w:rPr>
                <w:b/>
              </w:rPr>
              <w:t>Year 1</w:t>
            </w:r>
          </w:p>
        </w:tc>
        <w:tc>
          <w:tcPr>
            <w:tcW w:w="647" w:type="pct"/>
            <w:shd w:val="clear" w:color="auto" w:fill="auto"/>
            <w:vAlign w:val="center"/>
          </w:tcPr>
          <w:p w:rsidR="002F6FB2" w:rsidRPr="00280ABD" w:rsidRDefault="002F6FB2" w:rsidP="008404A4">
            <w:pPr>
              <w:pStyle w:val="Tabletext"/>
              <w:spacing w:before="40" w:after="40"/>
              <w:jc w:val="center"/>
              <w:rPr>
                <w:b/>
              </w:rPr>
            </w:pPr>
            <w:r w:rsidRPr="00280ABD">
              <w:rPr>
                <w:b/>
              </w:rPr>
              <w:t>Year 2</w:t>
            </w:r>
          </w:p>
        </w:tc>
        <w:tc>
          <w:tcPr>
            <w:tcW w:w="647" w:type="pct"/>
            <w:shd w:val="clear" w:color="auto" w:fill="auto"/>
            <w:vAlign w:val="center"/>
          </w:tcPr>
          <w:p w:rsidR="002F6FB2" w:rsidRPr="00280ABD" w:rsidRDefault="002F6FB2" w:rsidP="008404A4">
            <w:pPr>
              <w:pStyle w:val="Tabletext"/>
              <w:spacing w:before="40" w:after="40"/>
              <w:jc w:val="center"/>
              <w:rPr>
                <w:b/>
              </w:rPr>
            </w:pPr>
            <w:r w:rsidRPr="00280ABD">
              <w:rPr>
                <w:b/>
              </w:rPr>
              <w:t>Year 3</w:t>
            </w:r>
          </w:p>
        </w:tc>
        <w:tc>
          <w:tcPr>
            <w:tcW w:w="647" w:type="pct"/>
            <w:shd w:val="clear" w:color="auto" w:fill="auto"/>
            <w:vAlign w:val="center"/>
          </w:tcPr>
          <w:p w:rsidR="002F6FB2" w:rsidRPr="00280ABD" w:rsidRDefault="002F6FB2" w:rsidP="008404A4">
            <w:pPr>
              <w:pStyle w:val="Tabletext"/>
              <w:spacing w:before="40" w:after="40"/>
              <w:jc w:val="center"/>
              <w:rPr>
                <w:b/>
              </w:rPr>
            </w:pPr>
            <w:r w:rsidRPr="00280ABD">
              <w:rPr>
                <w:b/>
              </w:rPr>
              <w:t>Year 4</w:t>
            </w:r>
          </w:p>
        </w:tc>
        <w:tc>
          <w:tcPr>
            <w:tcW w:w="647" w:type="pct"/>
            <w:shd w:val="clear" w:color="auto" w:fill="auto"/>
            <w:vAlign w:val="center"/>
          </w:tcPr>
          <w:p w:rsidR="002F6FB2" w:rsidRPr="00280ABD" w:rsidRDefault="002F6FB2" w:rsidP="008404A4">
            <w:pPr>
              <w:pStyle w:val="Tabletext"/>
              <w:spacing w:before="40" w:after="40"/>
              <w:jc w:val="center"/>
              <w:rPr>
                <w:b/>
              </w:rPr>
            </w:pPr>
            <w:r w:rsidRPr="00280ABD">
              <w:rPr>
                <w:b/>
              </w:rPr>
              <w:t>Year 5</w:t>
            </w:r>
          </w:p>
        </w:tc>
        <w:tc>
          <w:tcPr>
            <w:tcW w:w="646" w:type="pct"/>
          </w:tcPr>
          <w:p w:rsidR="002F6FB2" w:rsidRPr="00280ABD" w:rsidRDefault="002F6FB2" w:rsidP="008404A4">
            <w:pPr>
              <w:pStyle w:val="Tabletext"/>
              <w:spacing w:before="40" w:after="40"/>
              <w:jc w:val="center"/>
              <w:rPr>
                <w:b/>
              </w:rPr>
            </w:pPr>
            <w:r w:rsidRPr="00280ABD">
              <w:rPr>
                <w:b/>
              </w:rPr>
              <w:t>Year 6</w:t>
            </w:r>
          </w:p>
        </w:tc>
      </w:tr>
      <w:tr w:rsidR="002F6FB2" w:rsidRPr="00280ABD" w:rsidTr="00B96CCC">
        <w:trPr>
          <w:trHeight w:val="119"/>
        </w:trPr>
        <w:tc>
          <w:tcPr>
            <w:tcW w:w="5000" w:type="pct"/>
            <w:gridSpan w:val="7"/>
            <w:shd w:val="clear" w:color="auto" w:fill="auto"/>
            <w:vAlign w:val="center"/>
          </w:tcPr>
          <w:p w:rsidR="002F6FB2" w:rsidRPr="00280ABD" w:rsidRDefault="002F6FB2" w:rsidP="008404A4">
            <w:pPr>
              <w:pStyle w:val="Tabletext"/>
              <w:spacing w:before="40" w:after="40"/>
              <w:rPr>
                <w:b/>
                <w:bCs/>
                <w:color w:val="000000"/>
              </w:rPr>
            </w:pPr>
            <w:r w:rsidRPr="00280ABD">
              <w:rPr>
                <w:b/>
                <w:bCs/>
                <w:color w:val="000000"/>
              </w:rPr>
              <w:t>Estimated extent of use</w:t>
            </w:r>
          </w:p>
        </w:tc>
      </w:tr>
      <w:tr w:rsidR="002F6FB2" w:rsidRPr="00280ABD" w:rsidTr="00B96CCC">
        <w:tc>
          <w:tcPr>
            <w:tcW w:w="1119" w:type="pct"/>
            <w:shd w:val="clear" w:color="auto" w:fill="auto"/>
            <w:vAlign w:val="center"/>
          </w:tcPr>
          <w:p w:rsidR="002F6FB2" w:rsidRPr="00280ABD" w:rsidRDefault="002F6FB2" w:rsidP="008404A4">
            <w:pPr>
              <w:pStyle w:val="Tabletext"/>
              <w:spacing w:before="40" w:after="40"/>
            </w:pPr>
            <w:r w:rsidRPr="00280ABD">
              <w:t xml:space="preserve">Treated patients </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6" w:type="pct"/>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r>
      <w:tr w:rsidR="002F6FB2" w:rsidRPr="00280ABD" w:rsidTr="00B96CCC">
        <w:tc>
          <w:tcPr>
            <w:tcW w:w="1119" w:type="pct"/>
            <w:shd w:val="clear" w:color="auto" w:fill="auto"/>
            <w:vAlign w:val="center"/>
          </w:tcPr>
          <w:p w:rsidR="002F6FB2" w:rsidRPr="00280ABD" w:rsidRDefault="002F6FB2" w:rsidP="008404A4">
            <w:pPr>
              <w:pStyle w:val="Tabletext"/>
              <w:spacing w:before="40" w:after="40"/>
              <w:rPr>
                <w:vertAlign w:val="superscript"/>
              </w:rPr>
            </w:pPr>
            <w:r w:rsidRPr="00280ABD">
              <w:t>Total prescriptions</w:t>
            </w:r>
            <w:r w:rsidRPr="00280ABD">
              <w:rPr>
                <w:vertAlign w:val="superscript"/>
              </w:rPr>
              <w:t>a</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7" w:type="pct"/>
            <w:shd w:val="clear" w:color="auto" w:fill="auto"/>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c>
          <w:tcPr>
            <w:tcW w:w="646" w:type="pct"/>
          </w:tcPr>
          <w:p w:rsidR="002F6FB2" w:rsidRPr="00145C02" w:rsidRDefault="00145C02" w:rsidP="008404A4">
            <w:pPr>
              <w:pStyle w:val="Tabletext"/>
              <w:spacing w:before="40" w:after="40"/>
              <w:jc w:val="center"/>
              <w:rPr>
                <w:bCs/>
                <w:color w:val="000000"/>
                <w:highlight w:val="black"/>
              </w:rPr>
            </w:pPr>
            <w:r>
              <w:rPr>
                <w:noProof/>
                <w:color w:val="000000"/>
                <w:highlight w:val="black"/>
              </w:rPr>
              <w:t>''''''''''''''''</w:t>
            </w:r>
          </w:p>
        </w:tc>
      </w:tr>
      <w:tr w:rsidR="002F6FB2" w:rsidRPr="00280ABD" w:rsidTr="00B96CCC">
        <w:tc>
          <w:tcPr>
            <w:tcW w:w="5000" w:type="pct"/>
            <w:gridSpan w:val="7"/>
            <w:shd w:val="clear" w:color="auto" w:fill="auto"/>
            <w:vAlign w:val="center"/>
          </w:tcPr>
          <w:p w:rsidR="002F6FB2" w:rsidRPr="00280ABD" w:rsidRDefault="002F6FB2" w:rsidP="008404A4">
            <w:pPr>
              <w:pStyle w:val="Tabletext"/>
              <w:spacing w:before="40" w:after="40"/>
              <w:rPr>
                <w:b/>
                <w:bCs/>
                <w:color w:val="000000"/>
              </w:rPr>
            </w:pPr>
            <w:r w:rsidRPr="00280ABD">
              <w:rPr>
                <w:b/>
                <w:bCs/>
                <w:color w:val="000000"/>
              </w:rPr>
              <w:t>Estimated financial implications of durvalumab</w:t>
            </w:r>
          </w:p>
        </w:tc>
      </w:tr>
      <w:tr w:rsidR="002F6FB2" w:rsidRPr="00280ABD" w:rsidTr="00B96CCC">
        <w:tc>
          <w:tcPr>
            <w:tcW w:w="1119" w:type="pct"/>
            <w:shd w:val="clear" w:color="auto" w:fill="auto"/>
            <w:vAlign w:val="center"/>
          </w:tcPr>
          <w:p w:rsidR="002F6FB2" w:rsidRPr="00280ABD" w:rsidRDefault="002F6FB2" w:rsidP="008404A4">
            <w:pPr>
              <w:pStyle w:val="Tabletext"/>
              <w:spacing w:before="40" w:after="40"/>
            </w:pPr>
            <w:r w:rsidRPr="00280ABD">
              <w:rPr>
                <w:sz w:val="19"/>
                <w:szCs w:val="19"/>
              </w:rPr>
              <w:t>Cost to PBS/RPBS</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6" w:type="pct"/>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r>
      <w:tr w:rsidR="002F6FB2" w:rsidRPr="00280ABD" w:rsidTr="00B96CCC">
        <w:tc>
          <w:tcPr>
            <w:tcW w:w="1119" w:type="pct"/>
            <w:shd w:val="clear" w:color="auto" w:fill="auto"/>
            <w:vAlign w:val="center"/>
          </w:tcPr>
          <w:p w:rsidR="002F6FB2" w:rsidRPr="00280ABD" w:rsidRDefault="002F6FB2" w:rsidP="008404A4">
            <w:pPr>
              <w:pStyle w:val="Tabletext"/>
              <w:spacing w:before="40" w:after="40"/>
              <w:rPr>
                <w:sz w:val="19"/>
                <w:szCs w:val="19"/>
              </w:rPr>
            </w:pPr>
            <w:r w:rsidRPr="00280ABD">
              <w:rPr>
                <w:sz w:val="19"/>
                <w:szCs w:val="19"/>
              </w:rPr>
              <w:t>Co</w:t>
            </w:r>
            <w:r>
              <w:rPr>
                <w:sz w:val="19"/>
                <w:szCs w:val="19"/>
              </w:rPr>
              <w:t>-</w:t>
            </w:r>
            <w:r w:rsidRPr="00280ABD">
              <w:rPr>
                <w:sz w:val="19"/>
                <w:szCs w:val="19"/>
              </w:rPr>
              <w:t>payments</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6" w:type="pct"/>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r>
      <w:tr w:rsidR="002F6FB2" w:rsidRPr="00280ABD" w:rsidTr="00B96CCC">
        <w:tc>
          <w:tcPr>
            <w:tcW w:w="1119" w:type="pct"/>
            <w:shd w:val="clear" w:color="auto" w:fill="auto"/>
            <w:vAlign w:val="center"/>
          </w:tcPr>
          <w:p w:rsidR="002F6FB2" w:rsidRPr="00280ABD" w:rsidRDefault="002F6FB2" w:rsidP="008404A4">
            <w:pPr>
              <w:pStyle w:val="Tabletext"/>
              <w:spacing w:before="40" w:after="40"/>
              <w:rPr>
                <w:sz w:val="19"/>
                <w:szCs w:val="19"/>
              </w:rPr>
            </w:pPr>
            <w:r w:rsidRPr="00280ABD">
              <w:rPr>
                <w:sz w:val="19"/>
                <w:szCs w:val="19"/>
              </w:rPr>
              <w:t>Cost to PBS/RPBS less co</w:t>
            </w:r>
            <w:r>
              <w:rPr>
                <w:sz w:val="19"/>
                <w:szCs w:val="19"/>
              </w:rPr>
              <w:noBreakHyphen/>
            </w:r>
            <w:r w:rsidRPr="00280ABD">
              <w:rPr>
                <w:sz w:val="19"/>
                <w:szCs w:val="19"/>
              </w:rPr>
              <w:t>payments</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6" w:type="pct"/>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r>
      <w:tr w:rsidR="002F6FB2" w:rsidRPr="00280ABD" w:rsidTr="00B96CCC">
        <w:tc>
          <w:tcPr>
            <w:tcW w:w="5000" w:type="pct"/>
            <w:gridSpan w:val="7"/>
            <w:shd w:val="clear" w:color="auto" w:fill="auto"/>
            <w:vAlign w:val="center"/>
          </w:tcPr>
          <w:p w:rsidR="002F6FB2" w:rsidRPr="00280ABD" w:rsidRDefault="002F6FB2" w:rsidP="008404A4">
            <w:pPr>
              <w:pStyle w:val="Tabletext"/>
              <w:spacing w:before="40" w:after="40"/>
              <w:rPr>
                <w:b/>
                <w:bCs/>
                <w:color w:val="000000"/>
              </w:rPr>
            </w:pPr>
            <w:r w:rsidRPr="00280ABD">
              <w:rPr>
                <w:b/>
                <w:bCs/>
                <w:color w:val="000000"/>
              </w:rPr>
              <w:t>Net financial implications</w:t>
            </w:r>
            <w:r w:rsidRPr="00280ABD">
              <w:rPr>
                <w:b/>
                <w:bCs/>
                <w:color w:val="4BACC6" w:themeColor="accent5"/>
              </w:rPr>
              <w:t xml:space="preserve"> </w:t>
            </w:r>
          </w:p>
        </w:tc>
      </w:tr>
      <w:tr w:rsidR="002F6FB2" w:rsidRPr="00280ABD" w:rsidTr="00B96CCC">
        <w:tc>
          <w:tcPr>
            <w:tcW w:w="1119" w:type="pct"/>
            <w:shd w:val="clear" w:color="auto" w:fill="auto"/>
            <w:vAlign w:val="center"/>
          </w:tcPr>
          <w:p w:rsidR="002F6FB2" w:rsidRPr="00280ABD" w:rsidRDefault="002F6FB2" w:rsidP="008404A4">
            <w:pPr>
              <w:pStyle w:val="Tabletext"/>
              <w:spacing w:before="40" w:after="40"/>
              <w:rPr>
                <w:sz w:val="19"/>
                <w:szCs w:val="19"/>
              </w:rPr>
            </w:pPr>
            <w:r w:rsidRPr="00280ABD">
              <w:t>Net PBS/RPBS cost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6" w:type="pct"/>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r>
      <w:tr w:rsidR="002F6FB2" w:rsidRPr="00280ABD" w:rsidTr="00B96CCC">
        <w:tc>
          <w:tcPr>
            <w:tcW w:w="1119" w:type="pct"/>
            <w:shd w:val="clear" w:color="auto" w:fill="auto"/>
            <w:vAlign w:val="center"/>
          </w:tcPr>
          <w:p w:rsidR="002F6FB2" w:rsidRPr="00280ABD" w:rsidRDefault="002F6FB2" w:rsidP="008404A4">
            <w:pPr>
              <w:pStyle w:val="Tabletext"/>
              <w:spacing w:before="40" w:after="40"/>
            </w:pPr>
            <w:r w:rsidRPr="00280ABD">
              <w:t>MBS costs</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7" w:type="pct"/>
            <w:shd w:val="clear" w:color="auto" w:fill="auto"/>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c>
          <w:tcPr>
            <w:tcW w:w="646" w:type="pct"/>
          </w:tcPr>
          <w:p w:rsidR="002F6FB2" w:rsidRPr="00280ABD" w:rsidRDefault="002F6FB2" w:rsidP="008404A4">
            <w:pPr>
              <w:pStyle w:val="Tabletext"/>
              <w:spacing w:before="40" w:after="40"/>
              <w:jc w:val="center"/>
              <w:rPr>
                <w:bCs/>
                <w:color w:val="000000"/>
              </w:rPr>
            </w:pPr>
            <w:r w:rsidRPr="00280ABD">
              <w:t>$</w:t>
            </w:r>
            <w:r w:rsidR="00145C02">
              <w:rPr>
                <w:noProof/>
                <w:color w:val="000000"/>
                <w:highlight w:val="black"/>
              </w:rPr>
              <w:t>'''''''''''''''''''''</w:t>
            </w:r>
          </w:p>
        </w:tc>
      </w:tr>
      <w:tr w:rsidR="002F6FB2" w:rsidRPr="00280ABD" w:rsidTr="00B96CCC">
        <w:tc>
          <w:tcPr>
            <w:tcW w:w="1119" w:type="pct"/>
            <w:shd w:val="clear" w:color="auto" w:fill="auto"/>
            <w:vAlign w:val="center"/>
          </w:tcPr>
          <w:p w:rsidR="002F6FB2" w:rsidRPr="00280ABD" w:rsidRDefault="002F6FB2" w:rsidP="008404A4">
            <w:pPr>
              <w:pStyle w:val="Tabletext"/>
              <w:spacing w:before="40" w:after="40"/>
              <w:rPr>
                <w:sz w:val="19"/>
                <w:szCs w:val="19"/>
              </w:rPr>
            </w:pPr>
            <w:r w:rsidRPr="00280ABD">
              <w:rPr>
                <w:b/>
              </w:rPr>
              <w:t>Total costs to government</w:t>
            </w:r>
          </w:p>
        </w:tc>
        <w:tc>
          <w:tcPr>
            <w:tcW w:w="647" w:type="pct"/>
            <w:shd w:val="clear" w:color="auto" w:fill="auto"/>
            <w:vAlign w:val="center"/>
          </w:tcPr>
          <w:p w:rsidR="002F6FB2" w:rsidRPr="00280ABD" w:rsidRDefault="002F6FB2" w:rsidP="008404A4">
            <w:pPr>
              <w:pStyle w:val="Tabletext"/>
              <w:spacing w:before="40" w:after="40"/>
              <w:jc w:val="center"/>
              <w:rPr>
                <w:bCs/>
                <w:color w:val="000000"/>
              </w:rPr>
            </w:pPr>
            <w:r w:rsidRPr="00280ABD">
              <w:rPr>
                <w:b/>
              </w:rPr>
              <w:t>$</w:t>
            </w:r>
            <w:r w:rsidR="00145C02">
              <w:rPr>
                <w:b/>
                <w:noProof/>
                <w:color w:val="000000"/>
                <w:highlight w:val="black"/>
              </w:rPr>
              <w:t>'''''''''''''''''''''''</w:t>
            </w:r>
          </w:p>
        </w:tc>
        <w:tc>
          <w:tcPr>
            <w:tcW w:w="647" w:type="pct"/>
            <w:shd w:val="clear" w:color="auto" w:fill="auto"/>
            <w:vAlign w:val="center"/>
          </w:tcPr>
          <w:p w:rsidR="002F6FB2" w:rsidRPr="00280ABD" w:rsidRDefault="002F6FB2" w:rsidP="008404A4">
            <w:pPr>
              <w:pStyle w:val="Tabletext"/>
              <w:spacing w:before="40" w:after="40"/>
              <w:jc w:val="center"/>
              <w:rPr>
                <w:bCs/>
                <w:color w:val="000000"/>
              </w:rPr>
            </w:pPr>
            <w:r w:rsidRPr="00280ABD">
              <w:rPr>
                <w:b/>
              </w:rPr>
              <w:t>$</w:t>
            </w:r>
            <w:r w:rsidR="00145C02">
              <w:rPr>
                <w:b/>
                <w:noProof/>
                <w:color w:val="000000"/>
                <w:highlight w:val="black"/>
              </w:rPr>
              <w:t>'''''''''''''''''''''</w:t>
            </w:r>
          </w:p>
        </w:tc>
        <w:tc>
          <w:tcPr>
            <w:tcW w:w="647" w:type="pct"/>
            <w:shd w:val="clear" w:color="auto" w:fill="auto"/>
            <w:vAlign w:val="center"/>
          </w:tcPr>
          <w:p w:rsidR="002F6FB2" w:rsidRPr="00280ABD" w:rsidRDefault="002F6FB2" w:rsidP="008404A4">
            <w:pPr>
              <w:pStyle w:val="Tabletext"/>
              <w:spacing w:before="40" w:after="40"/>
              <w:jc w:val="center"/>
              <w:rPr>
                <w:bCs/>
                <w:color w:val="000000"/>
              </w:rPr>
            </w:pPr>
            <w:r w:rsidRPr="00280ABD">
              <w:rPr>
                <w:b/>
              </w:rPr>
              <w:t>$</w:t>
            </w:r>
            <w:r w:rsidR="00145C02">
              <w:rPr>
                <w:b/>
                <w:noProof/>
                <w:color w:val="000000"/>
                <w:highlight w:val="black"/>
              </w:rPr>
              <w:t>''''''''''''''''''''</w:t>
            </w:r>
          </w:p>
        </w:tc>
        <w:tc>
          <w:tcPr>
            <w:tcW w:w="647" w:type="pct"/>
            <w:shd w:val="clear" w:color="auto" w:fill="auto"/>
            <w:vAlign w:val="center"/>
          </w:tcPr>
          <w:p w:rsidR="002F6FB2" w:rsidRPr="00280ABD" w:rsidRDefault="002F6FB2" w:rsidP="008404A4">
            <w:pPr>
              <w:pStyle w:val="Tabletext"/>
              <w:spacing w:before="40" w:after="40"/>
              <w:jc w:val="center"/>
              <w:rPr>
                <w:bCs/>
                <w:color w:val="000000"/>
              </w:rPr>
            </w:pPr>
            <w:r w:rsidRPr="00280ABD">
              <w:rPr>
                <w:b/>
              </w:rPr>
              <w:t>$</w:t>
            </w:r>
            <w:r w:rsidR="00145C02">
              <w:rPr>
                <w:b/>
                <w:noProof/>
                <w:color w:val="000000"/>
                <w:highlight w:val="black"/>
              </w:rPr>
              <w:t>''''''''''''''''''''''''''</w:t>
            </w:r>
          </w:p>
        </w:tc>
        <w:tc>
          <w:tcPr>
            <w:tcW w:w="647" w:type="pct"/>
            <w:shd w:val="clear" w:color="auto" w:fill="auto"/>
            <w:vAlign w:val="center"/>
          </w:tcPr>
          <w:p w:rsidR="002F6FB2" w:rsidRPr="00280ABD" w:rsidRDefault="002F6FB2" w:rsidP="008404A4">
            <w:pPr>
              <w:pStyle w:val="Tabletext"/>
              <w:spacing w:before="40" w:after="40"/>
              <w:jc w:val="center"/>
              <w:rPr>
                <w:bCs/>
                <w:color w:val="000000"/>
              </w:rPr>
            </w:pPr>
            <w:r w:rsidRPr="00280ABD">
              <w:rPr>
                <w:b/>
              </w:rPr>
              <w:t>$</w:t>
            </w:r>
            <w:r w:rsidR="00145C02">
              <w:rPr>
                <w:b/>
                <w:noProof/>
                <w:color w:val="000000"/>
                <w:highlight w:val="black"/>
              </w:rPr>
              <w:t>''''''''''''''''''''''</w:t>
            </w:r>
          </w:p>
        </w:tc>
        <w:tc>
          <w:tcPr>
            <w:tcW w:w="646" w:type="pct"/>
            <w:vAlign w:val="center"/>
          </w:tcPr>
          <w:p w:rsidR="002F6FB2" w:rsidRPr="00280ABD" w:rsidRDefault="002F6FB2" w:rsidP="008404A4">
            <w:pPr>
              <w:pStyle w:val="Tabletext"/>
              <w:spacing w:before="40" w:after="40"/>
              <w:jc w:val="center"/>
              <w:rPr>
                <w:bCs/>
                <w:color w:val="000000"/>
              </w:rPr>
            </w:pPr>
            <w:r w:rsidRPr="00280ABD">
              <w:rPr>
                <w:b/>
              </w:rPr>
              <w:t>$</w:t>
            </w:r>
            <w:r w:rsidR="00145C02">
              <w:rPr>
                <w:b/>
                <w:noProof/>
                <w:color w:val="000000"/>
                <w:highlight w:val="black"/>
              </w:rPr>
              <w:t>''''''''''''''''''''''''''</w:t>
            </w:r>
          </w:p>
        </w:tc>
      </w:tr>
    </w:tbl>
    <w:p w:rsidR="002F6FB2" w:rsidRPr="00280ABD" w:rsidRDefault="002F6FB2" w:rsidP="008404A4">
      <w:pPr>
        <w:pStyle w:val="TableFooter"/>
        <w:widowControl/>
        <w:tabs>
          <w:tab w:val="left" w:pos="142"/>
        </w:tabs>
      </w:pPr>
      <w:r w:rsidRPr="00280ABD">
        <w:rPr>
          <w:vertAlign w:val="superscript"/>
        </w:rPr>
        <w:t>a</w:t>
      </w:r>
      <w:r w:rsidRPr="00280ABD">
        <w:tab/>
        <w:t>Assuming 17.</w:t>
      </w:r>
      <w:r w:rsidR="00031F30">
        <w:t>7</w:t>
      </w:r>
      <w:r w:rsidR="00031F30" w:rsidRPr="00280ABD">
        <w:t xml:space="preserve">5 </w:t>
      </w:r>
      <w:r w:rsidRPr="00280ABD">
        <w:t>scripts per year as estimated by the submission.</w:t>
      </w:r>
    </w:p>
    <w:p w:rsidR="002F6FB2" w:rsidRDefault="002F6FB2" w:rsidP="008404A4">
      <w:pPr>
        <w:pStyle w:val="TableFooter"/>
        <w:widowControl/>
      </w:pPr>
      <w:r w:rsidRPr="00280ABD">
        <w:t>Source: Tables 4.2.1-4.2.3, 4.2.6 4.2.7, 4.2.9, and 4.5.2, pp153-161</w:t>
      </w:r>
      <w:r>
        <w:t xml:space="preserve"> of the submission</w:t>
      </w:r>
      <w:r w:rsidRPr="00280ABD">
        <w:t>. MBS = Medicare Benefits Schedule; PBS = Pharmaceutical Benefits Scheme; RPBS = Repatriation Pharmaceutical Benefits Scheme</w:t>
      </w:r>
    </w:p>
    <w:p w:rsidR="00E340AD" w:rsidRPr="00FB4B94" w:rsidRDefault="00E340AD" w:rsidP="008404A4">
      <w:pPr>
        <w:pStyle w:val="TableFooter"/>
        <w:widowControl/>
        <w:spacing w:before="120" w:after="120"/>
        <w:rPr>
          <w:rFonts w:asciiTheme="minorHAnsi" w:hAnsiTheme="minorHAnsi" w:cstheme="minorHAnsi"/>
          <w:i/>
          <w:sz w:val="24"/>
          <w:szCs w:val="24"/>
        </w:rPr>
      </w:pPr>
      <w:r w:rsidRPr="00FB4B94">
        <w:rPr>
          <w:rFonts w:asciiTheme="minorHAnsi" w:hAnsiTheme="minorHAnsi" w:cstheme="minorHAnsi"/>
          <w:i/>
          <w:sz w:val="24"/>
          <w:szCs w:val="24"/>
        </w:rPr>
        <w:t>The redacted table shows that at Year 6, the estimated number of patients was less than 10,000 per year and the net cost to the PBS</w:t>
      </w:r>
      <w:r w:rsidR="00FB4B94">
        <w:rPr>
          <w:rFonts w:asciiTheme="minorHAnsi" w:hAnsiTheme="minorHAnsi" w:cstheme="minorHAnsi"/>
          <w:i/>
          <w:sz w:val="24"/>
          <w:szCs w:val="24"/>
        </w:rPr>
        <w:t>/RBPS</w:t>
      </w:r>
      <w:r w:rsidRPr="00FB4B94">
        <w:rPr>
          <w:rFonts w:asciiTheme="minorHAnsi" w:hAnsiTheme="minorHAnsi" w:cstheme="minorHAnsi"/>
          <w:i/>
          <w:sz w:val="24"/>
          <w:szCs w:val="24"/>
        </w:rPr>
        <w:t xml:space="preserve"> would be more than $100 million per year. </w:t>
      </w:r>
    </w:p>
    <w:p w:rsidR="002F6FB2" w:rsidRDefault="002F6FB2" w:rsidP="008404A4">
      <w:pPr>
        <w:pStyle w:val="ListParagraph"/>
        <w:widowControl/>
        <w:numPr>
          <w:ilvl w:val="1"/>
          <w:numId w:val="2"/>
        </w:numPr>
      </w:pPr>
      <w:r w:rsidRPr="00AE7316">
        <w:t>The submission</w:t>
      </w:r>
      <w:r w:rsidR="00AE7316" w:rsidRPr="00AE7316">
        <w:t xml:space="preserve"> initially</w:t>
      </w:r>
      <w:r w:rsidRPr="00AE7316">
        <w:t xml:space="preserve"> estimated that the total cost to Government would be </w:t>
      </w:r>
      <w:r w:rsidR="00FA6F6C">
        <w:t xml:space="preserve">more than $100 million </w:t>
      </w:r>
      <w:r w:rsidRPr="00AE7316">
        <w:t xml:space="preserve">in year 6. However, </w:t>
      </w:r>
      <w:r w:rsidR="00AE7316" w:rsidRPr="00AE7316">
        <w:t xml:space="preserve">the </w:t>
      </w:r>
      <w:r w:rsidRPr="00AE7316">
        <w:t xml:space="preserve">DUSC noted that the financial implications did not account for cost-offsets associated with the lower use of subsequent immunotherapies. </w:t>
      </w:r>
    </w:p>
    <w:p w:rsidR="00E348E9" w:rsidRPr="00AE7316" w:rsidRDefault="002F6FB2" w:rsidP="008404A4">
      <w:pPr>
        <w:pStyle w:val="ListParagraph"/>
        <w:widowControl/>
        <w:numPr>
          <w:ilvl w:val="1"/>
          <w:numId w:val="2"/>
        </w:numPr>
        <w:spacing w:after="0"/>
      </w:pPr>
      <w:r w:rsidRPr="00AE7316">
        <w:t>The Pre-PBAC response included a revised estimated use and financial implications</w:t>
      </w:r>
      <w:r w:rsidR="00E348E9" w:rsidRPr="00AE7316">
        <w:t xml:space="preserve"> based on applying the following </w:t>
      </w:r>
      <w:r w:rsidR="000D5323">
        <w:t xml:space="preserve">changes </w:t>
      </w:r>
      <w:r w:rsidR="00AE7316" w:rsidRPr="00AE7316">
        <w:t>as well as the lower price offered as part of the Pre-PBAC response</w:t>
      </w:r>
      <w:r w:rsidR="00E348E9" w:rsidRPr="00AE7316">
        <w:t>:</w:t>
      </w:r>
    </w:p>
    <w:p w:rsidR="00CF766D" w:rsidRDefault="00E348E9" w:rsidP="00CF766D">
      <w:pPr>
        <w:pStyle w:val="ListParagraph"/>
        <w:widowControl/>
        <w:numPr>
          <w:ilvl w:val="0"/>
          <w:numId w:val="16"/>
        </w:numPr>
        <w:spacing w:before="40" w:after="0"/>
        <w:ind w:left="993" w:hanging="284"/>
        <w:rPr>
          <w:rFonts w:cs="Calibri"/>
          <w:snapToGrid/>
          <w:szCs w:val="24"/>
          <w:lang w:val="en-US" w:eastAsia="en-AU"/>
        </w:rPr>
      </w:pPr>
      <w:r w:rsidRPr="00AE7316">
        <w:t xml:space="preserve">80% of </w:t>
      </w:r>
      <w:r w:rsidRPr="00AE7316">
        <w:rPr>
          <w:rFonts w:cs="Calibri"/>
          <w:snapToGrid/>
          <w:szCs w:val="24"/>
          <w:lang w:val="en-US" w:eastAsia="en-AU"/>
        </w:rPr>
        <w:t>lung cancers are assumed to be NSCLC</w:t>
      </w:r>
      <w:r w:rsidR="00A01F61">
        <w:rPr>
          <w:rFonts w:cs="Calibri"/>
          <w:snapToGrid/>
          <w:szCs w:val="24"/>
          <w:lang w:val="en-US" w:eastAsia="en-AU"/>
        </w:rPr>
        <w:t>.</w:t>
      </w:r>
    </w:p>
    <w:p w:rsidR="00E348E9" w:rsidRPr="00CF766D" w:rsidRDefault="00CF766D" w:rsidP="00CF766D">
      <w:pPr>
        <w:pStyle w:val="ListParagraph"/>
        <w:widowControl/>
        <w:numPr>
          <w:ilvl w:val="0"/>
          <w:numId w:val="16"/>
        </w:numPr>
        <w:spacing w:before="40" w:after="0"/>
        <w:ind w:left="993" w:hanging="284"/>
        <w:rPr>
          <w:rFonts w:cs="Calibri"/>
          <w:snapToGrid/>
          <w:szCs w:val="24"/>
          <w:lang w:val="en-US" w:eastAsia="en-AU"/>
        </w:rPr>
      </w:pPr>
      <w:r w:rsidRPr="00CF766D">
        <w:rPr>
          <w:rFonts w:cs="Calibri"/>
          <w:snapToGrid/>
          <w:szCs w:val="24"/>
          <w:lang w:val="en-US" w:eastAsia="en-AU"/>
        </w:rPr>
        <w:t>Proportion</w:t>
      </w:r>
      <w:r w:rsidR="00E348E9" w:rsidRPr="00AE7316">
        <w:t xml:space="preserve"> of patients recei</w:t>
      </w:r>
      <w:r w:rsidR="001F0A0D">
        <w:t xml:space="preserve">ving first line chemoradiation </w:t>
      </w:r>
      <w:r w:rsidR="00E348E9" w:rsidRPr="00AE7316">
        <w:t>70% in year 1, 75% in year 2 and 80% in years 3-6.</w:t>
      </w:r>
    </w:p>
    <w:p w:rsidR="00E348E9" w:rsidRDefault="00E348E9" w:rsidP="008404A4">
      <w:pPr>
        <w:pStyle w:val="ListParagraph"/>
        <w:widowControl/>
      </w:pPr>
      <w:r w:rsidRPr="00AE7316">
        <w:t>The Pre-PBAC response did not include cost-offsets from later line immunotherapy use</w:t>
      </w:r>
      <w:r w:rsidR="00AE7316" w:rsidRPr="00AE7316">
        <w:t>.</w:t>
      </w:r>
      <w:r w:rsidRPr="00AE7316">
        <w:t xml:space="preserve"> </w:t>
      </w:r>
    </w:p>
    <w:p w:rsidR="000D5323" w:rsidRDefault="000D5323" w:rsidP="008404A4">
      <w:pPr>
        <w:widowControl/>
        <w:spacing w:after="120"/>
        <w:ind w:left="720"/>
      </w:pPr>
      <w:r>
        <w:t>The PBAC considered the DUSC advice on the proportion of patients who would receive first-line chemoradiation to be reasonable.</w:t>
      </w:r>
    </w:p>
    <w:p w:rsidR="00E348E9" w:rsidRPr="00AE7316" w:rsidRDefault="00E348E9" w:rsidP="008404A4">
      <w:pPr>
        <w:widowControl/>
        <w:spacing w:after="120"/>
        <w:ind w:left="720"/>
      </w:pPr>
      <w:r w:rsidRPr="00AE7316">
        <w:t>The</w:t>
      </w:r>
      <w:r w:rsidR="00AE7316" w:rsidRPr="00AE7316">
        <w:t xml:space="preserve"> initial and</w:t>
      </w:r>
      <w:r w:rsidRPr="00AE7316">
        <w:t xml:space="preserve"> revised financial implications </w:t>
      </w:r>
      <w:r w:rsidR="00AE7316" w:rsidRPr="00AE7316">
        <w:t xml:space="preserve">calculated by the sponsor </w:t>
      </w:r>
      <w:r w:rsidRPr="00AE7316">
        <w:t xml:space="preserve">are presented </w:t>
      </w:r>
      <w:r w:rsidR="00AE7316" w:rsidRPr="00AE7316">
        <w:t>in Table 1</w:t>
      </w:r>
      <w:r w:rsidR="000D5323">
        <w:t>5</w:t>
      </w:r>
      <w:r w:rsidR="00AE7316" w:rsidRPr="00AE7316">
        <w:t xml:space="preserve">. </w:t>
      </w:r>
    </w:p>
    <w:p w:rsidR="00CB1073" w:rsidRDefault="00CB1073">
      <w:pPr>
        <w:widowControl/>
        <w:jc w:val="left"/>
        <w:rPr>
          <w:rFonts w:ascii="Arial Narrow" w:eastAsiaTheme="majorEastAsia" w:hAnsi="Arial Narrow"/>
          <w:b/>
          <w:snapToGrid/>
          <w:sz w:val="20"/>
          <w:szCs w:val="20"/>
          <w:lang w:eastAsia="en-AU" w:bidi="en-US"/>
        </w:rPr>
      </w:pPr>
      <w:r>
        <w:br w:type="page"/>
      </w:r>
    </w:p>
    <w:p w:rsidR="00E348E9" w:rsidRPr="00A01F61" w:rsidRDefault="00E348E9" w:rsidP="008404A4">
      <w:pPr>
        <w:pStyle w:val="TableHeading0"/>
      </w:pPr>
      <w:r>
        <w:t xml:space="preserve">Table </w:t>
      </w:r>
      <w:r w:rsidR="00FA3901">
        <w:rPr>
          <w:noProof/>
        </w:rPr>
        <w:t>15</w:t>
      </w:r>
      <w:r>
        <w:t xml:space="preserve">: </w:t>
      </w:r>
      <w:r w:rsidRPr="00A01F61">
        <w:t>Estimated use and financial implications following DUSC advice, applying the effective price in the submission and the revised effective price in the Pre-PBAC response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Estimated use and financial implications following DUSC advice, applying the effective price in the submission and the revised effective price in the Pre-PBAC response"/>
      </w:tblPr>
      <w:tblGrid>
        <w:gridCol w:w="2016"/>
        <w:gridCol w:w="1166"/>
        <w:gridCol w:w="1165"/>
        <w:gridCol w:w="1165"/>
        <w:gridCol w:w="1165"/>
        <w:gridCol w:w="1165"/>
        <w:gridCol w:w="1163"/>
      </w:tblGrid>
      <w:tr w:rsidR="00E348E9" w:rsidRPr="00280ABD" w:rsidTr="00B96CCC">
        <w:trPr>
          <w:tblHeader/>
        </w:trPr>
        <w:tc>
          <w:tcPr>
            <w:tcW w:w="1119" w:type="pct"/>
            <w:shd w:val="clear" w:color="auto" w:fill="auto"/>
            <w:vAlign w:val="center"/>
          </w:tcPr>
          <w:p w:rsidR="00E348E9" w:rsidRPr="00280ABD" w:rsidRDefault="00E348E9" w:rsidP="008404A4">
            <w:pPr>
              <w:pStyle w:val="Tabletext"/>
              <w:spacing w:before="40" w:after="40"/>
            </w:pPr>
          </w:p>
        </w:tc>
        <w:tc>
          <w:tcPr>
            <w:tcW w:w="647" w:type="pct"/>
            <w:shd w:val="clear" w:color="auto" w:fill="auto"/>
            <w:vAlign w:val="center"/>
          </w:tcPr>
          <w:p w:rsidR="00E348E9" w:rsidRPr="00280ABD" w:rsidRDefault="00E348E9" w:rsidP="008404A4">
            <w:pPr>
              <w:pStyle w:val="Tabletext"/>
              <w:spacing w:before="40" w:after="40"/>
              <w:jc w:val="center"/>
              <w:rPr>
                <w:b/>
              </w:rPr>
            </w:pPr>
            <w:r w:rsidRPr="00280ABD">
              <w:rPr>
                <w:b/>
              </w:rPr>
              <w:t>Year 1</w:t>
            </w:r>
          </w:p>
        </w:tc>
        <w:tc>
          <w:tcPr>
            <w:tcW w:w="647" w:type="pct"/>
            <w:shd w:val="clear" w:color="auto" w:fill="auto"/>
            <w:vAlign w:val="center"/>
          </w:tcPr>
          <w:p w:rsidR="00E348E9" w:rsidRPr="00280ABD" w:rsidRDefault="00E348E9" w:rsidP="008404A4">
            <w:pPr>
              <w:pStyle w:val="Tabletext"/>
              <w:spacing w:before="40" w:after="40"/>
              <w:jc w:val="center"/>
              <w:rPr>
                <w:b/>
              </w:rPr>
            </w:pPr>
            <w:r w:rsidRPr="00280ABD">
              <w:rPr>
                <w:b/>
              </w:rPr>
              <w:t>Year 2</w:t>
            </w:r>
          </w:p>
        </w:tc>
        <w:tc>
          <w:tcPr>
            <w:tcW w:w="647" w:type="pct"/>
            <w:shd w:val="clear" w:color="auto" w:fill="auto"/>
            <w:vAlign w:val="center"/>
          </w:tcPr>
          <w:p w:rsidR="00E348E9" w:rsidRPr="00280ABD" w:rsidRDefault="00E348E9" w:rsidP="008404A4">
            <w:pPr>
              <w:pStyle w:val="Tabletext"/>
              <w:spacing w:before="40" w:after="40"/>
              <w:jc w:val="center"/>
              <w:rPr>
                <w:b/>
              </w:rPr>
            </w:pPr>
            <w:r w:rsidRPr="00280ABD">
              <w:rPr>
                <w:b/>
              </w:rPr>
              <w:t>Year 3</w:t>
            </w:r>
          </w:p>
        </w:tc>
        <w:tc>
          <w:tcPr>
            <w:tcW w:w="647" w:type="pct"/>
            <w:shd w:val="clear" w:color="auto" w:fill="auto"/>
            <w:vAlign w:val="center"/>
          </w:tcPr>
          <w:p w:rsidR="00E348E9" w:rsidRPr="00280ABD" w:rsidRDefault="00E348E9" w:rsidP="008404A4">
            <w:pPr>
              <w:pStyle w:val="Tabletext"/>
              <w:spacing w:before="40" w:after="40"/>
              <w:jc w:val="center"/>
              <w:rPr>
                <w:b/>
              </w:rPr>
            </w:pPr>
            <w:r w:rsidRPr="00280ABD">
              <w:rPr>
                <w:b/>
              </w:rPr>
              <w:t>Year 4</w:t>
            </w:r>
          </w:p>
        </w:tc>
        <w:tc>
          <w:tcPr>
            <w:tcW w:w="647" w:type="pct"/>
            <w:shd w:val="clear" w:color="auto" w:fill="auto"/>
            <w:vAlign w:val="center"/>
          </w:tcPr>
          <w:p w:rsidR="00E348E9" w:rsidRPr="00280ABD" w:rsidRDefault="00E348E9" w:rsidP="008404A4">
            <w:pPr>
              <w:pStyle w:val="Tabletext"/>
              <w:spacing w:before="40" w:after="40"/>
              <w:jc w:val="center"/>
              <w:rPr>
                <w:b/>
              </w:rPr>
            </w:pPr>
            <w:r w:rsidRPr="00280ABD">
              <w:rPr>
                <w:b/>
              </w:rPr>
              <w:t>Year 5</w:t>
            </w:r>
          </w:p>
        </w:tc>
        <w:tc>
          <w:tcPr>
            <w:tcW w:w="646" w:type="pct"/>
          </w:tcPr>
          <w:p w:rsidR="00E348E9" w:rsidRPr="00280ABD" w:rsidRDefault="00E348E9" w:rsidP="008404A4">
            <w:pPr>
              <w:pStyle w:val="Tabletext"/>
              <w:spacing w:before="40" w:after="40"/>
              <w:jc w:val="center"/>
              <w:rPr>
                <w:b/>
              </w:rPr>
            </w:pPr>
            <w:r w:rsidRPr="00280ABD">
              <w:rPr>
                <w:b/>
              </w:rPr>
              <w:t>Year 6</w:t>
            </w:r>
          </w:p>
        </w:tc>
      </w:tr>
      <w:tr w:rsidR="00E348E9" w:rsidRPr="00280ABD" w:rsidTr="00B96CCC">
        <w:trPr>
          <w:trHeight w:val="119"/>
        </w:trPr>
        <w:tc>
          <w:tcPr>
            <w:tcW w:w="5000" w:type="pct"/>
            <w:gridSpan w:val="7"/>
            <w:shd w:val="clear" w:color="auto" w:fill="auto"/>
            <w:vAlign w:val="center"/>
          </w:tcPr>
          <w:p w:rsidR="00E348E9" w:rsidRPr="00280ABD" w:rsidRDefault="00E348E9" w:rsidP="008404A4">
            <w:pPr>
              <w:pStyle w:val="Tabletext"/>
              <w:spacing w:before="40" w:after="40"/>
              <w:rPr>
                <w:b/>
                <w:bCs/>
                <w:color w:val="000000"/>
              </w:rPr>
            </w:pPr>
            <w:r w:rsidRPr="00280ABD">
              <w:rPr>
                <w:b/>
                <w:bCs/>
                <w:color w:val="000000"/>
              </w:rPr>
              <w:t>Estimated extent of use</w:t>
            </w:r>
          </w:p>
        </w:tc>
      </w:tr>
      <w:tr w:rsidR="00E348E9" w:rsidRPr="00280ABD" w:rsidTr="00B96CCC">
        <w:tc>
          <w:tcPr>
            <w:tcW w:w="1119" w:type="pct"/>
            <w:shd w:val="clear" w:color="auto" w:fill="auto"/>
            <w:vAlign w:val="center"/>
          </w:tcPr>
          <w:p w:rsidR="00E348E9" w:rsidRPr="00280ABD" w:rsidRDefault="00E348E9" w:rsidP="008404A4">
            <w:pPr>
              <w:pStyle w:val="Tabletext"/>
              <w:spacing w:before="40" w:after="40"/>
            </w:pPr>
            <w:r w:rsidRPr="00280ABD">
              <w:t xml:space="preserve">Treated patients </w:t>
            </w:r>
          </w:p>
        </w:tc>
        <w:tc>
          <w:tcPr>
            <w:tcW w:w="647" w:type="pct"/>
            <w:shd w:val="clear" w:color="auto" w:fill="auto"/>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7" w:type="pct"/>
            <w:shd w:val="clear" w:color="auto" w:fill="auto"/>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7" w:type="pct"/>
            <w:shd w:val="clear" w:color="auto" w:fill="auto"/>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7" w:type="pct"/>
            <w:shd w:val="clear" w:color="auto" w:fill="auto"/>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7" w:type="pct"/>
            <w:shd w:val="clear" w:color="auto" w:fill="auto"/>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6" w:type="pct"/>
          </w:tcPr>
          <w:p w:rsidR="00E348E9" w:rsidRPr="00145C02" w:rsidRDefault="00145C02" w:rsidP="008404A4">
            <w:pPr>
              <w:pStyle w:val="Tabletext"/>
              <w:spacing w:before="40" w:after="40"/>
              <w:jc w:val="center"/>
              <w:rPr>
                <w:highlight w:val="black"/>
              </w:rPr>
            </w:pPr>
            <w:r>
              <w:rPr>
                <w:noProof/>
                <w:color w:val="000000"/>
                <w:highlight w:val="black"/>
              </w:rPr>
              <w:t>''''''''''''''</w:t>
            </w:r>
          </w:p>
        </w:tc>
      </w:tr>
      <w:tr w:rsidR="00E348E9" w:rsidRPr="00280ABD" w:rsidTr="00304198">
        <w:tc>
          <w:tcPr>
            <w:tcW w:w="1119" w:type="pct"/>
            <w:shd w:val="clear" w:color="auto" w:fill="auto"/>
            <w:vAlign w:val="center"/>
          </w:tcPr>
          <w:p w:rsidR="00E348E9" w:rsidRPr="00280ABD" w:rsidRDefault="00E348E9" w:rsidP="008404A4">
            <w:pPr>
              <w:pStyle w:val="Tabletext"/>
              <w:spacing w:before="40" w:after="40"/>
              <w:rPr>
                <w:vertAlign w:val="superscript"/>
              </w:rPr>
            </w:pPr>
            <w:r w:rsidRPr="00280ABD">
              <w:t>Total prescriptions</w:t>
            </w:r>
            <w:r w:rsidRPr="00280ABD">
              <w:rPr>
                <w:vertAlign w:val="superscript"/>
              </w:rPr>
              <w:t>a</w:t>
            </w:r>
          </w:p>
        </w:tc>
        <w:tc>
          <w:tcPr>
            <w:tcW w:w="647" w:type="pct"/>
            <w:shd w:val="clear" w:color="auto" w:fill="auto"/>
            <w:vAlign w:val="center"/>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7" w:type="pct"/>
            <w:shd w:val="clear" w:color="auto" w:fill="auto"/>
            <w:vAlign w:val="center"/>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7" w:type="pct"/>
            <w:shd w:val="clear" w:color="auto" w:fill="auto"/>
            <w:vAlign w:val="center"/>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7" w:type="pct"/>
            <w:shd w:val="clear" w:color="auto" w:fill="auto"/>
            <w:vAlign w:val="center"/>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7" w:type="pct"/>
            <w:shd w:val="clear" w:color="auto" w:fill="auto"/>
            <w:vAlign w:val="center"/>
          </w:tcPr>
          <w:p w:rsidR="00E348E9" w:rsidRPr="00145C02" w:rsidRDefault="00145C02" w:rsidP="008404A4">
            <w:pPr>
              <w:pStyle w:val="Tabletext"/>
              <w:spacing w:before="40" w:after="40"/>
              <w:jc w:val="center"/>
              <w:rPr>
                <w:highlight w:val="black"/>
              </w:rPr>
            </w:pPr>
            <w:r>
              <w:rPr>
                <w:noProof/>
                <w:color w:val="000000"/>
                <w:highlight w:val="black"/>
              </w:rPr>
              <w:t>''''''''''''''''</w:t>
            </w:r>
          </w:p>
        </w:tc>
        <w:tc>
          <w:tcPr>
            <w:tcW w:w="646" w:type="pct"/>
            <w:vAlign w:val="center"/>
          </w:tcPr>
          <w:p w:rsidR="00E348E9" w:rsidRPr="00145C02" w:rsidRDefault="00145C02" w:rsidP="008404A4">
            <w:pPr>
              <w:pStyle w:val="Tabletext"/>
              <w:spacing w:before="40" w:after="40"/>
              <w:jc w:val="center"/>
              <w:rPr>
                <w:highlight w:val="black"/>
              </w:rPr>
            </w:pPr>
            <w:r>
              <w:rPr>
                <w:noProof/>
                <w:color w:val="000000"/>
                <w:highlight w:val="black"/>
              </w:rPr>
              <w:t>''''''''''''''''''</w:t>
            </w:r>
          </w:p>
        </w:tc>
      </w:tr>
      <w:tr w:rsidR="00E348E9" w:rsidRPr="00280ABD" w:rsidTr="00B96CCC">
        <w:tc>
          <w:tcPr>
            <w:tcW w:w="5000" w:type="pct"/>
            <w:gridSpan w:val="7"/>
            <w:shd w:val="clear" w:color="auto" w:fill="auto"/>
            <w:vAlign w:val="center"/>
          </w:tcPr>
          <w:p w:rsidR="00E348E9" w:rsidRPr="00280ABD" w:rsidRDefault="00E348E9" w:rsidP="008404A4">
            <w:pPr>
              <w:pStyle w:val="Tabletext"/>
              <w:spacing w:before="40" w:after="40"/>
              <w:rPr>
                <w:b/>
                <w:bCs/>
                <w:color w:val="000000"/>
              </w:rPr>
            </w:pPr>
            <w:r w:rsidRPr="00280ABD">
              <w:rPr>
                <w:b/>
                <w:bCs/>
                <w:color w:val="000000"/>
              </w:rPr>
              <w:t>Estimated financial implications of durvalumab</w:t>
            </w:r>
            <w:r>
              <w:rPr>
                <w:b/>
                <w:bCs/>
                <w:color w:val="000000"/>
              </w:rPr>
              <w:t xml:space="preserve"> (submission proposed effective price)</w:t>
            </w:r>
          </w:p>
        </w:tc>
      </w:tr>
      <w:tr w:rsidR="00E348E9" w:rsidRPr="00280ABD" w:rsidTr="00304198">
        <w:tc>
          <w:tcPr>
            <w:tcW w:w="1119" w:type="pct"/>
            <w:shd w:val="clear" w:color="auto" w:fill="auto"/>
            <w:vAlign w:val="center"/>
          </w:tcPr>
          <w:p w:rsidR="00E348E9" w:rsidRPr="00280ABD" w:rsidRDefault="00E348E9" w:rsidP="008404A4">
            <w:pPr>
              <w:pStyle w:val="Tabletext"/>
              <w:spacing w:before="40" w:after="40"/>
            </w:pPr>
            <w:r w:rsidRPr="00280ABD">
              <w:rPr>
                <w:sz w:val="19"/>
                <w:szCs w:val="19"/>
              </w:rPr>
              <w:t>Cost to PBS/RPBS</w:t>
            </w:r>
            <w:r>
              <w:rPr>
                <w:sz w:val="19"/>
                <w:szCs w:val="19"/>
              </w:rPr>
              <w:t xml:space="preserve"> (less co-payment)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6" w:type="pct"/>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r>
      <w:tr w:rsidR="00E348E9" w:rsidRPr="00280ABD" w:rsidTr="00304198">
        <w:tc>
          <w:tcPr>
            <w:tcW w:w="1119" w:type="pct"/>
            <w:shd w:val="clear" w:color="auto" w:fill="auto"/>
            <w:vAlign w:val="center"/>
          </w:tcPr>
          <w:p w:rsidR="00E348E9" w:rsidRPr="00280ABD" w:rsidRDefault="00E348E9" w:rsidP="008404A4">
            <w:pPr>
              <w:pStyle w:val="Tabletext"/>
              <w:spacing w:before="40" w:after="40"/>
              <w:rPr>
                <w:sz w:val="19"/>
                <w:szCs w:val="19"/>
              </w:rPr>
            </w:pPr>
            <w:r>
              <w:rPr>
                <w:sz w:val="19"/>
                <w:szCs w:val="19"/>
              </w:rPr>
              <w:t>Cost to government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7" w:type="pct"/>
            <w:shd w:val="clear" w:color="auto" w:fill="auto"/>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c>
          <w:tcPr>
            <w:tcW w:w="646" w:type="pct"/>
            <w:vAlign w:val="center"/>
          </w:tcPr>
          <w:p w:rsidR="00E348E9" w:rsidRPr="00E348E9" w:rsidRDefault="00E348E9" w:rsidP="008404A4">
            <w:pPr>
              <w:pStyle w:val="Tabletext"/>
              <w:spacing w:before="40" w:after="40"/>
              <w:jc w:val="center"/>
            </w:pPr>
            <w:r w:rsidRPr="00463084">
              <w:t>$</w:t>
            </w:r>
            <w:r w:rsidR="00145C02">
              <w:rPr>
                <w:noProof/>
                <w:color w:val="000000"/>
                <w:highlight w:val="black"/>
              </w:rPr>
              <w:t>''''''''''''''''''''''''''''''''</w:t>
            </w:r>
          </w:p>
        </w:tc>
      </w:tr>
      <w:tr w:rsidR="00E348E9" w:rsidRPr="00280ABD" w:rsidTr="00B96CCC">
        <w:tc>
          <w:tcPr>
            <w:tcW w:w="5000" w:type="pct"/>
            <w:gridSpan w:val="7"/>
            <w:shd w:val="clear" w:color="auto" w:fill="auto"/>
            <w:vAlign w:val="center"/>
          </w:tcPr>
          <w:p w:rsidR="00E348E9" w:rsidRPr="00280ABD" w:rsidRDefault="00E348E9" w:rsidP="008404A4">
            <w:pPr>
              <w:pStyle w:val="Tabletext"/>
              <w:spacing w:before="40" w:after="40"/>
              <w:rPr>
                <w:b/>
                <w:bCs/>
                <w:color w:val="000000"/>
              </w:rPr>
            </w:pPr>
            <w:r w:rsidRPr="00280ABD">
              <w:rPr>
                <w:b/>
                <w:bCs/>
                <w:color w:val="000000"/>
              </w:rPr>
              <w:t>Estimated financial implications of durvalumab</w:t>
            </w:r>
            <w:r>
              <w:rPr>
                <w:b/>
                <w:bCs/>
                <w:color w:val="000000"/>
              </w:rPr>
              <w:t xml:space="preserve"> (Pre-PBAC proposed effective price)</w:t>
            </w:r>
          </w:p>
        </w:tc>
      </w:tr>
      <w:tr w:rsidR="00E348E9" w:rsidRPr="00280ABD" w:rsidTr="00304198">
        <w:tc>
          <w:tcPr>
            <w:tcW w:w="1119" w:type="pct"/>
            <w:shd w:val="clear" w:color="auto" w:fill="auto"/>
            <w:vAlign w:val="center"/>
          </w:tcPr>
          <w:p w:rsidR="00E348E9" w:rsidRPr="00280ABD" w:rsidRDefault="00E348E9" w:rsidP="008404A4">
            <w:pPr>
              <w:pStyle w:val="Tabletext"/>
              <w:spacing w:before="40" w:after="40"/>
              <w:rPr>
                <w:sz w:val="19"/>
                <w:szCs w:val="19"/>
              </w:rPr>
            </w:pPr>
            <w:r w:rsidRPr="00280ABD">
              <w:rPr>
                <w:sz w:val="19"/>
                <w:szCs w:val="19"/>
              </w:rPr>
              <w:t>Cost to PBS/RPBS</w:t>
            </w:r>
            <w:r>
              <w:rPr>
                <w:sz w:val="19"/>
                <w:szCs w:val="19"/>
              </w:rPr>
              <w:t xml:space="preserve"> (less co-payment)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6" w:type="pct"/>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r>
      <w:tr w:rsidR="00E348E9" w:rsidRPr="00280ABD" w:rsidTr="00304198">
        <w:tc>
          <w:tcPr>
            <w:tcW w:w="1119" w:type="pct"/>
            <w:shd w:val="clear" w:color="auto" w:fill="auto"/>
            <w:vAlign w:val="center"/>
          </w:tcPr>
          <w:p w:rsidR="00E348E9" w:rsidRPr="00280ABD" w:rsidRDefault="00E348E9" w:rsidP="008404A4">
            <w:pPr>
              <w:pStyle w:val="Tabletext"/>
              <w:spacing w:before="40" w:after="40"/>
            </w:pPr>
            <w:r>
              <w:rPr>
                <w:sz w:val="19"/>
                <w:szCs w:val="19"/>
              </w:rPr>
              <w:t>Cost to government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7" w:type="pct"/>
            <w:shd w:val="clear" w:color="auto" w:fill="auto"/>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c>
          <w:tcPr>
            <w:tcW w:w="646" w:type="pct"/>
            <w:vAlign w:val="center"/>
          </w:tcPr>
          <w:p w:rsidR="00E348E9" w:rsidRPr="00280ABD" w:rsidRDefault="00E348E9" w:rsidP="008404A4">
            <w:pPr>
              <w:pStyle w:val="Tabletext"/>
              <w:spacing w:before="40" w:after="40"/>
              <w:jc w:val="center"/>
              <w:rPr>
                <w:bCs/>
                <w:color w:val="000000"/>
              </w:rPr>
            </w:pPr>
            <w:r w:rsidRPr="00463084">
              <w:rPr>
                <w:lang w:eastAsia="en-AU"/>
              </w:rPr>
              <w:t>$</w:t>
            </w:r>
            <w:r w:rsidR="00145C02">
              <w:rPr>
                <w:noProof/>
                <w:color w:val="000000"/>
                <w:highlight w:val="black"/>
                <w:lang w:eastAsia="en-AU"/>
              </w:rPr>
              <w:t>'''''''''''''''''''''''''''''</w:t>
            </w:r>
          </w:p>
        </w:tc>
      </w:tr>
    </w:tbl>
    <w:p w:rsidR="00E340AD" w:rsidRPr="00CD1CBD" w:rsidRDefault="00E340AD" w:rsidP="008404A4">
      <w:pPr>
        <w:pStyle w:val="TableFooter"/>
        <w:widowControl/>
        <w:spacing w:before="120" w:after="120"/>
        <w:rPr>
          <w:rFonts w:asciiTheme="minorHAnsi" w:hAnsiTheme="minorHAnsi" w:cstheme="minorHAnsi"/>
          <w:sz w:val="24"/>
          <w:szCs w:val="24"/>
        </w:rPr>
      </w:pPr>
      <w:r w:rsidRPr="00C22301">
        <w:rPr>
          <w:rFonts w:asciiTheme="minorHAnsi" w:hAnsiTheme="minorHAnsi" w:cstheme="minorHAnsi"/>
          <w:i/>
          <w:sz w:val="24"/>
          <w:szCs w:val="24"/>
        </w:rPr>
        <w:t>The redacted table shows that at Year 6, the estimated number of patients was less than 10,000 per year and the net cost to the PBS</w:t>
      </w:r>
      <w:r w:rsidR="002917C6">
        <w:rPr>
          <w:rFonts w:asciiTheme="minorHAnsi" w:hAnsiTheme="minorHAnsi" w:cstheme="minorHAnsi"/>
          <w:i/>
          <w:sz w:val="24"/>
          <w:szCs w:val="24"/>
        </w:rPr>
        <w:t>/RPBS</w:t>
      </w:r>
      <w:r w:rsidRPr="00C22301">
        <w:rPr>
          <w:rFonts w:asciiTheme="minorHAnsi" w:hAnsiTheme="minorHAnsi" w:cstheme="minorHAnsi"/>
          <w:i/>
          <w:sz w:val="24"/>
          <w:szCs w:val="24"/>
        </w:rPr>
        <w:t xml:space="preserve"> would be $60 - $100 million </w:t>
      </w:r>
      <w:r w:rsidR="00F029BD" w:rsidRPr="00C22301">
        <w:rPr>
          <w:rFonts w:asciiTheme="minorHAnsi" w:hAnsiTheme="minorHAnsi" w:cstheme="minorHAnsi"/>
          <w:i/>
          <w:sz w:val="24"/>
          <w:szCs w:val="24"/>
        </w:rPr>
        <w:t>per year</w:t>
      </w:r>
      <w:r w:rsidR="002917C6">
        <w:rPr>
          <w:rFonts w:asciiTheme="minorHAnsi" w:hAnsiTheme="minorHAnsi" w:cstheme="minorHAnsi"/>
          <w:sz w:val="24"/>
          <w:szCs w:val="24"/>
        </w:rPr>
        <w:t>.</w:t>
      </w:r>
    </w:p>
    <w:p w:rsidR="006D0FBD" w:rsidRPr="00576972" w:rsidRDefault="006D0FBD" w:rsidP="008404A4">
      <w:pPr>
        <w:pStyle w:val="Heading2"/>
        <w:widowControl/>
      </w:pPr>
      <w:bookmarkStart w:id="35" w:name="_Toc524446352"/>
      <w:r w:rsidRPr="00C9624D">
        <w:t>Quality Use of Medicines</w:t>
      </w:r>
      <w:bookmarkEnd w:id="35"/>
    </w:p>
    <w:p w:rsidR="006D0FBD" w:rsidRDefault="006D0FBD" w:rsidP="008404A4">
      <w:pPr>
        <w:pStyle w:val="ListParagraph"/>
        <w:widowControl/>
        <w:numPr>
          <w:ilvl w:val="1"/>
          <w:numId w:val="2"/>
        </w:numPr>
      </w:pPr>
      <w:r>
        <w:t>The s</w:t>
      </w:r>
      <w:r w:rsidR="00E00318">
        <w:t xml:space="preserve">ubmission stated that the </w:t>
      </w:r>
      <w:r w:rsidR="003F0ABA">
        <w:t>s</w:t>
      </w:r>
      <w:r>
        <w:t xml:space="preserve">ponsor would undertake to provide appropriate education </w:t>
      </w:r>
      <w:r w:rsidR="003F0ABA">
        <w:t xml:space="preserve">to </w:t>
      </w:r>
      <w:r>
        <w:t>the clinical community about the drug, its use and appropriate management of any adverse event experienced by patients as part of the launch of durvalumab.</w:t>
      </w:r>
    </w:p>
    <w:p w:rsidR="006D0FBD" w:rsidRDefault="006D0FBD" w:rsidP="008404A4">
      <w:pPr>
        <w:pStyle w:val="ListParagraph"/>
        <w:widowControl/>
        <w:numPr>
          <w:ilvl w:val="1"/>
          <w:numId w:val="2"/>
        </w:numPr>
      </w:pPr>
      <w:r>
        <w:t>The submission stated no post-marketing surveillance studies were planned</w:t>
      </w:r>
      <w:r w:rsidR="001A5317">
        <w:t>.</w:t>
      </w:r>
    </w:p>
    <w:p w:rsidR="006D0FBD" w:rsidRPr="00576972" w:rsidRDefault="006D0FBD" w:rsidP="008404A4">
      <w:pPr>
        <w:pStyle w:val="Heading2"/>
        <w:widowControl/>
      </w:pPr>
      <w:bookmarkStart w:id="36" w:name="_Toc524446353"/>
      <w:r w:rsidRPr="00C9624D">
        <w:t>Financial Management – Risk Sharing Arrangements</w:t>
      </w:r>
      <w:bookmarkEnd w:id="36"/>
    </w:p>
    <w:p w:rsidR="009E6BC9" w:rsidRDefault="002C2FB4" w:rsidP="008404A4">
      <w:pPr>
        <w:pStyle w:val="ListParagraph"/>
        <w:widowControl/>
        <w:numPr>
          <w:ilvl w:val="1"/>
          <w:numId w:val="2"/>
        </w:numPr>
      </w:pPr>
      <w:r>
        <w:t>No risk sharing arrangements</w:t>
      </w:r>
      <w:r w:rsidR="008A0135">
        <w:t xml:space="preserve"> (RSA)</w:t>
      </w:r>
      <w:r>
        <w:t xml:space="preserve"> were proposed by the submission</w:t>
      </w:r>
      <w:r w:rsidRPr="00883ABE">
        <w:t xml:space="preserve">. </w:t>
      </w:r>
      <w:r w:rsidR="008A0135" w:rsidRPr="00883ABE">
        <w:t>The PSCR stated that the sponsor was open to managing uncertainty in expected use of durvalumab through Commonwealth expenditure caps within a RSA.</w:t>
      </w:r>
      <w:bookmarkStart w:id="37" w:name="_Toc371170715"/>
    </w:p>
    <w:p w:rsidR="00883ABE" w:rsidRPr="00E62653" w:rsidRDefault="00E62653" w:rsidP="008404A4">
      <w:pPr>
        <w:pStyle w:val="ListParagraph"/>
        <w:widowControl/>
        <w:ind w:left="709"/>
        <w:rPr>
          <w:i/>
        </w:rPr>
      </w:pPr>
      <w:r w:rsidRPr="00673EB8">
        <w:rPr>
          <w:i/>
          <w:iCs/>
        </w:rPr>
        <w:t>For more detail on PBAC’s view, see Section 7 PBAC outcome.</w:t>
      </w:r>
    </w:p>
    <w:p w:rsidR="00883ABE" w:rsidRPr="00140302" w:rsidRDefault="00883ABE" w:rsidP="008404A4">
      <w:pPr>
        <w:pStyle w:val="Heading1"/>
        <w:keepNext/>
        <w:widowControl/>
        <w:numPr>
          <w:ilvl w:val="0"/>
          <w:numId w:val="2"/>
        </w:numPr>
        <w:spacing w:after="120"/>
        <w:jc w:val="left"/>
      </w:pPr>
      <w:r w:rsidRPr="00140302">
        <w:t xml:space="preserve">PBAC </w:t>
      </w:r>
      <w:r w:rsidRPr="008F5215">
        <w:rPr>
          <w:caps w:val="0"/>
        </w:rPr>
        <w:t>Outcome</w:t>
      </w:r>
    </w:p>
    <w:p w:rsidR="00A86E77" w:rsidRPr="00BD4131" w:rsidRDefault="005C597B" w:rsidP="008404A4">
      <w:pPr>
        <w:widowControl/>
        <w:numPr>
          <w:ilvl w:val="1"/>
          <w:numId w:val="2"/>
        </w:numPr>
        <w:spacing w:after="120"/>
        <w:rPr>
          <w:rFonts w:asciiTheme="minorHAnsi" w:hAnsiTheme="minorHAnsi"/>
          <w:bCs/>
          <w:lang w:val="en-GB"/>
        </w:rPr>
      </w:pPr>
      <w:r w:rsidRPr="00140302">
        <w:rPr>
          <w:rFonts w:asciiTheme="minorHAnsi" w:hAnsiTheme="minorHAnsi"/>
          <w:bCs/>
          <w:lang w:val="en-GB"/>
        </w:rPr>
        <w:t xml:space="preserve">The PBAC did not recommend </w:t>
      </w:r>
      <w:r w:rsidR="00441D25">
        <w:rPr>
          <w:rFonts w:asciiTheme="minorHAnsi" w:hAnsiTheme="minorHAnsi"/>
          <w:bCs/>
          <w:lang w:val="en-GB"/>
        </w:rPr>
        <w:t xml:space="preserve">the </w:t>
      </w:r>
      <w:r w:rsidRPr="00140302">
        <w:rPr>
          <w:rFonts w:asciiTheme="minorHAnsi" w:hAnsiTheme="minorHAnsi"/>
          <w:bCs/>
          <w:lang w:val="en-GB"/>
        </w:rPr>
        <w:t xml:space="preserve">listing of durvalumab as an adjuvant </w:t>
      </w:r>
      <w:r w:rsidR="00685090">
        <w:rPr>
          <w:rFonts w:asciiTheme="minorHAnsi" w:hAnsiTheme="minorHAnsi"/>
          <w:bCs/>
          <w:lang w:val="en-GB"/>
        </w:rPr>
        <w:t xml:space="preserve">(consolidation) </w:t>
      </w:r>
      <w:r w:rsidRPr="00140302">
        <w:rPr>
          <w:rFonts w:asciiTheme="minorHAnsi" w:hAnsiTheme="minorHAnsi"/>
          <w:bCs/>
          <w:lang w:val="en-GB"/>
        </w:rPr>
        <w:t>treatment for Stage III non-small-cell lung cancer</w:t>
      </w:r>
      <w:r w:rsidR="00140302">
        <w:rPr>
          <w:rFonts w:asciiTheme="minorHAnsi" w:hAnsiTheme="minorHAnsi"/>
          <w:bCs/>
          <w:lang w:val="en-GB"/>
        </w:rPr>
        <w:t xml:space="preserve"> (NSCLC)</w:t>
      </w:r>
      <w:r w:rsidRPr="00140302">
        <w:rPr>
          <w:rFonts w:asciiTheme="minorHAnsi" w:hAnsiTheme="minorHAnsi"/>
          <w:bCs/>
          <w:lang w:val="en-GB"/>
        </w:rPr>
        <w:t xml:space="preserve"> in patients who have not progressed following chemoradiotherapy</w:t>
      </w:r>
      <w:r w:rsidRPr="003C493B">
        <w:rPr>
          <w:rFonts w:asciiTheme="minorHAnsi" w:hAnsiTheme="minorHAnsi"/>
          <w:bCs/>
          <w:lang w:val="en-GB"/>
        </w:rPr>
        <w:t>.</w:t>
      </w:r>
      <w:r w:rsidR="00140302" w:rsidRPr="003C493B">
        <w:rPr>
          <w:rFonts w:asciiTheme="minorHAnsi" w:hAnsiTheme="minorHAnsi"/>
          <w:bCs/>
          <w:lang w:val="en-GB"/>
        </w:rPr>
        <w:t xml:space="preserve"> </w:t>
      </w:r>
      <w:r w:rsidR="00685090" w:rsidRPr="003C493B">
        <w:rPr>
          <w:rFonts w:asciiTheme="minorHAnsi" w:hAnsiTheme="minorHAnsi"/>
          <w:bCs/>
          <w:lang w:val="en-GB"/>
        </w:rPr>
        <w:t xml:space="preserve">The PBAC noted that some patients (~25%) are cured by chemo-radiotherapy and hence consolidation treatment with durvalumab would expose this group of patients to treatment without benefit. </w:t>
      </w:r>
      <w:r w:rsidRPr="003C493B">
        <w:rPr>
          <w:rFonts w:asciiTheme="minorHAnsi" w:hAnsiTheme="minorHAnsi"/>
          <w:bCs/>
          <w:lang w:val="en-GB"/>
        </w:rPr>
        <w:t xml:space="preserve">The PBAC </w:t>
      </w:r>
      <w:r w:rsidR="00685090" w:rsidRPr="003C493B">
        <w:rPr>
          <w:rFonts w:asciiTheme="minorHAnsi" w:hAnsiTheme="minorHAnsi"/>
          <w:bCs/>
          <w:lang w:val="en-GB"/>
        </w:rPr>
        <w:t xml:space="preserve">however </w:t>
      </w:r>
      <w:r w:rsidR="00105DAF" w:rsidRPr="003C493B">
        <w:rPr>
          <w:rFonts w:asciiTheme="minorHAnsi" w:hAnsiTheme="minorHAnsi"/>
          <w:bCs/>
          <w:lang w:val="en-GB"/>
        </w:rPr>
        <w:t>acknowledged</w:t>
      </w:r>
      <w:r w:rsidR="00140302" w:rsidRPr="003C493B">
        <w:rPr>
          <w:rFonts w:asciiTheme="minorHAnsi" w:hAnsiTheme="minorHAnsi"/>
          <w:bCs/>
          <w:lang w:val="en-GB"/>
        </w:rPr>
        <w:t xml:space="preserve"> </w:t>
      </w:r>
      <w:r w:rsidR="00B96CCC" w:rsidRPr="003C493B">
        <w:rPr>
          <w:rFonts w:asciiTheme="minorHAnsi" w:hAnsiTheme="minorHAnsi"/>
          <w:bCs/>
          <w:lang w:val="en-GB"/>
        </w:rPr>
        <w:t>that</w:t>
      </w:r>
      <w:r w:rsidRPr="003C493B">
        <w:rPr>
          <w:rFonts w:asciiTheme="minorHAnsi" w:hAnsiTheme="minorHAnsi"/>
          <w:bCs/>
          <w:lang w:val="en-GB"/>
        </w:rPr>
        <w:t xml:space="preserve"> </w:t>
      </w:r>
      <w:r w:rsidR="00685090" w:rsidRPr="003C493B">
        <w:rPr>
          <w:rFonts w:asciiTheme="minorHAnsi" w:hAnsiTheme="minorHAnsi"/>
          <w:bCs/>
          <w:lang w:val="en-GB"/>
        </w:rPr>
        <w:t xml:space="preserve">adjuvant treatment with </w:t>
      </w:r>
      <w:r w:rsidRPr="003C493B">
        <w:rPr>
          <w:rFonts w:asciiTheme="minorHAnsi" w:hAnsiTheme="minorHAnsi"/>
          <w:bCs/>
          <w:lang w:val="en-GB"/>
        </w:rPr>
        <w:t xml:space="preserve">durvalumab may reduce the risk of recurrence </w:t>
      </w:r>
      <w:r w:rsidR="00B96CCC" w:rsidRPr="003C493B">
        <w:rPr>
          <w:rFonts w:asciiTheme="minorHAnsi" w:hAnsiTheme="minorHAnsi"/>
          <w:bCs/>
          <w:lang w:val="en-GB"/>
        </w:rPr>
        <w:t xml:space="preserve">of NSCLC </w:t>
      </w:r>
      <w:r w:rsidRPr="003C493B">
        <w:rPr>
          <w:rFonts w:asciiTheme="minorHAnsi" w:hAnsiTheme="minorHAnsi"/>
          <w:bCs/>
          <w:lang w:val="en-GB"/>
        </w:rPr>
        <w:t>in some</w:t>
      </w:r>
      <w:r w:rsidRPr="00140302">
        <w:rPr>
          <w:rFonts w:asciiTheme="minorHAnsi" w:hAnsiTheme="minorHAnsi"/>
          <w:bCs/>
          <w:lang w:val="en-GB"/>
        </w:rPr>
        <w:t xml:space="preserve"> patients</w:t>
      </w:r>
      <w:r w:rsidR="00B96CCC" w:rsidRPr="00140302">
        <w:rPr>
          <w:rFonts w:asciiTheme="minorHAnsi" w:hAnsiTheme="minorHAnsi"/>
          <w:bCs/>
          <w:lang w:val="en-GB"/>
        </w:rPr>
        <w:t xml:space="preserve"> </w:t>
      </w:r>
      <w:r w:rsidR="00685090">
        <w:rPr>
          <w:rFonts w:asciiTheme="minorHAnsi" w:hAnsiTheme="minorHAnsi"/>
          <w:bCs/>
          <w:lang w:val="en-GB"/>
        </w:rPr>
        <w:t xml:space="preserve">who have not been cured by chemo-radiotherapy. </w:t>
      </w:r>
      <w:r w:rsidRPr="00BD4131">
        <w:rPr>
          <w:rFonts w:asciiTheme="minorHAnsi" w:hAnsiTheme="minorHAnsi"/>
          <w:bCs/>
          <w:lang w:val="en-GB"/>
        </w:rPr>
        <w:t xml:space="preserve">However, </w:t>
      </w:r>
      <w:r w:rsidR="00B96CCC" w:rsidRPr="00BD4131">
        <w:rPr>
          <w:rFonts w:asciiTheme="minorHAnsi" w:hAnsiTheme="minorHAnsi"/>
          <w:bCs/>
          <w:lang w:val="en-GB"/>
        </w:rPr>
        <w:t xml:space="preserve">given </w:t>
      </w:r>
      <w:r w:rsidRPr="00BD4131">
        <w:rPr>
          <w:rFonts w:asciiTheme="minorHAnsi" w:hAnsiTheme="minorHAnsi"/>
          <w:bCs/>
          <w:lang w:val="en-GB"/>
        </w:rPr>
        <w:t>the</w:t>
      </w:r>
      <w:r w:rsidR="0076309D" w:rsidRPr="00BD4131">
        <w:rPr>
          <w:rFonts w:asciiTheme="minorHAnsi" w:hAnsiTheme="minorHAnsi"/>
          <w:bCs/>
          <w:lang w:val="en-GB"/>
        </w:rPr>
        <w:t xml:space="preserve"> immaturity of the trial data</w:t>
      </w:r>
      <w:r w:rsidR="00140302" w:rsidRPr="00BD4131">
        <w:rPr>
          <w:rFonts w:asciiTheme="minorHAnsi" w:hAnsiTheme="minorHAnsi"/>
          <w:bCs/>
          <w:lang w:val="en-GB"/>
        </w:rPr>
        <w:t xml:space="preserve"> and the unknown impact of subsequent treatment with an immunotherapy</w:t>
      </w:r>
      <w:r w:rsidR="006942F2">
        <w:rPr>
          <w:rFonts w:asciiTheme="minorHAnsi" w:hAnsiTheme="minorHAnsi"/>
          <w:bCs/>
          <w:lang w:val="en-GB"/>
        </w:rPr>
        <w:t xml:space="preserve"> agent</w:t>
      </w:r>
      <w:r w:rsidR="00140302" w:rsidRPr="00BD4131">
        <w:rPr>
          <w:rFonts w:asciiTheme="minorHAnsi" w:hAnsiTheme="minorHAnsi"/>
          <w:bCs/>
          <w:lang w:val="en-GB"/>
        </w:rPr>
        <w:t xml:space="preserve"> on progression,</w:t>
      </w:r>
      <w:r w:rsidR="0076309D" w:rsidRPr="00BD4131">
        <w:rPr>
          <w:rFonts w:asciiTheme="minorHAnsi" w:hAnsiTheme="minorHAnsi"/>
          <w:bCs/>
          <w:lang w:val="en-GB"/>
        </w:rPr>
        <w:t xml:space="preserve"> the </w:t>
      </w:r>
      <w:r w:rsidR="00105DAF" w:rsidRPr="00BD4131">
        <w:rPr>
          <w:rFonts w:asciiTheme="minorHAnsi" w:hAnsiTheme="minorHAnsi"/>
          <w:bCs/>
          <w:lang w:val="en-GB"/>
        </w:rPr>
        <w:t xml:space="preserve">extent of </w:t>
      </w:r>
      <w:r w:rsidR="0076309D" w:rsidRPr="00BD4131">
        <w:rPr>
          <w:rFonts w:asciiTheme="minorHAnsi" w:hAnsiTheme="minorHAnsi"/>
          <w:bCs/>
          <w:lang w:val="en-GB"/>
        </w:rPr>
        <w:t>effect on overall survival could not be determined. The Committee considered that the uncertainty surrounding the magnitude of benefit of durvalumab in this setting resulted in a highly uncertain</w:t>
      </w:r>
      <w:r w:rsidR="00140302" w:rsidRPr="00BD4131">
        <w:rPr>
          <w:rFonts w:asciiTheme="minorHAnsi" w:hAnsiTheme="minorHAnsi"/>
          <w:bCs/>
          <w:lang w:val="en-GB"/>
        </w:rPr>
        <w:t xml:space="preserve"> and potentially very high</w:t>
      </w:r>
      <w:r w:rsidR="0076309D" w:rsidRPr="00BD4131">
        <w:rPr>
          <w:rFonts w:asciiTheme="minorHAnsi" w:hAnsiTheme="minorHAnsi"/>
          <w:bCs/>
          <w:lang w:val="en-GB"/>
        </w:rPr>
        <w:t xml:space="preserve"> incremental cost-effectiveness ratio</w:t>
      </w:r>
      <w:r w:rsidR="00A86E77" w:rsidRPr="00BD4131">
        <w:rPr>
          <w:rFonts w:asciiTheme="minorHAnsi" w:hAnsiTheme="minorHAnsi"/>
          <w:bCs/>
          <w:lang w:val="en-GB"/>
        </w:rPr>
        <w:t xml:space="preserve">. The PBAC also noted the high total cost of </w:t>
      </w:r>
      <w:r w:rsidR="00A85FFA" w:rsidRPr="00BD4131">
        <w:rPr>
          <w:rFonts w:asciiTheme="minorHAnsi" w:hAnsiTheme="minorHAnsi"/>
          <w:bCs/>
          <w:lang w:val="en-GB"/>
        </w:rPr>
        <w:t xml:space="preserve">subsidising </w:t>
      </w:r>
      <w:r w:rsidR="00A86E77" w:rsidRPr="00BD4131">
        <w:rPr>
          <w:rFonts w:asciiTheme="minorHAnsi" w:hAnsiTheme="minorHAnsi"/>
          <w:bCs/>
          <w:lang w:val="en-GB"/>
        </w:rPr>
        <w:t>durvalumab</w:t>
      </w:r>
      <w:r w:rsidR="00A85FFA" w:rsidRPr="00BD4131">
        <w:rPr>
          <w:rFonts w:asciiTheme="minorHAnsi" w:hAnsiTheme="minorHAnsi"/>
          <w:bCs/>
          <w:lang w:val="en-GB"/>
        </w:rPr>
        <w:t xml:space="preserve"> in this setting</w:t>
      </w:r>
      <w:r w:rsidR="00A86E77" w:rsidRPr="00BD4131">
        <w:rPr>
          <w:rFonts w:asciiTheme="minorHAnsi" w:hAnsiTheme="minorHAnsi"/>
          <w:bCs/>
          <w:lang w:val="en-GB"/>
        </w:rPr>
        <w:t>.</w:t>
      </w:r>
    </w:p>
    <w:p w:rsidR="00BD4131" w:rsidRPr="00BD4131" w:rsidRDefault="000A735E" w:rsidP="008404A4">
      <w:pPr>
        <w:widowControl/>
        <w:numPr>
          <w:ilvl w:val="1"/>
          <w:numId w:val="2"/>
        </w:numPr>
        <w:spacing w:after="120"/>
        <w:rPr>
          <w:rFonts w:asciiTheme="minorHAnsi" w:hAnsiTheme="minorHAnsi"/>
          <w:bCs/>
          <w:lang w:val="en-GB"/>
        </w:rPr>
      </w:pPr>
      <w:r w:rsidRPr="00BD4131">
        <w:rPr>
          <w:rFonts w:asciiTheme="minorHAnsi" w:hAnsiTheme="minorHAnsi"/>
          <w:bCs/>
          <w:lang w:val="en-GB"/>
        </w:rPr>
        <w:t xml:space="preserve">The PBAC considered the proposed listing was appropriate, but agreed with </w:t>
      </w:r>
      <w:r w:rsidR="000D5323">
        <w:rPr>
          <w:rFonts w:asciiTheme="minorHAnsi" w:hAnsiTheme="minorHAnsi"/>
          <w:bCs/>
          <w:lang w:val="en-GB"/>
        </w:rPr>
        <w:t xml:space="preserve">the </w:t>
      </w:r>
      <w:r w:rsidRPr="00BD4131">
        <w:rPr>
          <w:rFonts w:asciiTheme="minorHAnsi" w:hAnsiTheme="minorHAnsi"/>
          <w:bCs/>
          <w:lang w:val="en-GB"/>
        </w:rPr>
        <w:t xml:space="preserve">ESC that a maximum treatment duration of 12 months should be included to reflect the   key study. The PBAC also </w:t>
      </w:r>
      <w:r w:rsidR="00A85FFA" w:rsidRPr="00BD4131">
        <w:rPr>
          <w:rFonts w:asciiTheme="minorHAnsi" w:hAnsiTheme="minorHAnsi"/>
          <w:bCs/>
          <w:lang w:val="en-GB"/>
        </w:rPr>
        <w:t>considered that</w:t>
      </w:r>
      <w:r w:rsidR="00140302" w:rsidRPr="00BD4131">
        <w:rPr>
          <w:rFonts w:asciiTheme="minorHAnsi" w:hAnsiTheme="minorHAnsi"/>
          <w:bCs/>
          <w:lang w:val="en-GB"/>
        </w:rPr>
        <w:t xml:space="preserve"> it was appropriate for the restriction</w:t>
      </w:r>
      <w:r w:rsidR="0052445D" w:rsidRPr="00BD4131">
        <w:rPr>
          <w:rFonts w:asciiTheme="minorHAnsi" w:hAnsiTheme="minorHAnsi"/>
          <w:bCs/>
          <w:lang w:val="en-GB"/>
        </w:rPr>
        <w:t xml:space="preserve">s for all PD-(L)1 therapies </w:t>
      </w:r>
      <w:r w:rsidR="0052445D" w:rsidRPr="00BD4131">
        <w:rPr>
          <w:rFonts w:asciiTheme="minorHAnsi" w:hAnsiTheme="minorHAnsi"/>
          <w:bCs/>
          <w:u w:val="single"/>
          <w:lang w:val="en-GB"/>
        </w:rPr>
        <w:t>in all stages of NSCLC</w:t>
      </w:r>
      <w:r w:rsidR="00140302" w:rsidRPr="00BD4131">
        <w:rPr>
          <w:rFonts w:asciiTheme="minorHAnsi" w:hAnsiTheme="minorHAnsi"/>
          <w:bCs/>
          <w:lang w:val="en-GB"/>
        </w:rPr>
        <w:t xml:space="preserve"> to</w:t>
      </w:r>
      <w:r w:rsidR="00A85FFA" w:rsidRPr="00BD4131">
        <w:rPr>
          <w:rFonts w:asciiTheme="minorHAnsi" w:hAnsiTheme="minorHAnsi"/>
          <w:bCs/>
          <w:lang w:val="en-GB"/>
        </w:rPr>
        <w:t xml:space="preserve"> </w:t>
      </w:r>
      <w:r w:rsidR="00C25CC7" w:rsidRPr="00BD4131">
        <w:rPr>
          <w:rFonts w:asciiTheme="minorHAnsi" w:hAnsiTheme="minorHAnsi"/>
          <w:bCs/>
          <w:lang w:val="en-GB"/>
        </w:rPr>
        <w:t>preclude prior</w:t>
      </w:r>
      <w:r w:rsidR="00140302" w:rsidRPr="00BD4131">
        <w:rPr>
          <w:rFonts w:asciiTheme="minorHAnsi" w:hAnsiTheme="minorHAnsi"/>
          <w:bCs/>
          <w:lang w:val="en-GB"/>
        </w:rPr>
        <w:t xml:space="preserve"> and subsequent</w:t>
      </w:r>
      <w:r w:rsidR="00C25CC7" w:rsidRPr="00BD4131">
        <w:rPr>
          <w:rFonts w:asciiTheme="minorHAnsi" w:hAnsiTheme="minorHAnsi"/>
          <w:bCs/>
          <w:lang w:val="en-GB"/>
        </w:rPr>
        <w:t xml:space="preserve"> use of PD-(L)1 therapies</w:t>
      </w:r>
      <w:r w:rsidR="0052445D" w:rsidRPr="00BD4131">
        <w:rPr>
          <w:rFonts w:asciiTheme="minorHAnsi" w:hAnsiTheme="minorHAnsi"/>
          <w:bCs/>
          <w:lang w:val="en-GB"/>
        </w:rPr>
        <w:t xml:space="preserve"> </w:t>
      </w:r>
      <w:r w:rsidR="00A85FFA" w:rsidRPr="00BD4131">
        <w:rPr>
          <w:rFonts w:asciiTheme="minorHAnsi" w:hAnsiTheme="minorHAnsi"/>
          <w:bCs/>
          <w:lang w:val="en-GB"/>
        </w:rPr>
        <w:t>until evidence to support the</w:t>
      </w:r>
      <w:r w:rsidR="00441D25">
        <w:rPr>
          <w:rFonts w:asciiTheme="minorHAnsi" w:hAnsiTheme="minorHAnsi"/>
          <w:bCs/>
          <w:lang w:val="en-GB"/>
        </w:rPr>
        <w:t>ir</w:t>
      </w:r>
      <w:r w:rsidR="00A85FFA" w:rsidRPr="00BD4131">
        <w:rPr>
          <w:rFonts w:asciiTheme="minorHAnsi" w:hAnsiTheme="minorHAnsi"/>
          <w:bCs/>
          <w:lang w:val="en-GB"/>
        </w:rPr>
        <w:t xml:space="preserve"> sequential use is forthcoming</w:t>
      </w:r>
      <w:r w:rsidR="00BD4131" w:rsidRPr="00BD4131">
        <w:rPr>
          <w:rFonts w:asciiTheme="minorHAnsi" w:hAnsiTheme="minorHAnsi"/>
          <w:bCs/>
          <w:lang w:val="en-GB"/>
        </w:rPr>
        <w:t xml:space="preserve">. </w:t>
      </w:r>
    </w:p>
    <w:p w:rsidR="0052445D" w:rsidRPr="00BD4131" w:rsidRDefault="00CD4895" w:rsidP="008404A4">
      <w:pPr>
        <w:widowControl/>
        <w:numPr>
          <w:ilvl w:val="1"/>
          <w:numId w:val="2"/>
        </w:numPr>
        <w:spacing w:after="120"/>
        <w:rPr>
          <w:rFonts w:asciiTheme="minorHAnsi" w:hAnsiTheme="minorHAnsi"/>
          <w:bCs/>
          <w:lang w:val="en-GB"/>
        </w:rPr>
      </w:pPr>
      <w:r w:rsidRPr="00BD4131">
        <w:rPr>
          <w:rFonts w:asciiTheme="minorHAnsi" w:hAnsiTheme="minorHAnsi"/>
          <w:bCs/>
          <w:lang w:val="en-GB"/>
        </w:rPr>
        <w:t>The PBAC agreed that best supportive care (placebo) was the appropriate comparator</w:t>
      </w:r>
      <w:r w:rsidR="005B4A07" w:rsidRPr="00BD4131">
        <w:rPr>
          <w:rFonts w:asciiTheme="minorHAnsi" w:hAnsiTheme="minorHAnsi"/>
          <w:bCs/>
          <w:lang w:val="en-GB"/>
        </w:rPr>
        <w:t xml:space="preserve">. </w:t>
      </w:r>
    </w:p>
    <w:p w:rsidR="00275F38" w:rsidRPr="00BD4131" w:rsidRDefault="009714D7" w:rsidP="008404A4">
      <w:pPr>
        <w:widowControl/>
        <w:numPr>
          <w:ilvl w:val="1"/>
          <w:numId w:val="2"/>
        </w:numPr>
        <w:spacing w:after="120"/>
        <w:rPr>
          <w:rFonts w:asciiTheme="minorHAnsi" w:hAnsiTheme="minorHAnsi"/>
          <w:bCs/>
          <w:lang w:val="en-GB"/>
        </w:rPr>
      </w:pPr>
      <w:r w:rsidRPr="00BD4131">
        <w:rPr>
          <w:rFonts w:asciiTheme="minorHAnsi" w:hAnsiTheme="minorHAnsi"/>
          <w:bCs/>
          <w:lang w:val="en-GB"/>
        </w:rPr>
        <w:t>The PBAC noted that overall survival in the PACIFIC trial was immature, with median overall survival not yet reached in the durvalumab arm. The PBAC acknowledged there was an incremental improvement in overall survival that favoured patients receiving durvalumab in the trial</w:t>
      </w:r>
      <w:r w:rsidR="00A85FFA" w:rsidRPr="00BD4131">
        <w:rPr>
          <w:rFonts w:asciiTheme="minorHAnsi" w:hAnsiTheme="minorHAnsi"/>
          <w:bCs/>
          <w:lang w:val="en-GB"/>
        </w:rPr>
        <w:t>, however</w:t>
      </w:r>
      <w:r w:rsidR="00441D25">
        <w:rPr>
          <w:rFonts w:asciiTheme="minorHAnsi" w:hAnsiTheme="minorHAnsi"/>
          <w:bCs/>
          <w:lang w:val="en-GB"/>
        </w:rPr>
        <w:t xml:space="preserve"> </w:t>
      </w:r>
      <w:r w:rsidRPr="00BD4131">
        <w:rPr>
          <w:rFonts w:asciiTheme="minorHAnsi" w:hAnsiTheme="minorHAnsi"/>
          <w:bCs/>
          <w:lang w:val="en-GB"/>
        </w:rPr>
        <w:t xml:space="preserve">the </w:t>
      </w:r>
      <w:r w:rsidR="00275F38" w:rsidRPr="00BD4131">
        <w:rPr>
          <w:rFonts w:asciiTheme="minorHAnsi" w:hAnsiTheme="minorHAnsi"/>
          <w:bCs/>
          <w:lang w:val="en-GB"/>
        </w:rPr>
        <w:t>magnitude of the difference in overall survival beyond the trial duration was uncertain.</w:t>
      </w:r>
    </w:p>
    <w:p w:rsidR="00BD4131" w:rsidRPr="00BD4131" w:rsidRDefault="00BD4131" w:rsidP="008404A4">
      <w:pPr>
        <w:widowControl/>
        <w:numPr>
          <w:ilvl w:val="1"/>
          <w:numId w:val="2"/>
        </w:numPr>
        <w:spacing w:after="120"/>
        <w:rPr>
          <w:rFonts w:asciiTheme="minorHAnsi" w:hAnsiTheme="minorHAnsi"/>
          <w:bCs/>
          <w:lang w:val="en-GB"/>
        </w:rPr>
      </w:pPr>
      <w:r w:rsidRPr="00BD4131">
        <w:rPr>
          <w:rFonts w:asciiTheme="minorHAnsi" w:hAnsiTheme="minorHAnsi"/>
          <w:bCs/>
          <w:lang w:val="en-GB"/>
        </w:rPr>
        <w:t xml:space="preserve">The PBAC noted that the use of durvalumab </w:t>
      </w:r>
      <w:r w:rsidR="006942F2">
        <w:rPr>
          <w:rFonts w:asciiTheme="minorHAnsi" w:hAnsiTheme="minorHAnsi"/>
          <w:bCs/>
          <w:lang w:val="en-GB"/>
        </w:rPr>
        <w:t>may</w:t>
      </w:r>
      <w:r w:rsidRPr="00BD4131">
        <w:rPr>
          <w:rFonts w:asciiTheme="minorHAnsi" w:hAnsiTheme="minorHAnsi"/>
          <w:bCs/>
          <w:lang w:val="en-GB"/>
        </w:rPr>
        <w:t xml:space="preserve"> affect the subsequent efficacy of PD-(L)1 therapies</w:t>
      </w:r>
      <w:r w:rsidR="006942F2">
        <w:rPr>
          <w:rFonts w:asciiTheme="minorHAnsi" w:hAnsiTheme="minorHAnsi"/>
          <w:bCs/>
          <w:lang w:val="en-GB"/>
        </w:rPr>
        <w:t>, and would affect the usage of PD-(L)1 agents in the metastatic</w:t>
      </w:r>
      <w:r w:rsidR="00E76A76">
        <w:rPr>
          <w:rFonts w:asciiTheme="minorHAnsi" w:hAnsiTheme="minorHAnsi"/>
          <w:bCs/>
          <w:lang w:val="en-GB"/>
        </w:rPr>
        <w:t>/recurrent</w:t>
      </w:r>
      <w:r w:rsidR="006942F2">
        <w:rPr>
          <w:rFonts w:asciiTheme="minorHAnsi" w:hAnsiTheme="minorHAnsi"/>
          <w:bCs/>
          <w:lang w:val="en-GB"/>
        </w:rPr>
        <w:t xml:space="preserve"> setting</w:t>
      </w:r>
      <w:r w:rsidRPr="00BD4131">
        <w:rPr>
          <w:rFonts w:asciiTheme="minorHAnsi" w:hAnsiTheme="minorHAnsi"/>
          <w:bCs/>
          <w:lang w:val="en-GB"/>
        </w:rPr>
        <w:t xml:space="preserve">.  The PBAC agreed with its ESC that the proportion of patients receiving subsequent PD-(L)1 therapies in the PACIFIC trial will not reflect the use of immunotherapies in later disease stages in the Australian setting if </w:t>
      </w:r>
      <w:r w:rsidR="001F33D9" w:rsidRPr="00BD4131">
        <w:rPr>
          <w:rFonts w:asciiTheme="minorHAnsi" w:hAnsiTheme="minorHAnsi"/>
          <w:bCs/>
          <w:lang w:val="en-GB"/>
        </w:rPr>
        <w:t>durvalumab</w:t>
      </w:r>
      <w:r w:rsidRPr="00BD4131">
        <w:rPr>
          <w:rFonts w:asciiTheme="minorHAnsi" w:hAnsiTheme="minorHAnsi"/>
          <w:bCs/>
          <w:lang w:val="en-GB"/>
        </w:rPr>
        <w:t xml:space="preserve"> is subsidised, particularly if subsidy is limited to one course of</w:t>
      </w:r>
      <w:r w:rsidR="00441D25">
        <w:rPr>
          <w:rFonts w:asciiTheme="minorHAnsi" w:hAnsiTheme="minorHAnsi"/>
          <w:bCs/>
          <w:lang w:val="en-GB"/>
        </w:rPr>
        <w:t xml:space="preserve"> </w:t>
      </w:r>
      <w:r w:rsidR="00441D25" w:rsidRPr="00BD4131">
        <w:rPr>
          <w:rFonts w:asciiTheme="minorHAnsi" w:hAnsiTheme="minorHAnsi"/>
          <w:bCs/>
          <w:lang w:val="en-GB"/>
        </w:rPr>
        <w:t>PD-(L)1</w:t>
      </w:r>
      <w:r w:rsidRPr="00BD4131">
        <w:rPr>
          <w:rFonts w:asciiTheme="minorHAnsi" w:hAnsiTheme="minorHAnsi"/>
          <w:bCs/>
          <w:lang w:val="en-GB"/>
        </w:rPr>
        <w:t xml:space="preserve"> immunotherapy as recommended above.  The PBAC noted that this difference affects the applicability of the PACIFIC trial results, possibly affecting incremental overall survival as use of PD-(L)1 therapies upon progression in the active and placebo arms of the PACIFIC trial was different to what can be expected in Australia. </w:t>
      </w:r>
    </w:p>
    <w:p w:rsidR="00E71FB2" w:rsidRPr="00BD4131" w:rsidRDefault="00E71FB2" w:rsidP="008404A4">
      <w:pPr>
        <w:widowControl/>
        <w:numPr>
          <w:ilvl w:val="1"/>
          <w:numId w:val="2"/>
        </w:numPr>
        <w:spacing w:after="120"/>
        <w:rPr>
          <w:rFonts w:asciiTheme="minorHAnsi" w:hAnsiTheme="minorHAnsi"/>
          <w:bCs/>
          <w:lang w:val="en-GB"/>
        </w:rPr>
      </w:pPr>
      <w:r w:rsidRPr="00BD4131">
        <w:rPr>
          <w:rFonts w:asciiTheme="minorHAnsi" w:hAnsiTheme="minorHAnsi"/>
          <w:bCs/>
          <w:lang w:val="en-GB"/>
        </w:rPr>
        <w:t>The PBAC noted that only 8% of patients in the key study were older than 70 years, and that in Australian clinical practice, this proportion is likely to be higher. The PBAC considered that the overall survival gains may be reduced in a population that is, on average, older</w:t>
      </w:r>
      <w:r w:rsidR="00685090">
        <w:rPr>
          <w:rFonts w:asciiTheme="minorHAnsi" w:hAnsiTheme="minorHAnsi"/>
          <w:bCs/>
          <w:lang w:val="en-GB"/>
        </w:rPr>
        <w:t xml:space="preserve"> and hence is subject to competing mortality from other diseases</w:t>
      </w:r>
      <w:r w:rsidRPr="00BD4131">
        <w:rPr>
          <w:rFonts w:asciiTheme="minorHAnsi" w:hAnsiTheme="minorHAnsi"/>
          <w:bCs/>
          <w:lang w:val="en-GB"/>
        </w:rPr>
        <w:t xml:space="preserve">. </w:t>
      </w:r>
    </w:p>
    <w:p w:rsidR="00BD4131" w:rsidRPr="00BD4131" w:rsidRDefault="00BD4131" w:rsidP="008404A4">
      <w:pPr>
        <w:pStyle w:val="ListParagraph"/>
        <w:widowControl/>
        <w:numPr>
          <w:ilvl w:val="1"/>
          <w:numId w:val="2"/>
        </w:numPr>
        <w:rPr>
          <w:rFonts w:asciiTheme="minorHAnsi" w:hAnsiTheme="minorHAnsi"/>
          <w:bCs/>
          <w:lang w:val="en-GB"/>
        </w:rPr>
      </w:pPr>
      <w:r w:rsidRPr="00BD4131">
        <w:rPr>
          <w:rFonts w:asciiTheme="minorHAnsi" w:hAnsiTheme="minorHAnsi"/>
          <w:bCs/>
          <w:lang w:val="en-GB"/>
        </w:rPr>
        <w:t xml:space="preserve">The PBAC considered the choice of extrapolation to be highly uncertain given the immaturity of the survival data, the </w:t>
      </w:r>
      <w:r>
        <w:rPr>
          <w:rFonts w:asciiTheme="minorHAnsi" w:hAnsiTheme="minorHAnsi"/>
          <w:bCs/>
          <w:lang w:val="en-GB"/>
        </w:rPr>
        <w:t>likelihood</w:t>
      </w:r>
      <w:r w:rsidRPr="00BD4131">
        <w:rPr>
          <w:rFonts w:asciiTheme="minorHAnsi" w:hAnsiTheme="minorHAnsi"/>
          <w:bCs/>
          <w:lang w:val="en-GB"/>
        </w:rPr>
        <w:t xml:space="preserve"> that use of subsequent line PD-(L)1 inhibitors in the </w:t>
      </w:r>
      <w:r w:rsidR="00441D25">
        <w:rPr>
          <w:rFonts w:asciiTheme="minorHAnsi" w:hAnsiTheme="minorHAnsi"/>
          <w:bCs/>
          <w:lang w:val="en-GB"/>
        </w:rPr>
        <w:t xml:space="preserve">active and </w:t>
      </w:r>
      <w:r w:rsidRPr="00BD4131">
        <w:rPr>
          <w:rFonts w:asciiTheme="minorHAnsi" w:hAnsiTheme="minorHAnsi"/>
          <w:bCs/>
          <w:lang w:val="en-GB"/>
        </w:rPr>
        <w:t>placebo arm</w:t>
      </w:r>
      <w:r w:rsidR="00441D25">
        <w:rPr>
          <w:rFonts w:asciiTheme="minorHAnsi" w:hAnsiTheme="minorHAnsi"/>
          <w:bCs/>
          <w:lang w:val="en-GB"/>
        </w:rPr>
        <w:t>s</w:t>
      </w:r>
      <w:r w:rsidRPr="00BD4131">
        <w:rPr>
          <w:rFonts w:asciiTheme="minorHAnsi" w:hAnsiTheme="minorHAnsi"/>
          <w:bCs/>
          <w:lang w:val="en-GB"/>
        </w:rPr>
        <w:t xml:space="preserve"> of the trial </w:t>
      </w:r>
      <w:r w:rsidR="00441D25">
        <w:rPr>
          <w:rFonts w:asciiTheme="minorHAnsi" w:hAnsiTheme="minorHAnsi"/>
          <w:bCs/>
          <w:lang w:val="en-GB"/>
        </w:rPr>
        <w:t>will</w:t>
      </w:r>
      <w:r w:rsidRPr="00BD4131">
        <w:rPr>
          <w:rFonts w:asciiTheme="minorHAnsi" w:hAnsiTheme="minorHAnsi"/>
          <w:bCs/>
          <w:lang w:val="en-GB"/>
        </w:rPr>
        <w:t xml:space="preserve"> not match Australian clinical practice, and </w:t>
      </w:r>
      <w:r>
        <w:rPr>
          <w:rFonts w:asciiTheme="minorHAnsi" w:hAnsiTheme="minorHAnsi"/>
          <w:bCs/>
          <w:lang w:val="en-GB"/>
        </w:rPr>
        <w:t xml:space="preserve">that </w:t>
      </w:r>
      <w:r w:rsidRPr="00BD4131">
        <w:rPr>
          <w:rFonts w:asciiTheme="minorHAnsi" w:hAnsiTheme="minorHAnsi"/>
          <w:bCs/>
          <w:lang w:val="en-GB"/>
        </w:rPr>
        <w:t>the trial population may be younger than the average patient diagnosed with lung cancer in Australia.</w:t>
      </w:r>
    </w:p>
    <w:p w:rsidR="00CB1073" w:rsidRDefault="00CB1073">
      <w:pPr>
        <w:widowControl/>
        <w:jc w:val="left"/>
        <w:rPr>
          <w:rFonts w:asciiTheme="minorHAnsi" w:hAnsiTheme="minorHAnsi"/>
          <w:bCs/>
          <w:lang w:val="en-GB"/>
        </w:rPr>
      </w:pPr>
      <w:r>
        <w:rPr>
          <w:rFonts w:asciiTheme="minorHAnsi" w:hAnsiTheme="minorHAnsi"/>
          <w:bCs/>
          <w:lang w:val="en-GB"/>
        </w:rPr>
        <w:br w:type="page"/>
      </w:r>
    </w:p>
    <w:p w:rsidR="007F35F9" w:rsidRPr="00830260" w:rsidRDefault="00A86E77" w:rsidP="008404A4">
      <w:pPr>
        <w:widowControl/>
        <w:numPr>
          <w:ilvl w:val="1"/>
          <w:numId w:val="2"/>
        </w:numPr>
        <w:spacing w:after="120"/>
        <w:rPr>
          <w:rFonts w:asciiTheme="minorHAnsi" w:hAnsiTheme="minorHAnsi"/>
          <w:bCs/>
          <w:lang w:val="en-GB"/>
        </w:rPr>
      </w:pPr>
      <w:r w:rsidRPr="00830260">
        <w:rPr>
          <w:rFonts w:asciiTheme="minorHAnsi" w:hAnsiTheme="minorHAnsi"/>
          <w:bCs/>
          <w:lang w:val="en-GB"/>
        </w:rPr>
        <w:t>The PBAC noted that the economic model assumed a</w:t>
      </w:r>
      <w:r w:rsidR="004D1BA7" w:rsidRPr="00830260">
        <w:rPr>
          <w:rFonts w:asciiTheme="minorHAnsi" w:hAnsiTheme="minorHAnsi"/>
          <w:bCs/>
          <w:lang w:val="en-GB"/>
        </w:rPr>
        <w:t>n additional</w:t>
      </w:r>
      <w:r w:rsidRPr="00830260">
        <w:rPr>
          <w:rFonts w:asciiTheme="minorHAnsi" w:hAnsiTheme="minorHAnsi"/>
          <w:bCs/>
          <w:lang w:val="en-GB"/>
        </w:rPr>
        <w:t xml:space="preserve"> 1</w:t>
      </w:r>
      <w:r w:rsidR="00043274" w:rsidRPr="00830260">
        <w:rPr>
          <w:rFonts w:asciiTheme="minorHAnsi" w:hAnsiTheme="minorHAnsi"/>
          <w:bCs/>
          <w:lang w:val="en-GB"/>
        </w:rPr>
        <w:t>3</w:t>
      </w:r>
      <w:r w:rsidRPr="00830260">
        <w:rPr>
          <w:rFonts w:asciiTheme="minorHAnsi" w:hAnsiTheme="minorHAnsi"/>
          <w:bCs/>
          <w:lang w:val="en-GB"/>
        </w:rPr>
        <w:t xml:space="preserve">% </w:t>
      </w:r>
      <w:r w:rsidR="004D1BA7" w:rsidRPr="00830260">
        <w:rPr>
          <w:rFonts w:asciiTheme="minorHAnsi" w:hAnsiTheme="minorHAnsi"/>
          <w:bCs/>
          <w:lang w:val="en-GB"/>
        </w:rPr>
        <w:t xml:space="preserve">of patients </w:t>
      </w:r>
      <w:r w:rsidR="007D0A81" w:rsidRPr="00830260">
        <w:rPr>
          <w:rFonts w:asciiTheme="minorHAnsi" w:hAnsiTheme="minorHAnsi"/>
          <w:bCs/>
          <w:lang w:val="en-GB"/>
        </w:rPr>
        <w:t xml:space="preserve">entering the model would remain alive at 10 years following treatment with durvalumab compared with standard of care. The estimate was based on </w:t>
      </w:r>
      <w:r w:rsidRPr="00830260">
        <w:rPr>
          <w:rFonts w:asciiTheme="minorHAnsi" w:hAnsiTheme="minorHAnsi"/>
          <w:bCs/>
          <w:lang w:val="en-GB"/>
        </w:rPr>
        <w:t>an average of 40 months follow up in the key study, at which time median OS had not been reached in the durvalumab arm</w:t>
      </w:r>
      <w:r w:rsidR="00043274" w:rsidRPr="00830260">
        <w:rPr>
          <w:rFonts w:asciiTheme="minorHAnsi" w:hAnsiTheme="minorHAnsi"/>
          <w:bCs/>
          <w:lang w:val="en-GB"/>
        </w:rPr>
        <w:t>, and represents more than a trebling of survival at 10 years (18% in the durvalumab arm vs 5% in the placebo arm)</w:t>
      </w:r>
      <w:r w:rsidRPr="00830260">
        <w:rPr>
          <w:rFonts w:asciiTheme="minorHAnsi" w:hAnsiTheme="minorHAnsi"/>
          <w:bCs/>
          <w:lang w:val="en-GB"/>
        </w:rPr>
        <w:t>.</w:t>
      </w:r>
      <w:r w:rsidR="002432B1">
        <w:rPr>
          <w:rFonts w:asciiTheme="minorHAnsi" w:hAnsiTheme="minorHAnsi"/>
          <w:bCs/>
          <w:lang w:val="en-GB"/>
        </w:rPr>
        <w:t xml:space="preserve"> The PBAC considered that the absolute gain in survival would likely reduce with further follow-up.</w:t>
      </w:r>
    </w:p>
    <w:p w:rsidR="0058547E" w:rsidRPr="00830260" w:rsidRDefault="0041010E" w:rsidP="008404A4">
      <w:pPr>
        <w:widowControl/>
        <w:numPr>
          <w:ilvl w:val="1"/>
          <w:numId w:val="2"/>
        </w:numPr>
        <w:spacing w:after="120"/>
        <w:rPr>
          <w:rFonts w:asciiTheme="minorHAnsi" w:hAnsiTheme="minorHAnsi"/>
          <w:bCs/>
          <w:lang w:val="en-GB"/>
        </w:rPr>
      </w:pPr>
      <w:r w:rsidRPr="00830260">
        <w:rPr>
          <w:rFonts w:asciiTheme="minorHAnsi" w:hAnsiTheme="minorHAnsi"/>
          <w:bCs/>
          <w:lang w:val="en-GB"/>
        </w:rPr>
        <w:t xml:space="preserve">The PBAC noted that the ICER was sensitive to </w:t>
      </w:r>
      <w:r w:rsidR="00EB4AFC" w:rsidRPr="00830260">
        <w:rPr>
          <w:rFonts w:asciiTheme="minorHAnsi" w:hAnsiTheme="minorHAnsi"/>
          <w:bCs/>
          <w:lang w:val="en-GB"/>
        </w:rPr>
        <w:t xml:space="preserve">the choice of parametric extrapolation for overall survival and considered </w:t>
      </w:r>
      <w:r w:rsidR="00B96CCC" w:rsidRPr="00830260">
        <w:rPr>
          <w:rFonts w:asciiTheme="minorHAnsi" w:hAnsiTheme="minorHAnsi"/>
          <w:bCs/>
          <w:lang w:val="en-GB"/>
        </w:rPr>
        <w:t xml:space="preserve">the </w:t>
      </w:r>
      <w:r w:rsidR="00EB4AFC" w:rsidRPr="00830260">
        <w:rPr>
          <w:rFonts w:asciiTheme="minorHAnsi" w:hAnsiTheme="minorHAnsi"/>
          <w:bCs/>
          <w:lang w:val="en-GB"/>
        </w:rPr>
        <w:t xml:space="preserve">model time horizon was poorly justified </w:t>
      </w:r>
      <w:r w:rsidR="00C6288B" w:rsidRPr="00830260">
        <w:rPr>
          <w:rFonts w:asciiTheme="minorHAnsi" w:hAnsiTheme="minorHAnsi"/>
          <w:bCs/>
          <w:lang w:val="en-GB"/>
        </w:rPr>
        <w:t>in the context of this</w:t>
      </w:r>
      <w:r w:rsidR="0058547E" w:rsidRPr="00830260">
        <w:rPr>
          <w:rFonts w:asciiTheme="minorHAnsi" w:hAnsiTheme="minorHAnsi"/>
          <w:bCs/>
          <w:lang w:val="en-GB"/>
        </w:rPr>
        <w:t xml:space="preserve"> uncertainty.</w:t>
      </w:r>
      <w:r w:rsidR="007F35F9" w:rsidRPr="00830260">
        <w:rPr>
          <w:rFonts w:asciiTheme="minorHAnsi" w:hAnsiTheme="minorHAnsi"/>
          <w:bCs/>
          <w:lang w:val="en-GB"/>
        </w:rPr>
        <w:t xml:space="preserve"> The PBAC agreed</w:t>
      </w:r>
      <w:r w:rsidR="00AF619B" w:rsidRPr="00830260">
        <w:rPr>
          <w:rFonts w:asciiTheme="minorHAnsi" w:hAnsiTheme="minorHAnsi"/>
          <w:bCs/>
          <w:lang w:val="en-GB"/>
        </w:rPr>
        <w:t xml:space="preserve"> that an alternative extrapolation </w:t>
      </w:r>
      <w:r w:rsidR="002D10F9" w:rsidRPr="00830260">
        <w:rPr>
          <w:rFonts w:asciiTheme="minorHAnsi" w:hAnsiTheme="minorHAnsi"/>
          <w:bCs/>
          <w:lang w:val="en-GB"/>
        </w:rPr>
        <w:t xml:space="preserve">may be more plausible, particularly as the log-logistic function used in the </w:t>
      </w:r>
      <w:r w:rsidR="0084320B" w:rsidRPr="00830260">
        <w:rPr>
          <w:rFonts w:asciiTheme="minorHAnsi" w:hAnsiTheme="minorHAnsi"/>
          <w:bCs/>
          <w:lang w:val="en-GB"/>
        </w:rPr>
        <w:t xml:space="preserve">durvalumab in the </w:t>
      </w:r>
      <w:r w:rsidR="002D10F9" w:rsidRPr="00830260">
        <w:rPr>
          <w:rFonts w:asciiTheme="minorHAnsi" w:hAnsiTheme="minorHAnsi"/>
          <w:bCs/>
          <w:lang w:val="en-GB"/>
        </w:rPr>
        <w:t xml:space="preserve">base case may not adequately capture the increasing rate of background mortality over the model </w:t>
      </w:r>
      <w:r w:rsidR="0081559F" w:rsidRPr="00830260">
        <w:rPr>
          <w:rFonts w:asciiTheme="minorHAnsi" w:hAnsiTheme="minorHAnsi"/>
          <w:bCs/>
          <w:lang w:val="en-GB"/>
        </w:rPr>
        <w:t>time horizon</w:t>
      </w:r>
      <w:r w:rsidR="002D10F9" w:rsidRPr="00830260">
        <w:rPr>
          <w:rFonts w:asciiTheme="minorHAnsi" w:hAnsiTheme="minorHAnsi"/>
          <w:bCs/>
          <w:lang w:val="en-GB"/>
        </w:rPr>
        <w:t xml:space="preserve">. </w:t>
      </w:r>
    </w:p>
    <w:p w:rsidR="007F35F9" w:rsidRPr="00830260" w:rsidRDefault="007F35F9" w:rsidP="008404A4">
      <w:pPr>
        <w:widowControl/>
        <w:numPr>
          <w:ilvl w:val="1"/>
          <w:numId w:val="2"/>
        </w:numPr>
        <w:spacing w:after="120"/>
        <w:rPr>
          <w:rFonts w:asciiTheme="minorHAnsi" w:hAnsiTheme="minorHAnsi"/>
          <w:bCs/>
          <w:lang w:val="en-GB"/>
        </w:rPr>
      </w:pPr>
      <w:r w:rsidRPr="00830260">
        <w:rPr>
          <w:rFonts w:asciiTheme="minorHAnsi" w:hAnsiTheme="minorHAnsi"/>
          <w:bCs/>
          <w:lang w:val="en-GB"/>
        </w:rPr>
        <w:t xml:space="preserve">The PBAC </w:t>
      </w:r>
      <w:r w:rsidR="0081559F" w:rsidRPr="00830260">
        <w:rPr>
          <w:rFonts w:asciiTheme="minorHAnsi" w:hAnsiTheme="minorHAnsi"/>
          <w:bCs/>
          <w:lang w:val="en-GB"/>
        </w:rPr>
        <w:t xml:space="preserve">noted the ESC advice </w:t>
      </w:r>
      <w:r w:rsidR="0084320B" w:rsidRPr="00830260">
        <w:rPr>
          <w:rFonts w:asciiTheme="minorHAnsi" w:hAnsiTheme="minorHAnsi"/>
          <w:bCs/>
          <w:lang w:val="en-GB"/>
        </w:rPr>
        <w:t>that AIC estimates for the PACIFIC trial OS curves, may not be helpful for fitting parametric functions as there was little difference between the estimates, and they likely reflect differences in the earlier portions of OS data.</w:t>
      </w:r>
    </w:p>
    <w:p w:rsidR="00764DF5" w:rsidRPr="006E7532" w:rsidRDefault="00764DF5" w:rsidP="008404A4">
      <w:pPr>
        <w:widowControl/>
        <w:numPr>
          <w:ilvl w:val="1"/>
          <w:numId w:val="2"/>
        </w:numPr>
        <w:spacing w:after="120"/>
        <w:rPr>
          <w:rFonts w:asciiTheme="minorHAnsi" w:hAnsiTheme="minorHAnsi"/>
          <w:bCs/>
          <w:lang w:val="en-GB"/>
        </w:rPr>
      </w:pPr>
      <w:r w:rsidRPr="006E7532">
        <w:rPr>
          <w:rFonts w:asciiTheme="minorHAnsi" w:hAnsiTheme="minorHAnsi"/>
          <w:bCs/>
          <w:lang w:val="en-GB"/>
        </w:rPr>
        <w:t>The PBAC agreed with the ESC that the utilities derived from the PACIFIC trial are likely to be higher than in the Australian setting</w:t>
      </w:r>
      <w:r w:rsidR="008B67DB" w:rsidRPr="006E7532">
        <w:rPr>
          <w:rFonts w:asciiTheme="minorHAnsi" w:hAnsiTheme="minorHAnsi"/>
          <w:bCs/>
          <w:lang w:val="en-GB"/>
        </w:rPr>
        <w:t xml:space="preserve"> and considered that a lower estimate should be applied, or a robust analysis of the collection of quality of life in the PACIFIC study should be presented to rule out responder bias.</w:t>
      </w:r>
      <w:r w:rsidRPr="006E7532">
        <w:rPr>
          <w:rFonts w:asciiTheme="minorHAnsi" w:hAnsiTheme="minorHAnsi"/>
          <w:bCs/>
          <w:lang w:val="en-GB"/>
        </w:rPr>
        <w:t xml:space="preserve"> </w:t>
      </w:r>
    </w:p>
    <w:p w:rsidR="00830260" w:rsidRPr="006E7532" w:rsidRDefault="00830260" w:rsidP="008404A4">
      <w:pPr>
        <w:widowControl/>
        <w:numPr>
          <w:ilvl w:val="1"/>
          <w:numId w:val="2"/>
        </w:numPr>
        <w:spacing w:after="120"/>
        <w:rPr>
          <w:rFonts w:asciiTheme="minorHAnsi" w:hAnsiTheme="minorHAnsi"/>
          <w:bCs/>
          <w:lang w:val="en-GB"/>
        </w:rPr>
      </w:pPr>
      <w:r w:rsidRPr="006E7532">
        <w:rPr>
          <w:rFonts w:asciiTheme="minorHAnsi" w:hAnsiTheme="minorHAnsi"/>
          <w:bCs/>
          <w:lang w:val="en-GB"/>
        </w:rPr>
        <w:t>Overall, the PBAC was concerned that the modelled benefit beyond the duration of the trial is likely overestimated, and that the ICER was consequently underestimated.</w:t>
      </w:r>
    </w:p>
    <w:p w:rsidR="00830260" w:rsidRDefault="00F04062" w:rsidP="008404A4">
      <w:pPr>
        <w:widowControl/>
        <w:numPr>
          <w:ilvl w:val="1"/>
          <w:numId w:val="2"/>
        </w:numPr>
        <w:spacing w:after="120"/>
      </w:pPr>
      <w:r w:rsidRPr="006E7532">
        <w:rPr>
          <w:rFonts w:asciiTheme="minorHAnsi" w:hAnsiTheme="minorHAnsi"/>
          <w:bCs/>
          <w:lang w:val="en-GB"/>
        </w:rPr>
        <w:t xml:space="preserve">The PBAC noted the high estimated financial impact of </w:t>
      </w:r>
      <w:r w:rsidR="00A30601" w:rsidRPr="006E7532">
        <w:rPr>
          <w:rFonts w:asciiTheme="minorHAnsi" w:hAnsiTheme="minorHAnsi"/>
          <w:bCs/>
          <w:lang w:val="en-GB"/>
        </w:rPr>
        <w:t xml:space="preserve">subsidising </w:t>
      </w:r>
      <w:r w:rsidRPr="006E7532">
        <w:rPr>
          <w:rFonts w:asciiTheme="minorHAnsi" w:hAnsiTheme="minorHAnsi"/>
          <w:bCs/>
          <w:lang w:val="en-GB"/>
        </w:rPr>
        <w:t xml:space="preserve">durvalumab for the proposed listing, although considered that the financial impact was overestimated as it did not account for a reduction in the use of subsequent lines of PD-(L)1 therapies. </w:t>
      </w:r>
      <w:r w:rsidRPr="006E7532">
        <w:t>The PBAC considered that there would</w:t>
      </w:r>
      <w:r w:rsidR="00E76A76">
        <w:t xml:space="preserve"> be</w:t>
      </w:r>
      <w:r w:rsidRPr="006E7532">
        <w:t xml:space="preserve"> substantial cost offsets from PD-(L)1 use</w:t>
      </w:r>
      <w:r w:rsidR="00A30601" w:rsidRPr="006E7532">
        <w:t xml:space="preserve"> in later stage NSCLC</w:t>
      </w:r>
      <w:r w:rsidRPr="006E7532">
        <w:t xml:space="preserve"> resulting from a PBS listing of durvalumab in stage III NSCLC</w:t>
      </w:r>
      <w:r w:rsidR="00441D25">
        <w:t>, which</w:t>
      </w:r>
      <w:r w:rsidRPr="006E7532">
        <w:t xml:space="preserve"> would affect the current risk sharing arrangements (RSA) in the current joint Deed of Agreement</w:t>
      </w:r>
      <w:r w:rsidRPr="00E17531">
        <w:t xml:space="preserve"> for </w:t>
      </w:r>
      <w:r>
        <w:t xml:space="preserve">atezolizumab, </w:t>
      </w:r>
      <w:r w:rsidRPr="00E17531">
        <w:t>nivolumab</w:t>
      </w:r>
      <w:r>
        <w:t xml:space="preserve"> and pembrolizumab in NSCLC</w:t>
      </w:r>
      <w:r w:rsidRPr="00E17531">
        <w:t xml:space="preserve">. The PBAC considered that if </w:t>
      </w:r>
      <w:r>
        <w:t xml:space="preserve">durvalumab </w:t>
      </w:r>
      <w:r w:rsidRPr="00E17531">
        <w:t xml:space="preserve">was made available on the </w:t>
      </w:r>
      <w:r>
        <w:t>PBS, there would only be a modest</w:t>
      </w:r>
      <w:r w:rsidRPr="00E17531">
        <w:t xml:space="preserve"> increase in the </w:t>
      </w:r>
      <w:r>
        <w:t>overall</w:t>
      </w:r>
      <w:r w:rsidRPr="00E17531">
        <w:t xml:space="preserve"> number of patients treated for </w:t>
      </w:r>
      <w:r>
        <w:t>NSCLC</w:t>
      </w:r>
      <w:r w:rsidR="00D81753">
        <w:t xml:space="preserve">, </w:t>
      </w:r>
      <w:r w:rsidR="002432B1">
        <w:t xml:space="preserve"> provided  sequential treatment with different PD-(L)1 therapies</w:t>
      </w:r>
      <w:r w:rsidR="00D81753">
        <w:t xml:space="preserve"> was precluded as recommended above.</w:t>
      </w:r>
    </w:p>
    <w:p w:rsidR="00E97BEA" w:rsidRDefault="00830260" w:rsidP="008404A4">
      <w:pPr>
        <w:widowControl/>
        <w:numPr>
          <w:ilvl w:val="1"/>
          <w:numId w:val="2"/>
        </w:numPr>
        <w:spacing w:after="120"/>
      </w:pPr>
      <w:r>
        <w:t xml:space="preserve">The PBAC </w:t>
      </w:r>
      <w:r w:rsidR="00E97BEA">
        <w:t xml:space="preserve">advised </w:t>
      </w:r>
      <w:r>
        <w:t>the Minister examine</w:t>
      </w:r>
      <w:r w:rsidR="003029F4">
        <w:t xml:space="preserve"> </w:t>
      </w:r>
      <w:r>
        <w:t>the potential</w:t>
      </w:r>
      <w:r w:rsidRPr="00830260">
        <w:t xml:space="preserve"> for a broad PBS subsidy listing for PD</w:t>
      </w:r>
      <w:r w:rsidR="00717D6A">
        <w:t>-</w:t>
      </w:r>
      <w:r w:rsidRPr="00830260">
        <w:t xml:space="preserve">(L)1 inhibitors for </w:t>
      </w:r>
      <w:r w:rsidR="00056990">
        <w:t>NSCLC</w:t>
      </w:r>
      <w:r w:rsidRPr="00830260">
        <w:t>, as substantial evidence and experience is now available for</w:t>
      </w:r>
      <w:r w:rsidR="00E97BEA">
        <w:t xml:space="preserve"> four PD-(L)1 </w:t>
      </w:r>
      <w:r w:rsidRPr="00830260">
        <w:t xml:space="preserve"> medicines in this setting.</w:t>
      </w:r>
      <w:r w:rsidR="00441D25">
        <w:t xml:space="preserve"> </w:t>
      </w:r>
      <w:r>
        <w:t>The PBAC</w:t>
      </w:r>
      <w:r w:rsidR="00056990">
        <w:t xml:space="preserve"> considered there </w:t>
      </w:r>
      <w:r w:rsidR="00CF51EF">
        <w:t>is</w:t>
      </w:r>
      <w:r w:rsidR="00056990">
        <w:t xml:space="preserve"> potential for a NSCLC listing that allow</w:t>
      </w:r>
      <w:r w:rsidR="00CF51EF">
        <w:t>s</w:t>
      </w:r>
      <w:r w:rsidR="00056990">
        <w:t xml:space="preserve"> </w:t>
      </w:r>
      <w:r w:rsidR="00E76A76">
        <w:t xml:space="preserve">patients of </w:t>
      </w:r>
      <w:r w:rsidR="00056990">
        <w:t xml:space="preserve">WHO </w:t>
      </w:r>
      <w:r w:rsidR="00E76A76">
        <w:t xml:space="preserve">performance </w:t>
      </w:r>
      <w:r w:rsidR="00056990">
        <w:t>status 0 and 1 access to a single course of treatment with a PD-(L</w:t>
      </w:r>
      <w:r w:rsidR="00E76A76">
        <w:t>)</w:t>
      </w:r>
      <w:r w:rsidR="00056990">
        <w:t>1 inhibitor</w:t>
      </w:r>
      <w:r w:rsidR="00E76A76">
        <w:t>,</w:t>
      </w:r>
      <w:r w:rsidR="00056990">
        <w:t xml:space="preserve"> irrespective of disease stage (unresectable stage III or IV)</w:t>
      </w:r>
      <w:r w:rsidR="00E76A76">
        <w:t>,</w:t>
      </w:r>
      <w:r w:rsidR="00E97BEA">
        <w:t xml:space="preserve"> </w:t>
      </w:r>
      <w:r w:rsidR="00056990">
        <w:t xml:space="preserve">biomarker status, </w:t>
      </w:r>
      <w:r w:rsidR="006930AB">
        <w:t>line of treatment (</w:t>
      </w:r>
      <w:r w:rsidR="00B1490B">
        <w:t xml:space="preserve">adjuvant, </w:t>
      </w:r>
      <w:r w:rsidR="006930AB">
        <w:t>1</w:t>
      </w:r>
      <w:r w:rsidR="006930AB" w:rsidRPr="00E97BEA">
        <w:rPr>
          <w:vertAlign w:val="superscript"/>
        </w:rPr>
        <w:t>st</w:t>
      </w:r>
      <w:r w:rsidR="006930AB">
        <w:t xml:space="preserve"> or later line), </w:t>
      </w:r>
      <w:r w:rsidR="00056990">
        <w:t>and with or without concomitant cytotoxic therapy.</w:t>
      </w:r>
      <w:r w:rsidR="00441D25">
        <w:t xml:space="preserve"> </w:t>
      </w:r>
      <w:r w:rsidR="002432B1">
        <w:t>This would allow the</w:t>
      </w:r>
      <w:r w:rsidR="00E76A76">
        <w:t xml:space="preserve"> </w:t>
      </w:r>
      <w:r w:rsidR="002432B1">
        <w:t>decision re</w:t>
      </w:r>
      <w:r w:rsidR="00E97BEA">
        <w:t xml:space="preserve">garding </w:t>
      </w:r>
      <w:r w:rsidR="00E76A76">
        <w:t xml:space="preserve">timing the PD-(L)1 inhibitor </w:t>
      </w:r>
      <w:r w:rsidR="002432B1">
        <w:t xml:space="preserve">to be determined by the </w:t>
      </w:r>
      <w:r w:rsidR="00E76A76">
        <w:t>clinician</w:t>
      </w:r>
      <w:r w:rsidR="002432B1">
        <w:t xml:space="preserve"> and patient</w:t>
      </w:r>
      <w:r w:rsidR="00E76A76">
        <w:t xml:space="preserve">. </w:t>
      </w:r>
      <w:r w:rsidR="00E97BEA" w:rsidRPr="00E97BEA">
        <w:t>The PBAC noted a lack of robust evidence to support the efficacy of sequential courses of PD-(L)1 checkpoint inhibitors, and considered limiting treatment with a PD-(L)1 to once per lifetime appropriate at this time</w:t>
      </w:r>
      <w:r w:rsidR="00E97BEA">
        <w:t xml:space="preserve">. </w:t>
      </w:r>
    </w:p>
    <w:p w:rsidR="00B275CD" w:rsidRPr="006E7532" w:rsidRDefault="006E7532" w:rsidP="008404A4">
      <w:pPr>
        <w:widowControl/>
        <w:numPr>
          <w:ilvl w:val="1"/>
          <w:numId w:val="2"/>
        </w:numPr>
        <w:spacing w:after="120"/>
      </w:pPr>
      <w:r w:rsidRPr="006E7532">
        <w:t xml:space="preserve">The </w:t>
      </w:r>
      <w:r w:rsidR="00B275CD" w:rsidRPr="006E7532">
        <w:t>PBAC noted that this submission is eligible for an Independent Review.</w:t>
      </w:r>
    </w:p>
    <w:p w:rsidR="00883ABE" w:rsidRPr="00636AE4" w:rsidRDefault="00883ABE" w:rsidP="008404A4">
      <w:pPr>
        <w:widowControl/>
        <w:spacing w:before="240"/>
        <w:rPr>
          <w:rFonts w:asciiTheme="minorHAnsi" w:hAnsiTheme="minorHAnsi"/>
          <w:b/>
          <w:bCs/>
          <w:lang w:val="en-GB"/>
        </w:rPr>
      </w:pPr>
      <w:r w:rsidRPr="00636AE4">
        <w:rPr>
          <w:rFonts w:asciiTheme="minorHAnsi" w:hAnsiTheme="minorHAnsi"/>
          <w:b/>
          <w:bCs/>
          <w:lang w:val="en-GB"/>
        </w:rPr>
        <w:t>Outcome:</w:t>
      </w:r>
    </w:p>
    <w:p w:rsidR="00E97BEA" w:rsidRPr="00BD4131" w:rsidRDefault="00B31D89" w:rsidP="008404A4">
      <w:pPr>
        <w:widowControl/>
        <w:rPr>
          <w:rFonts w:asciiTheme="minorHAnsi" w:hAnsiTheme="minorHAnsi"/>
          <w:bCs/>
          <w:lang w:val="en-GB"/>
        </w:rPr>
      </w:pPr>
      <w:r w:rsidRPr="00636AE4">
        <w:rPr>
          <w:rFonts w:asciiTheme="minorHAnsi" w:hAnsiTheme="minorHAnsi"/>
          <w:bCs/>
          <w:lang w:val="en-GB"/>
        </w:rPr>
        <w:t>Rejected</w:t>
      </w:r>
    </w:p>
    <w:p w:rsidR="00883ABE" w:rsidRPr="00673EB8" w:rsidRDefault="00883ABE" w:rsidP="008404A4">
      <w:pPr>
        <w:widowControl/>
        <w:rPr>
          <w:rFonts w:asciiTheme="minorHAnsi" w:hAnsiTheme="minorHAnsi"/>
          <w:bCs/>
          <w:highlight w:val="yellow"/>
        </w:rPr>
      </w:pPr>
    </w:p>
    <w:bookmarkEnd w:id="0"/>
    <w:bookmarkEnd w:id="1"/>
    <w:bookmarkEnd w:id="2"/>
    <w:bookmarkEnd w:id="3"/>
    <w:bookmarkEnd w:id="4"/>
    <w:bookmarkEnd w:id="37"/>
    <w:p w:rsidR="00D301C8" w:rsidRPr="00D301C8" w:rsidRDefault="00D301C8" w:rsidP="002E4AD8">
      <w:pPr>
        <w:pStyle w:val="PBACHeading1"/>
        <w:spacing w:before="240" w:after="120"/>
      </w:pPr>
      <w:r w:rsidRPr="00D301C8">
        <w:t>Context for Decision</w:t>
      </w:r>
    </w:p>
    <w:p w:rsidR="00D301C8" w:rsidRPr="00C07617" w:rsidRDefault="00D301C8" w:rsidP="008404A4">
      <w:pPr>
        <w:widowControl/>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301C8" w:rsidRDefault="00D301C8" w:rsidP="008404A4">
      <w:pPr>
        <w:widowControl/>
        <w:ind w:left="426"/>
        <w:rPr>
          <w:rFonts w:ascii="Arial" w:hAnsi="Arial"/>
          <w:sz w:val="22"/>
        </w:rPr>
      </w:pPr>
    </w:p>
    <w:p w:rsidR="00D301C8" w:rsidRPr="00C07617" w:rsidRDefault="00D301C8" w:rsidP="002E4AD8">
      <w:pPr>
        <w:pStyle w:val="PBACHeading1"/>
        <w:spacing w:before="240" w:after="120"/>
      </w:pPr>
      <w:r>
        <w:t>Sponsor’s Comment</w:t>
      </w:r>
    </w:p>
    <w:p w:rsidR="00D301C8" w:rsidRPr="00C07617" w:rsidRDefault="00D301C8" w:rsidP="008404A4">
      <w:pPr>
        <w:widowControl/>
        <w:tabs>
          <w:tab w:val="left" w:pos="567"/>
        </w:tabs>
        <w:spacing w:after="120"/>
        <w:ind w:left="426" w:firstLine="283"/>
        <w:rPr>
          <w:rFonts w:asciiTheme="minorHAnsi" w:hAnsiTheme="minorHAnsi"/>
          <w:bCs/>
        </w:rPr>
      </w:pPr>
      <w:r w:rsidRPr="00C07617">
        <w:rPr>
          <w:rFonts w:asciiTheme="minorHAnsi" w:hAnsiTheme="minorHAnsi"/>
          <w:bCs/>
        </w:rPr>
        <w:t>The sponsor had no comment.</w:t>
      </w:r>
    </w:p>
    <w:p w:rsidR="002C5099" w:rsidRPr="00D13A3E" w:rsidRDefault="002C5099" w:rsidP="008404A4">
      <w:pPr>
        <w:pStyle w:val="TableFooter"/>
        <w:widowControl/>
        <w:jc w:val="left"/>
      </w:pPr>
    </w:p>
    <w:sectPr w:rsidR="002C5099" w:rsidRPr="00D13A3E" w:rsidSect="00AD2397">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C62E96" w15:done="0"/>
  <w15:commentEx w15:paraId="79F2CCDE" w15:done="0"/>
  <w15:commentEx w15:paraId="70A9C1CB" w15:done="0"/>
  <w15:commentEx w15:paraId="3429DEB7" w15:done="0"/>
  <w15:commentEx w15:paraId="42DE82AA" w15:done="0"/>
  <w15:commentEx w15:paraId="34B9B623" w15:done="0"/>
  <w15:commentEx w15:paraId="54EEE9CA" w15:done="0"/>
  <w15:commentEx w15:paraId="083AADFB" w15:done="0"/>
  <w15:commentEx w15:paraId="3F87D4E1" w15:done="0"/>
  <w15:commentEx w15:paraId="2E1839AD" w15:done="0"/>
  <w15:commentEx w15:paraId="66E38718" w15:done="0"/>
  <w15:commentEx w15:paraId="330CE296" w15:done="0"/>
  <w15:commentEx w15:paraId="70249499" w15:done="0"/>
  <w15:commentEx w15:paraId="3368A5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4C200F" w16cid:durableId="1FB7FF8D"/>
  <w16cid:commentId w16cid:paraId="446A7321" w16cid:durableId="1FB80184"/>
  <w16cid:commentId w16cid:paraId="0778535F" w16cid:durableId="1FB80D78"/>
  <w16cid:commentId w16cid:paraId="708B5381" w16cid:durableId="1FB7FD06"/>
  <w16cid:commentId w16cid:paraId="3A644FA6" w16cid:durableId="1FB805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02" w:rsidRDefault="00145C02" w:rsidP="00124A51">
      <w:r>
        <w:separator/>
      </w:r>
    </w:p>
    <w:p w:rsidR="00145C02" w:rsidRDefault="00145C02"/>
  </w:endnote>
  <w:endnote w:type="continuationSeparator" w:id="0">
    <w:p w:rsidR="00145C02" w:rsidRDefault="00145C02" w:rsidP="00124A51">
      <w:r>
        <w:continuationSeparator/>
      </w:r>
    </w:p>
    <w:p w:rsidR="00145C02" w:rsidRDefault="00145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02" w:rsidRDefault="00145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66624"/>
      <w:docPartObj>
        <w:docPartGallery w:val="Page Numbers (Bottom of Page)"/>
        <w:docPartUnique/>
      </w:docPartObj>
    </w:sdtPr>
    <w:sdtEndPr>
      <w:rPr>
        <w:noProof/>
      </w:rPr>
    </w:sdtEndPr>
    <w:sdtContent>
      <w:p w:rsidR="0037306A" w:rsidRDefault="0037306A">
        <w:pPr>
          <w:pStyle w:val="Footer"/>
          <w:jc w:val="center"/>
        </w:pPr>
        <w:r>
          <w:fldChar w:fldCharType="begin"/>
        </w:r>
        <w:r>
          <w:instrText xml:space="preserve"> PAGE   \* MERGEFORMAT </w:instrText>
        </w:r>
        <w:r>
          <w:fldChar w:fldCharType="separate"/>
        </w:r>
        <w:r w:rsidR="00145C02">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02" w:rsidRDefault="00145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02" w:rsidRDefault="00145C02" w:rsidP="00124A51">
      <w:r>
        <w:separator/>
      </w:r>
    </w:p>
    <w:p w:rsidR="00145C02" w:rsidRDefault="00145C02"/>
  </w:footnote>
  <w:footnote w:type="continuationSeparator" w:id="0">
    <w:p w:rsidR="00145C02" w:rsidRDefault="00145C02" w:rsidP="00124A51">
      <w:r>
        <w:continuationSeparator/>
      </w:r>
    </w:p>
    <w:p w:rsidR="00145C02" w:rsidRDefault="00145C02"/>
  </w:footnote>
  <w:footnote w:id="1">
    <w:p w:rsidR="0037306A" w:rsidRDefault="0037306A">
      <w:pPr>
        <w:pStyle w:val="FootnoteText"/>
      </w:pPr>
      <w:r w:rsidRPr="00717D6A">
        <w:rPr>
          <w:rStyle w:val="FootnoteReference"/>
        </w:rPr>
        <w:footnoteRef/>
      </w:r>
      <w:r w:rsidRPr="00717D6A">
        <w:t xml:space="preserve"> </w:t>
      </w:r>
      <w:r w:rsidRPr="00717D6A">
        <w:rPr>
          <w:rFonts w:asciiTheme="minorHAnsi" w:hAnsiTheme="minorHAnsi"/>
          <w:bCs/>
          <w:sz w:val="16"/>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02" w:rsidRDefault="00145C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6A" w:rsidRPr="00AD2397" w:rsidRDefault="0037306A" w:rsidP="00E31CF2">
    <w:pPr>
      <w:tabs>
        <w:tab w:val="left" w:pos="142"/>
        <w:tab w:val="right" w:pos="9027"/>
      </w:tabs>
      <w:jc w:val="center"/>
      <w:rPr>
        <w:i/>
        <w:szCs w:val="24"/>
      </w:rPr>
    </w:pPr>
    <w:r>
      <w:rPr>
        <w:i/>
        <w:szCs w:val="24"/>
      </w:rPr>
      <w:t>Public Summary Document</w:t>
    </w:r>
    <w:r w:rsidRPr="00AD2397">
      <w:rPr>
        <w:i/>
        <w:szCs w:val="24"/>
      </w:rPr>
      <w:t xml:space="preserve"> – November 2018 PBAC meeting</w:t>
    </w:r>
  </w:p>
  <w:p w:rsidR="0037306A" w:rsidRPr="00EC5947" w:rsidRDefault="0037306A" w:rsidP="00EC5947">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02" w:rsidRDefault="00145C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C8451C"/>
    <w:lvl w:ilvl="0">
      <w:start w:val="1"/>
      <w:numFmt w:val="decimal"/>
      <w:lvlText w:val="%1."/>
      <w:lvlJc w:val="left"/>
      <w:pPr>
        <w:tabs>
          <w:tab w:val="num" w:pos="360"/>
        </w:tabs>
        <w:ind w:left="360" w:hanging="360"/>
      </w:p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1297D"/>
    <w:multiLevelType w:val="hybridMultilevel"/>
    <w:tmpl w:val="AB4AC3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4DB6EC1"/>
    <w:multiLevelType w:val="hybridMultilevel"/>
    <w:tmpl w:val="FD04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C1A9D"/>
    <w:multiLevelType w:val="hybridMultilevel"/>
    <w:tmpl w:val="7870D0E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14634013"/>
    <w:multiLevelType w:val="hybridMultilevel"/>
    <w:tmpl w:val="C3D0ABEE"/>
    <w:lvl w:ilvl="0" w:tplc="4B6CBC1C">
      <w:start w:val="1"/>
      <w:numFmt w:val="bullet"/>
      <w:pStyle w:val="MSACESBulletpoin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BB51A30"/>
    <w:multiLevelType w:val="hybridMultilevel"/>
    <w:tmpl w:val="9F087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056AE"/>
    <w:multiLevelType w:val="hybridMultilevel"/>
    <w:tmpl w:val="1996D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845D45"/>
    <w:multiLevelType w:val="multilevel"/>
    <w:tmpl w:val="4C048EB0"/>
    <w:lvl w:ilvl="0">
      <w:start w:val="1"/>
      <w:numFmt w:val="bullet"/>
      <w:lvlText w:val=""/>
      <w:lvlJc w:val="left"/>
      <w:pPr>
        <w:ind w:left="720" w:hanging="720"/>
      </w:pPr>
      <w:rPr>
        <w:rFonts w:ascii="Symbol" w:hAnsi="Symbol" w:hint="default"/>
        <w:b w:val="0"/>
      </w:rPr>
    </w:lvl>
    <w:lvl w:ilvl="1">
      <w:start w:val="1"/>
      <w:numFmt w:val="bullet"/>
      <w:lvlText w:val=""/>
      <w:lvlJc w:val="left"/>
      <w:pPr>
        <w:ind w:left="720" w:hanging="720"/>
      </w:pPr>
      <w:rPr>
        <w:rFonts w:ascii="Symbol" w:hAnsi="Symbol"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EF181D"/>
    <w:multiLevelType w:val="hybridMultilevel"/>
    <w:tmpl w:val="8E20F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E6783"/>
    <w:multiLevelType w:val="hybridMultilevel"/>
    <w:tmpl w:val="CE2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E6825"/>
    <w:multiLevelType w:val="multilevel"/>
    <w:tmpl w:val="18A2853C"/>
    <w:lvl w:ilvl="0">
      <w:start w:val="1"/>
      <w:numFmt w:val="decimal"/>
      <w:lvlText w:val="%1"/>
      <w:lvlJc w:val="left"/>
      <w:pPr>
        <w:ind w:left="432" w:hanging="432"/>
      </w:pPr>
      <w:rPr>
        <w:rFonts w:hint="default"/>
        <w:b/>
        <w:i w:val="0"/>
      </w:rPr>
    </w:lvl>
    <w:lvl w:ilvl="1">
      <w:start w:val="1"/>
      <w:numFmt w:val="decimal"/>
      <w:lvlText w:val="%2."/>
      <w:lvlJc w:val="left"/>
      <w:pPr>
        <w:ind w:left="576" w:hanging="576"/>
      </w:pPr>
      <w:rPr>
        <w:rFonts w:ascii="Calibri" w:eastAsia="Times New Roman" w:hAnsi="Calibri"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5216EC2"/>
    <w:multiLevelType w:val="hybridMultilevel"/>
    <w:tmpl w:val="C55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41648"/>
    <w:multiLevelType w:val="hybridMultilevel"/>
    <w:tmpl w:val="55F283F0"/>
    <w:lvl w:ilvl="0" w:tplc="0C09000F">
      <w:start w:val="9"/>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A731431"/>
    <w:multiLevelType w:val="hybridMultilevel"/>
    <w:tmpl w:val="85D819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C635B63"/>
    <w:multiLevelType w:val="hybridMultilevel"/>
    <w:tmpl w:val="7900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A47FB"/>
    <w:multiLevelType w:val="hybridMultilevel"/>
    <w:tmpl w:val="650E52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4442297"/>
    <w:multiLevelType w:val="hybridMultilevel"/>
    <w:tmpl w:val="6D92D3D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1F73D7"/>
    <w:multiLevelType w:val="hybridMultilevel"/>
    <w:tmpl w:val="7A20A6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0E185D"/>
    <w:multiLevelType w:val="hybridMultilevel"/>
    <w:tmpl w:val="AB2A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8B45D9"/>
    <w:multiLevelType w:val="hybridMultilevel"/>
    <w:tmpl w:val="9A04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AE496A"/>
    <w:multiLevelType w:val="hybridMultilevel"/>
    <w:tmpl w:val="625A752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1BD679D"/>
    <w:multiLevelType w:val="hybridMultilevel"/>
    <w:tmpl w:val="D5060320"/>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F3D50F6"/>
    <w:multiLevelType w:val="hybridMultilevel"/>
    <w:tmpl w:val="3948E632"/>
    <w:lvl w:ilvl="0" w:tplc="D81AF1F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4650EB3"/>
    <w:multiLevelType w:val="hybridMultilevel"/>
    <w:tmpl w:val="4FF4A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70A7B90"/>
    <w:multiLevelType w:val="hybridMultilevel"/>
    <w:tmpl w:val="52167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84D033C"/>
    <w:multiLevelType w:val="multilevel"/>
    <w:tmpl w:val="B580946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color w:val="000000" w:themeColor="text1"/>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D7131FD"/>
    <w:multiLevelType w:val="hybridMultilevel"/>
    <w:tmpl w:val="E74615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F010E4A"/>
    <w:multiLevelType w:val="hybridMultilevel"/>
    <w:tmpl w:val="333A9A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30"/>
  </w:num>
  <w:num w:numId="3">
    <w:abstractNumId w:val="19"/>
  </w:num>
  <w:num w:numId="4">
    <w:abstractNumId w:val="12"/>
  </w:num>
  <w:num w:numId="5">
    <w:abstractNumId w:val="5"/>
  </w:num>
  <w:num w:numId="6">
    <w:abstractNumId w:val="17"/>
  </w:num>
  <w:num w:numId="7">
    <w:abstractNumId w:val="23"/>
  </w:num>
  <w:num w:numId="8">
    <w:abstractNumId w:val="24"/>
  </w:num>
  <w:num w:numId="9">
    <w:abstractNumId w:val="21"/>
  </w:num>
  <w:num w:numId="10">
    <w:abstractNumId w:val="11"/>
  </w:num>
  <w:num w:numId="11">
    <w:abstractNumId w:val="7"/>
  </w:num>
  <w:num w:numId="12">
    <w:abstractNumId w:val="18"/>
  </w:num>
  <w:num w:numId="13">
    <w:abstractNumId w:val="14"/>
  </w:num>
  <w:num w:numId="14">
    <w:abstractNumId w:val="8"/>
  </w:num>
  <w:num w:numId="15">
    <w:abstractNumId w:val="27"/>
  </w:num>
  <w:num w:numId="16">
    <w:abstractNumId w:val="2"/>
  </w:num>
  <w:num w:numId="17">
    <w:abstractNumId w:val="28"/>
  </w:num>
  <w:num w:numId="18">
    <w:abstractNumId w:val="13"/>
  </w:num>
  <w:num w:numId="19">
    <w:abstractNumId w:val="20"/>
  </w:num>
  <w:num w:numId="20">
    <w:abstractNumId w:val="0"/>
  </w:num>
  <w:num w:numId="21">
    <w:abstractNumId w:val="31"/>
  </w:num>
  <w:num w:numId="22">
    <w:abstractNumId w:val="19"/>
  </w:num>
  <w:num w:numId="23">
    <w:abstractNumId w:val="9"/>
  </w:num>
  <w:num w:numId="24">
    <w:abstractNumId w:val="15"/>
  </w:num>
  <w:num w:numId="25">
    <w:abstractNumId w:val="26"/>
  </w:num>
  <w:num w:numId="26">
    <w:abstractNumId w:val="19"/>
  </w:num>
  <w:num w:numId="27">
    <w:abstractNumId w:val="16"/>
  </w:num>
  <w:num w:numId="28">
    <w:abstractNumId w:val="22"/>
  </w:num>
  <w:num w:numId="29">
    <w:abstractNumId w:val="4"/>
  </w:num>
  <w:num w:numId="30">
    <w:abstractNumId w:val="1"/>
  </w:num>
  <w:num w:numId="31">
    <w:abstractNumId w:val="10"/>
  </w:num>
  <w:num w:numId="32">
    <w:abstractNumId w:val="32"/>
  </w:num>
  <w:num w:numId="33">
    <w:abstractNumId w:val="29"/>
  </w:num>
  <w:num w:numId="34">
    <w:abstractNumId w:val="6"/>
  </w:num>
  <w:num w:numId="35">
    <w:abstractNumId w:val="25"/>
  </w:num>
  <w:num w:numId="36">
    <w:abstractNumId w:val="30"/>
  </w:num>
  <w:num w:numId="3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29"/>
    <w:rsid w:val="00000790"/>
    <w:rsid w:val="00000ED1"/>
    <w:rsid w:val="0000110B"/>
    <w:rsid w:val="0000122C"/>
    <w:rsid w:val="00003499"/>
    <w:rsid w:val="000039B7"/>
    <w:rsid w:val="000047BC"/>
    <w:rsid w:val="00007AFA"/>
    <w:rsid w:val="00013247"/>
    <w:rsid w:val="0001428C"/>
    <w:rsid w:val="00015886"/>
    <w:rsid w:val="000162EF"/>
    <w:rsid w:val="00016DCD"/>
    <w:rsid w:val="00017066"/>
    <w:rsid w:val="00020688"/>
    <w:rsid w:val="00020D40"/>
    <w:rsid w:val="0002225F"/>
    <w:rsid w:val="00022BBF"/>
    <w:rsid w:val="00023763"/>
    <w:rsid w:val="00024432"/>
    <w:rsid w:val="00031F30"/>
    <w:rsid w:val="000323AE"/>
    <w:rsid w:val="000325C3"/>
    <w:rsid w:val="00033863"/>
    <w:rsid w:val="00035C87"/>
    <w:rsid w:val="00035DC0"/>
    <w:rsid w:val="00036829"/>
    <w:rsid w:val="0004075C"/>
    <w:rsid w:val="00040895"/>
    <w:rsid w:val="000417E0"/>
    <w:rsid w:val="00042D37"/>
    <w:rsid w:val="00043274"/>
    <w:rsid w:val="00043C37"/>
    <w:rsid w:val="00045017"/>
    <w:rsid w:val="00045A2B"/>
    <w:rsid w:val="00045F29"/>
    <w:rsid w:val="0004698F"/>
    <w:rsid w:val="000539D0"/>
    <w:rsid w:val="00054621"/>
    <w:rsid w:val="000546D7"/>
    <w:rsid w:val="00056990"/>
    <w:rsid w:val="00060E21"/>
    <w:rsid w:val="00061C74"/>
    <w:rsid w:val="000657AB"/>
    <w:rsid w:val="00066360"/>
    <w:rsid w:val="00071248"/>
    <w:rsid w:val="000720B9"/>
    <w:rsid w:val="00072858"/>
    <w:rsid w:val="000737F7"/>
    <w:rsid w:val="00073B2B"/>
    <w:rsid w:val="00075D19"/>
    <w:rsid w:val="0007672F"/>
    <w:rsid w:val="000774F0"/>
    <w:rsid w:val="00080909"/>
    <w:rsid w:val="0008090E"/>
    <w:rsid w:val="000812CA"/>
    <w:rsid w:val="0008258D"/>
    <w:rsid w:val="00083E99"/>
    <w:rsid w:val="00083EF3"/>
    <w:rsid w:val="000856C5"/>
    <w:rsid w:val="00090C7E"/>
    <w:rsid w:val="00091528"/>
    <w:rsid w:val="000924D7"/>
    <w:rsid w:val="00092600"/>
    <w:rsid w:val="0009262B"/>
    <w:rsid w:val="00093310"/>
    <w:rsid w:val="0009445C"/>
    <w:rsid w:val="00095604"/>
    <w:rsid w:val="00095CC1"/>
    <w:rsid w:val="00095FE5"/>
    <w:rsid w:val="00096284"/>
    <w:rsid w:val="00097B14"/>
    <w:rsid w:val="00097BED"/>
    <w:rsid w:val="000A0162"/>
    <w:rsid w:val="000A1661"/>
    <w:rsid w:val="000A2CC2"/>
    <w:rsid w:val="000A61B3"/>
    <w:rsid w:val="000A735E"/>
    <w:rsid w:val="000A7D08"/>
    <w:rsid w:val="000B0670"/>
    <w:rsid w:val="000B0E75"/>
    <w:rsid w:val="000B3FD3"/>
    <w:rsid w:val="000B4C85"/>
    <w:rsid w:val="000B6CAC"/>
    <w:rsid w:val="000B7612"/>
    <w:rsid w:val="000C11B4"/>
    <w:rsid w:val="000C3DF9"/>
    <w:rsid w:val="000C415E"/>
    <w:rsid w:val="000C4C66"/>
    <w:rsid w:val="000C6713"/>
    <w:rsid w:val="000C735D"/>
    <w:rsid w:val="000D11AE"/>
    <w:rsid w:val="000D1BEB"/>
    <w:rsid w:val="000D1BFC"/>
    <w:rsid w:val="000D281A"/>
    <w:rsid w:val="000D326A"/>
    <w:rsid w:val="000D37C0"/>
    <w:rsid w:val="000D51FB"/>
    <w:rsid w:val="000D5323"/>
    <w:rsid w:val="000E0075"/>
    <w:rsid w:val="000E135D"/>
    <w:rsid w:val="000E2577"/>
    <w:rsid w:val="000E4FFB"/>
    <w:rsid w:val="000E5ACB"/>
    <w:rsid w:val="000E667D"/>
    <w:rsid w:val="000E6F99"/>
    <w:rsid w:val="000E789E"/>
    <w:rsid w:val="000F00BA"/>
    <w:rsid w:val="000F316A"/>
    <w:rsid w:val="000F3C74"/>
    <w:rsid w:val="000F4BB8"/>
    <w:rsid w:val="000F7127"/>
    <w:rsid w:val="000F7EDB"/>
    <w:rsid w:val="00100F8A"/>
    <w:rsid w:val="001019AF"/>
    <w:rsid w:val="00105AE2"/>
    <w:rsid w:val="00105DAF"/>
    <w:rsid w:val="00106B80"/>
    <w:rsid w:val="00107283"/>
    <w:rsid w:val="0011032E"/>
    <w:rsid w:val="00111D05"/>
    <w:rsid w:val="0011348B"/>
    <w:rsid w:val="00115982"/>
    <w:rsid w:val="00116C53"/>
    <w:rsid w:val="00121799"/>
    <w:rsid w:val="00121A76"/>
    <w:rsid w:val="001222FC"/>
    <w:rsid w:val="00124A51"/>
    <w:rsid w:val="00126621"/>
    <w:rsid w:val="00127F8A"/>
    <w:rsid w:val="001301E9"/>
    <w:rsid w:val="00131D82"/>
    <w:rsid w:val="00133D36"/>
    <w:rsid w:val="00134F8D"/>
    <w:rsid w:val="00136AF5"/>
    <w:rsid w:val="00137645"/>
    <w:rsid w:val="0014015A"/>
    <w:rsid w:val="00140302"/>
    <w:rsid w:val="00140355"/>
    <w:rsid w:val="00140E99"/>
    <w:rsid w:val="00142999"/>
    <w:rsid w:val="00145540"/>
    <w:rsid w:val="001456B0"/>
    <w:rsid w:val="00145C02"/>
    <w:rsid w:val="00146E44"/>
    <w:rsid w:val="001476A5"/>
    <w:rsid w:val="00147EDD"/>
    <w:rsid w:val="001530EF"/>
    <w:rsid w:val="00153961"/>
    <w:rsid w:val="00154676"/>
    <w:rsid w:val="00157130"/>
    <w:rsid w:val="001576B1"/>
    <w:rsid w:val="00160A4C"/>
    <w:rsid w:val="00162913"/>
    <w:rsid w:val="00163EFF"/>
    <w:rsid w:val="001661FB"/>
    <w:rsid w:val="00172544"/>
    <w:rsid w:val="001734F7"/>
    <w:rsid w:val="00173565"/>
    <w:rsid w:val="00173B07"/>
    <w:rsid w:val="00175603"/>
    <w:rsid w:val="00181D9C"/>
    <w:rsid w:val="0018752F"/>
    <w:rsid w:val="001878EF"/>
    <w:rsid w:val="00192068"/>
    <w:rsid w:val="00193EE0"/>
    <w:rsid w:val="00195222"/>
    <w:rsid w:val="00195811"/>
    <w:rsid w:val="00196FE6"/>
    <w:rsid w:val="001975D8"/>
    <w:rsid w:val="00197D0C"/>
    <w:rsid w:val="001A10A5"/>
    <w:rsid w:val="001A1F50"/>
    <w:rsid w:val="001A43FA"/>
    <w:rsid w:val="001A5317"/>
    <w:rsid w:val="001A59FB"/>
    <w:rsid w:val="001A5AC8"/>
    <w:rsid w:val="001A6354"/>
    <w:rsid w:val="001A7AE8"/>
    <w:rsid w:val="001A7D65"/>
    <w:rsid w:val="001B0B62"/>
    <w:rsid w:val="001B204E"/>
    <w:rsid w:val="001B3443"/>
    <w:rsid w:val="001B4D20"/>
    <w:rsid w:val="001C2A9B"/>
    <w:rsid w:val="001C4299"/>
    <w:rsid w:val="001C5F94"/>
    <w:rsid w:val="001C6E66"/>
    <w:rsid w:val="001D0260"/>
    <w:rsid w:val="001D1210"/>
    <w:rsid w:val="001E10EF"/>
    <w:rsid w:val="001E1538"/>
    <w:rsid w:val="001E2172"/>
    <w:rsid w:val="001E238E"/>
    <w:rsid w:val="001E2483"/>
    <w:rsid w:val="001E2B1E"/>
    <w:rsid w:val="001E30D4"/>
    <w:rsid w:val="001E52EB"/>
    <w:rsid w:val="001E61D2"/>
    <w:rsid w:val="001E740C"/>
    <w:rsid w:val="001F0A0D"/>
    <w:rsid w:val="001F1235"/>
    <w:rsid w:val="001F1CB3"/>
    <w:rsid w:val="001F23F0"/>
    <w:rsid w:val="001F33D9"/>
    <w:rsid w:val="001F35C5"/>
    <w:rsid w:val="001F38B5"/>
    <w:rsid w:val="001F5694"/>
    <w:rsid w:val="001F7361"/>
    <w:rsid w:val="002011B0"/>
    <w:rsid w:val="00203181"/>
    <w:rsid w:val="00203783"/>
    <w:rsid w:val="0020385F"/>
    <w:rsid w:val="002044B1"/>
    <w:rsid w:val="00207021"/>
    <w:rsid w:val="0020732F"/>
    <w:rsid w:val="00207D00"/>
    <w:rsid w:val="002105C1"/>
    <w:rsid w:val="0021176C"/>
    <w:rsid w:val="00211D05"/>
    <w:rsid w:val="002125B8"/>
    <w:rsid w:val="00213882"/>
    <w:rsid w:val="00213AF0"/>
    <w:rsid w:val="002166AC"/>
    <w:rsid w:val="00217679"/>
    <w:rsid w:val="0022001F"/>
    <w:rsid w:val="00222723"/>
    <w:rsid w:val="00223B49"/>
    <w:rsid w:val="00223C69"/>
    <w:rsid w:val="00224330"/>
    <w:rsid w:val="00224DD4"/>
    <w:rsid w:val="00230211"/>
    <w:rsid w:val="002309CC"/>
    <w:rsid w:val="0023209F"/>
    <w:rsid w:val="00232C04"/>
    <w:rsid w:val="002330CF"/>
    <w:rsid w:val="0023629D"/>
    <w:rsid w:val="00237255"/>
    <w:rsid w:val="00241CA2"/>
    <w:rsid w:val="002424AF"/>
    <w:rsid w:val="002432B1"/>
    <w:rsid w:val="0024369D"/>
    <w:rsid w:val="002439DC"/>
    <w:rsid w:val="00244DC8"/>
    <w:rsid w:val="002458BA"/>
    <w:rsid w:val="0024636C"/>
    <w:rsid w:val="00247925"/>
    <w:rsid w:val="002525AB"/>
    <w:rsid w:val="00254DCF"/>
    <w:rsid w:val="0025534B"/>
    <w:rsid w:val="002554DE"/>
    <w:rsid w:val="00255BB7"/>
    <w:rsid w:val="00256738"/>
    <w:rsid w:val="00257541"/>
    <w:rsid w:val="00260153"/>
    <w:rsid w:val="0026143B"/>
    <w:rsid w:val="0026190E"/>
    <w:rsid w:val="00262A1A"/>
    <w:rsid w:val="00262A87"/>
    <w:rsid w:val="00264D26"/>
    <w:rsid w:val="00267642"/>
    <w:rsid w:val="00267AEA"/>
    <w:rsid w:val="002700E6"/>
    <w:rsid w:val="0027294B"/>
    <w:rsid w:val="00272F90"/>
    <w:rsid w:val="00273F76"/>
    <w:rsid w:val="00274330"/>
    <w:rsid w:val="00275C5A"/>
    <w:rsid w:val="00275F38"/>
    <w:rsid w:val="00276AAB"/>
    <w:rsid w:val="00277A82"/>
    <w:rsid w:val="00281014"/>
    <w:rsid w:val="002917C6"/>
    <w:rsid w:val="00293A00"/>
    <w:rsid w:val="002961D0"/>
    <w:rsid w:val="002A0295"/>
    <w:rsid w:val="002A14AB"/>
    <w:rsid w:val="002A2F50"/>
    <w:rsid w:val="002A3FD7"/>
    <w:rsid w:val="002A6F7F"/>
    <w:rsid w:val="002B09A4"/>
    <w:rsid w:val="002B1C1F"/>
    <w:rsid w:val="002B432F"/>
    <w:rsid w:val="002B62B3"/>
    <w:rsid w:val="002B6754"/>
    <w:rsid w:val="002B6CCE"/>
    <w:rsid w:val="002C2510"/>
    <w:rsid w:val="002C2775"/>
    <w:rsid w:val="002C27C1"/>
    <w:rsid w:val="002C2FB4"/>
    <w:rsid w:val="002C42BB"/>
    <w:rsid w:val="002C5099"/>
    <w:rsid w:val="002C5889"/>
    <w:rsid w:val="002C71CE"/>
    <w:rsid w:val="002D0006"/>
    <w:rsid w:val="002D0A57"/>
    <w:rsid w:val="002D10F9"/>
    <w:rsid w:val="002D577C"/>
    <w:rsid w:val="002E15B9"/>
    <w:rsid w:val="002E2158"/>
    <w:rsid w:val="002E344F"/>
    <w:rsid w:val="002E3EEC"/>
    <w:rsid w:val="002E4AD8"/>
    <w:rsid w:val="002E7722"/>
    <w:rsid w:val="002F07BA"/>
    <w:rsid w:val="002F0DA9"/>
    <w:rsid w:val="002F1451"/>
    <w:rsid w:val="002F3360"/>
    <w:rsid w:val="002F3FE4"/>
    <w:rsid w:val="002F643C"/>
    <w:rsid w:val="002F6FB2"/>
    <w:rsid w:val="002F71C0"/>
    <w:rsid w:val="00301017"/>
    <w:rsid w:val="0030155F"/>
    <w:rsid w:val="003029F4"/>
    <w:rsid w:val="00304198"/>
    <w:rsid w:val="003041B1"/>
    <w:rsid w:val="0030587B"/>
    <w:rsid w:val="00306D03"/>
    <w:rsid w:val="00306D98"/>
    <w:rsid w:val="0030786C"/>
    <w:rsid w:val="0031031A"/>
    <w:rsid w:val="00310981"/>
    <w:rsid w:val="00312728"/>
    <w:rsid w:val="00315498"/>
    <w:rsid w:val="003177B4"/>
    <w:rsid w:val="003219EA"/>
    <w:rsid w:val="00322107"/>
    <w:rsid w:val="00322378"/>
    <w:rsid w:val="00322846"/>
    <w:rsid w:val="00326AEC"/>
    <w:rsid w:val="00326DA7"/>
    <w:rsid w:val="003270E4"/>
    <w:rsid w:val="00327A0B"/>
    <w:rsid w:val="00330F5C"/>
    <w:rsid w:val="00335770"/>
    <w:rsid w:val="003366C9"/>
    <w:rsid w:val="003371B0"/>
    <w:rsid w:val="00337C38"/>
    <w:rsid w:val="0034008A"/>
    <w:rsid w:val="00340DF1"/>
    <w:rsid w:val="00343200"/>
    <w:rsid w:val="003517F9"/>
    <w:rsid w:val="00354154"/>
    <w:rsid w:val="00355698"/>
    <w:rsid w:val="00355A77"/>
    <w:rsid w:val="0035620E"/>
    <w:rsid w:val="00356843"/>
    <w:rsid w:val="0035709D"/>
    <w:rsid w:val="003576AB"/>
    <w:rsid w:val="00361E3F"/>
    <w:rsid w:val="00362180"/>
    <w:rsid w:val="003624C4"/>
    <w:rsid w:val="003654AC"/>
    <w:rsid w:val="003661BE"/>
    <w:rsid w:val="003710CF"/>
    <w:rsid w:val="0037306A"/>
    <w:rsid w:val="0037358A"/>
    <w:rsid w:val="003750F6"/>
    <w:rsid w:val="003760FC"/>
    <w:rsid w:val="00381044"/>
    <w:rsid w:val="0038283D"/>
    <w:rsid w:val="0038365C"/>
    <w:rsid w:val="0038369B"/>
    <w:rsid w:val="00383927"/>
    <w:rsid w:val="00383B78"/>
    <w:rsid w:val="00385A9D"/>
    <w:rsid w:val="00385B7A"/>
    <w:rsid w:val="003902B1"/>
    <w:rsid w:val="00391111"/>
    <w:rsid w:val="003946A6"/>
    <w:rsid w:val="00395258"/>
    <w:rsid w:val="00396896"/>
    <w:rsid w:val="00396FD0"/>
    <w:rsid w:val="003A1A7A"/>
    <w:rsid w:val="003A2392"/>
    <w:rsid w:val="003A2831"/>
    <w:rsid w:val="003A3ED1"/>
    <w:rsid w:val="003A613B"/>
    <w:rsid w:val="003B4D15"/>
    <w:rsid w:val="003B59F4"/>
    <w:rsid w:val="003B5B61"/>
    <w:rsid w:val="003C1654"/>
    <w:rsid w:val="003C3942"/>
    <w:rsid w:val="003C493B"/>
    <w:rsid w:val="003C5F6B"/>
    <w:rsid w:val="003C7D19"/>
    <w:rsid w:val="003D0034"/>
    <w:rsid w:val="003D1828"/>
    <w:rsid w:val="003D1DE4"/>
    <w:rsid w:val="003D2422"/>
    <w:rsid w:val="003D39A1"/>
    <w:rsid w:val="003D3FBF"/>
    <w:rsid w:val="003D4A30"/>
    <w:rsid w:val="003D591E"/>
    <w:rsid w:val="003D5B9D"/>
    <w:rsid w:val="003D79BB"/>
    <w:rsid w:val="003D7C98"/>
    <w:rsid w:val="003E0543"/>
    <w:rsid w:val="003F0ABA"/>
    <w:rsid w:val="003F28D0"/>
    <w:rsid w:val="003F4156"/>
    <w:rsid w:val="003F544F"/>
    <w:rsid w:val="00400B29"/>
    <w:rsid w:val="0040504B"/>
    <w:rsid w:val="0041010E"/>
    <w:rsid w:val="00410708"/>
    <w:rsid w:val="00410EC7"/>
    <w:rsid w:val="00411B39"/>
    <w:rsid w:val="00413A1E"/>
    <w:rsid w:val="00413DF7"/>
    <w:rsid w:val="00414476"/>
    <w:rsid w:val="00414C2E"/>
    <w:rsid w:val="004151CF"/>
    <w:rsid w:val="00416364"/>
    <w:rsid w:val="0041668C"/>
    <w:rsid w:val="004167B5"/>
    <w:rsid w:val="00417B51"/>
    <w:rsid w:val="00420AA6"/>
    <w:rsid w:val="00420B9F"/>
    <w:rsid w:val="00422260"/>
    <w:rsid w:val="0042413F"/>
    <w:rsid w:val="00424D31"/>
    <w:rsid w:val="0042508F"/>
    <w:rsid w:val="00430B53"/>
    <w:rsid w:val="004319F8"/>
    <w:rsid w:val="00431E55"/>
    <w:rsid w:val="004321F6"/>
    <w:rsid w:val="00433044"/>
    <w:rsid w:val="004375B9"/>
    <w:rsid w:val="00441D25"/>
    <w:rsid w:val="00442229"/>
    <w:rsid w:val="004428D0"/>
    <w:rsid w:val="00444132"/>
    <w:rsid w:val="004443A7"/>
    <w:rsid w:val="0044442C"/>
    <w:rsid w:val="00445018"/>
    <w:rsid w:val="00445941"/>
    <w:rsid w:val="00445F79"/>
    <w:rsid w:val="004464EB"/>
    <w:rsid w:val="00447D26"/>
    <w:rsid w:val="00450C2A"/>
    <w:rsid w:val="00455D45"/>
    <w:rsid w:val="0046289C"/>
    <w:rsid w:val="00464595"/>
    <w:rsid w:val="00464C9B"/>
    <w:rsid w:val="00465B45"/>
    <w:rsid w:val="00472A79"/>
    <w:rsid w:val="004730C9"/>
    <w:rsid w:val="00473F19"/>
    <w:rsid w:val="00475E22"/>
    <w:rsid w:val="00476C39"/>
    <w:rsid w:val="0048088E"/>
    <w:rsid w:val="00480BDA"/>
    <w:rsid w:val="004816B9"/>
    <w:rsid w:val="00482720"/>
    <w:rsid w:val="004835E7"/>
    <w:rsid w:val="004848A9"/>
    <w:rsid w:val="004867E2"/>
    <w:rsid w:val="004871D6"/>
    <w:rsid w:val="00487A0E"/>
    <w:rsid w:val="00491B3A"/>
    <w:rsid w:val="00491CD7"/>
    <w:rsid w:val="00492CFD"/>
    <w:rsid w:val="00494695"/>
    <w:rsid w:val="00494DD5"/>
    <w:rsid w:val="004955E8"/>
    <w:rsid w:val="004962D2"/>
    <w:rsid w:val="004A0DA1"/>
    <w:rsid w:val="004A163D"/>
    <w:rsid w:val="004A196F"/>
    <w:rsid w:val="004A52E9"/>
    <w:rsid w:val="004A5645"/>
    <w:rsid w:val="004A6597"/>
    <w:rsid w:val="004A7848"/>
    <w:rsid w:val="004B1CB4"/>
    <w:rsid w:val="004B2F18"/>
    <w:rsid w:val="004B356D"/>
    <w:rsid w:val="004B3DDB"/>
    <w:rsid w:val="004B44FD"/>
    <w:rsid w:val="004B5CFC"/>
    <w:rsid w:val="004B7194"/>
    <w:rsid w:val="004B774D"/>
    <w:rsid w:val="004B7E28"/>
    <w:rsid w:val="004C340B"/>
    <w:rsid w:val="004C484D"/>
    <w:rsid w:val="004C4AED"/>
    <w:rsid w:val="004C61D0"/>
    <w:rsid w:val="004D0E47"/>
    <w:rsid w:val="004D1BA7"/>
    <w:rsid w:val="004D2ACC"/>
    <w:rsid w:val="004D2C2D"/>
    <w:rsid w:val="004D7227"/>
    <w:rsid w:val="004E0E7F"/>
    <w:rsid w:val="004E0EB8"/>
    <w:rsid w:val="004E1A3A"/>
    <w:rsid w:val="004E2ADC"/>
    <w:rsid w:val="004E43B2"/>
    <w:rsid w:val="004E4641"/>
    <w:rsid w:val="004E4742"/>
    <w:rsid w:val="004E6225"/>
    <w:rsid w:val="004E6F32"/>
    <w:rsid w:val="004E6FC4"/>
    <w:rsid w:val="004E7CAB"/>
    <w:rsid w:val="004F17D0"/>
    <w:rsid w:val="004F1D02"/>
    <w:rsid w:val="004F2679"/>
    <w:rsid w:val="004F2F21"/>
    <w:rsid w:val="004F5C5A"/>
    <w:rsid w:val="004F66D7"/>
    <w:rsid w:val="004F6913"/>
    <w:rsid w:val="004F7865"/>
    <w:rsid w:val="00500A4F"/>
    <w:rsid w:val="00500D65"/>
    <w:rsid w:val="0050219B"/>
    <w:rsid w:val="005022CF"/>
    <w:rsid w:val="00503F17"/>
    <w:rsid w:val="00506928"/>
    <w:rsid w:val="0050795B"/>
    <w:rsid w:val="00510515"/>
    <w:rsid w:val="00511030"/>
    <w:rsid w:val="00514231"/>
    <w:rsid w:val="00514E08"/>
    <w:rsid w:val="005152B5"/>
    <w:rsid w:val="00521319"/>
    <w:rsid w:val="00522BC8"/>
    <w:rsid w:val="00523AB9"/>
    <w:rsid w:val="00523C28"/>
    <w:rsid w:val="0052445D"/>
    <w:rsid w:val="00525C4C"/>
    <w:rsid w:val="0052659E"/>
    <w:rsid w:val="00527D30"/>
    <w:rsid w:val="005322A5"/>
    <w:rsid w:val="00534C51"/>
    <w:rsid w:val="00536997"/>
    <w:rsid w:val="00536F42"/>
    <w:rsid w:val="00537182"/>
    <w:rsid w:val="00541AB0"/>
    <w:rsid w:val="00542743"/>
    <w:rsid w:val="00542808"/>
    <w:rsid w:val="00542C2D"/>
    <w:rsid w:val="00551985"/>
    <w:rsid w:val="0055238F"/>
    <w:rsid w:val="00552BD3"/>
    <w:rsid w:val="00553BB4"/>
    <w:rsid w:val="00555109"/>
    <w:rsid w:val="0055795F"/>
    <w:rsid w:val="005630AD"/>
    <w:rsid w:val="0056696F"/>
    <w:rsid w:val="00566DC3"/>
    <w:rsid w:val="00567E44"/>
    <w:rsid w:val="00570483"/>
    <w:rsid w:val="00572269"/>
    <w:rsid w:val="0057244A"/>
    <w:rsid w:val="00572C9F"/>
    <w:rsid w:val="00575D8D"/>
    <w:rsid w:val="00576972"/>
    <w:rsid w:val="00580197"/>
    <w:rsid w:val="00580395"/>
    <w:rsid w:val="00580CBC"/>
    <w:rsid w:val="00583699"/>
    <w:rsid w:val="0058547E"/>
    <w:rsid w:val="0058555C"/>
    <w:rsid w:val="00585CDD"/>
    <w:rsid w:val="0058608C"/>
    <w:rsid w:val="0058649B"/>
    <w:rsid w:val="00587058"/>
    <w:rsid w:val="00591957"/>
    <w:rsid w:val="005937BB"/>
    <w:rsid w:val="00593E91"/>
    <w:rsid w:val="005951D1"/>
    <w:rsid w:val="00595489"/>
    <w:rsid w:val="00597536"/>
    <w:rsid w:val="00597BF9"/>
    <w:rsid w:val="005A373D"/>
    <w:rsid w:val="005A3D11"/>
    <w:rsid w:val="005A7BD1"/>
    <w:rsid w:val="005B0DA6"/>
    <w:rsid w:val="005B131F"/>
    <w:rsid w:val="005B34E7"/>
    <w:rsid w:val="005B4A07"/>
    <w:rsid w:val="005B5857"/>
    <w:rsid w:val="005B6CFA"/>
    <w:rsid w:val="005B71C7"/>
    <w:rsid w:val="005B7BE4"/>
    <w:rsid w:val="005C01AE"/>
    <w:rsid w:val="005C17EE"/>
    <w:rsid w:val="005C1B83"/>
    <w:rsid w:val="005C2D55"/>
    <w:rsid w:val="005C3035"/>
    <w:rsid w:val="005C346B"/>
    <w:rsid w:val="005C4EE4"/>
    <w:rsid w:val="005C541F"/>
    <w:rsid w:val="005C597B"/>
    <w:rsid w:val="005C74DE"/>
    <w:rsid w:val="005D044D"/>
    <w:rsid w:val="005D0ABD"/>
    <w:rsid w:val="005D18AD"/>
    <w:rsid w:val="005D26B4"/>
    <w:rsid w:val="005D2DA9"/>
    <w:rsid w:val="005D44D8"/>
    <w:rsid w:val="005D55C4"/>
    <w:rsid w:val="005D781C"/>
    <w:rsid w:val="005E489E"/>
    <w:rsid w:val="005E636D"/>
    <w:rsid w:val="005E650E"/>
    <w:rsid w:val="005E6CBC"/>
    <w:rsid w:val="005E73C0"/>
    <w:rsid w:val="005F1292"/>
    <w:rsid w:val="005F13BD"/>
    <w:rsid w:val="005F2706"/>
    <w:rsid w:val="005F6A8F"/>
    <w:rsid w:val="005F7A14"/>
    <w:rsid w:val="0060091E"/>
    <w:rsid w:val="00600AE1"/>
    <w:rsid w:val="006034CB"/>
    <w:rsid w:val="00603DB9"/>
    <w:rsid w:val="00605405"/>
    <w:rsid w:val="00607669"/>
    <w:rsid w:val="00607AFD"/>
    <w:rsid w:val="00612F97"/>
    <w:rsid w:val="0061345D"/>
    <w:rsid w:val="00614141"/>
    <w:rsid w:val="006165DA"/>
    <w:rsid w:val="00616802"/>
    <w:rsid w:val="00617E12"/>
    <w:rsid w:val="00620C16"/>
    <w:rsid w:val="00621477"/>
    <w:rsid w:val="0062188C"/>
    <w:rsid w:val="00622A6C"/>
    <w:rsid w:val="006244FD"/>
    <w:rsid w:val="00630166"/>
    <w:rsid w:val="0063158F"/>
    <w:rsid w:val="00631D6B"/>
    <w:rsid w:val="0063254E"/>
    <w:rsid w:val="006330A1"/>
    <w:rsid w:val="0063479F"/>
    <w:rsid w:val="006353F0"/>
    <w:rsid w:val="006364A1"/>
    <w:rsid w:val="00636AE4"/>
    <w:rsid w:val="00637BFD"/>
    <w:rsid w:val="00641C4E"/>
    <w:rsid w:val="0064279F"/>
    <w:rsid w:val="006471CC"/>
    <w:rsid w:val="0065079F"/>
    <w:rsid w:val="006530F7"/>
    <w:rsid w:val="0065379F"/>
    <w:rsid w:val="00656EC2"/>
    <w:rsid w:val="0066001B"/>
    <w:rsid w:val="00660C61"/>
    <w:rsid w:val="006610E6"/>
    <w:rsid w:val="00661C6B"/>
    <w:rsid w:val="00662017"/>
    <w:rsid w:val="006623AB"/>
    <w:rsid w:val="0066628A"/>
    <w:rsid w:val="006714E7"/>
    <w:rsid w:val="00671AEF"/>
    <w:rsid w:val="006723D1"/>
    <w:rsid w:val="00673544"/>
    <w:rsid w:val="00674E42"/>
    <w:rsid w:val="006760EB"/>
    <w:rsid w:val="00682112"/>
    <w:rsid w:val="006822A5"/>
    <w:rsid w:val="00684685"/>
    <w:rsid w:val="00684C60"/>
    <w:rsid w:val="00684F07"/>
    <w:rsid w:val="00685090"/>
    <w:rsid w:val="0068618F"/>
    <w:rsid w:val="00686957"/>
    <w:rsid w:val="006872BA"/>
    <w:rsid w:val="00691648"/>
    <w:rsid w:val="006917D7"/>
    <w:rsid w:val="00691881"/>
    <w:rsid w:val="00692F18"/>
    <w:rsid w:val="006930AB"/>
    <w:rsid w:val="006942F2"/>
    <w:rsid w:val="00694F44"/>
    <w:rsid w:val="006955FA"/>
    <w:rsid w:val="00696F97"/>
    <w:rsid w:val="00697D19"/>
    <w:rsid w:val="006A599D"/>
    <w:rsid w:val="006A63D5"/>
    <w:rsid w:val="006A7E5F"/>
    <w:rsid w:val="006B13F9"/>
    <w:rsid w:val="006B261B"/>
    <w:rsid w:val="006B2C90"/>
    <w:rsid w:val="006B6DD0"/>
    <w:rsid w:val="006B71A7"/>
    <w:rsid w:val="006C2A8E"/>
    <w:rsid w:val="006D0FBD"/>
    <w:rsid w:val="006D2154"/>
    <w:rsid w:val="006D382B"/>
    <w:rsid w:val="006D3C7D"/>
    <w:rsid w:val="006D4F81"/>
    <w:rsid w:val="006D5554"/>
    <w:rsid w:val="006D5D5F"/>
    <w:rsid w:val="006D6245"/>
    <w:rsid w:val="006D7C70"/>
    <w:rsid w:val="006E351D"/>
    <w:rsid w:val="006E6526"/>
    <w:rsid w:val="006E7532"/>
    <w:rsid w:val="006F306C"/>
    <w:rsid w:val="006F384E"/>
    <w:rsid w:val="006F3DC5"/>
    <w:rsid w:val="006F492B"/>
    <w:rsid w:val="006F50AB"/>
    <w:rsid w:val="006F63A5"/>
    <w:rsid w:val="006F662F"/>
    <w:rsid w:val="0070142B"/>
    <w:rsid w:val="0070276E"/>
    <w:rsid w:val="00702F8F"/>
    <w:rsid w:val="0070481D"/>
    <w:rsid w:val="00706968"/>
    <w:rsid w:val="00711A36"/>
    <w:rsid w:val="0071529C"/>
    <w:rsid w:val="00715832"/>
    <w:rsid w:val="007172AD"/>
    <w:rsid w:val="00717D6A"/>
    <w:rsid w:val="007228D2"/>
    <w:rsid w:val="00722B1B"/>
    <w:rsid w:val="00723B28"/>
    <w:rsid w:val="0072416F"/>
    <w:rsid w:val="0072718E"/>
    <w:rsid w:val="00727C3F"/>
    <w:rsid w:val="00727C94"/>
    <w:rsid w:val="00731EAE"/>
    <w:rsid w:val="007347AC"/>
    <w:rsid w:val="00735033"/>
    <w:rsid w:val="00735328"/>
    <w:rsid w:val="0073685B"/>
    <w:rsid w:val="007375CB"/>
    <w:rsid w:val="00740D95"/>
    <w:rsid w:val="00743880"/>
    <w:rsid w:val="00743CDF"/>
    <w:rsid w:val="00745415"/>
    <w:rsid w:val="00750B9E"/>
    <w:rsid w:val="00752142"/>
    <w:rsid w:val="007523F9"/>
    <w:rsid w:val="00755D76"/>
    <w:rsid w:val="007573E8"/>
    <w:rsid w:val="00760C4E"/>
    <w:rsid w:val="0076177D"/>
    <w:rsid w:val="00762F33"/>
    <w:rsid w:val="0076309D"/>
    <w:rsid w:val="00764DF5"/>
    <w:rsid w:val="00765B1A"/>
    <w:rsid w:val="00766C09"/>
    <w:rsid w:val="00766DF8"/>
    <w:rsid w:val="00772ECF"/>
    <w:rsid w:val="00780F4C"/>
    <w:rsid w:val="00781DFF"/>
    <w:rsid w:val="007843F2"/>
    <w:rsid w:val="00790DAB"/>
    <w:rsid w:val="00790E60"/>
    <w:rsid w:val="00792B8C"/>
    <w:rsid w:val="007A0A12"/>
    <w:rsid w:val="007A132D"/>
    <w:rsid w:val="007B0D68"/>
    <w:rsid w:val="007B24CF"/>
    <w:rsid w:val="007B251D"/>
    <w:rsid w:val="007B4D29"/>
    <w:rsid w:val="007B4F58"/>
    <w:rsid w:val="007B528D"/>
    <w:rsid w:val="007B6191"/>
    <w:rsid w:val="007B6ECB"/>
    <w:rsid w:val="007B6ECE"/>
    <w:rsid w:val="007B77D1"/>
    <w:rsid w:val="007C0836"/>
    <w:rsid w:val="007C1C4F"/>
    <w:rsid w:val="007C1CD9"/>
    <w:rsid w:val="007C27C9"/>
    <w:rsid w:val="007C2F52"/>
    <w:rsid w:val="007C361D"/>
    <w:rsid w:val="007C3B95"/>
    <w:rsid w:val="007C4A90"/>
    <w:rsid w:val="007C4B84"/>
    <w:rsid w:val="007C6513"/>
    <w:rsid w:val="007D004F"/>
    <w:rsid w:val="007D0A81"/>
    <w:rsid w:val="007D0B38"/>
    <w:rsid w:val="007D5440"/>
    <w:rsid w:val="007D6F5D"/>
    <w:rsid w:val="007E21CD"/>
    <w:rsid w:val="007E35E8"/>
    <w:rsid w:val="007E6C98"/>
    <w:rsid w:val="007E7C8A"/>
    <w:rsid w:val="007F1017"/>
    <w:rsid w:val="007F30D6"/>
    <w:rsid w:val="007F35F9"/>
    <w:rsid w:val="007F43E2"/>
    <w:rsid w:val="007F4A3F"/>
    <w:rsid w:val="007F4A61"/>
    <w:rsid w:val="007F61C2"/>
    <w:rsid w:val="007F6D25"/>
    <w:rsid w:val="007F7416"/>
    <w:rsid w:val="00800F25"/>
    <w:rsid w:val="0080316E"/>
    <w:rsid w:val="00805142"/>
    <w:rsid w:val="00807A8B"/>
    <w:rsid w:val="008108C0"/>
    <w:rsid w:val="00811383"/>
    <w:rsid w:val="00812149"/>
    <w:rsid w:val="00812CAC"/>
    <w:rsid w:val="0081559F"/>
    <w:rsid w:val="008166EF"/>
    <w:rsid w:val="00817C0D"/>
    <w:rsid w:val="00820188"/>
    <w:rsid w:val="00825751"/>
    <w:rsid w:val="008264EB"/>
    <w:rsid w:val="0083025D"/>
    <w:rsid w:val="00830260"/>
    <w:rsid w:val="008304A5"/>
    <w:rsid w:val="008338C1"/>
    <w:rsid w:val="00833B05"/>
    <w:rsid w:val="008362B4"/>
    <w:rsid w:val="00837AE6"/>
    <w:rsid w:val="008404A4"/>
    <w:rsid w:val="00840AA2"/>
    <w:rsid w:val="00840CA2"/>
    <w:rsid w:val="00840E3F"/>
    <w:rsid w:val="0084259F"/>
    <w:rsid w:val="0084320B"/>
    <w:rsid w:val="0084374F"/>
    <w:rsid w:val="00843A90"/>
    <w:rsid w:val="00847DF5"/>
    <w:rsid w:val="008523E4"/>
    <w:rsid w:val="0085309D"/>
    <w:rsid w:val="00853423"/>
    <w:rsid w:val="00856897"/>
    <w:rsid w:val="00856E9A"/>
    <w:rsid w:val="00857C14"/>
    <w:rsid w:val="0086075D"/>
    <w:rsid w:val="00862502"/>
    <w:rsid w:val="008660D4"/>
    <w:rsid w:val="00866ABD"/>
    <w:rsid w:val="00871FA9"/>
    <w:rsid w:val="008728E9"/>
    <w:rsid w:val="00872C18"/>
    <w:rsid w:val="00873C48"/>
    <w:rsid w:val="0087456D"/>
    <w:rsid w:val="00877F31"/>
    <w:rsid w:val="00881BED"/>
    <w:rsid w:val="008823D6"/>
    <w:rsid w:val="00882874"/>
    <w:rsid w:val="00883787"/>
    <w:rsid w:val="00883ABE"/>
    <w:rsid w:val="00886CD2"/>
    <w:rsid w:val="00892A05"/>
    <w:rsid w:val="00892A36"/>
    <w:rsid w:val="00893239"/>
    <w:rsid w:val="00894489"/>
    <w:rsid w:val="008963A5"/>
    <w:rsid w:val="008A0135"/>
    <w:rsid w:val="008A3363"/>
    <w:rsid w:val="008A3371"/>
    <w:rsid w:val="008A3C3E"/>
    <w:rsid w:val="008A5DE6"/>
    <w:rsid w:val="008A6D86"/>
    <w:rsid w:val="008A79DE"/>
    <w:rsid w:val="008B1757"/>
    <w:rsid w:val="008B571F"/>
    <w:rsid w:val="008B5F12"/>
    <w:rsid w:val="008B67DB"/>
    <w:rsid w:val="008B7D7E"/>
    <w:rsid w:val="008C12E4"/>
    <w:rsid w:val="008C1FFF"/>
    <w:rsid w:val="008C329D"/>
    <w:rsid w:val="008C4BD7"/>
    <w:rsid w:val="008C4FD3"/>
    <w:rsid w:val="008C7ECB"/>
    <w:rsid w:val="008D349C"/>
    <w:rsid w:val="008D4755"/>
    <w:rsid w:val="008D4C3D"/>
    <w:rsid w:val="008D550B"/>
    <w:rsid w:val="008E0603"/>
    <w:rsid w:val="008E0D3C"/>
    <w:rsid w:val="008E1B9E"/>
    <w:rsid w:val="008E229D"/>
    <w:rsid w:val="008E55AB"/>
    <w:rsid w:val="008F052C"/>
    <w:rsid w:val="008F120A"/>
    <w:rsid w:val="008F27E0"/>
    <w:rsid w:val="008F30BD"/>
    <w:rsid w:val="008F48EB"/>
    <w:rsid w:val="008F4B9D"/>
    <w:rsid w:val="008F4F0B"/>
    <w:rsid w:val="008F5215"/>
    <w:rsid w:val="009046C4"/>
    <w:rsid w:val="00904872"/>
    <w:rsid w:val="009051A6"/>
    <w:rsid w:val="009062A5"/>
    <w:rsid w:val="00906D5C"/>
    <w:rsid w:val="0090734C"/>
    <w:rsid w:val="00911272"/>
    <w:rsid w:val="00913484"/>
    <w:rsid w:val="009135D6"/>
    <w:rsid w:val="00914C77"/>
    <w:rsid w:val="0092369B"/>
    <w:rsid w:val="0092741B"/>
    <w:rsid w:val="009359C9"/>
    <w:rsid w:val="00935CA4"/>
    <w:rsid w:val="00940546"/>
    <w:rsid w:val="00940F51"/>
    <w:rsid w:val="00947474"/>
    <w:rsid w:val="009510A2"/>
    <w:rsid w:val="0095142D"/>
    <w:rsid w:val="009531E3"/>
    <w:rsid w:val="00953257"/>
    <w:rsid w:val="00954788"/>
    <w:rsid w:val="00956F2F"/>
    <w:rsid w:val="00962CB9"/>
    <w:rsid w:val="00964312"/>
    <w:rsid w:val="00965B8A"/>
    <w:rsid w:val="00966DCB"/>
    <w:rsid w:val="00970E8E"/>
    <w:rsid w:val="00971242"/>
    <w:rsid w:val="009714D7"/>
    <w:rsid w:val="009717AC"/>
    <w:rsid w:val="00975B14"/>
    <w:rsid w:val="0097621F"/>
    <w:rsid w:val="009804E1"/>
    <w:rsid w:val="00983E57"/>
    <w:rsid w:val="0098531B"/>
    <w:rsid w:val="0098675D"/>
    <w:rsid w:val="00992CCB"/>
    <w:rsid w:val="00996B1A"/>
    <w:rsid w:val="009A0CCD"/>
    <w:rsid w:val="009A5F35"/>
    <w:rsid w:val="009A61C7"/>
    <w:rsid w:val="009A7F10"/>
    <w:rsid w:val="009B1118"/>
    <w:rsid w:val="009B1AAF"/>
    <w:rsid w:val="009B3E26"/>
    <w:rsid w:val="009B49DE"/>
    <w:rsid w:val="009C2648"/>
    <w:rsid w:val="009C2A4C"/>
    <w:rsid w:val="009C6CEA"/>
    <w:rsid w:val="009C745F"/>
    <w:rsid w:val="009C752C"/>
    <w:rsid w:val="009C7B85"/>
    <w:rsid w:val="009D122F"/>
    <w:rsid w:val="009D1FC2"/>
    <w:rsid w:val="009D5B91"/>
    <w:rsid w:val="009D792E"/>
    <w:rsid w:val="009D7D83"/>
    <w:rsid w:val="009E0CFE"/>
    <w:rsid w:val="009E0DFE"/>
    <w:rsid w:val="009E33AD"/>
    <w:rsid w:val="009E4C07"/>
    <w:rsid w:val="009E5390"/>
    <w:rsid w:val="009E6005"/>
    <w:rsid w:val="009E6B0D"/>
    <w:rsid w:val="009E6BC9"/>
    <w:rsid w:val="009F374A"/>
    <w:rsid w:val="00A01184"/>
    <w:rsid w:val="00A01F61"/>
    <w:rsid w:val="00A03D43"/>
    <w:rsid w:val="00A04380"/>
    <w:rsid w:val="00A11CD0"/>
    <w:rsid w:val="00A11FEE"/>
    <w:rsid w:val="00A1307B"/>
    <w:rsid w:val="00A13948"/>
    <w:rsid w:val="00A13F4E"/>
    <w:rsid w:val="00A14E28"/>
    <w:rsid w:val="00A1555B"/>
    <w:rsid w:val="00A155C5"/>
    <w:rsid w:val="00A16AD8"/>
    <w:rsid w:val="00A21A5C"/>
    <w:rsid w:val="00A21CF3"/>
    <w:rsid w:val="00A229BB"/>
    <w:rsid w:val="00A24752"/>
    <w:rsid w:val="00A259B4"/>
    <w:rsid w:val="00A26CDD"/>
    <w:rsid w:val="00A27AEC"/>
    <w:rsid w:val="00A30601"/>
    <w:rsid w:val="00A315A4"/>
    <w:rsid w:val="00A320DB"/>
    <w:rsid w:val="00A348A5"/>
    <w:rsid w:val="00A35D16"/>
    <w:rsid w:val="00A37BCD"/>
    <w:rsid w:val="00A42BE3"/>
    <w:rsid w:val="00A43C59"/>
    <w:rsid w:val="00A440CB"/>
    <w:rsid w:val="00A44468"/>
    <w:rsid w:val="00A45826"/>
    <w:rsid w:val="00A46032"/>
    <w:rsid w:val="00A46A19"/>
    <w:rsid w:val="00A509CD"/>
    <w:rsid w:val="00A50ECD"/>
    <w:rsid w:val="00A51264"/>
    <w:rsid w:val="00A518F3"/>
    <w:rsid w:val="00A52729"/>
    <w:rsid w:val="00A5285D"/>
    <w:rsid w:val="00A53675"/>
    <w:rsid w:val="00A564D7"/>
    <w:rsid w:val="00A56B6A"/>
    <w:rsid w:val="00A5700F"/>
    <w:rsid w:val="00A578DC"/>
    <w:rsid w:val="00A62D3A"/>
    <w:rsid w:val="00A62F30"/>
    <w:rsid w:val="00A65315"/>
    <w:rsid w:val="00A6725B"/>
    <w:rsid w:val="00A70605"/>
    <w:rsid w:val="00A721AB"/>
    <w:rsid w:val="00A73134"/>
    <w:rsid w:val="00A7766E"/>
    <w:rsid w:val="00A777B2"/>
    <w:rsid w:val="00A84375"/>
    <w:rsid w:val="00A85584"/>
    <w:rsid w:val="00A85FFA"/>
    <w:rsid w:val="00A86E77"/>
    <w:rsid w:val="00A86E8B"/>
    <w:rsid w:val="00A87164"/>
    <w:rsid w:val="00A87397"/>
    <w:rsid w:val="00A91101"/>
    <w:rsid w:val="00A93072"/>
    <w:rsid w:val="00A93953"/>
    <w:rsid w:val="00A959D8"/>
    <w:rsid w:val="00A979D6"/>
    <w:rsid w:val="00AA113D"/>
    <w:rsid w:val="00AA48F2"/>
    <w:rsid w:val="00AA6C7D"/>
    <w:rsid w:val="00AA7FD6"/>
    <w:rsid w:val="00AB042A"/>
    <w:rsid w:val="00AB2D34"/>
    <w:rsid w:val="00AB3430"/>
    <w:rsid w:val="00AB4AD1"/>
    <w:rsid w:val="00AB7CFA"/>
    <w:rsid w:val="00AC0B6D"/>
    <w:rsid w:val="00AC4710"/>
    <w:rsid w:val="00AC5B48"/>
    <w:rsid w:val="00AC5D72"/>
    <w:rsid w:val="00AD10CC"/>
    <w:rsid w:val="00AD2397"/>
    <w:rsid w:val="00AD3254"/>
    <w:rsid w:val="00AD5F06"/>
    <w:rsid w:val="00AD5F95"/>
    <w:rsid w:val="00AD6502"/>
    <w:rsid w:val="00AD68BC"/>
    <w:rsid w:val="00AD7ABC"/>
    <w:rsid w:val="00AE2909"/>
    <w:rsid w:val="00AE52BF"/>
    <w:rsid w:val="00AE7316"/>
    <w:rsid w:val="00AF1315"/>
    <w:rsid w:val="00AF19BF"/>
    <w:rsid w:val="00AF1A9D"/>
    <w:rsid w:val="00AF2DC3"/>
    <w:rsid w:val="00AF2F20"/>
    <w:rsid w:val="00AF426D"/>
    <w:rsid w:val="00AF619B"/>
    <w:rsid w:val="00B01AAF"/>
    <w:rsid w:val="00B033E5"/>
    <w:rsid w:val="00B03A63"/>
    <w:rsid w:val="00B04525"/>
    <w:rsid w:val="00B05EEF"/>
    <w:rsid w:val="00B06E54"/>
    <w:rsid w:val="00B13772"/>
    <w:rsid w:val="00B13A14"/>
    <w:rsid w:val="00B1490B"/>
    <w:rsid w:val="00B201A4"/>
    <w:rsid w:val="00B213A6"/>
    <w:rsid w:val="00B22B0B"/>
    <w:rsid w:val="00B24DF6"/>
    <w:rsid w:val="00B25FD1"/>
    <w:rsid w:val="00B26E52"/>
    <w:rsid w:val="00B275CD"/>
    <w:rsid w:val="00B3003C"/>
    <w:rsid w:val="00B31D89"/>
    <w:rsid w:val="00B32301"/>
    <w:rsid w:val="00B34FE2"/>
    <w:rsid w:val="00B357D8"/>
    <w:rsid w:val="00B36BFD"/>
    <w:rsid w:val="00B370BB"/>
    <w:rsid w:val="00B37BFC"/>
    <w:rsid w:val="00B40358"/>
    <w:rsid w:val="00B41614"/>
    <w:rsid w:val="00B42851"/>
    <w:rsid w:val="00B42F80"/>
    <w:rsid w:val="00B435CB"/>
    <w:rsid w:val="00B50DB8"/>
    <w:rsid w:val="00B511D8"/>
    <w:rsid w:val="00B53417"/>
    <w:rsid w:val="00B53654"/>
    <w:rsid w:val="00B53905"/>
    <w:rsid w:val="00B54B5B"/>
    <w:rsid w:val="00B5562E"/>
    <w:rsid w:val="00B566F5"/>
    <w:rsid w:val="00B57000"/>
    <w:rsid w:val="00B60939"/>
    <w:rsid w:val="00B60AFD"/>
    <w:rsid w:val="00B62715"/>
    <w:rsid w:val="00B62FAD"/>
    <w:rsid w:val="00B763EA"/>
    <w:rsid w:val="00B76EED"/>
    <w:rsid w:val="00B818A4"/>
    <w:rsid w:val="00B81C20"/>
    <w:rsid w:val="00B827A7"/>
    <w:rsid w:val="00B83628"/>
    <w:rsid w:val="00B84117"/>
    <w:rsid w:val="00B84C39"/>
    <w:rsid w:val="00B85AA2"/>
    <w:rsid w:val="00B85FED"/>
    <w:rsid w:val="00B8649C"/>
    <w:rsid w:val="00B87F0A"/>
    <w:rsid w:val="00B9151A"/>
    <w:rsid w:val="00B92358"/>
    <w:rsid w:val="00B92D0B"/>
    <w:rsid w:val="00B940EB"/>
    <w:rsid w:val="00B94945"/>
    <w:rsid w:val="00B9532C"/>
    <w:rsid w:val="00B95642"/>
    <w:rsid w:val="00B96A0B"/>
    <w:rsid w:val="00B96CCC"/>
    <w:rsid w:val="00BA322D"/>
    <w:rsid w:val="00BA3882"/>
    <w:rsid w:val="00BA69CF"/>
    <w:rsid w:val="00BA7C34"/>
    <w:rsid w:val="00BB0BDD"/>
    <w:rsid w:val="00BB2385"/>
    <w:rsid w:val="00BB269A"/>
    <w:rsid w:val="00BB2A73"/>
    <w:rsid w:val="00BB4ACC"/>
    <w:rsid w:val="00BB703E"/>
    <w:rsid w:val="00BB7405"/>
    <w:rsid w:val="00BC139B"/>
    <w:rsid w:val="00BC3631"/>
    <w:rsid w:val="00BC6E27"/>
    <w:rsid w:val="00BD0229"/>
    <w:rsid w:val="00BD4131"/>
    <w:rsid w:val="00BD6749"/>
    <w:rsid w:val="00BD68A3"/>
    <w:rsid w:val="00BD6938"/>
    <w:rsid w:val="00BD6CF3"/>
    <w:rsid w:val="00BE2180"/>
    <w:rsid w:val="00BE21F2"/>
    <w:rsid w:val="00BE4275"/>
    <w:rsid w:val="00BF0418"/>
    <w:rsid w:val="00BF0F95"/>
    <w:rsid w:val="00BF2433"/>
    <w:rsid w:val="00BF55B8"/>
    <w:rsid w:val="00BF61C9"/>
    <w:rsid w:val="00BF6C94"/>
    <w:rsid w:val="00C00424"/>
    <w:rsid w:val="00C0767A"/>
    <w:rsid w:val="00C10899"/>
    <w:rsid w:val="00C12C14"/>
    <w:rsid w:val="00C152AB"/>
    <w:rsid w:val="00C168E3"/>
    <w:rsid w:val="00C16F56"/>
    <w:rsid w:val="00C200AA"/>
    <w:rsid w:val="00C206E5"/>
    <w:rsid w:val="00C22301"/>
    <w:rsid w:val="00C237ED"/>
    <w:rsid w:val="00C24632"/>
    <w:rsid w:val="00C25418"/>
    <w:rsid w:val="00C25CC7"/>
    <w:rsid w:val="00C25D9C"/>
    <w:rsid w:val="00C2778B"/>
    <w:rsid w:val="00C27A22"/>
    <w:rsid w:val="00C31649"/>
    <w:rsid w:val="00C31656"/>
    <w:rsid w:val="00C33D11"/>
    <w:rsid w:val="00C34EF4"/>
    <w:rsid w:val="00C37F60"/>
    <w:rsid w:val="00C40385"/>
    <w:rsid w:val="00C42229"/>
    <w:rsid w:val="00C43A22"/>
    <w:rsid w:val="00C4669A"/>
    <w:rsid w:val="00C4710B"/>
    <w:rsid w:val="00C475AA"/>
    <w:rsid w:val="00C504C3"/>
    <w:rsid w:val="00C52474"/>
    <w:rsid w:val="00C52C84"/>
    <w:rsid w:val="00C53C78"/>
    <w:rsid w:val="00C55DE3"/>
    <w:rsid w:val="00C57657"/>
    <w:rsid w:val="00C604EF"/>
    <w:rsid w:val="00C6139B"/>
    <w:rsid w:val="00C6288B"/>
    <w:rsid w:val="00C64B4A"/>
    <w:rsid w:val="00C65576"/>
    <w:rsid w:val="00C66165"/>
    <w:rsid w:val="00C677F2"/>
    <w:rsid w:val="00C70899"/>
    <w:rsid w:val="00C7151A"/>
    <w:rsid w:val="00C71F60"/>
    <w:rsid w:val="00C72241"/>
    <w:rsid w:val="00C750C8"/>
    <w:rsid w:val="00C751AB"/>
    <w:rsid w:val="00C7560F"/>
    <w:rsid w:val="00C75E1E"/>
    <w:rsid w:val="00C76A4A"/>
    <w:rsid w:val="00C77E1E"/>
    <w:rsid w:val="00C80A0E"/>
    <w:rsid w:val="00C81ACA"/>
    <w:rsid w:val="00C8213F"/>
    <w:rsid w:val="00C8383E"/>
    <w:rsid w:val="00C84044"/>
    <w:rsid w:val="00C8797A"/>
    <w:rsid w:val="00C900B8"/>
    <w:rsid w:val="00C90C71"/>
    <w:rsid w:val="00C931CF"/>
    <w:rsid w:val="00C938CF"/>
    <w:rsid w:val="00C94487"/>
    <w:rsid w:val="00C944B9"/>
    <w:rsid w:val="00C94E7D"/>
    <w:rsid w:val="00C95417"/>
    <w:rsid w:val="00C9624D"/>
    <w:rsid w:val="00C969DA"/>
    <w:rsid w:val="00CA2497"/>
    <w:rsid w:val="00CA2C77"/>
    <w:rsid w:val="00CA444F"/>
    <w:rsid w:val="00CA4C7A"/>
    <w:rsid w:val="00CA5245"/>
    <w:rsid w:val="00CA5B05"/>
    <w:rsid w:val="00CA71F4"/>
    <w:rsid w:val="00CA7B09"/>
    <w:rsid w:val="00CB1073"/>
    <w:rsid w:val="00CB2F2A"/>
    <w:rsid w:val="00CB5B1A"/>
    <w:rsid w:val="00CB5D01"/>
    <w:rsid w:val="00CB6B22"/>
    <w:rsid w:val="00CB7F5F"/>
    <w:rsid w:val="00CC1B39"/>
    <w:rsid w:val="00CC274B"/>
    <w:rsid w:val="00CC34E2"/>
    <w:rsid w:val="00CC73B2"/>
    <w:rsid w:val="00CD1CBD"/>
    <w:rsid w:val="00CD4895"/>
    <w:rsid w:val="00CD55ED"/>
    <w:rsid w:val="00CD6ADC"/>
    <w:rsid w:val="00CE12B5"/>
    <w:rsid w:val="00CE143D"/>
    <w:rsid w:val="00CE6274"/>
    <w:rsid w:val="00CE6C6D"/>
    <w:rsid w:val="00CF2B8D"/>
    <w:rsid w:val="00CF456B"/>
    <w:rsid w:val="00CF51EF"/>
    <w:rsid w:val="00CF5A22"/>
    <w:rsid w:val="00CF71A3"/>
    <w:rsid w:val="00CF766D"/>
    <w:rsid w:val="00D01D40"/>
    <w:rsid w:val="00D0262E"/>
    <w:rsid w:val="00D10ABF"/>
    <w:rsid w:val="00D110BD"/>
    <w:rsid w:val="00D13675"/>
    <w:rsid w:val="00D13DF9"/>
    <w:rsid w:val="00D141E1"/>
    <w:rsid w:val="00D149DC"/>
    <w:rsid w:val="00D14ED5"/>
    <w:rsid w:val="00D17D6C"/>
    <w:rsid w:val="00D2021A"/>
    <w:rsid w:val="00D218C2"/>
    <w:rsid w:val="00D237A8"/>
    <w:rsid w:val="00D2521C"/>
    <w:rsid w:val="00D2574C"/>
    <w:rsid w:val="00D2754D"/>
    <w:rsid w:val="00D27B27"/>
    <w:rsid w:val="00D27D41"/>
    <w:rsid w:val="00D27E2B"/>
    <w:rsid w:val="00D301C8"/>
    <w:rsid w:val="00D319A5"/>
    <w:rsid w:val="00D33BE9"/>
    <w:rsid w:val="00D357FF"/>
    <w:rsid w:val="00D35C7E"/>
    <w:rsid w:val="00D40DD2"/>
    <w:rsid w:val="00D41911"/>
    <w:rsid w:val="00D424C7"/>
    <w:rsid w:val="00D43353"/>
    <w:rsid w:val="00D43B2A"/>
    <w:rsid w:val="00D465AE"/>
    <w:rsid w:val="00D46899"/>
    <w:rsid w:val="00D47575"/>
    <w:rsid w:val="00D47D69"/>
    <w:rsid w:val="00D56EF9"/>
    <w:rsid w:val="00D57DE8"/>
    <w:rsid w:val="00D64425"/>
    <w:rsid w:val="00D66159"/>
    <w:rsid w:val="00D70F16"/>
    <w:rsid w:val="00D76A44"/>
    <w:rsid w:val="00D76E93"/>
    <w:rsid w:val="00D810B2"/>
    <w:rsid w:val="00D8141A"/>
    <w:rsid w:val="00D815EF"/>
    <w:rsid w:val="00D81753"/>
    <w:rsid w:val="00D845A5"/>
    <w:rsid w:val="00D9059A"/>
    <w:rsid w:val="00D917DD"/>
    <w:rsid w:val="00D91923"/>
    <w:rsid w:val="00D932FD"/>
    <w:rsid w:val="00D93753"/>
    <w:rsid w:val="00D96A93"/>
    <w:rsid w:val="00DA1082"/>
    <w:rsid w:val="00DA3167"/>
    <w:rsid w:val="00DA31EF"/>
    <w:rsid w:val="00DA4B0D"/>
    <w:rsid w:val="00DA4DC3"/>
    <w:rsid w:val="00DA77A5"/>
    <w:rsid w:val="00DB4795"/>
    <w:rsid w:val="00DB484F"/>
    <w:rsid w:val="00DB491B"/>
    <w:rsid w:val="00DC04F6"/>
    <w:rsid w:val="00DC0FF9"/>
    <w:rsid w:val="00DC13C8"/>
    <w:rsid w:val="00DC3C57"/>
    <w:rsid w:val="00DC5501"/>
    <w:rsid w:val="00DC6982"/>
    <w:rsid w:val="00DD273C"/>
    <w:rsid w:val="00DD3F28"/>
    <w:rsid w:val="00DD4537"/>
    <w:rsid w:val="00DD4E15"/>
    <w:rsid w:val="00DD742F"/>
    <w:rsid w:val="00DE3138"/>
    <w:rsid w:val="00DE37F8"/>
    <w:rsid w:val="00DE4FCB"/>
    <w:rsid w:val="00DE7832"/>
    <w:rsid w:val="00DF18FC"/>
    <w:rsid w:val="00DF2378"/>
    <w:rsid w:val="00DF5D2B"/>
    <w:rsid w:val="00DF6607"/>
    <w:rsid w:val="00E00318"/>
    <w:rsid w:val="00E007D1"/>
    <w:rsid w:val="00E00E8E"/>
    <w:rsid w:val="00E01B16"/>
    <w:rsid w:val="00E05630"/>
    <w:rsid w:val="00E06DBB"/>
    <w:rsid w:val="00E10149"/>
    <w:rsid w:val="00E12C3E"/>
    <w:rsid w:val="00E16372"/>
    <w:rsid w:val="00E20E4D"/>
    <w:rsid w:val="00E20ED6"/>
    <w:rsid w:val="00E21358"/>
    <w:rsid w:val="00E2249B"/>
    <w:rsid w:val="00E22A0D"/>
    <w:rsid w:val="00E247F2"/>
    <w:rsid w:val="00E25550"/>
    <w:rsid w:val="00E2771E"/>
    <w:rsid w:val="00E31CF2"/>
    <w:rsid w:val="00E31E52"/>
    <w:rsid w:val="00E33E4D"/>
    <w:rsid w:val="00E340AD"/>
    <w:rsid w:val="00E348E9"/>
    <w:rsid w:val="00E34948"/>
    <w:rsid w:val="00E34D36"/>
    <w:rsid w:val="00E356EF"/>
    <w:rsid w:val="00E365E9"/>
    <w:rsid w:val="00E37569"/>
    <w:rsid w:val="00E41E30"/>
    <w:rsid w:val="00E43D70"/>
    <w:rsid w:val="00E448B6"/>
    <w:rsid w:val="00E466F3"/>
    <w:rsid w:val="00E47B2C"/>
    <w:rsid w:val="00E50758"/>
    <w:rsid w:val="00E51560"/>
    <w:rsid w:val="00E54347"/>
    <w:rsid w:val="00E54E2E"/>
    <w:rsid w:val="00E55424"/>
    <w:rsid w:val="00E55BB5"/>
    <w:rsid w:val="00E62653"/>
    <w:rsid w:val="00E65E79"/>
    <w:rsid w:val="00E665EE"/>
    <w:rsid w:val="00E66BA2"/>
    <w:rsid w:val="00E67416"/>
    <w:rsid w:val="00E67630"/>
    <w:rsid w:val="00E70756"/>
    <w:rsid w:val="00E718B6"/>
    <w:rsid w:val="00E71FB2"/>
    <w:rsid w:val="00E723BA"/>
    <w:rsid w:val="00E73581"/>
    <w:rsid w:val="00E76A76"/>
    <w:rsid w:val="00E77C54"/>
    <w:rsid w:val="00E833F7"/>
    <w:rsid w:val="00E83BDF"/>
    <w:rsid w:val="00E840B9"/>
    <w:rsid w:val="00E85CA8"/>
    <w:rsid w:val="00E87A1D"/>
    <w:rsid w:val="00E90701"/>
    <w:rsid w:val="00E926A5"/>
    <w:rsid w:val="00E92D57"/>
    <w:rsid w:val="00E97BEA"/>
    <w:rsid w:val="00EA0F82"/>
    <w:rsid w:val="00EA0FCC"/>
    <w:rsid w:val="00EA17C3"/>
    <w:rsid w:val="00EA1E6C"/>
    <w:rsid w:val="00EA2CAA"/>
    <w:rsid w:val="00EA3864"/>
    <w:rsid w:val="00EA4BF1"/>
    <w:rsid w:val="00EA5A60"/>
    <w:rsid w:val="00EB15B6"/>
    <w:rsid w:val="00EB4916"/>
    <w:rsid w:val="00EB4AFC"/>
    <w:rsid w:val="00EB69C5"/>
    <w:rsid w:val="00EC00C9"/>
    <w:rsid w:val="00EC2649"/>
    <w:rsid w:val="00EC5947"/>
    <w:rsid w:val="00EC5C52"/>
    <w:rsid w:val="00EC6E10"/>
    <w:rsid w:val="00EC6E6F"/>
    <w:rsid w:val="00ED57EA"/>
    <w:rsid w:val="00ED778D"/>
    <w:rsid w:val="00EE069A"/>
    <w:rsid w:val="00EE07D3"/>
    <w:rsid w:val="00EE0BD8"/>
    <w:rsid w:val="00EE20EA"/>
    <w:rsid w:val="00EE22AF"/>
    <w:rsid w:val="00EE692D"/>
    <w:rsid w:val="00EE6FC9"/>
    <w:rsid w:val="00EF0171"/>
    <w:rsid w:val="00EF1204"/>
    <w:rsid w:val="00EF1B25"/>
    <w:rsid w:val="00EF4747"/>
    <w:rsid w:val="00EF4BF8"/>
    <w:rsid w:val="00EF54CA"/>
    <w:rsid w:val="00F01078"/>
    <w:rsid w:val="00F02253"/>
    <w:rsid w:val="00F029BD"/>
    <w:rsid w:val="00F03C2E"/>
    <w:rsid w:val="00F04062"/>
    <w:rsid w:val="00F04A66"/>
    <w:rsid w:val="00F0516C"/>
    <w:rsid w:val="00F067A2"/>
    <w:rsid w:val="00F1263A"/>
    <w:rsid w:val="00F1342C"/>
    <w:rsid w:val="00F136D6"/>
    <w:rsid w:val="00F20484"/>
    <w:rsid w:val="00F20789"/>
    <w:rsid w:val="00F23707"/>
    <w:rsid w:val="00F24837"/>
    <w:rsid w:val="00F2575F"/>
    <w:rsid w:val="00F27565"/>
    <w:rsid w:val="00F27C7E"/>
    <w:rsid w:val="00F310D4"/>
    <w:rsid w:val="00F31D5A"/>
    <w:rsid w:val="00F335F9"/>
    <w:rsid w:val="00F33DE9"/>
    <w:rsid w:val="00F3481D"/>
    <w:rsid w:val="00F34889"/>
    <w:rsid w:val="00F3619A"/>
    <w:rsid w:val="00F407B3"/>
    <w:rsid w:val="00F40AAA"/>
    <w:rsid w:val="00F40BA7"/>
    <w:rsid w:val="00F40C9C"/>
    <w:rsid w:val="00F429C2"/>
    <w:rsid w:val="00F46CB6"/>
    <w:rsid w:val="00F47DE8"/>
    <w:rsid w:val="00F50E38"/>
    <w:rsid w:val="00F53D09"/>
    <w:rsid w:val="00F542C1"/>
    <w:rsid w:val="00F55E73"/>
    <w:rsid w:val="00F55EDA"/>
    <w:rsid w:val="00F60092"/>
    <w:rsid w:val="00F64B43"/>
    <w:rsid w:val="00F6532F"/>
    <w:rsid w:val="00F65F4B"/>
    <w:rsid w:val="00F6601D"/>
    <w:rsid w:val="00F70C9D"/>
    <w:rsid w:val="00F74CD9"/>
    <w:rsid w:val="00F80A7B"/>
    <w:rsid w:val="00F80E5D"/>
    <w:rsid w:val="00F810F5"/>
    <w:rsid w:val="00F82F8D"/>
    <w:rsid w:val="00F833EB"/>
    <w:rsid w:val="00F851CE"/>
    <w:rsid w:val="00F857CD"/>
    <w:rsid w:val="00F90D14"/>
    <w:rsid w:val="00F91219"/>
    <w:rsid w:val="00F95ACE"/>
    <w:rsid w:val="00F97A78"/>
    <w:rsid w:val="00FA00C8"/>
    <w:rsid w:val="00FA0B20"/>
    <w:rsid w:val="00FA16D5"/>
    <w:rsid w:val="00FA24E7"/>
    <w:rsid w:val="00FA2D57"/>
    <w:rsid w:val="00FA3901"/>
    <w:rsid w:val="00FA47DA"/>
    <w:rsid w:val="00FA4DC7"/>
    <w:rsid w:val="00FA5450"/>
    <w:rsid w:val="00FA6394"/>
    <w:rsid w:val="00FA6F6C"/>
    <w:rsid w:val="00FB0849"/>
    <w:rsid w:val="00FB2FCB"/>
    <w:rsid w:val="00FB4B94"/>
    <w:rsid w:val="00FB680C"/>
    <w:rsid w:val="00FB751D"/>
    <w:rsid w:val="00FC1074"/>
    <w:rsid w:val="00FC1884"/>
    <w:rsid w:val="00FC371D"/>
    <w:rsid w:val="00FC56EA"/>
    <w:rsid w:val="00FC5F0B"/>
    <w:rsid w:val="00FD124C"/>
    <w:rsid w:val="00FD2100"/>
    <w:rsid w:val="00FD3048"/>
    <w:rsid w:val="00FD436C"/>
    <w:rsid w:val="00FD446D"/>
    <w:rsid w:val="00FD4A24"/>
    <w:rsid w:val="00FD6394"/>
    <w:rsid w:val="00FE0E6C"/>
    <w:rsid w:val="00FE6BFB"/>
    <w:rsid w:val="00FE70C3"/>
    <w:rsid w:val="00FE79BE"/>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1B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9E6BC9"/>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E6BC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11D05"/>
    <w:pPr>
      <w:ind w:left="851" w:hanging="851"/>
      <w:jc w:val="left"/>
      <w:outlineLvl w:val="0"/>
    </w:pPr>
    <w:rPr>
      <w:b/>
      <w:sz w:val="36"/>
      <w:szCs w:val="36"/>
    </w:rPr>
  </w:style>
  <w:style w:type="character" w:customStyle="1" w:styleId="TitleChar">
    <w:name w:val="Title Char"/>
    <w:basedOn w:val="DefaultParagraphFont"/>
    <w:link w:val="Title"/>
    <w:rsid w:val="00111D05"/>
    <w:rPr>
      <w:rFonts w:ascii="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s Points,Styl moj,Akapit z listą1,Akapit z listą11,ES Paragraph,PBAC ES Paragraph,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s Points Char,Styl moj Char,Akapit z listą1 Char,Akapit z listą11 Char,ES Paragraph Char,PBAC ES Paragraph Char,Bullet point Char,List Paragraph1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6D0FBD"/>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E2909"/>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BF0418"/>
    <w:pPr>
      <w:widowControl/>
      <w:spacing w:before="20" w:after="20" w:line="276" w:lineRule="auto"/>
      <w:jc w:val="left"/>
    </w:pPr>
    <w:rPr>
      <w:rFonts w:ascii="Arial Narrow" w:eastAsiaTheme="majorEastAsia" w:hAnsi="Arial Narrow"/>
      <w:snapToGrid/>
      <w:sz w:val="20"/>
      <w:szCs w:val="20"/>
      <w:lang w:bidi="en-US"/>
    </w:rPr>
  </w:style>
  <w:style w:type="character" w:customStyle="1" w:styleId="TableTextChar0">
    <w:name w:val="Table Text Char"/>
    <w:basedOn w:val="DefaultParagraphFont"/>
    <w:link w:val="TableText0"/>
    <w:rsid w:val="00BF0418"/>
    <w:rPr>
      <w:rFonts w:ascii="Arial Narrow" w:eastAsiaTheme="majorEastAsia" w:hAnsi="Arial Narrow" w:cs="Arial"/>
      <w:lang w:eastAsia="en-US" w:bidi="en-US"/>
    </w:rPr>
  </w:style>
  <w:style w:type="table" w:customStyle="1" w:styleId="TableGrid7">
    <w:name w:val="Table Grid7"/>
    <w:basedOn w:val="TableNormal"/>
    <w:next w:val="TableGrid"/>
    <w:uiPriority w:val="59"/>
    <w:rsid w:val="005B7B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50B9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B491B"/>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Text0"/>
    <w:link w:val="TableHeadingChar"/>
    <w:qFormat/>
    <w:rsid w:val="005B131F"/>
    <w:pPr>
      <w:keepNext/>
      <w:keepLines/>
    </w:pPr>
    <w:rPr>
      <w:b/>
      <w:lang w:eastAsia="en-AU"/>
    </w:rPr>
  </w:style>
  <w:style w:type="table" w:customStyle="1" w:styleId="AZTable">
    <w:name w:val="AZ Table"/>
    <w:basedOn w:val="TableNormal"/>
    <w:uiPriority w:val="99"/>
    <w:rsid w:val="005B13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HeadingChar">
    <w:name w:val="Table Heading Char"/>
    <w:basedOn w:val="DefaultParagraphFont"/>
    <w:link w:val="TableHeading0"/>
    <w:locked/>
    <w:rsid w:val="005B131F"/>
    <w:rPr>
      <w:rFonts w:ascii="Arial Narrow" w:eastAsiaTheme="majorEastAsia" w:hAnsi="Arial Narrow" w:cs="Arial"/>
      <w:b/>
      <w:lang w:bidi="en-US"/>
    </w:rPr>
  </w:style>
  <w:style w:type="character" w:customStyle="1" w:styleId="UnresolvedMention1">
    <w:name w:val="Unresolved Mention1"/>
    <w:basedOn w:val="DefaultParagraphFont"/>
    <w:uiPriority w:val="99"/>
    <w:semiHidden/>
    <w:unhideWhenUsed/>
    <w:rsid w:val="00061C74"/>
    <w:rPr>
      <w:color w:val="808080"/>
      <w:shd w:val="clear" w:color="auto" w:fill="E6E6E6"/>
    </w:rPr>
  </w:style>
  <w:style w:type="character" w:customStyle="1" w:styleId="Heading1Char">
    <w:name w:val="Heading 1 Char"/>
    <w:basedOn w:val="DefaultParagraphFont"/>
    <w:link w:val="Heading1"/>
    <w:rsid w:val="00FA5450"/>
    <w:rPr>
      <w:rFonts w:ascii="Calibri" w:hAnsi="Calibri" w:cs="Arial"/>
      <w:b/>
      <w:caps/>
      <w:snapToGrid w:val="0"/>
      <w:sz w:val="32"/>
      <w:szCs w:val="22"/>
      <w:lang w:eastAsia="en-US"/>
    </w:rPr>
  </w:style>
  <w:style w:type="paragraph" w:styleId="FootnoteText">
    <w:name w:val="footnote text"/>
    <w:basedOn w:val="Normal"/>
    <w:link w:val="FootnoteTextChar"/>
    <w:semiHidden/>
    <w:unhideWhenUsed/>
    <w:rsid w:val="00A21A5C"/>
    <w:rPr>
      <w:sz w:val="20"/>
      <w:szCs w:val="20"/>
    </w:rPr>
  </w:style>
  <w:style w:type="character" w:customStyle="1" w:styleId="FootnoteTextChar">
    <w:name w:val="Footnote Text Char"/>
    <w:basedOn w:val="DefaultParagraphFont"/>
    <w:link w:val="FootnoteText"/>
    <w:semiHidden/>
    <w:rsid w:val="00A21A5C"/>
    <w:rPr>
      <w:rFonts w:ascii="Calibri" w:hAnsi="Calibri" w:cs="Arial"/>
      <w:snapToGrid w:val="0"/>
      <w:lang w:eastAsia="en-US"/>
    </w:rPr>
  </w:style>
  <w:style w:type="character" w:styleId="FootnoteReference">
    <w:name w:val="footnote reference"/>
    <w:basedOn w:val="DefaultParagraphFont"/>
    <w:semiHidden/>
    <w:unhideWhenUsed/>
    <w:rsid w:val="00A21A5C"/>
    <w:rPr>
      <w:vertAlign w:val="superscript"/>
    </w:rPr>
  </w:style>
  <w:style w:type="paragraph" w:customStyle="1" w:styleId="MSACESBulletpoint">
    <w:name w:val="MSAC ES Bulletpoint"/>
    <w:basedOn w:val="Normal"/>
    <w:qFormat/>
    <w:rsid w:val="00F3481D"/>
    <w:pPr>
      <w:widowControl/>
      <w:numPr>
        <w:numId w:val="34"/>
      </w:numPr>
      <w:spacing w:after="240"/>
      <w:contextualSpacing/>
      <w:jc w:val="left"/>
    </w:pPr>
    <w:rPr>
      <w:rFonts w:ascii="Garamond" w:eastAsiaTheme="minorHAnsi" w:hAnsi="Garamond" w:cs="Times New Roman"/>
      <w:snapToGrid/>
    </w:rPr>
  </w:style>
  <w:style w:type="table" w:customStyle="1" w:styleId="Summarybox8">
    <w:name w:val="Summary box8"/>
    <w:basedOn w:val="TableNormal"/>
    <w:next w:val="TableGrid"/>
    <w:uiPriority w:val="59"/>
    <w:rsid w:val="00F348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9E6BC9"/>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E6BC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11D05"/>
    <w:pPr>
      <w:ind w:left="851" w:hanging="851"/>
      <w:jc w:val="left"/>
      <w:outlineLvl w:val="0"/>
    </w:pPr>
    <w:rPr>
      <w:b/>
      <w:sz w:val="36"/>
      <w:szCs w:val="36"/>
    </w:rPr>
  </w:style>
  <w:style w:type="character" w:customStyle="1" w:styleId="TitleChar">
    <w:name w:val="Title Char"/>
    <w:basedOn w:val="DefaultParagraphFont"/>
    <w:link w:val="Title"/>
    <w:rsid w:val="00111D05"/>
    <w:rPr>
      <w:rFonts w:ascii="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s Points,Styl moj,Akapit z listą1,Akapit z listą11,ES Paragraph,PBAC ES Paragraph,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s Points Char,Styl moj Char,Akapit z listą1 Char,Akapit z listą11 Char,ES Paragraph Char,PBAC ES Paragraph Char,Bullet point Char,List Paragraph1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6D0FBD"/>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E2909"/>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BF0418"/>
    <w:pPr>
      <w:widowControl/>
      <w:spacing w:before="20" w:after="20" w:line="276" w:lineRule="auto"/>
      <w:jc w:val="left"/>
    </w:pPr>
    <w:rPr>
      <w:rFonts w:ascii="Arial Narrow" w:eastAsiaTheme="majorEastAsia" w:hAnsi="Arial Narrow"/>
      <w:snapToGrid/>
      <w:sz w:val="20"/>
      <w:szCs w:val="20"/>
      <w:lang w:bidi="en-US"/>
    </w:rPr>
  </w:style>
  <w:style w:type="character" w:customStyle="1" w:styleId="TableTextChar0">
    <w:name w:val="Table Text Char"/>
    <w:basedOn w:val="DefaultParagraphFont"/>
    <w:link w:val="TableText0"/>
    <w:rsid w:val="00BF0418"/>
    <w:rPr>
      <w:rFonts w:ascii="Arial Narrow" w:eastAsiaTheme="majorEastAsia" w:hAnsi="Arial Narrow" w:cs="Arial"/>
      <w:lang w:eastAsia="en-US" w:bidi="en-US"/>
    </w:rPr>
  </w:style>
  <w:style w:type="table" w:customStyle="1" w:styleId="TableGrid7">
    <w:name w:val="Table Grid7"/>
    <w:basedOn w:val="TableNormal"/>
    <w:next w:val="TableGrid"/>
    <w:uiPriority w:val="59"/>
    <w:rsid w:val="005B7B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50B9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B491B"/>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Text0"/>
    <w:link w:val="TableHeadingChar"/>
    <w:qFormat/>
    <w:rsid w:val="005B131F"/>
    <w:pPr>
      <w:keepNext/>
      <w:keepLines/>
    </w:pPr>
    <w:rPr>
      <w:b/>
      <w:lang w:eastAsia="en-AU"/>
    </w:rPr>
  </w:style>
  <w:style w:type="table" w:customStyle="1" w:styleId="AZTable">
    <w:name w:val="AZ Table"/>
    <w:basedOn w:val="TableNormal"/>
    <w:uiPriority w:val="99"/>
    <w:rsid w:val="005B13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HeadingChar">
    <w:name w:val="Table Heading Char"/>
    <w:basedOn w:val="DefaultParagraphFont"/>
    <w:link w:val="TableHeading0"/>
    <w:locked/>
    <w:rsid w:val="005B131F"/>
    <w:rPr>
      <w:rFonts w:ascii="Arial Narrow" w:eastAsiaTheme="majorEastAsia" w:hAnsi="Arial Narrow" w:cs="Arial"/>
      <w:b/>
      <w:lang w:bidi="en-US"/>
    </w:rPr>
  </w:style>
  <w:style w:type="character" w:customStyle="1" w:styleId="UnresolvedMention1">
    <w:name w:val="Unresolved Mention1"/>
    <w:basedOn w:val="DefaultParagraphFont"/>
    <w:uiPriority w:val="99"/>
    <w:semiHidden/>
    <w:unhideWhenUsed/>
    <w:rsid w:val="00061C74"/>
    <w:rPr>
      <w:color w:val="808080"/>
      <w:shd w:val="clear" w:color="auto" w:fill="E6E6E6"/>
    </w:rPr>
  </w:style>
  <w:style w:type="character" w:customStyle="1" w:styleId="Heading1Char">
    <w:name w:val="Heading 1 Char"/>
    <w:basedOn w:val="DefaultParagraphFont"/>
    <w:link w:val="Heading1"/>
    <w:rsid w:val="00FA5450"/>
    <w:rPr>
      <w:rFonts w:ascii="Calibri" w:hAnsi="Calibri" w:cs="Arial"/>
      <w:b/>
      <w:caps/>
      <w:snapToGrid w:val="0"/>
      <w:sz w:val="32"/>
      <w:szCs w:val="22"/>
      <w:lang w:eastAsia="en-US"/>
    </w:rPr>
  </w:style>
  <w:style w:type="paragraph" w:styleId="FootnoteText">
    <w:name w:val="footnote text"/>
    <w:basedOn w:val="Normal"/>
    <w:link w:val="FootnoteTextChar"/>
    <w:semiHidden/>
    <w:unhideWhenUsed/>
    <w:rsid w:val="00A21A5C"/>
    <w:rPr>
      <w:sz w:val="20"/>
      <w:szCs w:val="20"/>
    </w:rPr>
  </w:style>
  <w:style w:type="character" w:customStyle="1" w:styleId="FootnoteTextChar">
    <w:name w:val="Footnote Text Char"/>
    <w:basedOn w:val="DefaultParagraphFont"/>
    <w:link w:val="FootnoteText"/>
    <w:semiHidden/>
    <w:rsid w:val="00A21A5C"/>
    <w:rPr>
      <w:rFonts w:ascii="Calibri" w:hAnsi="Calibri" w:cs="Arial"/>
      <w:snapToGrid w:val="0"/>
      <w:lang w:eastAsia="en-US"/>
    </w:rPr>
  </w:style>
  <w:style w:type="character" w:styleId="FootnoteReference">
    <w:name w:val="footnote reference"/>
    <w:basedOn w:val="DefaultParagraphFont"/>
    <w:semiHidden/>
    <w:unhideWhenUsed/>
    <w:rsid w:val="00A21A5C"/>
    <w:rPr>
      <w:vertAlign w:val="superscript"/>
    </w:rPr>
  </w:style>
  <w:style w:type="paragraph" w:customStyle="1" w:styleId="MSACESBulletpoint">
    <w:name w:val="MSAC ES Bulletpoint"/>
    <w:basedOn w:val="Normal"/>
    <w:qFormat/>
    <w:rsid w:val="00F3481D"/>
    <w:pPr>
      <w:widowControl/>
      <w:numPr>
        <w:numId w:val="34"/>
      </w:numPr>
      <w:spacing w:after="240"/>
      <w:contextualSpacing/>
      <w:jc w:val="left"/>
    </w:pPr>
    <w:rPr>
      <w:rFonts w:ascii="Garamond" w:eastAsiaTheme="minorHAnsi" w:hAnsi="Garamond" w:cs="Times New Roman"/>
      <w:snapToGrid/>
    </w:rPr>
  </w:style>
  <w:style w:type="table" w:customStyle="1" w:styleId="Summarybox8">
    <w:name w:val="Summary box8"/>
    <w:basedOn w:val="TableNormal"/>
    <w:next w:val="TableGrid"/>
    <w:uiPriority w:val="59"/>
    <w:rsid w:val="00F348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8502">
      <w:bodyDiv w:val="1"/>
      <w:marLeft w:val="0"/>
      <w:marRight w:val="0"/>
      <w:marTop w:val="0"/>
      <w:marBottom w:val="0"/>
      <w:divBdr>
        <w:top w:val="none" w:sz="0" w:space="0" w:color="auto"/>
        <w:left w:val="none" w:sz="0" w:space="0" w:color="auto"/>
        <w:bottom w:val="none" w:sz="0" w:space="0" w:color="auto"/>
        <w:right w:val="none" w:sz="0" w:space="0" w:color="auto"/>
      </w:divBdr>
      <w:divsChild>
        <w:div w:id="212664614">
          <w:marLeft w:val="0"/>
          <w:marRight w:val="0"/>
          <w:marTop w:val="0"/>
          <w:marBottom w:val="0"/>
          <w:divBdr>
            <w:top w:val="none" w:sz="0" w:space="0" w:color="auto"/>
            <w:left w:val="none" w:sz="0" w:space="0" w:color="auto"/>
            <w:bottom w:val="none" w:sz="0" w:space="0" w:color="auto"/>
            <w:right w:val="none" w:sz="0" w:space="0" w:color="auto"/>
          </w:divBdr>
          <w:divsChild>
            <w:div w:id="410125706">
              <w:marLeft w:val="0"/>
              <w:marRight w:val="0"/>
              <w:marTop w:val="0"/>
              <w:marBottom w:val="0"/>
              <w:divBdr>
                <w:top w:val="none" w:sz="0" w:space="0" w:color="auto"/>
                <w:left w:val="none" w:sz="0" w:space="0" w:color="auto"/>
                <w:bottom w:val="none" w:sz="0" w:space="0" w:color="auto"/>
                <w:right w:val="none" w:sz="0" w:space="0" w:color="auto"/>
              </w:divBdr>
              <w:divsChild>
                <w:div w:id="823669821">
                  <w:marLeft w:val="0"/>
                  <w:marRight w:val="0"/>
                  <w:marTop w:val="0"/>
                  <w:marBottom w:val="0"/>
                  <w:divBdr>
                    <w:top w:val="none" w:sz="0" w:space="0" w:color="auto"/>
                    <w:left w:val="none" w:sz="0" w:space="0" w:color="auto"/>
                    <w:bottom w:val="none" w:sz="0" w:space="0" w:color="auto"/>
                    <w:right w:val="none" w:sz="0" w:space="0" w:color="auto"/>
                  </w:divBdr>
                  <w:divsChild>
                    <w:div w:id="12372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00073">
      <w:bodyDiv w:val="1"/>
      <w:marLeft w:val="0"/>
      <w:marRight w:val="0"/>
      <w:marTop w:val="0"/>
      <w:marBottom w:val="0"/>
      <w:divBdr>
        <w:top w:val="none" w:sz="0" w:space="0" w:color="auto"/>
        <w:left w:val="none" w:sz="0" w:space="0" w:color="auto"/>
        <w:bottom w:val="none" w:sz="0" w:space="0" w:color="auto"/>
        <w:right w:val="none" w:sz="0" w:space="0" w:color="auto"/>
      </w:divBdr>
    </w:div>
    <w:div w:id="776557245">
      <w:bodyDiv w:val="1"/>
      <w:marLeft w:val="0"/>
      <w:marRight w:val="0"/>
      <w:marTop w:val="0"/>
      <w:marBottom w:val="0"/>
      <w:divBdr>
        <w:top w:val="none" w:sz="0" w:space="0" w:color="auto"/>
        <w:left w:val="none" w:sz="0" w:space="0" w:color="auto"/>
        <w:bottom w:val="none" w:sz="0" w:space="0" w:color="auto"/>
        <w:right w:val="none" w:sz="0" w:space="0" w:color="auto"/>
      </w:divBdr>
    </w:div>
    <w:div w:id="801651752">
      <w:bodyDiv w:val="1"/>
      <w:marLeft w:val="0"/>
      <w:marRight w:val="0"/>
      <w:marTop w:val="0"/>
      <w:marBottom w:val="0"/>
      <w:divBdr>
        <w:top w:val="none" w:sz="0" w:space="0" w:color="auto"/>
        <w:left w:val="none" w:sz="0" w:space="0" w:color="auto"/>
        <w:bottom w:val="none" w:sz="0" w:space="0" w:color="auto"/>
        <w:right w:val="none" w:sz="0" w:space="0" w:color="auto"/>
      </w:divBdr>
    </w:div>
    <w:div w:id="828207610">
      <w:bodyDiv w:val="1"/>
      <w:marLeft w:val="0"/>
      <w:marRight w:val="0"/>
      <w:marTop w:val="0"/>
      <w:marBottom w:val="0"/>
      <w:divBdr>
        <w:top w:val="none" w:sz="0" w:space="0" w:color="auto"/>
        <w:left w:val="none" w:sz="0" w:space="0" w:color="auto"/>
        <w:bottom w:val="none" w:sz="0" w:space="0" w:color="auto"/>
        <w:right w:val="none" w:sz="0" w:space="0" w:color="auto"/>
      </w:divBdr>
    </w:div>
    <w:div w:id="1103500972">
      <w:bodyDiv w:val="1"/>
      <w:marLeft w:val="0"/>
      <w:marRight w:val="0"/>
      <w:marTop w:val="0"/>
      <w:marBottom w:val="0"/>
      <w:divBdr>
        <w:top w:val="none" w:sz="0" w:space="0" w:color="auto"/>
        <w:left w:val="none" w:sz="0" w:space="0" w:color="auto"/>
        <w:bottom w:val="none" w:sz="0" w:space="0" w:color="auto"/>
        <w:right w:val="none" w:sz="0" w:space="0" w:color="auto"/>
      </w:divBdr>
    </w:div>
    <w:div w:id="1255163113">
      <w:bodyDiv w:val="1"/>
      <w:marLeft w:val="0"/>
      <w:marRight w:val="0"/>
      <w:marTop w:val="0"/>
      <w:marBottom w:val="0"/>
      <w:divBdr>
        <w:top w:val="none" w:sz="0" w:space="0" w:color="auto"/>
        <w:left w:val="none" w:sz="0" w:space="0" w:color="auto"/>
        <w:bottom w:val="none" w:sz="0" w:space="0" w:color="auto"/>
        <w:right w:val="none" w:sz="0" w:space="0" w:color="auto"/>
      </w:divBdr>
    </w:div>
    <w:div w:id="1548839655">
      <w:bodyDiv w:val="1"/>
      <w:marLeft w:val="0"/>
      <w:marRight w:val="0"/>
      <w:marTop w:val="0"/>
      <w:marBottom w:val="0"/>
      <w:divBdr>
        <w:top w:val="none" w:sz="0" w:space="0" w:color="auto"/>
        <w:left w:val="none" w:sz="0" w:space="0" w:color="auto"/>
        <w:bottom w:val="none" w:sz="0" w:space="0" w:color="auto"/>
        <w:right w:val="none" w:sz="0" w:space="0" w:color="auto"/>
      </w:divBdr>
    </w:div>
    <w:div w:id="20425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5C14-28E6-4434-AF74-E360FC9A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7009</Words>
  <Characters>41533</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2019-03-05T00:22:00Z</dcterms:created>
  <dcterms:modified xsi:type="dcterms:W3CDTF">2019-03-05T00:22:00Z</dcterms:modified>
</cp:coreProperties>
</file>