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C51" w:rsidRDefault="005C65B5" w:rsidP="00203151">
      <w:pPr>
        <w:pStyle w:val="Heading1"/>
        <w:jc w:val="left"/>
        <w:rPr>
          <w:caps w:val="0"/>
          <w:sz w:val="36"/>
          <w:szCs w:val="36"/>
        </w:rPr>
      </w:pPr>
      <w:r w:rsidRPr="003965E5">
        <w:rPr>
          <w:sz w:val="36"/>
          <w:szCs w:val="36"/>
        </w:rPr>
        <w:t>5.03</w:t>
      </w:r>
      <w:r w:rsidR="00866306" w:rsidRPr="003965E5">
        <w:rPr>
          <w:sz w:val="36"/>
          <w:szCs w:val="36"/>
        </w:rPr>
        <w:tab/>
      </w:r>
      <w:r w:rsidR="00866306" w:rsidRPr="003965E5">
        <w:rPr>
          <w:caps w:val="0"/>
          <w:sz w:val="36"/>
          <w:szCs w:val="36"/>
        </w:rPr>
        <w:t>CRISABOROLE</w:t>
      </w:r>
      <w:proofErr w:type="gramStart"/>
      <w:r w:rsidR="00203151">
        <w:rPr>
          <w:caps w:val="0"/>
          <w:sz w:val="36"/>
          <w:szCs w:val="36"/>
        </w:rPr>
        <w:t>,</w:t>
      </w:r>
      <w:proofErr w:type="gramEnd"/>
      <w:r w:rsidR="00203151">
        <w:rPr>
          <w:caps w:val="0"/>
          <w:sz w:val="36"/>
          <w:szCs w:val="36"/>
        </w:rPr>
        <w:br/>
      </w:r>
      <w:r w:rsidR="000C30C9" w:rsidRPr="006D2224">
        <w:rPr>
          <w:caps w:val="0"/>
          <w:sz w:val="36"/>
          <w:szCs w:val="36"/>
        </w:rPr>
        <w:t xml:space="preserve">Ointment containing </w:t>
      </w:r>
      <w:proofErr w:type="spellStart"/>
      <w:r w:rsidR="000C30C9" w:rsidRPr="006D2224">
        <w:rPr>
          <w:caps w:val="0"/>
          <w:sz w:val="36"/>
          <w:szCs w:val="36"/>
        </w:rPr>
        <w:t>crisaborole</w:t>
      </w:r>
      <w:proofErr w:type="spellEnd"/>
      <w:r w:rsidR="000C30C9" w:rsidRPr="006D2224">
        <w:rPr>
          <w:caps w:val="0"/>
          <w:sz w:val="36"/>
          <w:szCs w:val="36"/>
        </w:rPr>
        <w:t xml:space="preserve"> </w:t>
      </w:r>
    </w:p>
    <w:p w:rsidR="00F11C51" w:rsidRDefault="000C30C9" w:rsidP="00F11C51">
      <w:pPr>
        <w:pStyle w:val="Heading1"/>
        <w:ind w:firstLine="0"/>
        <w:jc w:val="left"/>
        <w:rPr>
          <w:caps w:val="0"/>
          <w:sz w:val="36"/>
          <w:szCs w:val="36"/>
        </w:rPr>
      </w:pPr>
      <w:r w:rsidRPr="006D2224">
        <w:rPr>
          <w:caps w:val="0"/>
          <w:sz w:val="36"/>
          <w:szCs w:val="36"/>
        </w:rPr>
        <w:t>20 mg per g, 60 g</w:t>
      </w:r>
      <w:r w:rsidR="00073744" w:rsidRPr="006D2224">
        <w:rPr>
          <w:caps w:val="0"/>
          <w:sz w:val="36"/>
          <w:szCs w:val="36"/>
        </w:rPr>
        <w:t>,</w:t>
      </w:r>
      <w:r w:rsidR="00203151">
        <w:rPr>
          <w:caps w:val="0"/>
          <w:sz w:val="36"/>
          <w:szCs w:val="36"/>
        </w:rPr>
        <w:t xml:space="preserve"> </w:t>
      </w:r>
    </w:p>
    <w:p w:rsidR="000C30C9" w:rsidRPr="006D2224" w:rsidRDefault="000C30C9" w:rsidP="00F11C51">
      <w:pPr>
        <w:pStyle w:val="Heading1"/>
        <w:ind w:firstLine="0"/>
        <w:jc w:val="left"/>
      </w:pPr>
      <w:proofErr w:type="spellStart"/>
      <w:r w:rsidRPr="006D2224">
        <w:rPr>
          <w:caps w:val="0"/>
          <w:sz w:val="36"/>
          <w:szCs w:val="36"/>
        </w:rPr>
        <w:t>Staquis</w:t>
      </w:r>
      <w:proofErr w:type="spellEnd"/>
      <w:r w:rsidRPr="006D2224">
        <w:rPr>
          <w:caps w:val="0"/>
          <w:sz w:val="36"/>
          <w:szCs w:val="36"/>
        </w:rPr>
        <w:t xml:space="preserve">®, </w:t>
      </w:r>
      <w:r w:rsidR="003965E5">
        <w:rPr>
          <w:caps w:val="0"/>
          <w:sz w:val="36"/>
          <w:szCs w:val="36"/>
        </w:rPr>
        <w:br/>
      </w:r>
      <w:r w:rsidRPr="006D2224">
        <w:rPr>
          <w:caps w:val="0"/>
          <w:sz w:val="36"/>
          <w:szCs w:val="36"/>
        </w:rPr>
        <w:t>Pfizer Australia Pty Ltd</w:t>
      </w:r>
    </w:p>
    <w:p w:rsidR="00073744" w:rsidRPr="006D2224" w:rsidRDefault="00073744" w:rsidP="004C66A1">
      <w:pPr>
        <w:ind w:firstLine="720"/>
        <w:jc w:val="left"/>
        <w:rPr>
          <w:rFonts w:asciiTheme="minorHAnsi" w:hAnsiTheme="minorHAnsi"/>
          <w:b/>
          <w:sz w:val="36"/>
          <w:szCs w:val="36"/>
        </w:rPr>
      </w:pPr>
    </w:p>
    <w:p w:rsidR="00B50DB8" w:rsidRPr="006D2224" w:rsidRDefault="00B50DB8" w:rsidP="00E53446">
      <w:pPr>
        <w:pStyle w:val="PBACHeading1"/>
        <w:outlineLvl w:val="0"/>
      </w:pPr>
      <w:bookmarkStart w:id="0" w:name="_Toc524516443"/>
      <w:r w:rsidRPr="006D2224">
        <w:t>Purpose of Application</w:t>
      </w:r>
      <w:bookmarkEnd w:id="0"/>
    </w:p>
    <w:p w:rsidR="00B60939" w:rsidRPr="006D2224" w:rsidRDefault="00B60939" w:rsidP="00B60939"/>
    <w:p w:rsidR="00AD0E2E" w:rsidRPr="006D2224" w:rsidRDefault="00AD0E2E" w:rsidP="00173629">
      <w:pPr>
        <w:pStyle w:val="ListParagraph"/>
        <w:widowControl/>
        <w:numPr>
          <w:ilvl w:val="1"/>
          <w:numId w:val="2"/>
        </w:numPr>
      </w:pPr>
      <w:r w:rsidRPr="006D2224">
        <w:t xml:space="preserve">The submission requested a Section 85, Streamlined Authority listing for </w:t>
      </w:r>
      <w:proofErr w:type="spellStart"/>
      <w:r w:rsidRPr="006D2224">
        <w:t>crisaborole</w:t>
      </w:r>
      <w:proofErr w:type="spellEnd"/>
      <w:r w:rsidRPr="006D2224">
        <w:t xml:space="preserve"> for the treatment of mild to moderate atopic dermatitis in patients at least 2 years old who are contraindicated, have failed to achieve satisfactory disease control, or are intolerant to </w:t>
      </w:r>
      <w:r w:rsidR="00534D86" w:rsidRPr="006D2224">
        <w:t>TCS</w:t>
      </w:r>
      <w:r w:rsidRPr="006D2224">
        <w:t xml:space="preserve">. The PBAC has not previously considered </w:t>
      </w:r>
      <w:proofErr w:type="spellStart"/>
      <w:r w:rsidRPr="006D2224">
        <w:t>crisaborole</w:t>
      </w:r>
      <w:proofErr w:type="spellEnd"/>
      <w:r w:rsidRPr="006D2224">
        <w:t xml:space="preserve">. </w:t>
      </w:r>
    </w:p>
    <w:p w:rsidR="00C2778B" w:rsidRPr="006D2224" w:rsidRDefault="00DD5940" w:rsidP="00173629">
      <w:pPr>
        <w:pStyle w:val="ListParagraph"/>
        <w:widowControl/>
        <w:numPr>
          <w:ilvl w:val="1"/>
          <w:numId w:val="2"/>
        </w:numPr>
        <w:spacing w:after="120"/>
      </w:pPr>
      <w:r w:rsidRPr="006D2224">
        <w:t>L</w:t>
      </w:r>
      <w:r w:rsidR="00AD0E2E" w:rsidRPr="006D2224">
        <w:t xml:space="preserve">isting was requested on a cost-minimisation basis compared to </w:t>
      </w:r>
      <w:proofErr w:type="spellStart"/>
      <w:r w:rsidR="00AD0E2E" w:rsidRPr="006D2224">
        <w:t>pimecrolimus</w:t>
      </w:r>
      <w:proofErr w:type="spellEnd"/>
      <w:r w:rsidR="00AD0E2E" w:rsidRPr="006D2224">
        <w:t xml:space="preserve"> for use on the face and eyelids and a cost-effectiveness basis compared to standard </w:t>
      </w:r>
      <w:bookmarkStart w:id="1" w:name="_GoBack"/>
      <w:bookmarkEnd w:id="1"/>
      <w:r w:rsidR="00AD0E2E" w:rsidRPr="006D2224">
        <w:t xml:space="preserve">management for the rest of the body. </w:t>
      </w:r>
    </w:p>
    <w:p w:rsidR="00AD0E2E" w:rsidRPr="006D2224" w:rsidRDefault="00AD0E2E" w:rsidP="00AD0E2E">
      <w:r w:rsidRPr="006D2224">
        <w:rPr>
          <w:rStyle w:val="CommentReference"/>
        </w:rPr>
        <w:t>Table 1:  Key components of the clinical issue addressed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AD0E2E" w:rsidRPr="006D2224" w:rsidTr="00AD0E2E">
        <w:tc>
          <w:tcPr>
            <w:tcW w:w="1668" w:type="dxa"/>
            <w:vAlign w:val="center"/>
          </w:tcPr>
          <w:p w:rsidR="00AD0E2E" w:rsidRPr="006D2224" w:rsidRDefault="00AD0E2E" w:rsidP="00AD0E2E">
            <w:pPr>
              <w:pStyle w:val="Tabletext"/>
              <w:rPr>
                <w:b/>
              </w:rPr>
            </w:pPr>
            <w:r w:rsidRPr="006D2224">
              <w:rPr>
                <w:b/>
              </w:rPr>
              <w:t>Component</w:t>
            </w:r>
          </w:p>
        </w:tc>
        <w:tc>
          <w:tcPr>
            <w:tcW w:w="7488" w:type="dxa"/>
            <w:vAlign w:val="center"/>
          </w:tcPr>
          <w:p w:rsidR="00AD0E2E" w:rsidRPr="006D2224" w:rsidRDefault="00AD0E2E" w:rsidP="00AD0E2E">
            <w:pPr>
              <w:pStyle w:val="Tabletext"/>
              <w:jc w:val="center"/>
              <w:rPr>
                <w:b/>
              </w:rPr>
            </w:pPr>
            <w:r w:rsidRPr="006D2224">
              <w:rPr>
                <w:b/>
              </w:rPr>
              <w:t>Description</w:t>
            </w:r>
          </w:p>
        </w:tc>
      </w:tr>
      <w:tr w:rsidR="00AD0E2E" w:rsidRPr="006D2224" w:rsidTr="00AD0E2E">
        <w:tc>
          <w:tcPr>
            <w:tcW w:w="1668" w:type="dxa"/>
            <w:vAlign w:val="center"/>
          </w:tcPr>
          <w:p w:rsidR="00AD0E2E" w:rsidRPr="006D2224" w:rsidRDefault="00AD0E2E" w:rsidP="00AD0E2E">
            <w:pPr>
              <w:pStyle w:val="Tabletext"/>
            </w:pPr>
            <w:r w:rsidRPr="006D2224">
              <w:t>Population</w:t>
            </w:r>
          </w:p>
        </w:tc>
        <w:tc>
          <w:tcPr>
            <w:tcW w:w="7488" w:type="dxa"/>
            <w:vAlign w:val="center"/>
          </w:tcPr>
          <w:p w:rsidR="00AD0E2E" w:rsidRPr="006D2224" w:rsidRDefault="00AD0E2E" w:rsidP="00AD0E2E">
            <w:pPr>
              <w:pStyle w:val="Tabletext"/>
            </w:pPr>
            <w:r w:rsidRPr="006D2224">
              <w:t>Patients aged ≥2 years with mild to moderate atopic dermatitis who are contraindicated, have failed to achieve satisfactory disease control, or are intolerant to topical corticosteroids</w:t>
            </w:r>
          </w:p>
        </w:tc>
      </w:tr>
      <w:tr w:rsidR="00AD0E2E" w:rsidRPr="006D2224" w:rsidTr="00AD0E2E">
        <w:tc>
          <w:tcPr>
            <w:tcW w:w="1668" w:type="dxa"/>
            <w:vAlign w:val="center"/>
          </w:tcPr>
          <w:p w:rsidR="00AD0E2E" w:rsidRPr="006D2224" w:rsidRDefault="00AD0E2E" w:rsidP="00AD0E2E">
            <w:pPr>
              <w:pStyle w:val="Tabletext"/>
            </w:pPr>
            <w:r w:rsidRPr="006D2224">
              <w:t>Intervention</w:t>
            </w:r>
          </w:p>
        </w:tc>
        <w:tc>
          <w:tcPr>
            <w:tcW w:w="7488" w:type="dxa"/>
            <w:vAlign w:val="center"/>
          </w:tcPr>
          <w:p w:rsidR="00AD0E2E" w:rsidRPr="006D2224" w:rsidRDefault="00AD0E2E" w:rsidP="00AD0E2E">
            <w:pPr>
              <w:pStyle w:val="Tabletext"/>
            </w:pPr>
            <w:proofErr w:type="spellStart"/>
            <w:r w:rsidRPr="006D2224">
              <w:t>Crisaborole</w:t>
            </w:r>
            <w:proofErr w:type="spellEnd"/>
            <w:r w:rsidRPr="006D2224">
              <w:t xml:space="preserve"> 2% ointment</w:t>
            </w:r>
          </w:p>
        </w:tc>
      </w:tr>
      <w:tr w:rsidR="00AD0E2E" w:rsidRPr="006D2224" w:rsidTr="00AD0E2E">
        <w:tc>
          <w:tcPr>
            <w:tcW w:w="1668" w:type="dxa"/>
            <w:vAlign w:val="center"/>
          </w:tcPr>
          <w:p w:rsidR="00AD0E2E" w:rsidRPr="006D2224" w:rsidRDefault="00AD0E2E" w:rsidP="00AD0E2E">
            <w:pPr>
              <w:pStyle w:val="Tabletext"/>
            </w:pPr>
            <w:r w:rsidRPr="006D2224">
              <w:t>Comparator</w:t>
            </w:r>
          </w:p>
        </w:tc>
        <w:tc>
          <w:tcPr>
            <w:tcW w:w="7488" w:type="dxa"/>
            <w:vAlign w:val="center"/>
          </w:tcPr>
          <w:p w:rsidR="00AD0E2E" w:rsidRPr="006D2224" w:rsidRDefault="00AD0E2E" w:rsidP="00AD0E2E">
            <w:pPr>
              <w:pStyle w:val="Tabletext"/>
            </w:pPr>
            <w:proofErr w:type="spellStart"/>
            <w:r w:rsidRPr="006D2224">
              <w:t>Pimecrolimus</w:t>
            </w:r>
            <w:proofErr w:type="spellEnd"/>
            <w:r w:rsidRPr="006D2224">
              <w:t xml:space="preserve"> (face and eyelids) and standard management (rest of the body)</w:t>
            </w:r>
          </w:p>
        </w:tc>
      </w:tr>
      <w:tr w:rsidR="00AD0E2E" w:rsidRPr="006D2224" w:rsidTr="00AD0E2E">
        <w:tc>
          <w:tcPr>
            <w:tcW w:w="1668" w:type="dxa"/>
            <w:vAlign w:val="center"/>
          </w:tcPr>
          <w:p w:rsidR="00AD0E2E" w:rsidRPr="006D2224" w:rsidRDefault="00AD0E2E" w:rsidP="00AD0E2E">
            <w:pPr>
              <w:pStyle w:val="Tabletext"/>
            </w:pPr>
            <w:r w:rsidRPr="006D2224">
              <w:t>Outcomes</w:t>
            </w:r>
          </w:p>
        </w:tc>
        <w:tc>
          <w:tcPr>
            <w:tcW w:w="7488" w:type="dxa"/>
            <w:vAlign w:val="center"/>
          </w:tcPr>
          <w:p w:rsidR="00AD0E2E" w:rsidRPr="006D2224" w:rsidRDefault="00AD0E2E" w:rsidP="00AD0E2E">
            <w:pPr>
              <w:pStyle w:val="Tabletext"/>
            </w:pPr>
            <w:r w:rsidRPr="006D2224">
              <w:t>Improvement in signs of atopic dermatitis</w:t>
            </w:r>
          </w:p>
        </w:tc>
      </w:tr>
      <w:tr w:rsidR="00AD0E2E" w:rsidRPr="006D2224" w:rsidTr="00AD0E2E">
        <w:tc>
          <w:tcPr>
            <w:tcW w:w="1668" w:type="dxa"/>
            <w:vAlign w:val="center"/>
          </w:tcPr>
          <w:p w:rsidR="00AD0E2E" w:rsidRPr="006D2224" w:rsidRDefault="00AD0E2E" w:rsidP="00AD0E2E">
            <w:pPr>
              <w:pStyle w:val="Tabletext"/>
            </w:pPr>
            <w:r w:rsidRPr="006D2224">
              <w:t>Clinical claim</w:t>
            </w:r>
          </w:p>
        </w:tc>
        <w:tc>
          <w:tcPr>
            <w:tcW w:w="7488" w:type="dxa"/>
            <w:vAlign w:val="center"/>
          </w:tcPr>
          <w:p w:rsidR="00AD0E2E" w:rsidRPr="006D2224" w:rsidRDefault="00AD0E2E" w:rsidP="00AD0E2E">
            <w:pPr>
              <w:pStyle w:val="Tabletext"/>
            </w:pPr>
            <w:proofErr w:type="spellStart"/>
            <w:r w:rsidRPr="006D2224">
              <w:t>Crisaborole</w:t>
            </w:r>
            <w:proofErr w:type="spellEnd"/>
            <w:r w:rsidRPr="006D2224">
              <w:t xml:space="preserve"> is non-inferior in terms of efficacy and safety compared with </w:t>
            </w:r>
            <w:proofErr w:type="spellStart"/>
            <w:r w:rsidRPr="006D2224">
              <w:t>pimecrolimus</w:t>
            </w:r>
            <w:proofErr w:type="spellEnd"/>
          </w:p>
          <w:p w:rsidR="00AD0E2E" w:rsidRPr="006D2224" w:rsidRDefault="00AD0E2E" w:rsidP="00AD0E2E">
            <w:pPr>
              <w:pStyle w:val="Tabletext"/>
            </w:pPr>
            <w:proofErr w:type="spellStart"/>
            <w:r w:rsidRPr="006D2224">
              <w:t>Crisaborole</w:t>
            </w:r>
            <w:proofErr w:type="spellEnd"/>
            <w:r w:rsidRPr="006D2224">
              <w:t xml:space="preserve"> is superior in terms of efficacy and inferior in terms of safety compared with standard management</w:t>
            </w:r>
          </w:p>
        </w:tc>
      </w:tr>
    </w:tbl>
    <w:p w:rsidR="00AD0E2E" w:rsidRPr="006D2224" w:rsidRDefault="00AD0E2E" w:rsidP="00023EF3">
      <w:pPr>
        <w:pStyle w:val="TableFooter"/>
        <w:spacing w:after="160"/>
      </w:pPr>
      <w:r w:rsidRPr="006D2224">
        <w:t>Source: Table 1.1-1, pp4-5 of the submission</w:t>
      </w:r>
    </w:p>
    <w:p w:rsidR="00B63C2E" w:rsidRPr="006D2224" w:rsidRDefault="006B7F07" w:rsidP="00173629">
      <w:pPr>
        <w:pStyle w:val="ListParagraph"/>
        <w:widowControl/>
        <w:numPr>
          <w:ilvl w:val="1"/>
          <w:numId w:val="2"/>
        </w:numPr>
      </w:pPr>
      <w:r w:rsidRPr="006D2224">
        <w:t>There were inconsistencies in the definition of the target population between the clinical issue addressed by the submission, clinical management algorithm and the proposed PBS listing. T</w:t>
      </w:r>
      <w:r w:rsidR="000D0BC0" w:rsidRPr="006D2224">
        <w:t>he target population described in</w:t>
      </w:r>
      <w:r w:rsidRPr="006D2224">
        <w:t xml:space="preserve"> the clinical issue and clinical management algorithm </w:t>
      </w:r>
      <w:r w:rsidR="000D0BC0" w:rsidRPr="006D2224">
        <w:t>included patie</w:t>
      </w:r>
      <w:r w:rsidR="00AC7AE2" w:rsidRPr="006D2224">
        <w:t xml:space="preserve">nts who were contraindicated to and who </w:t>
      </w:r>
      <w:r w:rsidR="000D0BC0" w:rsidRPr="006D2224">
        <w:t xml:space="preserve">were failing </w:t>
      </w:r>
      <w:r w:rsidR="00534D86" w:rsidRPr="006D2224">
        <w:t>TCS</w:t>
      </w:r>
      <w:r w:rsidR="00AC7AE2" w:rsidRPr="006D2224">
        <w:t xml:space="preserve"> as well as</w:t>
      </w:r>
      <w:r w:rsidR="000D0BC0" w:rsidRPr="006D2224">
        <w:t xml:space="preserve"> those who were intolerant due to adverse effects and ‘steroid phobia’ whereas the requested PBS restriction limited use to those who were contraindicated to </w:t>
      </w:r>
      <w:r w:rsidR="00534D86" w:rsidRPr="006D2224">
        <w:t>TCS</w:t>
      </w:r>
      <w:r w:rsidR="000D0BC0" w:rsidRPr="006D2224">
        <w:t xml:space="preserve"> and those who did not achieve symptom resolution with corticosteroids. </w:t>
      </w:r>
    </w:p>
    <w:p w:rsidR="00AC7AE2" w:rsidRPr="006D2224" w:rsidRDefault="00AC7AE2" w:rsidP="00F647F0">
      <w:pPr>
        <w:pStyle w:val="ListParagraph"/>
        <w:widowControl/>
        <w:numPr>
          <w:ilvl w:val="1"/>
          <w:numId w:val="2"/>
        </w:numPr>
      </w:pPr>
      <w:r w:rsidRPr="006D2224">
        <w:t xml:space="preserve">The target population described </w:t>
      </w:r>
      <w:r w:rsidR="00651CD7" w:rsidRPr="006D2224">
        <w:t>below</w:t>
      </w:r>
      <w:r w:rsidRPr="006D2224">
        <w:t xml:space="preserve"> refers to the broader definition of those who were contraindicated/failing/intolerant to </w:t>
      </w:r>
      <w:r w:rsidR="007064B0" w:rsidRPr="006D2224">
        <w:t>TCS</w:t>
      </w:r>
      <w:r w:rsidRPr="006D2224">
        <w:t xml:space="preserve">. </w:t>
      </w:r>
    </w:p>
    <w:p w:rsidR="00617E12" w:rsidRPr="006D2224" w:rsidRDefault="00B50DB8" w:rsidP="007064B0">
      <w:pPr>
        <w:pStyle w:val="PBACHeading1"/>
        <w:spacing w:after="240"/>
        <w:outlineLvl w:val="0"/>
      </w:pPr>
      <w:bookmarkStart w:id="2" w:name="_Toc524516444"/>
      <w:r w:rsidRPr="006D2224">
        <w:t>Requested listing</w:t>
      </w:r>
      <w:bookmarkEnd w:id="2"/>
    </w:p>
    <w:p w:rsidR="007064B0" w:rsidRPr="006D2224" w:rsidRDefault="007064B0" w:rsidP="007064B0">
      <w:pPr>
        <w:pStyle w:val="ListParagraph"/>
        <w:widowControl/>
        <w:numPr>
          <w:ilvl w:val="1"/>
          <w:numId w:val="2"/>
        </w:numPr>
      </w:pPr>
      <w:r w:rsidRPr="006D2224">
        <w:t xml:space="preserve">Suggestions and additions </w:t>
      </w:r>
      <w:r w:rsidR="007F1762" w:rsidRPr="006D2224">
        <w:t xml:space="preserve">proposed by the Secretariat </w:t>
      </w:r>
      <w:r w:rsidRPr="006D2224">
        <w:t>are in italics and strikethrough is used for deletions.</w:t>
      </w:r>
    </w:p>
    <w:tbl>
      <w:tblPr>
        <w:tblW w:w="4906" w:type="pct"/>
        <w:tblInd w:w="28" w:type="dxa"/>
        <w:tblCellMar>
          <w:left w:w="28" w:type="dxa"/>
          <w:right w:w="28" w:type="dxa"/>
        </w:tblCellMar>
        <w:tblLook w:val="0000" w:firstRow="0" w:lastRow="0" w:firstColumn="0" w:lastColumn="0" w:noHBand="0" w:noVBand="0"/>
      </w:tblPr>
      <w:tblGrid>
        <w:gridCol w:w="2221"/>
        <w:gridCol w:w="1114"/>
        <w:gridCol w:w="1073"/>
        <w:gridCol w:w="834"/>
        <w:gridCol w:w="1497"/>
        <w:gridCol w:w="1011"/>
        <w:gridCol w:w="1107"/>
      </w:tblGrid>
      <w:tr w:rsidR="003517F9" w:rsidRPr="006D2224" w:rsidTr="002D6C83">
        <w:trPr>
          <w:cantSplit/>
          <w:trHeight w:val="463"/>
        </w:trPr>
        <w:tc>
          <w:tcPr>
            <w:tcW w:w="1882" w:type="pct"/>
            <w:gridSpan w:val="2"/>
            <w:tcBorders>
              <w:top w:val="single" w:sz="4" w:space="0" w:color="auto"/>
              <w:bottom w:val="single" w:sz="4" w:space="0" w:color="auto"/>
            </w:tcBorders>
            <w:vAlign w:val="center"/>
          </w:tcPr>
          <w:p w:rsidR="00617E12" w:rsidRPr="006D2224" w:rsidRDefault="00617E12" w:rsidP="00617E12">
            <w:pPr>
              <w:keepNext/>
              <w:jc w:val="left"/>
              <w:rPr>
                <w:rFonts w:ascii="Arial Narrow" w:hAnsi="Arial Narrow"/>
                <w:b/>
                <w:sz w:val="20"/>
              </w:rPr>
            </w:pPr>
            <w:r w:rsidRPr="006D2224">
              <w:rPr>
                <w:rFonts w:ascii="Arial Narrow" w:hAnsi="Arial Narrow"/>
                <w:b/>
                <w:sz w:val="20"/>
              </w:rPr>
              <w:lastRenderedPageBreak/>
              <w:t>Name, Restriction,</w:t>
            </w:r>
          </w:p>
          <w:p w:rsidR="00617E12" w:rsidRPr="006D2224" w:rsidRDefault="00617E12" w:rsidP="00617E12">
            <w:pPr>
              <w:keepNext/>
              <w:jc w:val="left"/>
              <w:rPr>
                <w:rFonts w:ascii="Arial Narrow" w:hAnsi="Arial Narrow"/>
                <w:b/>
                <w:sz w:val="20"/>
              </w:rPr>
            </w:pPr>
            <w:r w:rsidRPr="006D2224">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rsidR="00617E12" w:rsidRPr="006D2224" w:rsidRDefault="00617E12" w:rsidP="00617E12">
            <w:pPr>
              <w:keepNext/>
              <w:jc w:val="center"/>
              <w:rPr>
                <w:rFonts w:ascii="Arial Narrow" w:hAnsi="Arial Narrow"/>
                <w:b/>
                <w:sz w:val="20"/>
              </w:rPr>
            </w:pPr>
            <w:r w:rsidRPr="006D2224">
              <w:rPr>
                <w:rFonts w:ascii="Arial Narrow" w:hAnsi="Arial Narrow"/>
                <w:b/>
                <w:sz w:val="20"/>
              </w:rPr>
              <w:t>Max.</w:t>
            </w:r>
          </w:p>
          <w:p w:rsidR="00617E12" w:rsidRPr="006D2224" w:rsidRDefault="00617E12" w:rsidP="00DD5940">
            <w:pPr>
              <w:keepNext/>
              <w:jc w:val="center"/>
              <w:rPr>
                <w:rFonts w:ascii="Arial Narrow" w:hAnsi="Arial Narrow"/>
                <w:b/>
                <w:sz w:val="20"/>
              </w:rPr>
            </w:pPr>
            <w:proofErr w:type="spellStart"/>
            <w:r w:rsidRPr="006D2224">
              <w:rPr>
                <w:rFonts w:ascii="Arial Narrow" w:hAnsi="Arial Narrow"/>
                <w:b/>
                <w:sz w:val="20"/>
              </w:rPr>
              <w:t>Qty</w:t>
            </w:r>
            <w:proofErr w:type="spellEnd"/>
          </w:p>
        </w:tc>
        <w:tc>
          <w:tcPr>
            <w:tcW w:w="471" w:type="pct"/>
            <w:tcBorders>
              <w:top w:val="single" w:sz="4" w:space="0" w:color="auto"/>
              <w:bottom w:val="single" w:sz="4" w:space="0" w:color="auto"/>
            </w:tcBorders>
            <w:vAlign w:val="center"/>
          </w:tcPr>
          <w:p w:rsidR="00617E12" w:rsidRPr="006D2224" w:rsidRDefault="00617E12" w:rsidP="00617E12">
            <w:pPr>
              <w:keepNext/>
              <w:jc w:val="center"/>
              <w:rPr>
                <w:rFonts w:ascii="Arial Narrow" w:hAnsi="Arial Narrow"/>
                <w:b/>
                <w:sz w:val="20"/>
              </w:rPr>
            </w:pPr>
            <w:r w:rsidRPr="006D2224">
              <w:rPr>
                <w:rFonts w:ascii="Arial Narrow" w:hAnsi="Arial Narrow" w:cs="Times New Roman"/>
                <w:b/>
                <w:sz w:val="20"/>
              </w:rPr>
              <w:t>№</w:t>
            </w:r>
            <w:r w:rsidRPr="006D2224">
              <w:rPr>
                <w:rFonts w:ascii="Arial Narrow" w:hAnsi="Arial Narrow"/>
                <w:b/>
                <w:sz w:val="20"/>
              </w:rPr>
              <w:t>.of</w:t>
            </w:r>
          </w:p>
          <w:p w:rsidR="00617E12" w:rsidRPr="006D2224" w:rsidRDefault="00617E12" w:rsidP="00617E12">
            <w:pPr>
              <w:keepNext/>
              <w:jc w:val="center"/>
              <w:rPr>
                <w:rFonts w:ascii="Arial Narrow" w:hAnsi="Arial Narrow"/>
                <w:b/>
                <w:sz w:val="20"/>
              </w:rPr>
            </w:pPr>
            <w:proofErr w:type="spellStart"/>
            <w:r w:rsidRPr="006D2224">
              <w:rPr>
                <w:rFonts w:ascii="Arial Narrow" w:hAnsi="Arial Narrow"/>
                <w:b/>
                <w:sz w:val="20"/>
              </w:rPr>
              <w:t>Rpts</w:t>
            </w:r>
            <w:proofErr w:type="spellEnd"/>
          </w:p>
        </w:tc>
        <w:tc>
          <w:tcPr>
            <w:tcW w:w="845" w:type="pct"/>
            <w:tcBorders>
              <w:top w:val="single" w:sz="4" w:space="0" w:color="auto"/>
              <w:bottom w:val="single" w:sz="4" w:space="0" w:color="auto"/>
            </w:tcBorders>
            <w:vAlign w:val="center"/>
          </w:tcPr>
          <w:p w:rsidR="00617E12" w:rsidRPr="006D2224" w:rsidRDefault="00617E12" w:rsidP="00DD5940">
            <w:pPr>
              <w:keepNext/>
              <w:jc w:val="center"/>
              <w:rPr>
                <w:rFonts w:ascii="Arial Narrow" w:hAnsi="Arial Narrow"/>
                <w:b/>
                <w:sz w:val="20"/>
              </w:rPr>
            </w:pPr>
            <w:r w:rsidRPr="006D2224">
              <w:rPr>
                <w:rFonts w:ascii="Arial Narrow" w:hAnsi="Arial Narrow"/>
                <w:b/>
                <w:sz w:val="20"/>
              </w:rPr>
              <w:t xml:space="preserve">Dispensed Price for Max. </w:t>
            </w:r>
            <w:proofErr w:type="spellStart"/>
            <w:r w:rsidRPr="006D2224">
              <w:rPr>
                <w:rFonts w:ascii="Arial Narrow" w:hAnsi="Arial Narrow"/>
                <w:b/>
                <w:sz w:val="20"/>
              </w:rPr>
              <w:t>Qty</w:t>
            </w:r>
            <w:proofErr w:type="spellEnd"/>
            <w:r w:rsidR="00591957" w:rsidRPr="006D2224">
              <w:rPr>
                <w:rFonts w:ascii="Arial Narrow" w:hAnsi="Arial Narrow"/>
                <w:b/>
                <w:sz w:val="20"/>
              </w:rPr>
              <w:t xml:space="preserve"> </w:t>
            </w:r>
          </w:p>
        </w:tc>
        <w:tc>
          <w:tcPr>
            <w:tcW w:w="1196" w:type="pct"/>
            <w:gridSpan w:val="2"/>
            <w:tcBorders>
              <w:top w:val="single" w:sz="4" w:space="0" w:color="auto"/>
              <w:bottom w:val="single" w:sz="4" w:space="0" w:color="auto"/>
            </w:tcBorders>
            <w:vAlign w:val="center"/>
          </w:tcPr>
          <w:p w:rsidR="00617E12" w:rsidRPr="006D2224" w:rsidRDefault="00617E12" w:rsidP="00617E12">
            <w:pPr>
              <w:keepNext/>
              <w:jc w:val="center"/>
              <w:rPr>
                <w:rFonts w:ascii="Arial Narrow" w:hAnsi="Arial Narrow"/>
                <w:b/>
                <w:sz w:val="20"/>
              </w:rPr>
            </w:pPr>
            <w:r w:rsidRPr="006D2224">
              <w:rPr>
                <w:rFonts w:ascii="Arial Narrow" w:hAnsi="Arial Narrow"/>
                <w:b/>
                <w:sz w:val="20"/>
              </w:rPr>
              <w:t>Proprietary Name and Manufacturer</w:t>
            </w:r>
          </w:p>
        </w:tc>
      </w:tr>
      <w:tr w:rsidR="003517F9" w:rsidRPr="006D2224" w:rsidTr="003965E5">
        <w:trPr>
          <w:cantSplit/>
          <w:trHeight w:val="567"/>
        </w:trPr>
        <w:tc>
          <w:tcPr>
            <w:tcW w:w="1882" w:type="pct"/>
            <w:gridSpan w:val="2"/>
            <w:vAlign w:val="center"/>
          </w:tcPr>
          <w:p w:rsidR="00617E12" w:rsidRPr="006D2224" w:rsidRDefault="00DD5940" w:rsidP="00DD5940">
            <w:pPr>
              <w:keepNext/>
              <w:jc w:val="left"/>
              <w:rPr>
                <w:rFonts w:ascii="Arial Narrow" w:hAnsi="Arial Narrow"/>
                <w:sz w:val="20"/>
              </w:rPr>
            </w:pPr>
            <w:proofErr w:type="spellStart"/>
            <w:r w:rsidRPr="006D2224">
              <w:rPr>
                <w:rFonts w:ascii="Arial Narrow" w:hAnsi="Arial Narrow"/>
                <w:sz w:val="20"/>
              </w:rPr>
              <w:t>Crisaborole</w:t>
            </w:r>
            <w:proofErr w:type="spellEnd"/>
            <w:r w:rsidRPr="006D2224">
              <w:rPr>
                <w:rFonts w:ascii="Arial Narrow" w:hAnsi="Arial Narrow"/>
                <w:sz w:val="20"/>
              </w:rPr>
              <w:t xml:space="preserve"> ointment 2%, 60 grams </w:t>
            </w:r>
          </w:p>
        </w:tc>
        <w:tc>
          <w:tcPr>
            <w:tcW w:w="606" w:type="pct"/>
            <w:vAlign w:val="center"/>
          </w:tcPr>
          <w:p w:rsidR="00617E12" w:rsidRPr="006D2224" w:rsidRDefault="00DD5940" w:rsidP="00617E12">
            <w:pPr>
              <w:keepNext/>
              <w:jc w:val="center"/>
              <w:rPr>
                <w:rFonts w:ascii="Arial Narrow" w:hAnsi="Arial Narrow"/>
                <w:sz w:val="20"/>
              </w:rPr>
            </w:pPr>
            <w:r w:rsidRPr="006D2224">
              <w:rPr>
                <w:rFonts w:ascii="Arial Narrow" w:hAnsi="Arial Narrow"/>
                <w:sz w:val="20"/>
              </w:rPr>
              <w:t>1</w:t>
            </w:r>
          </w:p>
        </w:tc>
        <w:tc>
          <w:tcPr>
            <w:tcW w:w="471" w:type="pct"/>
            <w:vAlign w:val="center"/>
          </w:tcPr>
          <w:p w:rsidR="00617E12" w:rsidRPr="006D2224" w:rsidRDefault="00DD5940" w:rsidP="00617E12">
            <w:pPr>
              <w:keepNext/>
              <w:jc w:val="center"/>
              <w:rPr>
                <w:rFonts w:ascii="Arial Narrow" w:hAnsi="Arial Narrow"/>
                <w:sz w:val="20"/>
              </w:rPr>
            </w:pPr>
            <w:r w:rsidRPr="006D2224">
              <w:rPr>
                <w:rFonts w:ascii="Arial Narrow" w:hAnsi="Arial Narrow"/>
                <w:sz w:val="20"/>
              </w:rPr>
              <w:t>2</w:t>
            </w:r>
          </w:p>
        </w:tc>
        <w:tc>
          <w:tcPr>
            <w:tcW w:w="845" w:type="pct"/>
            <w:vAlign w:val="center"/>
          </w:tcPr>
          <w:p w:rsidR="00617E12" w:rsidRPr="006D2224" w:rsidRDefault="00DD5940" w:rsidP="00617E12">
            <w:pPr>
              <w:keepNext/>
              <w:jc w:val="center"/>
              <w:rPr>
                <w:rFonts w:ascii="Arial Narrow" w:hAnsi="Arial Narrow"/>
                <w:sz w:val="20"/>
              </w:rPr>
            </w:pPr>
            <w:r w:rsidRPr="006D2224">
              <w:rPr>
                <w:rFonts w:ascii="Arial Narrow" w:hAnsi="Arial Narrow"/>
                <w:sz w:val="20"/>
              </w:rPr>
              <w:t>$</w:t>
            </w:r>
            <w:r w:rsidR="007131B6">
              <w:rPr>
                <w:rFonts w:ascii="Arial Narrow" w:hAnsi="Arial Narrow"/>
                <w:noProof/>
                <w:color w:val="000000"/>
                <w:sz w:val="20"/>
                <w:highlight w:val="black"/>
              </w:rPr>
              <w:t>'''''''''''''''''</w:t>
            </w:r>
          </w:p>
        </w:tc>
        <w:tc>
          <w:tcPr>
            <w:tcW w:w="571" w:type="pct"/>
            <w:vAlign w:val="center"/>
          </w:tcPr>
          <w:p w:rsidR="00617E12" w:rsidRPr="006D2224" w:rsidRDefault="00DD5940" w:rsidP="00617E12">
            <w:pPr>
              <w:keepNext/>
              <w:jc w:val="center"/>
              <w:rPr>
                <w:rFonts w:ascii="Arial Narrow" w:hAnsi="Arial Narrow"/>
                <w:sz w:val="20"/>
              </w:rPr>
            </w:pPr>
            <w:proofErr w:type="spellStart"/>
            <w:r w:rsidRPr="006D2224">
              <w:rPr>
                <w:rFonts w:ascii="Arial Narrow" w:hAnsi="Arial Narrow"/>
                <w:sz w:val="20"/>
              </w:rPr>
              <w:t>Staquis</w:t>
            </w:r>
            <w:proofErr w:type="spellEnd"/>
          </w:p>
        </w:tc>
        <w:tc>
          <w:tcPr>
            <w:tcW w:w="626" w:type="pct"/>
            <w:vAlign w:val="center"/>
          </w:tcPr>
          <w:p w:rsidR="00591957" w:rsidRPr="006D2224" w:rsidRDefault="00DD5940" w:rsidP="00DD5940">
            <w:pPr>
              <w:keepNext/>
              <w:jc w:val="center"/>
              <w:rPr>
                <w:rFonts w:ascii="Arial Narrow" w:hAnsi="Arial Narrow"/>
                <w:sz w:val="20"/>
              </w:rPr>
            </w:pPr>
            <w:r w:rsidRPr="006D2224">
              <w:rPr>
                <w:rFonts w:ascii="Arial Narrow" w:hAnsi="Arial Narrow"/>
                <w:sz w:val="20"/>
              </w:rPr>
              <w:t>Pfizer</w:t>
            </w:r>
          </w:p>
        </w:tc>
      </w:tr>
      <w:tr w:rsidR="00542C2D" w:rsidRPr="006D2224" w:rsidTr="002D6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rsidR="00542C2D" w:rsidRPr="006D2224" w:rsidRDefault="00591957" w:rsidP="00591957">
            <w:pPr>
              <w:pStyle w:val="Tabletext"/>
              <w:rPr>
                <w:b/>
                <w:lang w:eastAsia="en-AU"/>
              </w:rPr>
            </w:pPr>
            <w:r w:rsidRPr="006D2224">
              <w:rPr>
                <w:b/>
                <w:lang w:eastAsia="en-AU"/>
              </w:rPr>
              <w:t>Category/Program:</w:t>
            </w:r>
          </w:p>
        </w:tc>
        <w:tc>
          <w:tcPr>
            <w:tcW w:w="3747" w:type="pct"/>
            <w:gridSpan w:val="6"/>
            <w:tcBorders>
              <w:top w:val="single" w:sz="4" w:space="0" w:color="auto"/>
              <w:left w:val="single" w:sz="4" w:space="0" w:color="auto"/>
              <w:bottom w:val="single" w:sz="4" w:space="0" w:color="auto"/>
              <w:right w:val="single" w:sz="4" w:space="0" w:color="auto"/>
            </w:tcBorders>
          </w:tcPr>
          <w:p w:rsidR="00542C2D" w:rsidRPr="006D2224" w:rsidRDefault="00DD5940" w:rsidP="00DD5940">
            <w:pPr>
              <w:pStyle w:val="Tabletext"/>
              <w:rPr>
                <w:lang w:eastAsia="en-AU"/>
              </w:rPr>
            </w:pPr>
            <w:r w:rsidRPr="006D2224">
              <w:rPr>
                <w:lang w:eastAsia="en-AU"/>
              </w:rPr>
              <w:t>Section 85</w:t>
            </w:r>
          </w:p>
        </w:tc>
      </w:tr>
      <w:tr w:rsidR="00DD5940" w:rsidRPr="006D2224" w:rsidTr="002D6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rsidR="00DD5940" w:rsidRPr="006D2224" w:rsidRDefault="00DD5940" w:rsidP="00DD5940">
            <w:pPr>
              <w:pStyle w:val="Tabletext"/>
              <w:rPr>
                <w:strike/>
                <w:lang w:eastAsia="en-AU"/>
              </w:rPr>
            </w:pPr>
            <w:proofErr w:type="spellStart"/>
            <w:r w:rsidRPr="006D2224">
              <w:rPr>
                <w:b/>
                <w:strike/>
              </w:rPr>
              <w:t>Episodicity</w:t>
            </w:r>
            <w:proofErr w:type="spellEnd"/>
            <w:r w:rsidRPr="006D2224">
              <w:rPr>
                <w:b/>
                <w:strike/>
              </w:rPr>
              <w:t>:</w:t>
            </w:r>
          </w:p>
        </w:tc>
        <w:tc>
          <w:tcPr>
            <w:tcW w:w="3747" w:type="pct"/>
            <w:gridSpan w:val="6"/>
            <w:tcBorders>
              <w:top w:val="single" w:sz="4" w:space="0" w:color="auto"/>
              <w:left w:val="single" w:sz="4" w:space="0" w:color="auto"/>
              <w:bottom w:val="single" w:sz="4" w:space="0" w:color="auto"/>
              <w:right w:val="single" w:sz="4" w:space="0" w:color="auto"/>
            </w:tcBorders>
          </w:tcPr>
          <w:p w:rsidR="00DD5940" w:rsidRPr="006D2224" w:rsidRDefault="00DD5940" w:rsidP="00DD5940">
            <w:pPr>
              <w:pStyle w:val="Tabletext"/>
              <w:rPr>
                <w:strike/>
                <w:lang w:eastAsia="en-AU"/>
              </w:rPr>
            </w:pPr>
            <w:r w:rsidRPr="006D2224">
              <w:rPr>
                <w:strike/>
              </w:rPr>
              <w:t>Chronic</w:t>
            </w:r>
          </w:p>
        </w:tc>
      </w:tr>
      <w:tr w:rsidR="00DD5940" w:rsidRPr="006D2224" w:rsidTr="002D6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rsidR="00DD5940" w:rsidRPr="006D2224" w:rsidRDefault="00DD5940" w:rsidP="00DD5940">
            <w:pPr>
              <w:pStyle w:val="Tabletext"/>
              <w:rPr>
                <w:lang w:eastAsia="en-AU"/>
              </w:rPr>
            </w:pPr>
            <w:r w:rsidRPr="006D2224">
              <w:rPr>
                <w:b/>
              </w:rPr>
              <w:t>Severity:</w:t>
            </w:r>
          </w:p>
        </w:tc>
        <w:tc>
          <w:tcPr>
            <w:tcW w:w="3747" w:type="pct"/>
            <w:gridSpan w:val="6"/>
            <w:tcBorders>
              <w:top w:val="single" w:sz="4" w:space="0" w:color="auto"/>
              <w:left w:val="single" w:sz="4" w:space="0" w:color="auto"/>
              <w:bottom w:val="single" w:sz="4" w:space="0" w:color="auto"/>
              <w:right w:val="single" w:sz="4" w:space="0" w:color="auto"/>
            </w:tcBorders>
          </w:tcPr>
          <w:p w:rsidR="00DD5940" w:rsidRPr="006D2224" w:rsidRDefault="00DD5940" w:rsidP="00DD5940">
            <w:pPr>
              <w:pStyle w:val="Tabletext"/>
              <w:rPr>
                <w:lang w:eastAsia="en-AU"/>
              </w:rPr>
            </w:pPr>
            <w:r w:rsidRPr="006D2224">
              <w:t>Mild to moderate</w:t>
            </w:r>
          </w:p>
        </w:tc>
      </w:tr>
      <w:tr w:rsidR="00DD5940" w:rsidRPr="006D2224" w:rsidTr="002D6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rsidR="00DD5940" w:rsidRPr="006D2224" w:rsidRDefault="00DD5940" w:rsidP="00DD5940">
            <w:pPr>
              <w:pStyle w:val="Tabletext"/>
              <w:rPr>
                <w:lang w:eastAsia="en-AU"/>
              </w:rPr>
            </w:pPr>
            <w:r w:rsidRPr="006D2224">
              <w:rPr>
                <w:b/>
              </w:rPr>
              <w:t>PBS Indication:</w:t>
            </w:r>
          </w:p>
        </w:tc>
        <w:tc>
          <w:tcPr>
            <w:tcW w:w="3747" w:type="pct"/>
            <w:gridSpan w:val="6"/>
            <w:tcBorders>
              <w:top w:val="single" w:sz="4" w:space="0" w:color="auto"/>
              <w:left w:val="single" w:sz="4" w:space="0" w:color="auto"/>
              <w:bottom w:val="single" w:sz="4" w:space="0" w:color="auto"/>
              <w:right w:val="single" w:sz="4" w:space="0" w:color="auto"/>
            </w:tcBorders>
          </w:tcPr>
          <w:p w:rsidR="00DD5940" w:rsidRPr="006D2224" w:rsidRDefault="007064B0" w:rsidP="007064B0">
            <w:pPr>
              <w:pStyle w:val="Tabletext"/>
              <w:rPr>
                <w:lang w:eastAsia="en-AU"/>
              </w:rPr>
            </w:pPr>
            <w:r w:rsidRPr="006D2224">
              <w:t>Mild to moderate a</w:t>
            </w:r>
            <w:r w:rsidR="00DD5940" w:rsidRPr="006D2224">
              <w:t>topic dermatitis</w:t>
            </w:r>
          </w:p>
        </w:tc>
      </w:tr>
      <w:tr w:rsidR="00DD5940" w:rsidRPr="006D2224" w:rsidTr="002D6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3"/>
        </w:trPr>
        <w:tc>
          <w:tcPr>
            <w:tcW w:w="1253" w:type="pct"/>
            <w:tcBorders>
              <w:top w:val="single" w:sz="4" w:space="0" w:color="auto"/>
              <w:left w:val="single" w:sz="4" w:space="0" w:color="auto"/>
              <w:bottom w:val="single" w:sz="4" w:space="0" w:color="auto"/>
              <w:right w:val="single" w:sz="4" w:space="0" w:color="auto"/>
            </w:tcBorders>
            <w:hideMark/>
          </w:tcPr>
          <w:p w:rsidR="00DD5940" w:rsidRPr="006D2224" w:rsidRDefault="00DD5940" w:rsidP="00DD5940">
            <w:pPr>
              <w:pStyle w:val="Tabletext"/>
              <w:rPr>
                <w:b/>
              </w:rPr>
            </w:pPr>
            <w:r w:rsidRPr="006D2224">
              <w:rPr>
                <w:b/>
              </w:rPr>
              <w:t>Restriction:</w:t>
            </w:r>
          </w:p>
        </w:tc>
        <w:tc>
          <w:tcPr>
            <w:tcW w:w="3747" w:type="pct"/>
            <w:gridSpan w:val="6"/>
            <w:tcBorders>
              <w:top w:val="single" w:sz="4" w:space="0" w:color="auto"/>
              <w:left w:val="single" w:sz="4" w:space="0" w:color="auto"/>
              <w:bottom w:val="single" w:sz="4" w:space="0" w:color="auto"/>
              <w:right w:val="single" w:sz="4" w:space="0" w:color="auto"/>
            </w:tcBorders>
          </w:tcPr>
          <w:p w:rsidR="00DD5940" w:rsidRPr="006D2224" w:rsidRDefault="00DD5940" w:rsidP="005E6BAA">
            <w:pPr>
              <w:pStyle w:val="Tabletext"/>
              <w:rPr>
                <w:lang w:eastAsia="en-AU"/>
              </w:rPr>
            </w:pPr>
            <w:r w:rsidRPr="006D2224">
              <w:t>Streamlined</w:t>
            </w:r>
            <w:r w:rsidR="005E6BAA" w:rsidRPr="006D2224">
              <w:t xml:space="preserve"> Authority</w:t>
            </w:r>
          </w:p>
        </w:tc>
      </w:tr>
      <w:tr w:rsidR="00DD5940" w:rsidRPr="006D2224" w:rsidTr="002D6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tcPr>
          <w:p w:rsidR="00DD5940" w:rsidRPr="006D2224" w:rsidRDefault="00DD5940" w:rsidP="00DD5940">
            <w:pPr>
              <w:pStyle w:val="Tabletext"/>
              <w:rPr>
                <w:b/>
              </w:rPr>
            </w:pPr>
            <w:r w:rsidRPr="006D2224">
              <w:rPr>
                <w:b/>
              </w:rPr>
              <w:t>Clinical criteria:</w:t>
            </w:r>
          </w:p>
          <w:p w:rsidR="00DD5940" w:rsidRPr="006D2224" w:rsidRDefault="00DD5940" w:rsidP="00DD5940">
            <w:pPr>
              <w:pStyle w:val="Tabletext"/>
              <w:rPr>
                <w:lang w:eastAsia="en-AU"/>
              </w:rPr>
            </w:pPr>
          </w:p>
        </w:tc>
        <w:tc>
          <w:tcPr>
            <w:tcW w:w="3747" w:type="pct"/>
            <w:gridSpan w:val="6"/>
            <w:tcBorders>
              <w:top w:val="single" w:sz="4" w:space="0" w:color="auto"/>
              <w:left w:val="single" w:sz="4" w:space="0" w:color="auto"/>
              <w:bottom w:val="single" w:sz="4" w:space="0" w:color="auto"/>
              <w:right w:val="single" w:sz="4" w:space="0" w:color="auto"/>
            </w:tcBorders>
          </w:tcPr>
          <w:p w:rsidR="00DD5940" w:rsidRPr="006D2224" w:rsidRDefault="00DD5940" w:rsidP="00DD5940">
            <w:pPr>
              <w:pStyle w:val="Tabletext"/>
              <w:jc w:val="both"/>
            </w:pPr>
            <w:r w:rsidRPr="006D2224">
              <w:t>Patient must have failed to achieve satisfactory disease control with topical corticosteroids,</w:t>
            </w:r>
          </w:p>
          <w:p w:rsidR="00DD5940" w:rsidRPr="006D2224" w:rsidRDefault="00DD5940" w:rsidP="00DD5940">
            <w:pPr>
              <w:pStyle w:val="Tabletext"/>
              <w:jc w:val="both"/>
            </w:pPr>
            <w:r w:rsidRPr="006D2224">
              <w:t>OR</w:t>
            </w:r>
          </w:p>
          <w:p w:rsidR="00DD5940" w:rsidRPr="006D2224" w:rsidRDefault="00DD5940" w:rsidP="00DD5940">
            <w:pPr>
              <w:pStyle w:val="Tabletext"/>
              <w:rPr>
                <w:color w:val="000000"/>
                <w:szCs w:val="24"/>
                <w:lang w:eastAsia="en-AU"/>
              </w:rPr>
            </w:pPr>
            <w:r w:rsidRPr="006D2224">
              <w:rPr>
                <w:rFonts w:cs="Arial"/>
              </w:rPr>
              <w:t>Patient must have 1 or more of following contraindications to topical corticosteroids: (</w:t>
            </w:r>
            <w:proofErr w:type="spellStart"/>
            <w:r w:rsidRPr="006D2224">
              <w:rPr>
                <w:rFonts w:cs="Arial"/>
              </w:rPr>
              <w:t>i</w:t>
            </w:r>
            <w:proofErr w:type="spellEnd"/>
            <w:r w:rsidRPr="006D2224">
              <w:rPr>
                <w:rFonts w:cs="Arial"/>
              </w:rPr>
              <w:t>) perioral dermatitis; (ii) periorbital dermatitis; (iii) rosacea; (iv) epidermal atrophy; (v) dermal atrophy; (vi) allergy to topical corticosteroids; (vii) cataracts; (viii) glaucoma; (ix) raised intraocular pressure</w:t>
            </w:r>
          </w:p>
        </w:tc>
      </w:tr>
      <w:tr w:rsidR="00DD5940" w:rsidRPr="006D2224" w:rsidTr="002D6C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rsidR="00DD5940" w:rsidRPr="006D2224" w:rsidRDefault="00DD5940" w:rsidP="00DD5940">
            <w:pPr>
              <w:pStyle w:val="Tabletext"/>
              <w:rPr>
                <w:strike/>
                <w:lang w:eastAsia="en-AU"/>
              </w:rPr>
            </w:pPr>
            <w:r w:rsidRPr="006D2224">
              <w:rPr>
                <w:b/>
                <w:strike/>
              </w:rPr>
              <w:t>Population criteria:</w:t>
            </w:r>
          </w:p>
        </w:tc>
        <w:tc>
          <w:tcPr>
            <w:tcW w:w="3747" w:type="pct"/>
            <w:gridSpan w:val="6"/>
            <w:tcBorders>
              <w:top w:val="single" w:sz="4" w:space="0" w:color="auto"/>
              <w:left w:val="single" w:sz="4" w:space="0" w:color="auto"/>
              <w:bottom w:val="single" w:sz="4" w:space="0" w:color="auto"/>
              <w:right w:val="single" w:sz="4" w:space="0" w:color="auto"/>
            </w:tcBorders>
          </w:tcPr>
          <w:p w:rsidR="00DD5940" w:rsidRPr="006D2224" w:rsidRDefault="00DD5940" w:rsidP="00DD5940">
            <w:pPr>
              <w:pStyle w:val="Tabletext"/>
              <w:rPr>
                <w:strike/>
                <w:color w:val="000000"/>
                <w:szCs w:val="24"/>
                <w:lang w:eastAsia="en-AU"/>
              </w:rPr>
            </w:pPr>
            <w:r w:rsidRPr="006D2224">
              <w:rPr>
                <w:strike/>
              </w:rPr>
              <w:t>Patient must be aged ≥2 years</w:t>
            </w:r>
          </w:p>
        </w:tc>
      </w:tr>
      <w:tr w:rsidR="002D6C83" w:rsidRPr="006D2224" w:rsidTr="002D6C83">
        <w:tblPrEx>
          <w:tblCellMar>
            <w:left w:w="108" w:type="dxa"/>
            <w:right w:w="108" w:type="dxa"/>
          </w:tblCellMar>
        </w:tblPrEx>
        <w:trPr>
          <w:cantSplit/>
          <w:trHeight w:val="360"/>
        </w:trPr>
        <w:tc>
          <w:tcPr>
            <w:tcW w:w="1253" w:type="pct"/>
            <w:tcBorders>
              <w:top w:val="single" w:sz="4" w:space="0" w:color="auto"/>
              <w:left w:val="single" w:sz="4" w:space="0" w:color="auto"/>
              <w:bottom w:val="single" w:sz="4" w:space="0" w:color="auto"/>
              <w:right w:val="single" w:sz="4" w:space="0" w:color="auto"/>
            </w:tcBorders>
          </w:tcPr>
          <w:p w:rsidR="002D6C83" w:rsidRPr="006D2224" w:rsidRDefault="002D6C83" w:rsidP="002F1BD2">
            <w:pPr>
              <w:rPr>
                <w:b/>
                <w:sz w:val="20"/>
                <w:szCs w:val="20"/>
              </w:rPr>
            </w:pPr>
            <w:r w:rsidRPr="006D2224">
              <w:rPr>
                <w:rFonts w:ascii="Arial Narrow" w:hAnsi="Arial Narrow"/>
                <w:b/>
                <w:sz w:val="20"/>
                <w:szCs w:val="20"/>
              </w:rPr>
              <w:t>Prescriber</w:t>
            </w:r>
            <w:r w:rsidRPr="006D2224">
              <w:rPr>
                <w:b/>
                <w:sz w:val="20"/>
                <w:szCs w:val="20"/>
              </w:rPr>
              <w:t xml:space="preserve"> </w:t>
            </w:r>
            <w:r w:rsidRPr="006D2224">
              <w:rPr>
                <w:rFonts w:ascii="Arial Narrow" w:hAnsi="Arial Narrow"/>
                <w:b/>
                <w:sz w:val="20"/>
                <w:szCs w:val="20"/>
              </w:rPr>
              <w:t>Instructions</w:t>
            </w:r>
          </w:p>
          <w:p w:rsidR="002D6C83" w:rsidRPr="006D2224" w:rsidRDefault="002D6C83" w:rsidP="002F1BD2">
            <w:pPr>
              <w:rPr>
                <w:sz w:val="20"/>
                <w:szCs w:val="20"/>
              </w:rPr>
            </w:pPr>
          </w:p>
        </w:tc>
        <w:tc>
          <w:tcPr>
            <w:tcW w:w="3747" w:type="pct"/>
            <w:gridSpan w:val="6"/>
            <w:tcBorders>
              <w:top w:val="single" w:sz="4" w:space="0" w:color="auto"/>
              <w:left w:val="single" w:sz="4" w:space="0" w:color="auto"/>
              <w:bottom w:val="single" w:sz="4" w:space="0" w:color="auto"/>
              <w:right w:val="single" w:sz="4" w:space="0" w:color="auto"/>
            </w:tcBorders>
          </w:tcPr>
          <w:p w:rsidR="002D6C83" w:rsidRPr="006D2224" w:rsidRDefault="002D6C83" w:rsidP="002F1BD2">
            <w:pPr>
              <w:spacing w:before="60" w:after="60"/>
              <w:rPr>
                <w:rFonts w:ascii="Arial Narrow" w:hAnsi="Arial Narrow"/>
                <w:sz w:val="20"/>
                <w:szCs w:val="20"/>
              </w:rPr>
            </w:pPr>
            <w:r w:rsidRPr="006D2224">
              <w:rPr>
                <w:rFonts w:ascii="Arial Narrow" w:hAnsi="Arial Narrow"/>
                <w:sz w:val="20"/>
                <w:szCs w:val="20"/>
              </w:rPr>
              <w:t xml:space="preserve">Failure to achieve satisfactory disease control with </w:t>
            </w:r>
            <w:r w:rsidRPr="006D2224">
              <w:rPr>
                <w:rFonts w:ascii="Arial Narrow" w:hAnsi="Arial Narrow"/>
                <w:strike/>
                <w:sz w:val="20"/>
                <w:szCs w:val="20"/>
              </w:rPr>
              <w:t>intermittent</w:t>
            </w:r>
            <w:r w:rsidRPr="006D2224">
              <w:rPr>
                <w:rFonts w:ascii="Arial Narrow" w:hAnsi="Arial Narrow"/>
                <w:sz w:val="20"/>
                <w:szCs w:val="20"/>
              </w:rPr>
              <w:t xml:space="preserve"> topical corticosteroid therapy is manifest by: </w:t>
            </w:r>
          </w:p>
          <w:p w:rsidR="002D6C83" w:rsidRPr="006D2224" w:rsidRDefault="002D6C83" w:rsidP="002F1BD2">
            <w:pPr>
              <w:spacing w:before="60" w:after="60"/>
              <w:rPr>
                <w:rFonts w:ascii="Arial Narrow" w:hAnsi="Arial Narrow"/>
                <w:sz w:val="20"/>
                <w:szCs w:val="20"/>
              </w:rPr>
            </w:pPr>
            <w:r w:rsidRPr="006D2224">
              <w:rPr>
                <w:rFonts w:ascii="Arial Narrow" w:hAnsi="Arial Narrow"/>
                <w:sz w:val="20"/>
                <w:szCs w:val="20"/>
              </w:rPr>
              <w:t>(</w:t>
            </w:r>
            <w:proofErr w:type="spellStart"/>
            <w:r w:rsidRPr="006D2224">
              <w:rPr>
                <w:rFonts w:ascii="Arial Narrow" w:hAnsi="Arial Narrow"/>
                <w:sz w:val="20"/>
                <w:szCs w:val="20"/>
              </w:rPr>
              <w:t>i</w:t>
            </w:r>
            <w:proofErr w:type="spellEnd"/>
            <w:r w:rsidRPr="006D2224">
              <w:rPr>
                <w:rFonts w:ascii="Arial Narrow" w:hAnsi="Arial Narrow"/>
                <w:sz w:val="20"/>
                <w:szCs w:val="20"/>
              </w:rPr>
              <w:t xml:space="preserve">) failure of the skin to clear despite at least 2 weeks of topical hydrocortisone 1% applied every day; or </w:t>
            </w:r>
          </w:p>
          <w:p w:rsidR="002D6C83" w:rsidRPr="006D2224" w:rsidRDefault="002D6C83" w:rsidP="002F1BD2">
            <w:pPr>
              <w:spacing w:before="60" w:after="60"/>
              <w:rPr>
                <w:rFonts w:ascii="Arial Narrow" w:hAnsi="Arial Narrow"/>
                <w:sz w:val="20"/>
                <w:szCs w:val="20"/>
              </w:rPr>
            </w:pPr>
            <w:r w:rsidRPr="006D2224">
              <w:rPr>
                <w:rFonts w:ascii="Arial Narrow" w:hAnsi="Arial Narrow"/>
                <w:sz w:val="20"/>
                <w:szCs w:val="20"/>
              </w:rPr>
              <w:t xml:space="preserve">(ii) failure of the skin to clear despite at least 1 week of a moderate or potent topical corticosteroid applied every day; or </w:t>
            </w:r>
          </w:p>
          <w:p w:rsidR="002D6C83" w:rsidRPr="006D2224" w:rsidRDefault="002D6C83" w:rsidP="002F1BD2">
            <w:pPr>
              <w:spacing w:before="60" w:after="60"/>
              <w:rPr>
                <w:rFonts w:ascii="Arial Narrow" w:hAnsi="Arial Narrow"/>
                <w:sz w:val="20"/>
                <w:szCs w:val="20"/>
              </w:rPr>
            </w:pPr>
            <w:r w:rsidRPr="006D2224">
              <w:rPr>
                <w:rFonts w:ascii="Arial Narrow" w:hAnsi="Arial Narrow"/>
                <w:sz w:val="20"/>
                <w:szCs w:val="20"/>
              </w:rPr>
              <w:t xml:space="preserve">(iii) clearing of the skin with at least 2 weeks of topical hydrocortisone 1% applied every day, but almost immediate and significant flare in facial disease (within 48 hours) upon stopping topical corticosteroids, occurring on at least 2 consecutive occasions; or </w:t>
            </w:r>
          </w:p>
          <w:p w:rsidR="002D6C83" w:rsidRPr="006D2224" w:rsidRDefault="002D6C83" w:rsidP="002F1BD2">
            <w:pPr>
              <w:rPr>
                <w:rFonts w:ascii="Arial Narrow" w:hAnsi="Arial Narrow"/>
                <w:sz w:val="20"/>
                <w:szCs w:val="20"/>
              </w:rPr>
            </w:pPr>
            <w:r w:rsidRPr="006D2224">
              <w:rPr>
                <w:rFonts w:ascii="Arial Narrow" w:hAnsi="Arial Narrow"/>
                <w:sz w:val="20"/>
                <w:szCs w:val="20"/>
              </w:rPr>
              <w:t>(iv) clearing of the skin with at least 1 week of a moderate or potent topical corticosteroid applied every day, but almost immediate and significant flare in facial disease (within 48 hours) upon stopping topical corticosteroids, occurring on at least 2 consecutive occasions.</w:t>
            </w:r>
          </w:p>
          <w:p w:rsidR="002D6C83" w:rsidRPr="006D2224" w:rsidRDefault="002D6C83" w:rsidP="002F1BD2">
            <w:pPr>
              <w:rPr>
                <w:rFonts w:ascii="Arial Narrow" w:hAnsi="Arial Narrow"/>
                <w:sz w:val="20"/>
                <w:szCs w:val="20"/>
              </w:rPr>
            </w:pPr>
          </w:p>
          <w:p w:rsidR="002D6C83" w:rsidRPr="006D2224" w:rsidRDefault="002D6C83" w:rsidP="002F1BD2">
            <w:pPr>
              <w:rPr>
                <w:rFonts w:ascii="Arial Narrow" w:hAnsi="Arial Narrow"/>
                <w:i/>
                <w:sz w:val="20"/>
                <w:szCs w:val="20"/>
              </w:rPr>
            </w:pPr>
            <w:r w:rsidRPr="006D2224">
              <w:rPr>
                <w:rFonts w:ascii="Arial Narrow" w:hAnsi="Arial Narrow" w:cs="Open Sans"/>
                <w:i/>
                <w:sz w:val="20"/>
                <w:szCs w:val="20"/>
              </w:rPr>
              <w:t>Details of the contraindication must be documented in the patient's medical records when treatment is initiated.</w:t>
            </w:r>
          </w:p>
        </w:tc>
      </w:tr>
    </w:tbl>
    <w:p w:rsidR="00B60939" w:rsidRPr="006D2224" w:rsidRDefault="00B60939" w:rsidP="004B1CB4"/>
    <w:p w:rsidR="00507BFB" w:rsidRPr="006D2224" w:rsidRDefault="00507BFB" w:rsidP="00173629">
      <w:pPr>
        <w:pStyle w:val="ListParagraph"/>
        <w:widowControl/>
        <w:numPr>
          <w:ilvl w:val="1"/>
          <w:numId w:val="2"/>
        </w:numPr>
      </w:pPr>
      <w:r w:rsidRPr="006D2224">
        <w:t>The submission inadequately justified the proposed quantity and repeats, particularly giv</w:t>
      </w:r>
      <w:r w:rsidR="007F0E1B" w:rsidRPr="006D2224">
        <w:t>en the submission positioned</w:t>
      </w:r>
      <w:r w:rsidRPr="006D2224">
        <w:t xml:space="preserve"> </w:t>
      </w:r>
      <w:proofErr w:type="spellStart"/>
      <w:r w:rsidRPr="006D2224">
        <w:t>crisaborole</w:t>
      </w:r>
      <w:proofErr w:type="spellEnd"/>
      <w:r w:rsidRPr="006D2224">
        <w:t xml:space="preserve"> as a chronic, ongoing therapy. </w:t>
      </w:r>
      <w:r w:rsidR="007F0E1B" w:rsidRPr="006D2224">
        <w:t>The submission did not clear</w:t>
      </w:r>
      <w:r w:rsidR="0091018A" w:rsidRPr="006D2224">
        <w:t>ly describe the proposed use of</w:t>
      </w:r>
      <w:r w:rsidR="007F0E1B" w:rsidRPr="006D2224">
        <w:t xml:space="preserve"> </w:t>
      </w:r>
      <w:proofErr w:type="spellStart"/>
      <w:r w:rsidR="007F0E1B" w:rsidRPr="006D2224">
        <w:t>crisaborole</w:t>
      </w:r>
      <w:proofErr w:type="spellEnd"/>
      <w:r w:rsidR="007F0E1B" w:rsidRPr="006D2224">
        <w:t xml:space="preserve"> in terms of treatment initiation, treatment discontinuation and optimal duration of therapy. The proposed listing is for chronic use for an indeterminate period of time, which may not be appropriate given the lack of efficacy data beyond 4 weeks. </w:t>
      </w:r>
      <w:r w:rsidR="00F368D5" w:rsidRPr="006D2224">
        <w:t xml:space="preserve">The ESC noted that the requested quantity is either only sufficient for 4 weeks based on the key clinical trials or would give 2 years supply based on US market data suggesting an average of </w:t>
      </w:r>
      <w:r w:rsidR="007131B6">
        <w:rPr>
          <w:noProof/>
          <w:color w:val="000000"/>
          <w:highlight w:val="black"/>
        </w:rPr>
        <w:t>''''''</w:t>
      </w:r>
      <w:r w:rsidR="00F368D5" w:rsidRPr="006D2224">
        <w:t xml:space="preserve"> tubes per patient per year. </w:t>
      </w:r>
      <w:r w:rsidR="00921FD9" w:rsidRPr="006D2224">
        <w:t xml:space="preserve">The ESC considered that the appropriate maximum quantity </w:t>
      </w:r>
      <w:r w:rsidR="00AB2D75" w:rsidRPr="006D2224">
        <w:t>and repeats wa</w:t>
      </w:r>
      <w:r w:rsidR="00921FD9" w:rsidRPr="006D2224">
        <w:t xml:space="preserve">s not </w:t>
      </w:r>
      <w:r w:rsidR="00AB2D75" w:rsidRPr="006D2224">
        <w:t>clear.</w:t>
      </w:r>
    </w:p>
    <w:p w:rsidR="00AC7AE2" w:rsidRPr="006D2224" w:rsidRDefault="005937CD" w:rsidP="00173629">
      <w:pPr>
        <w:pStyle w:val="ListParagraph"/>
        <w:widowControl/>
        <w:numPr>
          <w:ilvl w:val="1"/>
          <w:numId w:val="2"/>
        </w:numPr>
      </w:pPr>
      <w:r w:rsidRPr="006D2224">
        <w:t xml:space="preserve">The proposed restriction was based on </w:t>
      </w:r>
      <w:r w:rsidR="00507BFB" w:rsidRPr="006D2224">
        <w:t xml:space="preserve">merging the current restrictions under the </w:t>
      </w:r>
      <w:proofErr w:type="spellStart"/>
      <w:r w:rsidRPr="006D2224">
        <w:t>pimecrolimus</w:t>
      </w:r>
      <w:proofErr w:type="spellEnd"/>
      <w:r w:rsidRPr="006D2224">
        <w:t xml:space="preserve"> </w:t>
      </w:r>
      <w:r w:rsidR="00507BFB" w:rsidRPr="006D2224">
        <w:t>listing for</w:t>
      </w:r>
      <w:r w:rsidRPr="006D2224">
        <w:t xml:space="preserve"> patients who are contraindicated </w:t>
      </w:r>
      <w:r w:rsidR="00507BFB" w:rsidRPr="006D2224">
        <w:t>to</w:t>
      </w:r>
      <w:r w:rsidR="007064B0" w:rsidRPr="006D2224">
        <w:t xml:space="preserve"> TCS</w:t>
      </w:r>
      <w:r w:rsidR="00787E43" w:rsidRPr="006D2224">
        <w:t xml:space="preserve">, </w:t>
      </w:r>
      <w:r w:rsidR="00507BFB" w:rsidRPr="006D2224">
        <w:t xml:space="preserve">and </w:t>
      </w:r>
      <w:r w:rsidR="00787E43" w:rsidRPr="006D2224">
        <w:t xml:space="preserve">patients </w:t>
      </w:r>
      <w:r w:rsidR="00507BFB" w:rsidRPr="006D2224">
        <w:t>w</w:t>
      </w:r>
      <w:r w:rsidRPr="006D2224">
        <w:t>ho are failing to achieve satisfactory disease control with intermittent corticosteroid therapy.</w:t>
      </w:r>
      <w:r w:rsidR="00621E32" w:rsidRPr="006D2224">
        <w:t xml:space="preserve"> </w:t>
      </w:r>
      <w:r w:rsidR="00464B09" w:rsidRPr="006D2224">
        <w:t>K</w:t>
      </w:r>
      <w:r w:rsidR="00621E32" w:rsidRPr="006D2224">
        <w:t xml:space="preserve">ey differences between the </w:t>
      </w:r>
      <w:proofErr w:type="spellStart"/>
      <w:r w:rsidR="00621E32" w:rsidRPr="006D2224">
        <w:t>crisaborole</w:t>
      </w:r>
      <w:proofErr w:type="spellEnd"/>
      <w:r w:rsidR="00621E32" w:rsidRPr="006D2224">
        <w:t xml:space="preserve"> and </w:t>
      </w:r>
      <w:proofErr w:type="spellStart"/>
      <w:r w:rsidR="00621E32" w:rsidRPr="006D2224">
        <w:t>pimecrolimus</w:t>
      </w:r>
      <w:proofErr w:type="spellEnd"/>
      <w:r w:rsidR="00621E32" w:rsidRPr="006D2224">
        <w:t xml:space="preserve"> restrictions </w:t>
      </w:r>
      <w:r w:rsidR="00464B09" w:rsidRPr="006D2224">
        <w:t xml:space="preserve">include an annual limit for </w:t>
      </w:r>
      <w:proofErr w:type="spellStart"/>
      <w:r w:rsidR="00464B09" w:rsidRPr="006D2224">
        <w:t>pimecrolimus</w:t>
      </w:r>
      <w:proofErr w:type="spellEnd"/>
      <w:r w:rsidR="00464B09" w:rsidRPr="006D2224">
        <w:t xml:space="preserve"> scripts and no limits for </w:t>
      </w:r>
      <w:proofErr w:type="spellStart"/>
      <w:r w:rsidR="00464B09" w:rsidRPr="006D2224">
        <w:t>crisaborole</w:t>
      </w:r>
      <w:proofErr w:type="spellEnd"/>
      <w:r w:rsidR="00464B09" w:rsidRPr="006D2224">
        <w:t xml:space="preserve"> scripts, </w:t>
      </w:r>
      <w:r w:rsidR="00464B09" w:rsidRPr="006D2224">
        <w:lastRenderedPageBreak/>
        <w:t xml:space="preserve">and the age range for </w:t>
      </w:r>
      <w:proofErr w:type="spellStart"/>
      <w:r w:rsidR="00464B09" w:rsidRPr="006D2224">
        <w:t>pimecrolimus</w:t>
      </w:r>
      <w:proofErr w:type="spellEnd"/>
      <w:r w:rsidR="00464B09" w:rsidRPr="006D2224">
        <w:t xml:space="preserve"> is from at least 3 months old whereas </w:t>
      </w:r>
      <w:proofErr w:type="spellStart"/>
      <w:r w:rsidR="00464B09" w:rsidRPr="006D2224">
        <w:t>crisaborole</w:t>
      </w:r>
      <w:proofErr w:type="spellEnd"/>
      <w:r w:rsidR="00464B09" w:rsidRPr="006D2224">
        <w:t xml:space="preserve"> is indicated in patients who are at least 2 years old. </w:t>
      </w:r>
    </w:p>
    <w:p w:rsidR="00B63C2E" w:rsidRPr="006D2224" w:rsidRDefault="00AC7AE2" w:rsidP="00173629">
      <w:pPr>
        <w:pStyle w:val="ListParagraph"/>
        <w:widowControl/>
        <w:numPr>
          <w:ilvl w:val="1"/>
          <w:numId w:val="2"/>
        </w:numPr>
      </w:pPr>
      <w:r w:rsidRPr="006D2224">
        <w:t xml:space="preserve">The submission did not adequately justify the use of clinical criteria from the existing </w:t>
      </w:r>
      <w:proofErr w:type="spellStart"/>
      <w:r w:rsidRPr="006D2224">
        <w:t>pimecrolimus</w:t>
      </w:r>
      <w:proofErr w:type="spellEnd"/>
      <w:r w:rsidRPr="006D2224">
        <w:t xml:space="preserve"> listing to define the PBS population. Although these definitions were previously considered acceptable by the PBAC for </w:t>
      </w:r>
      <w:proofErr w:type="spellStart"/>
      <w:r w:rsidRPr="006D2224">
        <w:t>pimecrolimus</w:t>
      </w:r>
      <w:proofErr w:type="spellEnd"/>
      <w:r w:rsidRPr="006D2224">
        <w:t>, this was in the context of use on the face and eyelids only which is considered a more sensitive area where use of higher potencies and longer duration of corticosteroid use is inadvisable (</w:t>
      </w:r>
      <w:proofErr w:type="spellStart"/>
      <w:r w:rsidRPr="006D2224">
        <w:t>pimecrolimus</w:t>
      </w:r>
      <w:proofErr w:type="spellEnd"/>
      <w:r w:rsidRPr="006D2224">
        <w:t xml:space="preserve"> PSD, July 2006). These definitions are less likely to be applicable to other areas of the body.  </w:t>
      </w:r>
      <w:r w:rsidR="0001254A" w:rsidRPr="006D2224">
        <w:t xml:space="preserve">The ESC considered that merging the restrictions for </w:t>
      </w:r>
      <w:proofErr w:type="spellStart"/>
      <w:r w:rsidR="0001254A" w:rsidRPr="006D2224">
        <w:t>pimecrolimus</w:t>
      </w:r>
      <w:proofErr w:type="spellEnd"/>
      <w:r w:rsidR="0001254A" w:rsidRPr="006D2224">
        <w:t xml:space="preserve"> was not appropriate as the definitions of contraindication and lack of disease control for </w:t>
      </w:r>
      <w:proofErr w:type="spellStart"/>
      <w:r w:rsidR="0001254A" w:rsidRPr="006D2224">
        <w:t>pimecrolimus</w:t>
      </w:r>
      <w:proofErr w:type="spellEnd"/>
      <w:r w:rsidR="0001254A" w:rsidRPr="006D2224">
        <w:t xml:space="preserve"> use on the face and eyelids are not applicable to </w:t>
      </w:r>
      <w:proofErr w:type="spellStart"/>
      <w:r w:rsidR="0001254A" w:rsidRPr="006D2224">
        <w:t>crisaborole</w:t>
      </w:r>
      <w:proofErr w:type="spellEnd"/>
      <w:r w:rsidR="0001254A" w:rsidRPr="006D2224">
        <w:t xml:space="preserve"> use on the whole body.</w:t>
      </w:r>
    </w:p>
    <w:p w:rsidR="00622BFC" w:rsidRPr="006D2224" w:rsidRDefault="00B63C2E" w:rsidP="00173629">
      <w:pPr>
        <w:pStyle w:val="ListParagraph"/>
        <w:widowControl/>
        <w:numPr>
          <w:ilvl w:val="1"/>
          <w:numId w:val="2"/>
        </w:numPr>
        <w:rPr>
          <w:rStyle w:val="CommentReference"/>
          <w:rFonts w:ascii="Calibri" w:hAnsi="Calibri"/>
          <w:b w:val="0"/>
          <w:sz w:val="24"/>
          <w:szCs w:val="22"/>
        </w:rPr>
      </w:pPr>
      <w:r w:rsidRPr="006D2224">
        <w:t>The clinical data and requested TGA indication were for the broader population with mild to moderate disease. No data w</w:t>
      </w:r>
      <w:r w:rsidR="00EB67E6" w:rsidRPr="006D2224">
        <w:t>ere</w:t>
      </w:r>
      <w:r w:rsidRPr="006D2224">
        <w:t xml:space="preserve"> provided in support of restricting treatment to the subgroup of patients who are contraindicated to, or failing </w:t>
      </w:r>
      <w:r w:rsidR="007064B0" w:rsidRPr="006D2224">
        <w:t>TCS</w:t>
      </w:r>
      <w:r w:rsidR="0091018A" w:rsidRPr="006D2224">
        <w:t>.</w:t>
      </w:r>
      <w:r w:rsidRPr="006D2224">
        <w:t xml:space="preserve"> </w:t>
      </w:r>
      <w:r w:rsidR="00921FD9" w:rsidRPr="006D2224">
        <w:t>The ESC considered that restricting the requested population in this way was not sufficiently justified.</w:t>
      </w:r>
    </w:p>
    <w:p w:rsidR="00622BFC" w:rsidRPr="006D2224" w:rsidRDefault="00622BFC" w:rsidP="00173629">
      <w:pPr>
        <w:pStyle w:val="ListParagraph"/>
        <w:widowControl/>
        <w:numPr>
          <w:ilvl w:val="1"/>
          <w:numId w:val="2"/>
        </w:numPr>
      </w:pPr>
      <w:r w:rsidRPr="006D2224">
        <w:rPr>
          <w:rStyle w:val="CommentReference"/>
          <w:rFonts w:cs="Times New Roman"/>
          <w:b w:val="0"/>
        </w:rPr>
        <w:t>T</w:t>
      </w:r>
      <w:r w:rsidR="00AC7AE2" w:rsidRPr="006D2224">
        <w:t xml:space="preserve">he proposed restriction was narrower than the target population described in the clinical issue and clinical algorithm which includes patients who are intolerant to </w:t>
      </w:r>
      <w:r w:rsidR="007064B0" w:rsidRPr="006D2224">
        <w:t>TCS</w:t>
      </w:r>
      <w:r w:rsidR="00AC7AE2" w:rsidRPr="006D2224">
        <w:t xml:space="preserve">. </w:t>
      </w:r>
      <w:r w:rsidR="0001254A" w:rsidRPr="006D2224">
        <w:t xml:space="preserve">The ESC noted that the proposed restriction did not include patients who are intolerant to </w:t>
      </w:r>
      <w:r w:rsidR="007064B0" w:rsidRPr="006D2224">
        <w:t>TCS</w:t>
      </w:r>
      <w:r w:rsidR="0001254A" w:rsidRPr="006D2224">
        <w:t xml:space="preserve">, which may include patients who express ‘steroid phobia’. </w:t>
      </w:r>
    </w:p>
    <w:p w:rsidR="007F0E1B" w:rsidRPr="006D2224" w:rsidRDefault="007F0E1B" w:rsidP="00173629">
      <w:pPr>
        <w:pStyle w:val="ListParagraph"/>
        <w:widowControl/>
        <w:numPr>
          <w:ilvl w:val="1"/>
          <w:numId w:val="2"/>
        </w:numPr>
      </w:pPr>
      <w:r w:rsidRPr="006D2224">
        <w:t>Satisfactory disease control as defined in the restriction appears to be based on symptom resolution only</w:t>
      </w:r>
      <w:r w:rsidR="00651CD7" w:rsidRPr="006D2224">
        <w:t>,</w:t>
      </w:r>
      <w:r w:rsidRPr="006D2224">
        <w:t xml:space="preserve"> which does not capture </w:t>
      </w:r>
      <w:r w:rsidR="00E42B00" w:rsidRPr="006D2224">
        <w:t>patients</w:t>
      </w:r>
      <w:r w:rsidRPr="006D2224">
        <w:t xml:space="preserve"> who have improvement but not complete clearance of symptoms, and patients who are not achieving disease clearance due to non-compliance</w:t>
      </w:r>
      <w:r w:rsidR="006E0322" w:rsidRPr="006D2224">
        <w:t xml:space="preserve"> to </w:t>
      </w:r>
      <w:r w:rsidR="007064B0" w:rsidRPr="006D2224">
        <w:t>TCS</w:t>
      </w:r>
      <w:r w:rsidRPr="006D2224">
        <w:t>.</w:t>
      </w:r>
      <w:r w:rsidR="006E0322" w:rsidRPr="006D2224">
        <w:t xml:space="preserve"> </w:t>
      </w:r>
      <w:r w:rsidRPr="006D2224">
        <w:t xml:space="preserve"> </w:t>
      </w:r>
      <w:r w:rsidR="006E0322" w:rsidRPr="006D2224">
        <w:t>The submission suggested that a significant proportion of patients, caregivers and health practitioners express ‘steroid phobia’</w:t>
      </w:r>
      <w:r w:rsidR="00651CD7" w:rsidRPr="006D2224">
        <w:t>,</w:t>
      </w:r>
      <w:r w:rsidR="006E0322" w:rsidRPr="006D2224">
        <w:t xml:space="preserve"> which may affect their compliance to </w:t>
      </w:r>
      <w:r w:rsidR="007064B0" w:rsidRPr="006D2224">
        <w:t>TCS</w:t>
      </w:r>
      <w:r w:rsidR="006E0322" w:rsidRPr="006D2224">
        <w:t xml:space="preserve"> treatment.</w:t>
      </w:r>
    </w:p>
    <w:p w:rsidR="00733E9E" w:rsidRPr="006D2224" w:rsidRDefault="00464B09" w:rsidP="009F36C3">
      <w:pPr>
        <w:pStyle w:val="ListParagraph"/>
        <w:widowControl/>
        <w:numPr>
          <w:ilvl w:val="1"/>
          <w:numId w:val="2"/>
        </w:numPr>
      </w:pPr>
      <w:r w:rsidRPr="006D2224">
        <w:t xml:space="preserve">There is potential for use of </w:t>
      </w:r>
      <w:proofErr w:type="spellStart"/>
      <w:r w:rsidRPr="006D2224">
        <w:t>crisaborole</w:t>
      </w:r>
      <w:proofErr w:type="spellEnd"/>
      <w:r w:rsidRPr="006D2224">
        <w:t xml:space="preserve"> outside the requested restriction, particularly in younger patients (&lt;2 years) and those with severe disease.</w:t>
      </w:r>
      <w:r w:rsidR="00733E9E" w:rsidRPr="006D2224">
        <w:t xml:space="preserve"> </w:t>
      </w:r>
    </w:p>
    <w:p w:rsidR="00464B09" w:rsidRPr="006D2224" w:rsidRDefault="00733E9E" w:rsidP="00733E9E">
      <w:pPr>
        <w:pStyle w:val="ListParagraph"/>
        <w:ind w:left="709"/>
        <w:rPr>
          <w:rFonts w:asciiTheme="minorHAnsi" w:hAnsiTheme="minorHAnsi"/>
          <w:i/>
        </w:rPr>
      </w:pPr>
      <w:r w:rsidRPr="006D2224">
        <w:rPr>
          <w:rFonts w:asciiTheme="minorHAnsi" w:hAnsiTheme="minorHAnsi"/>
          <w:i/>
        </w:rPr>
        <w:t>For more detail on PBAC’s view, see section 7 PBAC outcome.</w:t>
      </w:r>
      <w:r w:rsidR="00464B09" w:rsidRPr="006D2224">
        <w:t xml:space="preserve"> </w:t>
      </w:r>
    </w:p>
    <w:p w:rsidR="00B50DB8" w:rsidRPr="006D2224" w:rsidRDefault="00B50DB8" w:rsidP="007F1762">
      <w:pPr>
        <w:pStyle w:val="PBACHeading1"/>
        <w:keepNext/>
        <w:keepLines/>
        <w:outlineLvl w:val="0"/>
      </w:pPr>
      <w:bookmarkStart w:id="3" w:name="_Toc524516445"/>
      <w:r w:rsidRPr="006D2224">
        <w:t>Background</w:t>
      </w:r>
      <w:bookmarkEnd w:id="3"/>
    </w:p>
    <w:p w:rsidR="00B60939" w:rsidRPr="00431A02" w:rsidRDefault="00591957" w:rsidP="00431A02">
      <w:pPr>
        <w:pStyle w:val="Heading2"/>
        <w:spacing w:before="240" w:after="120"/>
        <w:ind w:firstLine="720"/>
      </w:pPr>
      <w:r w:rsidRPr="00431A02">
        <w:t>Registration status</w:t>
      </w:r>
    </w:p>
    <w:p w:rsidR="00B60939" w:rsidRPr="006D2224" w:rsidRDefault="008B6CD2" w:rsidP="007F1762">
      <w:pPr>
        <w:pStyle w:val="ListParagraph"/>
        <w:keepNext/>
        <w:keepLines/>
        <w:widowControl/>
        <w:numPr>
          <w:ilvl w:val="1"/>
          <w:numId w:val="2"/>
        </w:numPr>
        <w:rPr>
          <w:rFonts w:ascii="Arial" w:hAnsi="Arial"/>
          <w:bCs/>
          <w:sz w:val="22"/>
        </w:rPr>
      </w:pPr>
      <w:r w:rsidRPr="006D2224">
        <w:t xml:space="preserve">The submission was made under the TGA/PBAC Parallel Process. At the time of </w:t>
      </w:r>
      <w:r w:rsidR="0046371B" w:rsidRPr="006D2224">
        <w:t xml:space="preserve">PBAC </w:t>
      </w:r>
      <w:r w:rsidRPr="006D2224">
        <w:t>consideration</w:t>
      </w:r>
      <w:r w:rsidR="0046371B" w:rsidRPr="006D2224">
        <w:t xml:space="preserve"> t</w:t>
      </w:r>
      <w:r w:rsidR="00E1617C" w:rsidRPr="006D2224">
        <w:t>he TGA delegate’s overview</w:t>
      </w:r>
      <w:r w:rsidR="0046371B" w:rsidRPr="006D2224">
        <w:t xml:space="preserve"> was available. This document noted that the delegate considered that sufficient data and justification have been provided to support the registration of </w:t>
      </w:r>
      <w:proofErr w:type="spellStart"/>
      <w:r w:rsidR="00125478" w:rsidRPr="006D2224">
        <w:t>c</w:t>
      </w:r>
      <w:r w:rsidR="0046371B" w:rsidRPr="006D2224">
        <w:t>risaborole</w:t>
      </w:r>
      <w:proofErr w:type="spellEnd"/>
      <w:r w:rsidR="0046371B" w:rsidRPr="006D2224">
        <w:t xml:space="preserve"> on quality, safety and efficacy grounds for </w:t>
      </w:r>
      <w:r w:rsidR="0046371B" w:rsidRPr="006D2224">
        <w:rPr>
          <w:rFonts w:asciiTheme="minorHAnsi" w:eastAsiaTheme="minorHAnsi" w:hAnsiTheme="minorHAnsi" w:cs="TimesNewRoman,Bold"/>
          <w:bCs/>
          <w:szCs w:val="24"/>
        </w:rPr>
        <w:t>the treatment of patients with mild to moderate atopic dermatitis</w:t>
      </w:r>
      <w:r w:rsidR="00E1617C" w:rsidRPr="006D2224">
        <w:t xml:space="preserve">. </w:t>
      </w:r>
    </w:p>
    <w:p w:rsidR="00A243B1" w:rsidRPr="006D2224" w:rsidRDefault="00A243B1" w:rsidP="00733E9E">
      <w:pPr>
        <w:pStyle w:val="ListParagraph"/>
        <w:ind w:left="709"/>
      </w:pPr>
      <w:r w:rsidRPr="006D2224">
        <w:t xml:space="preserve">The requested TGA indication is for topical treatment of mild to moderate atopic </w:t>
      </w:r>
      <w:r w:rsidRPr="006D2224">
        <w:lastRenderedPageBreak/>
        <w:t xml:space="preserve">dermatitis in patients 2 years of age and older. </w:t>
      </w:r>
    </w:p>
    <w:p w:rsidR="00E55BB5" w:rsidRPr="006D2224" w:rsidRDefault="00733E9E" w:rsidP="00431A02">
      <w:pPr>
        <w:pStyle w:val="ListParagraph"/>
        <w:ind w:left="709"/>
      </w:pPr>
      <w:r w:rsidRPr="006D2224">
        <w:rPr>
          <w:rFonts w:asciiTheme="minorHAnsi" w:hAnsiTheme="minorHAnsi"/>
          <w:i/>
        </w:rPr>
        <w:t>For more detail on PBAC’s view, see section 7 PBAC outcome.</w:t>
      </w:r>
    </w:p>
    <w:p w:rsidR="00B50DB8" w:rsidRPr="006D2224" w:rsidRDefault="00203181" w:rsidP="00E53446">
      <w:pPr>
        <w:pStyle w:val="PBACHeading1"/>
        <w:outlineLvl w:val="0"/>
      </w:pPr>
      <w:bookmarkStart w:id="4" w:name="_Toc524516446"/>
      <w:r w:rsidRPr="006D2224">
        <w:t xml:space="preserve">Population and </w:t>
      </w:r>
      <w:r w:rsidR="008E0D3C" w:rsidRPr="006D2224">
        <w:t>d</w:t>
      </w:r>
      <w:r w:rsidRPr="006D2224">
        <w:t>isease</w:t>
      </w:r>
      <w:bookmarkEnd w:id="4"/>
    </w:p>
    <w:p w:rsidR="00B60939" w:rsidRPr="006D2224" w:rsidRDefault="00B60939" w:rsidP="00B60939"/>
    <w:p w:rsidR="00894489" w:rsidRPr="006D2224" w:rsidRDefault="00E1617C" w:rsidP="00173629">
      <w:pPr>
        <w:pStyle w:val="ListParagraph"/>
        <w:widowControl/>
        <w:numPr>
          <w:ilvl w:val="1"/>
          <w:numId w:val="2"/>
        </w:numPr>
      </w:pPr>
      <w:r w:rsidRPr="006D2224">
        <w:t>Atopic dermatitis is a chronic, inflammatory skin condition that occurs predominantly in the paediatric population. The disease is characterised by dry skin, itching and skin lesions which are typically red, scaly and crusted papules (raised bumps). Symptoms may be continuous for long periods or of a relapsing-remitting nature with repeated flare-ups. Clinical presentation of atopic dermatitis is highly variable and is dependent on age, phase (chronic or acute) and disease severity.</w:t>
      </w:r>
    </w:p>
    <w:p w:rsidR="00E1617C" w:rsidRPr="006D2224" w:rsidRDefault="00E1617C" w:rsidP="00173629">
      <w:pPr>
        <w:pStyle w:val="ListParagraph"/>
        <w:widowControl/>
        <w:numPr>
          <w:ilvl w:val="1"/>
          <w:numId w:val="2"/>
        </w:numPr>
      </w:pPr>
      <w:r w:rsidRPr="006D2224">
        <w:t xml:space="preserve">The submission positioned </w:t>
      </w:r>
      <w:proofErr w:type="spellStart"/>
      <w:r w:rsidRPr="006D2224">
        <w:t>crisaborole</w:t>
      </w:r>
      <w:proofErr w:type="spellEnd"/>
      <w:r w:rsidRPr="006D2224">
        <w:t xml:space="preserve"> as a first-line therapy in patients who are contraindicated to </w:t>
      </w:r>
      <w:r w:rsidR="007064B0" w:rsidRPr="006D2224">
        <w:t>TCS</w:t>
      </w:r>
      <w:r w:rsidRPr="006D2224">
        <w:t xml:space="preserve">. </w:t>
      </w:r>
      <w:r w:rsidR="006C6AA1" w:rsidRPr="006D2224">
        <w:t>No data w</w:t>
      </w:r>
      <w:r w:rsidR="00EB67E6" w:rsidRPr="006D2224">
        <w:t>ere</w:t>
      </w:r>
      <w:r w:rsidR="006C6AA1" w:rsidRPr="006D2224">
        <w:t xml:space="preserve"> provided for </w:t>
      </w:r>
      <w:proofErr w:type="spellStart"/>
      <w:r w:rsidR="006C6AA1" w:rsidRPr="006D2224">
        <w:t>crisaborole</w:t>
      </w:r>
      <w:proofErr w:type="spellEnd"/>
      <w:r w:rsidR="006C6AA1" w:rsidRPr="006D2224">
        <w:t xml:space="preserve"> in this subgroup of patients. The population who are contraindicated to topical corticosteroids, particularly in the whole of body, was not explicitly defined in the submission.  </w:t>
      </w:r>
    </w:p>
    <w:p w:rsidR="00E1617C" w:rsidRPr="006D2224" w:rsidRDefault="00E1617C" w:rsidP="00173629">
      <w:pPr>
        <w:pStyle w:val="ListParagraph"/>
        <w:widowControl/>
        <w:numPr>
          <w:ilvl w:val="1"/>
          <w:numId w:val="2"/>
        </w:numPr>
      </w:pPr>
      <w:r w:rsidRPr="006D2224">
        <w:t xml:space="preserve">The submission positioned </w:t>
      </w:r>
      <w:proofErr w:type="spellStart"/>
      <w:r w:rsidRPr="006D2224">
        <w:t>crisaborole</w:t>
      </w:r>
      <w:proofErr w:type="spellEnd"/>
      <w:r w:rsidRPr="006D2224">
        <w:t xml:space="preserve"> as a second-line therapy in patients who have fail</w:t>
      </w:r>
      <w:r w:rsidR="00EE6FA6" w:rsidRPr="006D2224">
        <w:t>ed</w:t>
      </w:r>
      <w:r w:rsidRPr="006D2224">
        <w:t xml:space="preserve"> or are intolerant to </w:t>
      </w:r>
      <w:r w:rsidR="007064B0" w:rsidRPr="006D2224">
        <w:t>TCS</w:t>
      </w:r>
      <w:r w:rsidRPr="006D2224">
        <w:t xml:space="preserve">. This population was poorly defined in the submission and appears to be broadly based on concepts of </w:t>
      </w:r>
      <w:r w:rsidR="00AB2D75" w:rsidRPr="006D2224">
        <w:t>‘</w:t>
      </w:r>
      <w:r w:rsidRPr="006D2224">
        <w:t>steroid phobia</w:t>
      </w:r>
      <w:r w:rsidR="00AB2D75" w:rsidRPr="006D2224">
        <w:t>’</w:t>
      </w:r>
      <w:r w:rsidRPr="006D2224">
        <w:t xml:space="preserve">, limitations of use (duration and potency) of topical corticosteroids in sensitive areas and skin thinning/atrophy associated with long-term use of </w:t>
      </w:r>
      <w:r w:rsidR="007064B0" w:rsidRPr="006D2224">
        <w:t>TCS</w:t>
      </w:r>
      <w:r w:rsidRPr="006D2224">
        <w:t xml:space="preserve">. </w:t>
      </w:r>
      <w:r w:rsidR="007064B0" w:rsidRPr="006D2224">
        <w:t>TCS</w:t>
      </w:r>
      <w:r w:rsidRPr="006D2224">
        <w:t xml:space="preserve"> are likely to remain a treatment </w:t>
      </w:r>
      <w:r w:rsidR="00625663" w:rsidRPr="006D2224">
        <w:t>option for most patients, particularly</w:t>
      </w:r>
      <w:r w:rsidRPr="006D2224">
        <w:t xml:space="preserve"> in </w:t>
      </w:r>
      <w:r w:rsidR="00625663" w:rsidRPr="006D2224">
        <w:t xml:space="preserve">less sensitive areas of the body. </w:t>
      </w:r>
    </w:p>
    <w:p w:rsidR="0065408F" w:rsidRPr="006D2224" w:rsidRDefault="00DD5940" w:rsidP="00173629">
      <w:pPr>
        <w:pStyle w:val="ListParagraph"/>
        <w:widowControl/>
        <w:numPr>
          <w:ilvl w:val="1"/>
          <w:numId w:val="2"/>
        </w:numPr>
      </w:pPr>
      <w:r w:rsidRPr="006D2224">
        <w:t xml:space="preserve">While the submission claimed that the target population </w:t>
      </w:r>
      <w:r w:rsidR="00EE6FA6" w:rsidRPr="006D2224">
        <w:t>has</w:t>
      </w:r>
      <w:r w:rsidR="0065408F" w:rsidRPr="006D2224">
        <w:t xml:space="preserve"> greater clinical need due to limited treatment options, the broader population with mild to moderate atopic dermatitis may also benefit from treatment with </w:t>
      </w:r>
      <w:proofErr w:type="spellStart"/>
      <w:r w:rsidR="0065408F" w:rsidRPr="006D2224">
        <w:t>crisaborole</w:t>
      </w:r>
      <w:proofErr w:type="spellEnd"/>
      <w:r w:rsidR="0065408F" w:rsidRPr="006D2224">
        <w:t xml:space="preserve">. The submission did not adequately justify the exclusion of these patients from subsidised treatment given the clinical evidence included patients with atopic dermatitis without regard to contraindication </w:t>
      </w:r>
      <w:r w:rsidR="000E2363" w:rsidRPr="006D2224">
        <w:t xml:space="preserve">to </w:t>
      </w:r>
      <w:r w:rsidR="0065408F" w:rsidRPr="006D2224">
        <w:t xml:space="preserve">or failure </w:t>
      </w:r>
      <w:r w:rsidR="000E2363" w:rsidRPr="006D2224">
        <w:t>of</w:t>
      </w:r>
      <w:r w:rsidR="0065408F" w:rsidRPr="006D2224">
        <w:t xml:space="preserve"> </w:t>
      </w:r>
      <w:r w:rsidR="007064B0" w:rsidRPr="006D2224">
        <w:t>TCS</w:t>
      </w:r>
      <w:r w:rsidR="0065408F" w:rsidRPr="006D2224">
        <w:t xml:space="preserve">. </w:t>
      </w:r>
    </w:p>
    <w:p w:rsidR="00733E9E" w:rsidRPr="006D2224" w:rsidRDefault="00625663" w:rsidP="009F36C3">
      <w:pPr>
        <w:pStyle w:val="ListParagraph"/>
        <w:widowControl/>
        <w:numPr>
          <w:ilvl w:val="1"/>
          <w:numId w:val="2"/>
        </w:numPr>
      </w:pPr>
      <w:r w:rsidRPr="006D2224">
        <w:t xml:space="preserve">The </w:t>
      </w:r>
      <w:r w:rsidR="00BC6E45" w:rsidRPr="006D2224">
        <w:t>proposed</w:t>
      </w:r>
      <w:r w:rsidR="00EE6FA6" w:rsidRPr="006D2224">
        <w:t xml:space="preserve"> clinical management</w:t>
      </w:r>
      <w:r w:rsidR="00BC6E45" w:rsidRPr="006D2224">
        <w:t xml:space="preserve"> algorithm did not clearly define the role of </w:t>
      </w:r>
      <w:proofErr w:type="spellStart"/>
      <w:r w:rsidR="00BC6E45" w:rsidRPr="006D2224">
        <w:t>crisaborole</w:t>
      </w:r>
      <w:proofErr w:type="spellEnd"/>
      <w:r w:rsidR="00BC6E45" w:rsidRPr="006D2224">
        <w:t xml:space="preserve"> as long-term maintenance therapy. Recent guidelines have positioned </w:t>
      </w:r>
      <w:proofErr w:type="spellStart"/>
      <w:r w:rsidR="00BC6E45" w:rsidRPr="006D2224">
        <w:t>crisaborole</w:t>
      </w:r>
      <w:proofErr w:type="spellEnd"/>
      <w:r w:rsidR="00BC6E45" w:rsidRPr="006D2224">
        <w:t xml:space="preserve"> in the second-line setting as an alternative to topical </w:t>
      </w:r>
      <w:proofErr w:type="spellStart"/>
      <w:r w:rsidR="00BC6E45" w:rsidRPr="006D2224">
        <w:t>calcineurin</w:t>
      </w:r>
      <w:proofErr w:type="spellEnd"/>
      <w:r w:rsidR="00BC6E45" w:rsidRPr="006D2224">
        <w:t xml:space="preserve"> inhibitors or in combination with weak </w:t>
      </w:r>
      <w:r w:rsidR="007064B0" w:rsidRPr="006D2224">
        <w:t>TCS</w:t>
      </w:r>
      <w:r w:rsidR="00BC6E45" w:rsidRPr="006D2224">
        <w:t xml:space="preserve"> for acute flare-ups in mild disease only (</w:t>
      </w:r>
      <w:proofErr w:type="spellStart"/>
      <w:r w:rsidR="00BC6E45" w:rsidRPr="006D2224">
        <w:t>UpToDate</w:t>
      </w:r>
      <w:proofErr w:type="spellEnd"/>
      <w:r w:rsidR="00BC6E45" w:rsidRPr="006D2224">
        <w:t xml:space="preserve"> – Atopic Dermatitis June 2018). Other guidelines have suggested that the role of </w:t>
      </w:r>
      <w:proofErr w:type="spellStart"/>
      <w:r w:rsidR="00BC6E45" w:rsidRPr="006D2224">
        <w:t>crisaborole</w:t>
      </w:r>
      <w:proofErr w:type="spellEnd"/>
      <w:r w:rsidR="00BC6E45" w:rsidRPr="006D2224">
        <w:t xml:space="preserve"> is unclear given the lack of comparative data versus established therapies (European consensus guidelines 2018).</w:t>
      </w:r>
      <w:r w:rsidR="00BF0908" w:rsidRPr="006D2224">
        <w:t xml:space="preserve"> The ESC considered that the role of </w:t>
      </w:r>
      <w:proofErr w:type="spellStart"/>
      <w:r w:rsidR="00BF0908" w:rsidRPr="006D2224">
        <w:t>crisaborole</w:t>
      </w:r>
      <w:proofErr w:type="spellEnd"/>
      <w:r w:rsidR="00BF0908" w:rsidRPr="006D2224">
        <w:t xml:space="preserve"> as either intermittent treatment for flares and/or maintenance to prevent flares was unclear and this has implications for the frequency of use and amount required. The ESC also noted that the clinical management algorithm presented was inaccurate as intolerance to TCS is not included in the criteria for </w:t>
      </w:r>
      <w:proofErr w:type="spellStart"/>
      <w:r w:rsidR="00BF0908" w:rsidRPr="006D2224">
        <w:t>pimecrolimus</w:t>
      </w:r>
      <w:proofErr w:type="spellEnd"/>
      <w:r w:rsidR="00BF0908" w:rsidRPr="006D2224">
        <w:t xml:space="preserve">, so these patients would not be eligible for treatment with </w:t>
      </w:r>
      <w:proofErr w:type="spellStart"/>
      <w:r w:rsidR="00BF0908" w:rsidRPr="006D2224">
        <w:t>pimecrolimus</w:t>
      </w:r>
      <w:proofErr w:type="spellEnd"/>
      <w:r w:rsidR="00BF0908" w:rsidRPr="006D2224">
        <w:t>.</w:t>
      </w:r>
      <w:r w:rsidR="00733E9E" w:rsidRPr="006D2224">
        <w:t xml:space="preserve"> </w:t>
      </w:r>
    </w:p>
    <w:p w:rsidR="00DD5940" w:rsidRPr="006D2224" w:rsidRDefault="00733E9E" w:rsidP="00733E9E">
      <w:pPr>
        <w:pStyle w:val="ListParagraph"/>
        <w:ind w:left="709"/>
        <w:rPr>
          <w:rFonts w:asciiTheme="minorHAnsi" w:hAnsiTheme="minorHAnsi"/>
          <w:i/>
        </w:rPr>
      </w:pPr>
      <w:r w:rsidRPr="006D2224">
        <w:rPr>
          <w:rFonts w:asciiTheme="minorHAnsi" w:hAnsiTheme="minorHAnsi"/>
          <w:i/>
        </w:rPr>
        <w:t>For more detail on PBAC’s view, see section 7 PBAC outcome.</w:t>
      </w:r>
    </w:p>
    <w:p w:rsidR="00B50DB8" w:rsidRPr="006D2224" w:rsidRDefault="00B50DB8" w:rsidP="005D68D2">
      <w:pPr>
        <w:pStyle w:val="PBACHeading1"/>
        <w:spacing w:after="160"/>
        <w:outlineLvl w:val="0"/>
      </w:pPr>
      <w:bookmarkStart w:id="5" w:name="_Toc524516447"/>
      <w:r w:rsidRPr="006D2224">
        <w:lastRenderedPageBreak/>
        <w:t>Comparator</w:t>
      </w:r>
      <w:bookmarkEnd w:id="5"/>
    </w:p>
    <w:p w:rsidR="00071C7A" w:rsidRPr="006D2224" w:rsidRDefault="00071C7A" w:rsidP="00173629">
      <w:pPr>
        <w:pStyle w:val="ListParagraph"/>
        <w:widowControl/>
        <w:numPr>
          <w:ilvl w:val="1"/>
          <w:numId w:val="2"/>
        </w:numPr>
      </w:pPr>
      <w:r w:rsidRPr="006D2224">
        <w:t xml:space="preserve">The submission nominated </w:t>
      </w:r>
      <w:proofErr w:type="spellStart"/>
      <w:r w:rsidRPr="006D2224">
        <w:t>pimecrolimus</w:t>
      </w:r>
      <w:proofErr w:type="spellEnd"/>
      <w:r w:rsidRPr="006D2224">
        <w:t xml:space="preserve"> as the comparator for use on the face and eyelids. The submission argued that </w:t>
      </w:r>
      <w:proofErr w:type="spellStart"/>
      <w:r w:rsidRPr="006D2224">
        <w:t>pimecrolimus</w:t>
      </w:r>
      <w:proofErr w:type="spellEnd"/>
      <w:r w:rsidRPr="006D2224">
        <w:t xml:space="preserve"> is the only PBS-listed treatment for atopic dermatitis (face and eyelids only) in patients who are contraindicated to or who have failed </w:t>
      </w:r>
      <w:r w:rsidR="007064B0" w:rsidRPr="006D2224">
        <w:t>TCS</w:t>
      </w:r>
      <w:r w:rsidRPr="006D2224">
        <w:t>. This was reasonable although there are other relevant comparators such as tacrolimus (0.03% or 0.1%) ointment that may be available via the Special Access Scheme (SAS) or through a compounding pharmacy.</w:t>
      </w:r>
      <w:r w:rsidR="008644F7" w:rsidRPr="006D2224">
        <w:t xml:space="preserve"> The ESC considered that </w:t>
      </w:r>
      <w:proofErr w:type="spellStart"/>
      <w:r w:rsidR="008644F7" w:rsidRPr="006D2224">
        <w:t>pimecrolimus</w:t>
      </w:r>
      <w:proofErr w:type="spellEnd"/>
      <w:r w:rsidR="008644F7" w:rsidRPr="006D2224">
        <w:t xml:space="preserve"> was </w:t>
      </w:r>
      <w:r w:rsidR="00F453DA" w:rsidRPr="006D2224">
        <w:t>an</w:t>
      </w:r>
      <w:r w:rsidR="008644F7" w:rsidRPr="006D2224">
        <w:t xml:space="preserve"> appropriate comparator for use on the face and eyelids.</w:t>
      </w:r>
    </w:p>
    <w:p w:rsidR="002C2775" w:rsidRPr="006D2224" w:rsidRDefault="00071C7A" w:rsidP="00173629">
      <w:pPr>
        <w:pStyle w:val="ListParagraph"/>
        <w:widowControl/>
        <w:numPr>
          <w:ilvl w:val="1"/>
          <w:numId w:val="2"/>
        </w:numPr>
      </w:pPr>
      <w:r w:rsidRPr="006D2224">
        <w:t>For use on the rest of the body, the submission nominated standard management as the comparator. The submission claimed that there are no other PBS-listed treatments for other regions of the body in the target population, and therefore standard management</w:t>
      </w:r>
      <w:r w:rsidR="00EE6FA6" w:rsidRPr="006D2224">
        <w:t>,</w:t>
      </w:r>
      <w:r w:rsidRPr="006D2224">
        <w:t xml:space="preserve"> </w:t>
      </w:r>
      <w:r w:rsidR="00C10A41" w:rsidRPr="006D2224">
        <w:t>defined as the use of moisturisers, emollients and non-irritant cleansers</w:t>
      </w:r>
      <w:r w:rsidR="00EE6FA6" w:rsidRPr="006D2224">
        <w:t>,</w:t>
      </w:r>
      <w:r w:rsidR="00C10A41" w:rsidRPr="006D2224">
        <w:t xml:space="preserve"> </w:t>
      </w:r>
      <w:r w:rsidRPr="006D2224">
        <w:t xml:space="preserve">was the appropriate comparator. </w:t>
      </w:r>
      <w:r w:rsidR="00C10A41" w:rsidRPr="006D2224">
        <w:t xml:space="preserve">While this may be reasonable for patients contraindicated to </w:t>
      </w:r>
      <w:r w:rsidR="007064B0" w:rsidRPr="006D2224">
        <w:t>TCS</w:t>
      </w:r>
      <w:r w:rsidR="00C10A41" w:rsidRPr="006D2224">
        <w:t xml:space="preserve">, standard management for the remainder of the target population who are intolerant to or failing to achieve satisfactory disease control is still likely to include treatments for symptom management including </w:t>
      </w:r>
      <w:r w:rsidR="007064B0" w:rsidRPr="006D2224">
        <w:t>TCS</w:t>
      </w:r>
      <w:r w:rsidR="00C10A41" w:rsidRPr="006D2224">
        <w:t xml:space="preserve"> at varying dose regimens (e.g. short-term intermittent use). There is a wide range of formulations and potencies of </w:t>
      </w:r>
      <w:r w:rsidR="007064B0" w:rsidRPr="006D2224">
        <w:t>TCS</w:t>
      </w:r>
      <w:r w:rsidR="00C10A41" w:rsidRPr="006D2224">
        <w:t xml:space="preserve"> available on the PBS. </w:t>
      </w:r>
      <w:r w:rsidR="008644F7" w:rsidRPr="006D2224">
        <w:t>The ESC considered that the comparator of standard care was reasonable for patients contraindicated to TCS, though this population is likely to be relatively small. The ESC considered that TCS would be an appropriate comparator for patients ‘intolerant’ to TCS or failing to achieve satisfactory disease control with TCS.</w:t>
      </w:r>
      <w:r w:rsidR="00346085" w:rsidRPr="006D2224">
        <w:t xml:space="preserve"> The ESC noted that the </w:t>
      </w:r>
      <w:r w:rsidR="001826DE" w:rsidRPr="006D2224">
        <w:t>P</w:t>
      </w:r>
      <w:r w:rsidR="00F453DA" w:rsidRPr="006D2224">
        <w:t>re-</w:t>
      </w:r>
      <w:r w:rsidR="001826DE" w:rsidRPr="006D2224">
        <w:t>S</w:t>
      </w:r>
      <w:r w:rsidR="00F453DA" w:rsidRPr="006D2224">
        <w:t>ub-</w:t>
      </w:r>
      <w:r w:rsidR="001826DE" w:rsidRPr="006D2224">
        <w:t>C</w:t>
      </w:r>
      <w:r w:rsidR="00F453DA" w:rsidRPr="006D2224">
        <w:t>ommittee</w:t>
      </w:r>
      <w:r w:rsidR="00F63516" w:rsidRPr="006D2224">
        <w:t xml:space="preserve"> </w:t>
      </w:r>
      <w:r w:rsidR="001826DE" w:rsidRPr="006D2224">
        <w:t>R</w:t>
      </w:r>
      <w:r w:rsidR="00F63516" w:rsidRPr="006D2224">
        <w:t>esponse</w:t>
      </w:r>
      <w:r w:rsidR="00F453DA" w:rsidRPr="006D2224">
        <w:t xml:space="preserve"> (</w:t>
      </w:r>
      <w:r w:rsidR="00346085" w:rsidRPr="006D2224">
        <w:t>PSCR</w:t>
      </w:r>
      <w:r w:rsidR="00F453DA" w:rsidRPr="006D2224">
        <w:t>, p</w:t>
      </w:r>
      <w:r w:rsidR="002D6C83" w:rsidRPr="006D2224">
        <w:t>1</w:t>
      </w:r>
      <w:r w:rsidR="00F453DA" w:rsidRPr="006D2224">
        <w:t>)</w:t>
      </w:r>
      <w:r w:rsidR="00346085" w:rsidRPr="006D2224">
        <w:t xml:space="preserve"> did not address this comparator issue but stated that prior TCS treatment had been received by </w:t>
      </w:r>
      <w:r w:rsidR="00F453DA" w:rsidRPr="006D2224">
        <w:t>approximately</w:t>
      </w:r>
      <w:r w:rsidR="00346085" w:rsidRPr="006D2224">
        <w:t xml:space="preserve"> 40% of patients in the pivotal trials.</w:t>
      </w:r>
      <w:r w:rsidR="0070588D" w:rsidRPr="006D2224">
        <w:t xml:space="preserve"> The pre-PBAC response </w:t>
      </w:r>
      <w:r w:rsidR="00157C21" w:rsidRPr="006D2224">
        <w:t xml:space="preserve">(p1) </w:t>
      </w:r>
      <w:r w:rsidR="0070588D" w:rsidRPr="006D2224">
        <w:t xml:space="preserve">claimed </w:t>
      </w:r>
      <w:r w:rsidR="00893D28" w:rsidRPr="006D2224">
        <w:t>that those patients</w:t>
      </w:r>
      <w:r w:rsidR="0070588D" w:rsidRPr="006D2224">
        <w:t xml:space="preserve"> intolerant to or having failed to achieve satisfactory disease control with TCS would not continue treatment with TCS. </w:t>
      </w:r>
    </w:p>
    <w:p w:rsidR="00733E9E" w:rsidRPr="006D2224" w:rsidRDefault="00C10A41" w:rsidP="009F36C3">
      <w:pPr>
        <w:pStyle w:val="ListParagraph"/>
        <w:widowControl/>
        <w:numPr>
          <w:ilvl w:val="1"/>
          <w:numId w:val="2"/>
        </w:numPr>
      </w:pPr>
      <w:r w:rsidRPr="006D2224">
        <w:t xml:space="preserve">The PBAC previously considered that </w:t>
      </w:r>
      <w:r w:rsidR="007064B0" w:rsidRPr="006D2224">
        <w:t>TCS</w:t>
      </w:r>
      <w:r w:rsidRPr="006D2224">
        <w:t xml:space="preserve"> were also appropriate comparators when considering </w:t>
      </w:r>
      <w:proofErr w:type="spellStart"/>
      <w:r w:rsidRPr="006D2224">
        <w:t>pimecrolimus</w:t>
      </w:r>
      <w:proofErr w:type="spellEnd"/>
      <w:r w:rsidRPr="006D2224">
        <w:t xml:space="preserve"> for treatment in patients contraindicated to or those failing intermittent </w:t>
      </w:r>
      <w:r w:rsidR="007064B0" w:rsidRPr="006D2224">
        <w:t>TCS</w:t>
      </w:r>
      <w:r w:rsidRPr="006D2224">
        <w:t xml:space="preserve">. The listing was recommended on a cost-effectiveness basis given the submission’s claim of superior efficacy and similar toxicity compared to the vehicle cream, and inferior efficacy but less toxicity versus </w:t>
      </w:r>
      <w:r w:rsidR="007064B0" w:rsidRPr="006D2224">
        <w:t>TCS</w:t>
      </w:r>
      <w:r w:rsidRPr="006D2224">
        <w:t xml:space="preserve"> (</w:t>
      </w:r>
      <w:proofErr w:type="spellStart"/>
      <w:r w:rsidRPr="006D2224">
        <w:t>pimecrolimus</w:t>
      </w:r>
      <w:proofErr w:type="spellEnd"/>
      <w:r w:rsidRPr="006D2224">
        <w:t xml:space="preserve"> PSD July 2006).</w:t>
      </w:r>
      <w:r w:rsidR="00733E9E" w:rsidRPr="006D2224">
        <w:t xml:space="preserve"> </w:t>
      </w:r>
    </w:p>
    <w:p w:rsidR="00796A39" w:rsidRPr="006D2224" w:rsidRDefault="00733E9E" w:rsidP="002B5257">
      <w:pPr>
        <w:pStyle w:val="ListParagraph"/>
        <w:ind w:left="709"/>
      </w:pPr>
      <w:r w:rsidRPr="006D2224">
        <w:rPr>
          <w:rFonts w:asciiTheme="minorHAnsi" w:hAnsiTheme="minorHAnsi"/>
          <w:i/>
        </w:rPr>
        <w:t>For more detail on PBAC’s view, see section 7 PBAC outcome.</w:t>
      </w:r>
      <w:r w:rsidR="00C10A41" w:rsidRPr="006D2224">
        <w:t xml:space="preserve">  </w:t>
      </w:r>
    </w:p>
    <w:p w:rsidR="00B50DB8" w:rsidRPr="006D2224" w:rsidRDefault="00BD6CF3" w:rsidP="00E53446">
      <w:pPr>
        <w:pStyle w:val="PBACHeading1"/>
        <w:outlineLvl w:val="0"/>
      </w:pPr>
      <w:bookmarkStart w:id="6" w:name="_Toc524516448"/>
      <w:r w:rsidRPr="006D2224">
        <w:t>C</w:t>
      </w:r>
      <w:r w:rsidR="00B50DB8" w:rsidRPr="006D2224">
        <w:t>onsideration of the evidence</w:t>
      </w:r>
      <w:bookmarkEnd w:id="6"/>
    </w:p>
    <w:p w:rsidR="00733E9E" w:rsidRPr="006D2224" w:rsidRDefault="00733E9E" w:rsidP="009A182C">
      <w:pPr>
        <w:spacing w:before="240" w:after="120" w:line="276" w:lineRule="auto"/>
        <w:rPr>
          <w:rFonts w:asciiTheme="minorHAnsi" w:hAnsiTheme="minorHAnsi"/>
          <w:b/>
          <w:bCs/>
          <w:i/>
          <w:sz w:val="28"/>
          <w:szCs w:val="28"/>
        </w:rPr>
      </w:pPr>
      <w:bookmarkStart w:id="7" w:name="_Toc524516449"/>
      <w:r w:rsidRPr="006D2224">
        <w:rPr>
          <w:rFonts w:asciiTheme="minorHAnsi" w:hAnsiTheme="minorHAnsi"/>
          <w:b/>
          <w:bCs/>
          <w:i/>
          <w:sz w:val="28"/>
          <w:szCs w:val="28"/>
        </w:rPr>
        <w:t>Sponsor hearing</w:t>
      </w:r>
    </w:p>
    <w:p w:rsidR="00733E9E" w:rsidRPr="0004745D" w:rsidRDefault="00733E9E" w:rsidP="0004745D">
      <w:pPr>
        <w:numPr>
          <w:ilvl w:val="1"/>
          <w:numId w:val="2"/>
        </w:numPr>
        <w:spacing w:after="120"/>
        <w:rPr>
          <w:rFonts w:asciiTheme="minorHAnsi" w:hAnsiTheme="minorHAnsi"/>
          <w:bCs/>
        </w:rPr>
      </w:pPr>
      <w:r w:rsidRPr="006D2224">
        <w:rPr>
          <w:rFonts w:asciiTheme="minorHAnsi" w:hAnsiTheme="minorHAnsi"/>
          <w:bCs/>
        </w:rPr>
        <w:t>The sponsor requested a hearing for this item.  The clinician presented clinical case studies</w:t>
      </w:r>
      <w:r w:rsidR="00893D28" w:rsidRPr="006D2224">
        <w:rPr>
          <w:rFonts w:asciiTheme="minorHAnsi" w:hAnsiTheme="minorHAnsi"/>
          <w:bCs/>
        </w:rPr>
        <w:t xml:space="preserve"> in a</w:t>
      </w:r>
      <w:r w:rsidR="0004745D">
        <w:rPr>
          <w:rFonts w:asciiTheme="minorHAnsi" w:hAnsiTheme="minorHAnsi"/>
          <w:bCs/>
        </w:rPr>
        <w:t xml:space="preserve">dult and </w:t>
      </w:r>
      <w:r w:rsidR="00893D28" w:rsidRPr="006D2224">
        <w:rPr>
          <w:rFonts w:asciiTheme="minorHAnsi" w:hAnsiTheme="minorHAnsi"/>
          <w:bCs/>
        </w:rPr>
        <w:t>paediatric population</w:t>
      </w:r>
      <w:r w:rsidR="0004745D">
        <w:rPr>
          <w:rFonts w:asciiTheme="minorHAnsi" w:hAnsiTheme="minorHAnsi"/>
          <w:bCs/>
        </w:rPr>
        <w:t>s</w:t>
      </w:r>
      <w:r w:rsidRPr="0004745D">
        <w:rPr>
          <w:rFonts w:asciiTheme="minorHAnsi" w:hAnsiTheme="minorHAnsi"/>
          <w:bCs/>
        </w:rPr>
        <w:t xml:space="preserve"> and discussed the natural history of the </w:t>
      </w:r>
      <w:r w:rsidRPr="0004745D">
        <w:rPr>
          <w:rFonts w:asciiTheme="minorHAnsi" w:hAnsiTheme="minorHAnsi"/>
          <w:bCs/>
        </w:rPr>
        <w:lastRenderedPageBreak/>
        <w:t xml:space="preserve">disease, </w:t>
      </w:r>
      <w:r w:rsidR="00893D28" w:rsidRPr="0004745D">
        <w:rPr>
          <w:rFonts w:asciiTheme="minorHAnsi" w:hAnsiTheme="minorHAnsi"/>
          <w:bCs/>
        </w:rPr>
        <w:t>noting the current unmet need and disease impacts on the quality of life for patients who don’t respond to or can’t tolerate the treatments currently available. The clinician also</w:t>
      </w:r>
      <w:r w:rsidRPr="0004745D">
        <w:rPr>
          <w:rFonts w:asciiTheme="minorHAnsi" w:hAnsiTheme="minorHAnsi"/>
          <w:bCs/>
        </w:rPr>
        <w:t xml:space="preserve"> addressed other matters in response to the Committee’s questions</w:t>
      </w:r>
      <w:r w:rsidR="00893D28" w:rsidRPr="0004745D">
        <w:rPr>
          <w:rFonts w:asciiTheme="minorHAnsi" w:hAnsiTheme="minorHAnsi"/>
          <w:bCs/>
        </w:rPr>
        <w:t>, particularly on how the drug would be used in practice</w:t>
      </w:r>
      <w:r w:rsidR="003121BA" w:rsidRPr="0004745D">
        <w:rPr>
          <w:rFonts w:asciiTheme="minorHAnsi" w:hAnsiTheme="minorHAnsi"/>
          <w:bCs/>
        </w:rPr>
        <w:t xml:space="preserve">; the clinician stated that </w:t>
      </w:r>
      <w:proofErr w:type="spellStart"/>
      <w:r w:rsidR="003121BA" w:rsidRPr="0004745D">
        <w:rPr>
          <w:rFonts w:asciiTheme="minorHAnsi" w:hAnsiTheme="minorHAnsi"/>
          <w:bCs/>
        </w:rPr>
        <w:t>crisaborole</w:t>
      </w:r>
      <w:proofErr w:type="spellEnd"/>
      <w:r w:rsidR="003121BA" w:rsidRPr="0004745D">
        <w:rPr>
          <w:rFonts w:asciiTheme="minorHAnsi" w:hAnsiTheme="minorHAnsi"/>
          <w:bCs/>
        </w:rPr>
        <w:t xml:space="preserve"> would be used as sole therapy, as was </w:t>
      </w:r>
      <w:r w:rsidR="00010A2E" w:rsidRPr="0004745D">
        <w:rPr>
          <w:rFonts w:asciiTheme="minorHAnsi" w:hAnsiTheme="minorHAnsi"/>
          <w:bCs/>
        </w:rPr>
        <w:t xml:space="preserve">used in </w:t>
      </w:r>
      <w:r w:rsidR="003121BA" w:rsidRPr="0004745D">
        <w:rPr>
          <w:rFonts w:asciiTheme="minorHAnsi" w:hAnsiTheme="minorHAnsi"/>
          <w:bCs/>
        </w:rPr>
        <w:t>the</w:t>
      </w:r>
      <w:r w:rsidR="00010A2E" w:rsidRPr="0004745D">
        <w:rPr>
          <w:rFonts w:asciiTheme="minorHAnsi" w:hAnsiTheme="minorHAnsi"/>
          <w:bCs/>
        </w:rPr>
        <w:t xml:space="preserve"> </w:t>
      </w:r>
      <w:r w:rsidR="003121BA" w:rsidRPr="0004745D">
        <w:rPr>
          <w:rFonts w:asciiTheme="minorHAnsi" w:hAnsiTheme="minorHAnsi"/>
          <w:bCs/>
        </w:rPr>
        <w:t xml:space="preserve">clinical </w:t>
      </w:r>
      <w:r w:rsidR="00010A2E" w:rsidRPr="0004745D">
        <w:rPr>
          <w:rFonts w:asciiTheme="minorHAnsi" w:hAnsiTheme="minorHAnsi"/>
          <w:bCs/>
        </w:rPr>
        <w:t>trials</w:t>
      </w:r>
      <w:r w:rsidR="003121BA" w:rsidRPr="0004745D">
        <w:rPr>
          <w:rFonts w:asciiTheme="minorHAnsi" w:hAnsiTheme="minorHAnsi"/>
          <w:bCs/>
        </w:rPr>
        <w:t xml:space="preserve">, </w:t>
      </w:r>
      <w:r w:rsidR="00010A2E" w:rsidRPr="0004745D">
        <w:rPr>
          <w:rFonts w:asciiTheme="minorHAnsi" w:hAnsiTheme="minorHAnsi"/>
          <w:bCs/>
        </w:rPr>
        <w:t xml:space="preserve">and it will </w:t>
      </w:r>
      <w:r w:rsidR="003121BA" w:rsidRPr="0004745D">
        <w:rPr>
          <w:rFonts w:asciiTheme="minorHAnsi" w:hAnsiTheme="minorHAnsi"/>
          <w:bCs/>
        </w:rPr>
        <w:t xml:space="preserve">likely be used intermittently for flares for 2–3 weeks at a time. </w:t>
      </w:r>
      <w:r w:rsidR="00010A2E" w:rsidRPr="0004745D">
        <w:rPr>
          <w:rFonts w:asciiTheme="minorHAnsi" w:hAnsiTheme="minorHAnsi"/>
          <w:bCs/>
        </w:rPr>
        <w:t>The PBAC noted the</w:t>
      </w:r>
      <w:r w:rsidRPr="0004745D">
        <w:rPr>
          <w:rFonts w:asciiTheme="minorHAnsi" w:hAnsiTheme="minorHAnsi"/>
          <w:bCs/>
        </w:rPr>
        <w:t xml:space="preserve"> </w:t>
      </w:r>
      <w:r w:rsidR="00010A2E" w:rsidRPr="0004745D">
        <w:rPr>
          <w:rFonts w:asciiTheme="minorHAnsi" w:hAnsiTheme="minorHAnsi"/>
          <w:bCs/>
        </w:rPr>
        <w:t xml:space="preserve">submission did </w:t>
      </w:r>
      <w:r w:rsidR="000B6BFE" w:rsidRPr="0004745D">
        <w:rPr>
          <w:rFonts w:asciiTheme="minorHAnsi" w:hAnsiTheme="minorHAnsi"/>
          <w:bCs/>
        </w:rPr>
        <w:t xml:space="preserve">not </w:t>
      </w:r>
      <w:r w:rsidR="00010A2E" w:rsidRPr="0004745D">
        <w:rPr>
          <w:rFonts w:asciiTheme="minorHAnsi" w:hAnsiTheme="minorHAnsi"/>
          <w:bCs/>
        </w:rPr>
        <w:t xml:space="preserve">assess the cost-effectiveness of </w:t>
      </w:r>
      <w:r w:rsidR="006E3447" w:rsidRPr="0004745D">
        <w:rPr>
          <w:rFonts w:asciiTheme="minorHAnsi" w:hAnsiTheme="minorHAnsi"/>
          <w:bCs/>
        </w:rPr>
        <w:t>intermittent</w:t>
      </w:r>
      <w:r w:rsidR="000B6BFE" w:rsidRPr="0004745D">
        <w:rPr>
          <w:rFonts w:asciiTheme="minorHAnsi" w:hAnsiTheme="minorHAnsi"/>
          <w:bCs/>
        </w:rPr>
        <w:t xml:space="preserve"> </w:t>
      </w:r>
      <w:r w:rsidR="000B6BFE" w:rsidRPr="006D2224">
        <w:t>treatment of disease flares.</w:t>
      </w:r>
    </w:p>
    <w:p w:rsidR="00733E9E" w:rsidRPr="006D2224" w:rsidRDefault="00733E9E" w:rsidP="00733E9E">
      <w:pPr>
        <w:spacing w:before="240" w:after="120" w:line="276" w:lineRule="auto"/>
        <w:rPr>
          <w:rFonts w:asciiTheme="minorHAnsi" w:hAnsiTheme="minorHAnsi"/>
          <w:b/>
          <w:bCs/>
          <w:i/>
          <w:sz w:val="28"/>
          <w:szCs w:val="28"/>
        </w:rPr>
      </w:pPr>
      <w:r w:rsidRPr="006D2224">
        <w:rPr>
          <w:rFonts w:asciiTheme="minorHAnsi" w:hAnsiTheme="minorHAnsi"/>
          <w:b/>
          <w:bCs/>
          <w:i/>
          <w:sz w:val="28"/>
          <w:szCs w:val="28"/>
        </w:rPr>
        <w:t>Consumer comments</w:t>
      </w:r>
    </w:p>
    <w:p w:rsidR="00733E9E" w:rsidRPr="006D2224" w:rsidRDefault="00733E9E" w:rsidP="00733E9E">
      <w:pPr>
        <w:numPr>
          <w:ilvl w:val="1"/>
          <w:numId w:val="2"/>
        </w:numPr>
        <w:spacing w:after="120"/>
        <w:rPr>
          <w:rFonts w:asciiTheme="minorHAnsi" w:hAnsiTheme="minorHAnsi"/>
          <w:bCs/>
        </w:rPr>
      </w:pPr>
      <w:r w:rsidRPr="006D2224">
        <w:rPr>
          <w:rFonts w:asciiTheme="minorHAnsi" w:hAnsiTheme="minorHAnsi"/>
          <w:bCs/>
        </w:rPr>
        <w:t xml:space="preserve">The PBAC noted and welcomed the input from </w:t>
      </w:r>
      <w:r w:rsidR="009825D7" w:rsidRPr="006D2224">
        <w:rPr>
          <w:rFonts w:asciiTheme="minorHAnsi" w:hAnsiTheme="minorHAnsi"/>
          <w:bCs/>
        </w:rPr>
        <w:t xml:space="preserve">two organisations: the Eczema Association of Australasia and Hands to Hold, </w:t>
      </w:r>
      <w:r w:rsidRPr="006D2224">
        <w:rPr>
          <w:rFonts w:asciiTheme="minorHAnsi" w:hAnsiTheme="minorHAnsi"/>
          <w:bCs/>
        </w:rPr>
        <w:t xml:space="preserve">via the Consumer Comments facility on the PBS website. </w:t>
      </w:r>
      <w:r w:rsidR="009825D7" w:rsidRPr="006D2224">
        <w:rPr>
          <w:rFonts w:asciiTheme="minorHAnsi" w:hAnsiTheme="minorHAnsi"/>
          <w:bCs/>
        </w:rPr>
        <w:t xml:space="preserve">The comments described the substantial impact on quality of life, physical and mental health outcomes associated with atopic dermatitis and the difficulty in finding treatments that are safe and effective. The comments noted that </w:t>
      </w:r>
      <w:proofErr w:type="spellStart"/>
      <w:r w:rsidR="009825D7" w:rsidRPr="006D2224">
        <w:rPr>
          <w:rFonts w:asciiTheme="minorHAnsi" w:hAnsiTheme="minorHAnsi"/>
          <w:bCs/>
        </w:rPr>
        <w:t>crisaborole</w:t>
      </w:r>
      <w:proofErr w:type="spellEnd"/>
      <w:r w:rsidR="009825D7" w:rsidRPr="006D2224">
        <w:rPr>
          <w:rFonts w:asciiTheme="minorHAnsi" w:hAnsiTheme="minorHAnsi"/>
          <w:bCs/>
        </w:rPr>
        <w:t xml:space="preserve"> offers hope to patients who have few other treatment options and has the benefit of being able to be used long term.</w:t>
      </w:r>
    </w:p>
    <w:p w:rsidR="00B60939" w:rsidRPr="006D2224" w:rsidRDefault="00B60939" w:rsidP="00733E9E">
      <w:pPr>
        <w:pStyle w:val="Heading2"/>
        <w:spacing w:before="240" w:after="120"/>
      </w:pPr>
      <w:r w:rsidRPr="006D2224">
        <w:t>Clinical trials</w:t>
      </w:r>
      <w:bookmarkEnd w:id="7"/>
    </w:p>
    <w:p w:rsidR="007F1017" w:rsidRPr="006D2224" w:rsidRDefault="00C10A41" w:rsidP="00173629">
      <w:pPr>
        <w:pStyle w:val="ListParagraph"/>
        <w:widowControl/>
        <w:numPr>
          <w:ilvl w:val="1"/>
          <w:numId w:val="2"/>
        </w:numPr>
        <w:spacing w:after="0"/>
      </w:pPr>
      <w:r w:rsidRPr="006D2224">
        <w:t xml:space="preserve">The submission was based on the following comparisons of </w:t>
      </w:r>
      <w:proofErr w:type="spellStart"/>
      <w:r w:rsidRPr="006D2224">
        <w:t>crisaborole</w:t>
      </w:r>
      <w:proofErr w:type="spellEnd"/>
      <w:r w:rsidRPr="006D2224">
        <w:t xml:space="preserve"> and nominated comparators:</w:t>
      </w:r>
    </w:p>
    <w:p w:rsidR="00C10A41" w:rsidRPr="006D2224" w:rsidRDefault="00C10A41" w:rsidP="00173629">
      <w:pPr>
        <w:pStyle w:val="ListParagraph"/>
        <w:widowControl/>
        <w:numPr>
          <w:ilvl w:val="0"/>
          <w:numId w:val="11"/>
        </w:numPr>
        <w:spacing w:after="0"/>
      </w:pPr>
      <w:r w:rsidRPr="006D2224">
        <w:t xml:space="preserve">Direct comparison of </w:t>
      </w:r>
      <w:proofErr w:type="spellStart"/>
      <w:r w:rsidRPr="006D2224">
        <w:t>crisaborole</w:t>
      </w:r>
      <w:proofErr w:type="spellEnd"/>
      <w:r w:rsidRPr="006D2224">
        <w:t xml:space="preserve"> versus ointment vehicle based on two head-to-head randomised trials (AD-301, AD-302); and</w:t>
      </w:r>
    </w:p>
    <w:p w:rsidR="00C10A41" w:rsidRPr="006D2224" w:rsidRDefault="00C10A41" w:rsidP="00173629">
      <w:pPr>
        <w:pStyle w:val="ListParagraph"/>
        <w:widowControl/>
        <w:numPr>
          <w:ilvl w:val="0"/>
          <w:numId w:val="11"/>
        </w:numPr>
        <w:spacing w:after="0"/>
      </w:pPr>
      <w:r w:rsidRPr="006D2224">
        <w:t xml:space="preserve">Indirect comparison of </w:t>
      </w:r>
      <w:proofErr w:type="spellStart"/>
      <w:r w:rsidRPr="006D2224">
        <w:t>crisaborole</w:t>
      </w:r>
      <w:proofErr w:type="spellEnd"/>
      <w:r w:rsidRPr="006D2224">
        <w:t xml:space="preserve"> (AD-301, AD-302) versus </w:t>
      </w:r>
      <w:proofErr w:type="spellStart"/>
      <w:r w:rsidRPr="006D2224">
        <w:t>pimecrolimus</w:t>
      </w:r>
      <w:proofErr w:type="spellEnd"/>
      <w:r w:rsidRPr="006D2224">
        <w:t xml:space="preserve"> (Barba 2003, Breuer 2004, Trials B305 and B307, Trial 0316, Leung 2009) using ointment vehicle/cream vehicle as the common reference.</w:t>
      </w:r>
    </w:p>
    <w:p w:rsidR="00862502" w:rsidRPr="006D2224" w:rsidRDefault="00862502" w:rsidP="00862502">
      <w:pPr>
        <w:widowControl/>
      </w:pPr>
    </w:p>
    <w:p w:rsidR="00C10A41" w:rsidRPr="006D2224" w:rsidRDefault="00C10A41" w:rsidP="00173629">
      <w:pPr>
        <w:pStyle w:val="ListParagraph"/>
        <w:widowControl/>
        <w:numPr>
          <w:ilvl w:val="1"/>
          <w:numId w:val="2"/>
        </w:numPr>
      </w:pPr>
      <w:r w:rsidRPr="006D2224">
        <w:t xml:space="preserve">The submission excluded a large body of evidence for </w:t>
      </w:r>
      <w:proofErr w:type="spellStart"/>
      <w:r w:rsidRPr="006D2224">
        <w:t>pimecrolimus</w:t>
      </w:r>
      <w:proofErr w:type="spellEnd"/>
      <w:r w:rsidRPr="006D2224">
        <w:t xml:space="preserve"> that addressed it</w:t>
      </w:r>
      <w:r w:rsidR="00EE6FA6" w:rsidRPr="006D2224">
        <w:t>s</w:t>
      </w:r>
      <w:r w:rsidRPr="006D2224">
        <w:t xml:space="preserve"> use in long-term maintenance therapy</w:t>
      </w:r>
      <w:r w:rsidR="007B2F3E" w:rsidRPr="006D2224">
        <w:t xml:space="preserve"> (e.g. treatment of flares, as a steroid-sparing agent)</w:t>
      </w:r>
      <w:r w:rsidRPr="006D2224">
        <w:t xml:space="preserve"> and combination use with </w:t>
      </w:r>
      <w:r w:rsidR="007064B0" w:rsidRPr="006D2224">
        <w:t>TCS</w:t>
      </w:r>
      <w:r w:rsidRPr="006D2224">
        <w:t xml:space="preserve"> on the basis that these trials </w:t>
      </w:r>
      <w:r w:rsidR="007B2F3E" w:rsidRPr="006D2224">
        <w:t xml:space="preserve">did not have outcomes data that matched the </w:t>
      </w:r>
      <w:proofErr w:type="spellStart"/>
      <w:r w:rsidR="007B2F3E" w:rsidRPr="006D2224">
        <w:t>crisaborole</w:t>
      </w:r>
      <w:proofErr w:type="spellEnd"/>
      <w:r w:rsidR="007B2F3E" w:rsidRPr="006D2224">
        <w:t xml:space="preserve"> trials. Trials comparing </w:t>
      </w:r>
      <w:proofErr w:type="spellStart"/>
      <w:r w:rsidR="007B2F3E" w:rsidRPr="006D2224">
        <w:t>pimecrolimus</w:t>
      </w:r>
      <w:proofErr w:type="spellEnd"/>
      <w:r w:rsidR="007B2F3E" w:rsidRPr="006D2224">
        <w:t xml:space="preserve"> with other established treatments such as tacrolimus or </w:t>
      </w:r>
      <w:r w:rsidR="007064B0" w:rsidRPr="006D2224">
        <w:t>TCS</w:t>
      </w:r>
      <w:r w:rsidR="007B2F3E" w:rsidRPr="006D2224">
        <w:t xml:space="preserve"> were also excluded as there was no common reference arm for the indirect comparison. The limited selection of short-term, vehicle-controlled trials may be less informative in terms of the comparative efficacy and safety of </w:t>
      </w:r>
      <w:proofErr w:type="spellStart"/>
      <w:r w:rsidR="007B2F3E" w:rsidRPr="006D2224">
        <w:t>pimecrolimus</w:t>
      </w:r>
      <w:proofErr w:type="spellEnd"/>
      <w:r w:rsidR="007B2F3E" w:rsidRPr="006D2224">
        <w:t>.</w:t>
      </w:r>
    </w:p>
    <w:p w:rsidR="00862502" w:rsidRPr="006D2224" w:rsidRDefault="00A73134" w:rsidP="00173629">
      <w:pPr>
        <w:pStyle w:val="ListParagraph"/>
        <w:widowControl/>
        <w:numPr>
          <w:ilvl w:val="1"/>
          <w:numId w:val="2"/>
        </w:numPr>
      </w:pPr>
      <w:r w:rsidRPr="006D2224">
        <w:rPr>
          <w:rFonts w:cs="Calibri"/>
          <w:snapToGrid/>
          <w:szCs w:val="24"/>
          <w:lang w:eastAsia="en-AU"/>
        </w:rPr>
        <w:t xml:space="preserve">Details of the trials presented in the submission are provided in the table below.  </w:t>
      </w:r>
    </w:p>
    <w:p w:rsidR="008E0D3C" w:rsidRPr="006D2224" w:rsidRDefault="007B2F3E" w:rsidP="008E0D3C">
      <w:pPr>
        <w:rPr>
          <w:rStyle w:val="CommentReference"/>
        </w:rPr>
      </w:pPr>
      <w:r w:rsidRPr="006D2224">
        <w:rPr>
          <w:rStyle w:val="CommentReference"/>
        </w:rPr>
        <w:t>Table 2</w:t>
      </w:r>
      <w:r w:rsidR="008E0D3C" w:rsidRPr="006D2224">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55"/>
        <w:gridCol w:w="5756"/>
        <w:gridCol w:w="2106"/>
      </w:tblGrid>
      <w:tr w:rsidR="007B2F3E" w:rsidRPr="006D2224" w:rsidTr="00386D9A">
        <w:trPr>
          <w:tblHeader/>
        </w:trPr>
        <w:tc>
          <w:tcPr>
            <w:tcW w:w="640" w:type="pct"/>
            <w:tcBorders>
              <w:top w:val="single" w:sz="4" w:space="0" w:color="auto"/>
              <w:left w:val="single" w:sz="4" w:space="0" w:color="auto"/>
              <w:bottom w:val="single" w:sz="4" w:space="0" w:color="auto"/>
              <w:right w:val="single" w:sz="4" w:space="0" w:color="auto"/>
            </w:tcBorders>
            <w:vAlign w:val="center"/>
          </w:tcPr>
          <w:p w:rsidR="007B2F3E" w:rsidRPr="006D2224" w:rsidRDefault="007B2F3E" w:rsidP="004F7FF8">
            <w:pPr>
              <w:pStyle w:val="Tabletext"/>
              <w:rPr>
                <w:b/>
              </w:rPr>
            </w:pPr>
            <w:r w:rsidRPr="006D2224">
              <w:rPr>
                <w:b/>
              </w:rPr>
              <w:t>Trial ID</w:t>
            </w:r>
          </w:p>
        </w:tc>
        <w:tc>
          <w:tcPr>
            <w:tcW w:w="3192" w:type="pct"/>
            <w:tcBorders>
              <w:top w:val="single" w:sz="4" w:space="0" w:color="auto"/>
              <w:left w:val="single" w:sz="4" w:space="0" w:color="auto"/>
              <w:bottom w:val="single" w:sz="4" w:space="0" w:color="auto"/>
              <w:right w:val="single" w:sz="4" w:space="0" w:color="auto"/>
            </w:tcBorders>
            <w:vAlign w:val="center"/>
          </w:tcPr>
          <w:p w:rsidR="007B2F3E" w:rsidRPr="006D2224" w:rsidRDefault="007B2F3E" w:rsidP="004F7FF8">
            <w:pPr>
              <w:pStyle w:val="Tabletext"/>
              <w:jc w:val="center"/>
              <w:rPr>
                <w:b/>
              </w:rPr>
            </w:pPr>
            <w:r w:rsidRPr="006D2224">
              <w:rPr>
                <w:b/>
              </w:rPr>
              <w:t>Protocol title/ Publication title</w:t>
            </w:r>
          </w:p>
        </w:tc>
        <w:tc>
          <w:tcPr>
            <w:tcW w:w="1168" w:type="pct"/>
            <w:tcBorders>
              <w:top w:val="single" w:sz="4" w:space="0" w:color="auto"/>
              <w:left w:val="single" w:sz="4" w:space="0" w:color="auto"/>
              <w:bottom w:val="single" w:sz="4" w:space="0" w:color="auto"/>
              <w:right w:val="single" w:sz="4" w:space="0" w:color="auto"/>
            </w:tcBorders>
            <w:vAlign w:val="center"/>
          </w:tcPr>
          <w:p w:rsidR="007B2F3E" w:rsidRPr="006D2224" w:rsidRDefault="007B2F3E" w:rsidP="004F7FF8">
            <w:pPr>
              <w:pStyle w:val="Tabletext"/>
              <w:jc w:val="center"/>
              <w:rPr>
                <w:b/>
              </w:rPr>
            </w:pPr>
            <w:r w:rsidRPr="006D2224">
              <w:rPr>
                <w:b/>
              </w:rPr>
              <w:t>Publication citation</w:t>
            </w:r>
          </w:p>
        </w:tc>
      </w:tr>
      <w:tr w:rsidR="007B2F3E" w:rsidRPr="006D2224" w:rsidTr="00FE6438">
        <w:tc>
          <w:tcPr>
            <w:tcW w:w="5000" w:type="pct"/>
            <w:gridSpan w:val="3"/>
            <w:vAlign w:val="center"/>
          </w:tcPr>
          <w:p w:rsidR="007B2F3E" w:rsidRPr="006D2224" w:rsidRDefault="007B2F3E" w:rsidP="004F7FF8">
            <w:pPr>
              <w:pStyle w:val="Tabletext"/>
              <w:rPr>
                <w:b/>
                <w:szCs w:val="20"/>
              </w:rPr>
            </w:pPr>
            <w:proofErr w:type="spellStart"/>
            <w:r w:rsidRPr="006D2224">
              <w:rPr>
                <w:b/>
                <w:szCs w:val="20"/>
              </w:rPr>
              <w:t>Crisaborole</w:t>
            </w:r>
            <w:proofErr w:type="spellEnd"/>
            <w:r w:rsidRPr="006D2224">
              <w:rPr>
                <w:b/>
                <w:szCs w:val="20"/>
              </w:rPr>
              <w:t xml:space="preserve"> trials</w:t>
            </w:r>
          </w:p>
        </w:tc>
      </w:tr>
      <w:tr w:rsidR="007B2F3E" w:rsidRPr="006D2224" w:rsidTr="00386D9A">
        <w:tc>
          <w:tcPr>
            <w:tcW w:w="640" w:type="pct"/>
            <w:vMerge w:val="restart"/>
            <w:vAlign w:val="center"/>
          </w:tcPr>
          <w:p w:rsidR="007B2F3E" w:rsidRPr="006D2224" w:rsidRDefault="007B2F3E" w:rsidP="004F7FF8">
            <w:pPr>
              <w:pStyle w:val="Tabletext"/>
              <w:rPr>
                <w:szCs w:val="20"/>
              </w:rPr>
            </w:pPr>
            <w:r w:rsidRPr="006D2224">
              <w:rPr>
                <w:szCs w:val="20"/>
              </w:rPr>
              <w:t>AD-301</w:t>
            </w:r>
          </w:p>
        </w:tc>
        <w:tc>
          <w:tcPr>
            <w:tcW w:w="3192" w:type="pct"/>
            <w:vMerge w:val="restart"/>
          </w:tcPr>
          <w:p w:rsidR="007B2F3E" w:rsidRPr="006D2224" w:rsidRDefault="007B2F3E" w:rsidP="004F7FF8">
            <w:pPr>
              <w:pStyle w:val="Tabletext"/>
              <w:rPr>
                <w:szCs w:val="20"/>
              </w:rPr>
            </w:pPr>
            <w:proofErr w:type="spellStart"/>
            <w:r w:rsidRPr="006D2224">
              <w:rPr>
                <w:szCs w:val="20"/>
              </w:rPr>
              <w:t>Paller</w:t>
            </w:r>
            <w:proofErr w:type="spellEnd"/>
            <w:r w:rsidRPr="006D2224">
              <w:rPr>
                <w:szCs w:val="20"/>
              </w:rPr>
              <w:t xml:space="preserve"> AS, Tom WL, </w:t>
            </w:r>
            <w:proofErr w:type="spellStart"/>
            <w:r w:rsidRPr="006D2224">
              <w:rPr>
                <w:szCs w:val="20"/>
              </w:rPr>
              <w:t>Lebwohl</w:t>
            </w:r>
            <w:proofErr w:type="spellEnd"/>
            <w:r w:rsidRPr="006D2224">
              <w:rPr>
                <w:szCs w:val="20"/>
              </w:rPr>
              <w:t xml:space="preserve"> MG et al (2016). Efficacy and safety of </w:t>
            </w:r>
            <w:proofErr w:type="spellStart"/>
            <w:r w:rsidRPr="006D2224">
              <w:rPr>
                <w:szCs w:val="20"/>
              </w:rPr>
              <w:t>crisaborole</w:t>
            </w:r>
            <w:proofErr w:type="spellEnd"/>
            <w:r w:rsidRPr="006D2224">
              <w:rPr>
                <w:szCs w:val="20"/>
              </w:rPr>
              <w:t xml:space="preserve"> ointment, a novel, nonsteroidal phosphodiesterase 4 (PDE4) inhibitor for the topical treatment of atopic dermatitis (AD) in children and adults</w:t>
            </w:r>
          </w:p>
          <w:p w:rsidR="007B2F3E" w:rsidRPr="006D2224" w:rsidRDefault="007B2F3E" w:rsidP="004F7FF8">
            <w:pPr>
              <w:pStyle w:val="Tabletext"/>
              <w:rPr>
                <w:szCs w:val="20"/>
              </w:rPr>
            </w:pPr>
            <w:proofErr w:type="spellStart"/>
            <w:r w:rsidRPr="006D2224">
              <w:rPr>
                <w:szCs w:val="20"/>
              </w:rPr>
              <w:t>Yosipovitch</w:t>
            </w:r>
            <w:proofErr w:type="spellEnd"/>
            <w:r w:rsidRPr="006D2224">
              <w:rPr>
                <w:szCs w:val="20"/>
              </w:rPr>
              <w:t xml:space="preserve"> G, Simpson EL, Tan H, et al (2018). Effect of </w:t>
            </w:r>
            <w:proofErr w:type="spellStart"/>
            <w:r w:rsidRPr="006D2224">
              <w:rPr>
                <w:szCs w:val="20"/>
              </w:rPr>
              <w:t>crisaborole</w:t>
            </w:r>
            <w:proofErr w:type="spellEnd"/>
            <w:r w:rsidRPr="006D2224">
              <w:rPr>
                <w:szCs w:val="20"/>
              </w:rPr>
              <w:t xml:space="preserve"> topical </w:t>
            </w:r>
            <w:r w:rsidRPr="006D2224">
              <w:rPr>
                <w:szCs w:val="20"/>
              </w:rPr>
              <w:lastRenderedPageBreak/>
              <w:t>ointment, 2%, on atopic dermatitis–associated pruritus: an extended analysis of 2 phase 3 clinical trials.</w:t>
            </w:r>
          </w:p>
          <w:p w:rsidR="007B2F3E" w:rsidRPr="006D2224" w:rsidRDefault="007B2F3E" w:rsidP="004F7FF8">
            <w:pPr>
              <w:pStyle w:val="Tabletext"/>
              <w:rPr>
                <w:szCs w:val="20"/>
              </w:rPr>
            </w:pPr>
            <w:proofErr w:type="spellStart"/>
            <w:r w:rsidRPr="006D2224">
              <w:rPr>
                <w:szCs w:val="20"/>
              </w:rPr>
              <w:t>Yosipovitch</w:t>
            </w:r>
            <w:proofErr w:type="spellEnd"/>
            <w:r w:rsidRPr="006D2224">
              <w:rPr>
                <w:szCs w:val="20"/>
              </w:rPr>
              <w:t xml:space="preserve"> G, Simpson EL, </w:t>
            </w:r>
            <w:proofErr w:type="spellStart"/>
            <w:r w:rsidRPr="006D2224">
              <w:rPr>
                <w:szCs w:val="20"/>
              </w:rPr>
              <w:t>Bushmakin</w:t>
            </w:r>
            <w:proofErr w:type="spellEnd"/>
            <w:r w:rsidRPr="006D2224">
              <w:rPr>
                <w:szCs w:val="20"/>
              </w:rPr>
              <w:t xml:space="preserve"> AG et al (2018). Assessment of pruritus in atopic dermatitis: validation of the Severity of Pruritus Scale (SPS)</w:t>
            </w:r>
          </w:p>
          <w:p w:rsidR="007B2F3E" w:rsidRPr="006D2224" w:rsidRDefault="007B2F3E" w:rsidP="004F7FF8">
            <w:pPr>
              <w:pStyle w:val="Tabletext"/>
              <w:rPr>
                <w:szCs w:val="20"/>
              </w:rPr>
            </w:pPr>
            <w:r w:rsidRPr="006D2224">
              <w:rPr>
                <w:szCs w:val="20"/>
              </w:rPr>
              <w:t xml:space="preserve">Study AD-301 (23 November 2015). A </w:t>
            </w:r>
            <w:proofErr w:type="spellStart"/>
            <w:r w:rsidRPr="006D2224">
              <w:rPr>
                <w:szCs w:val="20"/>
              </w:rPr>
              <w:t>multicenter</w:t>
            </w:r>
            <w:proofErr w:type="spellEnd"/>
            <w:r w:rsidRPr="006D2224">
              <w:rPr>
                <w:szCs w:val="20"/>
              </w:rPr>
              <w:t>, randomized, double-blind, vehicle-controlled study of the safety and efficacy of AN2728 topical ointment, 2% in children, adolescents, and adults (ages 2 years and older) with atopic dermatitis</w:t>
            </w:r>
          </w:p>
        </w:tc>
        <w:tc>
          <w:tcPr>
            <w:tcW w:w="1168" w:type="pct"/>
            <w:tcBorders>
              <w:bottom w:val="nil"/>
            </w:tcBorders>
          </w:tcPr>
          <w:p w:rsidR="007B2F3E" w:rsidRPr="006D2224" w:rsidRDefault="007B2F3E" w:rsidP="004F7FF8">
            <w:pPr>
              <w:pStyle w:val="Tabletext"/>
              <w:rPr>
                <w:szCs w:val="20"/>
              </w:rPr>
            </w:pPr>
            <w:r w:rsidRPr="006D2224">
              <w:rPr>
                <w:szCs w:val="20"/>
              </w:rPr>
              <w:lastRenderedPageBreak/>
              <w:t xml:space="preserve">Journal of the American Academy of Dermatology, 75(3):494-503 </w:t>
            </w:r>
          </w:p>
          <w:p w:rsidR="007B2F3E" w:rsidRPr="006D2224" w:rsidRDefault="007B2F3E" w:rsidP="004F7FF8">
            <w:pPr>
              <w:pStyle w:val="Tabletext"/>
              <w:rPr>
                <w:szCs w:val="20"/>
              </w:rPr>
            </w:pPr>
          </w:p>
          <w:p w:rsidR="007B2F3E" w:rsidRPr="006D2224" w:rsidRDefault="007B2F3E" w:rsidP="004F7FF8">
            <w:pPr>
              <w:pStyle w:val="Tabletext"/>
              <w:rPr>
                <w:szCs w:val="20"/>
              </w:rPr>
            </w:pPr>
            <w:r w:rsidRPr="006D2224">
              <w:rPr>
                <w:szCs w:val="20"/>
              </w:rPr>
              <w:t>Itch, 3:e12</w:t>
            </w:r>
          </w:p>
          <w:p w:rsidR="007B2F3E" w:rsidRPr="006D2224" w:rsidRDefault="007B2F3E" w:rsidP="004F7FF8">
            <w:pPr>
              <w:pStyle w:val="Tabletext"/>
              <w:rPr>
                <w:szCs w:val="20"/>
              </w:rPr>
            </w:pPr>
          </w:p>
          <w:p w:rsidR="007B2F3E" w:rsidRPr="006D2224" w:rsidRDefault="007B2F3E" w:rsidP="004F7FF8">
            <w:pPr>
              <w:pStyle w:val="Tabletext"/>
              <w:rPr>
                <w:szCs w:val="20"/>
              </w:rPr>
            </w:pPr>
          </w:p>
          <w:p w:rsidR="007B2F3E" w:rsidRPr="006D2224" w:rsidRDefault="007B2F3E" w:rsidP="004F7FF8">
            <w:pPr>
              <w:pStyle w:val="Tabletext"/>
              <w:rPr>
                <w:szCs w:val="20"/>
              </w:rPr>
            </w:pPr>
            <w:r w:rsidRPr="006D2224">
              <w:rPr>
                <w:szCs w:val="20"/>
              </w:rPr>
              <w:t>Itch, 3:e13</w:t>
            </w:r>
          </w:p>
          <w:p w:rsidR="007B2F3E" w:rsidRPr="006D2224" w:rsidRDefault="007B2F3E" w:rsidP="004F7FF8">
            <w:pPr>
              <w:pStyle w:val="Tabletext"/>
              <w:rPr>
                <w:szCs w:val="20"/>
              </w:rPr>
            </w:pPr>
          </w:p>
          <w:p w:rsidR="007B2F3E" w:rsidRPr="006D2224" w:rsidRDefault="007B2F3E" w:rsidP="004F7FF8">
            <w:pPr>
              <w:pStyle w:val="Tabletext"/>
              <w:rPr>
                <w:szCs w:val="20"/>
              </w:rPr>
            </w:pPr>
          </w:p>
          <w:p w:rsidR="007B2F3E" w:rsidRPr="006D2224" w:rsidRDefault="007B2F3E" w:rsidP="004F7FF8">
            <w:pPr>
              <w:pStyle w:val="Tabletext"/>
              <w:rPr>
                <w:szCs w:val="20"/>
              </w:rPr>
            </w:pPr>
            <w:r w:rsidRPr="006D2224">
              <w:rPr>
                <w:szCs w:val="20"/>
              </w:rPr>
              <w:t>Internal study report</w:t>
            </w:r>
          </w:p>
        </w:tc>
      </w:tr>
      <w:tr w:rsidR="007B2F3E" w:rsidRPr="006D2224" w:rsidTr="00386D9A">
        <w:trPr>
          <w:trHeight w:val="63"/>
        </w:trPr>
        <w:tc>
          <w:tcPr>
            <w:tcW w:w="640" w:type="pct"/>
            <w:vMerge/>
            <w:tcBorders>
              <w:bottom w:val="nil"/>
            </w:tcBorders>
            <w:vAlign w:val="center"/>
          </w:tcPr>
          <w:p w:rsidR="007B2F3E" w:rsidRPr="006D2224" w:rsidRDefault="007B2F3E" w:rsidP="004F7FF8">
            <w:pPr>
              <w:pStyle w:val="Tabletext"/>
              <w:rPr>
                <w:szCs w:val="20"/>
              </w:rPr>
            </w:pPr>
          </w:p>
        </w:tc>
        <w:tc>
          <w:tcPr>
            <w:tcW w:w="3192" w:type="pct"/>
            <w:vMerge/>
            <w:tcBorders>
              <w:bottom w:val="nil"/>
            </w:tcBorders>
          </w:tcPr>
          <w:p w:rsidR="007B2F3E" w:rsidRPr="006D2224" w:rsidRDefault="007B2F3E" w:rsidP="004F7FF8">
            <w:pPr>
              <w:pStyle w:val="Tabletext"/>
              <w:rPr>
                <w:szCs w:val="20"/>
                <w:lang w:eastAsia="en-AU"/>
              </w:rPr>
            </w:pPr>
          </w:p>
        </w:tc>
        <w:tc>
          <w:tcPr>
            <w:tcW w:w="1168" w:type="pct"/>
            <w:tcBorders>
              <w:top w:val="nil"/>
              <w:bottom w:val="nil"/>
            </w:tcBorders>
          </w:tcPr>
          <w:p w:rsidR="007B2F3E" w:rsidRPr="006D2224" w:rsidRDefault="007B2F3E" w:rsidP="004F7FF8">
            <w:pPr>
              <w:pStyle w:val="Tabletext"/>
              <w:rPr>
                <w:szCs w:val="20"/>
                <w:lang w:eastAsia="en-AU"/>
              </w:rPr>
            </w:pPr>
          </w:p>
        </w:tc>
      </w:tr>
      <w:tr w:rsidR="007B2F3E" w:rsidRPr="006D2224" w:rsidTr="00386D9A">
        <w:trPr>
          <w:trHeight w:val="708"/>
        </w:trPr>
        <w:tc>
          <w:tcPr>
            <w:tcW w:w="640" w:type="pct"/>
            <w:vAlign w:val="center"/>
          </w:tcPr>
          <w:p w:rsidR="007B2F3E" w:rsidRPr="006D2224" w:rsidRDefault="007B2F3E" w:rsidP="004F7FF8">
            <w:pPr>
              <w:pStyle w:val="Tabletext"/>
              <w:rPr>
                <w:szCs w:val="20"/>
              </w:rPr>
            </w:pPr>
            <w:r w:rsidRPr="006D2224">
              <w:rPr>
                <w:szCs w:val="20"/>
              </w:rPr>
              <w:t>AD-302</w:t>
            </w:r>
          </w:p>
        </w:tc>
        <w:tc>
          <w:tcPr>
            <w:tcW w:w="3192" w:type="pct"/>
          </w:tcPr>
          <w:p w:rsidR="007B2F3E" w:rsidRPr="006D2224" w:rsidRDefault="007B2F3E" w:rsidP="004F7FF8">
            <w:pPr>
              <w:pStyle w:val="Tabletext"/>
              <w:rPr>
                <w:szCs w:val="20"/>
              </w:rPr>
            </w:pPr>
            <w:proofErr w:type="spellStart"/>
            <w:r w:rsidRPr="006D2224">
              <w:rPr>
                <w:szCs w:val="20"/>
              </w:rPr>
              <w:t>Paller</w:t>
            </w:r>
            <w:proofErr w:type="spellEnd"/>
            <w:r w:rsidRPr="006D2224">
              <w:rPr>
                <w:szCs w:val="20"/>
              </w:rPr>
              <w:t xml:space="preserve"> AS, Tom WL, </w:t>
            </w:r>
            <w:proofErr w:type="spellStart"/>
            <w:r w:rsidRPr="006D2224">
              <w:rPr>
                <w:szCs w:val="20"/>
              </w:rPr>
              <w:t>Lebwohl</w:t>
            </w:r>
            <w:proofErr w:type="spellEnd"/>
            <w:r w:rsidRPr="006D2224">
              <w:rPr>
                <w:szCs w:val="20"/>
              </w:rPr>
              <w:t xml:space="preserve"> MG et al (2016). Efficacy and safety of </w:t>
            </w:r>
            <w:proofErr w:type="spellStart"/>
            <w:r w:rsidRPr="006D2224">
              <w:rPr>
                <w:szCs w:val="20"/>
              </w:rPr>
              <w:t>crisaborole</w:t>
            </w:r>
            <w:proofErr w:type="spellEnd"/>
            <w:r w:rsidRPr="006D2224">
              <w:rPr>
                <w:szCs w:val="20"/>
              </w:rPr>
              <w:t xml:space="preserve"> ointment, a novel, nonsteroidal phosphodiesterase 4 (PDE4) inhibitor for the topical treatment of atopic dermatitis (AD) in children and adults</w:t>
            </w:r>
          </w:p>
          <w:p w:rsidR="007B2F3E" w:rsidRPr="006D2224" w:rsidRDefault="007B2F3E" w:rsidP="004F7FF8">
            <w:pPr>
              <w:pStyle w:val="Tabletext"/>
              <w:rPr>
                <w:szCs w:val="20"/>
              </w:rPr>
            </w:pPr>
            <w:proofErr w:type="spellStart"/>
            <w:r w:rsidRPr="006D2224">
              <w:rPr>
                <w:szCs w:val="20"/>
              </w:rPr>
              <w:t>Yosipovitch</w:t>
            </w:r>
            <w:proofErr w:type="spellEnd"/>
            <w:r w:rsidRPr="006D2224">
              <w:rPr>
                <w:szCs w:val="20"/>
              </w:rPr>
              <w:t xml:space="preserve"> G, Simpson EL, Tan H, et al (2018). Effect of </w:t>
            </w:r>
            <w:proofErr w:type="spellStart"/>
            <w:r w:rsidRPr="006D2224">
              <w:rPr>
                <w:szCs w:val="20"/>
              </w:rPr>
              <w:t>crisaborole</w:t>
            </w:r>
            <w:proofErr w:type="spellEnd"/>
            <w:r w:rsidRPr="006D2224">
              <w:rPr>
                <w:szCs w:val="20"/>
              </w:rPr>
              <w:t xml:space="preserve"> topical ointment, 2%, on atopic dermatitis–associated pruritus: an extended analysis of 2 phase 3 clinical trials</w:t>
            </w:r>
          </w:p>
          <w:p w:rsidR="007B2F3E" w:rsidRPr="006D2224" w:rsidRDefault="007B2F3E" w:rsidP="004F7FF8">
            <w:pPr>
              <w:pStyle w:val="Tabletext"/>
              <w:rPr>
                <w:szCs w:val="20"/>
              </w:rPr>
            </w:pPr>
            <w:proofErr w:type="spellStart"/>
            <w:r w:rsidRPr="006D2224">
              <w:rPr>
                <w:szCs w:val="20"/>
              </w:rPr>
              <w:t>Yosipovitch</w:t>
            </w:r>
            <w:proofErr w:type="spellEnd"/>
            <w:r w:rsidRPr="006D2224">
              <w:rPr>
                <w:szCs w:val="20"/>
              </w:rPr>
              <w:t xml:space="preserve"> G, Simpson EL, </w:t>
            </w:r>
            <w:proofErr w:type="spellStart"/>
            <w:r w:rsidRPr="006D2224">
              <w:rPr>
                <w:szCs w:val="20"/>
              </w:rPr>
              <w:t>Bushmakin</w:t>
            </w:r>
            <w:proofErr w:type="spellEnd"/>
            <w:r w:rsidRPr="006D2224">
              <w:rPr>
                <w:szCs w:val="20"/>
              </w:rPr>
              <w:t xml:space="preserve"> AG et al (2018). Assessment of pruritus in atopic dermatitis: validation of the Severity of Pruritus Scale (SPS)</w:t>
            </w:r>
          </w:p>
          <w:p w:rsidR="007B2F3E" w:rsidRPr="006D2224" w:rsidRDefault="007B2F3E" w:rsidP="004F7FF8">
            <w:pPr>
              <w:pStyle w:val="Tabletext"/>
              <w:rPr>
                <w:szCs w:val="20"/>
              </w:rPr>
            </w:pPr>
            <w:r w:rsidRPr="006D2224">
              <w:rPr>
                <w:szCs w:val="20"/>
              </w:rPr>
              <w:t xml:space="preserve">Study AD-302 (23 November 2015). A </w:t>
            </w:r>
            <w:proofErr w:type="spellStart"/>
            <w:r w:rsidRPr="006D2224">
              <w:rPr>
                <w:szCs w:val="20"/>
              </w:rPr>
              <w:t>multicenter</w:t>
            </w:r>
            <w:proofErr w:type="spellEnd"/>
            <w:r w:rsidRPr="006D2224">
              <w:rPr>
                <w:szCs w:val="20"/>
              </w:rPr>
              <w:t>, randomized, double-blind, vehicle-controlled study of the safety and efficacy of AN2728 topical ointment, 2% in children, adolescents, and adults (ages 2 years and older) with atopic dermatitis</w:t>
            </w:r>
          </w:p>
        </w:tc>
        <w:tc>
          <w:tcPr>
            <w:tcW w:w="1168" w:type="pct"/>
          </w:tcPr>
          <w:p w:rsidR="007B2F3E" w:rsidRPr="006D2224" w:rsidRDefault="007B2F3E" w:rsidP="004F7FF8">
            <w:pPr>
              <w:pStyle w:val="Tabletext"/>
              <w:rPr>
                <w:szCs w:val="20"/>
              </w:rPr>
            </w:pPr>
            <w:r w:rsidRPr="006D2224">
              <w:rPr>
                <w:szCs w:val="20"/>
              </w:rPr>
              <w:t xml:space="preserve">Journal of the American Academy of Dermatology, 75(3):494-503 </w:t>
            </w:r>
          </w:p>
          <w:p w:rsidR="007B2F3E" w:rsidRPr="006D2224" w:rsidRDefault="007B2F3E" w:rsidP="004F7FF8">
            <w:pPr>
              <w:pStyle w:val="Tabletext"/>
              <w:rPr>
                <w:szCs w:val="20"/>
              </w:rPr>
            </w:pPr>
          </w:p>
          <w:p w:rsidR="007B2F3E" w:rsidRPr="006D2224" w:rsidRDefault="007B2F3E" w:rsidP="004F7FF8">
            <w:pPr>
              <w:pStyle w:val="Tabletext"/>
              <w:rPr>
                <w:szCs w:val="20"/>
              </w:rPr>
            </w:pPr>
            <w:r w:rsidRPr="006D2224">
              <w:rPr>
                <w:szCs w:val="20"/>
              </w:rPr>
              <w:t>Itch, 3:e12</w:t>
            </w:r>
          </w:p>
          <w:p w:rsidR="007B2F3E" w:rsidRPr="006D2224" w:rsidRDefault="007B2F3E" w:rsidP="004F7FF8">
            <w:pPr>
              <w:pStyle w:val="Tabletext"/>
              <w:rPr>
                <w:szCs w:val="20"/>
              </w:rPr>
            </w:pPr>
          </w:p>
          <w:p w:rsidR="007B2F3E" w:rsidRPr="006D2224" w:rsidRDefault="007B2F3E" w:rsidP="004F7FF8">
            <w:pPr>
              <w:pStyle w:val="Tabletext"/>
              <w:rPr>
                <w:szCs w:val="20"/>
              </w:rPr>
            </w:pPr>
          </w:p>
          <w:p w:rsidR="007B2F3E" w:rsidRPr="006D2224" w:rsidRDefault="007B2F3E" w:rsidP="004F7FF8">
            <w:pPr>
              <w:pStyle w:val="Tabletext"/>
              <w:rPr>
                <w:szCs w:val="20"/>
              </w:rPr>
            </w:pPr>
            <w:r w:rsidRPr="006D2224">
              <w:rPr>
                <w:szCs w:val="20"/>
              </w:rPr>
              <w:t>Itch, 3:e13</w:t>
            </w:r>
          </w:p>
          <w:p w:rsidR="007B2F3E" w:rsidRPr="006D2224" w:rsidRDefault="007B2F3E" w:rsidP="004F7FF8">
            <w:pPr>
              <w:pStyle w:val="Tabletext"/>
              <w:rPr>
                <w:szCs w:val="20"/>
              </w:rPr>
            </w:pPr>
          </w:p>
          <w:p w:rsidR="007B2F3E" w:rsidRPr="006D2224" w:rsidRDefault="007B2F3E" w:rsidP="004F7FF8">
            <w:pPr>
              <w:pStyle w:val="Tabletext"/>
              <w:rPr>
                <w:szCs w:val="20"/>
              </w:rPr>
            </w:pPr>
          </w:p>
          <w:p w:rsidR="007B2F3E" w:rsidRPr="006D2224" w:rsidRDefault="007B2F3E" w:rsidP="004F7FF8">
            <w:pPr>
              <w:pStyle w:val="Tabletext"/>
              <w:rPr>
                <w:szCs w:val="20"/>
              </w:rPr>
            </w:pPr>
            <w:r w:rsidRPr="006D2224">
              <w:rPr>
                <w:szCs w:val="20"/>
              </w:rPr>
              <w:t>Internal study report</w:t>
            </w:r>
          </w:p>
          <w:p w:rsidR="007B2F3E" w:rsidRPr="006D2224" w:rsidRDefault="007B2F3E" w:rsidP="004F7FF8">
            <w:pPr>
              <w:pStyle w:val="Tabletext"/>
              <w:rPr>
                <w:szCs w:val="20"/>
              </w:rPr>
            </w:pPr>
          </w:p>
          <w:p w:rsidR="007B2F3E" w:rsidRPr="006D2224" w:rsidRDefault="007B2F3E" w:rsidP="004F7FF8">
            <w:pPr>
              <w:pStyle w:val="Tabletext"/>
              <w:rPr>
                <w:szCs w:val="20"/>
              </w:rPr>
            </w:pPr>
          </w:p>
          <w:p w:rsidR="007B2F3E" w:rsidRPr="006D2224" w:rsidRDefault="007B2F3E" w:rsidP="004F7FF8">
            <w:pPr>
              <w:pStyle w:val="Tabletext"/>
              <w:rPr>
                <w:szCs w:val="20"/>
              </w:rPr>
            </w:pPr>
          </w:p>
        </w:tc>
      </w:tr>
      <w:tr w:rsidR="007B2F3E" w:rsidRPr="006D2224" w:rsidTr="00386D9A">
        <w:tc>
          <w:tcPr>
            <w:tcW w:w="640" w:type="pct"/>
            <w:vAlign w:val="center"/>
          </w:tcPr>
          <w:p w:rsidR="007B2F3E" w:rsidRPr="006D2224" w:rsidRDefault="007B2F3E" w:rsidP="004F7FF8">
            <w:pPr>
              <w:pStyle w:val="Tabletext"/>
              <w:rPr>
                <w:szCs w:val="20"/>
              </w:rPr>
            </w:pPr>
            <w:r w:rsidRPr="006D2224">
              <w:rPr>
                <w:szCs w:val="20"/>
              </w:rPr>
              <w:t>AD-303 extension study</w:t>
            </w:r>
          </w:p>
        </w:tc>
        <w:tc>
          <w:tcPr>
            <w:tcW w:w="3192" w:type="pct"/>
          </w:tcPr>
          <w:p w:rsidR="007B2F3E" w:rsidRPr="006D2224" w:rsidRDefault="007B2F3E" w:rsidP="004F7FF8">
            <w:pPr>
              <w:pStyle w:val="Tabletext"/>
              <w:rPr>
                <w:szCs w:val="20"/>
              </w:rPr>
            </w:pPr>
            <w:proofErr w:type="spellStart"/>
            <w:r w:rsidRPr="006D2224">
              <w:rPr>
                <w:szCs w:val="20"/>
              </w:rPr>
              <w:t>Eichenfield</w:t>
            </w:r>
            <w:proofErr w:type="spellEnd"/>
            <w:r w:rsidRPr="006D2224">
              <w:rPr>
                <w:szCs w:val="20"/>
              </w:rPr>
              <w:t xml:space="preserve"> LF, Call RS, </w:t>
            </w:r>
            <w:proofErr w:type="spellStart"/>
            <w:r w:rsidRPr="006D2224">
              <w:rPr>
                <w:szCs w:val="20"/>
              </w:rPr>
              <w:t>Forsha</w:t>
            </w:r>
            <w:proofErr w:type="spellEnd"/>
            <w:r w:rsidRPr="006D2224">
              <w:rPr>
                <w:szCs w:val="20"/>
              </w:rPr>
              <w:t xml:space="preserve"> DW et al (2017). Long term safety of </w:t>
            </w:r>
            <w:proofErr w:type="spellStart"/>
            <w:r w:rsidRPr="006D2224">
              <w:rPr>
                <w:szCs w:val="20"/>
              </w:rPr>
              <w:t>crisaborole</w:t>
            </w:r>
            <w:proofErr w:type="spellEnd"/>
            <w:r w:rsidRPr="006D2224">
              <w:rPr>
                <w:szCs w:val="20"/>
              </w:rPr>
              <w:t xml:space="preserve"> ointment 2% in children and adults with mild to moderate atopic dermatitis</w:t>
            </w:r>
          </w:p>
          <w:p w:rsidR="007B2F3E" w:rsidRPr="006D2224" w:rsidRDefault="007B2F3E" w:rsidP="004F7FF8">
            <w:pPr>
              <w:pStyle w:val="Tabletext"/>
              <w:rPr>
                <w:szCs w:val="20"/>
              </w:rPr>
            </w:pPr>
            <w:r w:rsidRPr="006D2224">
              <w:rPr>
                <w:szCs w:val="20"/>
              </w:rPr>
              <w:t xml:space="preserve">Study AD-303 (24 November 2015). A </w:t>
            </w:r>
            <w:proofErr w:type="spellStart"/>
            <w:r w:rsidRPr="006D2224">
              <w:rPr>
                <w:szCs w:val="20"/>
              </w:rPr>
              <w:t>multicenter</w:t>
            </w:r>
            <w:proofErr w:type="spellEnd"/>
            <w:r w:rsidRPr="006D2224">
              <w:rPr>
                <w:szCs w:val="20"/>
              </w:rPr>
              <w:t>, open-label study of the long-term safety of AN2728 topical ointment, 2% in the treatment of children, adolescents, and adults (Ages 2 Years and Older) with atopic dermatitis</w:t>
            </w:r>
          </w:p>
        </w:tc>
        <w:tc>
          <w:tcPr>
            <w:tcW w:w="1168" w:type="pct"/>
          </w:tcPr>
          <w:p w:rsidR="007B2F3E" w:rsidRPr="006D2224" w:rsidRDefault="007B2F3E" w:rsidP="004F7FF8">
            <w:pPr>
              <w:pStyle w:val="Tabletext"/>
              <w:rPr>
                <w:szCs w:val="20"/>
              </w:rPr>
            </w:pPr>
            <w:r w:rsidRPr="006D2224">
              <w:rPr>
                <w:szCs w:val="20"/>
              </w:rPr>
              <w:t>Journal of the American Academy of Dermatology, 77:641-649</w:t>
            </w:r>
          </w:p>
          <w:p w:rsidR="007B2F3E" w:rsidRPr="006D2224" w:rsidRDefault="007B2F3E" w:rsidP="004F7FF8">
            <w:pPr>
              <w:pStyle w:val="Tabletext"/>
              <w:rPr>
                <w:szCs w:val="20"/>
              </w:rPr>
            </w:pPr>
            <w:r w:rsidRPr="006D2224">
              <w:rPr>
                <w:szCs w:val="20"/>
              </w:rPr>
              <w:t>Internal study report</w:t>
            </w:r>
          </w:p>
          <w:p w:rsidR="007B2F3E" w:rsidRPr="006D2224" w:rsidRDefault="007B2F3E" w:rsidP="004F7FF8">
            <w:pPr>
              <w:pStyle w:val="Tabletext"/>
              <w:rPr>
                <w:szCs w:val="20"/>
              </w:rPr>
            </w:pPr>
          </w:p>
          <w:p w:rsidR="007B2F3E" w:rsidRPr="006D2224" w:rsidRDefault="007B2F3E" w:rsidP="004F7FF8">
            <w:pPr>
              <w:pStyle w:val="Tabletext"/>
              <w:rPr>
                <w:szCs w:val="20"/>
              </w:rPr>
            </w:pPr>
            <w:r w:rsidRPr="006D2224">
              <w:rPr>
                <w:szCs w:val="20"/>
              </w:rPr>
              <w:t xml:space="preserve"> </w:t>
            </w:r>
          </w:p>
        </w:tc>
      </w:tr>
      <w:tr w:rsidR="007B2F3E" w:rsidRPr="006D2224" w:rsidTr="00FE6438">
        <w:tc>
          <w:tcPr>
            <w:tcW w:w="5000" w:type="pct"/>
            <w:gridSpan w:val="3"/>
            <w:tcBorders>
              <w:bottom w:val="single" w:sz="4" w:space="0" w:color="auto"/>
            </w:tcBorders>
            <w:vAlign w:val="center"/>
          </w:tcPr>
          <w:p w:rsidR="007B2F3E" w:rsidRPr="006D2224" w:rsidRDefault="007B2F3E" w:rsidP="004F7FF8">
            <w:pPr>
              <w:pStyle w:val="Tabletext"/>
              <w:rPr>
                <w:b/>
                <w:szCs w:val="20"/>
              </w:rPr>
            </w:pPr>
            <w:proofErr w:type="spellStart"/>
            <w:r w:rsidRPr="006D2224">
              <w:rPr>
                <w:b/>
                <w:szCs w:val="20"/>
              </w:rPr>
              <w:t>Pimecrolimus</w:t>
            </w:r>
            <w:proofErr w:type="spellEnd"/>
            <w:r w:rsidRPr="006D2224">
              <w:rPr>
                <w:b/>
                <w:szCs w:val="20"/>
              </w:rPr>
              <w:t xml:space="preserve"> trials</w:t>
            </w:r>
          </w:p>
        </w:tc>
      </w:tr>
      <w:tr w:rsidR="007B2F3E" w:rsidRPr="006D2224" w:rsidTr="00386D9A">
        <w:tc>
          <w:tcPr>
            <w:tcW w:w="640" w:type="pct"/>
            <w:tcBorders>
              <w:bottom w:val="single" w:sz="4" w:space="0" w:color="auto"/>
            </w:tcBorders>
            <w:vAlign w:val="center"/>
          </w:tcPr>
          <w:p w:rsidR="007B2F3E" w:rsidRPr="006D2224" w:rsidRDefault="007B2F3E" w:rsidP="004F7FF8">
            <w:pPr>
              <w:pStyle w:val="Tabletext"/>
              <w:rPr>
                <w:szCs w:val="20"/>
              </w:rPr>
            </w:pPr>
            <w:r w:rsidRPr="006D2224">
              <w:rPr>
                <w:szCs w:val="20"/>
              </w:rPr>
              <w:t>Barba 2003</w:t>
            </w:r>
          </w:p>
        </w:tc>
        <w:tc>
          <w:tcPr>
            <w:tcW w:w="3192" w:type="pct"/>
            <w:tcBorders>
              <w:bottom w:val="single" w:sz="4" w:space="0" w:color="auto"/>
            </w:tcBorders>
          </w:tcPr>
          <w:p w:rsidR="007B2F3E" w:rsidRPr="006D2224" w:rsidRDefault="007B2F3E" w:rsidP="004F7FF8">
            <w:pPr>
              <w:pStyle w:val="Tabletext"/>
              <w:rPr>
                <w:szCs w:val="20"/>
              </w:rPr>
            </w:pPr>
            <w:r w:rsidRPr="006D2224">
              <w:rPr>
                <w:szCs w:val="20"/>
              </w:rPr>
              <w:t xml:space="preserve">Barba JF (2003). </w:t>
            </w:r>
            <w:proofErr w:type="spellStart"/>
            <w:r w:rsidRPr="006D2224">
              <w:rPr>
                <w:szCs w:val="20"/>
              </w:rPr>
              <w:t>Pimecrolimus</w:t>
            </w:r>
            <w:proofErr w:type="spellEnd"/>
            <w:r w:rsidRPr="006D2224">
              <w:rPr>
                <w:szCs w:val="20"/>
              </w:rPr>
              <w:t xml:space="preserve"> cream 1% is effective, well tolerated and safe in infants/children with atopic eczema of the face. The 12th Congress of the European Academy of Dermatology and Venereology. Barcelona, Spain 15-18th October 2003. </w:t>
            </w:r>
          </w:p>
        </w:tc>
        <w:tc>
          <w:tcPr>
            <w:tcW w:w="1168" w:type="pct"/>
            <w:tcBorders>
              <w:bottom w:val="single" w:sz="4" w:space="0" w:color="auto"/>
            </w:tcBorders>
          </w:tcPr>
          <w:p w:rsidR="007B2F3E" w:rsidRPr="006D2224" w:rsidRDefault="007B2F3E" w:rsidP="004F7FF8">
            <w:pPr>
              <w:pStyle w:val="Tabletext"/>
              <w:rPr>
                <w:szCs w:val="20"/>
              </w:rPr>
            </w:pPr>
            <w:r w:rsidRPr="006D2224">
              <w:rPr>
                <w:szCs w:val="20"/>
              </w:rPr>
              <w:t>Journal of the European Academy of Dermatology And Venereology, Abstract P2-35</w:t>
            </w:r>
          </w:p>
        </w:tc>
      </w:tr>
      <w:tr w:rsidR="007B2F3E" w:rsidRPr="006D2224" w:rsidTr="00386D9A">
        <w:tc>
          <w:tcPr>
            <w:tcW w:w="640" w:type="pct"/>
            <w:tcBorders>
              <w:bottom w:val="single" w:sz="4" w:space="0" w:color="auto"/>
            </w:tcBorders>
            <w:vAlign w:val="center"/>
          </w:tcPr>
          <w:p w:rsidR="007B2F3E" w:rsidRPr="006D2224" w:rsidRDefault="007B2F3E" w:rsidP="004F7FF8">
            <w:pPr>
              <w:pStyle w:val="Tabletext"/>
              <w:rPr>
                <w:szCs w:val="20"/>
              </w:rPr>
            </w:pPr>
            <w:r w:rsidRPr="006D2224">
              <w:rPr>
                <w:szCs w:val="20"/>
              </w:rPr>
              <w:t>Breuer 2004</w:t>
            </w:r>
          </w:p>
        </w:tc>
        <w:tc>
          <w:tcPr>
            <w:tcW w:w="3192" w:type="pct"/>
            <w:tcBorders>
              <w:bottom w:val="single" w:sz="4" w:space="0" w:color="auto"/>
            </w:tcBorders>
          </w:tcPr>
          <w:p w:rsidR="007B2F3E" w:rsidRPr="006D2224" w:rsidRDefault="007B2F3E" w:rsidP="004F7FF8">
            <w:pPr>
              <w:pStyle w:val="Tabletext"/>
              <w:rPr>
                <w:szCs w:val="20"/>
              </w:rPr>
            </w:pPr>
            <w:r w:rsidRPr="006D2224">
              <w:rPr>
                <w:szCs w:val="20"/>
              </w:rPr>
              <w:t xml:space="preserve">Breuer K, </w:t>
            </w:r>
            <w:proofErr w:type="spellStart"/>
            <w:r w:rsidRPr="006D2224">
              <w:rPr>
                <w:szCs w:val="20"/>
              </w:rPr>
              <w:t>Braeutigam</w:t>
            </w:r>
            <w:proofErr w:type="spellEnd"/>
            <w:r w:rsidRPr="006D2224">
              <w:rPr>
                <w:szCs w:val="20"/>
              </w:rPr>
              <w:t xml:space="preserve"> B, Kappa A et al (2004). Influence of </w:t>
            </w:r>
            <w:proofErr w:type="spellStart"/>
            <w:r w:rsidRPr="006D2224">
              <w:rPr>
                <w:szCs w:val="20"/>
              </w:rPr>
              <w:t>pimecrolimus</w:t>
            </w:r>
            <w:proofErr w:type="spellEnd"/>
            <w:r w:rsidRPr="006D2224">
              <w:rPr>
                <w:szCs w:val="20"/>
              </w:rPr>
              <w:t xml:space="preserve"> cream 1% on different morphological signs of eczema in infants with atopic dermatitis</w:t>
            </w:r>
          </w:p>
          <w:p w:rsidR="007B2F3E" w:rsidRPr="006D2224" w:rsidRDefault="007B2F3E" w:rsidP="004F7FF8">
            <w:pPr>
              <w:pStyle w:val="Tabletext"/>
              <w:rPr>
                <w:szCs w:val="20"/>
              </w:rPr>
            </w:pPr>
            <w:r w:rsidRPr="006D2224">
              <w:rPr>
                <w:szCs w:val="20"/>
              </w:rPr>
              <w:t xml:space="preserve">Kaufmann R, </w:t>
            </w:r>
            <w:proofErr w:type="spellStart"/>
            <w:r w:rsidRPr="006D2224">
              <w:rPr>
                <w:szCs w:val="20"/>
              </w:rPr>
              <w:t>Fölster</w:t>
            </w:r>
            <w:proofErr w:type="spellEnd"/>
            <w:r w:rsidRPr="006D2224">
              <w:rPr>
                <w:szCs w:val="20"/>
              </w:rPr>
              <w:t xml:space="preserve">-Holst R, </w:t>
            </w:r>
            <w:proofErr w:type="spellStart"/>
            <w:r w:rsidRPr="006D2224">
              <w:rPr>
                <w:szCs w:val="20"/>
              </w:rPr>
              <w:t>Höger</w:t>
            </w:r>
            <w:proofErr w:type="spellEnd"/>
            <w:r w:rsidRPr="006D2224">
              <w:rPr>
                <w:szCs w:val="20"/>
              </w:rPr>
              <w:t xml:space="preserve"> P et al (2004). Onset of action of </w:t>
            </w:r>
            <w:proofErr w:type="spellStart"/>
            <w:r w:rsidRPr="006D2224">
              <w:rPr>
                <w:szCs w:val="20"/>
              </w:rPr>
              <w:t>pimecrolimus</w:t>
            </w:r>
            <w:proofErr w:type="spellEnd"/>
            <w:r w:rsidRPr="006D2224">
              <w:rPr>
                <w:szCs w:val="20"/>
              </w:rPr>
              <w:t xml:space="preserve"> cream 1% in the treatment of atopic eczema in infants</w:t>
            </w:r>
          </w:p>
          <w:p w:rsidR="007B2F3E" w:rsidRPr="006D2224" w:rsidRDefault="007B2F3E" w:rsidP="004F7FF8">
            <w:pPr>
              <w:pStyle w:val="Tabletext"/>
              <w:rPr>
                <w:szCs w:val="20"/>
              </w:rPr>
            </w:pPr>
          </w:p>
          <w:p w:rsidR="007B2F3E" w:rsidRPr="006D2224" w:rsidRDefault="007B2F3E" w:rsidP="004F7FF8">
            <w:pPr>
              <w:pStyle w:val="Tabletext"/>
              <w:rPr>
                <w:szCs w:val="20"/>
              </w:rPr>
            </w:pPr>
            <w:proofErr w:type="spellStart"/>
            <w:r w:rsidRPr="006D2224">
              <w:rPr>
                <w:szCs w:val="20"/>
              </w:rPr>
              <w:t>Staab</w:t>
            </w:r>
            <w:proofErr w:type="spellEnd"/>
            <w:r w:rsidRPr="006D2224">
              <w:rPr>
                <w:szCs w:val="20"/>
              </w:rPr>
              <w:t xml:space="preserve"> D, Kaufmann R, </w:t>
            </w:r>
            <w:proofErr w:type="spellStart"/>
            <w:r w:rsidRPr="006D2224">
              <w:rPr>
                <w:szCs w:val="20"/>
              </w:rPr>
              <w:t>Bräutigam</w:t>
            </w:r>
            <w:proofErr w:type="spellEnd"/>
            <w:r w:rsidRPr="006D2224">
              <w:rPr>
                <w:szCs w:val="20"/>
              </w:rPr>
              <w:t xml:space="preserve"> M et al (2005). Treatment of infants with atopic eczema with </w:t>
            </w:r>
            <w:proofErr w:type="spellStart"/>
            <w:r w:rsidRPr="006D2224">
              <w:rPr>
                <w:szCs w:val="20"/>
              </w:rPr>
              <w:t>pimecrolimus</w:t>
            </w:r>
            <w:proofErr w:type="spellEnd"/>
            <w:r w:rsidRPr="006D2224">
              <w:rPr>
                <w:szCs w:val="20"/>
              </w:rPr>
              <w:t xml:space="preserve"> cream 1% improves parents' quality of life: a </w:t>
            </w:r>
            <w:proofErr w:type="spellStart"/>
            <w:r w:rsidRPr="006D2224">
              <w:rPr>
                <w:szCs w:val="20"/>
              </w:rPr>
              <w:t>multicenter</w:t>
            </w:r>
            <w:proofErr w:type="spellEnd"/>
            <w:r w:rsidRPr="006D2224">
              <w:rPr>
                <w:szCs w:val="20"/>
              </w:rPr>
              <w:t>, randomized trial</w:t>
            </w:r>
          </w:p>
        </w:tc>
        <w:tc>
          <w:tcPr>
            <w:tcW w:w="1168" w:type="pct"/>
            <w:tcBorders>
              <w:bottom w:val="single" w:sz="4" w:space="0" w:color="auto"/>
            </w:tcBorders>
          </w:tcPr>
          <w:p w:rsidR="007B2F3E" w:rsidRPr="006D2224" w:rsidRDefault="007B2F3E" w:rsidP="004F7FF8">
            <w:pPr>
              <w:pStyle w:val="Tabletext"/>
              <w:rPr>
                <w:szCs w:val="20"/>
              </w:rPr>
            </w:pPr>
            <w:r w:rsidRPr="006D2224">
              <w:rPr>
                <w:szCs w:val="20"/>
              </w:rPr>
              <w:t>Dermatology, 209:314-320</w:t>
            </w:r>
          </w:p>
          <w:p w:rsidR="007B2F3E" w:rsidRPr="006D2224" w:rsidRDefault="007B2F3E" w:rsidP="004F7FF8">
            <w:pPr>
              <w:pStyle w:val="Tabletext"/>
              <w:rPr>
                <w:szCs w:val="20"/>
              </w:rPr>
            </w:pPr>
          </w:p>
          <w:p w:rsidR="007B2F3E" w:rsidRPr="006D2224" w:rsidRDefault="007B2F3E" w:rsidP="004F7FF8">
            <w:pPr>
              <w:pStyle w:val="Tabletext"/>
              <w:rPr>
                <w:szCs w:val="20"/>
              </w:rPr>
            </w:pPr>
          </w:p>
          <w:p w:rsidR="007B2F3E" w:rsidRPr="006D2224" w:rsidRDefault="007B2F3E" w:rsidP="004F7FF8">
            <w:pPr>
              <w:pStyle w:val="Tabletext"/>
              <w:rPr>
                <w:szCs w:val="20"/>
              </w:rPr>
            </w:pPr>
            <w:r w:rsidRPr="006D2224">
              <w:rPr>
                <w:szCs w:val="20"/>
              </w:rPr>
              <w:t>Journal of allergy and clinical immunology, 114(5):1183-1188</w:t>
            </w:r>
          </w:p>
          <w:p w:rsidR="007B2F3E" w:rsidRPr="006D2224" w:rsidRDefault="007B2F3E" w:rsidP="004F7FF8">
            <w:pPr>
              <w:pStyle w:val="Tabletext"/>
              <w:rPr>
                <w:szCs w:val="20"/>
              </w:rPr>
            </w:pPr>
            <w:proofErr w:type="spellStart"/>
            <w:r w:rsidRPr="006D2224">
              <w:rPr>
                <w:szCs w:val="20"/>
              </w:rPr>
              <w:t>Pediatric</w:t>
            </w:r>
            <w:proofErr w:type="spellEnd"/>
            <w:r w:rsidRPr="006D2224">
              <w:rPr>
                <w:szCs w:val="20"/>
              </w:rPr>
              <w:t xml:space="preserve"> allergy and immunology, 16(6):527-533.</w:t>
            </w:r>
          </w:p>
        </w:tc>
      </w:tr>
      <w:tr w:rsidR="007B2F3E" w:rsidRPr="006D2224" w:rsidTr="00386D9A">
        <w:tc>
          <w:tcPr>
            <w:tcW w:w="640" w:type="pct"/>
            <w:vAlign w:val="center"/>
          </w:tcPr>
          <w:p w:rsidR="007B2F3E" w:rsidRPr="006D2224" w:rsidRDefault="007B2F3E" w:rsidP="004F7FF8">
            <w:pPr>
              <w:pStyle w:val="Tabletext"/>
              <w:rPr>
                <w:szCs w:val="20"/>
              </w:rPr>
            </w:pPr>
            <w:r w:rsidRPr="006D2224">
              <w:rPr>
                <w:szCs w:val="20"/>
              </w:rPr>
              <w:t>Leung 2009</w:t>
            </w:r>
          </w:p>
        </w:tc>
        <w:tc>
          <w:tcPr>
            <w:tcW w:w="3192" w:type="pct"/>
          </w:tcPr>
          <w:p w:rsidR="007B2F3E" w:rsidRPr="006D2224" w:rsidRDefault="007B2F3E" w:rsidP="004F7FF8">
            <w:pPr>
              <w:pStyle w:val="Tabletext"/>
              <w:rPr>
                <w:szCs w:val="20"/>
              </w:rPr>
            </w:pPr>
            <w:r w:rsidRPr="006D2224">
              <w:rPr>
                <w:szCs w:val="20"/>
              </w:rPr>
              <w:t xml:space="preserve">Leung DY, </w:t>
            </w:r>
            <w:proofErr w:type="spellStart"/>
            <w:r w:rsidRPr="006D2224">
              <w:rPr>
                <w:szCs w:val="20"/>
              </w:rPr>
              <w:t>Hanifin</w:t>
            </w:r>
            <w:proofErr w:type="spellEnd"/>
            <w:r w:rsidRPr="006D2224">
              <w:rPr>
                <w:szCs w:val="20"/>
              </w:rPr>
              <w:t xml:space="preserve"> JM, </w:t>
            </w:r>
            <w:proofErr w:type="spellStart"/>
            <w:r w:rsidRPr="006D2224">
              <w:rPr>
                <w:szCs w:val="20"/>
              </w:rPr>
              <w:t>Pariser</w:t>
            </w:r>
            <w:proofErr w:type="spellEnd"/>
            <w:r w:rsidRPr="006D2224">
              <w:rPr>
                <w:szCs w:val="20"/>
              </w:rPr>
              <w:t xml:space="preserve"> DM et al (2009). Effects of </w:t>
            </w:r>
            <w:proofErr w:type="spellStart"/>
            <w:r w:rsidRPr="006D2224">
              <w:rPr>
                <w:szCs w:val="20"/>
              </w:rPr>
              <w:t>pimecrolimus</w:t>
            </w:r>
            <w:proofErr w:type="spellEnd"/>
            <w:r w:rsidRPr="006D2224">
              <w:rPr>
                <w:szCs w:val="20"/>
              </w:rPr>
              <w:t xml:space="preserve"> cream 1% in the treatment of patients with atopic dermatitis who demonstrate a clinical insensitivity to topical corticosteroids: a randomized, multicentre vehicle-controlled trial</w:t>
            </w:r>
          </w:p>
        </w:tc>
        <w:tc>
          <w:tcPr>
            <w:tcW w:w="1168" w:type="pct"/>
          </w:tcPr>
          <w:p w:rsidR="007B2F3E" w:rsidRPr="006D2224" w:rsidRDefault="007B2F3E" w:rsidP="004F7FF8">
            <w:pPr>
              <w:pStyle w:val="Tabletext"/>
              <w:rPr>
                <w:szCs w:val="20"/>
              </w:rPr>
            </w:pPr>
            <w:r w:rsidRPr="006D2224">
              <w:rPr>
                <w:szCs w:val="20"/>
              </w:rPr>
              <w:t>British Journal of Dermatology, 161(2):435-443</w:t>
            </w:r>
          </w:p>
        </w:tc>
      </w:tr>
      <w:tr w:rsidR="007B2F3E" w:rsidRPr="006D2224" w:rsidTr="00386D9A">
        <w:tc>
          <w:tcPr>
            <w:tcW w:w="640" w:type="pct"/>
            <w:vAlign w:val="center"/>
          </w:tcPr>
          <w:p w:rsidR="007B2F3E" w:rsidRPr="006D2224" w:rsidRDefault="007B2F3E" w:rsidP="004F7FF8">
            <w:pPr>
              <w:pStyle w:val="Tabletext"/>
              <w:rPr>
                <w:szCs w:val="20"/>
              </w:rPr>
            </w:pPr>
            <w:r w:rsidRPr="006D2224">
              <w:rPr>
                <w:szCs w:val="20"/>
              </w:rPr>
              <w:t>Trials B305 and B307</w:t>
            </w:r>
          </w:p>
        </w:tc>
        <w:tc>
          <w:tcPr>
            <w:tcW w:w="3192" w:type="pct"/>
          </w:tcPr>
          <w:p w:rsidR="007B2F3E" w:rsidRPr="006D2224" w:rsidRDefault="007B2F3E" w:rsidP="004F7FF8">
            <w:pPr>
              <w:pStyle w:val="Tabletext"/>
              <w:rPr>
                <w:szCs w:val="20"/>
              </w:rPr>
            </w:pPr>
            <w:proofErr w:type="spellStart"/>
            <w:r w:rsidRPr="006D2224">
              <w:rPr>
                <w:szCs w:val="20"/>
              </w:rPr>
              <w:t>Eichenfield</w:t>
            </w:r>
            <w:proofErr w:type="spellEnd"/>
            <w:r w:rsidRPr="006D2224">
              <w:rPr>
                <w:szCs w:val="20"/>
              </w:rPr>
              <w:t xml:space="preserve"> LF, Lucky AW, </w:t>
            </w:r>
            <w:proofErr w:type="spellStart"/>
            <w:r w:rsidRPr="006D2224">
              <w:rPr>
                <w:szCs w:val="20"/>
              </w:rPr>
              <w:t>Boguniewicz</w:t>
            </w:r>
            <w:proofErr w:type="spellEnd"/>
            <w:r w:rsidRPr="006D2224">
              <w:rPr>
                <w:szCs w:val="20"/>
              </w:rPr>
              <w:t xml:space="preserve"> M et al (2002). Safety and efficacy of </w:t>
            </w:r>
            <w:proofErr w:type="spellStart"/>
            <w:r w:rsidRPr="006D2224">
              <w:rPr>
                <w:szCs w:val="20"/>
              </w:rPr>
              <w:t>pimecrolimus</w:t>
            </w:r>
            <w:proofErr w:type="spellEnd"/>
            <w:r w:rsidRPr="006D2224">
              <w:rPr>
                <w:szCs w:val="20"/>
              </w:rPr>
              <w:t xml:space="preserve"> (ASM 981) cream 1% in the treatment of mild and moderate atopic dermatitis in children and adolescents</w:t>
            </w:r>
          </w:p>
          <w:p w:rsidR="007B2F3E" w:rsidRPr="006D2224" w:rsidRDefault="007B2F3E" w:rsidP="004F7FF8">
            <w:pPr>
              <w:pStyle w:val="Tabletext"/>
              <w:rPr>
                <w:szCs w:val="20"/>
              </w:rPr>
            </w:pPr>
            <w:r w:rsidRPr="006D2224">
              <w:rPr>
                <w:szCs w:val="20"/>
              </w:rPr>
              <w:t xml:space="preserve">Langley, RG, </w:t>
            </w:r>
            <w:proofErr w:type="spellStart"/>
            <w:r w:rsidRPr="006D2224">
              <w:rPr>
                <w:szCs w:val="20"/>
              </w:rPr>
              <w:t>Eichenfield</w:t>
            </w:r>
            <w:proofErr w:type="spellEnd"/>
            <w:r w:rsidRPr="006D2224">
              <w:rPr>
                <w:szCs w:val="20"/>
              </w:rPr>
              <w:t xml:space="preserve"> LF, Lucky AW et al (2008). Sustained efficacy and safety of </w:t>
            </w:r>
            <w:proofErr w:type="spellStart"/>
            <w:r w:rsidRPr="006D2224">
              <w:rPr>
                <w:szCs w:val="20"/>
              </w:rPr>
              <w:t>pimecrolimus</w:t>
            </w:r>
            <w:proofErr w:type="spellEnd"/>
            <w:r w:rsidRPr="006D2224">
              <w:rPr>
                <w:szCs w:val="20"/>
              </w:rPr>
              <w:t xml:space="preserve"> cream 1% when used long-term (up to 26 weeks) to treat children with atopic dermatitis </w:t>
            </w:r>
          </w:p>
          <w:p w:rsidR="007B2F3E" w:rsidRPr="006D2224" w:rsidRDefault="007B2F3E" w:rsidP="004F7FF8">
            <w:pPr>
              <w:pStyle w:val="Tabletext"/>
              <w:rPr>
                <w:szCs w:val="20"/>
              </w:rPr>
            </w:pPr>
            <w:proofErr w:type="spellStart"/>
            <w:r w:rsidRPr="006D2224">
              <w:rPr>
                <w:szCs w:val="20"/>
              </w:rPr>
              <w:t>Whalley</w:t>
            </w:r>
            <w:proofErr w:type="spellEnd"/>
            <w:r w:rsidRPr="006D2224">
              <w:rPr>
                <w:szCs w:val="20"/>
              </w:rPr>
              <w:t xml:space="preserve"> D, </w:t>
            </w:r>
            <w:proofErr w:type="spellStart"/>
            <w:r w:rsidRPr="006D2224">
              <w:rPr>
                <w:szCs w:val="20"/>
              </w:rPr>
              <w:t>Huels</w:t>
            </w:r>
            <w:proofErr w:type="spellEnd"/>
            <w:r w:rsidRPr="006D2224">
              <w:rPr>
                <w:szCs w:val="20"/>
              </w:rPr>
              <w:t xml:space="preserve"> J, McKenna SP et al (2002). The benefit of </w:t>
            </w:r>
            <w:proofErr w:type="spellStart"/>
            <w:r w:rsidRPr="006D2224">
              <w:rPr>
                <w:szCs w:val="20"/>
              </w:rPr>
              <w:t>pimecrolimus</w:t>
            </w:r>
            <w:proofErr w:type="spellEnd"/>
            <w:r w:rsidRPr="006D2224">
              <w:rPr>
                <w:szCs w:val="20"/>
              </w:rPr>
              <w:t xml:space="preserve"> (</w:t>
            </w:r>
            <w:proofErr w:type="spellStart"/>
            <w:r w:rsidRPr="006D2224">
              <w:rPr>
                <w:szCs w:val="20"/>
              </w:rPr>
              <w:t>Elidel</w:t>
            </w:r>
            <w:proofErr w:type="spellEnd"/>
            <w:r w:rsidRPr="006D2224">
              <w:rPr>
                <w:szCs w:val="20"/>
              </w:rPr>
              <w:t xml:space="preserve">, SDZ ASM 981) on parents’ quality of life in the treatment of </w:t>
            </w:r>
            <w:proofErr w:type="spellStart"/>
            <w:r w:rsidRPr="006D2224">
              <w:rPr>
                <w:szCs w:val="20"/>
              </w:rPr>
              <w:t>pediatric</w:t>
            </w:r>
            <w:proofErr w:type="spellEnd"/>
            <w:r w:rsidRPr="006D2224">
              <w:rPr>
                <w:szCs w:val="20"/>
              </w:rPr>
              <w:t xml:space="preserve"> atopic dermatitis</w:t>
            </w:r>
          </w:p>
        </w:tc>
        <w:tc>
          <w:tcPr>
            <w:tcW w:w="1168" w:type="pct"/>
          </w:tcPr>
          <w:p w:rsidR="007B2F3E" w:rsidRPr="006D2224" w:rsidRDefault="007B2F3E" w:rsidP="004F7FF8">
            <w:pPr>
              <w:pStyle w:val="Tabletext"/>
              <w:rPr>
                <w:szCs w:val="20"/>
              </w:rPr>
            </w:pPr>
            <w:r w:rsidRPr="006D2224">
              <w:rPr>
                <w:szCs w:val="20"/>
              </w:rPr>
              <w:t>Journal of the American Academy of Dermatology, 46(4):495-504</w:t>
            </w:r>
          </w:p>
          <w:p w:rsidR="007B2F3E" w:rsidRPr="006D2224" w:rsidRDefault="007B2F3E" w:rsidP="004F7FF8">
            <w:pPr>
              <w:pStyle w:val="Tabletext"/>
              <w:rPr>
                <w:szCs w:val="20"/>
              </w:rPr>
            </w:pPr>
            <w:proofErr w:type="spellStart"/>
            <w:r w:rsidRPr="006D2224">
              <w:rPr>
                <w:szCs w:val="20"/>
              </w:rPr>
              <w:t>Pediatric</w:t>
            </w:r>
            <w:proofErr w:type="spellEnd"/>
            <w:r w:rsidRPr="006D2224">
              <w:rPr>
                <w:szCs w:val="20"/>
              </w:rPr>
              <w:t xml:space="preserve"> dermatology, 25(3):301-307</w:t>
            </w:r>
          </w:p>
          <w:p w:rsidR="007B2F3E" w:rsidRPr="006D2224" w:rsidRDefault="007B2F3E" w:rsidP="004F7FF8">
            <w:pPr>
              <w:pStyle w:val="Tabletext"/>
              <w:rPr>
                <w:szCs w:val="20"/>
              </w:rPr>
            </w:pPr>
          </w:p>
          <w:p w:rsidR="007B2F3E" w:rsidRPr="006D2224" w:rsidRDefault="007B2F3E" w:rsidP="004F7FF8">
            <w:pPr>
              <w:pStyle w:val="Tabletext"/>
              <w:rPr>
                <w:szCs w:val="20"/>
              </w:rPr>
            </w:pPr>
            <w:proofErr w:type="spellStart"/>
            <w:r w:rsidRPr="006D2224">
              <w:rPr>
                <w:szCs w:val="20"/>
              </w:rPr>
              <w:t>Pediatrics</w:t>
            </w:r>
            <w:proofErr w:type="spellEnd"/>
            <w:r w:rsidRPr="006D2224">
              <w:rPr>
                <w:szCs w:val="20"/>
              </w:rPr>
              <w:t>, 110(6):1133-1136</w:t>
            </w:r>
          </w:p>
        </w:tc>
      </w:tr>
      <w:tr w:rsidR="007B2F3E" w:rsidRPr="006D2224" w:rsidTr="00386D9A">
        <w:tc>
          <w:tcPr>
            <w:tcW w:w="640" w:type="pct"/>
            <w:vAlign w:val="center"/>
          </w:tcPr>
          <w:p w:rsidR="007B2F3E" w:rsidRPr="006D2224" w:rsidRDefault="007B2F3E" w:rsidP="004F7FF8">
            <w:pPr>
              <w:pStyle w:val="Tabletext"/>
              <w:rPr>
                <w:szCs w:val="20"/>
              </w:rPr>
            </w:pPr>
            <w:r w:rsidRPr="006D2224">
              <w:rPr>
                <w:szCs w:val="20"/>
              </w:rPr>
              <w:lastRenderedPageBreak/>
              <w:t>Trial 0316</w:t>
            </w:r>
          </w:p>
        </w:tc>
        <w:tc>
          <w:tcPr>
            <w:tcW w:w="3192" w:type="pct"/>
          </w:tcPr>
          <w:p w:rsidR="007B2F3E" w:rsidRPr="006D2224" w:rsidRDefault="007B2F3E" w:rsidP="004F7FF8">
            <w:pPr>
              <w:pStyle w:val="Tabletext"/>
              <w:rPr>
                <w:szCs w:val="20"/>
              </w:rPr>
            </w:pPr>
            <w:proofErr w:type="spellStart"/>
            <w:r w:rsidRPr="006D2224">
              <w:rPr>
                <w:szCs w:val="20"/>
              </w:rPr>
              <w:t>Ho</w:t>
            </w:r>
            <w:proofErr w:type="spellEnd"/>
            <w:r w:rsidRPr="006D2224">
              <w:rPr>
                <w:szCs w:val="20"/>
              </w:rPr>
              <w:t xml:space="preserve"> VC, Gupta A, Kaufmann R, Todd G et al (2003).  Safety and efficacy of </w:t>
            </w:r>
            <w:proofErr w:type="spellStart"/>
            <w:r w:rsidRPr="006D2224">
              <w:rPr>
                <w:szCs w:val="20"/>
              </w:rPr>
              <w:t>nonsteroid</w:t>
            </w:r>
            <w:proofErr w:type="spellEnd"/>
            <w:r w:rsidRPr="006D2224">
              <w:rPr>
                <w:szCs w:val="20"/>
              </w:rPr>
              <w:t xml:space="preserve"> </w:t>
            </w:r>
            <w:proofErr w:type="spellStart"/>
            <w:r w:rsidRPr="006D2224">
              <w:rPr>
                <w:szCs w:val="20"/>
              </w:rPr>
              <w:t>pimecrolimus</w:t>
            </w:r>
            <w:proofErr w:type="spellEnd"/>
            <w:r w:rsidRPr="006D2224">
              <w:rPr>
                <w:szCs w:val="20"/>
              </w:rPr>
              <w:t xml:space="preserve"> cream 1% in the treatment of atopic dermatitis in infants</w:t>
            </w:r>
          </w:p>
        </w:tc>
        <w:tc>
          <w:tcPr>
            <w:tcW w:w="1168" w:type="pct"/>
          </w:tcPr>
          <w:p w:rsidR="007B2F3E" w:rsidRPr="006D2224" w:rsidRDefault="007B2F3E" w:rsidP="004F7FF8">
            <w:pPr>
              <w:pStyle w:val="Tabletext"/>
              <w:rPr>
                <w:szCs w:val="20"/>
              </w:rPr>
            </w:pPr>
            <w:r w:rsidRPr="006D2224">
              <w:rPr>
                <w:szCs w:val="20"/>
              </w:rPr>
              <w:t xml:space="preserve">Journal of </w:t>
            </w:r>
            <w:proofErr w:type="spellStart"/>
            <w:r w:rsidRPr="006D2224">
              <w:rPr>
                <w:szCs w:val="20"/>
              </w:rPr>
              <w:t>Pediatrics</w:t>
            </w:r>
            <w:proofErr w:type="spellEnd"/>
            <w:r w:rsidRPr="006D2224">
              <w:rPr>
                <w:szCs w:val="20"/>
              </w:rPr>
              <w:t>, 142:155-162</w:t>
            </w:r>
          </w:p>
        </w:tc>
      </w:tr>
    </w:tbl>
    <w:p w:rsidR="007B2F3E" w:rsidRPr="006D2224" w:rsidRDefault="007B2F3E" w:rsidP="007B2F3E">
      <w:pPr>
        <w:pStyle w:val="TableFooter"/>
      </w:pPr>
      <w:r w:rsidRPr="006D2224">
        <w:t>Source: Table 2.2-1, pp43-45 and Table 2.2-1, pp94-95 of the submission</w:t>
      </w:r>
    </w:p>
    <w:p w:rsidR="008E0D3C" w:rsidRPr="006D2224" w:rsidRDefault="007B2F3E" w:rsidP="008E0D3C">
      <w:pPr>
        <w:pStyle w:val="TableFooter"/>
        <w:rPr>
          <w:sz w:val="20"/>
        </w:rPr>
      </w:pPr>
      <w:r w:rsidRPr="006D2224">
        <w:t>Note: Published conference abstracts for the identified trials were not included in this table</w:t>
      </w:r>
    </w:p>
    <w:p w:rsidR="00862502" w:rsidRPr="006D2224" w:rsidRDefault="00862502" w:rsidP="008F120A">
      <w:pPr>
        <w:widowControl/>
      </w:pPr>
    </w:p>
    <w:p w:rsidR="007F1017" w:rsidRPr="006D2224" w:rsidRDefault="008F120A" w:rsidP="00173629">
      <w:pPr>
        <w:pStyle w:val="ListParagraph"/>
        <w:widowControl/>
        <w:numPr>
          <w:ilvl w:val="1"/>
          <w:numId w:val="2"/>
        </w:numPr>
      </w:pPr>
      <w:r w:rsidRPr="006D2224">
        <w:t xml:space="preserve">The key features of the </w:t>
      </w:r>
      <w:r w:rsidR="007B2F3E" w:rsidRPr="006D2224">
        <w:t>included trials</w:t>
      </w:r>
      <w:r w:rsidRPr="006D2224">
        <w:t xml:space="preserve"> are </w:t>
      </w:r>
      <w:r w:rsidR="007B2F3E" w:rsidRPr="006D2224">
        <w:t xml:space="preserve">summarised in the table below. </w:t>
      </w:r>
    </w:p>
    <w:p w:rsidR="00FE6438" w:rsidRPr="006D2224" w:rsidRDefault="00FE6438">
      <w:pPr>
        <w:widowControl/>
        <w:jc w:val="left"/>
        <w:rPr>
          <w:rStyle w:val="CommentReference"/>
        </w:rPr>
      </w:pPr>
    </w:p>
    <w:p w:rsidR="007F1017" w:rsidRPr="006D2224" w:rsidRDefault="007B2F3E" w:rsidP="00045017">
      <w:pPr>
        <w:rPr>
          <w:rStyle w:val="CommentReference"/>
        </w:rPr>
      </w:pPr>
      <w:r w:rsidRPr="006D2224">
        <w:rPr>
          <w:rStyle w:val="CommentReference"/>
        </w:rPr>
        <w:t>Table 3</w:t>
      </w:r>
      <w:r w:rsidR="007F1017" w:rsidRPr="006D2224">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3"/>
        <w:gridCol w:w="840"/>
        <w:gridCol w:w="1410"/>
        <w:gridCol w:w="914"/>
        <w:gridCol w:w="1751"/>
        <w:gridCol w:w="1122"/>
        <w:gridCol w:w="1697"/>
      </w:tblGrid>
      <w:tr w:rsidR="00B41614" w:rsidRPr="006D2224" w:rsidTr="00AF5245">
        <w:tc>
          <w:tcPr>
            <w:tcW w:w="711" w:type="pct"/>
            <w:shd w:val="clear" w:color="auto" w:fill="auto"/>
            <w:vAlign w:val="center"/>
          </w:tcPr>
          <w:p w:rsidR="007F1017" w:rsidRPr="006D2224" w:rsidRDefault="007F1017" w:rsidP="00B41614">
            <w:pPr>
              <w:pStyle w:val="Tabletext"/>
              <w:rPr>
                <w:b/>
              </w:rPr>
            </w:pPr>
            <w:r w:rsidRPr="006D2224">
              <w:rPr>
                <w:b/>
              </w:rPr>
              <w:t>Trial</w:t>
            </w:r>
          </w:p>
        </w:tc>
        <w:tc>
          <w:tcPr>
            <w:tcW w:w="466" w:type="pct"/>
            <w:shd w:val="clear" w:color="auto" w:fill="auto"/>
            <w:vAlign w:val="center"/>
          </w:tcPr>
          <w:p w:rsidR="007F1017" w:rsidRPr="006D2224" w:rsidRDefault="007F1017" w:rsidP="00B41614">
            <w:pPr>
              <w:pStyle w:val="Tabletext"/>
              <w:jc w:val="center"/>
              <w:rPr>
                <w:b/>
              </w:rPr>
            </w:pPr>
            <w:r w:rsidRPr="006D2224">
              <w:rPr>
                <w:b/>
              </w:rPr>
              <w:t>N</w:t>
            </w:r>
          </w:p>
        </w:tc>
        <w:tc>
          <w:tcPr>
            <w:tcW w:w="782" w:type="pct"/>
            <w:shd w:val="clear" w:color="auto" w:fill="auto"/>
            <w:vAlign w:val="center"/>
          </w:tcPr>
          <w:p w:rsidR="007F1017" w:rsidRPr="006D2224" w:rsidRDefault="007F1017" w:rsidP="00B41614">
            <w:pPr>
              <w:pStyle w:val="Tabletext"/>
              <w:jc w:val="center"/>
              <w:rPr>
                <w:b/>
              </w:rPr>
            </w:pPr>
            <w:r w:rsidRPr="006D2224">
              <w:rPr>
                <w:b/>
              </w:rPr>
              <w:t>Design/ duration</w:t>
            </w:r>
          </w:p>
        </w:tc>
        <w:tc>
          <w:tcPr>
            <w:tcW w:w="507" w:type="pct"/>
            <w:shd w:val="clear" w:color="auto" w:fill="auto"/>
            <w:vAlign w:val="center"/>
          </w:tcPr>
          <w:p w:rsidR="007F1017" w:rsidRPr="006D2224" w:rsidRDefault="007F1017" w:rsidP="00B41614">
            <w:pPr>
              <w:pStyle w:val="Tabletext"/>
              <w:jc w:val="center"/>
              <w:rPr>
                <w:b/>
              </w:rPr>
            </w:pPr>
            <w:r w:rsidRPr="006D2224">
              <w:rPr>
                <w:b/>
              </w:rPr>
              <w:t>Risk of bias</w:t>
            </w:r>
          </w:p>
        </w:tc>
        <w:tc>
          <w:tcPr>
            <w:tcW w:w="971" w:type="pct"/>
            <w:shd w:val="clear" w:color="auto" w:fill="auto"/>
            <w:vAlign w:val="center"/>
          </w:tcPr>
          <w:p w:rsidR="007F1017" w:rsidRPr="006D2224" w:rsidRDefault="007F1017" w:rsidP="00B41614">
            <w:pPr>
              <w:pStyle w:val="Tabletext"/>
              <w:jc w:val="center"/>
              <w:rPr>
                <w:b/>
              </w:rPr>
            </w:pPr>
            <w:r w:rsidRPr="006D2224">
              <w:rPr>
                <w:b/>
              </w:rPr>
              <w:t>Patient population</w:t>
            </w:r>
          </w:p>
        </w:tc>
        <w:tc>
          <w:tcPr>
            <w:tcW w:w="622" w:type="pct"/>
            <w:shd w:val="clear" w:color="auto" w:fill="auto"/>
            <w:vAlign w:val="center"/>
          </w:tcPr>
          <w:p w:rsidR="007F1017" w:rsidRPr="006D2224" w:rsidRDefault="007B2F3E" w:rsidP="00B41614">
            <w:pPr>
              <w:pStyle w:val="Tabletext"/>
              <w:jc w:val="center"/>
              <w:rPr>
                <w:b/>
              </w:rPr>
            </w:pPr>
            <w:r w:rsidRPr="006D2224">
              <w:rPr>
                <w:b/>
              </w:rPr>
              <w:t>Outcomes</w:t>
            </w:r>
          </w:p>
        </w:tc>
        <w:tc>
          <w:tcPr>
            <w:tcW w:w="941" w:type="pct"/>
            <w:shd w:val="clear" w:color="auto" w:fill="auto"/>
            <w:vAlign w:val="center"/>
          </w:tcPr>
          <w:p w:rsidR="007F1017" w:rsidRPr="006D2224" w:rsidRDefault="007F1017" w:rsidP="00B41614">
            <w:pPr>
              <w:pStyle w:val="Tabletext"/>
              <w:jc w:val="center"/>
              <w:rPr>
                <w:b/>
              </w:rPr>
            </w:pPr>
            <w:r w:rsidRPr="006D2224">
              <w:rPr>
                <w:b/>
              </w:rPr>
              <w:t>Use in modelled evaluation</w:t>
            </w:r>
          </w:p>
        </w:tc>
      </w:tr>
      <w:tr w:rsidR="007F1017" w:rsidRPr="006D2224" w:rsidTr="00B41614">
        <w:tc>
          <w:tcPr>
            <w:tcW w:w="5000" w:type="pct"/>
            <w:gridSpan w:val="7"/>
            <w:shd w:val="clear" w:color="auto" w:fill="auto"/>
            <w:vAlign w:val="center"/>
          </w:tcPr>
          <w:p w:rsidR="007F1017" w:rsidRPr="006D2224" w:rsidRDefault="007B2F3E" w:rsidP="007B2F3E">
            <w:pPr>
              <w:pStyle w:val="Tabletext"/>
              <w:rPr>
                <w:b/>
              </w:rPr>
            </w:pPr>
            <w:proofErr w:type="spellStart"/>
            <w:r w:rsidRPr="006D2224">
              <w:rPr>
                <w:b/>
              </w:rPr>
              <w:t>Crisaborole</w:t>
            </w:r>
            <w:proofErr w:type="spellEnd"/>
            <w:r w:rsidRPr="006D2224">
              <w:rPr>
                <w:b/>
              </w:rPr>
              <w:t xml:space="preserve"> vs. ointment vehicle</w:t>
            </w:r>
          </w:p>
        </w:tc>
      </w:tr>
      <w:tr w:rsidR="009C0601" w:rsidRPr="006D2224" w:rsidTr="00AF5245">
        <w:tc>
          <w:tcPr>
            <w:tcW w:w="711" w:type="pct"/>
            <w:shd w:val="clear" w:color="auto" w:fill="auto"/>
            <w:vAlign w:val="center"/>
          </w:tcPr>
          <w:p w:rsidR="009C0601" w:rsidRPr="006D2224" w:rsidRDefault="009C0601" w:rsidP="00B41614">
            <w:pPr>
              <w:pStyle w:val="Tabletext"/>
              <w:rPr>
                <w:vertAlign w:val="superscript"/>
              </w:rPr>
            </w:pPr>
            <w:r w:rsidRPr="006D2224">
              <w:t>AD-301</w:t>
            </w:r>
            <w:r w:rsidRPr="006D2224">
              <w:rPr>
                <w:vertAlign w:val="superscript"/>
              </w:rPr>
              <w:t>a</w:t>
            </w:r>
          </w:p>
        </w:tc>
        <w:tc>
          <w:tcPr>
            <w:tcW w:w="466" w:type="pct"/>
            <w:shd w:val="clear" w:color="auto" w:fill="auto"/>
            <w:vAlign w:val="center"/>
          </w:tcPr>
          <w:p w:rsidR="009C0601" w:rsidRPr="006D2224" w:rsidRDefault="009C0601" w:rsidP="00B41614">
            <w:pPr>
              <w:pStyle w:val="Tabletext"/>
              <w:jc w:val="center"/>
            </w:pPr>
            <w:r w:rsidRPr="006D2224">
              <w:t>763</w:t>
            </w:r>
          </w:p>
        </w:tc>
        <w:tc>
          <w:tcPr>
            <w:tcW w:w="782" w:type="pct"/>
            <w:shd w:val="clear" w:color="auto" w:fill="auto"/>
            <w:vAlign w:val="center"/>
          </w:tcPr>
          <w:p w:rsidR="009C0601" w:rsidRPr="006D2224" w:rsidRDefault="009C0601" w:rsidP="00C7151A">
            <w:pPr>
              <w:pStyle w:val="Tabletext"/>
              <w:jc w:val="center"/>
            </w:pPr>
            <w:r w:rsidRPr="006D2224">
              <w:t>MC, DB, R, VC</w:t>
            </w:r>
          </w:p>
          <w:p w:rsidR="009C0601" w:rsidRPr="006D2224" w:rsidRDefault="009C0601" w:rsidP="00C7151A">
            <w:pPr>
              <w:pStyle w:val="Tabletext"/>
              <w:jc w:val="center"/>
            </w:pPr>
            <w:r w:rsidRPr="006D2224">
              <w:t>29 days</w:t>
            </w:r>
          </w:p>
        </w:tc>
        <w:tc>
          <w:tcPr>
            <w:tcW w:w="507" w:type="pct"/>
            <w:shd w:val="clear" w:color="auto" w:fill="auto"/>
            <w:vAlign w:val="center"/>
          </w:tcPr>
          <w:p w:rsidR="009C0601" w:rsidRPr="006D2224" w:rsidRDefault="009C0601" w:rsidP="00B41614">
            <w:pPr>
              <w:pStyle w:val="Tabletext"/>
              <w:jc w:val="center"/>
            </w:pPr>
            <w:r w:rsidRPr="006D2224">
              <w:t>Low</w:t>
            </w:r>
          </w:p>
        </w:tc>
        <w:tc>
          <w:tcPr>
            <w:tcW w:w="971" w:type="pct"/>
            <w:shd w:val="clear" w:color="auto" w:fill="auto"/>
            <w:vAlign w:val="center"/>
          </w:tcPr>
          <w:p w:rsidR="009C0601" w:rsidRPr="006D2224" w:rsidRDefault="009C0601" w:rsidP="00B41614">
            <w:pPr>
              <w:pStyle w:val="Tabletext"/>
              <w:jc w:val="center"/>
            </w:pPr>
            <w:r w:rsidRPr="006D2224">
              <w:t>≥2 years old with mild to moderate AD</w:t>
            </w:r>
          </w:p>
        </w:tc>
        <w:tc>
          <w:tcPr>
            <w:tcW w:w="622" w:type="pct"/>
            <w:vMerge w:val="restart"/>
            <w:shd w:val="clear" w:color="auto" w:fill="auto"/>
            <w:vAlign w:val="center"/>
          </w:tcPr>
          <w:p w:rsidR="009C0601" w:rsidRPr="006D2224" w:rsidRDefault="009C0601" w:rsidP="00B41614">
            <w:pPr>
              <w:pStyle w:val="Tabletext"/>
              <w:jc w:val="center"/>
            </w:pPr>
            <w:r w:rsidRPr="006D2224">
              <w:t>ISGA 0 or 1 with ≥2-grade improvement; ISGA 0 or 1</w:t>
            </w:r>
          </w:p>
        </w:tc>
        <w:tc>
          <w:tcPr>
            <w:tcW w:w="941" w:type="pct"/>
            <w:shd w:val="clear" w:color="auto" w:fill="auto"/>
            <w:vAlign w:val="center"/>
          </w:tcPr>
          <w:p w:rsidR="009C0601" w:rsidRPr="006D2224" w:rsidRDefault="009C0601" w:rsidP="00B41614">
            <w:pPr>
              <w:pStyle w:val="Tabletext"/>
              <w:jc w:val="center"/>
            </w:pPr>
            <w:r w:rsidRPr="006D2224">
              <w:t>Not used</w:t>
            </w:r>
          </w:p>
        </w:tc>
      </w:tr>
      <w:tr w:rsidR="009C0601" w:rsidRPr="006D2224" w:rsidTr="00AF5245">
        <w:tc>
          <w:tcPr>
            <w:tcW w:w="711" w:type="pct"/>
            <w:shd w:val="clear" w:color="auto" w:fill="auto"/>
            <w:vAlign w:val="center"/>
          </w:tcPr>
          <w:p w:rsidR="009C0601" w:rsidRPr="006D2224" w:rsidRDefault="009C0601" w:rsidP="00B41614">
            <w:pPr>
              <w:pStyle w:val="Tabletext"/>
              <w:rPr>
                <w:vertAlign w:val="superscript"/>
              </w:rPr>
            </w:pPr>
            <w:r w:rsidRPr="006D2224">
              <w:t>AD-302</w:t>
            </w:r>
            <w:r w:rsidRPr="006D2224">
              <w:rPr>
                <w:vertAlign w:val="superscript"/>
              </w:rPr>
              <w:t>a</w:t>
            </w:r>
          </w:p>
        </w:tc>
        <w:tc>
          <w:tcPr>
            <w:tcW w:w="466" w:type="pct"/>
            <w:shd w:val="clear" w:color="auto" w:fill="auto"/>
            <w:vAlign w:val="center"/>
          </w:tcPr>
          <w:p w:rsidR="009C0601" w:rsidRPr="006D2224" w:rsidRDefault="009C0601" w:rsidP="00B41614">
            <w:pPr>
              <w:pStyle w:val="Tabletext"/>
              <w:jc w:val="center"/>
            </w:pPr>
            <w:r w:rsidRPr="006D2224">
              <w:t>764</w:t>
            </w:r>
          </w:p>
        </w:tc>
        <w:tc>
          <w:tcPr>
            <w:tcW w:w="782" w:type="pct"/>
            <w:shd w:val="clear" w:color="auto" w:fill="auto"/>
            <w:vAlign w:val="center"/>
          </w:tcPr>
          <w:p w:rsidR="009C0601" w:rsidRPr="006D2224" w:rsidRDefault="009C0601" w:rsidP="002D7121">
            <w:pPr>
              <w:pStyle w:val="Tabletext"/>
              <w:jc w:val="center"/>
            </w:pPr>
            <w:r w:rsidRPr="006D2224">
              <w:t>MC, DB, R, VC</w:t>
            </w:r>
          </w:p>
          <w:p w:rsidR="009C0601" w:rsidRPr="006D2224" w:rsidRDefault="009C0601" w:rsidP="002D7121">
            <w:pPr>
              <w:pStyle w:val="Tabletext"/>
              <w:jc w:val="center"/>
            </w:pPr>
            <w:r w:rsidRPr="006D2224">
              <w:t>29 days</w:t>
            </w:r>
          </w:p>
        </w:tc>
        <w:tc>
          <w:tcPr>
            <w:tcW w:w="507" w:type="pct"/>
            <w:shd w:val="clear" w:color="auto" w:fill="auto"/>
            <w:vAlign w:val="center"/>
          </w:tcPr>
          <w:p w:rsidR="009C0601" w:rsidRPr="006D2224" w:rsidRDefault="009C0601" w:rsidP="00B41614">
            <w:pPr>
              <w:pStyle w:val="Tabletext"/>
              <w:jc w:val="center"/>
            </w:pPr>
            <w:r w:rsidRPr="006D2224">
              <w:t>Low</w:t>
            </w:r>
          </w:p>
        </w:tc>
        <w:tc>
          <w:tcPr>
            <w:tcW w:w="971" w:type="pct"/>
            <w:shd w:val="clear" w:color="auto" w:fill="auto"/>
            <w:vAlign w:val="center"/>
          </w:tcPr>
          <w:p w:rsidR="009C0601" w:rsidRPr="006D2224" w:rsidRDefault="009C0601" w:rsidP="00B41614">
            <w:pPr>
              <w:pStyle w:val="Tabletext"/>
              <w:jc w:val="center"/>
            </w:pPr>
            <w:r w:rsidRPr="006D2224">
              <w:t>≥2 years old with mild to moderate AD</w:t>
            </w:r>
          </w:p>
        </w:tc>
        <w:tc>
          <w:tcPr>
            <w:tcW w:w="622" w:type="pct"/>
            <w:vMerge/>
            <w:shd w:val="clear" w:color="auto" w:fill="auto"/>
            <w:vAlign w:val="center"/>
          </w:tcPr>
          <w:p w:rsidR="009C0601" w:rsidRPr="006D2224" w:rsidRDefault="009C0601" w:rsidP="00B41614">
            <w:pPr>
              <w:pStyle w:val="Tabletext"/>
              <w:jc w:val="center"/>
            </w:pPr>
          </w:p>
        </w:tc>
        <w:tc>
          <w:tcPr>
            <w:tcW w:w="941" w:type="pct"/>
            <w:shd w:val="clear" w:color="auto" w:fill="auto"/>
            <w:vAlign w:val="center"/>
          </w:tcPr>
          <w:p w:rsidR="009C0601" w:rsidRPr="006D2224" w:rsidRDefault="009C0601" w:rsidP="00B41614">
            <w:pPr>
              <w:pStyle w:val="Tabletext"/>
              <w:jc w:val="center"/>
            </w:pPr>
            <w:r w:rsidRPr="006D2224">
              <w:t>Not used</w:t>
            </w:r>
          </w:p>
        </w:tc>
      </w:tr>
      <w:tr w:rsidR="006C6AA1" w:rsidRPr="006D2224" w:rsidTr="00171EBD">
        <w:tc>
          <w:tcPr>
            <w:tcW w:w="711" w:type="pct"/>
            <w:shd w:val="clear" w:color="auto" w:fill="auto"/>
            <w:vAlign w:val="center"/>
          </w:tcPr>
          <w:p w:rsidR="006C6AA1" w:rsidRPr="006D2224" w:rsidRDefault="006C6AA1" w:rsidP="00171EBD">
            <w:pPr>
              <w:pStyle w:val="Tabletext"/>
            </w:pPr>
            <w:r w:rsidRPr="006D2224">
              <w:t>Meta-analysis</w:t>
            </w:r>
          </w:p>
        </w:tc>
        <w:tc>
          <w:tcPr>
            <w:tcW w:w="466" w:type="pct"/>
            <w:shd w:val="clear" w:color="auto" w:fill="auto"/>
            <w:vAlign w:val="center"/>
          </w:tcPr>
          <w:p w:rsidR="006C6AA1" w:rsidRPr="006D2224" w:rsidRDefault="006C6AA1" w:rsidP="00171EBD">
            <w:pPr>
              <w:pStyle w:val="Tabletext"/>
              <w:jc w:val="center"/>
            </w:pPr>
            <w:r w:rsidRPr="006D2224">
              <w:t>1527</w:t>
            </w:r>
          </w:p>
        </w:tc>
        <w:tc>
          <w:tcPr>
            <w:tcW w:w="2882" w:type="pct"/>
            <w:gridSpan w:val="4"/>
            <w:shd w:val="clear" w:color="auto" w:fill="auto"/>
            <w:vAlign w:val="center"/>
          </w:tcPr>
          <w:p w:rsidR="006C6AA1" w:rsidRPr="006D2224" w:rsidRDefault="006C6AA1" w:rsidP="00171EBD">
            <w:pPr>
              <w:pStyle w:val="Tabletext"/>
            </w:pPr>
            <w:r w:rsidRPr="006D2224">
              <w:t xml:space="preserve">Included ISGA outcomes from the </w:t>
            </w:r>
            <w:proofErr w:type="spellStart"/>
            <w:r w:rsidRPr="006D2224">
              <w:t>crisaborole</w:t>
            </w:r>
            <w:proofErr w:type="spellEnd"/>
            <w:r w:rsidRPr="006D2224">
              <w:t xml:space="preserve"> and ointment vehicle arms in Trials AD-301 and AD-302</w:t>
            </w:r>
          </w:p>
        </w:tc>
        <w:tc>
          <w:tcPr>
            <w:tcW w:w="941" w:type="pct"/>
            <w:shd w:val="clear" w:color="auto" w:fill="auto"/>
            <w:vAlign w:val="center"/>
          </w:tcPr>
          <w:p w:rsidR="006C6AA1" w:rsidRPr="006D2224" w:rsidRDefault="006C6AA1" w:rsidP="00171EBD">
            <w:pPr>
              <w:pStyle w:val="Tabletext"/>
              <w:jc w:val="center"/>
            </w:pPr>
            <w:r w:rsidRPr="006D2224">
              <w:t>ISGA 0 or 1 with ≥2-grade improvement; ISGA 0 or 1</w:t>
            </w:r>
          </w:p>
        </w:tc>
      </w:tr>
      <w:tr w:rsidR="002D7121" w:rsidRPr="006D2224" w:rsidTr="002D7121">
        <w:tc>
          <w:tcPr>
            <w:tcW w:w="5000" w:type="pct"/>
            <w:gridSpan w:val="7"/>
            <w:shd w:val="clear" w:color="auto" w:fill="auto"/>
            <w:vAlign w:val="center"/>
          </w:tcPr>
          <w:p w:rsidR="002D7121" w:rsidRPr="006D2224" w:rsidRDefault="002D7121" w:rsidP="002D7121">
            <w:pPr>
              <w:pStyle w:val="Tabletext"/>
              <w:rPr>
                <w:b/>
              </w:rPr>
            </w:pPr>
            <w:proofErr w:type="spellStart"/>
            <w:r w:rsidRPr="006D2224">
              <w:rPr>
                <w:b/>
              </w:rPr>
              <w:t>Pimecrolimus</w:t>
            </w:r>
            <w:proofErr w:type="spellEnd"/>
            <w:r w:rsidRPr="006D2224">
              <w:rPr>
                <w:b/>
              </w:rPr>
              <w:t xml:space="preserve"> vs. cream vehicle</w:t>
            </w:r>
          </w:p>
        </w:tc>
      </w:tr>
      <w:tr w:rsidR="002D7121" w:rsidRPr="006D2224" w:rsidTr="00AF5245">
        <w:tc>
          <w:tcPr>
            <w:tcW w:w="711" w:type="pct"/>
            <w:shd w:val="clear" w:color="auto" w:fill="auto"/>
            <w:vAlign w:val="center"/>
          </w:tcPr>
          <w:p w:rsidR="002D7121" w:rsidRPr="006D2224" w:rsidRDefault="002D7121" w:rsidP="002D7121">
            <w:pPr>
              <w:pStyle w:val="Tabletext"/>
            </w:pPr>
            <w:r w:rsidRPr="006D2224">
              <w:rPr>
                <w:szCs w:val="20"/>
              </w:rPr>
              <w:t>Barba 2003</w:t>
            </w:r>
          </w:p>
        </w:tc>
        <w:tc>
          <w:tcPr>
            <w:tcW w:w="466" w:type="pct"/>
            <w:shd w:val="clear" w:color="auto" w:fill="auto"/>
            <w:vAlign w:val="center"/>
          </w:tcPr>
          <w:p w:rsidR="002D7121" w:rsidRPr="006D2224" w:rsidRDefault="009C0601" w:rsidP="002D7121">
            <w:pPr>
              <w:pStyle w:val="Tabletext"/>
              <w:jc w:val="center"/>
            </w:pPr>
            <w:r w:rsidRPr="006D2224">
              <w:t>106</w:t>
            </w:r>
          </w:p>
        </w:tc>
        <w:tc>
          <w:tcPr>
            <w:tcW w:w="782" w:type="pct"/>
            <w:shd w:val="clear" w:color="auto" w:fill="auto"/>
            <w:vAlign w:val="center"/>
          </w:tcPr>
          <w:p w:rsidR="009C0601" w:rsidRPr="006D2224" w:rsidRDefault="009C0601" w:rsidP="009C0601">
            <w:pPr>
              <w:pStyle w:val="Tabletext"/>
              <w:jc w:val="center"/>
            </w:pPr>
            <w:r w:rsidRPr="006D2224">
              <w:t>MC, DB, R, VC</w:t>
            </w:r>
          </w:p>
          <w:p w:rsidR="009C0601" w:rsidRPr="006D2224" w:rsidRDefault="009C0601" w:rsidP="009C0601">
            <w:pPr>
              <w:pStyle w:val="Tabletext"/>
              <w:jc w:val="center"/>
            </w:pPr>
            <w:r w:rsidRPr="006D2224">
              <w:t>3 weeks</w:t>
            </w:r>
          </w:p>
        </w:tc>
        <w:tc>
          <w:tcPr>
            <w:tcW w:w="507" w:type="pct"/>
            <w:shd w:val="clear" w:color="auto" w:fill="auto"/>
            <w:vAlign w:val="center"/>
          </w:tcPr>
          <w:p w:rsidR="002D7121" w:rsidRPr="006D2224" w:rsidRDefault="009C0601" w:rsidP="002D7121">
            <w:pPr>
              <w:pStyle w:val="Tabletext"/>
              <w:jc w:val="center"/>
            </w:pPr>
            <w:r w:rsidRPr="006D2224">
              <w:t>Unclear</w:t>
            </w:r>
          </w:p>
        </w:tc>
        <w:tc>
          <w:tcPr>
            <w:tcW w:w="971" w:type="pct"/>
            <w:shd w:val="clear" w:color="auto" w:fill="auto"/>
            <w:vAlign w:val="center"/>
          </w:tcPr>
          <w:p w:rsidR="002D7121" w:rsidRPr="006D2224" w:rsidRDefault="00AF5245" w:rsidP="002D7121">
            <w:pPr>
              <w:pStyle w:val="Tabletext"/>
              <w:jc w:val="center"/>
            </w:pPr>
            <w:r w:rsidRPr="006D2224">
              <w:t>3 months to 18 years old with mild to moderate facial AD</w:t>
            </w:r>
          </w:p>
        </w:tc>
        <w:tc>
          <w:tcPr>
            <w:tcW w:w="622" w:type="pct"/>
            <w:shd w:val="clear" w:color="auto" w:fill="auto"/>
            <w:vAlign w:val="center"/>
          </w:tcPr>
          <w:p w:rsidR="002D7121" w:rsidRPr="006D2224" w:rsidRDefault="00AF5245" w:rsidP="00AF5245">
            <w:pPr>
              <w:pStyle w:val="Tabletext"/>
              <w:jc w:val="center"/>
            </w:pPr>
            <w:r w:rsidRPr="006D2224">
              <w:t xml:space="preserve">Facial-IGA of 0 or 1, IGA of 0 or 1, EASI score </w:t>
            </w:r>
          </w:p>
        </w:tc>
        <w:tc>
          <w:tcPr>
            <w:tcW w:w="941" w:type="pct"/>
            <w:shd w:val="clear" w:color="auto" w:fill="auto"/>
            <w:vAlign w:val="center"/>
          </w:tcPr>
          <w:p w:rsidR="002D7121" w:rsidRPr="006D2224" w:rsidRDefault="009C0601" w:rsidP="002D7121">
            <w:pPr>
              <w:pStyle w:val="Tabletext"/>
              <w:jc w:val="center"/>
            </w:pPr>
            <w:r w:rsidRPr="006D2224">
              <w:t>Not used</w:t>
            </w:r>
          </w:p>
        </w:tc>
      </w:tr>
      <w:tr w:rsidR="002D7121" w:rsidRPr="006D2224" w:rsidTr="00AF5245">
        <w:tc>
          <w:tcPr>
            <w:tcW w:w="711" w:type="pct"/>
            <w:shd w:val="clear" w:color="auto" w:fill="auto"/>
            <w:vAlign w:val="center"/>
          </w:tcPr>
          <w:p w:rsidR="002D7121" w:rsidRPr="006D2224" w:rsidRDefault="002D7121" w:rsidP="002D7121">
            <w:pPr>
              <w:pStyle w:val="Tabletext"/>
            </w:pPr>
            <w:r w:rsidRPr="006D2224">
              <w:rPr>
                <w:szCs w:val="20"/>
              </w:rPr>
              <w:t>Breuer 2004</w:t>
            </w:r>
          </w:p>
        </w:tc>
        <w:tc>
          <w:tcPr>
            <w:tcW w:w="466" w:type="pct"/>
            <w:shd w:val="clear" w:color="auto" w:fill="auto"/>
            <w:vAlign w:val="center"/>
          </w:tcPr>
          <w:p w:rsidR="002D7121" w:rsidRPr="006D2224" w:rsidRDefault="009C0601" w:rsidP="002D7121">
            <w:pPr>
              <w:pStyle w:val="Tabletext"/>
              <w:jc w:val="center"/>
            </w:pPr>
            <w:r w:rsidRPr="006D2224">
              <w:t>190</w:t>
            </w:r>
          </w:p>
        </w:tc>
        <w:tc>
          <w:tcPr>
            <w:tcW w:w="782" w:type="pct"/>
            <w:shd w:val="clear" w:color="auto" w:fill="auto"/>
            <w:vAlign w:val="center"/>
          </w:tcPr>
          <w:p w:rsidR="002D7121" w:rsidRPr="006D2224" w:rsidRDefault="009C0601" w:rsidP="002D7121">
            <w:pPr>
              <w:pStyle w:val="Tabletext"/>
              <w:jc w:val="center"/>
            </w:pPr>
            <w:r w:rsidRPr="006D2224">
              <w:t>MC, DB, R, VC</w:t>
            </w:r>
          </w:p>
          <w:p w:rsidR="009C0601" w:rsidRPr="006D2224" w:rsidRDefault="009C0601" w:rsidP="002D7121">
            <w:pPr>
              <w:pStyle w:val="Tabletext"/>
              <w:jc w:val="center"/>
            </w:pPr>
            <w:r w:rsidRPr="006D2224">
              <w:t>4 weeks</w:t>
            </w:r>
          </w:p>
        </w:tc>
        <w:tc>
          <w:tcPr>
            <w:tcW w:w="507" w:type="pct"/>
            <w:shd w:val="clear" w:color="auto" w:fill="auto"/>
            <w:vAlign w:val="center"/>
          </w:tcPr>
          <w:p w:rsidR="002D7121" w:rsidRPr="006D2224" w:rsidRDefault="009C0601" w:rsidP="002D7121">
            <w:pPr>
              <w:pStyle w:val="Tabletext"/>
              <w:jc w:val="center"/>
            </w:pPr>
            <w:r w:rsidRPr="006D2224">
              <w:t>Unclear</w:t>
            </w:r>
          </w:p>
        </w:tc>
        <w:tc>
          <w:tcPr>
            <w:tcW w:w="971" w:type="pct"/>
            <w:shd w:val="clear" w:color="auto" w:fill="auto"/>
            <w:vAlign w:val="center"/>
          </w:tcPr>
          <w:p w:rsidR="002D7121" w:rsidRPr="006D2224" w:rsidRDefault="00AF5245" w:rsidP="002D7121">
            <w:pPr>
              <w:pStyle w:val="Tabletext"/>
              <w:jc w:val="center"/>
            </w:pPr>
            <w:r w:rsidRPr="006D2224">
              <w:t>3-23 months old with mild to very severe AD</w:t>
            </w:r>
          </w:p>
        </w:tc>
        <w:tc>
          <w:tcPr>
            <w:tcW w:w="622" w:type="pct"/>
            <w:shd w:val="clear" w:color="auto" w:fill="auto"/>
            <w:vAlign w:val="center"/>
          </w:tcPr>
          <w:p w:rsidR="002D7121" w:rsidRPr="006D2224" w:rsidRDefault="00AF5245" w:rsidP="002D7121">
            <w:pPr>
              <w:pStyle w:val="Tabletext"/>
              <w:jc w:val="center"/>
            </w:pPr>
            <w:r w:rsidRPr="006D2224">
              <w:t>EASI score, IGA 0 or 1, SCORAD</w:t>
            </w:r>
          </w:p>
        </w:tc>
        <w:tc>
          <w:tcPr>
            <w:tcW w:w="941" w:type="pct"/>
            <w:shd w:val="clear" w:color="auto" w:fill="auto"/>
            <w:vAlign w:val="center"/>
          </w:tcPr>
          <w:p w:rsidR="002D7121" w:rsidRPr="006D2224" w:rsidRDefault="009C0601" w:rsidP="002D7121">
            <w:pPr>
              <w:pStyle w:val="Tabletext"/>
              <w:jc w:val="center"/>
            </w:pPr>
            <w:r w:rsidRPr="006D2224">
              <w:t>Not used</w:t>
            </w:r>
          </w:p>
        </w:tc>
      </w:tr>
      <w:tr w:rsidR="002D7121" w:rsidRPr="006D2224" w:rsidTr="00AF5245">
        <w:tc>
          <w:tcPr>
            <w:tcW w:w="711" w:type="pct"/>
            <w:shd w:val="clear" w:color="auto" w:fill="auto"/>
            <w:vAlign w:val="center"/>
          </w:tcPr>
          <w:p w:rsidR="002D7121" w:rsidRPr="006D2224" w:rsidRDefault="002D7121" w:rsidP="002D7121">
            <w:pPr>
              <w:pStyle w:val="Tabletext"/>
            </w:pPr>
            <w:r w:rsidRPr="006D2224">
              <w:rPr>
                <w:szCs w:val="20"/>
              </w:rPr>
              <w:t>Trial B305</w:t>
            </w:r>
            <w:r w:rsidR="009C0601" w:rsidRPr="006D2224">
              <w:rPr>
                <w:szCs w:val="20"/>
                <w:vertAlign w:val="superscript"/>
              </w:rPr>
              <w:t>b</w:t>
            </w:r>
            <w:r w:rsidRPr="006D2224">
              <w:rPr>
                <w:szCs w:val="20"/>
              </w:rPr>
              <w:t xml:space="preserve"> </w:t>
            </w:r>
          </w:p>
        </w:tc>
        <w:tc>
          <w:tcPr>
            <w:tcW w:w="466" w:type="pct"/>
            <w:shd w:val="clear" w:color="auto" w:fill="auto"/>
            <w:vAlign w:val="center"/>
          </w:tcPr>
          <w:p w:rsidR="002D7121" w:rsidRPr="006D2224" w:rsidRDefault="009C0601" w:rsidP="002D7121">
            <w:pPr>
              <w:pStyle w:val="Tabletext"/>
              <w:jc w:val="center"/>
            </w:pPr>
            <w:r w:rsidRPr="006D2224">
              <w:t>198</w:t>
            </w:r>
          </w:p>
        </w:tc>
        <w:tc>
          <w:tcPr>
            <w:tcW w:w="782" w:type="pct"/>
            <w:shd w:val="clear" w:color="auto" w:fill="auto"/>
            <w:vAlign w:val="center"/>
          </w:tcPr>
          <w:p w:rsidR="002D7121" w:rsidRPr="006D2224" w:rsidRDefault="009C0601" w:rsidP="002D7121">
            <w:pPr>
              <w:pStyle w:val="Tabletext"/>
              <w:jc w:val="center"/>
            </w:pPr>
            <w:r w:rsidRPr="006D2224">
              <w:t>MC, DB, R, VC</w:t>
            </w:r>
          </w:p>
          <w:p w:rsidR="009C0601" w:rsidRPr="006D2224" w:rsidRDefault="009C0601" w:rsidP="002D7121">
            <w:pPr>
              <w:pStyle w:val="Tabletext"/>
              <w:jc w:val="center"/>
            </w:pPr>
            <w:r w:rsidRPr="006D2224">
              <w:t>6 weeks</w:t>
            </w:r>
          </w:p>
        </w:tc>
        <w:tc>
          <w:tcPr>
            <w:tcW w:w="507" w:type="pct"/>
            <w:shd w:val="clear" w:color="auto" w:fill="auto"/>
            <w:vAlign w:val="center"/>
          </w:tcPr>
          <w:p w:rsidR="002D7121" w:rsidRPr="006D2224" w:rsidRDefault="009C0601" w:rsidP="002D7121">
            <w:pPr>
              <w:pStyle w:val="Tabletext"/>
              <w:jc w:val="center"/>
            </w:pPr>
            <w:r w:rsidRPr="006D2224">
              <w:t>Unclear</w:t>
            </w:r>
          </w:p>
        </w:tc>
        <w:tc>
          <w:tcPr>
            <w:tcW w:w="971" w:type="pct"/>
            <w:shd w:val="clear" w:color="auto" w:fill="auto"/>
            <w:vAlign w:val="center"/>
          </w:tcPr>
          <w:p w:rsidR="002D7121" w:rsidRPr="006D2224" w:rsidRDefault="00AF5245" w:rsidP="002D7121">
            <w:pPr>
              <w:pStyle w:val="Tabletext"/>
              <w:jc w:val="center"/>
            </w:pPr>
            <w:r w:rsidRPr="006D2224">
              <w:t>1-17 years old with mild to moderate AD</w:t>
            </w:r>
          </w:p>
        </w:tc>
        <w:tc>
          <w:tcPr>
            <w:tcW w:w="622" w:type="pct"/>
            <w:shd w:val="clear" w:color="auto" w:fill="auto"/>
            <w:vAlign w:val="center"/>
          </w:tcPr>
          <w:p w:rsidR="002D7121" w:rsidRPr="006D2224" w:rsidRDefault="00AF5245" w:rsidP="002D7121">
            <w:pPr>
              <w:pStyle w:val="Tabletext"/>
              <w:jc w:val="center"/>
            </w:pPr>
            <w:r w:rsidRPr="006D2224">
              <w:t>IGA 0 or 1, EASI score</w:t>
            </w:r>
          </w:p>
        </w:tc>
        <w:tc>
          <w:tcPr>
            <w:tcW w:w="941" w:type="pct"/>
            <w:shd w:val="clear" w:color="auto" w:fill="auto"/>
            <w:vAlign w:val="center"/>
          </w:tcPr>
          <w:p w:rsidR="002D7121" w:rsidRPr="006D2224" w:rsidRDefault="009C0601" w:rsidP="002D7121">
            <w:pPr>
              <w:pStyle w:val="Tabletext"/>
              <w:jc w:val="center"/>
            </w:pPr>
            <w:r w:rsidRPr="006D2224">
              <w:t>Not used</w:t>
            </w:r>
          </w:p>
        </w:tc>
      </w:tr>
      <w:tr w:rsidR="002D7121" w:rsidRPr="006D2224" w:rsidTr="00AF5245">
        <w:tc>
          <w:tcPr>
            <w:tcW w:w="711" w:type="pct"/>
            <w:shd w:val="clear" w:color="auto" w:fill="auto"/>
            <w:vAlign w:val="center"/>
          </w:tcPr>
          <w:p w:rsidR="002D7121" w:rsidRPr="006D2224" w:rsidRDefault="002D7121" w:rsidP="002D7121">
            <w:pPr>
              <w:pStyle w:val="Tabletext"/>
              <w:rPr>
                <w:vertAlign w:val="superscript"/>
              </w:rPr>
            </w:pPr>
            <w:r w:rsidRPr="006D2224">
              <w:rPr>
                <w:szCs w:val="20"/>
              </w:rPr>
              <w:t>Trial B307</w:t>
            </w:r>
            <w:r w:rsidR="009C0601" w:rsidRPr="006D2224">
              <w:rPr>
                <w:szCs w:val="20"/>
                <w:vertAlign w:val="superscript"/>
              </w:rPr>
              <w:t>b</w:t>
            </w:r>
          </w:p>
        </w:tc>
        <w:tc>
          <w:tcPr>
            <w:tcW w:w="466" w:type="pct"/>
            <w:shd w:val="clear" w:color="auto" w:fill="auto"/>
            <w:vAlign w:val="center"/>
          </w:tcPr>
          <w:p w:rsidR="002D7121" w:rsidRPr="006D2224" w:rsidRDefault="009C0601" w:rsidP="002D7121">
            <w:pPr>
              <w:pStyle w:val="Tabletext"/>
              <w:jc w:val="center"/>
            </w:pPr>
            <w:r w:rsidRPr="006D2224">
              <w:t>205</w:t>
            </w:r>
          </w:p>
        </w:tc>
        <w:tc>
          <w:tcPr>
            <w:tcW w:w="782" w:type="pct"/>
            <w:shd w:val="clear" w:color="auto" w:fill="auto"/>
            <w:vAlign w:val="center"/>
          </w:tcPr>
          <w:p w:rsidR="002D7121" w:rsidRPr="006D2224" w:rsidRDefault="009C0601" w:rsidP="002D7121">
            <w:pPr>
              <w:pStyle w:val="Tabletext"/>
              <w:jc w:val="center"/>
            </w:pPr>
            <w:r w:rsidRPr="006D2224">
              <w:t>MC, DB, R, VC</w:t>
            </w:r>
          </w:p>
          <w:p w:rsidR="009C0601" w:rsidRPr="006D2224" w:rsidRDefault="009C0601" w:rsidP="002D7121">
            <w:pPr>
              <w:pStyle w:val="Tabletext"/>
              <w:jc w:val="center"/>
            </w:pPr>
            <w:r w:rsidRPr="006D2224">
              <w:t>6 weeks</w:t>
            </w:r>
          </w:p>
        </w:tc>
        <w:tc>
          <w:tcPr>
            <w:tcW w:w="507" w:type="pct"/>
            <w:shd w:val="clear" w:color="auto" w:fill="auto"/>
            <w:vAlign w:val="center"/>
          </w:tcPr>
          <w:p w:rsidR="002D7121" w:rsidRPr="006D2224" w:rsidRDefault="009C0601" w:rsidP="002D7121">
            <w:pPr>
              <w:pStyle w:val="Tabletext"/>
              <w:jc w:val="center"/>
            </w:pPr>
            <w:r w:rsidRPr="006D2224">
              <w:t>Unclear</w:t>
            </w:r>
          </w:p>
        </w:tc>
        <w:tc>
          <w:tcPr>
            <w:tcW w:w="971" w:type="pct"/>
            <w:shd w:val="clear" w:color="auto" w:fill="auto"/>
            <w:vAlign w:val="center"/>
          </w:tcPr>
          <w:p w:rsidR="002D7121" w:rsidRPr="006D2224" w:rsidRDefault="00AF5245" w:rsidP="002D7121">
            <w:pPr>
              <w:pStyle w:val="Tabletext"/>
              <w:jc w:val="center"/>
            </w:pPr>
            <w:r w:rsidRPr="006D2224">
              <w:t>1-17 years old with mild to moderate AD</w:t>
            </w:r>
          </w:p>
        </w:tc>
        <w:tc>
          <w:tcPr>
            <w:tcW w:w="622" w:type="pct"/>
            <w:shd w:val="clear" w:color="auto" w:fill="auto"/>
            <w:vAlign w:val="center"/>
          </w:tcPr>
          <w:p w:rsidR="002D7121" w:rsidRPr="006D2224" w:rsidRDefault="004C2C61" w:rsidP="002D7121">
            <w:pPr>
              <w:pStyle w:val="Tabletext"/>
              <w:jc w:val="center"/>
            </w:pPr>
            <w:r w:rsidRPr="006D2224">
              <w:t>IGA 0 or 1, EASI score</w:t>
            </w:r>
          </w:p>
        </w:tc>
        <w:tc>
          <w:tcPr>
            <w:tcW w:w="941" w:type="pct"/>
            <w:shd w:val="clear" w:color="auto" w:fill="auto"/>
            <w:vAlign w:val="center"/>
          </w:tcPr>
          <w:p w:rsidR="002D7121" w:rsidRPr="006D2224" w:rsidRDefault="009C0601" w:rsidP="002D7121">
            <w:pPr>
              <w:pStyle w:val="Tabletext"/>
              <w:jc w:val="center"/>
            </w:pPr>
            <w:r w:rsidRPr="006D2224">
              <w:t>Not used</w:t>
            </w:r>
          </w:p>
        </w:tc>
      </w:tr>
      <w:tr w:rsidR="002D7121" w:rsidRPr="006D2224" w:rsidTr="00AF5245">
        <w:tc>
          <w:tcPr>
            <w:tcW w:w="711" w:type="pct"/>
            <w:shd w:val="clear" w:color="auto" w:fill="auto"/>
            <w:vAlign w:val="center"/>
          </w:tcPr>
          <w:p w:rsidR="002D7121" w:rsidRPr="006D2224" w:rsidRDefault="002D7121" w:rsidP="002D7121">
            <w:pPr>
              <w:pStyle w:val="Tabletext"/>
            </w:pPr>
            <w:r w:rsidRPr="006D2224">
              <w:rPr>
                <w:szCs w:val="20"/>
              </w:rPr>
              <w:t>Trial 0316</w:t>
            </w:r>
          </w:p>
        </w:tc>
        <w:tc>
          <w:tcPr>
            <w:tcW w:w="466" w:type="pct"/>
            <w:shd w:val="clear" w:color="auto" w:fill="auto"/>
            <w:vAlign w:val="center"/>
          </w:tcPr>
          <w:p w:rsidR="002D7121" w:rsidRPr="006D2224" w:rsidRDefault="009C0601" w:rsidP="002D7121">
            <w:pPr>
              <w:pStyle w:val="Tabletext"/>
              <w:jc w:val="center"/>
            </w:pPr>
            <w:r w:rsidRPr="006D2224">
              <w:t>186</w:t>
            </w:r>
          </w:p>
        </w:tc>
        <w:tc>
          <w:tcPr>
            <w:tcW w:w="782" w:type="pct"/>
            <w:shd w:val="clear" w:color="auto" w:fill="auto"/>
            <w:vAlign w:val="center"/>
          </w:tcPr>
          <w:p w:rsidR="002D7121" w:rsidRPr="006D2224" w:rsidRDefault="009C0601" w:rsidP="002D7121">
            <w:pPr>
              <w:pStyle w:val="Tabletext"/>
              <w:jc w:val="center"/>
            </w:pPr>
            <w:r w:rsidRPr="006D2224">
              <w:t>MC, DB, R, VC</w:t>
            </w:r>
          </w:p>
          <w:p w:rsidR="009C0601" w:rsidRPr="006D2224" w:rsidRDefault="009C0601" w:rsidP="002D7121">
            <w:pPr>
              <w:pStyle w:val="Tabletext"/>
              <w:jc w:val="center"/>
            </w:pPr>
            <w:r w:rsidRPr="006D2224">
              <w:t>6 weeks</w:t>
            </w:r>
          </w:p>
        </w:tc>
        <w:tc>
          <w:tcPr>
            <w:tcW w:w="507" w:type="pct"/>
            <w:shd w:val="clear" w:color="auto" w:fill="auto"/>
            <w:vAlign w:val="center"/>
          </w:tcPr>
          <w:p w:rsidR="002D7121" w:rsidRPr="006D2224" w:rsidRDefault="009C0601" w:rsidP="002D7121">
            <w:pPr>
              <w:pStyle w:val="Tabletext"/>
              <w:jc w:val="center"/>
            </w:pPr>
            <w:r w:rsidRPr="006D2224">
              <w:t>Low</w:t>
            </w:r>
          </w:p>
        </w:tc>
        <w:tc>
          <w:tcPr>
            <w:tcW w:w="971" w:type="pct"/>
            <w:shd w:val="clear" w:color="auto" w:fill="auto"/>
            <w:vAlign w:val="center"/>
          </w:tcPr>
          <w:p w:rsidR="002D7121" w:rsidRPr="006D2224" w:rsidRDefault="00AF5245" w:rsidP="002D7121">
            <w:pPr>
              <w:pStyle w:val="Tabletext"/>
              <w:jc w:val="center"/>
            </w:pPr>
            <w:r w:rsidRPr="006D2224">
              <w:t>3-23 months old with mild to moderate AD</w:t>
            </w:r>
          </w:p>
        </w:tc>
        <w:tc>
          <w:tcPr>
            <w:tcW w:w="622" w:type="pct"/>
            <w:shd w:val="clear" w:color="auto" w:fill="auto"/>
            <w:vAlign w:val="center"/>
          </w:tcPr>
          <w:p w:rsidR="002D7121" w:rsidRPr="006D2224" w:rsidRDefault="004C2C61" w:rsidP="002D7121">
            <w:pPr>
              <w:pStyle w:val="Tabletext"/>
              <w:jc w:val="center"/>
            </w:pPr>
            <w:r w:rsidRPr="006D2224">
              <w:t>IGA 0 or 1, EASI score</w:t>
            </w:r>
          </w:p>
        </w:tc>
        <w:tc>
          <w:tcPr>
            <w:tcW w:w="941" w:type="pct"/>
            <w:shd w:val="clear" w:color="auto" w:fill="auto"/>
            <w:vAlign w:val="center"/>
          </w:tcPr>
          <w:p w:rsidR="002D7121" w:rsidRPr="006D2224" w:rsidRDefault="009C0601" w:rsidP="002D7121">
            <w:pPr>
              <w:pStyle w:val="Tabletext"/>
              <w:jc w:val="center"/>
            </w:pPr>
            <w:r w:rsidRPr="006D2224">
              <w:t>Not used</w:t>
            </w:r>
          </w:p>
        </w:tc>
      </w:tr>
      <w:tr w:rsidR="002D7121" w:rsidRPr="006D2224" w:rsidTr="00AF5245">
        <w:tc>
          <w:tcPr>
            <w:tcW w:w="711" w:type="pct"/>
            <w:shd w:val="clear" w:color="auto" w:fill="auto"/>
            <w:vAlign w:val="center"/>
          </w:tcPr>
          <w:p w:rsidR="002D7121" w:rsidRPr="006D2224" w:rsidRDefault="002D7121" w:rsidP="002D7121">
            <w:pPr>
              <w:pStyle w:val="Tabletext"/>
            </w:pPr>
            <w:r w:rsidRPr="006D2224">
              <w:rPr>
                <w:szCs w:val="20"/>
              </w:rPr>
              <w:t>Leung 2009</w:t>
            </w:r>
          </w:p>
        </w:tc>
        <w:tc>
          <w:tcPr>
            <w:tcW w:w="466" w:type="pct"/>
            <w:shd w:val="clear" w:color="auto" w:fill="auto"/>
            <w:vAlign w:val="center"/>
          </w:tcPr>
          <w:p w:rsidR="002D7121" w:rsidRPr="006D2224" w:rsidRDefault="00AF5245" w:rsidP="002D7121">
            <w:pPr>
              <w:pStyle w:val="Tabletext"/>
              <w:jc w:val="center"/>
            </w:pPr>
            <w:r w:rsidRPr="006D2224">
              <w:t>73</w:t>
            </w:r>
          </w:p>
        </w:tc>
        <w:tc>
          <w:tcPr>
            <w:tcW w:w="782" w:type="pct"/>
            <w:shd w:val="clear" w:color="auto" w:fill="auto"/>
            <w:vAlign w:val="center"/>
          </w:tcPr>
          <w:p w:rsidR="002D7121" w:rsidRPr="006D2224" w:rsidRDefault="00AF5245" w:rsidP="002D7121">
            <w:pPr>
              <w:pStyle w:val="Tabletext"/>
              <w:jc w:val="center"/>
            </w:pPr>
            <w:r w:rsidRPr="006D2224">
              <w:t>MC, DB, R, VC</w:t>
            </w:r>
          </w:p>
          <w:p w:rsidR="006C6AA1" w:rsidRPr="006D2224" w:rsidRDefault="006C6AA1" w:rsidP="002D7121">
            <w:pPr>
              <w:pStyle w:val="Tabletext"/>
              <w:jc w:val="center"/>
            </w:pPr>
            <w:r w:rsidRPr="006D2224">
              <w:t>6 weeks</w:t>
            </w:r>
          </w:p>
        </w:tc>
        <w:tc>
          <w:tcPr>
            <w:tcW w:w="507" w:type="pct"/>
            <w:shd w:val="clear" w:color="auto" w:fill="auto"/>
            <w:vAlign w:val="center"/>
          </w:tcPr>
          <w:p w:rsidR="002D7121" w:rsidRPr="006D2224" w:rsidRDefault="009C0601" w:rsidP="002D7121">
            <w:pPr>
              <w:pStyle w:val="Tabletext"/>
              <w:jc w:val="center"/>
            </w:pPr>
            <w:r w:rsidRPr="006D2224">
              <w:t>Low</w:t>
            </w:r>
          </w:p>
        </w:tc>
        <w:tc>
          <w:tcPr>
            <w:tcW w:w="971" w:type="pct"/>
            <w:shd w:val="clear" w:color="auto" w:fill="auto"/>
            <w:vAlign w:val="center"/>
          </w:tcPr>
          <w:p w:rsidR="002D7121" w:rsidRPr="006D2224" w:rsidRDefault="00AF5245" w:rsidP="002D7121">
            <w:pPr>
              <w:pStyle w:val="Tabletext"/>
              <w:jc w:val="center"/>
            </w:pPr>
            <w:r w:rsidRPr="006D2224">
              <w:t>2-50 years old with mild to moderate AD</w:t>
            </w:r>
            <w:r w:rsidR="004C2C61" w:rsidRPr="006D2224">
              <w:t xml:space="preserve"> who have failed topical corticosteroids </w:t>
            </w:r>
          </w:p>
        </w:tc>
        <w:tc>
          <w:tcPr>
            <w:tcW w:w="622" w:type="pct"/>
            <w:shd w:val="clear" w:color="auto" w:fill="auto"/>
            <w:vAlign w:val="center"/>
          </w:tcPr>
          <w:p w:rsidR="002D7121" w:rsidRPr="006D2224" w:rsidRDefault="004C2C61" w:rsidP="002D7121">
            <w:pPr>
              <w:pStyle w:val="Tabletext"/>
              <w:jc w:val="center"/>
            </w:pPr>
            <w:r w:rsidRPr="006D2224">
              <w:t>Relationship between laboratory and clinical assessments, IGA 0 or 1</w:t>
            </w:r>
          </w:p>
        </w:tc>
        <w:tc>
          <w:tcPr>
            <w:tcW w:w="941" w:type="pct"/>
            <w:shd w:val="clear" w:color="auto" w:fill="auto"/>
            <w:vAlign w:val="center"/>
          </w:tcPr>
          <w:p w:rsidR="002D7121" w:rsidRPr="006D2224" w:rsidRDefault="009C0601" w:rsidP="002D7121">
            <w:pPr>
              <w:pStyle w:val="Tabletext"/>
              <w:jc w:val="center"/>
            </w:pPr>
            <w:r w:rsidRPr="006D2224">
              <w:t>Not used</w:t>
            </w:r>
          </w:p>
        </w:tc>
      </w:tr>
    </w:tbl>
    <w:p w:rsidR="00045017" w:rsidRPr="006D2224" w:rsidRDefault="007B2F3E" w:rsidP="00045017">
      <w:pPr>
        <w:pStyle w:val="TableFooter"/>
      </w:pPr>
      <w:r w:rsidRPr="006D2224">
        <w:t>Source: Table 2.3-1, pp48-49 and Table 2.3-1, pp96-97 of the submission</w:t>
      </w:r>
    </w:p>
    <w:p w:rsidR="007B2F3E" w:rsidRPr="006D2224" w:rsidRDefault="007B2F3E" w:rsidP="007B2F3E">
      <w:pPr>
        <w:pStyle w:val="TableFooter"/>
      </w:pPr>
      <w:r w:rsidRPr="006D2224">
        <w:t xml:space="preserve">Abbreviations: AD, atopic dermatitis; DB, double blind; </w:t>
      </w:r>
      <w:r w:rsidR="00AF5245" w:rsidRPr="006D2224">
        <w:t xml:space="preserve">EASI, Eczema Area &amp; Severity Index; IGA, Investigator’s Global Assessment; ISGA, Investigator’s Static Global Assessment; </w:t>
      </w:r>
      <w:r w:rsidRPr="006D2224">
        <w:t xml:space="preserve">MC, </w:t>
      </w:r>
      <w:r w:rsidR="002D7121" w:rsidRPr="006D2224">
        <w:t>multi-centre</w:t>
      </w:r>
      <w:r w:rsidRPr="006D2224">
        <w:t xml:space="preserve">; R, </w:t>
      </w:r>
      <w:r w:rsidR="002D7121" w:rsidRPr="006D2224">
        <w:t xml:space="preserve">randomised; </w:t>
      </w:r>
      <w:r w:rsidR="00AF5245" w:rsidRPr="006D2224">
        <w:t xml:space="preserve">SCORAD, </w:t>
      </w:r>
      <w:proofErr w:type="spellStart"/>
      <w:r w:rsidR="00AF5245" w:rsidRPr="006D2224">
        <w:t>SCORing</w:t>
      </w:r>
      <w:proofErr w:type="spellEnd"/>
      <w:r w:rsidR="00AF5245" w:rsidRPr="006D2224">
        <w:t xml:space="preserve"> Atopic Dermatitis; </w:t>
      </w:r>
      <w:r w:rsidR="002D7121" w:rsidRPr="006D2224">
        <w:t>VC, vehicle-controlled</w:t>
      </w:r>
    </w:p>
    <w:p w:rsidR="007B2F3E" w:rsidRPr="006D2224" w:rsidRDefault="009C0601" w:rsidP="009C0601">
      <w:pPr>
        <w:pStyle w:val="TableFooter"/>
      </w:pPr>
      <w:proofErr w:type="spellStart"/>
      <w:proofErr w:type="gramStart"/>
      <w:r w:rsidRPr="006D2224">
        <w:rPr>
          <w:vertAlign w:val="superscript"/>
        </w:rPr>
        <w:t>a</w:t>
      </w:r>
      <w:proofErr w:type="spellEnd"/>
      <w:proofErr w:type="gramEnd"/>
      <w:r w:rsidRPr="006D2224">
        <w:t xml:space="preserve"> Identical study designs</w:t>
      </w:r>
    </w:p>
    <w:p w:rsidR="009C0601" w:rsidRPr="006D2224" w:rsidRDefault="009C0601" w:rsidP="009C0601">
      <w:pPr>
        <w:pStyle w:val="TableFooter"/>
      </w:pPr>
      <w:proofErr w:type="gramStart"/>
      <w:r w:rsidRPr="006D2224">
        <w:rPr>
          <w:vertAlign w:val="superscript"/>
        </w:rPr>
        <w:t>b</w:t>
      </w:r>
      <w:proofErr w:type="gramEnd"/>
      <w:r w:rsidRPr="006D2224">
        <w:t xml:space="preserve"> Identical study designs</w:t>
      </w:r>
    </w:p>
    <w:p w:rsidR="007F1017" w:rsidRPr="006D2224" w:rsidRDefault="007F1017" w:rsidP="007F1017"/>
    <w:p w:rsidR="00045017" w:rsidRPr="006D2224" w:rsidRDefault="004C2C61" w:rsidP="00173629">
      <w:pPr>
        <w:pStyle w:val="ListParagraph"/>
        <w:widowControl/>
        <w:numPr>
          <w:ilvl w:val="1"/>
          <w:numId w:val="2"/>
        </w:numPr>
      </w:pPr>
      <w:r w:rsidRPr="006D2224">
        <w:t xml:space="preserve">There was limited information reported for the Barba 2003 trial which was only available in an abstract. </w:t>
      </w:r>
    </w:p>
    <w:p w:rsidR="00437A30" w:rsidRPr="006D2224" w:rsidRDefault="00437A30" w:rsidP="00173629">
      <w:pPr>
        <w:pStyle w:val="ListParagraph"/>
        <w:widowControl/>
        <w:numPr>
          <w:ilvl w:val="1"/>
          <w:numId w:val="2"/>
        </w:numPr>
      </w:pPr>
      <w:r w:rsidRPr="006D2224">
        <w:t xml:space="preserve">In the Breuer 2004 trial, patients could be switched to open-label </w:t>
      </w:r>
      <w:proofErr w:type="spellStart"/>
      <w:r w:rsidRPr="006D2224">
        <w:t>pimecrolimus</w:t>
      </w:r>
      <w:proofErr w:type="spellEnd"/>
      <w:r w:rsidRPr="006D2224">
        <w:t xml:space="preserve"> after 2 weeks of the double-blind phase if they achieved total disease clearance or did not show any improvement. The potential risk of bias for Week 4 results was unclear as </w:t>
      </w:r>
      <w:r w:rsidRPr="006D2224">
        <w:lastRenderedPageBreak/>
        <w:t>the number of patients who switched treatments was not reported in the publication.</w:t>
      </w:r>
    </w:p>
    <w:p w:rsidR="0068029F" w:rsidRPr="006D2224" w:rsidRDefault="00437A30" w:rsidP="00173629">
      <w:pPr>
        <w:pStyle w:val="ListParagraph"/>
        <w:widowControl/>
        <w:numPr>
          <w:ilvl w:val="1"/>
          <w:numId w:val="2"/>
        </w:numPr>
        <w:spacing w:after="0"/>
      </w:pPr>
      <w:r w:rsidRPr="006D2224">
        <w:t xml:space="preserve">The overall risk of bias for Trials B305 and B307 was unclear as data were only reported as a pooled analysis in the publication. During the evaluation, additional data from the individual studies were extracted from the FDA statistical review for </w:t>
      </w:r>
      <w:proofErr w:type="spellStart"/>
      <w:r w:rsidRPr="006D2224">
        <w:t>pimecrolimus</w:t>
      </w:r>
      <w:proofErr w:type="spellEnd"/>
      <w:r w:rsidRPr="006D2224">
        <w:t xml:space="preserve"> 1% cream (2001). </w:t>
      </w:r>
    </w:p>
    <w:p w:rsidR="00750E01" w:rsidRPr="006D2224" w:rsidRDefault="00750E01" w:rsidP="00750E01">
      <w:pPr>
        <w:pStyle w:val="ListParagraph"/>
        <w:widowControl/>
        <w:spacing w:after="0"/>
      </w:pPr>
    </w:p>
    <w:p w:rsidR="00B60939" w:rsidRPr="006D2224" w:rsidRDefault="0068029F" w:rsidP="00AC2450">
      <w:pPr>
        <w:pStyle w:val="ListParagraph"/>
        <w:widowControl/>
        <w:numPr>
          <w:ilvl w:val="1"/>
          <w:numId w:val="2"/>
        </w:numPr>
      </w:pPr>
      <w:r w:rsidRPr="006D2224">
        <w:t xml:space="preserve">The ESC noted that the PSCR </w:t>
      </w:r>
      <w:r w:rsidR="00750E01" w:rsidRPr="006D2224">
        <w:t xml:space="preserve">(p1) </w:t>
      </w:r>
      <w:r w:rsidRPr="006D2224">
        <w:t xml:space="preserve">presented </w:t>
      </w:r>
      <w:r w:rsidR="00346085" w:rsidRPr="006D2224">
        <w:t xml:space="preserve">results of </w:t>
      </w:r>
      <w:r w:rsidR="00894923" w:rsidRPr="006D2224">
        <w:t>extension</w:t>
      </w:r>
      <w:r w:rsidR="00346085" w:rsidRPr="006D2224">
        <w:t xml:space="preserve"> study AD-303 to support long-term intermittent efficacy</w:t>
      </w:r>
      <w:r w:rsidRPr="006D2224">
        <w:t xml:space="preserve"> </w:t>
      </w:r>
      <w:r w:rsidR="00346085" w:rsidRPr="006D2224">
        <w:t xml:space="preserve">of </w:t>
      </w:r>
      <w:proofErr w:type="spellStart"/>
      <w:r w:rsidR="00346085" w:rsidRPr="006D2224">
        <w:t>crisaborole</w:t>
      </w:r>
      <w:proofErr w:type="spellEnd"/>
      <w:r w:rsidR="00346085" w:rsidRPr="006D2224">
        <w:t>. The ESC noted that study AD-303 was a single arm, open-label study</w:t>
      </w:r>
      <w:r w:rsidR="002F1BD2" w:rsidRPr="006D2224">
        <w:t xml:space="preserve"> that was not designed to measure efficacy</w:t>
      </w:r>
      <w:r w:rsidR="00346085" w:rsidRPr="006D2224">
        <w:t>.</w:t>
      </w:r>
      <w:r w:rsidRPr="006D2224">
        <w:t xml:space="preserve"> </w:t>
      </w:r>
      <w:r w:rsidR="00437A30" w:rsidRPr="006D2224">
        <w:t xml:space="preserve"> </w:t>
      </w:r>
    </w:p>
    <w:p w:rsidR="00172808" w:rsidRPr="006D2224" w:rsidRDefault="00E174E0" w:rsidP="00172808">
      <w:pPr>
        <w:pStyle w:val="ListParagraph"/>
        <w:widowControl/>
        <w:numPr>
          <w:ilvl w:val="1"/>
          <w:numId w:val="2"/>
        </w:numPr>
      </w:pPr>
      <w:r w:rsidRPr="006D2224">
        <w:t xml:space="preserve">The ESC considered that the </w:t>
      </w:r>
      <w:proofErr w:type="spellStart"/>
      <w:r w:rsidRPr="006D2224">
        <w:t>crisaborole</w:t>
      </w:r>
      <w:proofErr w:type="spellEnd"/>
      <w:r w:rsidRPr="006D2224">
        <w:t xml:space="preserve"> trials had a reasonably low risk of bias but that there was uncertainty </w:t>
      </w:r>
      <w:r w:rsidR="00882A1E" w:rsidRPr="006D2224">
        <w:t xml:space="preserve">in the </w:t>
      </w:r>
      <w:proofErr w:type="spellStart"/>
      <w:r w:rsidR="00882A1E" w:rsidRPr="006D2224">
        <w:t>pimecroli</w:t>
      </w:r>
      <w:r w:rsidRPr="006D2224">
        <w:t>m</w:t>
      </w:r>
      <w:r w:rsidR="00882A1E" w:rsidRPr="006D2224">
        <w:t>u</w:t>
      </w:r>
      <w:r w:rsidRPr="006D2224">
        <w:t>s</w:t>
      </w:r>
      <w:proofErr w:type="spellEnd"/>
      <w:r w:rsidRPr="006D2224">
        <w:t xml:space="preserve"> trials due to the limited details available.</w:t>
      </w:r>
    </w:p>
    <w:p w:rsidR="00B60939" w:rsidRPr="006D2224" w:rsidRDefault="00B60939" w:rsidP="00C9624D">
      <w:pPr>
        <w:pStyle w:val="Heading2"/>
      </w:pPr>
      <w:bookmarkStart w:id="8" w:name="_Toc524516450"/>
      <w:r w:rsidRPr="006D2224">
        <w:t>Comparative eff</w:t>
      </w:r>
      <w:r w:rsidR="00437A30" w:rsidRPr="006D2224">
        <w:t>icacy</w:t>
      </w:r>
      <w:bookmarkEnd w:id="8"/>
    </w:p>
    <w:p w:rsidR="00B60939" w:rsidRPr="006D2224" w:rsidRDefault="00B60939" w:rsidP="00B60939"/>
    <w:p w:rsidR="009036EE" w:rsidRPr="006D2224" w:rsidRDefault="009036EE" w:rsidP="00173629">
      <w:pPr>
        <w:pStyle w:val="ListParagraph"/>
        <w:widowControl/>
        <w:numPr>
          <w:ilvl w:val="1"/>
          <w:numId w:val="2"/>
        </w:numPr>
      </w:pPr>
      <w:r w:rsidRPr="006D2224">
        <w:t xml:space="preserve">The submission claimed that the vehicle in the </w:t>
      </w:r>
      <w:proofErr w:type="spellStart"/>
      <w:r w:rsidRPr="006D2224">
        <w:t>crisaborole</w:t>
      </w:r>
      <w:proofErr w:type="spellEnd"/>
      <w:r w:rsidRPr="006D2224">
        <w:t xml:space="preserve"> trials has a therapeutic benefit, therefore </w:t>
      </w:r>
      <w:proofErr w:type="spellStart"/>
      <w:r w:rsidRPr="006D2224">
        <w:t>cr</w:t>
      </w:r>
      <w:r w:rsidR="005276A3" w:rsidRPr="006D2224">
        <w:t>isaborole</w:t>
      </w:r>
      <w:proofErr w:type="spellEnd"/>
      <w:r w:rsidR="005276A3" w:rsidRPr="006D2224">
        <w:t xml:space="preserve"> is likely to have a greater treatment effect</w:t>
      </w:r>
      <w:r w:rsidRPr="006D2224">
        <w:t xml:space="preserve"> when compared to placebo. No data were provided on the magnitude of treatment effect associated with the vehicle versus placebo</w:t>
      </w:r>
      <w:r w:rsidR="006C6AA1" w:rsidRPr="006D2224">
        <w:t xml:space="preserve"> or proprietary emollients</w:t>
      </w:r>
      <w:r w:rsidRPr="006D2224">
        <w:t>.</w:t>
      </w:r>
    </w:p>
    <w:p w:rsidR="002C2775" w:rsidRPr="006D2224" w:rsidRDefault="00EE6FA6" w:rsidP="00173629">
      <w:pPr>
        <w:pStyle w:val="ListParagraph"/>
        <w:widowControl/>
        <w:numPr>
          <w:ilvl w:val="1"/>
          <w:numId w:val="2"/>
        </w:numPr>
      </w:pPr>
      <w:r w:rsidRPr="006D2224">
        <w:t>T</w:t>
      </w:r>
      <w:r w:rsidR="005276A3" w:rsidRPr="006D2224">
        <w:t xml:space="preserve">he primary endpoint of the </w:t>
      </w:r>
      <w:proofErr w:type="spellStart"/>
      <w:r w:rsidR="005276A3" w:rsidRPr="006D2224">
        <w:t>crisaborole</w:t>
      </w:r>
      <w:proofErr w:type="spellEnd"/>
      <w:r w:rsidR="005276A3" w:rsidRPr="006D2224">
        <w:t xml:space="preserve"> trials </w:t>
      </w:r>
      <w:r w:rsidRPr="006D2224">
        <w:t xml:space="preserve">based on Investigator’s Static Global Assessment (ISGA) scored on a 5-point severity scale ranging from clear (0), almost clear (1), mild (2), moderate (3) and severe (4) </w:t>
      </w:r>
      <w:r w:rsidR="005276A3" w:rsidRPr="006D2224">
        <w:t>are summarised</w:t>
      </w:r>
      <w:r w:rsidR="00172808" w:rsidRPr="006D2224">
        <w:t xml:space="preserve"> in the table below. </w:t>
      </w:r>
    </w:p>
    <w:p w:rsidR="00172808" w:rsidRPr="006D2224" w:rsidRDefault="00172808" w:rsidP="00386D9A">
      <w:pPr>
        <w:keepNext/>
        <w:rPr>
          <w:rStyle w:val="CommentReference"/>
        </w:rPr>
      </w:pPr>
      <w:r w:rsidRPr="006D2224">
        <w:rPr>
          <w:rStyle w:val="CommentReference"/>
        </w:rPr>
        <w:t xml:space="preserve">Table 4: Results for ISGA score of clear or almost clear (0 or 1) at Day 29 with at least 2-grade improvement from baseline (ITT population) </w:t>
      </w: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748"/>
        <w:gridCol w:w="1748"/>
        <w:gridCol w:w="1744"/>
      </w:tblGrid>
      <w:tr w:rsidR="00172808" w:rsidRPr="006D2224" w:rsidTr="00386D9A">
        <w:trPr>
          <w:cantSplit/>
        </w:trPr>
        <w:tc>
          <w:tcPr>
            <w:tcW w:w="2035" w:type="pct"/>
            <w:tcBorders>
              <w:bottom w:val="single" w:sz="4" w:space="0" w:color="auto"/>
            </w:tcBorders>
            <w:vAlign w:val="center"/>
          </w:tcPr>
          <w:p w:rsidR="00172808" w:rsidRPr="006D2224" w:rsidRDefault="00172808" w:rsidP="00386D9A">
            <w:pPr>
              <w:pStyle w:val="Tabletext"/>
              <w:keepNext/>
              <w:rPr>
                <w:b/>
              </w:rPr>
            </w:pPr>
            <w:r w:rsidRPr="006D2224">
              <w:rPr>
                <w:b/>
              </w:rPr>
              <w:t>Trial AD-301</w:t>
            </w:r>
          </w:p>
        </w:tc>
        <w:tc>
          <w:tcPr>
            <w:tcW w:w="989" w:type="pct"/>
            <w:tcBorders>
              <w:bottom w:val="single" w:sz="4" w:space="0" w:color="auto"/>
            </w:tcBorders>
            <w:vAlign w:val="center"/>
          </w:tcPr>
          <w:p w:rsidR="00172808" w:rsidRPr="006D2224" w:rsidRDefault="00172808" w:rsidP="00386D9A">
            <w:pPr>
              <w:pStyle w:val="Tabletext"/>
              <w:keepNext/>
              <w:jc w:val="center"/>
              <w:rPr>
                <w:b/>
              </w:rPr>
            </w:pPr>
            <w:proofErr w:type="spellStart"/>
            <w:r w:rsidRPr="006D2224">
              <w:rPr>
                <w:b/>
              </w:rPr>
              <w:t>Crisaborole</w:t>
            </w:r>
            <w:proofErr w:type="spellEnd"/>
          </w:p>
          <w:p w:rsidR="00172808" w:rsidRPr="006D2224" w:rsidRDefault="00172808" w:rsidP="00386D9A">
            <w:pPr>
              <w:pStyle w:val="Tabletext"/>
              <w:keepNext/>
              <w:jc w:val="center"/>
              <w:rPr>
                <w:b/>
              </w:rPr>
            </w:pPr>
            <w:r w:rsidRPr="006D2224">
              <w:rPr>
                <w:b/>
              </w:rPr>
              <w:t>N=503</w:t>
            </w:r>
          </w:p>
        </w:tc>
        <w:tc>
          <w:tcPr>
            <w:tcW w:w="989" w:type="pct"/>
            <w:tcBorders>
              <w:bottom w:val="single" w:sz="4" w:space="0" w:color="auto"/>
            </w:tcBorders>
            <w:vAlign w:val="center"/>
          </w:tcPr>
          <w:p w:rsidR="00172808" w:rsidRPr="006D2224" w:rsidRDefault="00172808" w:rsidP="00386D9A">
            <w:pPr>
              <w:pStyle w:val="Tabletext"/>
              <w:keepNext/>
              <w:jc w:val="center"/>
              <w:rPr>
                <w:b/>
              </w:rPr>
            </w:pPr>
            <w:r w:rsidRPr="006D2224">
              <w:rPr>
                <w:b/>
              </w:rPr>
              <w:t>Ointment vehicle</w:t>
            </w:r>
          </w:p>
          <w:p w:rsidR="00172808" w:rsidRPr="006D2224" w:rsidRDefault="00172808" w:rsidP="00386D9A">
            <w:pPr>
              <w:pStyle w:val="Tabletext"/>
              <w:keepNext/>
              <w:jc w:val="center"/>
              <w:rPr>
                <w:b/>
              </w:rPr>
            </w:pPr>
            <w:r w:rsidRPr="006D2224">
              <w:rPr>
                <w:b/>
              </w:rPr>
              <w:t>N=256</w:t>
            </w:r>
          </w:p>
        </w:tc>
        <w:tc>
          <w:tcPr>
            <w:tcW w:w="988" w:type="pct"/>
            <w:tcBorders>
              <w:bottom w:val="single" w:sz="4" w:space="0" w:color="auto"/>
            </w:tcBorders>
            <w:vAlign w:val="center"/>
          </w:tcPr>
          <w:p w:rsidR="00172808" w:rsidRPr="006D2224" w:rsidRDefault="00172808" w:rsidP="00386D9A">
            <w:pPr>
              <w:pStyle w:val="Tabletext"/>
              <w:keepNext/>
              <w:jc w:val="center"/>
              <w:rPr>
                <w:b/>
              </w:rPr>
            </w:pPr>
            <w:r w:rsidRPr="006D2224">
              <w:rPr>
                <w:b/>
              </w:rPr>
              <w:t>p-value</w:t>
            </w:r>
          </w:p>
        </w:tc>
      </w:tr>
      <w:tr w:rsidR="00172808" w:rsidRPr="006D2224" w:rsidTr="00386D9A">
        <w:trPr>
          <w:cantSplit/>
        </w:trPr>
        <w:tc>
          <w:tcPr>
            <w:tcW w:w="2035" w:type="pct"/>
            <w:shd w:val="clear" w:color="auto" w:fill="D9D9D9" w:themeFill="background1" w:themeFillShade="D9"/>
            <w:vAlign w:val="center"/>
          </w:tcPr>
          <w:p w:rsidR="00172808" w:rsidRPr="006D2224" w:rsidRDefault="00172808" w:rsidP="00386D9A">
            <w:pPr>
              <w:pStyle w:val="Tabletext"/>
              <w:keepNext/>
            </w:pPr>
            <w:r w:rsidRPr="006D2224">
              <w:t>MCMC multiple imputation</w:t>
            </w:r>
          </w:p>
        </w:tc>
        <w:tc>
          <w:tcPr>
            <w:tcW w:w="989" w:type="pct"/>
            <w:shd w:val="clear" w:color="auto" w:fill="D9D9D9" w:themeFill="background1" w:themeFillShade="D9"/>
            <w:vAlign w:val="center"/>
          </w:tcPr>
          <w:p w:rsidR="00172808" w:rsidRPr="006D2224" w:rsidRDefault="00172808" w:rsidP="00386D9A">
            <w:pPr>
              <w:pStyle w:val="Tabletext"/>
              <w:keepNext/>
              <w:jc w:val="center"/>
            </w:pPr>
            <w:r w:rsidRPr="006D2224">
              <w:t>32.8%</w:t>
            </w:r>
          </w:p>
        </w:tc>
        <w:tc>
          <w:tcPr>
            <w:tcW w:w="989" w:type="pct"/>
            <w:shd w:val="clear" w:color="auto" w:fill="D9D9D9" w:themeFill="background1" w:themeFillShade="D9"/>
            <w:vAlign w:val="center"/>
          </w:tcPr>
          <w:p w:rsidR="00172808" w:rsidRPr="006D2224" w:rsidRDefault="00172808" w:rsidP="00386D9A">
            <w:pPr>
              <w:pStyle w:val="Tabletext"/>
              <w:keepNext/>
              <w:jc w:val="center"/>
            </w:pPr>
            <w:r w:rsidRPr="006D2224">
              <w:t>25.4%</w:t>
            </w:r>
          </w:p>
        </w:tc>
        <w:tc>
          <w:tcPr>
            <w:tcW w:w="988" w:type="pct"/>
            <w:shd w:val="clear" w:color="auto" w:fill="D9D9D9" w:themeFill="background1" w:themeFillShade="D9"/>
            <w:vAlign w:val="center"/>
          </w:tcPr>
          <w:p w:rsidR="00172808" w:rsidRPr="006D2224" w:rsidRDefault="00172808" w:rsidP="00386D9A">
            <w:pPr>
              <w:pStyle w:val="Tabletext"/>
              <w:keepNext/>
              <w:jc w:val="center"/>
              <w:rPr>
                <w:vertAlign w:val="superscript"/>
              </w:rPr>
            </w:pPr>
            <w:r w:rsidRPr="006D2224">
              <w:t>0.033</w:t>
            </w:r>
            <w:r w:rsidRPr="006D2224">
              <w:rPr>
                <w:vertAlign w:val="superscript"/>
              </w:rPr>
              <w:t>a</w:t>
            </w:r>
          </w:p>
        </w:tc>
      </w:tr>
      <w:tr w:rsidR="00172808" w:rsidRPr="006D2224" w:rsidTr="00386D9A">
        <w:trPr>
          <w:cantSplit/>
        </w:trPr>
        <w:tc>
          <w:tcPr>
            <w:tcW w:w="2035" w:type="pct"/>
            <w:vAlign w:val="center"/>
          </w:tcPr>
          <w:p w:rsidR="00172808" w:rsidRPr="006D2224" w:rsidRDefault="00172808" w:rsidP="00386D9A">
            <w:pPr>
              <w:pStyle w:val="Tabletext"/>
              <w:keepNext/>
            </w:pPr>
            <w:r w:rsidRPr="006D2224">
              <w:t>Logistic regression multiple imputation</w:t>
            </w:r>
          </w:p>
        </w:tc>
        <w:tc>
          <w:tcPr>
            <w:tcW w:w="989" w:type="pct"/>
            <w:vAlign w:val="center"/>
          </w:tcPr>
          <w:p w:rsidR="00172808" w:rsidRPr="006D2224" w:rsidRDefault="00172808" w:rsidP="00386D9A">
            <w:pPr>
              <w:pStyle w:val="Tabletext"/>
              <w:keepNext/>
              <w:jc w:val="center"/>
            </w:pPr>
            <w:r w:rsidRPr="006D2224">
              <w:t>29.1%</w:t>
            </w:r>
          </w:p>
        </w:tc>
        <w:tc>
          <w:tcPr>
            <w:tcW w:w="989" w:type="pct"/>
            <w:vAlign w:val="center"/>
          </w:tcPr>
          <w:p w:rsidR="00172808" w:rsidRPr="006D2224" w:rsidRDefault="00172808" w:rsidP="00386D9A">
            <w:pPr>
              <w:pStyle w:val="Tabletext"/>
              <w:keepNext/>
              <w:jc w:val="center"/>
            </w:pPr>
            <w:r w:rsidRPr="006D2224">
              <w:t>22.0%</w:t>
            </w:r>
          </w:p>
        </w:tc>
        <w:tc>
          <w:tcPr>
            <w:tcW w:w="988" w:type="pct"/>
            <w:vAlign w:val="center"/>
          </w:tcPr>
          <w:p w:rsidR="00172808" w:rsidRPr="006D2224" w:rsidRDefault="00172808" w:rsidP="00386D9A">
            <w:pPr>
              <w:pStyle w:val="Tabletext"/>
              <w:keepNext/>
              <w:jc w:val="center"/>
              <w:rPr>
                <w:vertAlign w:val="superscript"/>
              </w:rPr>
            </w:pPr>
            <w:r w:rsidRPr="006D2224">
              <w:t>0.038</w:t>
            </w:r>
            <w:r w:rsidRPr="006D2224">
              <w:rPr>
                <w:vertAlign w:val="superscript"/>
              </w:rPr>
              <w:t>b</w:t>
            </w:r>
          </w:p>
        </w:tc>
      </w:tr>
      <w:tr w:rsidR="00202151" w:rsidRPr="006D2224" w:rsidTr="00386D9A">
        <w:trPr>
          <w:cantSplit/>
        </w:trPr>
        <w:tc>
          <w:tcPr>
            <w:tcW w:w="2035" w:type="pct"/>
            <w:vAlign w:val="center"/>
          </w:tcPr>
          <w:p w:rsidR="00202151" w:rsidRPr="006D2224" w:rsidRDefault="00202151" w:rsidP="00386D9A">
            <w:pPr>
              <w:pStyle w:val="Tabletext"/>
              <w:keepNext/>
            </w:pPr>
            <w:r w:rsidRPr="006D2224">
              <w:t>Repeated measures logistic regression model</w:t>
            </w:r>
          </w:p>
        </w:tc>
        <w:tc>
          <w:tcPr>
            <w:tcW w:w="989" w:type="pct"/>
            <w:vAlign w:val="center"/>
          </w:tcPr>
          <w:p w:rsidR="00202151" w:rsidRPr="006D2224" w:rsidRDefault="00202151" w:rsidP="00386D9A">
            <w:pPr>
              <w:pStyle w:val="Tabletext"/>
              <w:keepNext/>
              <w:jc w:val="center"/>
            </w:pPr>
            <w:r w:rsidRPr="006D2224">
              <w:t>28.3%</w:t>
            </w:r>
          </w:p>
        </w:tc>
        <w:tc>
          <w:tcPr>
            <w:tcW w:w="989" w:type="pct"/>
            <w:vAlign w:val="center"/>
          </w:tcPr>
          <w:p w:rsidR="00202151" w:rsidRPr="006D2224" w:rsidRDefault="00202151" w:rsidP="00386D9A">
            <w:pPr>
              <w:pStyle w:val="Tabletext"/>
              <w:keepNext/>
              <w:jc w:val="center"/>
            </w:pPr>
            <w:r w:rsidRPr="006D2224">
              <w:t>21.2%</w:t>
            </w:r>
          </w:p>
        </w:tc>
        <w:tc>
          <w:tcPr>
            <w:tcW w:w="988" w:type="pct"/>
            <w:vAlign w:val="center"/>
          </w:tcPr>
          <w:p w:rsidR="00202151" w:rsidRPr="006D2224" w:rsidRDefault="00202151" w:rsidP="00386D9A">
            <w:pPr>
              <w:pStyle w:val="Tabletext"/>
              <w:keepNext/>
              <w:jc w:val="center"/>
            </w:pPr>
            <w:r w:rsidRPr="006D2224">
              <w:t>0.039</w:t>
            </w:r>
          </w:p>
        </w:tc>
      </w:tr>
      <w:tr w:rsidR="00202151" w:rsidRPr="006D2224" w:rsidTr="00386D9A">
        <w:trPr>
          <w:cantSplit/>
        </w:trPr>
        <w:tc>
          <w:tcPr>
            <w:tcW w:w="2035" w:type="pct"/>
            <w:vAlign w:val="center"/>
          </w:tcPr>
          <w:p w:rsidR="00202151" w:rsidRPr="006D2224" w:rsidRDefault="00202151" w:rsidP="00386D9A">
            <w:pPr>
              <w:pStyle w:val="Tabletext"/>
              <w:keepNext/>
            </w:pPr>
            <w:r w:rsidRPr="006D2224">
              <w:t>Logistic regression multiple imputation (using Day 29 observed data only)</w:t>
            </w:r>
          </w:p>
        </w:tc>
        <w:tc>
          <w:tcPr>
            <w:tcW w:w="989" w:type="pct"/>
            <w:vAlign w:val="center"/>
          </w:tcPr>
          <w:p w:rsidR="00202151" w:rsidRPr="006D2224" w:rsidRDefault="00202151" w:rsidP="00386D9A">
            <w:pPr>
              <w:pStyle w:val="Tabletext"/>
              <w:keepNext/>
              <w:jc w:val="center"/>
            </w:pPr>
            <w:r w:rsidRPr="006D2224">
              <w:t>30.0%</w:t>
            </w:r>
          </w:p>
        </w:tc>
        <w:tc>
          <w:tcPr>
            <w:tcW w:w="989" w:type="pct"/>
            <w:vAlign w:val="center"/>
          </w:tcPr>
          <w:p w:rsidR="00202151" w:rsidRPr="006D2224" w:rsidRDefault="00202151" w:rsidP="00386D9A">
            <w:pPr>
              <w:pStyle w:val="Tabletext"/>
              <w:keepNext/>
              <w:jc w:val="center"/>
            </w:pPr>
            <w:r w:rsidRPr="006D2224">
              <w:t>23.5%</w:t>
            </w:r>
          </w:p>
        </w:tc>
        <w:tc>
          <w:tcPr>
            <w:tcW w:w="988" w:type="pct"/>
            <w:vAlign w:val="center"/>
          </w:tcPr>
          <w:p w:rsidR="00202151" w:rsidRPr="006D2224" w:rsidRDefault="00202151" w:rsidP="00386D9A">
            <w:pPr>
              <w:pStyle w:val="Tabletext"/>
              <w:keepNext/>
              <w:jc w:val="center"/>
            </w:pPr>
            <w:r w:rsidRPr="006D2224">
              <w:t>0.070</w:t>
            </w:r>
          </w:p>
        </w:tc>
      </w:tr>
      <w:tr w:rsidR="00202151" w:rsidRPr="006D2224" w:rsidTr="00386D9A">
        <w:trPr>
          <w:cantSplit/>
        </w:trPr>
        <w:tc>
          <w:tcPr>
            <w:tcW w:w="2035" w:type="pct"/>
            <w:tcBorders>
              <w:bottom w:val="single" w:sz="4" w:space="0" w:color="auto"/>
            </w:tcBorders>
            <w:vAlign w:val="center"/>
          </w:tcPr>
          <w:p w:rsidR="00202151" w:rsidRPr="006D2224" w:rsidRDefault="00202151" w:rsidP="00386D9A">
            <w:pPr>
              <w:pStyle w:val="Tabletext"/>
              <w:keepNext/>
            </w:pPr>
            <w:r w:rsidRPr="006D2224">
              <w:t>Last observation carried forward</w:t>
            </w:r>
          </w:p>
        </w:tc>
        <w:tc>
          <w:tcPr>
            <w:tcW w:w="989" w:type="pct"/>
            <w:tcBorders>
              <w:bottom w:val="single" w:sz="4" w:space="0" w:color="auto"/>
            </w:tcBorders>
            <w:vAlign w:val="center"/>
          </w:tcPr>
          <w:p w:rsidR="00202151" w:rsidRPr="006D2224" w:rsidRDefault="00202151" w:rsidP="00386D9A">
            <w:pPr>
              <w:pStyle w:val="Tabletext"/>
              <w:keepNext/>
              <w:jc w:val="center"/>
            </w:pPr>
            <w:r w:rsidRPr="006D2224">
              <w:t>32.2%</w:t>
            </w:r>
          </w:p>
        </w:tc>
        <w:tc>
          <w:tcPr>
            <w:tcW w:w="989" w:type="pct"/>
            <w:tcBorders>
              <w:bottom w:val="single" w:sz="4" w:space="0" w:color="auto"/>
            </w:tcBorders>
            <w:vAlign w:val="center"/>
          </w:tcPr>
          <w:p w:rsidR="00202151" w:rsidRPr="006D2224" w:rsidRDefault="00202151" w:rsidP="00386D9A">
            <w:pPr>
              <w:pStyle w:val="Tabletext"/>
              <w:keepNext/>
              <w:jc w:val="center"/>
            </w:pPr>
            <w:r w:rsidRPr="006D2224">
              <w:t>23.8%</w:t>
            </w:r>
          </w:p>
        </w:tc>
        <w:tc>
          <w:tcPr>
            <w:tcW w:w="988" w:type="pct"/>
            <w:tcBorders>
              <w:bottom w:val="single" w:sz="4" w:space="0" w:color="auto"/>
            </w:tcBorders>
            <w:vAlign w:val="center"/>
          </w:tcPr>
          <w:p w:rsidR="00202151" w:rsidRPr="006D2224" w:rsidRDefault="00202151" w:rsidP="00386D9A">
            <w:pPr>
              <w:pStyle w:val="Tabletext"/>
              <w:keepNext/>
              <w:jc w:val="center"/>
            </w:pPr>
            <w:r w:rsidRPr="006D2224">
              <w:t>0.014</w:t>
            </w:r>
          </w:p>
        </w:tc>
      </w:tr>
      <w:tr w:rsidR="00202151" w:rsidRPr="006D2224" w:rsidTr="00386D9A">
        <w:trPr>
          <w:cantSplit/>
        </w:trPr>
        <w:tc>
          <w:tcPr>
            <w:tcW w:w="2035" w:type="pct"/>
            <w:vAlign w:val="center"/>
          </w:tcPr>
          <w:p w:rsidR="00202151" w:rsidRPr="006D2224" w:rsidRDefault="00202151" w:rsidP="00386D9A">
            <w:pPr>
              <w:pStyle w:val="Tabletext"/>
              <w:keepNext/>
              <w:rPr>
                <w:b/>
              </w:rPr>
            </w:pPr>
            <w:r w:rsidRPr="006D2224">
              <w:rPr>
                <w:b/>
              </w:rPr>
              <w:t>Trial AD-302</w:t>
            </w:r>
          </w:p>
        </w:tc>
        <w:tc>
          <w:tcPr>
            <w:tcW w:w="989" w:type="pct"/>
            <w:vAlign w:val="center"/>
          </w:tcPr>
          <w:p w:rsidR="00202151" w:rsidRPr="006D2224" w:rsidRDefault="00202151" w:rsidP="00386D9A">
            <w:pPr>
              <w:pStyle w:val="Tabletext"/>
              <w:keepNext/>
              <w:jc w:val="center"/>
              <w:rPr>
                <w:b/>
              </w:rPr>
            </w:pPr>
            <w:proofErr w:type="spellStart"/>
            <w:r w:rsidRPr="006D2224">
              <w:rPr>
                <w:b/>
              </w:rPr>
              <w:t>Crisaborole</w:t>
            </w:r>
            <w:proofErr w:type="spellEnd"/>
          </w:p>
          <w:p w:rsidR="00202151" w:rsidRPr="006D2224" w:rsidRDefault="00202151" w:rsidP="00386D9A">
            <w:pPr>
              <w:pStyle w:val="Tabletext"/>
              <w:keepNext/>
              <w:jc w:val="center"/>
            </w:pPr>
            <w:r w:rsidRPr="006D2224">
              <w:rPr>
                <w:b/>
              </w:rPr>
              <w:t>N=513</w:t>
            </w:r>
          </w:p>
        </w:tc>
        <w:tc>
          <w:tcPr>
            <w:tcW w:w="989" w:type="pct"/>
            <w:vAlign w:val="center"/>
          </w:tcPr>
          <w:p w:rsidR="00202151" w:rsidRPr="006D2224" w:rsidRDefault="00202151" w:rsidP="00386D9A">
            <w:pPr>
              <w:pStyle w:val="Tabletext"/>
              <w:keepNext/>
              <w:jc w:val="center"/>
              <w:rPr>
                <w:b/>
              </w:rPr>
            </w:pPr>
            <w:r w:rsidRPr="006D2224">
              <w:rPr>
                <w:b/>
              </w:rPr>
              <w:t>Ointment vehicle</w:t>
            </w:r>
          </w:p>
          <w:p w:rsidR="00202151" w:rsidRPr="006D2224" w:rsidRDefault="00202151" w:rsidP="00386D9A">
            <w:pPr>
              <w:pStyle w:val="Tabletext"/>
              <w:keepNext/>
              <w:jc w:val="center"/>
            </w:pPr>
            <w:r w:rsidRPr="006D2224">
              <w:rPr>
                <w:b/>
              </w:rPr>
              <w:t>N=250</w:t>
            </w:r>
          </w:p>
        </w:tc>
        <w:tc>
          <w:tcPr>
            <w:tcW w:w="988" w:type="pct"/>
            <w:vAlign w:val="center"/>
          </w:tcPr>
          <w:p w:rsidR="00202151" w:rsidRPr="006D2224" w:rsidRDefault="00202151" w:rsidP="00386D9A">
            <w:pPr>
              <w:pStyle w:val="Tabletext"/>
              <w:keepNext/>
              <w:jc w:val="center"/>
            </w:pPr>
            <w:r w:rsidRPr="006D2224">
              <w:rPr>
                <w:b/>
              </w:rPr>
              <w:t>p-value</w:t>
            </w:r>
          </w:p>
        </w:tc>
      </w:tr>
      <w:tr w:rsidR="00202151" w:rsidRPr="006D2224" w:rsidTr="00386D9A">
        <w:trPr>
          <w:cantSplit/>
        </w:trPr>
        <w:tc>
          <w:tcPr>
            <w:tcW w:w="2035" w:type="pct"/>
            <w:shd w:val="clear" w:color="auto" w:fill="D9D9D9" w:themeFill="background1" w:themeFillShade="D9"/>
            <w:vAlign w:val="center"/>
          </w:tcPr>
          <w:p w:rsidR="00202151" w:rsidRPr="006D2224" w:rsidRDefault="00202151" w:rsidP="00386D9A">
            <w:pPr>
              <w:pStyle w:val="Tabletext"/>
              <w:keepNext/>
            </w:pPr>
            <w:r w:rsidRPr="006D2224">
              <w:t>MCMC multiple imputation</w:t>
            </w:r>
          </w:p>
        </w:tc>
        <w:tc>
          <w:tcPr>
            <w:tcW w:w="989" w:type="pct"/>
            <w:shd w:val="clear" w:color="auto" w:fill="D9D9D9" w:themeFill="background1" w:themeFillShade="D9"/>
            <w:vAlign w:val="center"/>
          </w:tcPr>
          <w:p w:rsidR="00202151" w:rsidRPr="006D2224" w:rsidRDefault="00202151" w:rsidP="00386D9A">
            <w:pPr>
              <w:pStyle w:val="Tabletext"/>
              <w:keepNext/>
              <w:jc w:val="center"/>
            </w:pPr>
            <w:r w:rsidRPr="006D2224">
              <w:t>31.4%</w:t>
            </w:r>
          </w:p>
        </w:tc>
        <w:tc>
          <w:tcPr>
            <w:tcW w:w="989" w:type="pct"/>
            <w:shd w:val="clear" w:color="auto" w:fill="D9D9D9" w:themeFill="background1" w:themeFillShade="D9"/>
            <w:vAlign w:val="center"/>
          </w:tcPr>
          <w:p w:rsidR="00202151" w:rsidRPr="006D2224" w:rsidRDefault="00202151" w:rsidP="00386D9A">
            <w:pPr>
              <w:pStyle w:val="Tabletext"/>
              <w:keepNext/>
              <w:jc w:val="center"/>
            </w:pPr>
            <w:r w:rsidRPr="006D2224">
              <w:t>18.0%</w:t>
            </w:r>
          </w:p>
        </w:tc>
        <w:tc>
          <w:tcPr>
            <w:tcW w:w="988" w:type="pct"/>
            <w:shd w:val="clear" w:color="auto" w:fill="D9D9D9" w:themeFill="background1" w:themeFillShade="D9"/>
            <w:vAlign w:val="center"/>
          </w:tcPr>
          <w:p w:rsidR="00202151" w:rsidRPr="006D2224" w:rsidRDefault="00202151" w:rsidP="00386D9A">
            <w:pPr>
              <w:pStyle w:val="Tabletext"/>
              <w:keepNext/>
              <w:jc w:val="center"/>
            </w:pPr>
            <w:r w:rsidRPr="006D2224">
              <w:t>&lt;0.001</w:t>
            </w:r>
            <w:r w:rsidRPr="006D2224">
              <w:rPr>
                <w:vertAlign w:val="superscript"/>
              </w:rPr>
              <w:t>a</w:t>
            </w:r>
          </w:p>
        </w:tc>
      </w:tr>
      <w:tr w:rsidR="00202151" w:rsidRPr="006D2224" w:rsidTr="00386D9A">
        <w:trPr>
          <w:cantSplit/>
        </w:trPr>
        <w:tc>
          <w:tcPr>
            <w:tcW w:w="2035" w:type="pct"/>
            <w:vAlign w:val="center"/>
          </w:tcPr>
          <w:p w:rsidR="00202151" w:rsidRPr="006D2224" w:rsidRDefault="00202151" w:rsidP="00386D9A">
            <w:pPr>
              <w:pStyle w:val="Tabletext"/>
              <w:keepNext/>
            </w:pPr>
            <w:r w:rsidRPr="006D2224">
              <w:t>Logistic regression multiple imputation</w:t>
            </w:r>
          </w:p>
        </w:tc>
        <w:tc>
          <w:tcPr>
            <w:tcW w:w="989" w:type="pct"/>
            <w:vAlign w:val="center"/>
          </w:tcPr>
          <w:p w:rsidR="00202151" w:rsidRPr="006D2224" w:rsidRDefault="00202151" w:rsidP="00386D9A">
            <w:pPr>
              <w:pStyle w:val="Tabletext"/>
              <w:keepNext/>
              <w:jc w:val="center"/>
            </w:pPr>
            <w:r w:rsidRPr="006D2224">
              <w:t>26.5%</w:t>
            </w:r>
          </w:p>
        </w:tc>
        <w:tc>
          <w:tcPr>
            <w:tcW w:w="989" w:type="pct"/>
            <w:vAlign w:val="center"/>
          </w:tcPr>
          <w:p w:rsidR="00202151" w:rsidRPr="006D2224" w:rsidRDefault="00202151" w:rsidP="00386D9A">
            <w:pPr>
              <w:pStyle w:val="Tabletext"/>
              <w:keepNext/>
              <w:jc w:val="center"/>
            </w:pPr>
            <w:r w:rsidRPr="006D2224">
              <w:t>14.2%</w:t>
            </w:r>
          </w:p>
        </w:tc>
        <w:tc>
          <w:tcPr>
            <w:tcW w:w="988" w:type="pct"/>
            <w:vAlign w:val="center"/>
          </w:tcPr>
          <w:p w:rsidR="00202151" w:rsidRPr="006D2224" w:rsidRDefault="00202151" w:rsidP="00386D9A">
            <w:pPr>
              <w:pStyle w:val="Tabletext"/>
              <w:keepNext/>
              <w:jc w:val="center"/>
            </w:pPr>
            <w:r w:rsidRPr="006D2224">
              <w:t>&lt;0.001</w:t>
            </w:r>
            <w:r w:rsidRPr="006D2224">
              <w:rPr>
                <w:vertAlign w:val="superscript"/>
              </w:rPr>
              <w:t>b</w:t>
            </w:r>
          </w:p>
        </w:tc>
      </w:tr>
      <w:tr w:rsidR="009203E0" w:rsidRPr="006D2224" w:rsidTr="00386D9A">
        <w:trPr>
          <w:cantSplit/>
        </w:trPr>
        <w:tc>
          <w:tcPr>
            <w:tcW w:w="2035" w:type="pct"/>
            <w:vAlign w:val="center"/>
          </w:tcPr>
          <w:p w:rsidR="009203E0" w:rsidRPr="006D2224" w:rsidRDefault="009203E0" w:rsidP="00386D9A">
            <w:pPr>
              <w:pStyle w:val="Tabletext"/>
              <w:keepNext/>
            </w:pPr>
            <w:r w:rsidRPr="006D2224">
              <w:t>Repeated measures logistic regression model</w:t>
            </w:r>
          </w:p>
        </w:tc>
        <w:tc>
          <w:tcPr>
            <w:tcW w:w="989" w:type="pct"/>
            <w:vAlign w:val="center"/>
          </w:tcPr>
          <w:p w:rsidR="009203E0" w:rsidRPr="006D2224" w:rsidRDefault="009203E0" w:rsidP="00386D9A">
            <w:pPr>
              <w:pStyle w:val="Tabletext"/>
              <w:keepNext/>
              <w:jc w:val="center"/>
            </w:pPr>
            <w:r w:rsidRPr="006D2224">
              <w:t>31.8%</w:t>
            </w:r>
          </w:p>
        </w:tc>
        <w:tc>
          <w:tcPr>
            <w:tcW w:w="989" w:type="pct"/>
            <w:vAlign w:val="center"/>
          </w:tcPr>
          <w:p w:rsidR="009203E0" w:rsidRPr="006D2224" w:rsidRDefault="009203E0" w:rsidP="00386D9A">
            <w:pPr>
              <w:pStyle w:val="Tabletext"/>
              <w:keepNext/>
              <w:jc w:val="center"/>
            </w:pPr>
            <w:r w:rsidRPr="006D2224">
              <w:t>18.7%</w:t>
            </w:r>
          </w:p>
        </w:tc>
        <w:tc>
          <w:tcPr>
            <w:tcW w:w="988" w:type="pct"/>
            <w:vAlign w:val="center"/>
          </w:tcPr>
          <w:p w:rsidR="009203E0" w:rsidRPr="006D2224" w:rsidRDefault="009203E0" w:rsidP="00386D9A">
            <w:pPr>
              <w:pStyle w:val="Tabletext"/>
              <w:keepNext/>
              <w:jc w:val="center"/>
            </w:pPr>
            <w:r w:rsidRPr="006D2224">
              <w:t>&lt;0.001</w:t>
            </w:r>
          </w:p>
        </w:tc>
      </w:tr>
      <w:tr w:rsidR="009203E0" w:rsidRPr="006D2224" w:rsidTr="00386D9A">
        <w:trPr>
          <w:cantSplit/>
        </w:trPr>
        <w:tc>
          <w:tcPr>
            <w:tcW w:w="2035" w:type="pct"/>
            <w:vAlign w:val="center"/>
          </w:tcPr>
          <w:p w:rsidR="009203E0" w:rsidRPr="006D2224" w:rsidRDefault="009203E0" w:rsidP="00386D9A">
            <w:pPr>
              <w:pStyle w:val="Tabletext"/>
              <w:keepNext/>
            </w:pPr>
            <w:r w:rsidRPr="006D2224">
              <w:t>Logistic regression multiple imputation (using Day 29 observed data only)</w:t>
            </w:r>
          </w:p>
        </w:tc>
        <w:tc>
          <w:tcPr>
            <w:tcW w:w="989" w:type="pct"/>
            <w:vAlign w:val="center"/>
          </w:tcPr>
          <w:p w:rsidR="009203E0" w:rsidRPr="006D2224" w:rsidRDefault="009203E0" w:rsidP="00386D9A">
            <w:pPr>
              <w:pStyle w:val="Tabletext"/>
              <w:keepNext/>
              <w:jc w:val="center"/>
            </w:pPr>
            <w:r w:rsidRPr="006D2224">
              <w:t>27.8%</w:t>
            </w:r>
          </w:p>
        </w:tc>
        <w:tc>
          <w:tcPr>
            <w:tcW w:w="989" w:type="pct"/>
            <w:vAlign w:val="center"/>
          </w:tcPr>
          <w:p w:rsidR="009203E0" w:rsidRPr="006D2224" w:rsidRDefault="009203E0" w:rsidP="00386D9A">
            <w:pPr>
              <w:pStyle w:val="Tabletext"/>
              <w:keepNext/>
              <w:jc w:val="center"/>
            </w:pPr>
            <w:r w:rsidRPr="006D2224">
              <w:t>15.9%</w:t>
            </w:r>
          </w:p>
        </w:tc>
        <w:tc>
          <w:tcPr>
            <w:tcW w:w="988" w:type="pct"/>
            <w:vAlign w:val="center"/>
          </w:tcPr>
          <w:p w:rsidR="009203E0" w:rsidRPr="006D2224" w:rsidRDefault="009203E0" w:rsidP="00386D9A">
            <w:pPr>
              <w:pStyle w:val="Tabletext"/>
              <w:keepNext/>
              <w:jc w:val="center"/>
            </w:pPr>
            <w:r w:rsidRPr="006D2224">
              <w:t>&lt;0.001</w:t>
            </w:r>
          </w:p>
        </w:tc>
      </w:tr>
      <w:tr w:rsidR="009203E0" w:rsidRPr="006D2224" w:rsidTr="00386D9A">
        <w:trPr>
          <w:cantSplit/>
        </w:trPr>
        <w:tc>
          <w:tcPr>
            <w:tcW w:w="2035" w:type="pct"/>
            <w:vAlign w:val="center"/>
          </w:tcPr>
          <w:p w:rsidR="009203E0" w:rsidRPr="006D2224" w:rsidRDefault="009203E0" w:rsidP="00386D9A">
            <w:pPr>
              <w:pStyle w:val="Tabletext"/>
              <w:keepNext/>
            </w:pPr>
            <w:r w:rsidRPr="006D2224">
              <w:t>Last observation carried forward</w:t>
            </w:r>
          </w:p>
        </w:tc>
        <w:tc>
          <w:tcPr>
            <w:tcW w:w="989" w:type="pct"/>
            <w:vAlign w:val="center"/>
          </w:tcPr>
          <w:p w:rsidR="009203E0" w:rsidRPr="006D2224" w:rsidRDefault="009203E0" w:rsidP="00386D9A">
            <w:pPr>
              <w:pStyle w:val="Tabletext"/>
              <w:keepNext/>
              <w:jc w:val="center"/>
            </w:pPr>
            <w:r w:rsidRPr="006D2224">
              <w:t>30.6%</w:t>
            </w:r>
          </w:p>
        </w:tc>
        <w:tc>
          <w:tcPr>
            <w:tcW w:w="989" w:type="pct"/>
            <w:vAlign w:val="center"/>
          </w:tcPr>
          <w:p w:rsidR="009203E0" w:rsidRPr="006D2224" w:rsidRDefault="009203E0" w:rsidP="00386D9A">
            <w:pPr>
              <w:pStyle w:val="Tabletext"/>
              <w:keepNext/>
              <w:jc w:val="center"/>
            </w:pPr>
            <w:r w:rsidRPr="006D2224">
              <w:t>17.6%</w:t>
            </w:r>
          </w:p>
        </w:tc>
        <w:tc>
          <w:tcPr>
            <w:tcW w:w="988" w:type="pct"/>
            <w:vAlign w:val="center"/>
          </w:tcPr>
          <w:p w:rsidR="009203E0" w:rsidRPr="006D2224" w:rsidRDefault="009203E0" w:rsidP="00386D9A">
            <w:pPr>
              <w:pStyle w:val="Tabletext"/>
              <w:keepNext/>
              <w:jc w:val="center"/>
            </w:pPr>
            <w:r w:rsidRPr="006D2224">
              <w:t>&lt;0.001</w:t>
            </w:r>
          </w:p>
        </w:tc>
      </w:tr>
    </w:tbl>
    <w:p w:rsidR="00172808" w:rsidRPr="006D2224" w:rsidRDefault="00172808" w:rsidP="00172808">
      <w:pPr>
        <w:pStyle w:val="TableFooter"/>
      </w:pPr>
      <w:r w:rsidRPr="006D2224">
        <w:t>Source: Table 17, p80, and Table 14.2.6, p228 of the AD-301 trial report; Table 17, p80 and Table 14.2.6, p224 of the AD-302 trial report</w:t>
      </w:r>
    </w:p>
    <w:p w:rsidR="00172808" w:rsidRPr="006D2224" w:rsidRDefault="00172808" w:rsidP="00172808">
      <w:pPr>
        <w:pStyle w:val="TableFooter"/>
        <w:rPr>
          <w:sz w:val="20"/>
        </w:rPr>
      </w:pPr>
      <w:r w:rsidRPr="006D2224">
        <w:t>Abbreviation: ISGA, Investigator’s Static Global Assessment (5-point scale); MCMC, Markov Chain Monte Carlo; NR, not reported</w:t>
      </w:r>
    </w:p>
    <w:p w:rsidR="00172808" w:rsidRPr="006D2224" w:rsidRDefault="00172808" w:rsidP="00172808">
      <w:pPr>
        <w:pStyle w:val="TableFooter"/>
        <w:rPr>
          <w:rFonts w:eastAsia="Calibri"/>
        </w:rPr>
      </w:pPr>
      <w:proofErr w:type="spellStart"/>
      <w:proofErr w:type="gramStart"/>
      <w:r w:rsidRPr="006D2224">
        <w:rPr>
          <w:rFonts w:eastAsia="Calibri"/>
          <w:vertAlign w:val="superscript"/>
        </w:rPr>
        <w:t>a</w:t>
      </w:r>
      <w:proofErr w:type="spellEnd"/>
      <w:proofErr w:type="gramEnd"/>
      <w:r w:rsidRPr="006D2224">
        <w:rPr>
          <w:rFonts w:eastAsia="Calibri"/>
          <w:vertAlign w:val="superscript"/>
        </w:rPr>
        <w:t xml:space="preserve"> </w:t>
      </w:r>
      <w:r w:rsidRPr="006D2224">
        <w:rPr>
          <w:rFonts w:eastAsia="Calibri"/>
        </w:rPr>
        <w:t>The p-value from a Cochran-Mantel-</w:t>
      </w:r>
      <w:proofErr w:type="spellStart"/>
      <w:r w:rsidRPr="006D2224">
        <w:rPr>
          <w:rFonts w:eastAsia="Calibri"/>
        </w:rPr>
        <w:t>Haenszel</w:t>
      </w:r>
      <w:proofErr w:type="spellEnd"/>
      <w:r w:rsidRPr="006D2224">
        <w:rPr>
          <w:rFonts w:eastAsia="Calibri"/>
        </w:rPr>
        <w:t xml:space="preserve"> test, stratified by analysis centre. Values adjusted for multiple imputation.</w:t>
      </w:r>
    </w:p>
    <w:p w:rsidR="00172808" w:rsidRPr="006D2224" w:rsidRDefault="00172808" w:rsidP="00172808">
      <w:pPr>
        <w:pStyle w:val="TableFooter"/>
        <w:rPr>
          <w:rFonts w:eastAsia="Calibri"/>
        </w:rPr>
      </w:pPr>
      <w:proofErr w:type="gramStart"/>
      <w:r w:rsidRPr="006D2224">
        <w:rPr>
          <w:rFonts w:eastAsia="Calibri"/>
          <w:vertAlign w:val="superscript"/>
        </w:rPr>
        <w:t>b</w:t>
      </w:r>
      <w:proofErr w:type="gramEnd"/>
      <w:r w:rsidRPr="006D2224">
        <w:rPr>
          <w:rFonts w:eastAsia="Calibri"/>
          <w:vertAlign w:val="superscript"/>
        </w:rPr>
        <w:t xml:space="preserve"> </w:t>
      </w:r>
      <w:r w:rsidRPr="006D2224">
        <w:rPr>
          <w:rFonts w:eastAsia="Calibri"/>
        </w:rPr>
        <w:t>The p-value from a logistic regression (with Firth option) test with factors of treatment group and analysis centre. Values were adjusted for multiple imputation.</w:t>
      </w:r>
    </w:p>
    <w:p w:rsidR="00FE3BEA" w:rsidRPr="006D2224" w:rsidRDefault="00172808" w:rsidP="00172808">
      <w:pPr>
        <w:pStyle w:val="TableFooter"/>
      </w:pPr>
      <w:r w:rsidRPr="006D2224">
        <w:t>Note</w:t>
      </w:r>
      <w:r w:rsidR="00FE3BEA" w:rsidRPr="006D2224">
        <w:t xml:space="preserve"> 1</w:t>
      </w:r>
      <w:r w:rsidRPr="006D2224">
        <w:t>: Crude number of events for each arm in the ITT population for the primary endpoint was not reported. The odds ratio was a planned</w:t>
      </w:r>
      <w:r w:rsidR="00FE3BEA" w:rsidRPr="006D2224">
        <w:t xml:space="preserve"> outcome, however, results were not reported. </w:t>
      </w:r>
    </w:p>
    <w:p w:rsidR="00132494" w:rsidRPr="006D2224" w:rsidRDefault="00FE3BEA" w:rsidP="00172808">
      <w:pPr>
        <w:pStyle w:val="TableFooter"/>
      </w:pPr>
      <w:r w:rsidRPr="006D2224">
        <w:lastRenderedPageBreak/>
        <w:t xml:space="preserve">Note 2: </w:t>
      </w:r>
      <w:r w:rsidR="00132494" w:rsidRPr="006D2224">
        <w:t xml:space="preserve">Estimates in grey were used in the meta-analysis of </w:t>
      </w:r>
      <w:r w:rsidRPr="006D2224">
        <w:t xml:space="preserve">the primary outcome of </w:t>
      </w:r>
      <w:r w:rsidR="00132494" w:rsidRPr="006D2224">
        <w:t>both trials</w:t>
      </w:r>
      <w:r w:rsidR="00EF6AD6" w:rsidRPr="006D2224">
        <w:t>.</w:t>
      </w:r>
    </w:p>
    <w:p w:rsidR="00172808" w:rsidRPr="006D2224" w:rsidRDefault="00172808" w:rsidP="00172808">
      <w:pPr>
        <w:widowControl/>
      </w:pPr>
    </w:p>
    <w:p w:rsidR="006A289B" w:rsidRPr="006D2224" w:rsidRDefault="00172808" w:rsidP="00173629">
      <w:pPr>
        <w:pStyle w:val="ListParagraph"/>
        <w:widowControl/>
        <w:numPr>
          <w:ilvl w:val="1"/>
          <w:numId w:val="2"/>
        </w:numPr>
      </w:pPr>
      <w:r w:rsidRPr="006D2224">
        <w:rPr>
          <w:szCs w:val="20"/>
        </w:rPr>
        <w:t xml:space="preserve">A statistically significantly higher proportion of patients treated with </w:t>
      </w:r>
      <w:proofErr w:type="spellStart"/>
      <w:r w:rsidRPr="006D2224">
        <w:rPr>
          <w:szCs w:val="20"/>
        </w:rPr>
        <w:t>crisaborole</w:t>
      </w:r>
      <w:proofErr w:type="spellEnd"/>
      <w:r w:rsidRPr="006D2224">
        <w:rPr>
          <w:szCs w:val="20"/>
        </w:rPr>
        <w:t xml:space="preserve"> achieved an ISGA score of 0 or 1 and ≥</w:t>
      </w:r>
      <w:r w:rsidR="005276A3" w:rsidRPr="006D2224">
        <w:rPr>
          <w:szCs w:val="20"/>
        </w:rPr>
        <w:t xml:space="preserve"> </w:t>
      </w:r>
      <w:r w:rsidRPr="006D2224">
        <w:rPr>
          <w:szCs w:val="20"/>
        </w:rPr>
        <w:t>2-grade improvement at 4 weeks from baseline than patients receiving the ointment vehicle.</w:t>
      </w:r>
      <w:r w:rsidRPr="006D2224">
        <w:t xml:space="preserve"> </w:t>
      </w:r>
      <w:r w:rsidRPr="006D2224">
        <w:rPr>
          <w:szCs w:val="20"/>
        </w:rPr>
        <w:t>The statistical significance</w:t>
      </w:r>
      <w:r w:rsidR="005276A3" w:rsidRPr="006D2224">
        <w:rPr>
          <w:szCs w:val="20"/>
        </w:rPr>
        <w:t xml:space="preserve"> </w:t>
      </w:r>
      <w:r w:rsidR="006A289B" w:rsidRPr="006D2224">
        <w:rPr>
          <w:szCs w:val="20"/>
        </w:rPr>
        <w:t xml:space="preserve">of results from Trial AD-301 </w:t>
      </w:r>
      <w:r w:rsidR="005276A3" w:rsidRPr="006D2224">
        <w:rPr>
          <w:szCs w:val="20"/>
        </w:rPr>
        <w:t>and absolute proportion of patients achieving the endpoint in</w:t>
      </w:r>
      <w:r w:rsidRPr="006D2224">
        <w:rPr>
          <w:szCs w:val="20"/>
        </w:rPr>
        <w:t xml:space="preserve"> </w:t>
      </w:r>
      <w:r w:rsidR="006A289B" w:rsidRPr="006D2224">
        <w:rPr>
          <w:szCs w:val="20"/>
        </w:rPr>
        <w:t>both trials</w:t>
      </w:r>
      <w:r w:rsidRPr="006D2224">
        <w:rPr>
          <w:szCs w:val="20"/>
        </w:rPr>
        <w:t xml:space="preserve"> appeared sensitive to the method of imputation used</w:t>
      </w:r>
      <w:r w:rsidR="005E6BAA" w:rsidRPr="006D2224">
        <w:rPr>
          <w:szCs w:val="20"/>
        </w:rPr>
        <w:t>.</w:t>
      </w:r>
      <w:r w:rsidR="00DC6B3B" w:rsidRPr="006D2224">
        <w:rPr>
          <w:szCs w:val="20"/>
        </w:rPr>
        <w:t xml:space="preserve"> </w:t>
      </w:r>
      <w:r w:rsidR="006A289B" w:rsidRPr="006D2224">
        <w:rPr>
          <w:szCs w:val="20"/>
        </w:rPr>
        <w:t>Unadjusted estimates were not provided in the submission.</w:t>
      </w:r>
      <w:r w:rsidR="006A289B" w:rsidRPr="006D2224">
        <w:t xml:space="preserve"> The differences between the methods of imputation were unclear due to limited documentation.</w:t>
      </w:r>
      <w:r w:rsidR="00AC2450" w:rsidRPr="006D2224">
        <w:t xml:space="preserve"> The ESC noted that the results differed based on the imputation method. The PSCR</w:t>
      </w:r>
      <w:r w:rsidR="00DE5D1B" w:rsidRPr="006D2224">
        <w:t xml:space="preserve"> (p4)</w:t>
      </w:r>
      <w:r w:rsidR="00AC2450" w:rsidRPr="006D2224">
        <w:t xml:space="preserve"> only provided additional detail in regard to the handling of missing data for the primary outcome in the pivotal trials for 3 of the 5 methods used (Markov Chain Monte Carlo, repeated measures logistic regression, logistic regression using Day 29 observations only).  In particular, the response did not adequately address the differences in results using logistic regression multiple imputation which reported lower estimates compared to the primary analysis.</w:t>
      </w:r>
    </w:p>
    <w:p w:rsidR="00EB6B7A" w:rsidRPr="006D2224" w:rsidRDefault="00CA72DB" w:rsidP="00173629">
      <w:pPr>
        <w:pStyle w:val="ListParagraph"/>
        <w:numPr>
          <w:ilvl w:val="1"/>
          <w:numId w:val="2"/>
        </w:numPr>
      </w:pPr>
      <w:r w:rsidRPr="006D2224">
        <w:t>Outcomes</w:t>
      </w:r>
      <w:r w:rsidR="00EB6B7A" w:rsidRPr="006D2224">
        <w:t xml:space="preserve"> based on investigator-assessed global assessments of disease severity appeared more subjective than commonly</w:t>
      </w:r>
      <w:r w:rsidR="005276A3" w:rsidRPr="006D2224">
        <w:t xml:space="preserve"> used clinical tools such as E</w:t>
      </w:r>
      <w:r w:rsidR="00EE6FA6" w:rsidRPr="006D2224">
        <w:t>czema Area and Severity Index (E</w:t>
      </w:r>
      <w:r w:rsidR="005276A3" w:rsidRPr="006D2224">
        <w:t>ASI</w:t>
      </w:r>
      <w:r w:rsidR="00EE6FA6" w:rsidRPr="006D2224">
        <w:t>)</w:t>
      </w:r>
      <w:r w:rsidR="00EB6B7A" w:rsidRPr="006D2224">
        <w:t xml:space="preserve"> or </w:t>
      </w:r>
      <w:proofErr w:type="spellStart"/>
      <w:r w:rsidR="004E781F" w:rsidRPr="006D2224">
        <w:t>SCORing</w:t>
      </w:r>
      <w:proofErr w:type="spellEnd"/>
      <w:r w:rsidR="004E781F" w:rsidRPr="006D2224">
        <w:t xml:space="preserve"> Atopic Dermatitis (</w:t>
      </w:r>
      <w:r w:rsidR="00EB6B7A" w:rsidRPr="006D2224">
        <w:t>SCORAD</w:t>
      </w:r>
      <w:r w:rsidR="004E781F" w:rsidRPr="006D2224">
        <w:t>)</w:t>
      </w:r>
      <w:r w:rsidR="00EB6B7A" w:rsidRPr="006D2224">
        <w:t xml:space="preserve"> that use more objective scoring</w:t>
      </w:r>
      <w:r w:rsidRPr="006D2224">
        <w:t xml:space="preserve"> methods</w:t>
      </w:r>
      <w:r w:rsidR="00EB6B7A" w:rsidRPr="006D2224">
        <w:t xml:space="preserve"> based on severity of symptoms, affected regions and disease involvement. The clinical importance of results based on ISGA was unclear.</w:t>
      </w:r>
      <w:r w:rsidR="005276A3" w:rsidRPr="006D2224">
        <w:t xml:space="preserve"> The PBAC has previously considered outcomes based on the </w:t>
      </w:r>
      <w:r w:rsidR="00EE6FA6" w:rsidRPr="006D2224">
        <w:t>EASI</w:t>
      </w:r>
      <w:r w:rsidR="005276A3" w:rsidRPr="006D2224">
        <w:t xml:space="preserve"> score (</w:t>
      </w:r>
      <w:proofErr w:type="spellStart"/>
      <w:r w:rsidR="005276A3" w:rsidRPr="006D2224">
        <w:t>pimecrolimus</w:t>
      </w:r>
      <w:proofErr w:type="spellEnd"/>
      <w:r w:rsidR="005276A3" w:rsidRPr="006D2224">
        <w:t xml:space="preserve"> PSD, July 2006).</w:t>
      </w:r>
      <w:r w:rsidR="00C37EB5" w:rsidRPr="006D2224">
        <w:t xml:space="preserve"> The pre-PBAC response referred to </w:t>
      </w:r>
      <w:r w:rsidR="00912B18" w:rsidRPr="006D2224">
        <w:t>several publications supporting the validity and reliability of the ISGA</w:t>
      </w:r>
      <w:r w:rsidR="00912B18" w:rsidRPr="006D2224">
        <w:rPr>
          <w:rStyle w:val="FootnoteReference"/>
        </w:rPr>
        <w:footnoteReference w:id="1"/>
      </w:r>
      <w:proofErr w:type="gramStart"/>
      <w:r w:rsidR="00912B18" w:rsidRPr="006D2224">
        <w:rPr>
          <w:vertAlign w:val="superscript"/>
        </w:rPr>
        <w:t>,</w:t>
      </w:r>
      <w:r w:rsidR="00912B18" w:rsidRPr="006D2224">
        <w:rPr>
          <w:rStyle w:val="FootnoteReference"/>
        </w:rPr>
        <w:footnoteReference w:id="2"/>
      </w:r>
      <w:r w:rsidR="00C37EB5" w:rsidRPr="006D2224">
        <w:t>.</w:t>
      </w:r>
      <w:proofErr w:type="gramEnd"/>
    </w:p>
    <w:p w:rsidR="00EB6B7A" w:rsidRPr="006D2224" w:rsidRDefault="00EB6B7A" w:rsidP="00173629">
      <w:pPr>
        <w:pStyle w:val="ListParagraph"/>
        <w:widowControl/>
        <w:numPr>
          <w:ilvl w:val="1"/>
          <w:numId w:val="2"/>
        </w:numPr>
      </w:pPr>
      <w:r w:rsidRPr="006D2224">
        <w:t xml:space="preserve">Results from Trial AD-301 failed to achieve the submission’s nominated </w:t>
      </w:r>
      <w:r w:rsidR="00CA72DB" w:rsidRPr="006D2224">
        <w:t>minimal clinically important difference (</w:t>
      </w:r>
      <w:r w:rsidRPr="006D2224">
        <w:t>MCID</w:t>
      </w:r>
      <w:r w:rsidR="00CA72DB" w:rsidRPr="006D2224">
        <w:t>)</w:t>
      </w:r>
      <w:r w:rsidRPr="006D2224">
        <w:t xml:space="preserve"> of 10% difference in the primary outcome (crude difference of approximately 7%) whereas results from Trial AD-302 achieved the nominated MCID (crude difference of approximately 13%). The clinica</w:t>
      </w:r>
      <w:r w:rsidR="00CA72DB" w:rsidRPr="006D2224">
        <w:t xml:space="preserve">l </w:t>
      </w:r>
      <w:r w:rsidR="005276A3" w:rsidRPr="006D2224">
        <w:t>importance</w:t>
      </w:r>
      <w:r w:rsidR="00CA72DB" w:rsidRPr="006D2224">
        <w:t xml:space="preserve"> of an MCID </w:t>
      </w:r>
      <w:r w:rsidR="00077639" w:rsidRPr="006D2224">
        <w:t xml:space="preserve">from a sample size calculation </w:t>
      </w:r>
      <w:r w:rsidR="00C91E6A" w:rsidRPr="006D2224">
        <w:t>for</w:t>
      </w:r>
      <w:r w:rsidRPr="006D2224">
        <w:t xml:space="preserve"> </w:t>
      </w:r>
      <w:r w:rsidR="00CA72DB" w:rsidRPr="006D2224">
        <w:t xml:space="preserve">this outcome was unclear. </w:t>
      </w:r>
    </w:p>
    <w:p w:rsidR="001D46A9" w:rsidRPr="006D2224" w:rsidRDefault="001D46A9" w:rsidP="00173629">
      <w:pPr>
        <w:pStyle w:val="ListParagraph"/>
        <w:widowControl/>
        <w:numPr>
          <w:ilvl w:val="1"/>
          <w:numId w:val="2"/>
        </w:numPr>
        <w:spacing w:after="0"/>
      </w:pPr>
      <w:r w:rsidRPr="006D2224">
        <w:t>Results of the meta-analysis of Trials AD-</w:t>
      </w:r>
      <w:r w:rsidR="00053FF4" w:rsidRPr="006D2224">
        <w:t>3</w:t>
      </w:r>
      <w:r w:rsidRPr="006D2224">
        <w:t xml:space="preserve">01 and AD-302 based on the primary endpoint of ISGA score of 0 or 1 at Day 29 with a minimum 2-grade improvement from baseline are presented in the table below. </w:t>
      </w:r>
    </w:p>
    <w:p w:rsidR="001D46A9" w:rsidRPr="006D2224" w:rsidRDefault="001D46A9" w:rsidP="001D46A9">
      <w:pPr>
        <w:pStyle w:val="ListParagraph"/>
        <w:widowControl/>
        <w:spacing w:after="0"/>
      </w:pPr>
    </w:p>
    <w:p w:rsidR="001D46A9" w:rsidRPr="006D2224" w:rsidRDefault="001D46A9" w:rsidP="001D46A9">
      <w:pPr>
        <w:pStyle w:val="TableHeading0"/>
        <w:spacing w:after="0"/>
        <w:jc w:val="both"/>
      </w:pPr>
      <w:r w:rsidRPr="006D2224">
        <w:t>T</w:t>
      </w:r>
      <w:r w:rsidR="003132A2" w:rsidRPr="006D2224">
        <w:t>able 5</w:t>
      </w:r>
      <w:r w:rsidRPr="006D2224">
        <w:t xml:space="preserve">: ISGA score of 0 or 1 with ≥2-grade improvement at 4 weeks from baseline in the </w:t>
      </w:r>
      <w:proofErr w:type="spellStart"/>
      <w:r w:rsidRPr="006D2224">
        <w:t>crisaborole</w:t>
      </w:r>
      <w:proofErr w:type="spellEnd"/>
      <w:r w:rsidRPr="006D2224">
        <w:t xml:space="preserve"> vehicle-controlled trials</w:t>
      </w:r>
    </w:p>
    <w:tbl>
      <w:tblPr>
        <w:tblStyle w:val="TableGrid"/>
        <w:tblW w:w="9043" w:type="dxa"/>
        <w:tblInd w:w="108" w:type="dxa"/>
        <w:tblLook w:val="04A0" w:firstRow="1" w:lastRow="0" w:firstColumn="1" w:lastColumn="0" w:noHBand="0" w:noVBand="1"/>
        <w:tblCaption w:val="ISGA score of 0 or 1 with ≥2-grade improvement at 4 weeks from baseline in the crisaborole vehicle-controlled trials"/>
      </w:tblPr>
      <w:tblGrid>
        <w:gridCol w:w="851"/>
        <w:gridCol w:w="1559"/>
        <w:gridCol w:w="1418"/>
        <w:gridCol w:w="1842"/>
        <w:gridCol w:w="1701"/>
        <w:gridCol w:w="1672"/>
      </w:tblGrid>
      <w:tr w:rsidR="001D46A9" w:rsidRPr="006D2224" w:rsidTr="002B5257">
        <w:trPr>
          <w:cantSplit/>
          <w:tblHeader/>
        </w:trPr>
        <w:tc>
          <w:tcPr>
            <w:tcW w:w="851" w:type="dxa"/>
          </w:tcPr>
          <w:p w:rsidR="001D46A9" w:rsidRPr="006D2224" w:rsidRDefault="001D46A9" w:rsidP="00610075">
            <w:pPr>
              <w:rPr>
                <w:rFonts w:ascii="Arial Narrow" w:hAnsi="Arial Narrow"/>
                <w:b/>
                <w:sz w:val="20"/>
              </w:rPr>
            </w:pPr>
            <w:r w:rsidRPr="006D2224">
              <w:rPr>
                <w:rFonts w:ascii="Arial Narrow" w:hAnsi="Arial Narrow"/>
                <w:b/>
                <w:sz w:val="20"/>
              </w:rPr>
              <w:t>Trial</w:t>
            </w:r>
          </w:p>
        </w:tc>
        <w:tc>
          <w:tcPr>
            <w:tcW w:w="1559" w:type="dxa"/>
          </w:tcPr>
          <w:p w:rsidR="001D46A9" w:rsidRPr="006D2224" w:rsidRDefault="001D46A9" w:rsidP="00610075">
            <w:pPr>
              <w:jc w:val="center"/>
              <w:rPr>
                <w:rFonts w:ascii="Arial Narrow" w:hAnsi="Arial Narrow"/>
                <w:b/>
                <w:sz w:val="20"/>
              </w:rPr>
            </w:pPr>
            <w:proofErr w:type="spellStart"/>
            <w:r w:rsidRPr="006D2224">
              <w:rPr>
                <w:rFonts w:ascii="Arial Narrow" w:hAnsi="Arial Narrow"/>
                <w:b/>
                <w:sz w:val="20"/>
              </w:rPr>
              <w:t>Crisaborole</w:t>
            </w:r>
            <w:proofErr w:type="spellEnd"/>
          </w:p>
        </w:tc>
        <w:tc>
          <w:tcPr>
            <w:tcW w:w="1418" w:type="dxa"/>
          </w:tcPr>
          <w:p w:rsidR="001D46A9" w:rsidRPr="006D2224" w:rsidRDefault="001D46A9" w:rsidP="00610075">
            <w:pPr>
              <w:jc w:val="center"/>
              <w:rPr>
                <w:rFonts w:ascii="Arial Narrow" w:hAnsi="Arial Narrow"/>
                <w:b/>
                <w:sz w:val="20"/>
              </w:rPr>
            </w:pPr>
            <w:r w:rsidRPr="006D2224">
              <w:rPr>
                <w:rFonts w:ascii="Arial Narrow" w:hAnsi="Arial Narrow"/>
                <w:b/>
                <w:sz w:val="20"/>
              </w:rPr>
              <w:t>Vehicle ointment</w:t>
            </w:r>
          </w:p>
        </w:tc>
        <w:tc>
          <w:tcPr>
            <w:tcW w:w="1842" w:type="dxa"/>
          </w:tcPr>
          <w:p w:rsidR="001D46A9" w:rsidRPr="006D2224" w:rsidRDefault="001D46A9" w:rsidP="00610075">
            <w:pPr>
              <w:jc w:val="center"/>
              <w:rPr>
                <w:rFonts w:ascii="Arial Narrow" w:hAnsi="Arial Narrow"/>
                <w:b/>
                <w:sz w:val="20"/>
              </w:rPr>
            </w:pPr>
            <w:r w:rsidRPr="006D2224">
              <w:rPr>
                <w:rFonts w:ascii="Arial Narrow" w:hAnsi="Arial Narrow"/>
                <w:b/>
                <w:sz w:val="20"/>
              </w:rPr>
              <w:t xml:space="preserve">Odds ratio </w:t>
            </w:r>
            <w:r w:rsidR="00386D9A" w:rsidRPr="006D2224">
              <w:rPr>
                <w:rFonts w:ascii="Arial Narrow" w:hAnsi="Arial Narrow"/>
                <w:b/>
                <w:sz w:val="20"/>
              </w:rPr>
              <w:br/>
            </w:r>
            <w:r w:rsidRPr="006D2224">
              <w:rPr>
                <w:rFonts w:ascii="Arial Narrow" w:hAnsi="Arial Narrow"/>
                <w:b/>
                <w:sz w:val="20"/>
              </w:rPr>
              <w:t>(95% CI)</w:t>
            </w:r>
          </w:p>
        </w:tc>
        <w:tc>
          <w:tcPr>
            <w:tcW w:w="1701" w:type="dxa"/>
          </w:tcPr>
          <w:p w:rsidR="001D46A9" w:rsidRPr="006D2224" w:rsidRDefault="001D46A9" w:rsidP="00610075">
            <w:pPr>
              <w:jc w:val="center"/>
              <w:rPr>
                <w:rFonts w:ascii="Arial Narrow" w:hAnsi="Arial Narrow"/>
                <w:b/>
                <w:sz w:val="20"/>
              </w:rPr>
            </w:pPr>
            <w:r w:rsidRPr="006D2224">
              <w:rPr>
                <w:rFonts w:ascii="Arial Narrow" w:hAnsi="Arial Narrow"/>
                <w:b/>
                <w:sz w:val="20"/>
              </w:rPr>
              <w:t xml:space="preserve">Risk ratio </w:t>
            </w:r>
            <w:r w:rsidR="00386D9A" w:rsidRPr="006D2224">
              <w:rPr>
                <w:rFonts w:ascii="Arial Narrow" w:hAnsi="Arial Narrow"/>
                <w:b/>
                <w:sz w:val="20"/>
              </w:rPr>
              <w:br/>
            </w:r>
            <w:r w:rsidRPr="006D2224">
              <w:rPr>
                <w:rFonts w:ascii="Arial Narrow" w:hAnsi="Arial Narrow"/>
                <w:b/>
                <w:sz w:val="20"/>
              </w:rPr>
              <w:t>(95% CI)</w:t>
            </w:r>
          </w:p>
        </w:tc>
        <w:tc>
          <w:tcPr>
            <w:tcW w:w="1672" w:type="dxa"/>
          </w:tcPr>
          <w:p w:rsidR="001D46A9" w:rsidRPr="006D2224" w:rsidRDefault="001D46A9" w:rsidP="00610075">
            <w:pPr>
              <w:jc w:val="center"/>
              <w:rPr>
                <w:rFonts w:ascii="Arial Narrow" w:hAnsi="Arial Narrow"/>
                <w:b/>
                <w:sz w:val="20"/>
              </w:rPr>
            </w:pPr>
            <w:r w:rsidRPr="006D2224">
              <w:rPr>
                <w:rFonts w:ascii="Arial Narrow" w:hAnsi="Arial Narrow"/>
                <w:b/>
                <w:sz w:val="20"/>
              </w:rPr>
              <w:t>Risk difference (95% CI)</w:t>
            </w:r>
          </w:p>
        </w:tc>
      </w:tr>
      <w:tr w:rsidR="001D46A9" w:rsidRPr="006D2224" w:rsidTr="00386D9A">
        <w:tc>
          <w:tcPr>
            <w:tcW w:w="851" w:type="dxa"/>
          </w:tcPr>
          <w:p w:rsidR="001D46A9" w:rsidRPr="006D2224" w:rsidRDefault="001D46A9" w:rsidP="00610075">
            <w:pPr>
              <w:rPr>
                <w:rFonts w:ascii="Arial Narrow" w:hAnsi="Arial Narrow"/>
                <w:sz w:val="20"/>
              </w:rPr>
            </w:pPr>
            <w:r w:rsidRPr="006D2224">
              <w:rPr>
                <w:rFonts w:ascii="Arial Narrow" w:hAnsi="Arial Narrow"/>
                <w:sz w:val="20"/>
              </w:rPr>
              <w:t xml:space="preserve">AD-301 </w:t>
            </w:r>
          </w:p>
        </w:tc>
        <w:tc>
          <w:tcPr>
            <w:tcW w:w="1559" w:type="dxa"/>
          </w:tcPr>
          <w:p w:rsidR="001D46A9" w:rsidRPr="006D2224" w:rsidRDefault="001D46A9" w:rsidP="00610075">
            <w:pPr>
              <w:jc w:val="center"/>
              <w:rPr>
                <w:rFonts w:ascii="Arial Narrow" w:hAnsi="Arial Narrow"/>
                <w:sz w:val="20"/>
              </w:rPr>
            </w:pPr>
            <w:r w:rsidRPr="006D2224">
              <w:rPr>
                <w:rFonts w:ascii="Arial Narrow" w:hAnsi="Arial Narrow"/>
                <w:sz w:val="20"/>
              </w:rPr>
              <w:t>165/503 (32.8%)</w:t>
            </w:r>
          </w:p>
        </w:tc>
        <w:tc>
          <w:tcPr>
            <w:tcW w:w="1418" w:type="dxa"/>
          </w:tcPr>
          <w:p w:rsidR="001D46A9" w:rsidRPr="006D2224" w:rsidRDefault="001D46A9" w:rsidP="00610075">
            <w:pPr>
              <w:jc w:val="center"/>
              <w:rPr>
                <w:rFonts w:ascii="Arial Narrow" w:hAnsi="Arial Narrow"/>
                <w:sz w:val="20"/>
              </w:rPr>
            </w:pPr>
            <w:r w:rsidRPr="006D2224">
              <w:rPr>
                <w:rFonts w:ascii="Arial Narrow" w:hAnsi="Arial Narrow"/>
                <w:sz w:val="20"/>
              </w:rPr>
              <w:t>65/256 (25.4%)</w:t>
            </w:r>
          </w:p>
        </w:tc>
        <w:tc>
          <w:tcPr>
            <w:tcW w:w="1842" w:type="dxa"/>
          </w:tcPr>
          <w:p w:rsidR="001D46A9" w:rsidRPr="006D2224" w:rsidRDefault="001D46A9" w:rsidP="00610075">
            <w:pPr>
              <w:jc w:val="center"/>
              <w:rPr>
                <w:rFonts w:ascii="Arial Narrow" w:hAnsi="Arial Narrow"/>
                <w:b/>
                <w:sz w:val="20"/>
              </w:rPr>
            </w:pPr>
            <w:r w:rsidRPr="006D2224">
              <w:rPr>
                <w:rFonts w:ascii="Arial Narrow" w:hAnsi="Arial Narrow"/>
                <w:b/>
                <w:sz w:val="20"/>
              </w:rPr>
              <w:t>1.43 (1.02, 2.01)</w:t>
            </w:r>
          </w:p>
        </w:tc>
        <w:tc>
          <w:tcPr>
            <w:tcW w:w="1701" w:type="dxa"/>
          </w:tcPr>
          <w:p w:rsidR="001D46A9" w:rsidRPr="006D2224" w:rsidRDefault="001D46A9" w:rsidP="00610075">
            <w:pPr>
              <w:jc w:val="center"/>
              <w:rPr>
                <w:rFonts w:ascii="Arial Narrow" w:hAnsi="Arial Narrow"/>
                <w:b/>
                <w:sz w:val="20"/>
              </w:rPr>
            </w:pPr>
            <w:r w:rsidRPr="006D2224">
              <w:rPr>
                <w:rFonts w:ascii="Arial Narrow" w:hAnsi="Arial Narrow"/>
                <w:b/>
                <w:sz w:val="20"/>
              </w:rPr>
              <w:t>1.29 (1.01, 1.65)</w:t>
            </w:r>
          </w:p>
        </w:tc>
        <w:tc>
          <w:tcPr>
            <w:tcW w:w="1672" w:type="dxa"/>
          </w:tcPr>
          <w:p w:rsidR="001D46A9" w:rsidRPr="006D2224" w:rsidRDefault="001D46A9" w:rsidP="00610075">
            <w:pPr>
              <w:jc w:val="center"/>
              <w:rPr>
                <w:rFonts w:ascii="Arial Narrow" w:hAnsi="Arial Narrow"/>
                <w:b/>
                <w:sz w:val="20"/>
              </w:rPr>
            </w:pPr>
            <w:r w:rsidRPr="006D2224">
              <w:rPr>
                <w:rFonts w:ascii="Arial Narrow" w:hAnsi="Arial Narrow"/>
                <w:b/>
                <w:sz w:val="20"/>
              </w:rPr>
              <w:t>0.07 (0.01, 0.14)</w:t>
            </w:r>
          </w:p>
        </w:tc>
      </w:tr>
      <w:tr w:rsidR="001D46A9" w:rsidRPr="006D2224" w:rsidTr="00386D9A">
        <w:tc>
          <w:tcPr>
            <w:tcW w:w="851" w:type="dxa"/>
          </w:tcPr>
          <w:p w:rsidR="001D46A9" w:rsidRPr="006D2224" w:rsidRDefault="001D46A9" w:rsidP="00610075">
            <w:pPr>
              <w:rPr>
                <w:rFonts w:ascii="Arial Narrow" w:hAnsi="Arial Narrow"/>
                <w:sz w:val="20"/>
              </w:rPr>
            </w:pPr>
            <w:r w:rsidRPr="006D2224">
              <w:rPr>
                <w:rFonts w:ascii="Arial Narrow" w:hAnsi="Arial Narrow"/>
                <w:sz w:val="20"/>
              </w:rPr>
              <w:t xml:space="preserve">AD-302 </w:t>
            </w:r>
          </w:p>
        </w:tc>
        <w:tc>
          <w:tcPr>
            <w:tcW w:w="1559" w:type="dxa"/>
          </w:tcPr>
          <w:p w:rsidR="001D46A9" w:rsidRPr="006D2224" w:rsidRDefault="001D46A9" w:rsidP="00610075">
            <w:pPr>
              <w:jc w:val="center"/>
              <w:rPr>
                <w:rFonts w:ascii="Arial Narrow" w:hAnsi="Arial Narrow"/>
                <w:sz w:val="20"/>
              </w:rPr>
            </w:pPr>
            <w:r w:rsidRPr="006D2224">
              <w:rPr>
                <w:rFonts w:ascii="Arial Narrow" w:hAnsi="Arial Narrow"/>
                <w:sz w:val="20"/>
              </w:rPr>
              <w:t>161/513 (31.4%)</w:t>
            </w:r>
          </w:p>
        </w:tc>
        <w:tc>
          <w:tcPr>
            <w:tcW w:w="1418" w:type="dxa"/>
          </w:tcPr>
          <w:p w:rsidR="001D46A9" w:rsidRPr="006D2224" w:rsidRDefault="001D46A9" w:rsidP="00610075">
            <w:pPr>
              <w:jc w:val="center"/>
              <w:rPr>
                <w:rFonts w:ascii="Arial Narrow" w:hAnsi="Arial Narrow"/>
                <w:sz w:val="20"/>
              </w:rPr>
            </w:pPr>
            <w:r w:rsidRPr="006D2224">
              <w:rPr>
                <w:rFonts w:ascii="Arial Narrow" w:hAnsi="Arial Narrow"/>
                <w:sz w:val="20"/>
              </w:rPr>
              <w:t>45/250 (18.0%)</w:t>
            </w:r>
          </w:p>
        </w:tc>
        <w:tc>
          <w:tcPr>
            <w:tcW w:w="1842" w:type="dxa"/>
          </w:tcPr>
          <w:p w:rsidR="001D46A9" w:rsidRPr="006D2224" w:rsidRDefault="001D46A9" w:rsidP="00610075">
            <w:pPr>
              <w:jc w:val="center"/>
              <w:rPr>
                <w:rFonts w:ascii="Arial Narrow" w:hAnsi="Arial Narrow"/>
                <w:b/>
                <w:sz w:val="20"/>
              </w:rPr>
            </w:pPr>
            <w:r w:rsidRPr="006D2224">
              <w:rPr>
                <w:rFonts w:ascii="Arial Narrow" w:hAnsi="Arial Narrow"/>
                <w:b/>
                <w:sz w:val="20"/>
              </w:rPr>
              <w:t>2.08 (1.44, 3.02)</w:t>
            </w:r>
          </w:p>
        </w:tc>
        <w:tc>
          <w:tcPr>
            <w:tcW w:w="1701" w:type="dxa"/>
          </w:tcPr>
          <w:p w:rsidR="001D46A9" w:rsidRPr="006D2224" w:rsidRDefault="001D46A9" w:rsidP="00610075">
            <w:pPr>
              <w:jc w:val="center"/>
              <w:rPr>
                <w:rFonts w:ascii="Arial Narrow" w:hAnsi="Arial Narrow"/>
                <w:b/>
                <w:sz w:val="20"/>
              </w:rPr>
            </w:pPr>
            <w:r w:rsidRPr="006D2224">
              <w:rPr>
                <w:rFonts w:ascii="Arial Narrow" w:hAnsi="Arial Narrow"/>
                <w:b/>
                <w:sz w:val="20"/>
              </w:rPr>
              <w:t>1.74 (1.30, 2.34)</w:t>
            </w:r>
          </w:p>
        </w:tc>
        <w:tc>
          <w:tcPr>
            <w:tcW w:w="1672" w:type="dxa"/>
          </w:tcPr>
          <w:p w:rsidR="001D46A9" w:rsidRPr="006D2224" w:rsidRDefault="001D46A9" w:rsidP="00610075">
            <w:pPr>
              <w:jc w:val="center"/>
              <w:rPr>
                <w:rFonts w:ascii="Arial Narrow" w:hAnsi="Arial Narrow"/>
                <w:b/>
                <w:sz w:val="20"/>
              </w:rPr>
            </w:pPr>
            <w:r w:rsidRPr="006D2224">
              <w:rPr>
                <w:rFonts w:ascii="Arial Narrow" w:hAnsi="Arial Narrow"/>
                <w:b/>
                <w:sz w:val="20"/>
              </w:rPr>
              <w:t>0.13 (0.07, 0.20)</w:t>
            </w:r>
          </w:p>
        </w:tc>
      </w:tr>
      <w:tr w:rsidR="001D46A9" w:rsidRPr="006D2224" w:rsidTr="00386D9A">
        <w:tc>
          <w:tcPr>
            <w:tcW w:w="3828" w:type="dxa"/>
            <w:gridSpan w:val="3"/>
          </w:tcPr>
          <w:p w:rsidR="001D46A9" w:rsidRPr="006D2224" w:rsidRDefault="001D46A9" w:rsidP="00610075">
            <w:pPr>
              <w:jc w:val="right"/>
              <w:rPr>
                <w:rFonts w:ascii="Arial Narrow" w:hAnsi="Arial Narrow"/>
                <w:sz w:val="20"/>
              </w:rPr>
            </w:pPr>
            <w:r w:rsidRPr="006D2224">
              <w:rPr>
                <w:rFonts w:ascii="Arial Narrow" w:hAnsi="Arial Narrow"/>
                <w:sz w:val="20"/>
              </w:rPr>
              <w:lastRenderedPageBreak/>
              <w:t>Meta-analysis of trials</w:t>
            </w:r>
          </w:p>
        </w:tc>
        <w:tc>
          <w:tcPr>
            <w:tcW w:w="1842" w:type="dxa"/>
            <w:shd w:val="clear" w:color="auto" w:fill="auto"/>
          </w:tcPr>
          <w:p w:rsidR="001D46A9" w:rsidRPr="006D2224" w:rsidRDefault="001D46A9" w:rsidP="00610075">
            <w:pPr>
              <w:jc w:val="center"/>
              <w:rPr>
                <w:rFonts w:ascii="Arial Narrow" w:hAnsi="Arial Narrow"/>
                <w:b/>
                <w:sz w:val="20"/>
              </w:rPr>
            </w:pPr>
            <w:r w:rsidRPr="006D2224">
              <w:rPr>
                <w:rFonts w:ascii="Arial Narrow" w:hAnsi="Arial Narrow"/>
                <w:b/>
                <w:sz w:val="20"/>
              </w:rPr>
              <w:t>1.71 (1.19, 2.47)</w:t>
            </w:r>
          </w:p>
        </w:tc>
        <w:tc>
          <w:tcPr>
            <w:tcW w:w="1701" w:type="dxa"/>
            <w:shd w:val="clear" w:color="auto" w:fill="auto"/>
          </w:tcPr>
          <w:p w:rsidR="001D46A9" w:rsidRPr="006D2224" w:rsidRDefault="001D46A9" w:rsidP="00610075">
            <w:pPr>
              <w:jc w:val="center"/>
              <w:rPr>
                <w:rFonts w:ascii="Arial Narrow" w:hAnsi="Arial Narrow"/>
                <w:b/>
                <w:sz w:val="20"/>
              </w:rPr>
            </w:pPr>
            <w:r w:rsidRPr="006D2224">
              <w:rPr>
                <w:rFonts w:ascii="Arial Narrow" w:hAnsi="Arial Narrow"/>
                <w:b/>
                <w:sz w:val="20"/>
              </w:rPr>
              <w:t>1.48 (1.11, 1.99)</w:t>
            </w:r>
          </w:p>
        </w:tc>
        <w:tc>
          <w:tcPr>
            <w:tcW w:w="1672" w:type="dxa"/>
            <w:shd w:val="clear" w:color="auto" w:fill="auto"/>
          </w:tcPr>
          <w:p w:rsidR="001D46A9" w:rsidRPr="006D2224" w:rsidRDefault="001D46A9" w:rsidP="00610075">
            <w:pPr>
              <w:jc w:val="center"/>
              <w:rPr>
                <w:rFonts w:ascii="Arial Narrow" w:hAnsi="Arial Narrow"/>
                <w:b/>
                <w:sz w:val="20"/>
              </w:rPr>
            </w:pPr>
            <w:r w:rsidRPr="006D2224">
              <w:rPr>
                <w:rFonts w:ascii="Arial Narrow" w:hAnsi="Arial Narrow"/>
                <w:b/>
                <w:sz w:val="20"/>
              </w:rPr>
              <w:t>0.11 (0.05, 0.16)</w:t>
            </w:r>
          </w:p>
        </w:tc>
      </w:tr>
      <w:tr w:rsidR="001D46A9" w:rsidRPr="006D2224" w:rsidTr="00386D9A">
        <w:tc>
          <w:tcPr>
            <w:tcW w:w="3828" w:type="dxa"/>
            <w:gridSpan w:val="3"/>
          </w:tcPr>
          <w:p w:rsidR="001D46A9" w:rsidRPr="006D2224" w:rsidRDefault="001D46A9" w:rsidP="00610075">
            <w:pPr>
              <w:jc w:val="right"/>
              <w:rPr>
                <w:rFonts w:ascii="Arial Narrow" w:hAnsi="Arial Narrow"/>
                <w:sz w:val="20"/>
                <w:vertAlign w:val="superscript"/>
              </w:rPr>
            </w:pPr>
            <w:r w:rsidRPr="006D2224">
              <w:rPr>
                <w:rFonts w:ascii="Arial Narrow" w:hAnsi="Arial Narrow"/>
                <w:sz w:val="20"/>
              </w:rPr>
              <w:t>Heterogeneity, I</w:t>
            </w:r>
            <w:r w:rsidRPr="006D2224">
              <w:rPr>
                <w:rFonts w:ascii="Arial Narrow" w:hAnsi="Arial Narrow"/>
                <w:sz w:val="20"/>
                <w:vertAlign w:val="superscript"/>
              </w:rPr>
              <w:t>2</w:t>
            </w:r>
          </w:p>
        </w:tc>
        <w:tc>
          <w:tcPr>
            <w:tcW w:w="1842" w:type="dxa"/>
          </w:tcPr>
          <w:p w:rsidR="001D46A9" w:rsidRPr="006D2224" w:rsidRDefault="001D46A9" w:rsidP="00610075">
            <w:pPr>
              <w:jc w:val="center"/>
              <w:rPr>
                <w:rFonts w:ascii="Arial Narrow" w:hAnsi="Arial Narrow"/>
                <w:sz w:val="20"/>
              </w:rPr>
            </w:pPr>
            <w:r w:rsidRPr="006D2224">
              <w:rPr>
                <w:rFonts w:ascii="Arial Narrow" w:hAnsi="Arial Narrow"/>
                <w:sz w:val="20"/>
              </w:rPr>
              <w:t>53%</w:t>
            </w:r>
          </w:p>
        </w:tc>
        <w:tc>
          <w:tcPr>
            <w:tcW w:w="1701" w:type="dxa"/>
          </w:tcPr>
          <w:p w:rsidR="001D46A9" w:rsidRPr="006D2224" w:rsidRDefault="001D46A9" w:rsidP="00610075">
            <w:pPr>
              <w:jc w:val="center"/>
              <w:rPr>
                <w:rFonts w:ascii="Arial Narrow" w:hAnsi="Arial Narrow"/>
                <w:sz w:val="20"/>
              </w:rPr>
            </w:pPr>
            <w:r w:rsidRPr="006D2224">
              <w:rPr>
                <w:rFonts w:ascii="Arial Narrow" w:hAnsi="Arial Narrow"/>
                <w:sz w:val="20"/>
              </w:rPr>
              <w:t>39%</w:t>
            </w:r>
          </w:p>
        </w:tc>
        <w:tc>
          <w:tcPr>
            <w:tcW w:w="1672" w:type="dxa"/>
          </w:tcPr>
          <w:p w:rsidR="001D46A9" w:rsidRPr="006D2224" w:rsidRDefault="001D46A9" w:rsidP="00610075">
            <w:pPr>
              <w:jc w:val="center"/>
              <w:rPr>
                <w:rFonts w:ascii="Arial Narrow" w:hAnsi="Arial Narrow"/>
                <w:sz w:val="20"/>
              </w:rPr>
            </w:pPr>
            <w:r w:rsidRPr="006D2224">
              <w:rPr>
                <w:rFonts w:ascii="Arial Narrow" w:hAnsi="Arial Narrow"/>
                <w:sz w:val="20"/>
              </w:rPr>
              <w:t>58%</w:t>
            </w:r>
          </w:p>
        </w:tc>
      </w:tr>
    </w:tbl>
    <w:p w:rsidR="001D46A9" w:rsidRPr="006D2224" w:rsidRDefault="001D46A9" w:rsidP="001D46A9">
      <w:pPr>
        <w:pStyle w:val="TableFooter"/>
      </w:pPr>
      <w:r w:rsidRPr="006D2224">
        <w:t>Source: Table 2.6-1, p87 of the submission</w:t>
      </w:r>
    </w:p>
    <w:p w:rsidR="001D46A9" w:rsidRPr="006D2224" w:rsidRDefault="001D46A9" w:rsidP="001D46A9">
      <w:pPr>
        <w:pStyle w:val="TableFooter"/>
      </w:pPr>
      <w:r w:rsidRPr="006D2224">
        <w:t>Abbreviation: CI, confidence interval; ISGA, Investigator’s Static Global Assessment (5-point scale)</w:t>
      </w:r>
    </w:p>
    <w:p w:rsidR="001D46A9" w:rsidRPr="006D2224" w:rsidRDefault="001D46A9" w:rsidP="001D46A9">
      <w:pPr>
        <w:pStyle w:val="TableFooter"/>
      </w:pPr>
      <w:r w:rsidRPr="006D2224">
        <w:t>Note: The number of patients in each arm appeared to be calculated using estimated proportions with model-based imputation for missing values.</w:t>
      </w:r>
    </w:p>
    <w:p w:rsidR="001D46A9" w:rsidRPr="006D2224" w:rsidRDefault="001D46A9" w:rsidP="001D46A9">
      <w:pPr>
        <w:widowControl/>
      </w:pPr>
    </w:p>
    <w:p w:rsidR="00482D31" w:rsidRPr="006D2224" w:rsidRDefault="001D46A9" w:rsidP="00173629">
      <w:pPr>
        <w:pStyle w:val="ListParagraph"/>
        <w:widowControl/>
        <w:numPr>
          <w:ilvl w:val="1"/>
          <w:numId w:val="2"/>
        </w:numPr>
      </w:pPr>
      <w:r w:rsidRPr="006D2224">
        <w:t xml:space="preserve">The results from the meta-analysis suggest that a higher proportion of patients treated with </w:t>
      </w:r>
      <w:proofErr w:type="spellStart"/>
      <w:r w:rsidRPr="006D2224">
        <w:t>crisaborole</w:t>
      </w:r>
      <w:proofErr w:type="spellEnd"/>
      <w:r w:rsidRPr="006D2224">
        <w:t xml:space="preserve"> achieved an ISGA score of 0 or 1 with a minimum 2-grade improvement from baseline (approximately 11%) across both trials compared to patients treated with the ointment vehicle. These results should be interpreted with caution given uncertainties noted with the </w:t>
      </w:r>
      <w:r w:rsidR="00EE6FA6" w:rsidRPr="006D2224">
        <w:t>absolute proportions in</w:t>
      </w:r>
      <w:r w:rsidRPr="006D2224">
        <w:t xml:space="preserve"> individual trial results that appeared dependent on the method of imputation used. The meta-analysis suggests there was moderate heterogeneity between the trials (I</w:t>
      </w:r>
      <w:r w:rsidRPr="006D2224">
        <w:rPr>
          <w:vertAlign w:val="superscript"/>
        </w:rPr>
        <w:t>2</w:t>
      </w:r>
      <w:r w:rsidRPr="006D2224">
        <w:t xml:space="preserve">= 39-58%), the reasons for which were not explored in the submission. </w:t>
      </w:r>
    </w:p>
    <w:p w:rsidR="001D46A9" w:rsidRPr="006D2224" w:rsidRDefault="00482D31" w:rsidP="00173629">
      <w:pPr>
        <w:pStyle w:val="ListParagraph"/>
        <w:widowControl/>
        <w:numPr>
          <w:ilvl w:val="1"/>
          <w:numId w:val="2"/>
        </w:numPr>
      </w:pPr>
      <w:r w:rsidRPr="006D2224">
        <w:t xml:space="preserve">Overall the ESC considered that </w:t>
      </w:r>
      <w:proofErr w:type="spellStart"/>
      <w:r w:rsidRPr="006D2224">
        <w:t>crisaborole</w:t>
      </w:r>
      <w:proofErr w:type="spellEnd"/>
      <w:r w:rsidRPr="006D2224">
        <w:t xml:space="preserve"> showed only a small benefit over the vehicle and that </w:t>
      </w:r>
      <w:r w:rsidR="00F96B53" w:rsidRPr="006D2224">
        <w:t xml:space="preserve">this </w:t>
      </w:r>
      <w:r w:rsidRPr="006D2224">
        <w:t xml:space="preserve">benefit may not be clinically significant. </w:t>
      </w:r>
      <w:r w:rsidR="001D46A9" w:rsidRPr="006D2224">
        <w:t xml:space="preserve"> </w:t>
      </w:r>
    </w:p>
    <w:p w:rsidR="001D46A9" w:rsidRPr="006D2224" w:rsidRDefault="005276A3" w:rsidP="00173629">
      <w:pPr>
        <w:pStyle w:val="ListParagraph"/>
        <w:widowControl/>
        <w:numPr>
          <w:ilvl w:val="1"/>
          <w:numId w:val="2"/>
        </w:numPr>
        <w:spacing w:after="0"/>
      </w:pPr>
      <w:r w:rsidRPr="006D2224">
        <w:t>Key results</w:t>
      </w:r>
      <w:r w:rsidR="009036EE" w:rsidRPr="006D2224">
        <w:t xml:space="preserve"> for the secondary endpoint of the </w:t>
      </w:r>
      <w:proofErr w:type="spellStart"/>
      <w:r w:rsidRPr="006D2224">
        <w:t>crisaborole</w:t>
      </w:r>
      <w:proofErr w:type="spellEnd"/>
      <w:r w:rsidRPr="006D2224">
        <w:t xml:space="preserve"> trials </w:t>
      </w:r>
      <w:r w:rsidR="009036EE" w:rsidRPr="006D2224">
        <w:t xml:space="preserve">are presented in the table below. </w:t>
      </w:r>
      <w:r w:rsidR="00BB5D02" w:rsidRPr="006D2224">
        <w:t>Meta-analysed results</w:t>
      </w:r>
      <w:r w:rsidR="001D46A9" w:rsidRPr="006D2224">
        <w:t xml:space="preserve"> </w:t>
      </w:r>
      <w:r w:rsidR="00EE6FA6" w:rsidRPr="006D2224">
        <w:t xml:space="preserve">of this outcome </w:t>
      </w:r>
      <w:r w:rsidR="001D46A9" w:rsidRPr="006D2224">
        <w:t xml:space="preserve">are presented with results for the indirect comparison with </w:t>
      </w:r>
      <w:proofErr w:type="spellStart"/>
      <w:r w:rsidR="001D46A9" w:rsidRPr="006D2224">
        <w:t>pimecrolimus</w:t>
      </w:r>
      <w:proofErr w:type="spellEnd"/>
      <w:r w:rsidR="00D0735F" w:rsidRPr="006D2224">
        <w:t xml:space="preserve"> in </w:t>
      </w:r>
      <w:r w:rsidR="00EF6AD6" w:rsidRPr="006D2224">
        <w:t>T</w:t>
      </w:r>
      <w:r w:rsidR="00D0735F" w:rsidRPr="006D2224">
        <w:t>able 8</w:t>
      </w:r>
      <w:r w:rsidR="001D46A9" w:rsidRPr="006D2224">
        <w:t>.</w:t>
      </w:r>
    </w:p>
    <w:p w:rsidR="00FE6438" w:rsidRPr="006D2224" w:rsidRDefault="00FE6438">
      <w:pPr>
        <w:widowControl/>
        <w:jc w:val="left"/>
        <w:rPr>
          <w:rFonts w:ascii="Arial Narrow" w:eastAsiaTheme="minorHAnsi" w:hAnsi="Arial Narrow" w:cstheme="minorBidi"/>
          <w:b/>
          <w:snapToGrid/>
          <w:sz w:val="20"/>
        </w:rPr>
      </w:pPr>
    </w:p>
    <w:p w:rsidR="009036EE" w:rsidRPr="006D2224" w:rsidRDefault="009036EE" w:rsidP="009036EE">
      <w:pPr>
        <w:pStyle w:val="TableHeading0"/>
        <w:spacing w:after="0"/>
        <w:jc w:val="both"/>
        <w:rPr>
          <w:szCs w:val="20"/>
        </w:rPr>
      </w:pPr>
      <w:r w:rsidRPr="006D2224">
        <w:t xml:space="preserve">Table </w:t>
      </w:r>
      <w:r w:rsidR="003132A2" w:rsidRPr="006D2224">
        <w:t>6</w:t>
      </w:r>
      <w:r w:rsidRPr="006D2224">
        <w:t>: Results for ISGA score of clear or almost clear (0 or 1) at Day 29 with no requirement for ≥2-grade improvement (ITT population)</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1763"/>
        <w:gridCol w:w="1763"/>
        <w:gridCol w:w="1757"/>
      </w:tblGrid>
      <w:tr w:rsidR="009036EE" w:rsidRPr="006D2224" w:rsidTr="00386D9A">
        <w:trPr>
          <w:cantSplit/>
        </w:trPr>
        <w:tc>
          <w:tcPr>
            <w:tcW w:w="2036" w:type="pct"/>
            <w:tcBorders>
              <w:bottom w:val="single" w:sz="4" w:space="0" w:color="auto"/>
            </w:tcBorders>
            <w:vAlign w:val="center"/>
          </w:tcPr>
          <w:p w:rsidR="009036EE" w:rsidRPr="006D2224" w:rsidRDefault="009036EE" w:rsidP="004F7FF8">
            <w:pPr>
              <w:pStyle w:val="Tabletext"/>
              <w:rPr>
                <w:b/>
              </w:rPr>
            </w:pPr>
            <w:r w:rsidRPr="006D2224">
              <w:rPr>
                <w:b/>
              </w:rPr>
              <w:t>Trial AD-301</w:t>
            </w:r>
          </w:p>
        </w:tc>
        <w:tc>
          <w:tcPr>
            <w:tcW w:w="989" w:type="pct"/>
            <w:tcBorders>
              <w:bottom w:val="single" w:sz="4" w:space="0" w:color="auto"/>
            </w:tcBorders>
            <w:vAlign w:val="center"/>
          </w:tcPr>
          <w:p w:rsidR="009036EE" w:rsidRPr="006D2224" w:rsidRDefault="009036EE" w:rsidP="004F7FF8">
            <w:pPr>
              <w:pStyle w:val="Tabletext"/>
              <w:jc w:val="center"/>
              <w:rPr>
                <w:b/>
              </w:rPr>
            </w:pPr>
            <w:proofErr w:type="spellStart"/>
            <w:r w:rsidRPr="006D2224">
              <w:rPr>
                <w:b/>
              </w:rPr>
              <w:t>Crisaborole</w:t>
            </w:r>
            <w:proofErr w:type="spellEnd"/>
          </w:p>
          <w:p w:rsidR="009036EE" w:rsidRPr="006D2224" w:rsidRDefault="009036EE" w:rsidP="004F7FF8">
            <w:pPr>
              <w:pStyle w:val="Tabletext"/>
              <w:jc w:val="center"/>
              <w:rPr>
                <w:b/>
              </w:rPr>
            </w:pPr>
            <w:r w:rsidRPr="006D2224">
              <w:rPr>
                <w:b/>
              </w:rPr>
              <w:t>N=503</w:t>
            </w:r>
          </w:p>
        </w:tc>
        <w:tc>
          <w:tcPr>
            <w:tcW w:w="989" w:type="pct"/>
            <w:tcBorders>
              <w:bottom w:val="single" w:sz="4" w:space="0" w:color="auto"/>
            </w:tcBorders>
            <w:vAlign w:val="center"/>
          </w:tcPr>
          <w:p w:rsidR="009036EE" w:rsidRPr="006D2224" w:rsidRDefault="009036EE" w:rsidP="004F7FF8">
            <w:pPr>
              <w:pStyle w:val="Tabletext"/>
              <w:jc w:val="center"/>
              <w:rPr>
                <w:b/>
              </w:rPr>
            </w:pPr>
            <w:r w:rsidRPr="006D2224">
              <w:rPr>
                <w:b/>
              </w:rPr>
              <w:t>Ointment vehicle</w:t>
            </w:r>
          </w:p>
          <w:p w:rsidR="009036EE" w:rsidRPr="006D2224" w:rsidRDefault="009036EE" w:rsidP="004F7FF8">
            <w:pPr>
              <w:pStyle w:val="Tabletext"/>
              <w:jc w:val="center"/>
              <w:rPr>
                <w:b/>
              </w:rPr>
            </w:pPr>
            <w:r w:rsidRPr="006D2224">
              <w:rPr>
                <w:b/>
              </w:rPr>
              <w:t>N=256</w:t>
            </w:r>
          </w:p>
        </w:tc>
        <w:tc>
          <w:tcPr>
            <w:tcW w:w="987" w:type="pct"/>
            <w:tcBorders>
              <w:bottom w:val="single" w:sz="4" w:space="0" w:color="auto"/>
            </w:tcBorders>
            <w:vAlign w:val="center"/>
          </w:tcPr>
          <w:p w:rsidR="009036EE" w:rsidRPr="006D2224" w:rsidRDefault="009036EE" w:rsidP="004F7FF8">
            <w:pPr>
              <w:pStyle w:val="Tabletext"/>
              <w:jc w:val="center"/>
              <w:rPr>
                <w:b/>
              </w:rPr>
            </w:pPr>
            <w:r w:rsidRPr="006D2224">
              <w:rPr>
                <w:b/>
              </w:rPr>
              <w:t>p-value</w:t>
            </w:r>
          </w:p>
        </w:tc>
      </w:tr>
      <w:tr w:rsidR="009036EE" w:rsidRPr="006D2224" w:rsidTr="00386D9A">
        <w:trPr>
          <w:cantSplit/>
        </w:trPr>
        <w:tc>
          <w:tcPr>
            <w:tcW w:w="2036" w:type="pct"/>
            <w:shd w:val="clear" w:color="auto" w:fill="D9D9D9" w:themeFill="background1" w:themeFillShade="D9"/>
            <w:vAlign w:val="center"/>
          </w:tcPr>
          <w:p w:rsidR="009036EE" w:rsidRPr="006D2224" w:rsidRDefault="009036EE" w:rsidP="004F7FF8">
            <w:pPr>
              <w:pStyle w:val="Tabletext"/>
            </w:pPr>
            <w:r w:rsidRPr="006D2224">
              <w:t>MCMC multiple imputation</w:t>
            </w:r>
          </w:p>
        </w:tc>
        <w:tc>
          <w:tcPr>
            <w:tcW w:w="989" w:type="pct"/>
            <w:shd w:val="clear" w:color="auto" w:fill="D9D9D9" w:themeFill="background1" w:themeFillShade="D9"/>
            <w:vAlign w:val="center"/>
          </w:tcPr>
          <w:p w:rsidR="009036EE" w:rsidRPr="006D2224" w:rsidRDefault="009036EE" w:rsidP="004F7FF8">
            <w:pPr>
              <w:pStyle w:val="Tabletext"/>
              <w:jc w:val="center"/>
            </w:pPr>
            <w:r w:rsidRPr="006D2224">
              <w:t>260 (51.7%)</w:t>
            </w:r>
          </w:p>
        </w:tc>
        <w:tc>
          <w:tcPr>
            <w:tcW w:w="989" w:type="pct"/>
            <w:shd w:val="clear" w:color="auto" w:fill="D9D9D9" w:themeFill="background1" w:themeFillShade="D9"/>
            <w:vAlign w:val="center"/>
          </w:tcPr>
          <w:p w:rsidR="009036EE" w:rsidRPr="006D2224" w:rsidRDefault="009036EE" w:rsidP="004F7FF8">
            <w:pPr>
              <w:pStyle w:val="Tabletext"/>
              <w:jc w:val="center"/>
            </w:pPr>
            <w:r w:rsidRPr="006D2224">
              <w:t>104 (40.6%)</w:t>
            </w:r>
          </w:p>
        </w:tc>
        <w:tc>
          <w:tcPr>
            <w:tcW w:w="987" w:type="pct"/>
            <w:shd w:val="clear" w:color="auto" w:fill="D9D9D9" w:themeFill="background1" w:themeFillShade="D9"/>
            <w:vAlign w:val="center"/>
          </w:tcPr>
          <w:p w:rsidR="009036EE" w:rsidRPr="006D2224" w:rsidRDefault="009036EE" w:rsidP="004F7FF8">
            <w:pPr>
              <w:pStyle w:val="Tabletext"/>
              <w:jc w:val="center"/>
            </w:pPr>
            <w:r w:rsidRPr="006D2224">
              <w:t>NR</w:t>
            </w:r>
          </w:p>
        </w:tc>
      </w:tr>
      <w:tr w:rsidR="009036EE" w:rsidRPr="006D2224" w:rsidTr="00386D9A">
        <w:trPr>
          <w:cantSplit/>
        </w:trPr>
        <w:tc>
          <w:tcPr>
            <w:tcW w:w="2036" w:type="pct"/>
            <w:vAlign w:val="center"/>
          </w:tcPr>
          <w:p w:rsidR="009036EE" w:rsidRPr="006D2224" w:rsidRDefault="009036EE" w:rsidP="004F7FF8">
            <w:pPr>
              <w:pStyle w:val="Tabletext"/>
            </w:pPr>
            <w:r w:rsidRPr="006D2224">
              <w:t>Logistic regression multiple imputation</w:t>
            </w:r>
          </w:p>
        </w:tc>
        <w:tc>
          <w:tcPr>
            <w:tcW w:w="989" w:type="pct"/>
            <w:vAlign w:val="center"/>
          </w:tcPr>
          <w:p w:rsidR="009036EE" w:rsidRPr="006D2224" w:rsidRDefault="009036EE" w:rsidP="004F7FF8">
            <w:pPr>
              <w:pStyle w:val="Tabletext"/>
              <w:jc w:val="center"/>
            </w:pPr>
            <w:r w:rsidRPr="006D2224">
              <w:t>49.0%</w:t>
            </w:r>
          </w:p>
        </w:tc>
        <w:tc>
          <w:tcPr>
            <w:tcW w:w="989" w:type="pct"/>
            <w:vAlign w:val="center"/>
          </w:tcPr>
          <w:p w:rsidR="009036EE" w:rsidRPr="006D2224" w:rsidRDefault="009036EE" w:rsidP="004F7FF8">
            <w:pPr>
              <w:pStyle w:val="Tabletext"/>
              <w:jc w:val="center"/>
            </w:pPr>
            <w:r w:rsidRPr="006D2224">
              <w:t>37.7%</w:t>
            </w:r>
          </w:p>
        </w:tc>
        <w:tc>
          <w:tcPr>
            <w:tcW w:w="987" w:type="pct"/>
            <w:vAlign w:val="center"/>
          </w:tcPr>
          <w:p w:rsidR="009036EE" w:rsidRPr="006D2224" w:rsidRDefault="009036EE" w:rsidP="004F7FF8">
            <w:pPr>
              <w:pStyle w:val="Tabletext"/>
              <w:jc w:val="center"/>
            </w:pPr>
            <w:r w:rsidRPr="006D2224">
              <w:t>0.005</w:t>
            </w:r>
            <w:r w:rsidRPr="006D2224">
              <w:rPr>
                <w:vertAlign w:val="superscript"/>
              </w:rPr>
              <w:t>a</w:t>
            </w:r>
          </w:p>
        </w:tc>
      </w:tr>
      <w:tr w:rsidR="009036EE" w:rsidRPr="006D2224" w:rsidTr="00386D9A">
        <w:trPr>
          <w:cantSplit/>
        </w:trPr>
        <w:tc>
          <w:tcPr>
            <w:tcW w:w="2036" w:type="pct"/>
            <w:tcBorders>
              <w:bottom w:val="single" w:sz="4" w:space="0" w:color="auto"/>
            </w:tcBorders>
            <w:vAlign w:val="center"/>
          </w:tcPr>
          <w:p w:rsidR="009036EE" w:rsidRPr="006D2224" w:rsidRDefault="009036EE" w:rsidP="004F7FF8">
            <w:pPr>
              <w:pStyle w:val="Tabletext"/>
              <w:rPr>
                <w:b/>
              </w:rPr>
            </w:pPr>
            <w:r w:rsidRPr="006D2224">
              <w:rPr>
                <w:b/>
              </w:rPr>
              <w:t>Trial AD-302</w:t>
            </w:r>
          </w:p>
        </w:tc>
        <w:tc>
          <w:tcPr>
            <w:tcW w:w="989" w:type="pct"/>
            <w:tcBorders>
              <w:bottom w:val="single" w:sz="4" w:space="0" w:color="auto"/>
            </w:tcBorders>
            <w:vAlign w:val="center"/>
          </w:tcPr>
          <w:p w:rsidR="009036EE" w:rsidRPr="006D2224" w:rsidRDefault="009036EE" w:rsidP="004F7FF8">
            <w:pPr>
              <w:pStyle w:val="Tabletext"/>
              <w:jc w:val="center"/>
              <w:rPr>
                <w:b/>
              </w:rPr>
            </w:pPr>
            <w:proofErr w:type="spellStart"/>
            <w:r w:rsidRPr="006D2224">
              <w:rPr>
                <w:b/>
              </w:rPr>
              <w:t>Crisaborole</w:t>
            </w:r>
            <w:proofErr w:type="spellEnd"/>
          </w:p>
          <w:p w:rsidR="009036EE" w:rsidRPr="006D2224" w:rsidRDefault="009036EE" w:rsidP="004F7FF8">
            <w:pPr>
              <w:pStyle w:val="Tabletext"/>
              <w:jc w:val="center"/>
              <w:rPr>
                <w:b/>
              </w:rPr>
            </w:pPr>
            <w:r w:rsidRPr="006D2224">
              <w:rPr>
                <w:b/>
              </w:rPr>
              <w:t>N=513</w:t>
            </w:r>
          </w:p>
        </w:tc>
        <w:tc>
          <w:tcPr>
            <w:tcW w:w="989" w:type="pct"/>
            <w:tcBorders>
              <w:bottom w:val="single" w:sz="4" w:space="0" w:color="auto"/>
            </w:tcBorders>
            <w:vAlign w:val="center"/>
          </w:tcPr>
          <w:p w:rsidR="009036EE" w:rsidRPr="006D2224" w:rsidRDefault="009036EE" w:rsidP="004F7FF8">
            <w:pPr>
              <w:pStyle w:val="Tabletext"/>
              <w:jc w:val="center"/>
              <w:rPr>
                <w:b/>
              </w:rPr>
            </w:pPr>
            <w:r w:rsidRPr="006D2224">
              <w:rPr>
                <w:b/>
              </w:rPr>
              <w:t>Ointment vehicle</w:t>
            </w:r>
          </w:p>
          <w:p w:rsidR="009036EE" w:rsidRPr="006D2224" w:rsidRDefault="009036EE" w:rsidP="004F7FF8">
            <w:pPr>
              <w:pStyle w:val="Tabletext"/>
              <w:jc w:val="center"/>
              <w:rPr>
                <w:b/>
              </w:rPr>
            </w:pPr>
            <w:r w:rsidRPr="006D2224">
              <w:rPr>
                <w:b/>
              </w:rPr>
              <w:t>N=250</w:t>
            </w:r>
          </w:p>
        </w:tc>
        <w:tc>
          <w:tcPr>
            <w:tcW w:w="987" w:type="pct"/>
            <w:tcBorders>
              <w:bottom w:val="single" w:sz="4" w:space="0" w:color="auto"/>
            </w:tcBorders>
            <w:vAlign w:val="center"/>
          </w:tcPr>
          <w:p w:rsidR="009036EE" w:rsidRPr="006D2224" w:rsidRDefault="009036EE" w:rsidP="004F7FF8">
            <w:pPr>
              <w:pStyle w:val="Tabletext"/>
              <w:jc w:val="center"/>
              <w:rPr>
                <w:b/>
              </w:rPr>
            </w:pPr>
            <w:r w:rsidRPr="006D2224">
              <w:rPr>
                <w:b/>
              </w:rPr>
              <w:t>p-value</w:t>
            </w:r>
          </w:p>
        </w:tc>
      </w:tr>
      <w:tr w:rsidR="009036EE" w:rsidRPr="006D2224" w:rsidTr="00386D9A">
        <w:trPr>
          <w:cantSplit/>
        </w:trPr>
        <w:tc>
          <w:tcPr>
            <w:tcW w:w="2036" w:type="pct"/>
            <w:tcBorders>
              <w:bottom w:val="single" w:sz="4" w:space="0" w:color="auto"/>
            </w:tcBorders>
            <w:shd w:val="clear" w:color="auto" w:fill="D9D9D9" w:themeFill="background1" w:themeFillShade="D9"/>
            <w:vAlign w:val="center"/>
          </w:tcPr>
          <w:p w:rsidR="009036EE" w:rsidRPr="006D2224" w:rsidRDefault="009036EE" w:rsidP="004F7FF8">
            <w:pPr>
              <w:pStyle w:val="Tabletext"/>
            </w:pPr>
            <w:r w:rsidRPr="006D2224">
              <w:t>MCMC multiple imputation</w:t>
            </w:r>
          </w:p>
        </w:tc>
        <w:tc>
          <w:tcPr>
            <w:tcW w:w="989" w:type="pct"/>
            <w:tcBorders>
              <w:bottom w:val="single" w:sz="4" w:space="0" w:color="auto"/>
            </w:tcBorders>
            <w:shd w:val="clear" w:color="auto" w:fill="D9D9D9" w:themeFill="background1" w:themeFillShade="D9"/>
            <w:vAlign w:val="center"/>
          </w:tcPr>
          <w:p w:rsidR="009036EE" w:rsidRPr="006D2224" w:rsidRDefault="009036EE" w:rsidP="004F7FF8">
            <w:pPr>
              <w:pStyle w:val="Tabletext"/>
              <w:jc w:val="center"/>
            </w:pPr>
            <w:r w:rsidRPr="006D2224">
              <w:t>249 (48.5%)</w:t>
            </w:r>
          </w:p>
        </w:tc>
        <w:tc>
          <w:tcPr>
            <w:tcW w:w="989" w:type="pct"/>
            <w:tcBorders>
              <w:bottom w:val="single" w:sz="4" w:space="0" w:color="auto"/>
            </w:tcBorders>
            <w:shd w:val="clear" w:color="auto" w:fill="D9D9D9" w:themeFill="background1" w:themeFillShade="D9"/>
            <w:vAlign w:val="center"/>
          </w:tcPr>
          <w:p w:rsidR="009036EE" w:rsidRPr="006D2224" w:rsidRDefault="009036EE" w:rsidP="004F7FF8">
            <w:pPr>
              <w:pStyle w:val="Tabletext"/>
              <w:jc w:val="center"/>
            </w:pPr>
            <w:r w:rsidRPr="006D2224">
              <w:t>74 (29.7%)</w:t>
            </w:r>
          </w:p>
        </w:tc>
        <w:tc>
          <w:tcPr>
            <w:tcW w:w="987" w:type="pct"/>
            <w:tcBorders>
              <w:bottom w:val="single" w:sz="4" w:space="0" w:color="auto"/>
            </w:tcBorders>
            <w:shd w:val="clear" w:color="auto" w:fill="D9D9D9" w:themeFill="background1" w:themeFillShade="D9"/>
            <w:vAlign w:val="center"/>
          </w:tcPr>
          <w:p w:rsidR="009036EE" w:rsidRPr="006D2224" w:rsidRDefault="009036EE" w:rsidP="004F7FF8">
            <w:pPr>
              <w:pStyle w:val="Tabletext"/>
              <w:jc w:val="center"/>
            </w:pPr>
            <w:r w:rsidRPr="006D2224">
              <w:t>NR</w:t>
            </w:r>
          </w:p>
        </w:tc>
      </w:tr>
      <w:tr w:rsidR="009036EE" w:rsidRPr="006D2224" w:rsidTr="00386D9A">
        <w:trPr>
          <w:cantSplit/>
        </w:trPr>
        <w:tc>
          <w:tcPr>
            <w:tcW w:w="2036" w:type="pct"/>
            <w:tcBorders>
              <w:bottom w:val="single" w:sz="4" w:space="0" w:color="auto"/>
            </w:tcBorders>
            <w:vAlign w:val="center"/>
          </w:tcPr>
          <w:p w:rsidR="009036EE" w:rsidRPr="006D2224" w:rsidRDefault="009036EE" w:rsidP="004F7FF8">
            <w:pPr>
              <w:pStyle w:val="Tabletext"/>
            </w:pPr>
            <w:r w:rsidRPr="006D2224">
              <w:t>Logistic regression multiple imputation</w:t>
            </w:r>
          </w:p>
        </w:tc>
        <w:tc>
          <w:tcPr>
            <w:tcW w:w="989" w:type="pct"/>
            <w:tcBorders>
              <w:bottom w:val="single" w:sz="4" w:space="0" w:color="auto"/>
            </w:tcBorders>
            <w:vAlign w:val="center"/>
          </w:tcPr>
          <w:p w:rsidR="009036EE" w:rsidRPr="006D2224" w:rsidRDefault="009036EE" w:rsidP="004F7FF8">
            <w:pPr>
              <w:pStyle w:val="Tabletext"/>
              <w:jc w:val="center"/>
            </w:pPr>
            <w:r w:rsidRPr="006D2224">
              <w:t>45.2%</w:t>
            </w:r>
          </w:p>
        </w:tc>
        <w:tc>
          <w:tcPr>
            <w:tcW w:w="989" w:type="pct"/>
            <w:tcBorders>
              <w:bottom w:val="single" w:sz="4" w:space="0" w:color="auto"/>
            </w:tcBorders>
            <w:vAlign w:val="center"/>
          </w:tcPr>
          <w:p w:rsidR="009036EE" w:rsidRPr="006D2224" w:rsidRDefault="009036EE" w:rsidP="004F7FF8">
            <w:pPr>
              <w:pStyle w:val="Tabletext"/>
              <w:jc w:val="center"/>
            </w:pPr>
            <w:r w:rsidRPr="006D2224">
              <w:t>25.5%</w:t>
            </w:r>
          </w:p>
        </w:tc>
        <w:tc>
          <w:tcPr>
            <w:tcW w:w="987" w:type="pct"/>
            <w:tcBorders>
              <w:bottom w:val="single" w:sz="4" w:space="0" w:color="auto"/>
            </w:tcBorders>
            <w:vAlign w:val="center"/>
          </w:tcPr>
          <w:p w:rsidR="009036EE" w:rsidRPr="006D2224" w:rsidRDefault="009036EE" w:rsidP="004F7FF8">
            <w:pPr>
              <w:pStyle w:val="Tabletext"/>
              <w:jc w:val="center"/>
            </w:pPr>
            <w:r w:rsidRPr="006D2224">
              <w:t>&lt;0.001</w:t>
            </w:r>
            <w:r w:rsidRPr="006D2224">
              <w:rPr>
                <w:vertAlign w:val="superscript"/>
              </w:rPr>
              <w:t>a</w:t>
            </w:r>
          </w:p>
        </w:tc>
      </w:tr>
    </w:tbl>
    <w:p w:rsidR="009036EE" w:rsidRPr="006D2224" w:rsidRDefault="009036EE" w:rsidP="009036EE">
      <w:pPr>
        <w:pStyle w:val="TableFooter"/>
      </w:pPr>
      <w:r w:rsidRPr="006D2224">
        <w:t>Source: Table 18, p83, Table 14.2.5.3.1, p202 of the AD-301 trial report; Table 18, p83 and Table 14.2.5.3.1, p198 of the AD-302 trial report</w:t>
      </w:r>
    </w:p>
    <w:p w:rsidR="009036EE" w:rsidRPr="006D2224" w:rsidRDefault="009036EE" w:rsidP="009036EE">
      <w:pPr>
        <w:pStyle w:val="TableFooter"/>
        <w:rPr>
          <w:sz w:val="20"/>
        </w:rPr>
      </w:pPr>
      <w:r w:rsidRPr="006D2224">
        <w:t>Abbreviations: ISGA, Investigator’s Static Global Assessment (5-point scale); MCMC, Markov Chain Monte Carlo; NR, not reported</w:t>
      </w:r>
    </w:p>
    <w:p w:rsidR="009036EE" w:rsidRPr="006D2224" w:rsidRDefault="009036EE" w:rsidP="009036EE">
      <w:pPr>
        <w:pStyle w:val="TableFooter"/>
        <w:rPr>
          <w:rFonts w:eastAsia="Calibri"/>
        </w:rPr>
      </w:pPr>
      <w:proofErr w:type="spellStart"/>
      <w:proofErr w:type="gramStart"/>
      <w:r w:rsidRPr="006D2224">
        <w:rPr>
          <w:rFonts w:eastAsia="Calibri"/>
          <w:vertAlign w:val="superscript"/>
        </w:rPr>
        <w:t>a</w:t>
      </w:r>
      <w:proofErr w:type="spellEnd"/>
      <w:proofErr w:type="gramEnd"/>
      <w:r w:rsidRPr="006D2224">
        <w:rPr>
          <w:rFonts w:eastAsia="Calibri"/>
          <w:vertAlign w:val="superscript"/>
        </w:rPr>
        <w:t xml:space="preserve"> </w:t>
      </w:r>
      <w:r w:rsidRPr="006D2224">
        <w:rPr>
          <w:rFonts w:eastAsia="Calibri"/>
        </w:rPr>
        <w:t>The p-value from a logistic regression (with Firth option) test with factors of treatment group and analysis centre. Values were adjusted for multiple imputation.</w:t>
      </w:r>
    </w:p>
    <w:p w:rsidR="00C91E6A" w:rsidRPr="006D2224" w:rsidRDefault="00132494" w:rsidP="009036EE">
      <w:pPr>
        <w:pStyle w:val="TableFooter"/>
      </w:pPr>
      <w:r w:rsidRPr="006D2224">
        <w:t xml:space="preserve">Note: Estimates highlighted in grey were used in the indirect comparison of </w:t>
      </w:r>
      <w:proofErr w:type="spellStart"/>
      <w:r w:rsidRPr="006D2224">
        <w:t>crisaborole</w:t>
      </w:r>
      <w:proofErr w:type="spellEnd"/>
      <w:r w:rsidRPr="006D2224">
        <w:t xml:space="preserve"> versus </w:t>
      </w:r>
      <w:proofErr w:type="spellStart"/>
      <w:r w:rsidRPr="006D2224">
        <w:t>pimecrolimus</w:t>
      </w:r>
      <w:proofErr w:type="spellEnd"/>
    </w:p>
    <w:p w:rsidR="00172808" w:rsidRPr="006D2224" w:rsidRDefault="00172808" w:rsidP="009036EE">
      <w:pPr>
        <w:widowControl/>
      </w:pPr>
    </w:p>
    <w:p w:rsidR="00247925" w:rsidRPr="006D2224" w:rsidRDefault="009036EE" w:rsidP="00173629">
      <w:pPr>
        <w:pStyle w:val="ListParagraph"/>
        <w:widowControl/>
        <w:numPr>
          <w:ilvl w:val="1"/>
          <w:numId w:val="2"/>
        </w:numPr>
      </w:pPr>
      <w:r w:rsidRPr="006D2224">
        <w:rPr>
          <w:rFonts w:cs="Calibri"/>
          <w:snapToGrid/>
          <w:szCs w:val="24"/>
          <w:lang w:eastAsia="en-AU"/>
        </w:rPr>
        <w:t xml:space="preserve">Treatment with </w:t>
      </w:r>
      <w:proofErr w:type="spellStart"/>
      <w:r w:rsidRPr="006D2224">
        <w:rPr>
          <w:rFonts w:cs="Calibri"/>
          <w:snapToGrid/>
          <w:szCs w:val="24"/>
          <w:lang w:eastAsia="en-AU"/>
        </w:rPr>
        <w:t>crisaborole</w:t>
      </w:r>
      <w:proofErr w:type="spellEnd"/>
      <w:r w:rsidRPr="006D2224">
        <w:rPr>
          <w:rFonts w:cs="Calibri"/>
          <w:snapToGrid/>
          <w:szCs w:val="24"/>
          <w:lang w:eastAsia="en-AU"/>
        </w:rPr>
        <w:t xml:space="preserve"> was associated with statistically significantly more patients achieving </w:t>
      </w:r>
      <w:r w:rsidR="004A77A7" w:rsidRPr="006D2224">
        <w:rPr>
          <w:rFonts w:cs="Calibri"/>
          <w:snapToGrid/>
          <w:szCs w:val="24"/>
          <w:lang w:eastAsia="en-AU"/>
        </w:rPr>
        <w:t>clear or almost clear disease</w:t>
      </w:r>
      <w:r w:rsidRPr="006D2224">
        <w:rPr>
          <w:rFonts w:cs="Calibri"/>
          <w:snapToGrid/>
          <w:szCs w:val="24"/>
          <w:lang w:eastAsia="en-AU"/>
        </w:rPr>
        <w:t xml:space="preserve"> (with no minimum requirement in score improvement) compared with vehicle-treated patients. </w:t>
      </w:r>
      <w:r w:rsidR="00077639" w:rsidRPr="006D2224">
        <w:rPr>
          <w:rFonts w:cs="Calibri"/>
          <w:snapToGrid/>
          <w:szCs w:val="24"/>
          <w:lang w:eastAsia="en-AU"/>
        </w:rPr>
        <w:t xml:space="preserve">The statistical significance </w:t>
      </w:r>
      <w:r w:rsidR="00723E92" w:rsidRPr="006D2224">
        <w:rPr>
          <w:rFonts w:cs="Calibri"/>
          <w:snapToGrid/>
          <w:szCs w:val="24"/>
          <w:lang w:eastAsia="en-AU"/>
        </w:rPr>
        <w:t xml:space="preserve">of results based on the Markov Chain Monte Carlo imputation method was unclear due to limited documentation. The absolute proportions achieving the endpoint also varied depending on method of imputation used. </w:t>
      </w:r>
    </w:p>
    <w:p w:rsidR="009036EE" w:rsidRPr="006D2224" w:rsidRDefault="004A77A7" w:rsidP="00173629">
      <w:pPr>
        <w:pStyle w:val="ListParagraph"/>
        <w:widowControl/>
        <w:numPr>
          <w:ilvl w:val="1"/>
          <w:numId w:val="2"/>
        </w:numPr>
      </w:pPr>
      <w:r w:rsidRPr="006D2224">
        <w:t xml:space="preserve">In both trials, changes in quality of life measures (Dermatology Quality of Life Index, Dermatitis Family Impact) were generally greater in the </w:t>
      </w:r>
      <w:proofErr w:type="spellStart"/>
      <w:r w:rsidRPr="006D2224">
        <w:t>crisaborole</w:t>
      </w:r>
      <w:proofErr w:type="spellEnd"/>
      <w:r w:rsidRPr="006D2224">
        <w:t xml:space="preserve"> </w:t>
      </w:r>
      <w:r w:rsidR="00D0735F" w:rsidRPr="006D2224">
        <w:t xml:space="preserve">arm </w:t>
      </w:r>
      <w:r w:rsidRPr="006D2224">
        <w:t xml:space="preserve">compared with placebo, however, the statistical significance of these results were not assessed. </w:t>
      </w:r>
      <w:r w:rsidR="009036EE" w:rsidRPr="006D2224">
        <w:t xml:space="preserve"> </w:t>
      </w:r>
    </w:p>
    <w:p w:rsidR="00EE6FA6" w:rsidRPr="006D2224" w:rsidRDefault="00EE6FA6" w:rsidP="00173629">
      <w:pPr>
        <w:pStyle w:val="ListParagraph"/>
        <w:widowControl/>
        <w:numPr>
          <w:ilvl w:val="1"/>
          <w:numId w:val="2"/>
        </w:numPr>
      </w:pPr>
      <w:r w:rsidRPr="006D2224">
        <w:lastRenderedPageBreak/>
        <w:t xml:space="preserve">It was unclear whether trial results from the broader atopic dermatitis population are directly applicable to the target population who are contraindicated to, intolerant to or who are failing </w:t>
      </w:r>
      <w:r w:rsidR="007064B0" w:rsidRPr="006D2224">
        <w:t>TCS</w:t>
      </w:r>
      <w:r w:rsidRPr="006D2224">
        <w:t xml:space="preserve">. No subgroup analyses were presented in the submission. In both trials, descriptive results for pre-specified analyses by sex, race and ethnicity remained in favour of </w:t>
      </w:r>
      <w:proofErr w:type="spellStart"/>
      <w:r w:rsidRPr="006D2224">
        <w:t>crisaborole</w:t>
      </w:r>
      <w:proofErr w:type="spellEnd"/>
      <w:r w:rsidRPr="006D2224">
        <w:t xml:space="preserve">. However, there was no observable difference between the </w:t>
      </w:r>
      <w:proofErr w:type="spellStart"/>
      <w:r w:rsidRPr="006D2224">
        <w:t>crisaborole</w:t>
      </w:r>
      <w:proofErr w:type="spellEnd"/>
      <w:r w:rsidRPr="006D2224">
        <w:t xml:space="preserve"> and </w:t>
      </w:r>
      <w:r w:rsidR="00132494" w:rsidRPr="006D2224">
        <w:t xml:space="preserve">vehicle </w:t>
      </w:r>
      <w:r w:rsidRPr="006D2224">
        <w:t xml:space="preserve">arms in the subgroup of patients who were 18 years and older, suggesting that treatment effects may vary with age. </w:t>
      </w:r>
      <w:r w:rsidR="00C95551" w:rsidRPr="006D2224">
        <w:t xml:space="preserve">The ESC considered that </w:t>
      </w:r>
      <w:r w:rsidR="008D7078" w:rsidRPr="006D2224">
        <w:t xml:space="preserve">the </w:t>
      </w:r>
      <w:r w:rsidR="00C95551" w:rsidRPr="006D2224">
        <w:t>patient population in the trial was not representative of the population in the requested listing.</w:t>
      </w:r>
      <w:r w:rsidR="008D7078" w:rsidRPr="006D2224">
        <w:t xml:space="preserve"> The Pre-Sub-Committee Response (PSCR</w:t>
      </w:r>
      <w:r w:rsidR="00AE4F80" w:rsidRPr="006D2224">
        <w:t>, p1</w:t>
      </w:r>
      <w:r w:rsidR="008D7078" w:rsidRPr="006D2224">
        <w:t xml:space="preserve">) presented a post-hoc subgroup analysis of patients achieving ISGA clear or almost clear with a 2-point reduction by prior treatment. The PSCR claimed that this showed that </w:t>
      </w:r>
      <w:proofErr w:type="spellStart"/>
      <w:r w:rsidR="008D7078" w:rsidRPr="006D2224">
        <w:t>crisaborole</w:t>
      </w:r>
      <w:proofErr w:type="spellEnd"/>
      <w:r w:rsidR="008D7078" w:rsidRPr="006D2224">
        <w:t xml:space="preserve"> was efficacious regardless of prior use of </w:t>
      </w:r>
      <w:r w:rsidR="007064B0" w:rsidRPr="006D2224">
        <w:t>TCS</w:t>
      </w:r>
      <w:r w:rsidR="008D7078" w:rsidRPr="006D2224">
        <w:t>, however the full data were not provided.</w:t>
      </w:r>
      <w:r w:rsidRPr="006D2224">
        <w:t xml:space="preserve"> </w:t>
      </w:r>
    </w:p>
    <w:p w:rsidR="00A85695" w:rsidRPr="006D2224" w:rsidRDefault="00A85695" w:rsidP="00173629">
      <w:pPr>
        <w:pStyle w:val="ListParagraph"/>
        <w:widowControl/>
        <w:numPr>
          <w:ilvl w:val="1"/>
          <w:numId w:val="2"/>
        </w:numPr>
      </w:pPr>
      <w:r w:rsidRPr="006D2224">
        <w:t xml:space="preserve">AD-303 was a 48-week safety extension study following on from parent trials AD-301 and AD-302. </w:t>
      </w:r>
      <w:r w:rsidR="004A77A7" w:rsidRPr="006D2224">
        <w:t>An</w:t>
      </w:r>
      <w:r w:rsidRPr="006D2224">
        <w:t xml:space="preserve"> exploratory analysis was conducted on topical rescue medication use (</w:t>
      </w:r>
      <w:r w:rsidR="007064B0" w:rsidRPr="006D2224">
        <w:t>TCS</w:t>
      </w:r>
      <w:r w:rsidRPr="006D2224">
        <w:t xml:space="preserve"> or </w:t>
      </w:r>
      <w:proofErr w:type="spellStart"/>
      <w:r w:rsidRPr="006D2224">
        <w:t>calcineurin</w:t>
      </w:r>
      <w:proofErr w:type="spellEnd"/>
      <w:r w:rsidRPr="006D2224">
        <w:t xml:space="preserve"> inhibitors) that was permitted during the study. Overall 22% of patients used rescue medication and the majority resumed treatment with </w:t>
      </w:r>
      <w:proofErr w:type="spellStart"/>
      <w:r w:rsidRPr="006D2224">
        <w:t>crisaborole</w:t>
      </w:r>
      <w:proofErr w:type="spellEnd"/>
      <w:r w:rsidRPr="006D2224">
        <w:t xml:space="preserve"> at a later date. </w:t>
      </w:r>
      <w:r w:rsidR="004A77A7" w:rsidRPr="006D2224">
        <w:t>Although efficacy was not formally assessed in this study, an additional exploratory analysis suggested</w:t>
      </w:r>
      <w:r w:rsidRPr="006D2224">
        <w:t xml:space="preserve"> that approximately 30% of patients </w:t>
      </w:r>
      <w:r w:rsidR="008B655A" w:rsidRPr="006D2224">
        <w:t>who received</w:t>
      </w:r>
      <w:r w:rsidRPr="006D2224">
        <w:t xml:space="preserve"> </w:t>
      </w:r>
      <w:proofErr w:type="spellStart"/>
      <w:r w:rsidRPr="006D2224">
        <w:t>crisaborole</w:t>
      </w:r>
      <w:proofErr w:type="spellEnd"/>
      <w:r w:rsidRPr="006D2224">
        <w:t xml:space="preserve"> </w:t>
      </w:r>
      <w:r w:rsidR="008B655A" w:rsidRPr="006D2224">
        <w:t xml:space="preserve">continuously </w:t>
      </w:r>
      <w:r w:rsidRPr="006D2224">
        <w:t xml:space="preserve">for at least 12 weeks </w:t>
      </w:r>
      <w:r w:rsidR="008B655A" w:rsidRPr="006D2224">
        <w:t xml:space="preserve">had no improvement in ISGA. </w:t>
      </w:r>
    </w:p>
    <w:p w:rsidR="00760C4E" w:rsidRPr="006D2224" w:rsidRDefault="00E15762" w:rsidP="00173629">
      <w:pPr>
        <w:pStyle w:val="ListParagraph"/>
        <w:widowControl/>
        <w:numPr>
          <w:ilvl w:val="1"/>
          <w:numId w:val="2"/>
        </w:numPr>
      </w:pPr>
      <w:r w:rsidRPr="006D2224">
        <w:t xml:space="preserve">Key outcomes reported in the </w:t>
      </w:r>
      <w:proofErr w:type="spellStart"/>
      <w:r w:rsidRPr="006D2224">
        <w:t>pimecrolimus</w:t>
      </w:r>
      <w:proofErr w:type="spellEnd"/>
      <w:r w:rsidRPr="006D2224">
        <w:t xml:space="preserve"> versus cream vehicle trials are summarised in the table below. </w:t>
      </w:r>
      <w:r w:rsidR="00132494" w:rsidRPr="006D2224">
        <w:t xml:space="preserve">Results based on Investigator’s Global Assessment (IGA), scored on a 6-point severity scale ranging from clear (0), almost clear (1), mild (2), moderate (3), severe (4) and very severe (5), were used for the indirect comparison with </w:t>
      </w:r>
      <w:proofErr w:type="spellStart"/>
      <w:r w:rsidR="00132494" w:rsidRPr="006D2224">
        <w:t>pimecrolimus</w:t>
      </w:r>
      <w:proofErr w:type="spellEnd"/>
      <w:r w:rsidR="00132494" w:rsidRPr="006D2224">
        <w:t xml:space="preserve"> in Table 8. </w:t>
      </w:r>
    </w:p>
    <w:p w:rsidR="00E15762" w:rsidRPr="006D2224" w:rsidRDefault="003132A2" w:rsidP="00386D9A">
      <w:pPr>
        <w:pStyle w:val="TableHeading0"/>
        <w:spacing w:after="0"/>
        <w:jc w:val="both"/>
      </w:pPr>
      <w:r w:rsidRPr="006D2224">
        <w:lastRenderedPageBreak/>
        <w:t>Table 7</w:t>
      </w:r>
      <w:r w:rsidR="00E15762" w:rsidRPr="006D2224">
        <w:t xml:space="preserve">: Results for atopic dermatitis disease severity outcomes from Barba 2003 (3 weeks), Breuer 2004 (4 weeks) and 6-week outcomes from Trial B305, Trial B306, Trial 0316 and Leung 2009. </w:t>
      </w:r>
    </w:p>
    <w:tbl>
      <w:tblPr>
        <w:tblStyle w:val="TableGrid"/>
        <w:tblW w:w="4942" w:type="pct"/>
        <w:tblInd w:w="108" w:type="dxa"/>
        <w:tblLook w:val="04A0" w:firstRow="1" w:lastRow="0" w:firstColumn="1" w:lastColumn="0" w:noHBand="0" w:noVBand="1"/>
        <w:tblCaption w:val="Results for atopic dermatitis disease severity outcomes from Barba 2003 (3 weeks), Breuer 2004 (4 weeks) and 6-week outcomes from Trial B305, Trial B306, Trial 0316 and Leung 2009. "/>
      </w:tblPr>
      <w:tblGrid>
        <w:gridCol w:w="1974"/>
        <w:gridCol w:w="1157"/>
        <w:gridCol w:w="1062"/>
        <w:gridCol w:w="1249"/>
        <w:gridCol w:w="1084"/>
        <w:gridCol w:w="1299"/>
        <w:gridCol w:w="1087"/>
      </w:tblGrid>
      <w:tr w:rsidR="00E15762" w:rsidRPr="006D2224" w:rsidTr="002B5257">
        <w:trPr>
          <w:cantSplit/>
          <w:tblHeader/>
        </w:trPr>
        <w:tc>
          <w:tcPr>
            <w:tcW w:w="1107" w:type="pct"/>
            <w:vAlign w:val="center"/>
          </w:tcPr>
          <w:p w:rsidR="00E15762" w:rsidRPr="006D2224" w:rsidRDefault="00E15762" w:rsidP="00386D9A">
            <w:pPr>
              <w:keepNext/>
              <w:jc w:val="left"/>
              <w:rPr>
                <w:rFonts w:ascii="Arial Narrow" w:hAnsi="Arial Narrow"/>
                <w:b/>
                <w:sz w:val="20"/>
                <w:szCs w:val="20"/>
              </w:rPr>
            </w:pPr>
            <w:r w:rsidRPr="006D2224">
              <w:rPr>
                <w:rFonts w:ascii="Arial Narrow" w:hAnsi="Arial Narrow"/>
                <w:b/>
                <w:sz w:val="20"/>
                <w:szCs w:val="20"/>
              </w:rPr>
              <w:t>Trial</w:t>
            </w:r>
          </w:p>
        </w:tc>
        <w:tc>
          <w:tcPr>
            <w:tcW w:w="649" w:type="pct"/>
            <w:vAlign w:val="center"/>
          </w:tcPr>
          <w:p w:rsidR="00E15762" w:rsidRPr="006D2224" w:rsidRDefault="00E15762" w:rsidP="00386D9A">
            <w:pPr>
              <w:keepNext/>
              <w:jc w:val="center"/>
              <w:rPr>
                <w:rFonts w:ascii="Arial Narrow" w:hAnsi="Arial Narrow"/>
                <w:b/>
                <w:sz w:val="20"/>
                <w:szCs w:val="20"/>
              </w:rPr>
            </w:pPr>
            <w:r w:rsidRPr="006D2224">
              <w:rPr>
                <w:rFonts w:ascii="Arial Narrow" w:hAnsi="Arial Narrow"/>
                <w:b/>
                <w:sz w:val="20"/>
                <w:szCs w:val="20"/>
              </w:rPr>
              <w:t>Facial IGA score 0 or 1</w:t>
            </w:r>
          </w:p>
        </w:tc>
        <w:tc>
          <w:tcPr>
            <w:tcW w:w="596" w:type="pct"/>
            <w:vAlign w:val="center"/>
          </w:tcPr>
          <w:p w:rsidR="00E15762" w:rsidRPr="006D2224" w:rsidRDefault="00E15762" w:rsidP="00386D9A">
            <w:pPr>
              <w:keepNext/>
              <w:jc w:val="center"/>
              <w:rPr>
                <w:rFonts w:ascii="Arial Narrow" w:hAnsi="Arial Narrow"/>
                <w:b/>
                <w:sz w:val="20"/>
                <w:szCs w:val="20"/>
              </w:rPr>
            </w:pPr>
            <w:r w:rsidRPr="006D2224">
              <w:rPr>
                <w:rFonts w:ascii="Arial Narrow" w:hAnsi="Arial Narrow"/>
                <w:b/>
                <w:sz w:val="20"/>
                <w:szCs w:val="20"/>
              </w:rPr>
              <w:t>IGA score 0 or 1</w:t>
            </w:r>
          </w:p>
        </w:tc>
        <w:tc>
          <w:tcPr>
            <w:tcW w:w="701" w:type="pct"/>
            <w:vAlign w:val="center"/>
          </w:tcPr>
          <w:p w:rsidR="00E15762" w:rsidRPr="006D2224" w:rsidRDefault="00E15762" w:rsidP="00386D9A">
            <w:pPr>
              <w:keepNext/>
              <w:jc w:val="center"/>
              <w:rPr>
                <w:rFonts w:ascii="Arial Narrow" w:hAnsi="Arial Narrow"/>
                <w:b/>
                <w:sz w:val="20"/>
                <w:szCs w:val="20"/>
              </w:rPr>
            </w:pPr>
            <w:r w:rsidRPr="006D2224">
              <w:rPr>
                <w:rFonts w:ascii="Arial Narrow" w:hAnsi="Arial Narrow"/>
                <w:b/>
                <w:sz w:val="20"/>
                <w:szCs w:val="20"/>
              </w:rPr>
              <w:t>EASI</w:t>
            </w:r>
          </w:p>
        </w:tc>
        <w:tc>
          <w:tcPr>
            <w:tcW w:w="608" w:type="pct"/>
            <w:vAlign w:val="center"/>
          </w:tcPr>
          <w:p w:rsidR="00E15762" w:rsidRPr="006D2224" w:rsidRDefault="00E15762" w:rsidP="00386D9A">
            <w:pPr>
              <w:keepNext/>
              <w:jc w:val="center"/>
              <w:rPr>
                <w:rFonts w:ascii="Arial Narrow" w:hAnsi="Arial Narrow"/>
                <w:b/>
                <w:sz w:val="20"/>
                <w:szCs w:val="20"/>
              </w:rPr>
            </w:pPr>
            <w:r w:rsidRPr="006D2224">
              <w:rPr>
                <w:rFonts w:ascii="Arial Narrow" w:hAnsi="Arial Narrow"/>
                <w:b/>
                <w:sz w:val="20"/>
                <w:szCs w:val="20"/>
              </w:rPr>
              <w:t>SCORAD</w:t>
            </w:r>
          </w:p>
        </w:tc>
        <w:tc>
          <w:tcPr>
            <w:tcW w:w="729" w:type="pct"/>
            <w:vAlign w:val="center"/>
          </w:tcPr>
          <w:p w:rsidR="00E15762" w:rsidRPr="006D2224" w:rsidRDefault="00E15762" w:rsidP="00386D9A">
            <w:pPr>
              <w:keepNext/>
              <w:jc w:val="center"/>
              <w:rPr>
                <w:rFonts w:ascii="Arial Narrow" w:hAnsi="Arial Narrow"/>
                <w:b/>
                <w:sz w:val="20"/>
                <w:szCs w:val="20"/>
              </w:rPr>
            </w:pPr>
            <w:r w:rsidRPr="006D2224">
              <w:rPr>
                <w:rFonts w:ascii="Arial Narrow" w:hAnsi="Arial Narrow"/>
                <w:b/>
                <w:sz w:val="20"/>
                <w:szCs w:val="20"/>
              </w:rPr>
              <w:t>Pruritus</w:t>
            </w:r>
          </w:p>
        </w:tc>
        <w:tc>
          <w:tcPr>
            <w:tcW w:w="611" w:type="pct"/>
            <w:vAlign w:val="center"/>
          </w:tcPr>
          <w:p w:rsidR="00E15762" w:rsidRPr="006D2224" w:rsidRDefault="00E15762" w:rsidP="00386D9A">
            <w:pPr>
              <w:keepNext/>
              <w:jc w:val="center"/>
              <w:rPr>
                <w:rFonts w:ascii="Arial Narrow" w:hAnsi="Arial Narrow"/>
                <w:b/>
                <w:sz w:val="20"/>
                <w:szCs w:val="20"/>
              </w:rPr>
            </w:pPr>
            <w:r w:rsidRPr="006D2224">
              <w:rPr>
                <w:rFonts w:ascii="Arial Narrow" w:hAnsi="Arial Narrow"/>
                <w:b/>
                <w:sz w:val="20"/>
                <w:szCs w:val="20"/>
              </w:rPr>
              <w:t>Good or complete control</w:t>
            </w:r>
          </w:p>
        </w:tc>
      </w:tr>
      <w:tr w:rsidR="00E15762" w:rsidRPr="006D2224" w:rsidTr="00386D9A">
        <w:tc>
          <w:tcPr>
            <w:tcW w:w="5000" w:type="pct"/>
            <w:gridSpan w:val="7"/>
          </w:tcPr>
          <w:p w:rsidR="00E15762" w:rsidRPr="006D2224" w:rsidRDefault="00E15762" w:rsidP="00386D9A">
            <w:pPr>
              <w:keepNext/>
              <w:jc w:val="left"/>
              <w:rPr>
                <w:rFonts w:ascii="Arial Narrow" w:hAnsi="Arial Narrow"/>
                <w:b/>
                <w:sz w:val="20"/>
                <w:szCs w:val="20"/>
              </w:rPr>
            </w:pPr>
            <w:r w:rsidRPr="006D2224">
              <w:rPr>
                <w:rFonts w:ascii="Arial Narrow" w:hAnsi="Arial Narrow"/>
                <w:b/>
                <w:sz w:val="20"/>
                <w:szCs w:val="20"/>
              </w:rPr>
              <w:t>Barba 2003 (3 weeks)</w:t>
            </w:r>
          </w:p>
        </w:tc>
      </w:tr>
      <w:tr w:rsidR="00E15762" w:rsidRPr="006D2224" w:rsidTr="00386D9A">
        <w:trPr>
          <w:trHeight w:val="469"/>
        </w:trPr>
        <w:tc>
          <w:tcPr>
            <w:tcW w:w="1107" w:type="pct"/>
          </w:tcPr>
          <w:p w:rsidR="00E15762" w:rsidRPr="006D2224" w:rsidRDefault="00E15762" w:rsidP="00386D9A">
            <w:pPr>
              <w:keepNext/>
              <w:rPr>
                <w:rFonts w:ascii="Arial Narrow" w:hAnsi="Arial Narrow"/>
                <w:sz w:val="20"/>
                <w:szCs w:val="20"/>
              </w:rPr>
            </w:pPr>
          </w:p>
          <w:p w:rsidR="00E15762" w:rsidRPr="006D2224" w:rsidRDefault="00E15762" w:rsidP="00386D9A">
            <w:pPr>
              <w:keepNext/>
              <w:rPr>
                <w:rFonts w:ascii="Arial Narrow" w:hAnsi="Arial Narrow"/>
                <w:sz w:val="20"/>
                <w:szCs w:val="20"/>
              </w:rPr>
            </w:pPr>
            <w:proofErr w:type="spellStart"/>
            <w:r w:rsidRPr="006D2224">
              <w:rPr>
                <w:rFonts w:ascii="Arial Narrow" w:hAnsi="Arial Narrow"/>
                <w:sz w:val="20"/>
                <w:szCs w:val="20"/>
              </w:rPr>
              <w:t>Pimecrolimus</w:t>
            </w:r>
            <w:proofErr w:type="spellEnd"/>
            <w:r w:rsidRPr="006D2224">
              <w:rPr>
                <w:rFonts w:ascii="Arial Narrow" w:hAnsi="Arial Narrow"/>
                <w:sz w:val="20"/>
                <w:szCs w:val="20"/>
              </w:rPr>
              <w:t xml:space="preserve"> (n=76)</w:t>
            </w:r>
          </w:p>
          <w:p w:rsidR="00E15762" w:rsidRPr="006D2224" w:rsidRDefault="00E15762" w:rsidP="00386D9A">
            <w:pPr>
              <w:keepNext/>
              <w:rPr>
                <w:rFonts w:ascii="Arial Narrow" w:hAnsi="Arial Narrow"/>
                <w:sz w:val="20"/>
                <w:szCs w:val="20"/>
              </w:rPr>
            </w:pPr>
            <w:r w:rsidRPr="006D2224">
              <w:rPr>
                <w:rFonts w:ascii="Arial Narrow" w:hAnsi="Arial Narrow"/>
                <w:sz w:val="20"/>
                <w:szCs w:val="20"/>
              </w:rPr>
              <w:t>Cream vehicle (n=38)</w:t>
            </w:r>
          </w:p>
        </w:tc>
        <w:tc>
          <w:tcPr>
            <w:tcW w:w="649"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75%</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31%</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p=0.0004</w:t>
            </w:r>
          </w:p>
        </w:tc>
        <w:tc>
          <w:tcPr>
            <w:tcW w:w="596" w:type="pct"/>
            <w:shd w:val="clear" w:color="auto" w:fill="D9D9D9" w:themeFill="background1" w:themeFillShade="D9"/>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shd w:val="clear" w:color="auto" w:fill="D9D9D9" w:themeFill="background1" w:themeFillShade="D9"/>
              <w:jc w:val="center"/>
              <w:rPr>
                <w:rFonts w:ascii="Arial Narrow" w:hAnsi="Arial Narrow"/>
                <w:sz w:val="20"/>
                <w:szCs w:val="20"/>
              </w:rPr>
            </w:pPr>
            <w:r w:rsidRPr="006D2224">
              <w:rPr>
                <w:rFonts w:ascii="Arial Narrow" w:hAnsi="Arial Narrow"/>
                <w:sz w:val="20"/>
                <w:szCs w:val="20"/>
              </w:rPr>
              <w:t>31%</w:t>
            </w:r>
          </w:p>
          <w:p w:rsidR="00E15762" w:rsidRPr="006D2224" w:rsidRDefault="00E15762" w:rsidP="00386D9A">
            <w:pPr>
              <w:keepNext/>
              <w:shd w:val="clear" w:color="auto" w:fill="D9D9D9" w:themeFill="background1" w:themeFillShade="D9"/>
              <w:jc w:val="center"/>
              <w:rPr>
                <w:rFonts w:ascii="Arial Narrow" w:hAnsi="Arial Narrow"/>
                <w:sz w:val="20"/>
                <w:szCs w:val="20"/>
              </w:rPr>
            </w:pPr>
            <w:r w:rsidRPr="006D2224">
              <w:rPr>
                <w:rFonts w:ascii="Arial Narrow" w:hAnsi="Arial Narrow"/>
                <w:sz w:val="20"/>
                <w:szCs w:val="20"/>
              </w:rPr>
              <w:t>23%</w:t>
            </w:r>
          </w:p>
          <w:p w:rsidR="00E15762" w:rsidRPr="006D2224" w:rsidRDefault="00E15762" w:rsidP="00386D9A">
            <w:pPr>
              <w:keepNext/>
              <w:shd w:val="clear" w:color="auto" w:fill="D9D9D9" w:themeFill="background1" w:themeFillShade="D9"/>
              <w:jc w:val="center"/>
              <w:rPr>
                <w:rFonts w:ascii="Arial Narrow" w:hAnsi="Arial Narrow"/>
                <w:sz w:val="20"/>
                <w:szCs w:val="20"/>
              </w:rPr>
            </w:pPr>
            <w:r w:rsidRPr="006D2224">
              <w:rPr>
                <w:rFonts w:ascii="Arial Narrow" w:hAnsi="Arial Narrow"/>
                <w:sz w:val="20"/>
                <w:szCs w:val="20"/>
              </w:rPr>
              <w:t>p=0.0037</w:t>
            </w:r>
          </w:p>
        </w:tc>
        <w:tc>
          <w:tcPr>
            <w:tcW w:w="701" w:type="pct"/>
          </w:tcPr>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Mean %</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-66.7%</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+23%</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p=0.0001</w:t>
            </w:r>
          </w:p>
        </w:tc>
        <w:tc>
          <w:tcPr>
            <w:tcW w:w="608"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w:t>
            </w:r>
          </w:p>
        </w:tc>
        <w:tc>
          <w:tcPr>
            <w:tcW w:w="729" w:type="pct"/>
          </w:tcPr>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No or minimal</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90%</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46%</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p&lt;0.0001</w:t>
            </w:r>
          </w:p>
        </w:tc>
        <w:tc>
          <w:tcPr>
            <w:tcW w:w="611"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91%</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49%</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p&lt;0.0001</w:t>
            </w:r>
          </w:p>
        </w:tc>
      </w:tr>
      <w:tr w:rsidR="00E15762" w:rsidRPr="006D2224" w:rsidTr="00386D9A">
        <w:tc>
          <w:tcPr>
            <w:tcW w:w="5000" w:type="pct"/>
            <w:gridSpan w:val="7"/>
          </w:tcPr>
          <w:p w:rsidR="00E15762" w:rsidRPr="006D2224" w:rsidRDefault="00E15762" w:rsidP="00386D9A">
            <w:pPr>
              <w:keepNext/>
              <w:jc w:val="left"/>
              <w:rPr>
                <w:rFonts w:ascii="Arial Narrow" w:hAnsi="Arial Narrow"/>
                <w:sz w:val="20"/>
                <w:szCs w:val="20"/>
              </w:rPr>
            </w:pPr>
            <w:r w:rsidRPr="006D2224">
              <w:rPr>
                <w:rFonts w:ascii="Arial Narrow" w:hAnsi="Arial Narrow"/>
                <w:b/>
                <w:sz w:val="20"/>
                <w:szCs w:val="20"/>
              </w:rPr>
              <w:t>Breuer 2004 (4 weeks)</w:t>
            </w:r>
          </w:p>
        </w:tc>
      </w:tr>
      <w:tr w:rsidR="00E15762" w:rsidRPr="006D2224" w:rsidTr="00386D9A">
        <w:trPr>
          <w:trHeight w:val="469"/>
        </w:trPr>
        <w:tc>
          <w:tcPr>
            <w:tcW w:w="1107" w:type="pct"/>
          </w:tcPr>
          <w:p w:rsidR="00E15762" w:rsidRPr="006D2224" w:rsidRDefault="00E15762" w:rsidP="00386D9A">
            <w:pPr>
              <w:keepNext/>
              <w:rPr>
                <w:rFonts w:ascii="Arial Narrow" w:hAnsi="Arial Narrow"/>
                <w:sz w:val="20"/>
                <w:szCs w:val="20"/>
              </w:rPr>
            </w:pPr>
          </w:p>
          <w:p w:rsidR="00E15762" w:rsidRPr="006D2224" w:rsidRDefault="00E15762" w:rsidP="00386D9A">
            <w:pPr>
              <w:keepNext/>
              <w:rPr>
                <w:rFonts w:ascii="Arial Narrow" w:hAnsi="Arial Narrow"/>
                <w:sz w:val="20"/>
                <w:szCs w:val="20"/>
              </w:rPr>
            </w:pPr>
            <w:proofErr w:type="spellStart"/>
            <w:r w:rsidRPr="006D2224">
              <w:rPr>
                <w:rFonts w:ascii="Arial Narrow" w:hAnsi="Arial Narrow"/>
                <w:sz w:val="20"/>
                <w:szCs w:val="20"/>
              </w:rPr>
              <w:t>Pimecrolimus</w:t>
            </w:r>
            <w:proofErr w:type="spellEnd"/>
            <w:r w:rsidRPr="006D2224">
              <w:rPr>
                <w:rFonts w:ascii="Arial Narrow" w:hAnsi="Arial Narrow"/>
                <w:sz w:val="20"/>
                <w:szCs w:val="20"/>
              </w:rPr>
              <w:t xml:space="preserve"> (n=129)</w:t>
            </w:r>
          </w:p>
          <w:p w:rsidR="00E15762" w:rsidRPr="006D2224" w:rsidRDefault="00E15762" w:rsidP="00386D9A">
            <w:pPr>
              <w:keepNext/>
              <w:rPr>
                <w:rFonts w:ascii="Arial Narrow" w:hAnsi="Arial Narrow"/>
                <w:sz w:val="20"/>
                <w:szCs w:val="20"/>
              </w:rPr>
            </w:pPr>
            <w:r w:rsidRPr="006D2224">
              <w:rPr>
                <w:rFonts w:ascii="Arial Narrow" w:hAnsi="Arial Narrow"/>
                <w:sz w:val="20"/>
                <w:szCs w:val="20"/>
              </w:rPr>
              <w:t>Cream vehicle (n=66)</w:t>
            </w:r>
          </w:p>
        </w:tc>
        <w:tc>
          <w:tcPr>
            <w:tcW w:w="649"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w:t>
            </w:r>
          </w:p>
        </w:tc>
        <w:tc>
          <w:tcPr>
            <w:tcW w:w="596" w:type="pct"/>
            <w:shd w:val="clear" w:color="auto" w:fill="D9D9D9" w:themeFill="background1" w:themeFillShade="D9"/>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53.5%</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10.6%</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p&lt;0.001</w:t>
            </w:r>
          </w:p>
        </w:tc>
        <w:tc>
          <w:tcPr>
            <w:tcW w:w="701" w:type="pct"/>
          </w:tcPr>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Mean %</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-71.5%</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+19.4%</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p&lt;0.001</w:t>
            </w:r>
          </w:p>
        </w:tc>
        <w:tc>
          <w:tcPr>
            <w:tcW w:w="608"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-55.2%</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+1.1%</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p=0.002</w:t>
            </w:r>
          </w:p>
        </w:tc>
        <w:tc>
          <w:tcPr>
            <w:tcW w:w="729"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w:t>
            </w:r>
          </w:p>
        </w:tc>
        <w:tc>
          <w:tcPr>
            <w:tcW w:w="611"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w:t>
            </w:r>
          </w:p>
        </w:tc>
      </w:tr>
      <w:tr w:rsidR="00E15762" w:rsidRPr="006D2224" w:rsidTr="00386D9A">
        <w:tc>
          <w:tcPr>
            <w:tcW w:w="5000" w:type="pct"/>
            <w:gridSpan w:val="7"/>
          </w:tcPr>
          <w:p w:rsidR="00E15762" w:rsidRPr="006D2224" w:rsidRDefault="00E15762" w:rsidP="00386D9A">
            <w:pPr>
              <w:keepNext/>
              <w:jc w:val="left"/>
              <w:rPr>
                <w:rFonts w:ascii="Arial Narrow" w:hAnsi="Arial Narrow"/>
                <w:sz w:val="20"/>
                <w:szCs w:val="20"/>
              </w:rPr>
            </w:pPr>
            <w:r w:rsidRPr="006D2224">
              <w:rPr>
                <w:rFonts w:ascii="Arial Narrow" w:hAnsi="Arial Narrow"/>
                <w:b/>
                <w:sz w:val="20"/>
                <w:szCs w:val="20"/>
              </w:rPr>
              <w:t>Trial B305 (6 weeks)</w:t>
            </w:r>
          </w:p>
        </w:tc>
      </w:tr>
      <w:tr w:rsidR="00E15762" w:rsidRPr="006D2224" w:rsidTr="00386D9A">
        <w:trPr>
          <w:trHeight w:val="469"/>
        </w:trPr>
        <w:tc>
          <w:tcPr>
            <w:tcW w:w="1107" w:type="pct"/>
          </w:tcPr>
          <w:p w:rsidR="00E15762" w:rsidRPr="006D2224" w:rsidRDefault="00E15762" w:rsidP="00386D9A">
            <w:pPr>
              <w:keepNext/>
              <w:rPr>
                <w:rFonts w:ascii="Arial Narrow" w:hAnsi="Arial Narrow"/>
                <w:sz w:val="20"/>
                <w:szCs w:val="20"/>
              </w:rPr>
            </w:pPr>
          </w:p>
          <w:p w:rsidR="00E15762" w:rsidRPr="006D2224" w:rsidRDefault="00E15762" w:rsidP="00386D9A">
            <w:pPr>
              <w:keepNext/>
              <w:rPr>
                <w:rFonts w:ascii="Arial Narrow" w:hAnsi="Arial Narrow"/>
                <w:sz w:val="20"/>
                <w:szCs w:val="20"/>
              </w:rPr>
            </w:pPr>
            <w:proofErr w:type="spellStart"/>
            <w:r w:rsidRPr="006D2224">
              <w:rPr>
                <w:rFonts w:ascii="Arial Narrow" w:hAnsi="Arial Narrow"/>
                <w:sz w:val="20"/>
                <w:szCs w:val="20"/>
              </w:rPr>
              <w:t>Pimecrolimus</w:t>
            </w:r>
            <w:proofErr w:type="spellEnd"/>
            <w:r w:rsidRPr="006D2224">
              <w:rPr>
                <w:rFonts w:ascii="Arial Narrow" w:hAnsi="Arial Narrow"/>
                <w:sz w:val="20"/>
                <w:szCs w:val="20"/>
              </w:rPr>
              <w:t xml:space="preserve"> (n=130)</w:t>
            </w:r>
          </w:p>
          <w:p w:rsidR="00E15762" w:rsidRPr="006D2224" w:rsidRDefault="00E15762" w:rsidP="00386D9A">
            <w:pPr>
              <w:keepNext/>
              <w:rPr>
                <w:rFonts w:ascii="Arial Narrow" w:hAnsi="Arial Narrow"/>
                <w:sz w:val="20"/>
                <w:szCs w:val="20"/>
              </w:rPr>
            </w:pPr>
            <w:r w:rsidRPr="006D2224">
              <w:rPr>
                <w:rFonts w:ascii="Arial Narrow" w:hAnsi="Arial Narrow"/>
                <w:sz w:val="20"/>
                <w:szCs w:val="20"/>
              </w:rPr>
              <w:t>Cream vehicle (n=68)</w:t>
            </w:r>
          </w:p>
        </w:tc>
        <w:tc>
          <w:tcPr>
            <w:tcW w:w="649"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w:t>
            </w:r>
          </w:p>
        </w:tc>
        <w:tc>
          <w:tcPr>
            <w:tcW w:w="596" w:type="pct"/>
            <w:shd w:val="clear" w:color="auto" w:fill="D9D9D9" w:themeFill="background1" w:themeFillShade="D9"/>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37.7%</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16.2%</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p=0.02</w:t>
            </w:r>
          </w:p>
        </w:tc>
        <w:tc>
          <w:tcPr>
            <w:tcW w:w="701"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vertAlign w:val="superscript"/>
              </w:rPr>
            </w:pPr>
            <w:proofErr w:type="spellStart"/>
            <w:r w:rsidRPr="006D2224">
              <w:rPr>
                <w:rFonts w:ascii="Arial Narrow" w:hAnsi="Arial Narrow"/>
                <w:sz w:val="20"/>
                <w:szCs w:val="20"/>
              </w:rPr>
              <w:t>NR</w:t>
            </w:r>
            <w:r w:rsidRPr="006D2224">
              <w:rPr>
                <w:rFonts w:ascii="Arial Narrow" w:hAnsi="Arial Narrow"/>
                <w:sz w:val="20"/>
                <w:szCs w:val="20"/>
                <w:vertAlign w:val="superscript"/>
              </w:rPr>
              <w:t>a</w:t>
            </w:r>
            <w:proofErr w:type="spellEnd"/>
          </w:p>
        </w:tc>
        <w:tc>
          <w:tcPr>
            <w:tcW w:w="608" w:type="pct"/>
          </w:tcPr>
          <w:p w:rsidR="00E15762" w:rsidRPr="006D2224" w:rsidRDefault="00E15762" w:rsidP="00386D9A">
            <w:pPr>
              <w:keepNext/>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w:t>
            </w:r>
          </w:p>
        </w:tc>
        <w:tc>
          <w:tcPr>
            <w:tcW w:w="729" w:type="pct"/>
          </w:tcPr>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Absent or mild</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50%</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32.4%</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p&lt;0.02</w:t>
            </w:r>
          </w:p>
        </w:tc>
        <w:tc>
          <w:tcPr>
            <w:tcW w:w="611"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w:t>
            </w:r>
          </w:p>
        </w:tc>
      </w:tr>
      <w:tr w:rsidR="00E15762" w:rsidRPr="006D2224" w:rsidTr="00386D9A">
        <w:tc>
          <w:tcPr>
            <w:tcW w:w="5000" w:type="pct"/>
            <w:gridSpan w:val="7"/>
          </w:tcPr>
          <w:p w:rsidR="00E15762" w:rsidRPr="006D2224" w:rsidRDefault="00E15762" w:rsidP="00386D9A">
            <w:pPr>
              <w:keepNext/>
              <w:jc w:val="left"/>
              <w:rPr>
                <w:rFonts w:ascii="Arial Narrow" w:hAnsi="Arial Narrow"/>
                <w:sz w:val="20"/>
                <w:szCs w:val="20"/>
              </w:rPr>
            </w:pPr>
            <w:r w:rsidRPr="006D2224">
              <w:rPr>
                <w:rFonts w:ascii="Arial Narrow" w:hAnsi="Arial Narrow"/>
                <w:b/>
                <w:sz w:val="20"/>
                <w:szCs w:val="20"/>
              </w:rPr>
              <w:t>Trial B307 (6 weeks)</w:t>
            </w:r>
          </w:p>
        </w:tc>
      </w:tr>
      <w:tr w:rsidR="00E15762" w:rsidRPr="006D2224" w:rsidTr="00386D9A">
        <w:trPr>
          <w:trHeight w:val="469"/>
        </w:trPr>
        <w:tc>
          <w:tcPr>
            <w:tcW w:w="1107" w:type="pct"/>
          </w:tcPr>
          <w:p w:rsidR="00E15762" w:rsidRPr="006D2224" w:rsidRDefault="00E15762" w:rsidP="00386D9A">
            <w:pPr>
              <w:keepNext/>
              <w:rPr>
                <w:rFonts w:ascii="Arial Narrow" w:hAnsi="Arial Narrow"/>
                <w:sz w:val="20"/>
                <w:szCs w:val="20"/>
              </w:rPr>
            </w:pPr>
          </w:p>
          <w:p w:rsidR="00E15762" w:rsidRPr="006D2224" w:rsidRDefault="00E15762" w:rsidP="00386D9A">
            <w:pPr>
              <w:keepNext/>
              <w:rPr>
                <w:rFonts w:ascii="Arial Narrow" w:hAnsi="Arial Narrow"/>
                <w:sz w:val="20"/>
                <w:szCs w:val="20"/>
              </w:rPr>
            </w:pPr>
            <w:proofErr w:type="spellStart"/>
            <w:r w:rsidRPr="006D2224">
              <w:rPr>
                <w:rFonts w:ascii="Arial Narrow" w:hAnsi="Arial Narrow"/>
                <w:sz w:val="20"/>
                <w:szCs w:val="20"/>
              </w:rPr>
              <w:t>Pimecrolimus</w:t>
            </w:r>
            <w:proofErr w:type="spellEnd"/>
            <w:r w:rsidRPr="006D2224">
              <w:rPr>
                <w:rFonts w:ascii="Arial Narrow" w:hAnsi="Arial Narrow"/>
                <w:sz w:val="20"/>
                <w:szCs w:val="20"/>
              </w:rPr>
              <w:t xml:space="preserve"> (n=137)</w:t>
            </w:r>
          </w:p>
          <w:p w:rsidR="00E15762" w:rsidRPr="006D2224" w:rsidRDefault="00E15762" w:rsidP="00386D9A">
            <w:pPr>
              <w:keepNext/>
              <w:rPr>
                <w:rFonts w:ascii="Arial Narrow" w:hAnsi="Arial Narrow"/>
                <w:sz w:val="20"/>
                <w:szCs w:val="20"/>
              </w:rPr>
            </w:pPr>
            <w:r w:rsidRPr="006D2224">
              <w:rPr>
                <w:rFonts w:ascii="Arial Narrow" w:hAnsi="Arial Narrow"/>
                <w:sz w:val="20"/>
                <w:szCs w:val="20"/>
              </w:rPr>
              <w:t>Cream vehicle (n=68)</w:t>
            </w:r>
          </w:p>
        </w:tc>
        <w:tc>
          <w:tcPr>
            <w:tcW w:w="649"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w:t>
            </w:r>
          </w:p>
        </w:tc>
        <w:tc>
          <w:tcPr>
            <w:tcW w:w="596" w:type="pct"/>
            <w:shd w:val="clear" w:color="auto" w:fill="D9D9D9" w:themeFill="background1" w:themeFillShade="D9"/>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32.1%</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20.6%</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p=0.076</w:t>
            </w:r>
          </w:p>
        </w:tc>
        <w:tc>
          <w:tcPr>
            <w:tcW w:w="701"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vertAlign w:val="superscript"/>
              </w:rPr>
            </w:pPr>
            <w:proofErr w:type="spellStart"/>
            <w:r w:rsidRPr="006D2224">
              <w:rPr>
                <w:rFonts w:ascii="Arial Narrow" w:hAnsi="Arial Narrow"/>
                <w:sz w:val="20"/>
                <w:szCs w:val="20"/>
              </w:rPr>
              <w:t>NR</w:t>
            </w:r>
            <w:r w:rsidRPr="006D2224">
              <w:rPr>
                <w:rFonts w:ascii="Arial Narrow" w:hAnsi="Arial Narrow"/>
                <w:sz w:val="20"/>
                <w:szCs w:val="20"/>
                <w:vertAlign w:val="superscript"/>
              </w:rPr>
              <w:t>a</w:t>
            </w:r>
            <w:proofErr w:type="spellEnd"/>
          </w:p>
        </w:tc>
        <w:tc>
          <w:tcPr>
            <w:tcW w:w="608"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w:t>
            </w:r>
          </w:p>
        </w:tc>
        <w:tc>
          <w:tcPr>
            <w:tcW w:w="729" w:type="pct"/>
          </w:tcPr>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Absent or mild</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62.8%</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35.3%</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p&lt;0.001</w:t>
            </w:r>
          </w:p>
        </w:tc>
        <w:tc>
          <w:tcPr>
            <w:tcW w:w="611"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w:t>
            </w:r>
          </w:p>
        </w:tc>
      </w:tr>
      <w:tr w:rsidR="00E15762" w:rsidRPr="006D2224" w:rsidTr="00386D9A">
        <w:tc>
          <w:tcPr>
            <w:tcW w:w="5000" w:type="pct"/>
            <w:gridSpan w:val="7"/>
          </w:tcPr>
          <w:p w:rsidR="00E15762" w:rsidRPr="006D2224" w:rsidRDefault="00E15762" w:rsidP="00386D9A">
            <w:pPr>
              <w:keepNext/>
              <w:jc w:val="left"/>
              <w:rPr>
                <w:rFonts w:ascii="Arial Narrow" w:hAnsi="Arial Narrow"/>
                <w:sz w:val="20"/>
                <w:szCs w:val="20"/>
              </w:rPr>
            </w:pPr>
            <w:r w:rsidRPr="006D2224">
              <w:rPr>
                <w:rFonts w:ascii="Arial Narrow" w:hAnsi="Arial Narrow"/>
                <w:b/>
                <w:sz w:val="20"/>
                <w:szCs w:val="20"/>
              </w:rPr>
              <w:t>Trial 0316 (6 weeks)</w:t>
            </w:r>
          </w:p>
        </w:tc>
      </w:tr>
      <w:tr w:rsidR="00E15762" w:rsidRPr="006D2224" w:rsidTr="00386D9A">
        <w:trPr>
          <w:trHeight w:val="469"/>
        </w:trPr>
        <w:tc>
          <w:tcPr>
            <w:tcW w:w="1107" w:type="pct"/>
          </w:tcPr>
          <w:p w:rsidR="00E15762" w:rsidRPr="006D2224" w:rsidRDefault="00E15762" w:rsidP="00386D9A">
            <w:pPr>
              <w:keepNext/>
              <w:rPr>
                <w:rFonts w:ascii="Arial Narrow" w:hAnsi="Arial Narrow"/>
                <w:sz w:val="20"/>
                <w:szCs w:val="20"/>
              </w:rPr>
            </w:pPr>
          </w:p>
          <w:p w:rsidR="00E15762" w:rsidRPr="006D2224" w:rsidRDefault="00E15762" w:rsidP="00386D9A">
            <w:pPr>
              <w:keepNext/>
              <w:rPr>
                <w:rFonts w:ascii="Arial Narrow" w:hAnsi="Arial Narrow"/>
                <w:sz w:val="20"/>
                <w:szCs w:val="20"/>
              </w:rPr>
            </w:pPr>
            <w:proofErr w:type="spellStart"/>
            <w:r w:rsidRPr="006D2224">
              <w:rPr>
                <w:rFonts w:ascii="Arial Narrow" w:hAnsi="Arial Narrow"/>
                <w:sz w:val="20"/>
                <w:szCs w:val="20"/>
              </w:rPr>
              <w:t>Pimecrolimus</w:t>
            </w:r>
            <w:proofErr w:type="spellEnd"/>
            <w:r w:rsidRPr="006D2224">
              <w:rPr>
                <w:rFonts w:ascii="Arial Narrow" w:hAnsi="Arial Narrow"/>
                <w:sz w:val="20"/>
                <w:szCs w:val="20"/>
              </w:rPr>
              <w:t xml:space="preserve"> (n=123)</w:t>
            </w:r>
          </w:p>
          <w:p w:rsidR="00E15762" w:rsidRPr="006D2224" w:rsidRDefault="00E15762" w:rsidP="00386D9A">
            <w:pPr>
              <w:keepNext/>
              <w:rPr>
                <w:rFonts w:ascii="Arial Narrow" w:hAnsi="Arial Narrow"/>
                <w:sz w:val="20"/>
                <w:szCs w:val="20"/>
              </w:rPr>
            </w:pPr>
            <w:r w:rsidRPr="006D2224">
              <w:rPr>
                <w:rFonts w:ascii="Arial Narrow" w:hAnsi="Arial Narrow"/>
                <w:sz w:val="20"/>
                <w:szCs w:val="20"/>
              </w:rPr>
              <w:t>Cream vehicle (n=63)</w:t>
            </w:r>
          </w:p>
        </w:tc>
        <w:tc>
          <w:tcPr>
            <w:tcW w:w="649"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w:t>
            </w:r>
          </w:p>
        </w:tc>
        <w:tc>
          <w:tcPr>
            <w:tcW w:w="596" w:type="pct"/>
            <w:shd w:val="clear" w:color="auto" w:fill="D9D9D9" w:themeFill="background1" w:themeFillShade="D9"/>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54.5%</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23.8%</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p&lt;0.001</w:t>
            </w:r>
          </w:p>
        </w:tc>
        <w:tc>
          <w:tcPr>
            <w:tcW w:w="701" w:type="pct"/>
          </w:tcPr>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Median %</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-81.6%</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-25.0%</w:t>
            </w:r>
          </w:p>
          <w:p w:rsidR="00E15762" w:rsidRPr="006D2224" w:rsidRDefault="00E15762" w:rsidP="00386D9A">
            <w:pPr>
              <w:keepNext/>
              <w:jc w:val="center"/>
              <w:rPr>
                <w:rFonts w:ascii="Arial Narrow" w:hAnsi="Arial Narrow"/>
                <w:sz w:val="20"/>
                <w:szCs w:val="20"/>
              </w:rPr>
            </w:pPr>
          </w:p>
        </w:tc>
        <w:tc>
          <w:tcPr>
            <w:tcW w:w="608"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w:t>
            </w:r>
          </w:p>
        </w:tc>
        <w:tc>
          <w:tcPr>
            <w:tcW w:w="729" w:type="pct"/>
          </w:tcPr>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Absent or mild</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69.9%</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36.5%</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p&lt;0.001</w:t>
            </w:r>
          </w:p>
        </w:tc>
        <w:tc>
          <w:tcPr>
            <w:tcW w:w="611"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71.5%</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27.0%</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p&lt;0.001</w:t>
            </w:r>
          </w:p>
        </w:tc>
      </w:tr>
      <w:tr w:rsidR="00E15762" w:rsidRPr="006D2224" w:rsidTr="00386D9A">
        <w:tc>
          <w:tcPr>
            <w:tcW w:w="5000" w:type="pct"/>
            <w:gridSpan w:val="7"/>
          </w:tcPr>
          <w:p w:rsidR="00E15762" w:rsidRPr="006D2224" w:rsidRDefault="00E15762" w:rsidP="00386D9A">
            <w:pPr>
              <w:keepNext/>
              <w:jc w:val="left"/>
              <w:rPr>
                <w:rFonts w:ascii="Arial Narrow" w:hAnsi="Arial Narrow"/>
                <w:sz w:val="20"/>
                <w:szCs w:val="20"/>
              </w:rPr>
            </w:pPr>
            <w:r w:rsidRPr="006D2224">
              <w:rPr>
                <w:rFonts w:ascii="Arial Narrow" w:hAnsi="Arial Narrow"/>
                <w:b/>
                <w:sz w:val="20"/>
                <w:szCs w:val="20"/>
              </w:rPr>
              <w:t>Leung 2009 (6 weeks)</w:t>
            </w:r>
          </w:p>
        </w:tc>
      </w:tr>
      <w:tr w:rsidR="00E15762" w:rsidRPr="006D2224" w:rsidTr="00386D9A">
        <w:trPr>
          <w:trHeight w:val="469"/>
        </w:trPr>
        <w:tc>
          <w:tcPr>
            <w:tcW w:w="1107" w:type="pct"/>
          </w:tcPr>
          <w:p w:rsidR="00E15762" w:rsidRPr="006D2224" w:rsidRDefault="00E15762" w:rsidP="00386D9A">
            <w:pPr>
              <w:keepNext/>
              <w:rPr>
                <w:rFonts w:ascii="Arial Narrow" w:hAnsi="Arial Narrow"/>
                <w:sz w:val="20"/>
                <w:szCs w:val="20"/>
              </w:rPr>
            </w:pPr>
          </w:p>
          <w:p w:rsidR="00E15762" w:rsidRPr="006D2224" w:rsidRDefault="00E15762" w:rsidP="00386D9A">
            <w:pPr>
              <w:keepNext/>
              <w:rPr>
                <w:rFonts w:ascii="Arial Narrow" w:hAnsi="Arial Narrow"/>
                <w:sz w:val="20"/>
                <w:szCs w:val="20"/>
              </w:rPr>
            </w:pPr>
            <w:proofErr w:type="spellStart"/>
            <w:r w:rsidRPr="006D2224">
              <w:rPr>
                <w:rFonts w:ascii="Arial Narrow" w:hAnsi="Arial Narrow"/>
                <w:sz w:val="20"/>
                <w:szCs w:val="20"/>
              </w:rPr>
              <w:t>Pimecrolimus</w:t>
            </w:r>
            <w:proofErr w:type="spellEnd"/>
            <w:r w:rsidRPr="006D2224">
              <w:rPr>
                <w:rFonts w:ascii="Arial Narrow" w:hAnsi="Arial Narrow"/>
                <w:sz w:val="20"/>
                <w:szCs w:val="20"/>
              </w:rPr>
              <w:t xml:space="preserve"> (n=46)</w:t>
            </w:r>
          </w:p>
          <w:p w:rsidR="00E15762" w:rsidRPr="006D2224" w:rsidRDefault="00E15762" w:rsidP="00386D9A">
            <w:pPr>
              <w:keepNext/>
              <w:rPr>
                <w:rFonts w:ascii="Arial Narrow" w:hAnsi="Arial Narrow"/>
                <w:sz w:val="20"/>
                <w:szCs w:val="20"/>
              </w:rPr>
            </w:pPr>
            <w:r w:rsidRPr="006D2224">
              <w:rPr>
                <w:rFonts w:ascii="Arial Narrow" w:hAnsi="Arial Narrow"/>
                <w:sz w:val="20"/>
                <w:szCs w:val="20"/>
              </w:rPr>
              <w:t>Cream vehicle (n=26)</w:t>
            </w:r>
          </w:p>
        </w:tc>
        <w:tc>
          <w:tcPr>
            <w:tcW w:w="649"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w:t>
            </w:r>
          </w:p>
        </w:tc>
        <w:tc>
          <w:tcPr>
            <w:tcW w:w="596" w:type="pct"/>
            <w:shd w:val="clear" w:color="auto" w:fill="D9D9D9" w:themeFill="background1" w:themeFillShade="D9"/>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11%</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0%</w:t>
            </w:r>
          </w:p>
        </w:tc>
        <w:tc>
          <w:tcPr>
            <w:tcW w:w="701" w:type="pct"/>
          </w:tcPr>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Mean % (SD)</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+1.8 (81.3)</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+26.9 (99.8)</w:t>
            </w:r>
          </w:p>
        </w:tc>
        <w:tc>
          <w:tcPr>
            <w:tcW w:w="608"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w:t>
            </w:r>
          </w:p>
        </w:tc>
        <w:tc>
          <w:tcPr>
            <w:tcW w:w="729" w:type="pct"/>
          </w:tcPr>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Absent or mild</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30%</w:t>
            </w: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23%</w:t>
            </w:r>
          </w:p>
        </w:tc>
        <w:tc>
          <w:tcPr>
            <w:tcW w:w="611" w:type="pct"/>
          </w:tcPr>
          <w:p w:rsidR="00E15762" w:rsidRPr="006D2224" w:rsidRDefault="00E15762" w:rsidP="00386D9A">
            <w:pPr>
              <w:keepNext/>
              <w:jc w:val="center"/>
              <w:rPr>
                <w:rFonts w:ascii="Arial Narrow" w:hAnsi="Arial Narrow"/>
                <w:sz w:val="20"/>
                <w:szCs w:val="20"/>
              </w:rPr>
            </w:pPr>
          </w:p>
          <w:p w:rsidR="00E15762" w:rsidRPr="006D2224" w:rsidRDefault="00E15762" w:rsidP="00386D9A">
            <w:pPr>
              <w:keepNext/>
              <w:jc w:val="center"/>
              <w:rPr>
                <w:rFonts w:ascii="Arial Narrow" w:hAnsi="Arial Narrow"/>
                <w:sz w:val="20"/>
                <w:szCs w:val="20"/>
              </w:rPr>
            </w:pPr>
            <w:r w:rsidRPr="006D2224">
              <w:rPr>
                <w:rFonts w:ascii="Arial Narrow" w:hAnsi="Arial Narrow"/>
                <w:sz w:val="20"/>
                <w:szCs w:val="20"/>
              </w:rPr>
              <w:t>-</w:t>
            </w:r>
          </w:p>
        </w:tc>
      </w:tr>
    </w:tbl>
    <w:p w:rsidR="00E15762" w:rsidRPr="006D2224" w:rsidRDefault="00E15762" w:rsidP="00E15762">
      <w:pPr>
        <w:pStyle w:val="TableFooter"/>
      </w:pPr>
      <w:r w:rsidRPr="006D2224">
        <w:t xml:space="preserve">Source: Table 2.5-1, p106 of the submission; Table 305-6, p9, Table 305-9, p12, Table 307-6, p17, Table 307-9, p19 of </w:t>
      </w:r>
      <w:proofErr w:type="spellStart"/>
      <w:r w:rsidRPr="006D2224">
        <w:t>Elidel</w:t>
      </w:r>
      <w:proofErr w:type="spellEnd"/>
      <w:r w:rsidRPr="006D2224">
        <w:t xml:space="preserve"> (ASM 981, </w:t>
      </w:r>
      <w:proofErr w:type="spellStart"/>
      <w:r w:rsidRPr="006D2224">
        <w:t>pimecrolimus</w:t>
      </w:r>
      <w:proofErr w:type="spellEnd"/>
      <w:r w:rsidRPr="006D2224">
        <w:t>) Cream 1% FDA statistical review</w:t>
      </w:r>
    </w:p>
    <w:p w:rsidR="00E15762" w:rsidRPr="006D2224" w:rsidRDefault="00E15762" w:rsidP="00E15762">
      <w:pPr>
        <w:pStyle w:val="TableFooter"/>
      </w:pPr>
      <w:r w:rsidRPr="006D2224">
        <w:t xml:space="preserve">Abbreviations: EASI, Eczema Area &amp; Severity Index; IGA, Investigator’s Global Assessment; SCORAD, </w:t>
      </w:r>
      <w:proofErr w:type="spellStart"/>
      <w:r w:rsidRPr="006D2224">
        <w:t>SCORing</w:t>
      </w:r>
      <w:proofErr w:type="spellEnd"/>
      <w:r w:rsidRPr="006D2224">
        <w:t xml:space="preserve"> Atopic Dermatitis Index; SD, standard deviation</w:t>
      </w:r>
    </w:p>
    <w:p w:rsidR="00E15762" w:rsidRPr="006D2224" w:rsidRDefault="00E15762" w:rsidP="00E15762">
      <w:pPr>
        <w:pStyle w:val="TableFooter"/>
      </w:pPr>
      <w:proofErr w:type="spellStart"/>
      <w:proofErr w:type="gramStart"/>
      <w:r w:rsidRPr="006D2224">
        <w:rPr>
          <w:vertAlign w:val="superscript"/>
        </w:rPr>
        <w:t>a</w:t>
      </w:r>
      <w:proofErr w:type="spellEnd"/>
      <w:proofErr w:type="gramEnd"/>
      <w:r w:rsidRPr="006D2224">
        <w:t xml:space="preserve"> Individual trial results were not available. An analysis of pooled data (Trials B05 and B307) was reported in </w:t>
      </w:r>
      <w:proofErr w:type="spellStart"/>
      <w:r w:rsidRPr="006D2224">
        <w:t>Eichenfield</w:t>
      </w:r>
      <w:proofErr w:type="spellEnd"/>
      <w:r w:rsidRPr="006D2224">
        <w:t xml:space="preserve"> 2002 publication suggesting a statistically significant difference in mean percentage change in EASI score when comparing </w:t>
      </w:r>
      <w:proofErr w:type="spellStart"/>
      <w:r w:rsidRPr="006D2224">
        <w:t>pimecrolimus</w:t>
      </w:r>
      <w:proofErr w:type="spellEnd"/>
      <w:r w:rsidRPr="006D2224">
        <w:t xml:space="preserve"> with vehicle (-45% vs -1%, p≤0.001). </w:t>
      </w:r>
    </w:p>
    <w:p w:rsidR="00132494" w:rsidRPr="006D2224" w:rsidRDefault="00132494" w:rsidP="00E15762">
      <w:pPr>
        <w:pStyle w:val="TableFooter"/>
      </w:pPr>
      <w:r w:rsidRPr="006D2224">
        <w:t xml:space="preserve">Note: Estimates highlighted in grey were used in the indirect comparison of </w:t>
      </w:r>
      <w:proofErr w:type="spellStart"/>
      <w:r w:rsidRPr="006D2224">
        <w:t>crisaborole</w:t>
      </w:r>
      <w:proofErr w:type="spellEnd"/>
      <w:r w:rsidRPr="006D2224">
        <w:t xml:space="preserve"> versus </w:t>
      </w:r>
      <w:proofErr w:type="spellStart"/>
      <w:r w:rsidRPr="006D2224">
        <w:t>pimecrolimus</w:t>
      </w:r>
      <w:proofErr w:type="spellEnd"/>
    </w:p>
    <w:p w:rsidR="00E15762" w:rsidRPr="006D2224" w:rsidRDefault="00E15762" w:rsidP="00E15762">
      <w:pPr>
        <w:widowControl/>
      </w:pPr>
    </w:p>
    <w:p w:rsidR="00B34FE2" w:rsidRPr="006D2224" w:rsidRDefault="00E15762" w:rsidP="00173629">
      <w:pPr>
        <w:pStyle w:val="ListParagraph"/>
        <w:widowControl/>
        <w:numPr>
          <w:ilvl w:val="1"/>
          <w:numId w:val="2"/>
        </w:numPr>
      </w:pPr>
      <w:r w:rsidRPr="006D2224">
        <w:t xml:space="preserve">Overall, a higher proportion of patients treated with </w:t>
      </w:r>
      <w:proofErr w:type="spellStart"/>
      <w:r w:rsidRPr="006D2224">
        <w:t>pimecrolimus</w:t>
      </w:r>
      <w:proofErr w:type="spellEnd"/>
      <w:r w:rsidRPr="006D2224">
        <w:t xml:space="preserve"> achieved </w:t>
      </w:r>
      <w:r w:rsidR="001D46A9" w:rsidRPr="006D2224">
        <w:t>clear or almost clear disease</w:t>
      </w:r>
      <w:r w:rsidRPr="006D2224">
        <w:t xml:space="preserve"> in the included trials. Results were statistically significant in all trials except for the Leung 2009 study. Patients treated with </w:t>
      </w:r>
      <w:proofErr w:type="spellStart"/>
      <w:r w:rsidRPr="006D2224">
        <w:t>pimecrolimus</w:t>
      </w:r>
      <w:proofErr w:type="spellEnd"/>
      <w:r w:rsidRPr="006D2224">
        <w:t xml:space="preserve"> experienced greater percentage reductions in EASI score compared with its vehicle. More patients receiving </w:t>
      </w:r>
      <w:proofErr w:type="spellStart"/>
      <w:r w:rsidRPr="006D2224">
        <w:t>pimecrolimus</w:t>
      </w:r>
      <w:proofErr w:type="spellEnd"/>
      <w:r w:rsidRPr="006D2224">
        <w:t xml:space="preserve"> were reported as having absent or mild pruritus compared with its vehicle.</w:t>
      </w:r>
    </w:p>
    <w:p w:rsidR="00E41EB3" w:rsidRPr="006D2224" w:rsidRDefault="00D4409A" w:rsidP="00173629">
      <w:pPr>
        <w:pStyle w:val="ListParagraph"/>
        <w:widowControl/>
        <w:numPr>
          <w:ilvl w:val="1"/>
          <w:numId w:val="2"/>
        </w:numPr>
        <w:spacing w:after="0"/>
      </w:pPr>
      <w:r w:rsidRPr="006D2224">
        <w:t xml:space="preserve">The indirect comparison of </w:t>
      </w:r>
      <w:proofErr w:type="spellStart"/>
      <w:r w:rsidRPr="006D2224">
        <w:t>crisaborole</w:t>
      </w:r>
      <w:proofErr w:type="spellEnd"/>
      <w:r w:rsidRPr="006D2224">
        <w:t xml:space="preserve"> and </w:t>
      </w:r>
      <w:proofErr w:type="spellStart"/>
      <w:r w:rsidRPr="006D2224">
        <w:t>pimecrolimus</w:t>
      </w:r>
      <w:proofErr w:type="spellEnd"/>
      <w:r w:rsidRPr="006D2224">
        <w:t xml:space="preserve"> based on outcomes of IGA/ISGA score of 0 or 1 (with no requirement for a ≥2-grade improvement from baseline ) reported in the trials at varying time points (3 weeks, 4 weeks and 6 weeks from baseline) are presented in the table below. </w:t>
      </w:r>
    </w:p>
    <w:p w:rsidR="00D4409A" w:rsidRPr="006D2224" w:rsidRDefault="00D4409A" w:rsidP="00DF67CB">
      <w:pPr>
        <w:pStyle w:val="Tabletext"/>
        <w:keepNext/>
        <w:keepLines/>
        <w:widowControl w:val="0"/>
        <w:rPr>
          <w:rStyle w:val="CommentReference"/>
        </w:rPr>
      </w:pPr>
      <w:r w:rsidRPr="006D2224">
        <w:rPr>
          <w:rStyle w:val="CommentReference"/>
        </w:rPr>
        <w:lastRenderedPageBreak/>
        <w:t xml:space="preserve">Table </w:t>
      </w:r>
      <w:r w:rsidR="003132A2" w:rsidRPr="006D2224">
        <w:rPr>
          <w:rStyle w:val="CommentReference"/>
        </w:rPr>
        <w:t>8</w:t>
      </w:r>
      <w:r w:rsidRPr="006D2224">
        <w:rPr>
          <w:rStyle w:val="CommentReference"/>
        </w:rPr>
        <w:t xml:space="preserve">:  Summary of results of the indirect comparison for ISGA/IGA score of 0 or 1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559"/>
        <w:gridCol w:w="1505"/>
        <w:gridCol w:w="1581"/>
        <w:gridCol w:w="1581"/>
        <w:gridCol w:w="1574"/>
      </w:tblGrid>
      <w:tr w:rsidR="00D4409A" w:rsidRPr="006D2224" w:rsidTr="00386D9A">
        <w:trPr>
          <w:trHeight w:val="273"/>
          <w:tblHeader/>
        </w:trPr>
        <w:tc>
          <w:tcPr>
            <w:tcW w:w="1134" w:type="dxa"/>
            <w:vMerge w:val="restart"/>
            <w:vAlign w:val="center"/>
          </w:tcPr>
          <w:p w:rsidR="00D4409A" w:rsidRPr="006D2224" w:rsidRDefault="00D4409A" w:rsidP="00DF67CB">
            <w:pPr>
              <w:pStyle w:val="Tabletext"/>
              <w:keepNext/>
              <w:keepLines/>
              <w:widowControl w:val="0"/>
              <w:rPr>
                <w:b/>
              </w:rPr>
            </w:pPr>
            <w:r w:rsidRPr="006D2224">
              <w:rPr>
                <w:b/>
              </w:rPr>
              <w:t>Trial ID</w:t>
            </w:r>
          </w:p>
        </w:tc>
        <w:tc>
          <w:tcPr>
            <w:tcW w:w="3119" w:type="dxa"/>
            <w:gridSpan w:val="2"/>
            <w:shd w:val="clear" w:color="auto" w:fill="auto"/>
            <w:vAlign w:val="center"/>
          </w:tcPr>
          <w:p w:rsidR="00D4409A" w:rsidRPr="006D2224" w:rsidRDefault="00D4409A" w:rsidP="00DF67CB">
            <w:pPr>
              <w:pStyle w:val="Tabletext"/>
              <w:keepNext/>
              <w:keepLines/>
              <w:widowControl w:val="0"/>
              <w:jc w:val="center"/>
              <w:rPr>
                <w:b/>
              </w:rPr>
            </w:pPr>
            <w:r w:rsidRPr="006D2224">
              <w:rPr>
                <w:b/>
              </w:rPr>
              <w:t>Patients, n/N (%)</w:t>
            </w:r>
          </w:p>
        </w:tc>
        <w:tc>
          <w:tcPr>
            <w:tcW w:w="1627" w:type="dxa"/>
            <w:vMerge w:val="restart"/>
            <w:shd w:val="clear" w:color="auto" w:fill="auto"/>
            <w:vAlign w:val="center"/>
          </w:tcPr>
          <w:p w:rsidR="00D4409A" w:rsidRPr="006D2224" w:rsidRDefault="00D4409A" w:rsidP="00DF67CB">
            <w:pPr>
              <w:pStyle w:val="Tabletext"/>
              <w:keepNext/>
              <w:keepLines/>
              <w:widowControl w:val="0"/>
              <w:jc w:val="center"/>
              <w:rPr>
                <w:b/>
              </w:rPr>
            </w:pPr>
            <w:r w:rsidRPr="006D2224">
              <w:rPr>
                <w:b/>
              </w:rPr>
              <w:t>OR (95% CI)</w:t>
            </w:r>
          </w:p>
        </w:tc>
        <w:tc>
          <w:tcPr>
            <w:tcW w:w="1627" w:type="dxa"/>
            <w:vMerge w:val="restart"/>
            <w:shd w:val="clear" w:color="auto" w:fill="auto"/>
            <w:vAlign w:val="center"/>
          </w:tcPr>
          <w:p w:rsidR="00D4409A" w:rsidRPr="006D2224" w:rsidRDefault="00D4409A" w:rsidP="00DF67CB">
            <w:pPr>
              <w:pStyle w:val="Tabletext"/>
              <w:keepNext/>
              <w:keepLines/>
              <w:widowControl w:val="0"/>
              <w:jc w:val="center"/>
            </w:pPr>
            <w:r w:rsidRPr="006D2224">
              <w:rPr>
                <w:b/>
              </w:rPr>
              <w:t>RR (95% CI)</w:t>
            </w:r>
          </w:p>
        </w:tc>
        <w:tc>
          <w:tcPr>
            <w:tcW w:w="1628" w:type="dxa"/>
            <w:vMerge w:val="restart"/>
            <w:shd w:val="clear" w:color="auto" w:fill="auto"/>
            <w:vAlign w:val="center"/>
          </w:tcPr>
          <w:p w:rsidR="00D4409A" w:rsidRPr="006D2224" w:rsidRDefault="00D4409A" w:rsidP="00DF67CB">
            <w:pPr>
              <w:pStyle w:val="Tabletext"/>
              <w:keepNext/>
              <w:keepLines/>
              <w:widowControl w:val="0"/>
              <w:jc w:val="center"/>
              <w:rPr>
                <w:b/>
              </w:rPr>
            </w:pPr>
            <w:r w:rsidRPr="006D2224">
              <w:rPr>
                <w:b/>
              </w:rPr>
              <w:t>RD (95% CI)</w:t>
            </w:r>
          </w:p>
        </w:tc>
      </w:tr>
      <w:tr w:rsidR="00D4409A" w:rsidRPr="006D2224" w:rsidTr="00386D9A">
        <w:trPr>
          <w:trHeight w:val="277"/>
          <w:tblHeader/>
        </w:trPr>
        <w:tc>
          <w:tcPr>
            <w:tcW w:w="1134" w:type="dxa"/>
            <w:vMerge/>
            <w:tcBorders>
              <w:bottom w:val="single" w:sz="4" w:space="0" w:color="auto"/>
            </w:tcBorders>
            <w:vAlign w:val="center"/>
          </w:tcPr>
          <w:p w:rsidR="00D4409A" w:rsidRPr="006D2224" w:rsidRDefault="00D4409A" w:rsidP="00DF67CB">
            <w:pPr>
              <w:pStyle w:val="Tabletext"/>
              <w:keepNext/>
              <w:keepLines/>
              <w:widowControl w:val="0"/>
              <w:rPr>
                <w:b/>
              </w:rPr>
            </w:pPr>
          </w:p>
        </w:tc>
        <w:tc>
          <w:tcPr>
            <w:tcW w:w="1582" w:type="dxa"/>
            <w:shd w:val="clear" w:color="auto" w:fill="auto"/>
            <w:vAlign w:val="center"/>
          </w:tcPr>
          <w:p w:rsidR="00D4409A" w:rsidRPr="006D2224" w:rsidRDefault="00D4409A" w:rsidP="00DF67CB">
            <w:pPr>
              <w:pStyle w:val="Tabletext"/>
              <w:keepNext/>
              <w:keepLines/>
              <w:widowControl w:val="0"/>
              <w:jc w:val="center"/>
              <w:rPr>
                <w:b/>
              </w:rPr>
            </w:pPr>
            <w:r w:rsidRPr="006D2224">
              <w:rPr>
                <w:b/>
              </w:rPr>
              <w:t>Intervention</w:t>
            </w:r>
          </w:p>
        </w:tc>
        <w:tc>
          <w:tcPr>
            <w:tcW w:w="1537" w:type="dxa"/>
            <w:shd w:val="clear" w:color="auto" w:fill="auto"/>
            <w:vAlign w:val="center"/>
          </w:tcPr>
          <w:p w:rsidR="00D4409A" w:rsidRPr="006D2224" w:rsidRDefault="00D4409A" w:rsidP="00DF67CB">
            <w:pPr>
              <w:pStyle w:val="Tabletext"/>
              <w:keepNext/>
              <w:keepLines/>
              <w:widowControl w:val="0"/>
              <w:jc w:val="center"/>
              <w:rPr>
                <w:b/>
              </w:rPr>
            </w:pPr>
            <w:r w:rsidRPr="006D2224">
              <w:rPr>
                <w:b/>
              </w:rPr>
              <w:t xml:space="preserve">Common reference </w:t>
            </w:r>
          </w:p>
        </w:tc>
        <w:tc>
          <w:tcPr>
            <w:tcW w:w="1627" w:type="dxa"/>
            <w:vMerge/>
            <w:shd w:val="clear" w:color="auto" w:fill="auto"/>
            <w:vAlign w:val="center"/>
          </w:tcPr>
          <w:p w:rsidR="00D4409A" w:rsidRPr="006D2224" w:rsidRDefault="00D4409A" w:rsidP="00DF67CB">
            <w:pPr>
              <w:pStyle w:val="Tabletext"/>
              <w:keepNext/>
              <w:keepLines/>
              <w:widowControl w:val="0"/>
              <w:jc w:val="center"/>
              <w:rPr>
                <w:b/>
              </w:rPr>
            </w:pPr>
          </w:p>
        </w:tc>
        <w:tc>
          <w:tcPr>
            <w:tcW w:w="1627" w:type="dxa"/>
            <w:vMerge/>
            <w:shd w:val="clear" w:color="auto" w:fill="auto"/>
            <w:vAlign w:val="center"/>
          </w:tcPr>
          <w:p w:rsidR="00D4409A" w:rsidRPr="006D2224" w:rsidRDefault="00D4409A" w:rsidP="00DF67CB">
            <w:pPr>
              <w:pStyle w:val="Tabletext"/>
              <w:keepNext/>
              <w:keepLines/>
              <w:widowControl w:val="0"/>
              <w:jc w:val="center"/>
              <w:rPr>
                <w:b/>
              </w:rPr>
            </w:pPr>
          </w:p>
        </w:tc>
        <w:tc>
          <w:tcPr>
            <w:tcW w:w="1628" w:type="dxa"/>
            <w:vMerge/>
            <w:shd w:val="clear" w:color="auto" w:fill="auto"/>
            <w:vAlign w:val="center"/>
          </w:tcPr>
          <w:p w:rsidR="00D4409A" w:rsidRPr="006D2224" w:rsidRDefault="00D4409A" w:rsidP="00DF67CB">
            <w:pPr>
              <w:pStyle w:val="Tabletext"/>
              <w:keepNext/>
              <w:keepLines/>
              <w:widowControl w:val="0"/>
              <w:jc w:val="center"/>
              <w:rPr>
                <w:b/>
              </w:rPr>
            </w:pPr>
          </w:p>
        </w:tc>
      </w:tr>
      <w:tr w:rsidR="00D4409A" w:rsidRPr="006D2224" w:rsidTr="00386D9A">
        <w:trPr>
          <w:trHeight w:val="244"/>
        </w:trPr>
        <w:tc>
          <w:tcPr>
            <w:tcW w:w="9135" w:type="dxa"/>
            <w:gridSpan w:val="6"/>
            <w:tcBorders>
              <w:bottom w:val="single" w:sz="4" w:space="0" w:color="auto"/>
            </w:tcBorders>
            <w:vAlign w:val="center"/>
          </w:tcPr>
          <w:p w:rsidR="00D4409A" w:rsidRPr="006D2224" w:rsidRDefault="00D4409A" w:rsidP="00DF67CB">
            <w:pPr>
              <w:pStyle w:val="Tabletext"/>
              <w:keepNext/>
              <w:keepLines/>
              <w:widowControl w:val="0"/>
              <w:rPr>
                <w:b/>
              </w:rPr>
            </w:pPr>
            <w:proofErr w:type="spellStart"/>
            <w:r w:rsidRPr="006D2224">
              <w:rPr>
                <w:b/>
              </w:rPr>
              <w:t>Crisaborole</w:t>
            </w:r>
            <w:proofErr w:type="spellEnd"/>
            <w:r w:rsidRPr="006D2224">
              <w:rPr>
                <w:b/>
              </w:rPr>
              <w:t xml:space="preserve"> versus ointment vehicle</w:t>
            </w:r>
          </w:p>
        </w:tc>
      </w:tr>
      <w:tr w:rsidR="00D4409A" w:rsidRPr="006D2224" w:rsidTr="00386D9A">
        <w:tc>
          <w:tcPr>
            <w:tcW w:w="1134" w:type="dxa"/>
            <w:vAlign w:val="center"/>
          </w:tcPr>
          <w:p w:rsidR="00D4409A" w:rsidRPr="006D2224" w:rsidRDefault="00D4409A" w:rsidP="00DF67CB">
            <w:pPr>
              <w:pStyle w:val="Tabletext"/>
              <w:keepNext/>
              <w:keepLines/>
              <w:widowControl w:val="0"/>
            </w:pPr>
            <w:r w:rsidRPr="006D2224">
              <w:t>AD-301</w:t>
            </w:r>
          </w:p>
        </w:tc>
        <w:tc>
          <w:tcPr>
            <w:tcW w:w="1582" w:type="dxa"/>
            <w:shd w:val="clear" w:color="auto" w:fill="auto"/>
            <w:vAlign w:val="center"/>
          </w:tcPr>
          <w:p w:rsidR="00D4409A" w:rsidRPr="006D2224" w:rsidRDefault="00D4409A" w:rsidP="00DF67CB">
            <w:pPr>
              <w:pStyle w:val="Tabletext"/>
              <w:keepNext/>
              <w:keepLines/>
              <w:widowControl w:val="0"/>
              <w:jc w:val="center"/>
            </w:pPr>
            <w:r w:rsidRPr="006D2224">
              <w:t>260/503 (51.7%)</w:t>
            </w:r>
          </w:p>
        </w:tc>
        <w:tc>
          <w:tcPr>
            <w:tcW w:w="1537" w:type="dxa"/>
            <w:shd w:val="clear" w:color="auto" w:fill="auto"/>
            <w:vAlign w:val="center"/>
          </w:tcPr>
          <w:p w:rsidR="00D4409A" w:rsidRPr="006D2224" w:rsidRDefault="00D4409A" w:rsidP="00DF67CB">
            <w:pPr>
              <w:pStyle w:val="Tabletext"/>
              <w:keepNext/>
              <w:keepLines/>
              <w:widowControl w:val="0"/>
              <w:jc w:val="center"/>
            </w:pPr>
            <w:r w:rsidRPr="006D2224">
              <w:t>104/256 (40.6%)</w:t>
            </w:r>
          </w:p>
        </w:tc>
        <w:tc>
          <w:tcPr>
            <w:tcW w:w="1627" w:type="dxa"/>
            <w:shd w:val="clear" w:color="auto" w:fill="auto"/>
            <w:vAlign w:val="center"/>
          </w:tcPr>
          <w:p w:rsidR="00D4409A" w:rsidRPr="006D2224" w:rsidRDefault="00D4409A" w:rsidP="00DF67CB">
            <w:pPr>
              <w:pStyle w:val="Tabletext"/>
              <w:keepNext/>
              <w:keepLines/>
              <w:widowControl w:val="0"/>
              <w:jc w:val="center"/>
              <w:rPr>
                <w:b/>
              </w:rPr>
            </w:pPr>
            <w:r w:rsidRPr="006D2224">
              <w:rPr>
                <w:b/>
              </w:rPr>
              <w:t>1.56 (1.15, 2.12)</w:t>
            </w:r>
          </w:p>
        </w:tc>
        <w:tc>
          <w:tcPr>
            <w:tcW w:w="1627" w:type="dxa"/>
            <w:shd w:val="clear" w:color="auto" w:fill="auto"/>
            <w:vAlign w:val="center"/>
          </w:tcPr>
          <w:p w:rsidR="00D4409A" w:rsidRPr="006D2224" w:rsidRDefault="00D4409A" w:rsidP="00DF67CB">
            <w:pPr>
              <w:pStyle w:val="Tabletext"/>
              <w:keepNext/>
              <w:keepLines/>
              <w:widowControl w:val="0"/>
              <w:jc w:val="center"/>
              <w:rPr>
                <w:b/>
              </w:rPr>
            </w:pPr>
            <w:r w:rsidRPr="006D2224">
              <w:rPr>
                <w:b/>
              </w:rPr>
              <w:t>1.27 (1.07, 1.51)</w:t>
            </w:r>
          </w:p>
        </w:tc>
        <w:tc>
          <w:tcPr>
            <w:tcW w:w="1628" w:type="dxa"/>
            <w:shd w:val="clear" w:color="auto" w:fill="auto"/>
            <w:vAlign w:val="center"/>
          </w:tcPr>
          <w:p w:rsidR="00D4409A" w:rsidRPr="006D2224" w:rsidRDefault="00D4409A" w:rsidP="00DF67CB">
            <w:pPr>
              <w:pStyle w:val="Tabletext"/>
              <w:keepNext/>
              <w:keepLines/>
              <w:widowControl w:val="0"/>
              <w:jc w:val="center"/>
              <w:rPr>
                <w:b/>
              </w:rPr>
            </w:pPr>
            <w:r w:rsidRPr="006D2224">
              <w:rPr>
                <w:b/>
              </w:rPr>
              <w:t>0.11 (0.04, 0.18)</w:t>
            </w:r>
          </w:p>
        </w:tc>
      </w:tr>
      <w:tr w:rsidR="00D4409A" w:rsidRPr="006D2224" w:rsidTr="00386D9A">
        <w:tc>
          <w:tcPr>
            <w:tcW w:w="1134" w:type="dxa"/>
            <w:vAlign w:val="center"/>
          </w:tcPr>
          <w:p w:rsidR="00D4409A" w:rsidRPr="006D2224" w:rsidRDefault="00D4409A" w:rsidP="00DF67CB">
            <w:pPr>
              <w:pStyle w:val="Tabletext"/>
              <w:keepNext/>
              <w:keepLines/>
              <w:widowControl w:val="0"/>
            </w:pPr>
            <w:r w:rsidRPr="006D2224">
              <w:t>AD-302</w:t>
            </w:r>
          </w:p>
        </w:tc>
        <w:tc>
          <w:tcPr>
            <w:tcW w:w="1582" w:type="dxa"/>
            <w:tcBorders>
              <w:bottom w:val="single" w:sz="4" w:space="0" w:color="auto"/>
            </w:tcBorders>
            <w:shd w:val="clear" w:color="auto" w:fill="auto"/>
            <w:vAlign w:val="center"/>
          </w:tcPr>
          <w:p w:rsidR="00D4409A" w:rsidRPr="006D2224" w:rsidRDefault="00D4409A" w:rsidP="00DF67CB">
            <w:pPr>
              <w:pStyle w:val="Tabletext"/>
              <w:keepNext/>
              <w:keepLines/>
              <w:widowControl w:val="0"/>
              <w:jc w:val="center"/>
            </w:pPr>
            <w:r w:rsidRPr="006D2224">
              <w:t>249/513 (48.5%)</w:t>
            </w:r>
          </w:p>
        </w:tc>
        <w:tc>
          <w:tcPr>
            <w:tcW w:w="1537" w:type="dxa"/>
            <w:tcBorders>
              <w:bottom w:val="single" w:sz="4" w:space="0" w:color="auto"/>
            </w:tcBorders>
            <w:shd w:val="clear" w:color="auto" w:fill="auto"/>
            <w:vAlign w:val="center"/>
          </w:tcPr>
          <w:p w:rsidR="00D4409A" w:rsidRPr="006D2224" w:rsidRDefault="00D4409A" w:rsidP="00DF67CB">
            <w:pPr>
              <w:pStyle w:val="Tabletext"/>
              <w:keepNext/>
              <w:keepLines/>
              <w:widowControl w:val="0"/>
              <w:jc w:val="center"/>
            </w:pPr>
            <w:r w:rsidRPr="006D2224">
              <w:t>74/250 (29.7%)</w:t>
            </w:r>
          </w:p>
        </w:tc>
        <w:tc>
          <w:tcPr>
            <w:tcW w:w="1627" w:type="dxa"/>
            <w:tcBorders>
              <w:bottom w:val="single" w:sz="4" w:space="0" w:color="auto"/>
            </w:tcBorders>
            <w:shd w:val="clear" w:color="auto" w:fill="auto"/>
            <w:vAlign w:val="center"/>
          </w:tcPr>
          <w:p w:rsidR="00D4409A" w:rsidRPr="006D2224" w:rsidRDefault="00D4409A" w:rsidP="00DF67CB">
            <w:pPr>
              <w:pStyle w:val="Tabletext"/>
              <w:keepNext/>
              <w:keepLines/>
              <w:widowControl w:val="0"/>
              <w:jc w:val="center"/>
              <w:rPr>
                <w:b/>
              </w:rPr>
            </w:pPr>
            <w:r w:rsidRPr="006D2224">
              <w:rPr>
                <w:b/>
              </w:rPr>
              <w:t>2.24 (1.63, 3.10)</w:t>
            </w:r>
          </w:p>
        </w:tc>
        <w:tc>
          <w:tcPr>
            <w:tcW w:w="1627" w:type="dxa"/>
            <w:tcBorders>
              <w:bottom w:val="single" w:sz="4" w:space="0" w:color="auto"/>
            </w:tcBorders>
            <w:shd w:val="clear" w:color="auto" w:fill="auto"/>
            <w:vAlign w:val="center"/>
          </w:tcPr>
          <w:p w:rsidR="00D4409A" w:rsidRPr="006D2224" w:rsidRDefault="00D4409A" w:rsidP="00DF67CB">
            <w:pPr>
              <w:pStyle w:val="Tabletext"/>
              <w:keepNext/>
              <w:keepLines/>
              <w:widowControl w:val="0"/>
              <w:jc w:val="center"/>
              <w:rPr>
                <w:b/>
              </w:rPr>
            </w:pPr>
            <w:r w:rsidRPr="006D2224">
              <w:rPr>
                <w:b/>
              </w:rPr>
              <w:t>1.64 (1.33, 2.02)</w:t>
            </w:r>
          </w:p>
        </w:tc>
        <w:tc>
          <w:tcPr>
            <w:tcW w:w="1628" w:type="dxa"/>
            <w:tcBorders>
              <w:bottom w:val="single" w:sz="4" w:space="0" w:color="auto"/>
            </w:tcBorders>
            <w:shd w:val="clear" w:color="auto" w:fill="auto"/>
            <w:vAlign w:val="center"/>
          </w:tcPr>
          <w:p w:rsidR="00D4409A" w:rsidRPr="006D2224" w:rsidRDefault="00D4409A" w:rsidP="00DF67CB">
            <w:pPr>
              <w:pStyle w:val="Tabletext"/>
              <w:keepNext/>
              <w:keepLines/>
              <w:widowControl w:val="0"/>
              <w:jc w:val="center"/>
              <w:rPr>
                <w:b/>
              </w:rPr>
            </w:pPr>
            <w:r w:rsidRPr="006D2224">
              <w:rPr>
                <w:b/>
              </w:rPr>
              <w:t>0.19 (0.12, 0.26)</w:t>
            </w:r>
          </w:p>
        </w:tc>
      </w:tr>
      <w:tr w:rsidR="00D4409A" w:rsidRPr="006D2224" w:rsidTr="00386D9A">
        <w:tc>
          <w:tcPr>
            <w:tcW w:w="1134" w:type="dxa"/>
            <w:vAlign w:val="center"/>
          </w:tcPr>
          <w:p w:rsidR="00D4409A" w:rsidRPr="006D2224" w:rsidRDefault="00D4409A" w:rsidP="00DF67CB">
            <w:pPr>
              <w:pStyle w:val="Tabletext"/>
              <w:keepNext/>
              <w:keepLines/>
              <w:widowControl w:val="0"/>
            </w:pPr>
            <w:r w:rsidRPr="006D2224">
              <w:t>Pooled</w:t>
            </w:r>
          </w:p>
        </w:tc>
        <w:tc>
          <w:tcPr>
            <w:tcW w:w="1582" w:type="dxa"/>
            <w:tcBorders>
              <w:bottom w:val="single" w:sz="4" w:space="0" w:color="auto"/>
            </w:tcBorders>
            <w:shd w:val="clear" w:color="auto" w:fill="auto"/>
            <w:vAlign w:val="center"/>
          </w:tcPr>
          <w:p w:rsidR="00D4409A" w:rsidRPr="006D2224" w:rsidRDefault="00D4409A" w:rsidP="00DF67CB">
            <w:pPr>
              <w:pStyle w:val="Tabletext"/>
              <w:keepNext/>
              <w:keepLines/>
              <w:widowControl w:val="0"/>
              <w:jc w:val="center"/>
            </w:pPr>
            <w:r w:rsidRPr="006D2224">
              <w:t>509/1016 (50.1%)</w:t>
            </w:r>
          </w:p>
        </w:tc>
        <w:tc>
          <w:tcPr>
            <w:tcW w:w="1537" w:type="dxa"/>
            <w:tcBorders>
              <w:bottom w:val="single" w:sz="4" w:space="0" w:color="auto"/>
            </w:tcBorders>
            <w:shd w:val="clear" w:color="auto" w:fill="auto"/>
            <w:vAlign w:val="center"/>
          </w:tcPr>
          <w:p w:rsidR="00D4409A" w:rsidRPr="006D2224" w:rsidRDefault="00D4409A" w:rsidP="00DF67CB">
            <w:pPr>
              <w:pStyle w:val="Tabletext"/>
              <w:keepNext/>
              <w:keepLines/>
              <w:widowControl w:val="0"/>
              <w:jc w:val="center"/>
            </w:pPr>
            <w:r w:rsidRPr="006D2224">
              <w:t>178/506 (35.2%)</w:t>
            </w:r>
          </w:p>
        </w:tc>
        <w:tc>
          <w:tcPr>
            <w:tcW w:w="1627" w:type="dxa"/>
            <w:tcBorders>
              <w:bottom w:val="single" w:sz="4" w:space="0" w:color="auto"/>
            </w:tcBorders>
            <w:shd w:val="clear" w:color="auto" w:fill="auto"/>
            <w:vAlign w:val="center"/>
          </w:tcPr>
          <w:p w:rsidR="00D4409A" w:rsidRPr="006D2224" w:rsidRDefault="00D4409A" w:rsidP="00DF67CB">
            <w:pPr>
              <w:pStyle w:val="Tabletext"/>
              <w:keepNext/>
              <w:keepLines/>
              <w:widowControl w:val="0"/>
              <w:jc w:val="center"/>
            </w:pPr>
            <w:r w:rsidRPr="006D2224">
              <w:t>-</w:t>
            </w:r>
          </w:p>
        </w:tc>
        <w:tc>
          <w:tcPr>
            <w:tcW w:w="1627" w:type="dxa"/>
            <w:tcBorders>
              <w:bottom w:val="single" w:sz="4" w:space="0" w:color="auto"/>
            </w:tcBorders>
            <w:shd w:val="clear" w:color="auto" w:fill="auto"/>
            <w:vAlign w:val="center"/>
          </w:tcPr>
          <w:p w:rsidR="00D4409A" w:rsidRPr="006D2224" w:rsidRDefault="00D4409A" w:rsidP="00DF67CB">
            <w:pPr>
              <w:pStyle w:val="Tabletext"/>
              <w:keepNext/>
              <w:keepLines/>
              <w:widowControl w:val="0"/>
              <w:jc w:val="center"/>
            </w:pPr>
            <w:r w:rsidRPr="006D2224">
              <w:t>-</w:t>
            </w:r>
          </w:p>
        </w:tc>
        <w:tc>
          <w:tcPr>
            <w:tcW w:w="1628" w:type="dxa"/>
            <w:tcBorders>
              <w:bottom w:val="single" w:sz="4" w:space="0" w:color="auto"/>
            </w:tcBorders>
            <w:shd w:val="clear" w:color="auto" w:fill="auto"/>
            <w:vAlign w:val="center"/>
          </w:tcPr>
          <w:p w:rsidR="00D4409A" w:rsidRPr="006D2224" w:rsidRDefault="00D4409A" w:rsidP="00DF67CB">
            <w:pPr>
              <w:pStyle w:val="Tabletext"/>
              <w:keepNext/>
              <w:keepLines/>
              <w:widowControl w:val="0"/>
              <w:jc w:val="center"/>
            </w:pPr>
            <w:r w:rsidRPr="006D2224">
              <w:t>-</w:t>
            </w:r>
          </w:p>
        </w:tc>
      </w:tr>
      <w:tr w:rsidR="00D4409A" w:rsidRPr="006D2224" w:rsidTr="00386D9A">
        <w:tc>
          <w:tcPr>
            <w:tcW w:w="4253" w:type="dxa"/>
            <w:gridSpan w:val="3"/>
            <w:tcBorders>
              <w:bottom w:val="single" w:sz="4" w:space="0" w:color="auto"/>
            </w:tcBorders>
            <w:vAlign w:val="center"/>
          </w:tcPr>
          <w:p w:rsidR="00D4409A" w:rsidRPr="006D2224" w:rsidRDefault="00D4409A" w:rsidP="00DF67CB">
            <w:pPr>
              <w:pStyle w:val="Tabletext"/>
              <w:keepNext/>
              <w:keepLines/>
              <w:widowControl w:val="0"/>
              <w:jc w:val="right"/>
            </w:pPr>
            <w:r w:rsidRPr="006D2224">
              <w:t>Meta-analysis of trials</w:t>
            </w:r>
          </w:p>
          <w:p w:rsidR="00D4409A" w:rsidRPr="006D2224" w:rsidRDefault="00D4409A" w:rsidP="00DF67CB">
            <w:pPr>
              <w:pStyle w:val="Tabletext"/>
              <w:keepNext/>
              <w:keepLines/>
              <w:widowControl w:val="0"/>
              <w:jc w:val="right"/>
              <w:rPr>
                <w:vertAlign w:val="superscript"/>
              </w:rPr>
            </w:pPr>
            <w:r w:rsidRPr="006D2224">
              <w:t>Heterogeneity</w:t>
            </w:r>
          </w:p>
        </w:tc>
        <w:tc>
          <w:tcPr>
            <w:tcW w:w="1627" w:type="dxa"/>
            <w:tcBorders>
              <w:top w:val="single" w:sz="4" w:space="0" w:color="auto"/>
              <w:bottom w:val="single" w:sz="4" w:space="0" w:color="auto"/>
            </w:tcBorders>
            <w:shd w:val="clear" w:color="auto" w:fill="auto"/>
            <w:vAlign w:val="center"/>
          </w:tcPr>
          <w:p w:rsidR="00D4409A" w:rsidRPr="006D2224" w:rsidRDefault="00D4409A" w:rsidP="00DF67CB">
            <w:pPr>
              <w:pStyle w:val="Tabletext"/>
              <w:keepNext/>
              <w:keepLines/>
              <w:widowControl w:val="0"/>
              <w:jc w:val="center"/>
              <w:rPr>
                <w:b/>
              </w:rPr>
            </w:pPr>
            <w:r w:rsidRPr="006D2224">
              <w:rPr>
                <w:b/>
              </w:rPr>
              <w:t>1.87 (1.31, 2.66)</w:t>
            </w:r>
          </w:p>
          <w:p w:rsidR="00D4409A" w:rsidRPr="006D2224" w:rsidRDefault="00D4409A" w:rsidP="00DF67CB">
            <w:pPr>
              <w:pStyle w:val="Tabletext"/>
              <w:keepNext/>
              <w:keepLines/>
              <w:widowControl w:val="0"/>
              <w:jc w:val="center"/>
            </w:pPr>
            <w:r w:rsidRPr="006D2224">
              <w:t>I</w:t>
            </w:r>
            <w:r w:rsidRPr="006D2224">
              <w:rPr>
                <w:vertAlign w:val="superscript"/>
              </w:rPr>
              <w:t xml:space="preserve">2 </w:t>
            </w:r>
            <w:r w:rsidRPr="006D2224">
              <w:t>= 61%</w:t>
            </w:r>
          </w:p>
        </w:tc>
        <w:tc>
          <w:tcPr>
            <w:tcW w:w="1627" w:type="dxa"/>
            <w:tcBorders>
              <w:top w:val="single" w:sz="4" w:space="0" w:color="auto"/>
              <w:bottom w:val="single" w:sz="4" w:space="0" w:color="auto"/>
            </w:tcBorders>
            <w:shd w:val="clear" w:color="auto" w:fill="auto"/>
            <w:vAlign w:val="center"/>
          </w:tcPr>
          <w:p w:rsidR="00D4409A" w:rsidRPr="006D2224" w:rsidRDefault="00D4409A" w:rsidP="00DF67CB">
            <w:pPr>
              <w:pStyle w:val="Tabletext"/>
              <w:keepNext/>
              <w:keepLines/>
              <w:widowControl w:val="0"/>
              <w:jc w:val="center"/>
              <w:rPr>
                <w:b/>
              </w:rPr>
            </w:pPr>
            <w:r w:rsidRPr="006D2224">
              <w:rPr>
                <w:b/>
              </w:rPr>
              <w:t>1.43 (1.12, 1.84)</w:t>
            </w:r>
          </w:p>
          <w:p w:rsidR="00D4409A" w:rsidRPr="006D2224" w:rsidRDefault="00D4409A" w:rsidP="00DF67CB">
            <w:pPr>
              <w:pStyle w:val="Tabletext"/>
              <w:keepNext/>
              <w:keepLines/>
              <w:widowControl w:val="0"/>
              <w:jc w:val="center"/>
            </w:pPr>
            <w:r w:rsidRPr="006D2224">
              <w:t>I</w:t>
            </w:r>
            <w:r w:rsidRPr="006D2224">
              <w:rPr>
                <w:vertAlign w:val="superscript"/>
              </w:rPr>
              <w:t xml:space="preserve">2 </w:t>
            </w:r>
            <w:r w:rsidRPr="006D2224">
              <w:t>= 71%</w:t>
            </w:r>
          </w:p>
        </w:tc>
        <w:tc>
          <w:tcPr>
            <w:tcW w:w="1628" w:type="dxa"/>
            <w:tcBorders>
              <w:top w:val="single" w:sz="4" w:space="0" w:color="auto"/>
              <w:bottom w:val="single" w:sz="4" w:space="0" w:color="auto"/>
            </w:tcBorders>
            <w:shd w:val="clear" w:color="auto" w:fill="auto"/>
            <w:vAlign w:val="center"/>
          </w:tcPr>
          <w:p w:rsidR="00D4409A" w:rsidRPr="006D2224" w:rsidRDefault="00D4409A" w:rsidP="00DF67CB">
            <w:pPr>
              <w:pStyle w:val="Tabletext"/>
              <w:keepNext/>
              <w:keepLines/>
              <w:widowControl w:val="0"/>
              <w:jc w:val="center"/>
              <w:rPr>
                <w:b/>
              </w:rPr>
            </w:pPr>
            <w:r w:rsidRPr="006D2224">
              <w:rPr>
                <w:b/>
              </w:rPr>
              <w:t>0.15 (0.07, 0.23)</w:t>
            </w:r>
          </w:p>
          <w:p w:rsidR="00D4409A" w:rsidRPr="006D2224" w:rsidRDefault="00D4409A" w:rsidP="00DF67CB">
            <w:pPr>
              <w:pStyle w:val="Tabletext"/>
              <w:keepNext/>
              <w:keepLines/>
              <w:widowControl w:val="0"/>
              <w:jc w:val="center"/>
            </w:pPr>
            <w:r w:rsidRPr="006D2224">
              <w:t>I</w:t>
            </w:r>
            <w:r w:rsidRPr="006D2224">
              <w:rPr>
                <w:vertAlign w:val="superscript"/>
              </w:rPr>
              <w:t>2</w:t>
            </w:r>
            <w:r w:rsidRPr="006D2224">
              <w:t xml:space="preserve"> = 56%</w:t>
            </w:r>
          </w:p>
        </w:tc>
      </w:tr>
      <w:tr w:rsidR="00D4409A" w:rsidRPr="006D2224" w:rsidTr="00386D9A">
        <w:tc>
          <w:tcPr>
            <w:tcW w:w="9135" w:type="dxa"/>
            <w:gridSpan w:val="6"/>
            <w:tcBorders>
              <w:bottom w:val="single" w:sz="4" w:space="0" w:color="auto"/>
            </w:tcBorders>
            <w:vAlign w:val="center"/>
          </w:tcPr>
          <w:p w:rsidR="00D4409A" w:rsidRPr="006D2224" w:rsidRDefault="00D4409A" w:rsidP="00DF67CB">
            <w:pPr>
              <w:pStyle w:val="Tabletext"/>
              <w:keepNext/>
              <w:keepLines/>
              <w:widowControl w:val="0"/>
              <w:rPr>
                <w:b/>
              </w:rPr>
            </w:pPr>
            <w:proofErr w:type="spellStart"/>
            <w:r w:rsidRPr="006D2224">
              <w:rPr>
                <w:b/>
              </w:rPr>
              <w:t>Pimecrolimus</w:t>
            </w:r>
            <w:proofErr w:type="spellEnd"/>
            <w:r w:rsidRPr="006D2224">
              <w:rPr>
                <w:b/>
              </w:rPr>
              <w:t xml:space="preserve"> versus cream vehicle</w:t>
            </w:r>
          </w:p>
        </w:tc>
      </w:tr>
      <w:tr w:rsidR="00D4409A" w:rsidRPr="006D2224" w:rsidTr="00386D9A">
        <w:tc>
          <w:tcPr>
            <w:tcW w:w="1134" w:type="dxa"/>
            <w:tcBorders>
              <w:top w:val="single" w:sz="4" w:space="0" w:color="auto"/>
            </w:tcBorders>
            <w:vAlign w:val="center"/>
          </w:tcPr>
          <w:p w:rsidR="00D4409A" w:rsidRPr="006D2224" w:rsidRDefault="00D4409A" w:rsidP="00DF67CB">
            <w:pPr>
              <w:pStyle w:val="Tabletext"/>
              <w:keepNext/>
              <w:keepLines/>
              <w:widowControl w:val="0"/>
            </w:pPr>
            <w:r w:rsidRPr="006D2224">
              <w:t>Barba 2003</w:t>
            </w:r>
            <w:r w:rsidRPr="006D2224">
              <w:rPr>
                <w:vertAlign w:val="superscript"/>
              </w:rPr>
              <w:t>a</w:t>
            </w:r>
          </w:p>
        </w:tc>
        <w:tc>
          <w:tcPr>
            <w:tcW w:w="1582" w:type="dxa"/>
            <w:tcBorders>
              <w:top w:val="single" w:sz="4" w:space="0" w:color="auto"/>
            </w:tcBorders>
            <w:shd w:val="clear" w:color="auto" w:fill="auto"/>
            <w:vAlign w:val="center"/>
          </w:tcPr>
          <w:p w:rsidR="00D4409A" w:rsidRPr="006D2224" w:rsidRDefault="00D4409A" w:rsidP="00DF67CB">
            <w:pPr>
              <w:pStyle w:val="Tabletext"/>
              <w:keepNext/>
              <w:keepLines/>
              <w:widowControl w:val="0"/>
              <w:jc w:val="center"/>
            </w:pPr>
            <w:r w:rsidRPr="006D2224">
              <w:t>24/76 (31%)</w:t>
            </w:r>
          </w:p>
        </w:tc>
        <w:tc>
          <w:tcPr>
            <w:tcW w:w="1537" w:type="dxa"/>
            <w:tcBorders>
              <w:top w:val="single" w:sz="4" w:space="0" w:color="auto"/>
            </w:tcBorders>
            <w:shd w:val="clear" w:color="auto" w:fill="auto"/>
            <w:vAlign w:val="center"/>
          </w:tcPr>
          <w:p w:rsidR="00D4409A" w:rsidRPr="006D2224" w:rsidRDefault="00D4409A" w:rsidP="00DF67CB">
            <w:pPr>
              <w:pStyle w:val="Tabletext"/>
              <w:keepNext/>
              <w:keepLines/>
              <w:widowControl w:val="0"/>
              <w:jc w:val="center"/>
            </w:pPr>
            <w:r w:rsidRPr="006D2224">
              <w:t>9/38 (23%)</w:t>
            </w:r>
          </w:p>
        </w:tc>
        <w:tc>
          <w:tcPr>
            <w:tcW w:w="1627" w:type="dxa"/>
            <w:tcBorders>
              <w:top w:val="single" w:sz="4" w:space="0" w:color="auto"/>
            </w:tcBorders>
            <w:shd w:val="clear" w:color="auto" w:fill="auto"/>
            <w:vAlign w:val="center"/>
          </w:tcPr>
          <w:p w:rsidR="00D4409A" w:rsidRPr="006D2224" w:rsidRDefault="00D4409A" w:rsidP="00DF67CB">
            <w:pPr>
              <w:pStyle w:val="Tabletext"/>
              <w:keepNext/>
              <w:keepLines/>
              <w:widowControl w:val="0"/>
              <w:jc w:val="center"/>
            </w:pPr>
            <w:r w:rsidRPr="006D2224">
              <w:t>1.49 (0.61, 3.62)</w:t>
            </w:r>
          </w:p>
        </w:tc>
        <w:tc>
          <w:tcPr>
            <w:tcW w:w="1627" w:type="dxa"/>
            <w:tcBorders>
              <w:top w:val="single" w:sz="4" w:space="0" w:color="auto"/>
            </w:tcBorders>
            <w:shd w:val="clear" w:color="auto" w:fill="auto"/>
            <w:vAlign w:val="center"/>
          </w:tcPr>
          <w:p w:rsidR="00D4409A" w:rsidRPr="006D2224" w:rsidRDefault="00D4409A" w:rsidP="00DF67CB">
            <w:pPr>
              <w:pStyle w:val="Tabletext"/>
              <w:keepNext/>
              <w:keepLines/>
              <w:widowControl w:val="0"/>
              <w:jc w:val="center"/>
            </w:pPr>
            <w:r w:rsidRPr="006D2224">
              <w:t>1.33 (0.69, 2.58)</w:t>
            </w:r>
          </w:p>
        </w:tc>
        <w:tc>
          <w:tcPr>
            <w:tcW w:w="1628" w:type="dxa"/>
            <w:tcBorders>
              <w:top w:val="single" w:sz="4" w:space="0" w:color="auto"/>
            </w:tcBorders>
            <w:shd w:val="clear" w:color="auto" w:fill="auto"/>
            <w:vAlign w:val="center"/>
          </w:tcPr>
          <w:p w:rsidR="00D4409A" w:rsidRPr="006D2224" w:rsidRDefault="00D4409A" w:rsidP="00DF67CB">
            <w:pPr>
              <w:pStyle w:val="Tabletext"/>
              <w:keepNext/>
              <w:keepLines/>
              <w:widowControl w:val="0"/>
              <w:jc w:val="center"/>
            </w:pPr>
            <w:r w:rsidRPr="006D2224">
              <w:t>0.08 (-0.09, 0.25)</w:t>
            </w:r>
          </w:p>
        </w:tc>
      </w:tr>
      <w:tr w:rsidR="00D4409A" w:rsidRPr="006D2224" w:rsidTr="00386D9A">
        <w:tc>
          <w:tcPr>
            <w:tcW w:w="1134" w:type="dxa"/>
            <w:vAlign w:val="center"/>
          </w:tcPr>
          <w:p w:rsidR="00D4409A" w:rsidRPr="006D2224" w:rsidRDefault="00D4409A" w:rsidP="00DF67CB">
            <w:pPr>
              <w:pStyle w:val="Tabletext"/>
              <w:keepNext/>
              <w:keepLines/>
              <w:widowControl w:val="0"/>
            </w:pPr>
            <w:r w:rsidRPr="006D2224">
              <w:t>Breuer 2004</w:t>
            </w:r>
          </w:p>
        </w:tc>
        <w:tc>
          <w:tcPr>
            <w:tcW w:w="1582" w:type="dxa"/>
            <w:shd w:val="clear" w:color="auto" w:fill="auto"/>
            <w:vAlign w:val="center"/>
          </w:tcPr>
          <w:p w:rsidR="00D4409A" w:rsidRPr="006D2224" w:rsidRDefault="00D4409A" w:rsidP="00DF67CB">
            <w:pPr>
              <w:pStyle w:val="Tabletext"/>
              <w:keepNext/>
              <w:keepLines/>
              <w:widowControl w:val="0"/>
              <w:jc w:val="center"/>
            </w:pPr>
            <w:r w:rsidRPr="006D2224">
              <w:t>69/129 (53.5%)</w:t>
            </w:r>
          </w:p>
        </w:tc>
        <w:tc>
          <w:tcPr>
            <w:tcW w:w="1537" w:type="dxa"/>
            <w:shd w:val="clear" w:color="auto" w:fill="auto"/>
            <w:vAlign w:val="center"/>
          </w:tcPr>
          <w:p w:rsidR="00D4409A" w:rsidRPr="006D2224" w:rsidRDefault="00D4409A" w:rsidP="00DF67CB">
            <w:pPr>
              <w:pStyle w:val="Tabletext"/>
              <w:keepNext/>
              <w:keepLines/>
              <w:widowControl w:val="0"/>
              <w:jc w:val="center"/>
            </w:pPr>
            <w:r w:rsidRPr="006D2224">
              <w:t>7/66 (10.6%)</w:t>
            </w:r>
          </w:p>
        </w:tc>
        <w:tc>
          <w:tcPr>
            <w:tcW w:w="1627" w:type="dxa"/>
            <w:shd w:val="clear" w:color="auto" w:fill="auto"/>
            <w:vAlign w:val="center"/>
          </w:tcPr>
          <w:p w:rsidR="00D4409A" w:rsidRPr="006D2224" w:rsidRDefault="00D4409A" w:rsidP="00DF67CB">
            <w:pPr>
              <w:pStyle w:val="Tabletext"/>
              <w:keepNext/>
              <w:keepLines/>
              <w:widowControl w:val="0"/>
              <w:jc w:val="center"/>
              <w:rPr>
                <w:b/>
              </w:rPr>
            </w:pPr>
            <w:r w:rsidRPr="006D2224">
              <w:rPr>
                <w:b/>
              </w:rPr>
              <w:t>9.69 (4.12, 22.83)</w:t>
            </w:r>
          </w:p>
        </w:tc>
        <w:tc>
          <w:tcPr>
            <w:tcW w:w="1627" w:type="dxa"/>
            <w:shd w:val="clear" w:color="auto" w:fill="auto"/>
            <w:vAlign w:val="center"/>
          </w:tcPr>
          <w:p w:rsidR="00D4409A" w:rsidRPr="006D2224" w:rsidRDefault="00D4409A" w:rsidP="00DF67CB">
            <w:pPr>
              <w:pStyle w:val="Tabletext"/>
              <w:keepNext/>
              <w:keepLines/>
              <w:widowControl w:val="0"/>
              <w:jc w:val="center"/>
              <w:rPr>
                <w:b/>
              </w:rPr>
            </w:pPr>
            <w:r w:rsidRPr="006D2224">
              <w:rPr>
                <w:b/>
              </w:rPr>
              <w:t>5.04 (2.46, 10.35)</w:t>
            </w:r>
          </w:p>
        </w:tc>
        <w:tc>
          <w:tcPr>
            <w:tcW w:w="1628" w:type="dxa"/>
            <w:shd w:val="clear" w:color="auto" w:fill="auto"/>
            <w:vAlign w:val="center"/>
          </w:tcPr>
          <w:p w:rsidR="00D4409A" w:rsidRPr="006D2224" w:rsidRDefault="00D4409A" w:rsidP="00DF67CB">
            <w:pPr>
              <w:pStyle w:val="Tabletext"/>
              <w:keepNext/>
              <w:keepLines/>
              <w:widowControl w:val="0"/>
              <w:jc w:val="center"/>
              <w:rPr>
                <w:b/>
              </w:rPr>
            </w:pPr>
            <w:r w:rsidRPr="006D2224">
              <w:rPr>
                <w:b/>
              </w:rPr>
              <w:t>0.43 (0.32, 0.54)</w:t>
            </w:r>
          </w:p>
        </w:tc>
      </w:tr>
      <w:tr w:rsidR="00D4409A" w:rsidRPr="006D2224" w:rsidTr="00386D9A">
        <w:tc>
          <w:tcPr>
            <w:tcW w:w="1134" w:type="dxa"/>
            <w:vAlign w:val="center"/>
          </w:tcPr>
          <w:p w:rsidR="00D4409A" w:rsidRPr="006D2224" w:rsidRDefault="00D4409A" w:rsidP="00DF67CB">
            <w:pPr>
              <w:pStyle w:val="Tabletext"/>
              <w:keepNext/>
              <w:keepLines/>
              <w:widowControl w:val="0"/>
            </w:pPr>
            <w:r w:rsidRPr="006D2224">
              <w:rPr>
                <w:i/>
              </w:rPr>
              <w:t>Trial B305</w:t>
            </w:r>
          </w:p>
        </w:tc>
        <w:tc>
          <w:tcPr>
            <w:tcW w:w="1582" w:type="dxa"/>
            <w:shd w:val="clear" w:color="auto" w:fill="auto"/>
            <w:vAlign w:val="center"/>
          </w:tcPr>
          <w:p w:rsidR="00D4409A" w:rsidRPr="006D2224" w:rsidRDefault="00D4409A" w:rsidP="00DF67CB">
            <w:pPr>
              <w:pStyle w:val="Tabletext"/>
              <w:keepNext/>
              <w:keepLines/>
              <w:widowControl w:val="0"/>
              <w:jc w:val="center"/>
            </w:pPr>
            <w:r w:rsidRPr="006D2224">
              <w:rPr>
                <w:i/>
              </w:rPr>
              <w:t>49/130 (37.7%)</w:t>
            </w:r>
          </w:p>
        </w:tc>
        <w:tc>
          <w:tcPr>
            <w:tcW w:w="1537" w:type="dxa"/>
            <w:shd w:val="clear" w:color="auto" w:fill="auto"/>
            <w:vAlign w:val="center"/>
          </w:tcPr>
          <w:p w:rsidR="00D4409A" w:rsidRPr="006D2224" w:rsidRDefault="00D4409A" w:rsidP="00DF67CB">
            <w:pPr>
              <w:pStyle w:val="Tabletext"/>
              <w:keepNext/>
              <w:keepLines/>
              <w:widowControl w:val="0"/>
              <w:jc w:val="center"/>
            </w:pPr>
            <w:r w:rsidRPr="006D2224">
              <w:rPr>
                <w:i/>
              </w:rPr>
              <w:t>11/68 (16.2%)</w:t>
            </w:r>
          </w:p>
        </w:tc>
        <w:tc>
          <w:tcPr>
            <w:tcW w:w="1627" w:type="dxa"/>
            <w:shd w:val="clear" w:color="auto" w:fill="auto"/>
            <w:vAlign w:val="center"/>
          </w:tcPr>
          <w:p w:rsidR="00D4409A" w:rsidRPr="006D2224" w:rsidRDefault="00D4409A" w:rsidP="00DF67CB">
            <w:pPr>
              <w:pStyle w:val="Tabletext"/>
              <w:keepNext/>
              <w:keepLines/>
              <w:widowControl w:val="0"/>
              <w:jc w:val="center"/>
              <w:rPr>
                <w:b/>
              </w:rPr>
            </w:pPr>
            <w:r w:rsidRPr="006D2224">
              <w:rPr>
                <w:b/>
                <w:i/>
              </w:rPr>
              <w:t>3.13 (1.50, 6.55)</w:t>
            </w:r>
          </w:p>
        </w:tc>
        <w:tc>
          <w:tcPr>
            <w:tcW w:w="1627" w:type="dxa"/>
            <w:shd w:val="clear" w:color="auto" w:fill="auto"/>
            <w:vAlign w:val="center"/>
          </w:tcPr>
          <w:p w:rsidR="00D4409A" w:rsidRPr="006D2224" w:rsidRDefault="00D4409A" w:rsidP="00DF67CB">
            <w:pPr>
              <w:pStyle w:val="Tabletext"/>
              <w:keepNext/>
              <w:keepLines/>
              <w:widowControl w:val="0"/>
              <w:jc w:val="center"/>
              <w:rPr>
                <w:b/>
              </w:rPr>
            </w:pPr>
            <w:r w:rsidRPr="006D2224">
              <w:rPr>
                <w:b/>
                <w:i/>
              </w:rPr>
              <w:t>2.33 (1.30, 4.18)</w:t>
            </w:r>
          </w:p>
        </w:tc>
        <w:tc>
          <w:tcPr>
            <w:tcW w:w="1628" w:type="dxa"/>
            <w:shd w:val="clear" w:color="auto" w:fill="auto"/>
            <w:vAlign w:val="center"/>
          </w:tcPr>
          <w:p w:rsidR="00D4409A" w:rsidRPr="006D2224" w:rsidRDefault="00D4409A" w:rsidP="00DF67CB">
            <w:pPr>
              <w:pStyle w:val="Tabletext"/>
              <w:keepNext/>
              <w:keepLines/>
              <w:widowControl w:val="0"/>
              <w:jc w:val="center"/>
              <w:rPr>
                <w:b/>
              </w:rPr>
            </w:pPr>
            <w:r w:rsidRPr="006D2224">
              <w:rPr>
                <w:b/>
                <w:i/>
              </w:rPr>
              <w:t>0.22 (0.09, 0.34)</w:t>
            </w:r>
          </w:p>
        </w:tc>
      </w:tr>
      <w:tr w:rsidR="00D4409A" w:rsidRPr="006D2224" w:rsidTr="00386D9A">
        <w:tc>
          <w:tcPr>
            <w:tcW w:w="1134" w:type="dxa"/>
            <w:vAlign w:val="center"/>
          </w:tcPr>
          <w:p w:rsidR="00D4409A" w:rsidRPr="006D2224" w:rsidRDefault="00D4409A" w:rsidP="00DF67CB">
            <w:pPr>
              <w:pStyle w:val="Tabletext"/>
              <w:keepNext/>
              <w:keepLines/>
              <w:widowControl w:val="0"/>
            </w:pPr>
            <w:r w:rsidRPr="006D2224">
              <w:rPr>
                <w:i/>
              </w:rPr>
              <w:t>Trial B307</w:t>
            </w:r>
          </w:p>
        </w:tc>
        <w:tc>
          <w:tcPr>
            <w:tcW w:w="1582" w:type="dxa"/>
            <w:shd w:val="clear" w:color="auto" w:fill="auto"/>
            <w:vAlign w:val="center"/>
          </w:tcPr>
          <w:p w:rsidR="00D4409A" w:rsidRPr="006D2224" w:rsidRDefault="00D4409A" w:rsidP="00DF67CB">
            <w:pPr>
              <w:pStyle w:val="Tabletext"/>
              <w:keepNext/>
              <w:keepLines/>
              <w:widowControl w:val="0"/>
              <w:jc w:val="center"/>
            </w:pPr>
            <w:r w:rsidRPr="006D2224">
              <w:rPr>
                <w:i/>
              </w:rPr>
              <w:t>44/137 (32.1%)</w:t>
            </w:r>
          </w:p>
        </w:tc>
        <w:tc>
          <w:tcPr>
            <w:tcW w:w="1537" w:type="dxa"/>
            <w:shd w:val="clear" w:color="auto" w:fill="auto"/>
            <w:vAlign w:val="center"/>
          </w:tcPr>
          <w:p w:rsidR="00D4409A" w:rsidRPr="006D2224" w:rsidRDefault="00D4409A" w:rsidP="00DF67CB">
            <w:pPr>
              <w:pStyle w:val="Tabletext"/>
              <w:keepNext/>
              <w:keepLines/>
              <w:widowControl w:val="0"/>
              <w:jc w:val="center"/>
            </w:pPr>
            <w:r w:rsidRPr="006D2224">
              <w:rPr>
                <w:i/>
              </w:rPr>
              <w:t>14/68 (20.6%)</w:t>
            </w:r>
          </w:p>
        </w:tc>
        <w:tc>
          <w:tcPr>
            <w:tcW w:w="1627" w:type="dxa"/>
            <w:shd w:val="clear" w:color="auto" w:fill="auto"/>
            <w:vAlign w:val="center"/>
          </w:tcPr>
          <w:p w:rsidR="00D4409A" w:rsidRPr="006D2224" w:rsidRDefault="00D4409A" w:rsidP="00DF67CB">
            <w:pPr>
              <w:pStyle w:val="Tabletext"/>
              <w:keepNext/>
              <w:keepLines/>
              <w:widowControl w:val="0"/>
              <w:jc w:val="center"/>
            </w:pPr>
            <w:r w:rsidRPr="006D2224">
              <w:rPr>
                <w:i/>
              </w:rPr>
              <w:t>1.82 (0.92, 3.63)</w:t>
            </w:r>
          </w:p>
        </w:tc>
        <w:tc>
          <w:tcPr>
            <w:tcW w:w="1627" w:type="dxa"/>
            <w:shd w:val="clear" w:color="auto" w:fill="auto"/>
            <w:vAlign w:val="center"/>
          </w:tcPr>
          <w:p w:rsidR="00D4409A" w:rsidRPr="006D2224" w:rsidRDefault="00D4409A" w:rsidP="00DF67CB">
            <w:pPr>
              <w:pStyle w:val="Tabletext"/>
              <w:keepNext/>
              <w:keepLines/>
              <w:widowControl w:val="0"/>
              <w:jc w:val="center"/>
            </w:pPr>
            <w:r w:rsidRPr="006D2224">
              <w:rPr>
                <w:i/>
              </w:rPr>
              <w:t>1.56 (0.92, 2.64)</w:t>
            </w:r>
          </w:p>
        </w:tc>
        <w:tc>
          <w:tcPr>
            <w:tcW w:w="1628" w:type="dxa"/>
            <w:shd w:val="clear" w:color="auto" w:fill="auto"/>
            <w:vAlign w:val="center"/>
          </w:tcPr>
          <w:p w:rsidR="00D4409A" w:rsidRPr="006D2224" w:rsidRDefault="00D4409A" w:rsidP="00DF67CB">
            <w:pPr>
              <w:pStyle w:val="Tabletext"/>
              <w:keepNext/>
              <w:keepLines/>
              <w:widowControl w:val="0"/>
              <w:jc w:val="center"/>
            </w:pPr>
            <w:r w:rsidRPr="006D2224">
              <w:rPr>
                <w:i/>
              </w:rPr>
              <w:t>0.12 (-0.01, 0.24)</w:t>
            </w:r>
          </w:p>
        </w:tc>
      </w:tr>
      <w:tr w:rsidR="00D4409A" w:rsidRPr="006D2224" w:rsidTr="00386D9A">
        <w:tc>
          <w:tcPr>
            <w:tcW w:w="1134" w:type="dxa"/>
            <w:vAlign w:val="center"/>
          </w:tcPr>
          <w:p w:rsidR="00D4409A" w:rsidRPr="006D2224" w:rsidRDefault="00D4409A" w:rsidP="00DF67CB">
            <w:pPr>
              <w:pStyle w:val="Tabletext"/>
              <w:keepNext/>
              <w:keepLines/>
              <w:widowControl w:val="0"/>
            </w:pPr>
            <w:r w:rsidRPr="006D2224">
              <w:t>Trial 0316</w:t>
            </w:r>
          </w:p>
        </w:tc>
        <w:tc>
          <w:tcPr>
            <w:tcW w:w="1582" w:type="dxa"/>
            <w:shd w:val="clear" w:color="auto" w:fill="auto"/>
            <w:vAlign w:val="center"/>
          </w:tcPr>
          <w:p w:rsidR="00D4409A" w:rsidRPr="006D2224" w:rsidRDefault="00D4409A" w:rsidP="00DF67CB">
            <w:pPr>
              <w:pStyle w:val="Tabletext"/>
              <w:keepNext/>
              <w:keepLines/>
              <w:widowControl w:val="0"/>
              <w:jc w:val="center"/>
            </w:pPr>
            <w:r w:rsidRPr="006D2224">
              <w:t>67/123 (54.5%)</w:t>
            </w:r>
          </w:p>
        </w:tc>
        <w:tc>
          <w:tcPr>
            <w:tcW w:w="1537" w:type="dxa"/>
            <w:shd w:val="clear" w:color="auto" w:fill="auto"/>
            <w:vAlign w:val="center"/>
          </w:tcPr>
          <w:p w:rsidR="00D4409A" w:rsidRPr="006D2224" w:rsidRDefault="00D4409A" w:rsidP="00DF67CB">
            <w:pPr>
              <w:pStyle w:val="Tabletext"/>
              <w:keepNext/>
              <w:keepLines/>
              <w:widowControl w:val="0"/>
              <w:jc w:val="center"/>
            </w:pPr>
            <w:r w:rsidRPr="006D2224">
              <w:t>15/63 (23.8%)</w:t>
            </w:r>
          </w:p>
        </w:tc>
        <w:tc>
          <w:tcPr>
            <w:tcW w:w="1627" w:type="dxa"/>
            <w:shd w:val="clear" w:color="auto" w:fill="auto"/>
            <w:vAlign w:val="center"/>
          </w:tcPr>
          <w:p w:rsidR="00D4409A" w:rsidRPr="006D2224" w:rsidRDefault="00D4409A" w:rsidP="00DF67CB">
            <w:pPr>
              <w:pStyle w:val="Tabletext"/>
              <w:keepNext/>
              <w:keepLines/>
              <w:widowControl w:val="0"/>
              <w:jc w:val="center"/>
              <w:rPr>
                <w:b/>
              </w:rPr>
            </w:pPr>
            <w:r w:rsidRPr="006D2224">
              <w:rPr>
                <w:b/>
              </w:rPr>
              <w:t>3.83 (1.94, 7.56)</w:t>
            </w:r>
          </w:p>
        </w:tc>
        <w:tc>
          <w:tcPr>
            <w:tcW w:w="1627" w:type="dxa"/>
            <w:shd w:val="clear" w:color="auto" w:fill="auto"/>
            <w:vAlign w:val="center"/>
          </w:tcPr>
          <w:p w:rsidR="00D4409A" w:rsidRPr="006D2224" w:rsidRDefault="00D4409A" w:rsidP="00DF67CB">
            <w:pPr>
              <w:pStyle w:val="Tabletext"/>
              <w:keepNext/>
              <w:keepLines/>
              <w:widowControl w:val="0"/>
              <w:jc w:val="center"/>
              <w:rPr>
                <w:b/>
              </w:rPr>
            </w:pPr>
            <w:r w:rsidRPr="006D2224">
              <w:rPr>
                <w:b/>
              </w:rPr>
              <w:t>2.29 (1.43, 3.36)</w:t>
            </w:r>
          </w:p>
        </w:tc>
        <w:tc>
          <w:tcPr>
            <w:tcW w:w="1628" w:type="dxa"/>
            <w:shd w:val="clear" w:color="auto" w:fill="auto"/>
            <w:vAlign w:val="center"/>
          </w:tcPr>
          <w:p w:rsidR="00D4409A" w:rsidRPr="006D2224" w:rsidRDefault="00D4409A" w:rsidP="00DF67CB">
            <w:pPr>
              <w:pStyle w:val="Tabletext"/>
              <w:keepNext/>
              <w:keepLines/>
              <w:widowControl w:val="0"/>
              <w:jc w:val="center"/>
              <w:rPr>
                <w:b/>
              </w:rPr>
            </w:pPr>
            <w:r w:rsidRPr="006D2224">
              <w:rPr>
                <w:b/>
              </w:rPr>
              <w:t>0.31 (0.17, 0.44)</w:t>
            </w:r>
          </w:p>
        </w:tc>
      </w:tr>
      <w:tr w:rsidR="00D4409A" w:rsidRPr="006D2224" w:rsidTr="00386D9A">
        <w:tc>
          <w:tcPr>
            <w:tcW w:w="1134" w:type="dxa"/>
            <w:vAlign w:val="center"/>
          </w:tcPr>
          <w:p w:rsidR="00D4409A" w:rsidRPr="006D2224" w:rsidRDefault="00D4409A" w:rsidP="00DF67CB">
            <w:pPr>
              <w:pStyle w:val="Tabletext"/>
              <w:keepNext/>
              <w:keepLines/>
              <w:widowControl w:val="0"/>
            </w:pPr>
            <w:r w:rsidRPr="006D2224">
              <w:t>Leung 2009</w:t>
            </w:r>
          </w:p>
        </w:tc>
        <w:tc>
          <w:tcPr>
            <w:tcW w:w="1582" w:type="dxa"/>
            <w:shd w:val="clear" w:color="auto" w:fill="auto"/>
            <w:vAlign w:val="center"/>
          </w:tcPr>
          <w:p w:rsidR="00D4409A" w:rsidRPr="006D2224" w:rsidRDefault="00D4409A" w:rsidP="00DF67CB">
            <w:pPr>
              <w:pStyle w:val="Tabletext"/>
              <w:keepNext/>
              <w:keepLines/>
              <w:widowControl w:val="0"/>
              <w:jc w:val="center"/>
            </w:pPr>
            <w:r w:rsidRPr="006D2224">
              <w:t>5/46 (11%)</w:t>
            </w:r>
          </w:p>
        </w:tc>
        <w:tc>
          <w:tcPr>
            <w:tcW w:w="1537" w:type="dxa"/>
            <w:shd w:val="clear" w:color="auto" w:fill="auto"/>
            <w:vAlign w:val="center"/>
          </w:tcPr>
          <w:p w:rsidR="00D4409A" w:rsidRPr="006D2224" w:rsidRDefault="00D4409A" w:rsidP="00DF67CB">
            <w:pPr>
              <w:pStyle w:val="Tabletext"/>
              <w:keepNext/>
              <w:keepLines/>
              <w:widowControl w:val="0"/>
              <w:jc w:val="center"/>
            </w:pPr>
            <w:r w:rsidRPr="006D2224">
              <w:t>0/26 (0%)</w:t>
            </w:r>
          </w:p>
        </w:tc>
        <w:tc>
          <w:tcPr>
            <w:tcW w:w="1627" w:type="dxa"/>
            <w:shd w:val="clear" w:color="auto" w:fill="auto"/>
            <w:vAlign w:val="center"/>
          </w:tcPr>
          <w:p w:rsidR="00D4409A" w:rsidRPr="006D2224" w:rsidRDefault="00D4409A" w:rsidP="00DF67CB">
            <w:pPr>
              <w:pStyle w:val="Tabletext"/>
              <w:keepNext/>
              <w:keepLines/>
              <w:widowControl w:val="0"/>
              <w:jc w:val="center"/>
            </w:pPr>
            <w:r w:rsidRPr="006D2224">
              <w:t>7.02 (0.37, 132.31)</w:t>
            </w:r>
          </w:p>
        </w:tc>
        <w:tc>
          <w:tcPr>
            <w:tcW w:w="1627" w:type="dxa"/>
            <w:shd w:val="clear" w:color="auto" w:fill="auto"/>
            <w:vAlign w:val="center"/>
          </w:tcPr>
          <w:p w:rsidR="00D4409A" w:rsidRPr="006D2224" w:rsidRDefault="00D4409A" w:rsidP="00DF67CB">
            <w:pPr>
              <w:pStyle w:val="Tabletext"/>
              <w:keepNext/>
              <w:keepLines/>
              <w:widowControl w:val="0"/>
              <w:jc w:val="center"/>
            </w:pPr>
            <w:r w:rsidRPr="006D2224">
              <w:t>6.32 (0.36, 109.91)</w:t>
            </w:r>
          </w:p>
        </w:tc>
        <w:tc>
          <w:tcPr>
            <w:tcW w:w="1628" w:type="dxa"/>
            <w:shd w:val="clear" w:color="auto" w:fill="auto"/>
            <w:vAlign w:val="center"/>
          </w:tcPr>
          <w:p w:rsidR="00D4409A" w:rsidRPr="006D2224" w:rsidRDefault="00D4409A" w:rsidP="00DF67CB">
            <w:pPr>
              <w:pStyle w:val="Tabletext"/>
              <w:keepNext/>
              <w:keepLines/>
              <w:widowControl w:val="0"/>
              <w:jc w:val="center"/>
            </w:pPr>
            <w:r w:rsidRPr="006D2224">
              <w:t>0.11 (0.00, 0.21)</w:t>
            </w:r>
          </w:p>
        </w:tc>
      </w:tr>
      <w:tr w:rsidR="00D4409A" w:rsidRPr="006D2224" w:rsidTr="00386D9A">
        <w:tc>
          <w:tcPr>
            <w:tcW w:w="1134" w:type="dxa"/>
            <w:vAlign w:val="center"/>
          </w:tcPr>
          <w:p w:rsidR="00D4409A" w:rsidRPr="006D2224" w:rsidRDefault="00D4409A" w:rsidP="00DF67CB">
            <w:pPr>
              <w:pStyle w:val="Tabletext"/>
              <w:keepNext/>
              <w:keepLines/>
              <w:widowControl w:val="0"/>
            </w:pPr>
            <w:r w:rsidRPr="006D2224">
              <w:t>Pooled</w:t>
            </w:r>
          </w:p>
        </w:tc>
        <w:tc>
          <w:tcPr>
            <w:tcW w:w="1582" w:type="dxa"/>
            <w:shd w:val="clear" w:color="auto" w:fill="auto"/>
            <w:vAlign w:val="center"/>
          </w:tcPr>
          <w:p w:rsidR="00D4409A" w:rsidRPr="006D2224" w:rsidRDefault="00D4409A" w:rsidP="00DF67CB">
            <w:pPr>
              <w:pStyle w:val="Tabletext"/>
              <w:keepNext/>
              <w:keepLines/>
              <w:widowControl w:val="0"/>
              <w:jc w:val="center"/>
            </w:pPr>
            <w:r w:rsidRPr="006D2224">
              <w:t>258/641 (38.7%)</w:t>
            </w:r>
          </w:p>
        </w:tc>
        <w:tc>
          <w:tcPr>
            <w:tcW w:w="1537" w:type="dxa"/>
            <w:shd w:val="clear" w:color="auto" w:fill="auto"/>
            <w:vAlign w:val="center"/>
          </w:tcPr>
          <w:p w:rsidR="00D4409A" w:rsidRPr="006D2224" w:rsidRDefault="00D4409A" w:rsidP="00DF67CB">
            <w:pPr>
              <w:pStyle w:val="Tabletext"/>
              <w:keepNext/>
              <w:keepLines/>
              <w:widowControl w:val="0"/>
              <w:jc w:val="center"/>
            </w:pPr>
            <w:r w:rsidRPr="006D2224">
              <w:t>56/329 (17.0%)</w:t>
            </w:r>
          </w:p>
        </w:tc>
        <w:tc>
          <w:tcPr>
            <w:tcW w:w="1627" w:type="dxa"/>
            <w:shd w:val="clear" w:color="auto" w:fill="auto"/>
            <w:vAlign w:val="center"/>
          </w:tcPr>
          <w:p w:rsidR="00D4409A" w:rsidRPr="006D2224" w:rsidRDefault="00D4409A" w:rsidP="00DF67CB">
            <w:pPr>
              <w:pStyle w:val="Tabletext"/>
              <w:keepNext/>
              <w:keepLines/>
              <w:widowControl w:val="0"/>
              <w:jc w:val="center"/>
            </w:pPr>
            <w:r w:rsidRPr="006D2224">
              <w:t>-</w:t>
            </w:r>
          </w:p>
        </w:tc>
        <w:tc>
          <w:tcPr>
            <w:tcW w:w="1627" w:type="dxa"/>
            <w:shd w:val="clear" w:color="auto" w:fill="auto"/>
            <w:vAlign w:val="center"/>
          </w:tcPr>
          <w:p w:rsidR="00D4409A" w:rsidRPr="006D2224" w:rsidRDefault="00D4409A" w:rsidP="00DF67CB">
            <w:pPr>
              <w:pStyle w:val="Tabletext"/>
              <w:keepNext/>
              <w:keepLines/>
              <w:widowControl w:val="0"/>
              <w:jc w:val="center"/>
            </w:pPr>
            <w:r w:rsidRPr="006D2224">
              <w:t>-</w:t>
            </w:r>
          </w:p>
        </w:tc>
        <w:tc>
          <w:tcPr>
            <w:tcW w:w="1628" w:type="dxa"/>
            <w:shd w:val="clear" w:color="auto" w:fill="auto"/>
            <w:vAlign w:val="center"/>
          </w:tcPr>
          <w:p w:rsidR="00D4409A" w:rsidRPr="006D2224" w:rsidRDefault="00D4409A" w:rsidP="00DF67CB">
            <w:pPr>
              <w:pStyle w:val="Tabletext"/>
              <w:keepNext/>
              <w:keepLines/>
              <w:widowControl w:val="0"/>
              <w:jc w:val="center"/>
            </w:pPr>
            <w:r w:rsidRPr="006D2224">
              <w:t>-</w:t>
            </w:r>
          </w:p>
        </w:tc>
      </w:tr>
      <w:tr w:rsidR="00D4409A" w:rsidRPr="006D2224" w:rsidTr="00386D9A">
        <w:tc>
          <w:tcPr>
            <w:tcW w:w="4253" w:type="dxa"/>
            <w:gridSpan w:val="3"/>
            <w:vAlign w:val="center"/>
          </w:tcPr>
          <w:p w:rsidR="00D4409A" w:rsidRPr="006D2224" w:rsidRDefault="00D4409A" w:rsidP="00DF67CB">
            <w:pPr>
              <w:pStyle w:val="Tabletext"/>
              <w:keepNext/>
              <w:keepLines/>
              <w:widowControl w:val="0"/>
              <w:jc w:val="right"/>
            </w:pPr>
            <w:r w:rsidRPr="006D2224">
              <w:t>Meta-analysis of trials</w:t>
            </w:r>
          </w:p>
          <w:p w:rsidR="00D4409A" w:rsidRPr="006D2224" w:rsidRDefault="00D4409A" w:rsidP="00DF67CB">
            <w:pPr>
              <w:pStyle w:val="Tabletext"/>
              <w:keepNext/>
              <w:keepLines/>
              <w:widowControl w:val="0"/>
              <w:jc w:val="right"/>
            </w:pPr>
            <w:r w:rsidRPr="006D2224">
              <w:t>Heterogeneity</w:t>
            </w:r>
          </w:p>
        </w:tc>
        <w:tc>
          <w:tcPr>
            <w:tcW w:w="1627" w:type="dxa"/>
            <w:shd w:val="clear" w:color="auto" w:fill="auto"/>
            <w:vAlign w:val="center"/>
          </w:tcPr>
          <w:p w:rsidR="00D4409A" w:rsidRPr="006D2224" w:rsidRDefault="00D4409A" w:rsidP="00DF67CB">
            <w:pPr>
              <w:pStyle w:val="Tabletext"/>
              <w:keepNext/>
              <w:keepLines/>
              <w:widowControl w:val="0"/>
              <w:jc w:val="center"/>
              <w:rPr>
                <w:b/>
                <w:i/>
              </w:rPr>
            </w:pPr>
            <w:r w:rsidRPr="006D2224">
              <w:rPr>
                <w:b/>
                <w:i/>
              </w:rPr>
              <w:t>3.22 (1.83, 5.67)</w:t>
            </w:r>
          </w:p>
          <w:p w:rsidR="00D4409A" w:rsidRPr="006D2224" w:rsidRDefault="00D4409A" w:rsidP="00DF67CB">
            <w:pPr>
              <w:pStyle w:val="Tabletext"/>
              <w:keepNext/>
              <w:keepLines/>
              <w:widowControl w:val="0"/>
              <w:jc w:val="center"/>
              <w:rPr>
                <w:i/>
              </w:rPr>
            </w:pPr>
            <w:r w:rsidRPr="006D2224">
              <w:rPr>
                <w:i/>
              </w:rPr>
              <w:t>I</w:t>
            </w:r>
            <w:r w:rsidRPr="006D2224">
              <w:rPr>
                <w:i/>
                <w:vertAlign w:val="superscript"/>
              </w:rPr>
              <w:t>2</w:t>
            </w:r>
            <w:r w:rsidRPr="006D2224">
              <w:rPr>
                <w:i/>
              </w:rPr>
              <w:t xml:space="preserve"> = 60%</w:t>
            </w:r>
          </w:p>
        </w:tc>
        <w:tc>
          <w:tcPr>
            <w:tcW w:w="1627" w:type="dxa"/>
            <w:shd w:val="clear" w:color="auto" w:fill="auto"/>
            <w:vAlign w:val="center"/>
          </w:tcPr>
          <w:p w:rsidR="00D4409A" w:rsidRPr="006D2224" w:rsidRDefault="00D4409A" w:rsidP="00DF67CB">
            <w:pPr>
              <w:pStyle w:val="Tabletext"/>
              <w:keepNext/>
              <w:keepLines/>
              <w:widowControl w:val="0"/>
              <w:jc w:val="center"/>
              <w:rPr>
                <w:b/>
                <w:i/>
              </w:rPr>
            </w:pPr>
            <w:r w:rsidRPr="006D2224">
              <w:rPr>
                <w:b/>
                <w:i/>
              </w:rPr>
              <w:t>2.22 (1.51, 3.26)</w:t>
            </w:r>
          </w:p>
          <w:p w:rsidR="00D4409A" w:rsidRPr="006D2224" w:rsidRDefault="00D4409A" w:rsidP="00DF67CB">
            <w:pPr>
              <w:pStyle w:val="Tabletext"/>
              <w:keepNext/>
              <w:keepLines/>
              <w:widowControl w:val="0"/>
              <w:jc w:val="center"/>
              <w:rPr>
                <w:i/>
              </w:rPr>
            </w:pPr>
            <w:r w:rsidRPr="006D2224">
              <w:rPr>
                <w:i/>
              </w:rPr>
              <w:t>I</w:t>
            </w:r>
            <w:r w:rsidRPr="006D2224">
              <w:rPr>
                <w:i/>
                <w:vertAlign w:val="superscript"/>
              </w:rPr>
              <w:t>2</w:t>
            </w:r>
            <w:r w:rsidRPr="006D2224">
              <w:rPr>
                <w:i/>
              </w:rPr>
              <w:t xml:space="preserve"> = 50%</w:t>
            </w:r>
          </w:p>
        </w:tc>
        <w:tc>
          <w:tcPr>
            <w:tcW w:w="1628" w:type="dxa"/>
            <w:shd w:val="clear" w:color="auto" w:fill="auto"/>
            <w:vAlign w:val="center"/>
          </w:tcPr>
          <w:p w:rsidR="00D4409A" w:rsidRPr="006D2224" w:rsidRDefault="00D4409A" w:rsidP="00DF67CB">
            <w:pPr>
              <w:pStyle w:val="Tabletext"/>
              <w:keepNext/>
              <w:keepLines/>
              <w:widowControl w:val="0"/>
              <w:jc w:val="center"/>
              <w:rPr>
                <w:b/>
                <w:i/>
              </w:rPr>
            </w:pPr>
            <w:r w:rsidRPr="006D2224">
              <w:rPr>
                <w:b/>
                <w:i/>
              </w:rPr>
              <w:t>0.21 (0.10, 0.33)</w:t>
            </w:r>
          </w:p>
          <w:p w:rsidR="00D4409A" w:rsidRPr="006D2224" w:rsidRDefault="00D4409A" w:rsidP="00DF67CB">
            <w:pPr>
              <w:pStyle w:val="Tabletext"/>
              <w:keepNext/>
              <w:keepLines/>
              <w:widowControl w:val="0"/>
              <w:jc w:val="center"/>
              <w:rPr>
                <w:i/>
              </w:rPr>
            </w:pPr>
            <w:r w:rsidRPr="006D2224">
              <w:rPr>
                <w:i/>
              </w:rPr>
              <w:t>I</w:t>
            </w:r>
            <w:r w:rsidRPr="006D2224">
              <w:rPr>
                <w:i/>
                <w:vertAlign w:val="superscript"/>
              </w:rPr>
              <w:t>2</w:t>
            </w:r>
            <w:r w:rsidRPr="006D2224">
              <w:rPr>
                <w:i/>
              </w:rPr>
              <w:t xml:space="preserve"> =80%</w:t>
            </w:r>
          </w:p>
        </w:tc>
      </w:tr>
      <w:tr w:rsidR="00D4409A" w:rsidRPr="006D2224" w:rsidTr="00386D9A">
        <w:tc>
          <w:tcPr>
            <w:tcW w:w="4253" w:type="dxa"/>
            <w:gridSpan w:val="3"/>
            <w:tcBorders>
              <w:bottom w:val="double" w:sz="4" w:space="0" w:color="auto"/>
            </w:tcBorders>
            <w:vAlign w:val="center"/>
          </w:tcPr>
          <w:p w:rsidR="00D4409A" w:rsidRPr="006D2224" w:rsidRDefault="00D4409A" w:rsidP="00DF67CB">
            <w:pPr>
              <w:pStyle w:val="Tabletext"/>
              <w:keepNext/>
              <w:keepLines/>
              <w:widowControl w:val="0"/>
              <w:jc w:val="center"/>
              <w:rPr>
                <w:b/>
              </w:rPr>
            </w:pPr>
            <w:r w:rsidRPr="006D2224">
              <w:rPr>
                <w:b/>
              </w:rPr>
              <w:t xml:space="preserve">Indirect comparison of </w:t>
            </w:r>
            <w:proofErr w:type="spellStart"/>
            <w:r w:rsidRPr="006D2224">
              <w:rPr>
                <w:b/>
              </w:rPr>
              <w:t>crisaborole</w:t>
            </w:r>
            <w:proofErr w:type="spellEnd"/>
            <w:r w:rsidRPr="006D2224">
              <w:rPr>
                <w:b/>
              </w:rPr>
              <w:t xml:space="preserve"> vs. </w:t>
            </w:r>
            <w:proofErr w:type="spellStart"/>
            <w:r w:rsidRPr="006D2224">
              <w:rPr>
                <w:b/>
              </w:rPr>
              <w:t>pimecrolimus</w:t>
            </w:r>
            <w:proofErr w:type="spellEnd"/>
          </w:p>
        </w:tc>
        <w:tc>
          <w:tcPr>
            <w:tcW w:w="1627" w:type="dxa"/>
            <w:tcBorders>
              <w:bottom w:val="double" w:sz="4" w:space="0" w:color="auto"/>
            </w:tcBorders>
            <w:shd w:val="clear" w:color="auto" w:fill="auto"/>
            <w:vAlign w:val="center"/>
          </w:tcPr>
          <w:p w:rsidR="00D4409A" w:rsidRPr="006D2224" w:rsidRDefault="00D4409A" w:rsidP="00DF67CB">
            <w:pPr>
              <w:pStyle w:val="Tabletext"/>
              <w:keepNext/>
              <w:keepLines/>
              <w:widowControl w:val="0"/>
              <w:jc w:val="center"/>
              <w:rPr>
                <w:i/>
              </w:rPr>
            </w:pPr>
            <w:r w:rsidRPr="006D2224">
              <w:rPr>
                <w:i/>
              </w:rPr>
              <w:t>0.58 (0.30, 1.13)</w:t>
            </w:r>
          </w:p>
        </w:tc>
        <w:tc>
          <w:tcPr>
            <w:tcW w:w="1627" w:type="dxa"/>
            <w:tcBorders>
              <w:bottom w:val="double" w:sz="4" w:space="0" w:color="auto"/>
            </w:tcBorders>
            <w:shd w:val="clear" w:color="auto" w:fill="auto"/>
            <w:vAlign w:val="center"/>
          </w:tcPr>
          <w:p w:rsidR="00D4409A" w:rsidRPr="006D2224" w:rsidRDefault="00D4409A" w:rsidP="00DF67CB">
            <w:pPr>
              <w:pStyle w:val="Tabletext"/>
              <w:keepNext/>
              <w:keepLines/>
              <w:widowControl w:val="0"/>
              <w:jc w:val="center"/>
              <w:rPr>
                <w:i/>
              </w:rPr>
            </w:pPr>
            <w:r w:rsidRPr="006D2224">
              <w:rPr>
                <w:i/>
              </w:rPr>
              <w:t>0.64 (0.41, 1.02)</w:t>
            </w:r>
          </w:p>
        </w:tc>
        <w:tc>
          <w:tcPr>
            <w:tcW w:w="1628" w:type="dxa"/>
            <w:tcBorders>
              <w:bottom w:val="double" w:sz="4" w:space="0" w:color="auto"/>
            </w:tcBorders>
            <w:shd w:val="clear" w:color="auto" w:fill="auto"/>
            <w:vAlign w:val="center"/>
          </w:tcPr>
          <w:p w:rsidR="00D4409A" w:rsidRPr="006D2224" w:rsidRDefault="00D4409A" w:rsidP="00DF67CB">
            <w:pPr>
              <w:pStyle w:val="Tabletext"/>
              <w:keepNext/>
              <w:keepLines/>
              <w:widowControl w:val="0"/>
              <w:jc w:val="center"/>
              <w:rPr>
                <w:i/>
              </w:rPr>
            </w:pPr>
            <w:r w:rsidRPr="006D2224">
              <w:rPr>
                <w:i/>
              </w:rPr>
              <w:t>-0.06 (-0.20, 0.08)</w:t>
            </w:r>
          </w:p>
        </w:tc>
      </w:tr>
    </w:tbl>
    <w:p w:rsidR="00D4409A" w:rsidRPr="006D2224" w:rsidRDefault="00D4409A" w:rsidP="00DF67CB">
      <w:pPr>
        <w:pStyle w:val="TableFooter"/>
        <w:keepNext/>
        <w:keepLines/>
      </w:pPr>
      <w:r w:rsidRPr="006D2224">
        <w:t xml:space="preserve">Source: Table 2.6-1, p110 of the submission; Table 305-6, p9 and Table 307-6, p17 of </w:t>
      </w:r>
      <w:proofErr w:type="spellStart"/>
      <w:r w:rsidRPr="006D2224">
        <w:t>Elidel</w:t>
      </w:r>
      <w:proofErr w:type="spellEnd"/>
      <w:r w:rsidRPr="006D2224">
        <w:t xml:space="preserve"> (ASM 981, </w:t>
      </w:r>
      <w:proofErr w:type="spellStart"/>
      <w:r w:rsidRPr="006D2224">
        <w:t>pimecrolimus</w:t>
      </w:r>
      <w:proofErr w:type="spellEnd"/>
      <w:r w:rsidRPr="006D2224">
        <w:t>) Cream 1% FDA statistical review</w:t>
      </w:r>
    </w:p>
    <w:p w:rsidR="003555B7" w:rsidRPr="006D2224" w:rsidRDefault="003555B7" w:rsidP="00DF67CB">
      <w:pPr>
        <w:pStyle w:val="TableFooter"/>
        <w:keepNext/>
        <w:keepLines/>
        <w:rPr>
          <w:sz w:val="20"/>
        </w:rPr>
      </w:pPr>
      <w:r w:rsidRPr="006D2224">
        <w:t xml:space="preserve">Abbreviations: CI, confidence interval; IGA, Investigator’s Global Assessment; ISGA, Investigator’s Static Global Assessment; OR, odds ratio; RD, risk difference; RR, relative risk </w:t>
      </w:r>
    </w:p>
    <w:p w:rsidR="00D4409A" w:rsidRPr="006D2224" w:rsidRDefault="00D4409A" w:rsidP="00DF67CB">
      <w:pPr>
        <w:pStyle w:val="TableFooter"/>
        <w:keepNext/>
        <w:keepLines/>
      </w:pPr>
      <w:proofErr w:type="spellStart"/>
      <w:proofErr w:type="gramStart"/>
      <w:r w:rsidRPr="006D2224">
        <w:rPr>
          <w:vertAlign w:val="superscript"/>
        </w:rPr>
        <w:t>a</w:t>
      </w:r>
      <w:proofErr w:type="spellEnd"/>
      <w:proofErr w:type="gramEnd"/>
      <w:r w:rsidRPr="006D2224">
        <w:rPr>
          <w:vertAlign w:val="superscript"/>
        </w:rPr>
        <w:t xml:space="preserve"> </w:t>
      </w:r>
      <w:r w:rsidRPr="006D2224">
        <w:t xml:space="preserve">The numbers of patients were calculated in the submission from the proportion of patients in each arm and then rounded </w:t>
      </w:r>
    </w:p>
    <w:p w:rsidR="00BB5D02" w:rsidRPr="006D2224" w:rsidRDefault="00BB5D02" w:rsidP="00DF67CB">
      <w:pPr>
        <w:pStyle w:val="TableFooter"/>
        <w:keepNext/>
        <w:keepLines/>
        <w:rPr>
          <w:i/>
        </w:rPr>
      </w:pPr>
      <w:r w:rsidRPr="006D2224">
        <w:rPr>
          <w:i/>
        </w:rPr>
        <w:t xml:space="preserve">Italicised results </w:t>
      </w:r>
      <w:r w:rsidR="00D81CE4" w:rsidRPr="006D2224">
        <w:rPr>
          <w:i/>
        </w:rPr>
        <w:t>were calculated during the evaluation</w:t>
      </w:r>
    </w:p>
    <w:p w:rsidR="00D4409A" w:rsidRPr="006D2224" w:rsidRDefault="00D4409A" w:rsidP="003555B7">
      <w:pPr>
        <w:widowControl/>
      </w:pPr>
    </w:p>
    <w:p w:rsidR="003555B7" w:rsidRPr="006D2224" w:rsidRDefault="003555B7" w:rsidP="00173629">
      <w:pPr>
        <w:pStyle w:val="ListParagraph"/>
        <w:widowControl/>
        <w:numPr>
          <w:ilvl w:val="1"/>
          <w:numId w:val="2"/>
        </w:numPr>
      </w:pPr>
      <w:r w:rsidRPr="006D2224">
        <w:t xml:space="preserve">When comparing </w:t>
      </w:r>
      <w:proofErr w:type="spellStart"/>
      <w:r w:rsidRPr="006D2224">
        <w:t>crisaborole</w:t>
      </w:r>
      <w:proofErr w:type="spellEnd"/>
      <w:r w:rsidRPr="006D2224">
        <w:t xml:space="preserve"> with its vehicle, results from the meta-analysis suggest a higher proportion of patients tre</w:t>
      </w:r>
      <w:r w:rsidR="00BB5D02" w:rsidRPr="006D2224">
        <w:t xml:space="preserve">ated with </w:t>
      </w:r>
      <w:proofErr w:type="spellStart"/>
      <w:r w:rsidR="00BB5D02" w:rsidRPr="006D2224">
        <w:t>crisaborole</w:t>
      </w:r>
      <w:proofErr w:type="spellEnd"/>
      <w:r w:rsidR="00BB5D02" w:rsidRPr="006D2224">
        <w:t xml:space="preserve"> achieved clear or almost clear disease at </w:t>
      </w:r>
      <w:r w:rsidRPr="006D2224">
        <w:t>4 weeks from baseline (approximately 15%) compared to patients receiving its vehicle. These results should be interpreted with caution given substantial heterogeneity between the trials (I</w:t>
      </w:r>
      <w:r w:rsidRPr="006D2224">
        <w:rPr>
          <w:vertAlign w:val="superscript"/>
        </w:rPr>
        <w:t>2</w:t>
      </w:r>
      <w:r w:rsidRPr="006D2224">
        <w:t xml:space="preserve">=56-71%) which was not explored in the submission. </w:t>
      </w:r>
    </w:p>
    <w:p w:rsidR="003555B7" w:rsidRPr="006D2224" w:rsidRDefault="00E41EB3" w:rsidP="00173629">
      <w:pPr>
        <w:pStyle w:val="ListParagraph"/>
        <w:widowControl/>
        <w:numPr>
          <w:ilvl w:val="1"/>
          <w:numId w:val="2"/>
        </w:numPr>
        <w:rPr>
          <w:i/>
        </w:rPr>
      </w:pPr>
      <w:r w:rsidRPr="006D2224">
        <w:t xml:space="preserve">The meta-analysis of the </w:t>
      </w:r>
      <w:proofErr w:type="spellStart"/>
      <w:r w:rsidRPr="006D2224">
        <w:t>pimecrolimus</w:t>
      </w:r>
      <w:proofErr w:type="spellEnd"/>
      <w:r w:rsidRPr="006D2224">
        <w:t xml:space="preserve"> trials indicated that a higher proportion of patients treated </w:t>
      </w:r>
      <w:r w:rsidR="00B00F10" w:rsidRPr="006D2224">
        <w:t xml:space="preserve">with </w:t>
      </w:r>
      <w:proofErr w:type="spellStart"/>
      <w:r w:rsidR="00B00F10" w:rsidRPr="006D2224">
        <w:t>pimecrolimus</w:t>
      </w:r>
      <w:proofErr w:type="spellEnd"/>
      <w:r w:rsidR="00B00F10" w:rsidRPr="006D2224">
        <w:t xml:space="preserve"> achieved an I</w:t>
      </w:r>
      <w:r w:rsidRPr="006D2224">
        <w:t>GA score of 0 or 1 (by around 22%) compared to patients treated with vehicle. The results should be interpreted with caution given substantial statistical (I</w:t>
      </w:r>
      <w:r w:rsidRPr="006D2224">
        <w:rPr>
          <w:vertAlign w:val="superscript"/>
        </w:rPr>
        <w:t>2</w:t>
      </w:r>
      <w:r w:rsidRPr="006D2224">
        <w:t xml:space="preserve"> = 82%) and clinical heterogeneity between the included trials with respect to differing age groups, baseline disease severity, treatment durations and trial designs based on different primary endpoints and/or objectives.</w:t>
      </w:r>
    </w:p>
    <w:p w:rsidR="00D4409A" w:rsidRPr="006D2224" w:rsidRDefault="00D4409A" w:rsidP="00173629">
      <w:pPr>
        <w:pStyle w:val="ListParagraph"/>
        <w:widowControl/>
        <w:numPr>
          <w:ilvl w:val="1"/>
          <w:numId w:val="2"/>
        </w:numPr>
      </w:pPr>
      <w:r w:rsidRPr="006D2224">
        <w:t xml:space="preserve">The submission assumed that the IGA and ISGA outcomes which are based on different scales of severity (6-point versus 5-point respectively) were </w:t>
      </w:r>
      <w:r w:rsidR="003555B7" w:rsidRPr="006D2224">
        <w:t xml:space="preserve">sufficiently </w:t>
      </w:r>
      <w:r w:rsidRPr="006D2224">
        <w:t>interchangeable</w:t>
      </w:r>
      <w:r w:rsidR="003555B7" w:rsidRPr="006D2224">
        <w:t xml:space="preserve"> for the indirect comparison</w:t>
      </w:r>
      <w:r w:rsidRPr="006D2224">
        <w:t xml:space="preserve">. </w:t>
      </w:r>
      <w:r w:rsidR="00900E09" w:rsidRPr="006D2224">
        <w:t>However, t</w:t>
      </w:r>
      <w:r w:rsidRPr="006D2224">
        <w:t>he correlation between these scales was uncertain.</w:t>
      </w:r>
      <w:r w:rsidR="00BB5D02" w:rsidRPr="006D2224">
        <w:t xml:space="preserve"> </w:t>
      </w:r>
      <w:r w:rsidR="008D7078" w:rsidRPr="006D2224">
        <w:t xml:space="preserve">The PSCR </w:t>
      </w:r>
      <w:r w:rsidR="00D25DA5" w:rsidRPr="006D2224">
        <w:t xml:space="preserve">noted that the majority of patients in the two </w:t>
      </w:r>
      <w:proofErr w:type="spellStart"/>
      <w:r w:rsidR="00D25DA5" w:rsidRPr="006D2224">
        <w:t>pimecrolimus</w:t>
      </w:r>
      <w:proofErr w:type="spellEnd"/>
      <w:r w:rsidR="00D25DA5" w:rsidRPr="006D2224">
        <w:t xml:space="preserve"> trials and all patients in the </w:t>
      </w:r>
      <w:proofErr w:type="spellStart"/>
      <w:r w:rsidR="00D25DA5" w:rsidRPr="006D2224">
        <w:t>crisaborole</w:t>
      </w:r>
      <w:proofErr w:type="spellEnd"/>
      <w:r w:rsidR="00D25DA5" w:rsidRPr="006D2224">
        <w:t xml:space="preserve"> trials had mild to moderate disease and therefore the additional IGA score of 5 (very severe disease) was not relevant to the comparison. The ESC noted that there are also differences in the </w:t>
      </w:r>
      <w:r w:rsidR="00D25DA5" w:rsidRPr="006D2224">
        <w:lastRenderedPageBreak/>
        <w:t xml:space="preserve">wording of the less severe IGA/ISGA score categories (0-4) that may have resulted in different categorisation of patients between the trials. </w:t>
      </w:r>
    </w:p>
    <w:p w:rsidR="00E147CF" w:rsidRPr="006D2224" w:rsidRDefault="00E41EB3" w:rsidP="00E147CF">
      <w:pPr>
        <w:pStyle w:val="ListParagraph"/>
        <w:widowControl/>
        <w:numPr>
          <w:ilvl w:val="1"/>
          <w:numId w:val="2"/>
        </w:numPr>
        <w:spacing w:after="0"/>
      </w:pPr>
      <w:r w:rsidRPr="006D2224">
        <w:t xml:space="preserve">The results of the indirect comparison of </w:t>
      </w:r>
      <w:proofErr w:type="spellStart"/>
      <w:r w:rsidRPr="006D2224">
        <w:t>crisaborole</w:t>
      </w:r>
      <w:proofErr w:type="spellEnd"/>
      <w:r w:rsidRPr="006D2224">
        <w:t xml:space="preserve"> and </w:t>
      </w:r>
      <w:proofErr w:type="spellStart"/>
      <w:r w:rsidRPr="006D2224">
        <w:t>pimecrolimus</w:t>
      </w:r>
      <w:proofErr w:type="spellEnd"/>
      <w:r w:rsidRPr="006D2224">
        <w:t xml:space="preserve"> suggest no statistically significant difference between treatments in terms of the proportion of patients achieving an ISGA/IGA score of 0 or 1. The submission noted that numerical differences in the results appeared to favour </w:t>
      </w:r>
      <w:proofErr w:type="spellStart"/>
      <w:r w:rsidRPr="006D2224">
        <w:t>pimecrolimus</w:t>
      </w:r>
      <w:proofErr w:type="spellEnd"/>
      <w:r w:rsidRPr="006D2224">
        <w:t xml:space="preserve">. </w:t>
      </w:r>
      <w:r w:rsidR="00D81CE4" w:rsidRPr="006D2224">
        <w:t>The indirect comparison may not be informative due to</w:t>
      </w:r>
      <w:r w:rsidRPr="006D2224">
        <w:t xml:space="preserve"> substantial issues with the exchangeability of these trials, highlighted by the variance in response observed in the common reference arm of vehicle ointment/cream (0% to 40.6%) alongside other differences including the scale and definitions for the outcome of interest, age groups, baseline disease severity and treatment durations.</w:t>
      </w:r>
      <w:r w:rsidR="00D25DA5" w:rsidRPr="006D2224">
        <w:t xml:space="preserve"> The ESC </w:t>
      </w:r>
      <w:r w:rsidR="00E147CF" w:rsidRPr="006D2224">
        <w:t>noted the major transitivity issues with the indirect comparison were:</w:t>
      </w:r>
    </w:p>
    <w:p w:rsidR="00E147CF" w:rsidRPr="006D2224" w:rsidRDefault="00E147CF" w:rsidP="001F0BA8">
      <w:pPr>
        <w:pStyle w:val="ListParagraph"/>
        <w:widowControl/>
        <w:numPr>
          <w:ilvl w:val="0"/>
          <w:numId w:val="12"/>
        </w:numPr>
        <w:spacing w:after="0"/>
        <w:ind w:left="1434" w:hanging="357"/>
      </w:pPr>
      <w:r w:rsidRPr="006D2224">
        <w:t xml:space="preserve">the differences in vehicle response (35% vs 17% for </w:t>
      </w:r>
      <w:proofErr w:type="spellStart"/>
      <w:r w:rsidRPr="006D2224">
        <w:t>crisaborole</w:t>
      </w:r>
      <w:proofErr w:type="spellEnd"/>
      <w:r w:rsidRPr="006D2224">
        <w:t xml:space="preserve"> and </w:t>
      </w:r>
      <w:proofErr w:type="spellStart"/>
      <w:r w:rsidRPr="006D2224">
        <w:t>pimecrolimus</w:t>
      </w:r>
      <w:proofErr w:type="spellEnd"/>
      <w:r w:rsidRPr="006D2224">
        <w:t xml:space="preserve"> respectively);</w:t>
      </w:r>
    </w:p>
    <w:p w:rsidR="00E147CF" w:rsidRPr="006D2224" w:rsidRDefault="00E147CF" w:rsidP="001F0BA8">
      <w:pPr>
        <w:pStyle w:val="ListParagraph"/>
        <w:widowControl/>
        <w:numPr>
          <w:ilvl w:val="0"/>
          <w:numId w:val="12"/>
        </w:numPr>
        <w:spacing w:after="0"/>
        <w:ind w:left="1434" w:hanging="357"/>
      </w:pPr>
      <w:r w:rsidRPr="006D2224">
        <w:t>the assumption that scores of 1 or 2 on ISGA were equivalent to scores of 1 or 2 on the IGA; and</w:t>
      </w:r>
    </w:p>
    <w:p w:rsidR="00D4409A" w:rsidRPr="006D2224" w:rsidRDefault="00E147CF" w:rsidP="001F0BA8">
      <w:pPr>
        <w:pStyle w:val="ListParagraph"/>
        <w:widowControl/>
        <w:numPr>
          <w:ilvl w:val="0"/>
          <w:numId w:val="12"/>
        </w:numPr>
        <w:ind w:left="1434" w:hanging="357"/>
      </w:pPr>
      <w:proofErr w:type="gramStart"/>
      <w:r w:rsidRPr="006D2224">
        <w:t>the</w:t>
      </w:r>
      <w:proofErr w:type="gramEnd"/>
      <w:r w:rsidRPr="006D2224">
        <w:t xml:space="preserve"> high clinical and statistical heterogeneity in the </w:t>
      </w:r>
      <w:proofErr w:type="spellStart"/>
      <w:r w:rsidRPr="006D2224">
        <w:t>pimecrolimus</w:t>
      </w:r>
      <w:proofErr w:type="spellEnd"/>
      <w:r w:rsidRPr="006D2224">
        <w:t xml:space="preserve"> trials.</w:t>
      </w:r>
    </w:p>
    <w:p w:rsidR="00E41EB3" w:rsidRPr="006D2224" w:rsidRDefault="00E41EB3" w:rsidP="00173629">
      <w:pPr>
        <w:pStyle w:val="ListParagraph"/>
        <w:widowControl/>
        <w:numPr>
          <w:ilvl w:val="1"/>
          <w:numId w:val="2"/>
        </w:numPr>
        <w:spacing w:after="0"/>
      </w:pPr>
      <w:r w:rsidRPr="006D2224">
        <w:t xml:space="preserve">The submission claimed that </w:t>
      </w:r>
      <w:proofErr w:type="spellStart"/>
      <w:r w:rsidRPr="006D2224">
        <w:t>crisaborole</w:t>
      </w:r>
      <w:proofErr w:type="spellEnd"/>
      <w:r w:rsidRPr="006D2224">
        <w:t xml:space="preserve"> was non-inferior to </w:t>
      </w:r>
      <w:proofErr w:type="spellStart"/>
      <w:r w:rsidRPr="006D2224">
        <w:t>pimecrolimus</w:t>
      </w:r>
      <w:proofErr w:type="spellEnd"/>
      <w:r w:rsidRPr="006D2224">
        <w:t xml:space="preserve"> based on the lower bound of the 95% confidence interval of risk difference between treatments that did not exceed -25% (RD -0.06, 95% CI: -0.20, 0.08).</w:t>
      </w:r>
      <w:r w:rsidRPr="006D2224">
        <w:rPr>
          <w:i/>
        </w:rPr>
        <w:t xml:space="preserve"> </w:t>
      </w:r>
      <w:r w:rsidRPr="006D2224">
        <w:t>The nominated non-inferiority margin did not appear reasonable given it exceeds the estimated difference for b</w:t>
      </w:r>
      <w:r w:rsidR="00B00F10" w:rsidRPr="006D2224">
        <w:t>oth treatments compared with their</w:t>
      </w:r>
      <w:r w:rsidRPr="006D2224">
        <w:t xml:space="preserve"> vehicles (15% and 20% for </w:t>
      </w:r>
      <w:proofErr w:type="spellStart"/>
      <w:r w:rsidRPr="006D2224">
        <w:t>crisaborole</w:t>
      </w:r>
      <w:proofErr w:type="spellEnd"/>
      <w:r w:rsidRPr="006D2224">
        <w:t xml:space="preserve"> and </w:t>
      </w:r>
      <w:proofErr w:type="spellStart"/>
      <w:r w:rsidRPr="006D2224">
        <w:t>pimecrolimus</w:t>
      </w:r>
      <w:proofErr w:type="spellEnd"/>
      <w:r w:rsidRPr="006D2224">
        <w:t xml:space="preserve"> respectively). In addition, the non-inferiority margin was based on a nominated MCID with </w:t>
      </w:r>
      <w:r w:rsidR="00D81CE4" w:rsidRPr="006D2224">
        <w:t xml:space="preserve">uncertain clinical importance. </w:t>
      </w:r>
      <w:r w:rsidR="00D25DA5" w:rsidRPr="006D2224">
        <w:t xml:space="preserve">The ESC </w:t>
      </w:r>
      <w:r w:rsidR="00E147CF" w:rsidRPr="006D2224">
        <w:t xml:space="preserve">noted that the indirect comparison favoured </w:t>
      </w:r>
      <w:proofErr w:type="spellStart"/>
      <w:r w:rsidR="00E147CF" w:rsidRPr="006D2224">
        <w:t>pimecrolimus</w:t>
      </w:r>
      <w:proofErr w:type="spellEnd"/>
      <w:r w:rsidR="00E147CF" w:rsidRPr="006D2224">
        <w:t xml:space="preserve">, with the lower bound of the confidence interval </w:t>
      </w:r>
      <w:r w:rsidR="00947D17" w:rsidRPr="006D2224">
        <w:t xml:space="preserve">being </w:t>
      </w:r>
      <w:r w:rsidR="00E147CF" w:rsidRPr="006D2224">
        <w:t>-20%</w:t>
      </w:r>
      <w:r w:rsidR="00947D17" w:rsidRPr="006D2224">
        <w:t xml:space="preserve">. The ESC noted that the </w:t>
      </w:r>
      <w:r w:rsidR="00AE4F80" w:rsidRPr="006D2224">
        <w:t xml:space="preserve">non-inferiority </w:t>
      </w:r>
      <w:r w:rsidR="00212DC0" w:rsidRPr="006D2224">
        <w:t xml:space="preserve">margin was larger than the benefits seen with either treatment and </w:t>
      </w:r>
      <w:r w:rsidR="00947D17" w:rsidRPr="006D2224">
        <w:t xml:space="preserve">was 2.5 times the MCID used to claim </w:t>
      </w:r>
      <w:r w:rsidR="00212DC0" w:rsidRPr="006D2224">
        <w:t>superi</w:t>
      </w:r>
      <w:r w:rsidR="00947D17" w:rsidRPr="006D2224">
        <w:t>ority</w:t>
      </w:r>
      <w:r w:rsidR="00212DC0" w:rsidRPr="006D2224">
        <w:t xml:space="preserve"> over standard management</w:t>
      </w:r>
      <w:r w:rsidR="00947D17" w:rsidRPr="006D2224">
        <w:t>. The ESC</w:t>
      </w:r>
      <w:r w:rsidR="00E147CF" w:rsidRPr="006D2224">
        <w:t xml:space="preserve"> </w:t>
      </w:r>
      <w:r w:rsidR="00D25DA5" w:rsidRPr="006D2224">
        <w:t xml:space="preserve">considered that </w:t>
      </w:r>
      <w:r w:rsidR="00947D17" w:rsidRPr="006D2224">
        <w:t xml:space="preserve">the results of the indirect </w:t>
      </w:r>
      <w:r w:rsidR="00A3589F" w:rsidRPr="006D2224">
        <w:t xml:space="preserve">comparison </w:t>
      </w:r>
      <w:r w:rsidR="00947D17" w:rsidRPr="006D2224">
        <w:t xml:space="preserve">did not exclude the possibility that </w:t>
      </w:r>
      <w:proofErr w:type="spellStart"/>
      <w:r w:rsidR="00947D17" w:rsidRPr="006D2224">
        <w:t>pimecrolimus</w:t>
      </w:r>
      <w:proofErr w:type="spellEnd"/>
      <w:r w:rsidR="00947D17" w:rsidRPr="006D2224">
        <w:t xml:space="preserve"> was superior to </w:t>
      </w:r>
      <w:proofErr w:type="spellStart"/>
      <w:r w:rsidR="00947D17" w:rsidRPr="006D2224">
        <w:t>crisaborole</w:t>
      </w:r>
      <w:proofErr w:type="spellEnd"/>
      <w:r w:rsidR="00947D17" w:rsidRPr="006D2224">
        <w:t>.</w:t>
      </w:r>
    </w:p>
    <w:p w:rsidR="004265BF" w:rsidRDefault="004265BF">
      <w:pPr>
        <w:widowControl/>
        <w:jc w:val="left"/>
        <w:rPr>
          <w:b/>
          <w:i/>
          <w:sz w:val="28"/>
        </w:rPr>
      </w:pPr>
      <w:bookmarkStart w:id="9" w:name="_Toc524516451"/>
    </w:p>
    <w:p w:rsidR="00B60939" w:rsidRPr="006D2224" w:rsidRDefault="00B60939" w:rsidP="00C9624D">
      <w:pPr>
        <w:pStyle w:val="Heading2"/>
      </w:pPr>
      <w:r w:rsidRPr="006D2224">
        <w:t>Comparative harms</w:t>
      </w:r>
      <w:bookmarkEnd w:id="9"/>
    </w:p>
    <w:p w:rsidR="00B60939" w:rsidRPr="006D2224" w:rsidRDefault="00B60939" w:rsidP="00B60939">
      <w:pPr>
        <w:ind w:left="720" w:hanging="720"/>
      </w:pPr>
    </w:p>
    <w:p w:rsidR="00B60939" w:rsidRPr="006D2224" w:rsidRDefault="00791FD6" w:rsidP="00173629">
      <w:pPr>
        <w:pStyle w:val="ListParagraph"/>
        <w:widowControl/>
        <w:numPr>
          <w:ilvl w:val="1"/>
          <w:numId w:val="2"/>
        </w:numPr>
      </w:pPr>
      <w:r w:rsidRPr="006D2224">
        <w:t>No safety data were</w:t>
      </w:r>
      <w:r w:rsidR="00D32148" w:rsidRPr="006D2224">
        <w:t xml:space="preserve"> provided comparing </w:t>
      </w:r>
      <w:proofErr w:type="spellStart"/>
      <w:r w:rsidR="00D32148" w:rsidRPr="006D2224">
        <w:t>crisaborole</w:t>
      </w:r>
      <w:proofErr w:type="spellEnd"/>
      <w:r w:rsidR="00D32148" w:rsidRPr="006D2224">
        <w:t xml:space="preserve"> with standard management. However, the vehicle ointment for </w:t>
      </w:r>
      <w:proofErr w:type="spellStart"/>
      <w:r w:rsidR="00D32148" w:rsidRPr="006D2224">
        <w:t>crisaborole</w:t>
      </w:r>
      <w:proofErr w:type="spellEnd"/>
      <w:r w:rsidR="00D32148" w:rsidRPr="006D2224">
        <w:t xml:space="preserve"> may be a reasonable proxy for emollients given similarities in the ingredients used in the vehicle and those typically used in ointment-based emollients.</w:t>
      </w:r>
    </w:p>
    <w:p w:rsidR="00D32148" w:rsidRPr="006D2224" w:rsidRDefault="00D32148" w:rsidP="00173629">
      <w:pPr>
        <w:pStyle w:val="ListParagraph"/>
        <w:widowControl/>
        <w:numPr>
          <w:ilvl w:val="1"/>
          <w:numId w:val="2"/>
        </w:numPr>
      </w:pPr>
      <w:r w:rsidRPr="006D2224">
        <w:t xml:space="preserve">The most frequently reported adverse events with </w:t>
      </w:r>
      <w:proofErr w:type="spellStart"/>
      <w:r w:rsidRPr="006D2224">
        <w:t>crisaborole</w:t>
      </w:r>
      <w:proofErr w:type="spellEnd"/>
      <w:r w:rsidRPr="006D2224">
        <w:t xml:space="preserve"> treatment were infections and infestations (</w:t>
      </w:r>
      <w:proofErr w:type="spellStart"/>
      <w:r w:rsidRPr="006D2224">
        <w:t>nasopharyngitis</w:t>
      </w:r>
      <w:proofErr w:type="spellEnd"/>
      <w:r w:rsidRPr="006D2224">
        <w:t xml:space="preserve">, upper respiratory tract infection), general disorder and administration site conditions (application site pain, pruritus, pyrexia), respiratory, thoracic and mediastinal disorders (nasal congestion) and gastrointestinal disorders (diarrhoea, vomiting). Gastrointestinal adverse events, which have been observed with oral PDE-4 inhibitors, were reported at relatively low frequencies and were similar to vehicle-treated patients. The majority of treatment-related adverse events reported with </w:t>
      </w:r>
      <w:proofErr w:type="spellStart"/>
      <w:r w:rsidRPr="006D2224">
        <w:t>crisaborole</w:t>
      </w:r>
      <w:proofErr w:type="spellEnd"/>
      <w:r w:rsidRPr="006D2224">
        <w:t xml:space="preserve"> were associated with application site pain (burning, stinging) compared to its vehicle.</w:t>
      </w:r>
    </w:p>
    <w:p w:rsidR="00D32148" w:rsidRPr="006D2224" w:rsidRDefault="00D32148" w:rsidP="00173629">
      <w:pPr>
        <w:pStyle w:val="ListParagraph"/>
        <w:widowControl/>
        <w:numPr>
          <w:ilvl w:val="1"/>
          <w:numId w:val="2"/>
        </w:numPr>
        <w:spacing w:after="0"/>
      </w:pPr>
      <w:r w:rsidRPr="006D2224">
        <w:t xml:space="preserve">No formal indirect comparison of safety between </w:t>
      </w:r>
      <w:proofErr w:type="spellStart"/>
      <w:r w:rsidRPr="006D2224">
        <w:t>crisaborole</w:t>
      </w:r>
      <w:proofErr w:type="spellEnd"/>
      <w:r w:rsidRPr="006D2224">
        <w:t xml:space="preserve"> and </w:t>
      </w:r>
      <w:proofErr w:type="spellStart"/>
      <w:r w:rsidRPr="006D2224">
        <w:t>pimecrolimus</w:t>
      </w:r>
      <w:proofErr w:type="spellEnd"/>
      <w:r w:rsidRPr="006D2224">
        <w:t xml:space="preserve"> was presented in the submission owing to the lack of detail in safety data reported in the </w:t>
      </w:r>
      <w:proofErr w:type="spellStart"/>
      <w:r w:rsidRPr="006D2224">
        <w:t>pimecrolimus</w:t>
      </w:r>
      <w:proofErr w:type="spellEnd"/>
      <w:r w:rsidRPr="006D2224">
        <w:t xml:space="preserve"> trials and differences in reporting with the </w:t>
      </w:r>
      <w:proofErr w:type="spellStart"/>
      <w:r w:rsidRPr="006D2224">
        <w:t>crisaborole</w:t>
      </w:r>
      <w:proofErr w:type="spellEnd"/>
      <w:r w:rsidRPr="006D2224">
        <w:t xml:space="preserve"> trials.  Instead, the submission presented a brief description of safety profiles for each treatment based on a selection of studies from the included trials. Both treatments were more frequently associated with application-site disorders (e.g. burning, stinging, redness) compared with their respective vehicles.</w:t>
      </w:r>
      <w:r w:rsidR="00947D17" w:rsidRPr="006D2224">
        <w:t xml:space="preserve"> </w:t>
      </w:r>
    </w:p>
    <w:p w:rsidR="003031FC" w:rsidRPr="006D2224" w:rsidRDefault="003031FC" w:rsidP="003031FC">
      <w:pPr>
        <w:pStyle w:val="ListParagraph"/>
        <w:widowControl/>
        <w:spacing w:after="0"/>
      </w:pPr>
    </w:p>
    <w:p w:rsidR="007F1017" w:rsidRPr="006D2224" w:rsidRDefault="007F1017" w:rsidP="00C9624D">
      <w:pPr>
        <w:pStyle w:val="Heading2"/>
      </w:pPr>
      <w:bookmarkStart w:id="10" w:name="_Toc524516452"/>
      <w:r w:rsidRPr="006D2224">
        <w:t>Benefits/harms</w:t>
      </w:r>
      <w:bookmarkEnd w:id="10"/>
    </w:p>
    <w:p w:rsidR="004151CF" w:rsidRPr="006D2224" w:rsidRDefault="004151CF" w:rsidP="004151CF"/>
    <w:p w:rsidR="00B60939" w:rsidRPr="006D2224" w:rsidRDefault="00B32BCF" w:rsidP="00173629">
      <w:pPr>
        <w:pStyle w:val="ListParagraph"/>
        <w:widowControl/>
        <w:numPr>
          <w:ilvl w:val="1"/>
          <w:numId w:val="2"/>
        </w:numPr>
      </w:pPr>
      <w:r w:rsidRPr="006D2224">
        <w:t>On the basis of direct evidence from Trial AD-301</w:t>
      </w:r>
      <w:r w:rsidR="00E5618D" w:rsidRPr="006D2224">
        <w:t xml:space="preserve"> and AD-302</w:t>
      </w:r>
      <w:r w:rsidRPr="006D2224">
        <w:t xml:space="preserve">, for every 100 patients treated with </w:t>
      </w:r>
      <w:proofErr w:type="spellStart"/>
      <w:r w:rsidRPr="006D2224">
        <w:t>crisaborole</w:t>
      </w:r>
      <w:proofErr w:type="spellEnd"/>
      <w:r w:rsidRPr="006D2224">
        <w:t xml:space="preserve"> in comparison to its ointment vehicle over 4 weeks:</w:t>
      </w:r>
    </w:p>
    <w:p w:rsidR="00B32BCF" w:rsidRPr="006D2224" w:rsidRDefault="00B32BCF" w:rsidP="00173629">
      <w:pPr>
        <w:pStyle w:val="ListParagraph"/>
        <w:widowControl/>
        <w:numPr>
          <w:ilvl w:val="0"/>
          <w:numId w:val="12"/>
        </w:numPr>
        <w:spacing w:after="0"/>
        <w:ind w:left="1434" w:hanging="357"/>
      </w:pPr>
      <w:r w:rsidRPr="006D2224">
        <w:t>Approximately 1</w:t>
      </w:r>
      <w:r w:rsidR="00157C21" w:rsidRPr="006D2224">
        <w:t>1 to 19</w:t>
      </w:r>
      <w:r w:rsidRPr="006D2224">
        <w:t xml:space="preserve"> </w:t>
      </w:r>
      <w:r w:rsidR="000C2F04" w:rsidRPr="006D2224">
        <w:t>additional</w:t>
      </w:r>
      <w:r w:rsidRPr="006D2224">
        <w:t xml:space="preserve"> patients with mild to moderate atopic dermatitis will achieve clear or almost clear disease</w:t>
      </w:r>
      <w:r w:rsidR="005E6BAA" w:rsidRPr="006D2224">
        <w:t>.</w:t>
      </w:r>
    </w:p>
    <w:p w:rsidR="000C2F04" w:rsidRPr="006D2224" w:rsidRDefault="000C2F04" w:rsidP="00173629">
      <w:pPr>
        <w:pStyle w:val="ListParagraph"/>
        <w:widowControl/>
        <w:numPr>
          <w:ilvl w:val="0"/>
          <w:numId w:val="12"/>
        </w:numPr>
        <w:spacing w:after="0"/>
        <w:ind w:left="1434" w:hanging="357"/>
      </w:pPr>
      <w:r w:rsidRPr="006D2224">
        <w:t xml:space="preserve">Approximately </w:t>
      </w:r>
      <w:r w:rsidR="00E500FF" w:rsidRPr="006D2224">
        <w:t xml:space="preserve">2 to </w:t>
      </w:r>
      <w:r w:rsidRPr="006D2224">
        <w:t xml:space="preserve">5 additional patients </w:t>
      </w:r>
      <w:r w:rsidR="007B5E0E" w:rsidRPr="006D2224">
        <w:t xml:space="preserve">will </w:t>
      </w:r>
      <w:r w:rsidRPr="006D2224">
        <w:t>experience application site burning or stinging</w:t>
      </w:r>
      <w:r w:rsidR="005E6BAA" w:rsidRPr="006D2224">
        <w:t>.</w:t>
      </w:r>
    </w:p>
    <w:p w:rsidR="000C2F04" w:rsidRPr="006D2224" w:rsidRDefault="000C2F04" w:rsidP="002166D2">
      <w:pPr>
        <w:widowControl/>
      </w:pPr>
    </w:p>
    <w:p w:rsidR="00B60939" w:rsidRPr="006D2224" w:rsidRDefault="00B60939" w:rsidP="00C9624D">
      <w:pPr>
        <w:pStyle w:val="Heading2"/>
      </w:pPr>
      <w:bookmarkStart w:id="11" w:name="_Toc524516453"/>
      <w:r w:rsidRPr="006D2224">
        <w:t>Clinical claim</w:t>
      </w:r>
      <w:bookmarkEnd w:id="11"/>
    </w:p>
    <w:p w:rsidR="00B60939" w:rsidRPr="006D2224" w:rsidRDefault="00B60939" w:rsidP="00B60939">
      <w:pPr>
        <w:ind w:left="720" w:hanging="720"/>
      </w:pPr>
    </w:p>
    <w:p w:rsidR="00B60939" w:rsidRPr="006D2224" w:rsidRDefault="00D81CE4" w:rsidP="00173629">
      <w:pPr>
        <w:pStyle w:val="ListParagraph"/>
        <w:widowControl/>
        <w:numPr>
          <w:ilvl w:val="1"/>
          <w:numId w:val="2"/>
        </w:numPr>
      </w:pPr>
      <w:r w:rsidRPr="006D2224">
        <w:t xml:space="preserve">The submission described </w:t>
      </w:r>
      <w:proofErr w:type="spellStart"/>
      <w:r w:rsidRPr="006D2224">
        <w:t>crisaborole</w:t>
      </w:r>
      <w:proofErr w:type="spellEnd"/>
      <w:r w:rsidRPr="006D2224">
        <w:t xml:space="preserve"> as superior in terms of efficacy and non-inferior in terms of safety compared with standard management.</w:t>
      </w:r>
      <w:r w:rsidR="00FF61FE" w:rsidRPr="006D2224">
        <w:t xml:space="preserve"> This claim was inadequately supported given the uncertain clinical importance of investigator-assessed global outcomes, lack of data for chronic disease management</w:t>
      </w:r>
      <w:r w:rsidR="00D51DB3" w:rsidRPr="006D2224">
        <w:t>,</w:t>
      </w:r>
      <w:r w:rsidR="00FF61FE" w:rsidRPr="006D2224">
        <w:t xml:space="preserve"> lack of comparative data with well-established treatments used in standard management</w:t>
      </w:r>
      <w:r w:rsidR="00D51DB3" w:rsidRPr="006D2224">
        <w:t xml:space="preserve"> and concerns with the applicability of the broader trial population to the PBS population</w:t>
      </w:r>
      <w:r w:rsidR="00FF61FE" w:rsidRPr="006D2224">
        <w:t xml:space="preserve">. The magnitude of benefit associated with </w:t>
      </w:r>
      <w:proofErr w:type="spellStart"/>
      <w:r w:rsidR="00FF61FE" w:rsidRPr="006D2224">
        <w:t>crisaborole</w:t>
      </w:r>
      <w:proofErr w:type="spellEnd"/>
      <w:r w:rsidR="00FF61FE" w:rsidRPr="006D2224">
        <w:t xml:space="preserve"> compared with its vehicle appeared </w:t>
      </w:r>
      <w:r w:rsidR="007E2EDC" w:rsidRPr="006D2224">
        <w:t>small and only just exceeded the MCID proposed</w:t>
      </w:r>
      <w:r w:rsidR="00FF61FE" w:rsidRPr="006D2224">
        <w:t xml:space="preserve">. </w:t>
      </w:r>
      <w:r w:rsidR="00723F1C" w:rsidRPr="006D2224">
        <w:t xml:space="preserve">The safety data </w:t>
      </w:r>
      <w:r w:rsidR="00723F1C" w:rsidRPr="006D2224">
        <w:lastRenderedPageBreak/>
        <w:t xml:space="preserve">suggest that </w:t>
      </w:r>
      <w:proofErr w:type="spellStart"/>
      <w:r w:rsidR="00723F1C" w:rsidRPr="006D2224">
        <w:t>crisaborole</w:t>
      </w:r>
      <w:proofErr w:type="spellEnd"/>
      <w:r w:rsidR="00723F1C" w:rsidRPr="006D2224">
        <w:t xml:space="preserve"> was associated with more application site </w:t>
      </w:r>
      <w:r w:rsidR="00C91E6A" w:rsidRPr="006D2224">
        <w:t>burning or stinging</w:t>
      </w:r>
      <w:r w:rsidR="00723F1C" w:rsidRPr="006D2224">
        <w:t xml:space="preserve"> compared with its vehicle. </w:t>
      </w:r>
      <w:r w:rsidR="00AE1CEB" w:rsidRPr="006D2224">
        <w:t xml:space="preserve">The ESC considered that the clinical claim of superior efficacy and non-inferior safety versus standard management was not reasonable based on 4-week data of </w:t>
      </w:r>
      <w:proofErr w:type="spellStart"/>
      <w:r w:rsidR="00AE1CEB" w:rsidRPr="006D2224">
        <w:t>crisaborole</w:t>
      </w:r>
      <w:proofErr w:type="spellEnd"/>
      <w:r w:rsidR="00AE1CEB" w:rsidRPr="006D2224">
        <w:t xml:space="preserve"> versus its ointment vehicle, which showed only a small benefit over the vehicle. The ESC noted that the benefit for </w:t>
      </w:r>
      <w:proofErr w:type="spellStart"/>
      <w:r w:rsidR="00AE1CEB" w:rsidRPr="006D2224">
        <w:t>crisaborole</w:t>
      </w:r>
      <w:proofErr w:type="spellEnd"/>
      <w:r w:rsidR="00AE1CEB" w:rsidRPr="006D2224">
        <w:t xml:space="preserve"> over vehicle alone may not be clinically significant and the patient population in the trial was not representative of the population in the requested listing.</w:t>
      </w:r>
      <w:r w:rsidR="00181387" w:rsidRPr="006D2224">
        <w:t xml:space="preserve"> There were no available long-term efficacy data, comparative data versus well-established treatments, or data on use in combination therapy for </w:t>
      </w:r>
      <w:proofErr w:type="spellStart"/>
      <w:r w:rsidR="00181387" w:rsidRPr="006D2224">
        <w:t>crisaborole</w:t>
      </w:r>
      <w:proofErr w:type="spellEnd"/>
      <w:r w:rsidR="00181387" w:rsidRPr="006D2224">
        <w:t>.</w:t>
      </w:r>
      <w:r w:rsidR="00912B18" w:rsidRPr="006D2224">
        <w:t xml:space="preserve"> The pre</w:t>
      </w:r>
      <w:r w:rsidR="008F65C2" w:rsidRPr="006D2224">
        <w:t>-</w:t>
      </w:r>
      <w:r w:rsidR="00912B18" w:rsidRPr="006D2224">
        <w:t>PBAC response</w:t>
      </w:r>
      <w:r w:rsidR="008F65C2" w:rsidRPr="006D2224">
        <w:t xml:space="preserve"> stated that there are data to support sustained efficacy of </w:t>
      </w:r>
      <w:proofErr w:type="spellStart"/>
      <w:r w:rsidR="008F65C2" w:rsidRPr="006D2224">
        <w:t>crisaborole</w:t>
      </w:r>
      <w:proofErr w:type="spellEnd"/>
      <w:r w:rsidR="008F65C2" w:rsidRPr="006D2224">
        <w:t xml:space="preserve"> when used intermittently over 48 weeks from study AD-303. Only safety outcomes from this study were provided in the submission.</w:t>
      </w:r>
      <w:r w:rsidR="00912B18" w:rsidRPr="006D2224">
        <w:t xml:space="preserve"> </w:t>
      </w:r>
    </w:p>
    <w:p w:rsidR="00733E9E" w:rsidRPr="006D2224" w:rsidRDefault="00D81CE4" w:rsidP="008F65C2">
      <w:pPr>
        <w:pStyle w:val="ListParagraph"/>
        <w:widowControl/>
        <w:numPr>
          <w:ilvl w:val="1"/>
          <w:numId w:val="2"/>
        </w:numPr>
      </w:pPr>
      <w:r w:rsidRPr="006D2224">
        <w:t xml:space="preserve">The submission described </w:t>
      </w:r>
      <w:proofErr w:type="spellStart"/>
      <w:r w:rsidRPr="006D2224">
        <w:t>crisaborole</w:t>
      </w:r>
      <w:proofErr w:type="spellEnd"/>
      <w:r w:rsidRPr="006D2224">
        <w:t xml:space="preserve"> as non-inferior in terms of efficacy and safety compared with </w:t>
      </w:r>
      <w:proofErr w:type="spellStart"/>
      <w:r w:rsidRPr="006D2224">
        <w:t>pimecrolimus</w:t>
      </w:r>
      <w:proofErr w:type="spellEnd"/>
      <w:r w:rsidRPr="006D2224">
        <w:t>.</w:t>
      </w:r>
      <w:r w:rsidR="00FF61FE" w:rsidRPr="006D2224">
        <w:t xml:space="preserve"> This claim may not be reasonable </w:t>
      </w:r>
      <w:r w:rsidR="00D51DB3" w:rsidRPr="006D2224">
        <w:t xml:space="preserve">given </w:t>
      </w:r>
      <w:r w:rsidR="00360442" w:rsidRPr="006D2224">
        <w:t xml:space="preserve">the </w:t>
      </w:r>
      <w:r w:rsidR="00D51DB3" w:rsidRPr="006D2224">
        <w:t xml:space="preserve">concerns with the robustness of the indirect comparison due to issues with heterogeneity and exchangeability </w:t>
      </w:r>
      <w:r w:rsidR="00791FD6" w:rsidRPr="006D2224">
        <w:t xml:space="preserve">of </w:t>
      </w:r>
      <w:r w:rsidR="00D51DB3" w:rsidRPr="006D2224">
        <w:t xml:space="preserve">the trials, the unknown clinical importance and exchangeability of investigator-assessed global outcomes based on different severity scales and a nominated non-inferiority margin that may not be reasonable (margin exceeds treatment benefits compared to vehicle). </w:t>
      </w:r>
      <w:r w:rsidR="00AE1CEB" w:rsidRPr="006D2224">
        <w:t xml:space="preserve">The ESC considered that the clinical claim of non-inferior efficacy versus </w:t>
      </w:r>
      <w:proofErr w:type="spellStart"/>
      <w:r w:rsidR="00AE1CEB" w:rsidRPr="006D2224">
        <w:t>pimecrolimus</w:t>
      </w:r>
      <w:proofErr w:type="spellEnd"/>
      <w:r w:rsidR="00AE1CEB" w:rsidRPr="006D2224">
        <w:t xml:space="preserve"> based on the indirect comparison was not reasonable given major concerns with heterogeneity and exchangeability of the trials</w:t>
      </w:r>
      <w:r w:rsidR="00181387" w:rsidRPr="006D2224">
        <w:t xml:space="preserve"> and assumed interchangeability of IGA/ISGA outcomes using different scales</w:t>
      </w:r>
      <w:r w:rsidR="00AE1CEB" w:rsidRPr="006D2224">
        <w:t xml:space="preserve">. </w:t>
      </w:r>
      <w:r w:rsidR="00181387" w:rsidRPr="006D2224">
        <w:t xml:space="preserve">The nominated non-inferiority margin did not appear reasonable given the margin exceeds the benefits associated with each treatment compared to their vehicles. The ESC considered that the results of the indirect comparison did not exclude the possibility that </w:t>
      </w:r>
      <w:proofErr w:type="spellStart"/>
      <w:r w:rsidR="00181387" w:rsidRPr="006D2224">
        <w:t>pimecrolimus</w:t>
      </w:r>
      <w:proofErr w:type="spellEnd"/>
      <w:r w:rsidR="00181387" w:rsidRPr="006D2224">
        <w:t xml:space="preserve"> was superior to </w:t>
      </w:r>
      <w:proofErr w:type="spellStart"/>
      <w:r w:rsidR="00181387" w:rsidRPr="006D2224">
        <w:t>crisaborole</w:t>
      </w:r>
      <w:proofErr w:type="spellEnd"/>
      <w:r w:rsidR="00181387" w:rsidRPr="006D2224">
        <w:t xml:space="preserve">. </w:t>
      </w:r>
      <w:r w:rsidR="00471F34" w:rsidRPr="006D2224">
        <w:t xml:space="preserve">The ESC considered that </w:t>
      </w:r>
      <w:proofErr w:type="spellStart"/>
      <w:r w:rsidR="00471F34" w:rsidRPr="006D2224">
        <w:t>pimecrolimus</w:t>
      </w:r>
      <w:proofErr w:type="spellEnd"/>
      <w:r w:rsidR="00471F34" w:rsidRPr="006D2224">
        <w:t xml:space="preserve"> and </w:t>
      </w:r>
      <w:proofErr w:type="spellStart"/>
      <w:r w:rsidR="00471F34" w:rsidRPr="006D2224">
        <w:t>crisaborole</w:t>
      </w:r>
      <w:proofErr w:type="spellEnd"/>
      <w:r w:rsidR="00471F34" w:rsidRPr="006D2224">
        <w:t xml:space="preserve"> are likely to have similar adverse event profiles.</w:t>
      </w:r>
      <w:r w:rsidR="00733E9E" w:rsidRPr="006D2224">
        <w:rPr>
          <w:rFonts w:asciiTheme="minorHAnsi" w:hAnsiTheme="minorHAnsi"/>
          <w:szCs w:val="20"/>
        </w:rPr>
        <w:t xml:space="preserve"> </w:t>
      </w:r>
    </w:p>
    <w:p w:rsidR="00733E9E" w:rsidRPr="006D2224" w:rsidRDefault="00733E9E" w:rsidP="007D47DB">
      <w:pPr>
        <w:pStyle w:val="ListParagraph"/>
        <w:widowControl/>
        <w:numPr>
          <w:ilvl w:val="1"/>
          <w:numId w:val="2"/>
        </w:numPr>
        <w:spacing w:after="120"/>
        <w:ind w:left="709" w:hanging="709"/>
        <w:rPr>
          <w:rFonts w:asciiTheme="minorHAnsi" w:hAnsiTheme="minorHAnsi"/>
          <w:szCs w:val="20"/>
        </w:rPr>
      </w:pPr>
      <w:r w:rsidRPr="006D2224">
        <w:rPr>
          <w:rFonts w:asciiTheme="minorHAnsi" w:hAnsiTheme="minorHAnsi"/>
          <w:szCs w:val="20"/>
        </w:rPr>
        <w:t xml:space="preserve">The PBAC considered that the claim of superior comparative effectiveness </w:t>
      </w:r>
      <w:r w:rsidR="00E500FF" w:rsidRPr="006D2224">
        <w:rPr>
          <w:rFonts w:asciiTheme="minorHAnsi" w:hAnsiTheme="minorHAnsi"/>
          <w:szCs w:val="20"/>
        </w:rPr>
        <w:t xml:space="preserve">compared with standard management </w:t>
      </w:r>
      <w:r w:rsidRPr="006D2224">
        <w:rPr>
          <w:rFonts w:asciiTheme="minorHAnsi" w:hAnsiTheme="minorHAnsi"/>
          <w:szCs w:val="20"/>
        </w:rPr>
        <w:t>was not adequately supported by the data.</w:t>
      </w:r>
      <w:r w:rsidR="00E500FF" w:rsidRPr="006D2224">
        <w:rPr>
          <w:rFonts w:asciiTheme="minorHAnsi" w:hAnsiTheme="minorHAnsi"/>
          <w:szCs w:val="20"/>
        </w:rPr>
        <w:t xml:space="preserve"> The PBAC considered that the claim of non-inferior comparative effectiveness compared with </w:t>
      </w:r>
      <w:proofErr w:type="spellStart"/>
      <w:r w:rsidR="00E500FF" w:rsidRPr="006D2224">
        <w:rPr>
          <w:rFonts w:asciiTheme="minorHAnsi" w:hAnsiTheme="minorHAnsi"/>
          <w:szCs w:val="20"/>
        </w:rPr>
        <w:t>pimecrolimus</w:t>
      </w:r>
      <w:proofErr w:type="spellEnd"/>
      <w:r w:rsidR="00E500FF" w:rsidRPr="006D2224">
        <w:rPr>
          <w:rFonts w:asciiTheme="minorHAnsi" w:hAnsiTheme="minorHAnsi"/>
          <w:szCs w:val="20"/>
        </w:rPr>
        <w:t xml:space="preserve"> was not adequately supported by the data. </w:t>
      </w:r>
    </w:p>
    <w:p w:rsidR="004265BF" w:rsidRPr="00853208" w:rsidRDefault="00733E9E" w:rsidP="00853208">
      <w:pPr>
        <w:pStyle w:val="ListParagraph"/>
        <w:widowControl/>
        <w:numPr>
          <w:ilvl w:val="1"/>
          <w:numId w:val="2"/>
        </w:numPr>
        <w:spacing w:after="120"/>
        <w:ind w:left="709" w:hanging="709"/>
        <w:jc w:val="left"/>
        <w:rPr>
          <w:b/>
          <w:i/>
          <w:sz w:val="28"/>
        </w:rPr>
      </w:pPr>
      <w:r w:rsidRPr="00853208">
        <w:rPr>
          <w:rFonts w:asciiTheme="minorHAnsi" w:hAnsiTheme="minorHAnsi"/>
          <w:szCs w:val="20"/>
        </w:rPr>
        <w:t xml:space="preserve">The PBAC considered that the claim of non-inferior comparative safety </w:t>
      </w:r>
      <w:r w:rsidR="00E500FF" w:rsidRPr="00853208">
        <w:rPr>
          <w:rFonts w:asciiTheme="minorHAnsi" w:hAnsiTheme="minorHAnsi"/>
          <w:szCs w:val="20"/>
        </w:rPr>
        <w:t xml:space="preserve">compared with standard management </w:t>
      </w:r>
      <w:r w:rsidRPr="00853208">
        <w:rPr>
          <w:rFonts w:asciiTheme="minorHAnsi" w:hAnsiTheme="minorHAnsi"/>
          <w:szCs w:val="20"/>
        </w:rPr>
        <w:t>was not adequately supported by the data</w:t>
      </w:r>
      <w:r w:rsidR="001B357B" w:rsidRPr="00853208">
        <w:rPr>
          <w:rFonts w:asciiTheme="minorHAnsi" w:hAnsiTheme="minorHAnsi"/>
          <w:bCs/>
        </w:rPr>
        <w:t xml:space="preserve"> </w:t>
      </w:r>
      <w:r w:rsidR="00E949BB" w:rsidRPr="00853208">
        <w:rPr>
          <w:rFonts w:asciiTheme="minorHAnsi" w:hAnsiTheme="minorHAnsi"/>
          <w:bCs/>
        </w:rPr>
        <w:t>as</w:t>
      </w:r>
      <w:r w:rsidR="001B357B" w:rsidRPr="00853208">
        <w:rPr>
          <w:rFonts w:asciiTheme="minorHAnsi" w:hAnsiTheme="minorHAnsi"/>
          <w:bCs/>
        </w:rPr>
        <w:t xml:space="preserve"> the results of the indirect comparison did not exclude the possibility that </w:t>
      </w:r>
      <w:proofErr w:type="spellStart"/>
      <w:r w:rsidR="001B357B" w:rsidRPr="00853208">
        <w:rPr>
          <w:rFonts w:asciiTheme="minorHAnsi" w:hAnsiTheme="minorHAnsi"/>
          <w:bCs/>
        </w:rPr>
        <w:t>pimecrolimus</w:t>
      </w:r>
      <w:proofErr w:type="spellEnd"/>
      <w:r w:rsidR="001B357B" w:rsidRPr="00853208">
        <w:rPr>
          <w:rFonts w:asciiTheme="minorHAnsi" w:hAnsiTheme="minorHAnsi"/>
          <w:bCs/>
        </w:rPr>
        <w:t xml:space="preserve"> was superior to </w:t>
      </w:r>
      <w:proofErr w:type="spellStart"/>
      <w:r w:rsidR="001B357B" w:rsidRPr="00853208">
        <w:rPr>
          <w:rFonts w:asciiTheme="minorHAnsi" w:hAnsiTheme="minorHAnsi"/>
          <w:bCs/>
        </w:rPr>
        <w:t>crisaborole</w:t>
      </w:r>
      <w:proofErr w:type="spellEnd"/>
      <w:r w:rsidR="001B357B" w:rsidRPr="00853208">
        <w:rPr>
          <w:rFonts w:asciiTheme="minorHAnsi" w:hAnsiTheme="minorHAnsi"/>
          <w:bCs/>
        </w:rPr>
        <w:t xml:space="preserve"> in terms of efficacy.</w:t>
      </w:r>
      <w:r w:rsidR="00024693" w:rsidRPr="00853208">
        <w:rPr>
          <w:rFonts w:asciiTheme="minorHAnsi" w:hAnsiTheme="minorHAnsi"/>
          <w:szCs w:val="20"/>
        </w:rPr>
        <w:t xml:space="preserve"> The PBAC considered that the claim of non-inferior comparative safety compared with </w:t>
      </w:r>
      <w:proofErr w:type="spellStart"/>
      <w:r w:rsidR="00024693" w:rsidRPr="00853208">
        <w:rPr>
          <w:rFonts w:asciiTheme="minorHAnsi" w:hAnsiTheme="minorHAnsi"/>
          <w:szCs w:val="20"/>
        </w:rPr>
        <w:t>pimecrolimus</w:t>
      </w:r>
      <w:proofErr w:type="spellEnd"/>
      <w:r w:rsidR="00024693" w:rsidRPr="00853208">
        <w:rPr>
          <w:rFonts w:asciiTheme="minorHAnsi" w:hAnsiTheme="minorHAnsi"/>
          <w:szCs w:val="20"/>
        </w:rPr>
        <w:t xml:space="preserve"> was likely to be reasonable but was supported by limited data. </w:t>
      </w:r>
      <w:bookmarkStart w:id="12" w:name="_Toc524516454"/>
    </w:p>
    <w:p w:rsidR="00B60939" w:rsidRPr="006D2224" w:rsidRDefault="00B60939" w:rsidP="00C9624D">
      <w:pPr>
        <w:pStyle w:val="Heading2"/>
      </w:pPr>
      <w:r w:rsidRPr="006D2224">
        <w:t>Economic analysis</w:t>
      </w:r>
      <w:bookmarkEnd w:id="12"/>
      <w:r w:rsidR="00491B3A" w:rsidRPr="006D2224">
        <w:t xml:space="preserve"> </w:t>
      </w:r>
    </w:p>
    <w:p w:rsidR="00B60939" w:rsidRPr="006D2224" w:rsidRDefault="00B60939" w:rsidP="00B60939">
      <w:pPr>
        <w:ind w:left="720" w:hanging="720"/>
      </w:pPr>
    </w:p>
    <w:p w:rsidR="00275C5A" w:rsidRPr="006D2224" w:rsidRDefault="00D51DB3" w:rsidP="00173629">
      <w:pPr>
        <w:pStyle w:val="ListParagraph"/>
        <w:widowControl/>
        <w:numPr>
          <w:ilvl w:val="1"/>
          <w:numId w:val="2"/>
        </w:numPr>
      </w:pPr>
      <w:r w:rsidRPr="006D2224">
        <w:t xml:space="preserve">The submission presented a cost-minimisation analysis for the comparison of </w:t>
      </w:r>
      <w:proofErr w:type="spellStart"/>
      <w:r w:rsidRPr="006D2224">
        <w:t>crisaborole</w:t>
      </w:r>
      <w:proofErr w:type="spellEnd"/>
      <w:r w:rsidRPr="006D2224">
        <w:t xml:space="preserve"> versus </w:t>
      </w:r>
      <w:proofErr w:type="spellStart"/>
      <w:r w:rsidRPr="006D2224">
        <w:t>pimecrolimus</w:t>
      </w:r>
      <w:proofErr w:type="spellEnd"/>
      <w:r w:rsidRPr="006D2224">
        <w:t xml:space="preserve"> </w:t>
      </w:r>
      <w:r w:rsidR="003132A2" w:rsidRPr="006D2224">
        <w:t>for use on the face and eyelids</w:t>
      </w:r>
      <w:r w:rsidRPr="006D2224">
        <w:t xml:space="preserve"> and a cost-effectiveness analysis versus standard management </w:t>
      </w:r>
      <w:r w:rsidR="003132A2" w:rsidRPr="006D2224">
        <w:t>for use on the rest of the body</w:t>
      </w:r>
      <w:r w:rsidR="00AC2450" w:rsidRPr="006D2224">
        <w:t xml:space="preserve">. The ESC considered that the cost-minimisation analysis </w:t>
      </w:r>
      <w:r w:rsidR="00CA2BC2" w:rsidRPr="006D2224">
        <w:t>was not reasonable</w:t>
      </w:r>
      <w:r w:rsidR="00AC2450" w:rsidRPr="006D2224">
        <w:t xml:space="preserve"> given that the clinical claim of non-inferiority to </w:t>
      </w:r>
      <w:proofErr w:type="spellStart"/>
      <w:r w:rsidR="00AC2450" w:rsidRPr="006D2224">
        <w:t>pimecrolimus</w:t>
      </w:r>
      <w:proofErr w:type="spellEnd"/>
      <w:r w:rsidR="00AC2450" w:rsidRPr="006D2224">
        <w:t xml:space="preserve"> was inadequately supported. </w:t>
      </w:r>
      <w:r w:rsidR="00E623E4" w:rsidRPr="006D2224">
        <w:t xml:space="preserve">The ESC considered that the cost-utility analysis </w:t>
      </w:r>
      <w:r w:rsidR="00CA2BC2" w:rsidRPr="006D2224">
        <w:t>was not reasonable</w:t>
      </w:r>
      <w:r w:rsidR="00E623E4" w:rsidRPr="006D2224">
        <w:t xml:space="preserve"> due to the inappropriate comparator and the inadequate support for the clinical claim of superiority. </w:t>
      </w:r>
      <w:r w:rsidRPr="006D2224">
        <w:t xml:space="preserve">A weighted dispensed price for </w:t>
      </w:r>
      <w:proofErr w:type="spellStart"/>
      <w:r w:rsidRPr="006D2224">
        <w:t>crisaborole</w:t>
      </w:r>
      <w:proofErr w:type="spellEnd"/>
      <w:r w:rsidRPr="006D2224">
        <w:t xml:space="preserve"> based on usage in separate areas of the </w:t>
      </w:r>
      <w:r w:rsidR="003132A2" w:rsidRPr="006D2224">
        <w:t>body is summarised in the table below.</w:t>
      </w:r>
    </w:p>
    <w:p w:rsidR="003132A2" w:rsidRPr="006D2224" w:rsidRDefault="003132A2" w:rsidP="003132A2">
      <w:pPr>
        <w:pStyle w:val="TableHeading0"/>
        <w:spacing w:after="0"/>
      </w:pPr>
      <w:r w:rsidRPr="006D2224">
        <w:t xml:space="preserve">Table 9: Calculation of weighted DPMQ for </w:t>
      </w:r>
      <w:proofErr w:type="spellStart"/>
      <w:r w:rsidRPr="006D2224">
        <w:t>crisaborole</w:t>
      </w:r>
      <w:proofErr w:type="spellEnd"/>
    </w:p>
    <w:tbl>
      <w:tblPr>
        <w:tblStyle w:val="TableGrid"/>
        <w:tblW w:w="0" w:type="auto"/>
        <w:tblInd w:w="108" w:type="dxa"/>
        <w:tblLook w:val="04A0" w:firstRow="1" w:lastRow="0" w:firstColumn="1" w:lastColumn="0" w:noHBand="0" w:noVBand="1"/>
        <w:tblCaption w:val="Calculation of weighted DPMQ for crisaborole"/>
      </w:tblPr>
      <w:tblGrid>
        <w:gridCol w:w="2905"/>
        <w:gridCol w:w="3003"/>
        <w:gridCol w:w="3001"/>
      </w:tblGrid>
      <w:tr w:rsidR="003132A2" w:rsidRPr="006D2224" w:rsidTr="002B5257">
        <w:trPr>
          <w:cantSplit/>
          <w:tblHeader/>
        </w:trPr>
        <w:tc>
          <w:tcPr>
            <w:tcW w:w="2973" w:type="dxa"/>
          </w:tcPr>
          <w:p w:rsidR="003132A2" w:rsidRPr="006D2224" w:rsidRDefault="003132A2" w:rsidP="00610075">
            <w:pPr>
              <w:rPr>
                <w:rFonts w:ascii="Arial Narrow" w:hAnsi="Arial Narrow"/>
                <w:b/>
                <w:sz w:val="20"/>
              </w:rPr>
            </w:pPr>
          </w:p>
        </w:tc>
        <w:tc>
          <w:tcPr>
            <w:tcW w:w="3081" w:type="dxa"/>
          </w:tcPr>
          <w:p w:rsidR="003132A2" w:rsidRPr="006D2224" w:rsidRDefault="003132A2" w:rsidP="00610075">
            <w:pPr>
              <w:jc w:val="center"/>
              <w:rPr>
                <w:rFonts w:ascii="Arial Narrow" w:hAnsi="Arial Narrow"/>
                <w:b/>
                <w:sz w:val="20"/>
              </w:rPr>
            </w:pPr>
            <w:r w:rsidRPr="006D2224">
              <w:rPr>
                <w:rFonts w:ascii="Arial Narrow" w:hAnsi="Arial Narrow"/>
                <w:b/>
                <w:sz w:val="20"/>
              </w:rPr>
              <w:t>Face and eyelids</w:t>
            </w:r>
          </w:p>
        </w:tc>
        <w:tc>
          <w:tcPr>
            <w:tcW w:w="3081" w:type="dxa"/>
          </w:tcPr>
          <w:p w:rsidR="003132A2" w:rsidRPr="006D2224" w:rsidRDefault="003132A2" w:rsidP="00610075">
            <w:pPr>
              <w:jc w:val="center"/>
              <w:rPr>
                <w:rFonts w:ascii="Arial Narrow" w:hAnsi="Arial Narrow"/>
                <w:b/>
                <w:sz w:val="20"/>
              </w:rPr>
            </w:pPr>
            <w:r w:rsidRPr="006D2224">
              <w:rPr>
                <w:rFonts w:ascii="Arial Narrow" w:hAnsi="Arial Narrow"/>
                <w:b/>
                <w:sz w:val="20"/>
              </w:rPr>
              <w:t>Rest of body</w:t>
            </w:r>
          </w:p>
        </w:tc>
      </w:tr>
      <w:tr w:rsidR="003132A2" w:rsidRPr="006D2224" w:rsidTr="00386D9A">
        <w:tc>
          <w:tcPr>
            <w:tcW w:w="2973" w:type="dxa"/>
          </w:tcPr>
          <w:p w:rsidR="003132A2" w:rsidRPr="006D2224" w:rsidRDefault="003132A2" w:rsidP="00610075">
            <w:pPr>
              <w:rPr>
                <w:rFonts w:ascii="Arial Narrow" w:hAnsi="Arial Narrow"/>
                <w:sz w:val="20"/>
              </w:rPr>
            </w:pPr>
            <w:r w:rsidRPr="006D2224">
              <w:rPr>
                <w:rFonts w:ascii="Arial Narrow" w:hAnsi="Arial Narrow"/>
                <w:sz w:val="20"/>
              </w:rPr>
              <w:t>Proposed DPMQ</w:t>
            </w:r>
          </w:p>
        </w:tc>
        <w:tc>
          <w:tcPr>
            <w:tcW w:w="3081" w:type="dxa"/>
          </w:tcPr>
          <w:p w:rsidR="003132A2" w:rsidRPr="006D2224" w:rsidRDefault="003132A2" w:rsidP="00610075">
            <w:pPr>
              <w:jc w:val="center"/>
              <w:rPr>
                <w:rFonts w:ascii="Arial Narrow" w:hAnsi="Arial Narrow"/>
                <w:sz w:val="20"/>
              </w:rPr>
            </w:pPr>
            <w:r w:rsidRPr="006D2224">
              <w:rPr>
                <w:rFonts w:ascii="Arial Narrow" w:hAnsi="Arial Narrow"/>
                <w:sz w:val="20"/>
              </w:rPr>
              <w:t>$</w:t>
            </w:r>
            <w:r w:rsidR="007131B6">
              <w:rPr>
                <w:rFonts w:ascii="Arial Narrow" w:hAnsi="Arial Narrow"/>
                <w:noProof/>
                <w:color w:val="000000"/>
                <w:sz w:val="20"/>
                <w:highlight w:val="black"/>
              </w:rPr>
              <w:t>'''''''''''''''''</w:t>
            </w:r>
          </w:p>
        </w:tc>
        <w:tc>
          <w:tcPr>
            <w:tcW w:w="3081" w:type="dxa"/>
          </w:tcPr>
          <w:p w:rsidR="003132A2" w:rsidRPr="006D2224" w:rsidRDefault="003132A2" w:rsidP="00610075">
            <w:pPr>
              <w:jc w:val="center"/>
              <w:rPr>
                <w:rFonts w:ascii="Arial Narrow" w:hAnsi="Arial Narrow"/>
                <w:sz w:val="20"/>
              </w:rPr>
            </w:pPr>
            <w:r w:rsidRPr="006D2224">
              <w:rPr>
                <w:rFonts w:ascii="Arial Narrow" w:hAnsi="Arial Narrow"/>
                <w:sz w:val="20"/>
              </w:rPr>
              <w:t>$</w:t>
            </w:r>
            <w:r w:rsidR="007131B6">
              <w:rPr>
                <w:rFonts w:ascii="Arial Narrow" w:hAnsi="Arial Narrow"/>
                <w:noProof/>
                <w:color w:val="000000"/>
                <w:sz w:val="20"/>
                <w:highlight w:val="black"/>
              </w:rPr>
              <w:t>'''''''''''''''</w:t>
            </w:r>
          </w:p>
        </w:tc>
      </w:tr>
      <w:tr w:rsidR="003132A2" w:rsidRPr="006D2224" w:rsidTr="00386D9A">
        <w:tc>
          <w:tcPr>
            <w:tcW w:w="2973" w:type="dxa"/>
          </w:tcPr>
          <w:p w:rsidR="003132A2" w:rsidRPr="006D2224" w:rsidRDefault="003132A2" w:rsidP="00610075">
            <w:pPr>
              <w:rPr>
                <w:rFonts w:ascii="Arial Narrow" w:hAnsi="Arial Narrow"/>
                <w:sz w:val="20"/>
              </w:rPr>
            </w:pPr>
            <w:r w:rsidRPr="006D2224">
              <w:rPr>
                <w:rFonts w:ascii="Arial Narrow" w:hAnsi="Arial Narrow"/>
                <w:sz w:val="20"/>
              </w:rPr>
              <w:t>BSA distribution</w:t>
            </w:r>
          </w:p>
        </w:tc>
        <w:tc>
          <w:tcPr>
            <w:tcW w:w="3081" w:type="dxa"/>
          </w:tcPr>
          <w:p w:rsidR="003132A2" w:rsidRPr="006D2224" w:rsidRDefault="003132A2" w:rsidP="00610075">
            <w:pPr>
              <w:jc w:val="center"/>
              <w:rPr>
                <w:rFonts w:ascii="Arial Narrow" w:hAnsi="Arial Narrow"/>
                <w:sz w:val="20"/>
              </w:rPr>
            </w:pPr>
            <w:r w:rsidRPr="006D2224">
              <w:rPr>
                <w:rFonts w:ascii="Arial Narrow" w:hAnsi="Arial Narrow"/>
                <w:sz w:val="20"/>
              </w:rPr>
              <w:t>9%</w:t>
            </w:r>
          </w:p>
        </w:tc>
        <w:tc>
          <w:tcPr>
            <w:tcW w:w="3081" w:type="dxa"/>
          </w:tcPr>
          <w:p w:rsidR="003132A2" w:rsidRPr="006D2224" w:rsidRDefault="003132A2" w:rsidP="00610075">
            <w:pPr>
              <w:jc w:val="center"/>
              <w:rPr>
                <w:rFonts w:ascii="Arial Narrow" w:hAnsi="Arial Narrow"/>
                <w:sz w:val="20"/>
              </w:rPr>
            </w:pPr>
            <w:r w:rsidRPr="006D2224">
              <w:rPr>
                <w:rFonts w:ascii="Arial Narrow" w:hAnsi="Arial Narrow"/>
                <w:sz w:val="20"/>
              </w:rPr>
              <w:t>91%</w:t>
            </w:r>
          </w:p>
        </w:tc>
      </w:tr>
      <w:tr w:rsidR="003132A2" w:rsidRPr="006D2224" w:rsidTr="00386D9A">
        <w:trPr>
          <w:trHeight w:val="58"/>
        </w:trPr>
        <w:tc>
          <w:tcPr>
            <w:tcW w:w="2973" w:type="dxa"/>
          </w:tcPr>
          <w:p w:rsidR="003132A2" w:rsidRPr="006D2224" w:rsidRDefault="003132A2" w:rsidP="00610075">
            <w:pPr>
              <w:rPr>
                <w:rFonts w:ascii="Arial Narrow" w:hAnsi="Arial Narrow"/>
                <w:b/>
                <w:sz w:val="20"/>
              </w:rPr>
            </w:pPr>
            <w:r w:rsidRPr="006D2224">
              <w:rPr>
                <w:rFonts w:ascii="Arial Narrow" w:hAnsi="Arial Narrow"/>
                <w:b/>
                <w:sz w:val="20"/>
              </w:rPr>
              <w:t>Weighted DPMQ</w:t>
            </w:r>
          </w:p>
        </w:tc>
        <w:tc>
          <w:tcPr>
            <w:tcW w:w="6162" w:type="dxa"/>
            <w:gridSpan w:val="2"/>
          </w:tcPr>
          <w:p w:rsidR="003132A2" w:rsidRPr="006D2224" w:rsidRDefault="003132A2" w:rsidP="00610075">
            <w:pPr>
              <w:jc w:val="center"/>
              <w:rPr>
                <w:rFonts w:ascii="Arial Narrow" w:hAnsi="Arial Narrow"/>
                <w:b/>
                <w:sz w:val="20"/>
              </w:rPr>
            </w:pPr>
            <w:r w:rsidRPr="006D2224">
              <w:rPr>
                <w:rFonts w:ascii="Arial Narrow" w:hAnsi="Arial Narrow"/>
                <w:b/>
                <w:sz w:val="20"/>
              </w:rPr>
              <w:t>$</w:t>
            </w:r>
            <w:r w:rsidR="007131B6">
              <w:rPr>
                <w:rFonts w:ascii="Arial Narrow" w:hAnsi="Arial Narrow"/>
                <w:b/>
                <w:noProof/>
                <w:color w:val="000000"/>
                <w:sz w:val="20"/>
                <w:highlight w:val="black"/>
              </w:rPr>
              <w:t>''''''''''''''</w:t>
            </w:r>
          </w:p>
        </w:tc>
      </w:tr>
    </w:tbl>
    <w:p w:rsidR="003132A2" w:rsidRPr="006D2224" w:rsidRDefault="003132A2" w:rsidP="003132A2">
      <w:pPr>
        <w:pStyle w:val="TableFooter"/>
      </w:pPr>
      <w:r w:rsidRPr="006D2224">
        <w:t>Source: Table 3.4-1, p162 of the submission</w:t>
      </w:r>
    </w:p>
    <w:p w:rsidR="003132A2" w:rsidRPr="006D2224" w:rsidRDefault="003132A2" w:rsidP="003132A2">
      <w:pPr>
        <w:pStyle w:val="TableFooter"/>
      </w:pPr>
      <w:r w:rsidRPr="006D2224">
        <w:t>Abbreviation: BSA, body surface area</w:t>
      </w:r>
    </w:p>
    <w:p w:rsidR="003132A2" w:rsidRPr="006D2224" w:rsidRDefault="003132A2" w:rsidP="003132A2">
      <w:pPr>
        <w:widowControl/>
      </w:pPr>
    </w:p>
    <w:p w:rsidR="004D03FA" w:rsidRPr="006D2224" w:rsidRDefault="003132A2" w:rsidP="00173629">
      <w:pPr>
        <w:pStyle w:val="ListParagraph"/>
        <w:widowControl/>
        <w:numPr>
          <w:ilvl w:val="1"/>
          <w:numId w:val="2"/>
        </w:numPr>
      </w:pPr>
      <w:r w:rsidRPr="006D2224">
        <w:t xml:space="preserve">The submission used the ‘rule of nines’ to determine the weightings of the DPMQ for the face or eyelids and the remainder of the body. The rule assumes the total body surface area comprises 9% for the head and neck, each arm, the front and back of each leg, the four trunk quadrants; and 1% for the genital area and is used in the SCORAD </w:t>
      </w:r>
      <w:proofErr w:type="gramStart"/>
      <w:r w:rsidRPr="006D2224">
        <w:t>index</w:t>
      </w:r>
      <w:proofErr w:type="gramEnd"/>
      <w:r w:rsidRPr="006D2224">
        <w:t xml:space="preserve"> to calculate extent of disease. </w:t>
      </w:r>
      <w:r w:rsidR="004D03FA" w:rsidRPr="006D2224">
        <w:t>Estimates of body surface area based on this rule may not be reliable given dermatology studies of assessment tools have noted concerns with its accuracy in practice due to wide inter-observer variations (</w:t>
      </w:r>
      <w:proofErr w:type="spellStart"/>
      <w:r w:rsidR="004D03FA" w:rsidRPr="006D2224">
        <w:t>Charman</w:t>
      </w:r>
      <w:proofErr w:type="spellEnd"/>
      <w:r w:rsidR="004D03FA" w:rsidRPr="006D2224">
        <w:t xml:space="preserve"> et al 1999, </w:t>
      </w:r>
      <w:proofErr w:type="spellStart"/>
      <w:r w:rsidR="004D03FA" w:rsidRPr="006D2224">
        <w:t>Tripodi</w:t>
      </w:r>
      <w:proofErr w:type="spellEnd"/>
      <w:r w:rsidR="004D03FA" w:rsidRPr="006D2224">
        <w:t xml:space="preserve"> 2003).</w:t>
      </w:r>
      <w:r w:rsidR="004D03FA" w:rsidRPr="006D2224">
        <w:rPr>
          <w:i/>
        </w:rPr>
        <w:t xml:space="preserve"> </w:t>
      </w:r>
    </w:p>
    <w:p w:rsidR="001B7C3B" w:rsidRPr="006D2224" w:rsidRDefault="00CA2BC2" w:rsidP="00173629">
      <w:pPr>
        <w:pStyle w:val="ListParagraph"/>
        <w:widowControl/>
        <w:numPr>
          <w:ilvl w:val="1"/>
          <w:numId w:val="2"/>
        </w:numPr>
      </w:pPr>
      <w:r w:rsidRPr="006D2224">
        <w:t xml:space="preserve">The ESC considered that the estimated price for </w:t>
      </w:r>
      <w:proofErr w:type="spellStart"/>
      <w:r w:rsidRPr="006D2224">
        <w:t>crisaborole</w:t>
      </w:r>
      <w:proofErr w:type="spellEnd"/>
      <w:r w:rsidRPr="006D2224">
        <w:t xml:space="preserve"> was not appropriately weighted using an assumed distribution of total body surface area (9% face and eyelids and 91% in the rest of the body) which may not correlate with areas affected by the disease (i.e. treatable areas). </w:t>
      </w:r>
      <w:r w:rsidR="003132A2" w:rsidRPr="006D2224">
        <w:t xml:space="preserve">The mean percent treatable body surface area </w:t>
      </w:r>
      <w:r w:rsidR="002051C8" w:rsidRPr="006D2224">
        <w:t xml:space="preserve">in patients using </w:t>
      </w:r>
      <w:proofErr w:type="spellStart"/>
      <w:r w:rsidR="002051C8" w:rsidRPr="006D2224">
        <w:t>crisaborole</w:t>
      </w:r>
      <w:proofErr w:type="spellEnd"/>
      <w:r w:rsidR="002051C8" w:rsidRPr="006D2224">
        <w:t xml:space="preserve"> in the whole of body in the</w:t>
      </w:r>
      <w:r w:rsidR="003132A2" w:rsidRPr="006D2224">
        <w:t xml:space="preserve"> trials was around 18%. </w:t>
      </w:r>
      <w:r w:rsidR="004D03FA" w:rsidRPr="006D2224">
        <w:t xml:space="preserve">The distribution of affected areas between the face and eyelids versus the rest of the body was unknown.  </w:t>
      </w:r>
    </w:p>
    <w:p w:rsidR="004265BF" w:rsidRPr="00853208" w:rsidRDefault="001B7C3B" w:rsidP="00853208">
      <w:pPr>
        <w:pStyle w:val="ListParagraph"/>
        <w:widowControl/>
        <w:numPr>
          <w:ilvl w:val="1"/>
          <w:numId w:val="2"/>
        </w:numPr>
        <w:jc w:val="left"/>
        <w:rPr>
          <w:i/>
        </w:rPr>
      </w:pPr>
      <w:r w:rsidRPr="006D2224">
        <w:t xml:space="preserve">The cost-minimisation analysis for </w:t>
      </w:r>
      <w:proofErr w:type="spellStart"/>
      <w:r w:rsidRPr="006D2224">
        <w:t>crisaborole</w:t>
      </w:r>
      <w:proofErr w:type="spellEnd"/>
      <w:r w:rsidRPr="006D2224">
        <w:t xml:space="preserve"> versus </w:t>
      </w:r>
      <w:proofErr w:type="spellStart"/>
      <w:r w:rsidRPr="006D2224">
        <w:t>pimecrolimus</w:t>
      </w:r>
      <w:proofErr w:type="spellEnd"/>
      <w:r w:rsidRPr="006D2224">
        <w:t xml:space="preserve"> is presented in the table below. The cost-minimisation analysis should have been conducted using ex-manufacturer prices due to the differences in fees and mark-ups associated with the different total script numbers between treatments.</w:t>
      </w:r>
      <w:r w:rsidRPr="00853208">
        <w:rPr>
          <w:i/>
        </w:rPr>
        <w:t xml:space="preserve"> </w:t>
      </w:r>
    </w:p>
    <w:p w:rsidR="001B7C3B" w:rsidRPr="006D2224" w:rsidRDefault="001B7C3B" w:rsidP="001B7C3B">
      <w:pPr>
        <w:rPr>
          <w:rStyle w:val="CommentReference"/>
        </w:rPr>
      </w:pPr>
      <w:r w:rsidRPr="006D2224">
        <w:rPr>
          <w:rStyle w:val="CommentReference"/>
        </w:rPr>
        <w:lastRenderedPageBreak/>
        <w:t>Table 10:  Results of the cost-minimisation analysis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2"/>
        <w:gridCol w:w="3009"/>
      </w:tblGrid>
      <w:tr w:rsidR="001B7C3B" w:rsidRPr="006D2224" w:rsidTr="00386D9A">
        <w:tc>
          <w:tcPr>
            <w:tcW w:w="2972" w:type="dxa"/>
          </w:tcPr>
          <w:p w:rsidR="001B7C3B" w:rsidRPr="006D2224" w:rsidRDefault="001B7C3B" w:rsidP="00012384">
            <w:pPr>
              <w:pStyle w:val="Tabletext"/>
              <w:rPr>
                <w:b/>
              </w:rPr>
            </w:pPr>
            <w:r w:rsidRPr="006D2224">
              <w:rPr>
                <w:b/>
              </w:rPr>
              <w:t>Component</w:t>
            </w:r>
          </w:p>
        </w:tc>
        <w:tc>
          <w:tcPr>
            <w:tcW w:w="3081" w:type="dxa"/>
          </w:tcPr>
          <w:p w:rsidR="001B7C3B" w:rsidRPr="006D2224" w:rsidRDefault="001B7C3B" w:rsidP="00012384">
            <w:pPr>
              <w:pStyle w:val="Tabletext"/>
              <w:jc w:val="center"/>
              <w:rPr>
                <w:b/>
              </w:rPr>
            </w:pPr>
            <w:proofErr w:type="spellStart"/>
            <w:r w:rsidRPr="006D2224">
              <w:rPr>
                <w:b/>
              </w:rPr>
              <w:t>Crisaborole</w:t>
            </w:r>
            <w:proofErr w:type="spellEnd"/>
          </w:p>
        </w:tc>
        <w:tc>
          <w:tcPr>
            <w:tcW w:w="3081" w:type="dxa"/>
          </w:tcPr>
          <w:p w:rsidR="001B7C3B" w:rsidRPr="006D2224" w:rsidRDefault="001B7C3B" w:rsidP="00012384">
            <w:pPr>
              <w:pStyle w:val="Tabletext"/>
              <w:jc w:val="center"/>
              <w:rPr>
                <w:b/>
              </w:rPr>
            </w:pPr>
            <w:proofErr w:type="spellStart"/>
            <w:r w:rsidRPr="006D2224">
              <w:rPr>
                <w:b/>
              </w:rPr>
              <w:t>Pimecrolimus</w:t>
            </w:r>
            <w:proofErr w:type="spellEnd"/>
          </w:p>
        </w:tc>
      </w:tr>
      <w:tr w:rsidR="001B7C3B" w:rsidRPr="006D2224" w:rsidTr="00386D9A">
        <w:tc>
          <w:tcPr>
            <w:tcW w:w="9134" w:type="dxa"/>
            <w:gridSpan w:val="3"/>
          </w:tcPr>
          <w:p w:rsidR="001B7C3B" w:rsidRPr="006D2224" w:rsidRDefault="001B7C3B" w:rsidP="00012384">
            <w:pPr>
              <w:pStyle w:val="Tabletext"/>
              <w:rPr>
                <w:b/>
              </w:rPr>
            </w:pPr>
            <w:r w:rsidRPr="006D2224">
              <w:rPr>
                <w:b/>
              </w:rPr>
              <w:t>DPMQ</w:t>
            </w:r>
          </w:p>
        </w:tc>
      </w:tr>
      <w:tr w:rsidR="001B7C3B" w:rsidRPr="006D2224" w:rsidTr="00386D9A">
        <w:tc>
          <w:tcPr>
            <w:tcW w:w="2972" w:type="dxa"/>
          </w:tcPr>
          <w:p w:rsidR="001B7C3B" w:rsidRPr="006D2224" w:rsidRDefault="001B7C3B" w:rsidP="00012384">
            <w:pPr>
              <w:pStyle w:val="Tabletext"/>
            </w:pPr>
            <w:r w:rsidRPr="006D2224">
              <w:t>Cost per script</w:t>
            </w:r>
          </w:p>
        </w:tc>
        <w:tc>
          <w:tcPr>
            <w:tcW w:w="3081" w:type="dxa"/>
          </w:tcPr>
          <w:p w:rsidR="001B7C3B" w:rsidRPr="006D2224" w:rsidRDefault="001B7C3B" w:rsidP="00012384">
            <w:pPr>
              <w:pStyle w:val="Tabletext"/>
              <w:jc w:val="center"/>
            </w:pPr>
            <w:r w:rsidRPr="006D2224">
              <w:t>$</w:t>
            </w:r>
            <w:r w:rsidR="007131B6">
              <w:rPr>
                <w:noProof/>
                <w:color w:val="000000"/>
                <w:highlight w:val="black"/>
              </w:rPr>
              <w:t>'''''''''''''''''</w:t>
            </w:r>
          </w:p>
        </w:tc>
        <w:tc>
          <w:tcPr>
            <w:tcW w:w="3081" w:type="dxa"/>
          </w:tcPr>
          <w:p w:rsidR="001B7C3B" w:rsidRPr="006D2224" w:rsidRDefault="001B7C3B" w:rsidP="00012384">
            <w:pPr>
              <w:pStyle w:val="Tabletext"/>
              <w:jc w:val="center"/>
              <w:rPr>
                <w:vertAlign w:val="superscript"/>
              </w:rPr>
            </w:pPr>
            <w:r w:rsidRPr="006D2224">
              <w:t>$31.44</w:t>
            </w:r>
            <w:r w:rsidRPr="006D2224">
              <w:rPr>
                <w:vertAlign w:val="superscript"/>
              </w:rPr>
              <w:t>a</w:t>
            </w:r>
          </w:p>
        </w:tc>
      </w:tr>
      <w:tr w:rsidR="001B7C3B" w:rsidRPr="006D2224" w:rsidTr="00386D9A">
        <w:tc>
          <w:tcPr>
            <w:tcW w:w="2972" w:type="dxa"/>
          </w:tcPr>
          <w:p w:rsidR="001B7C3B" w:rsidRPr="006D2224" w:rsidRDefault="001B7C3B" w:rsidP="00012384">
            <w:pPr>
              <w:pStyle w:val="Tabletext"/>
            </w:pPr>
            <w:r w:rsidRPr="006D2224">
              <w:t>Amount of drug per script</w:t>
            </w:r>
          </w:p>
        </w:tc>
        <w:tc>
          <w:tcPr>
            <w:tcW w:w="3081" w:type="dxa"/>
          </w:tcPr>
          <w:p w:rsidR="001B7C3B" w:rsidRPr="006D2224" w:rsidRDefault="001B7C3B" w:rsidP="00012384">
            <w:pPr>
              <w:pStyle w:val="Tabletext"/>
              <w:jc w:val="center"/>
            </w:pPr>
            <w:r w:rsidRPr="006D2224">
              <w:t>60 g</w:t>
            </w:r>
          </w:p>
        </w:tc>
        <w:tc>
          <w:tcPr>
            <w:tcW w:w="3081" w:type="dxa"/>
          </w:tcPr>
          <w:p w:rsidR="001B7C3B" w:rsidRPr="006D2224" w:rsidRDefault="001B7C3B" w:rsidP="00012384">
            <w:pPr>
              <w:pStyle w:val="Tabletext"/>
              <w:jc w:val="center"/>
            </w:pPr>
            <w:r w:rsidRPr="006D2224">
              <w:t>15 g</w:t>
            </w:r>
          </w:p>
        </w:tc>
      </w:tr>
      <w:tr w:rsidR="001B7C3B" w:rsidRPr="006D2224" w:rsidTr="00386D9A">
        <w:tc>
          <w:tcPr>
            <w:tcW w:w="2972" w:type="dxa"/>
          </w:tcPr>
          <w:p w:rsidR="001B7C3B" w:rsidRPr="006D2224" w:rsidRDefault="001B7C3B" w:rsidP="00012384">
            <w:pPr>
              <w:pStyle w:val="Tabletext"/>
            </w:pPr>
            <w:r w:rsidRPr="006D2224">
              <w:t>Cost per gram</w:t>
            </w:r>
          </w:p>
        </w:tc>
        <w:tc>
          <w:tcPr>
            <w:tcW w:w="6162" w:type="dxa"/>
            <w:gridSpan w:val="2"/>
          </w:tcPr>
          <w:p w:rsidR="001B7C3B" w:rsidRPr="006D2224" w:rsidRDefault="001B7C3B" w:rsidP="00012384">
            <w:pPr>
              <w:pStyle w:val="Tabletext"/>
              <w:jc w:val="center"/>
            </w:pPr>
            <w:r w:rsidRPr="006D2224">
              <w:t>$</w:t>
            </w:r>
            <w:r w:rsidR="007131B6">
              <w:rPr>
                <w:noProof/>
                <w:color w:val="000000"/>
                <w:highlight w:val="black"/>
              </w:rPr>
              <w:t>''''''''''''</w:t>
            </w:r>
          </w:p>
        </w:tc>
      </w:tr>
      <w:tr w:rsidR="001B7C3B" w:rsidRPr="006D2224" w:rsidTr="00386D9A">
        <w:tc>
          <w:tcPr>
            <w:tcW w:w="2972" w:type="dxa"/>
          </w:tcPr>
          <w:p w:rsidR="001B7C3B" w:rsidRPr="006D2224" w:rsidRDefault="001B7C3B" w:rsidP="00012384">
            <w:pPr>
              <w:pStyle w:val="Tabletext"/>
            </w:pPr>
            <w:r w:rsidRPr="006D2224">
              <w:t>Total cost per 60 g</w:t>
            </w:r>
          </w:p>
        </w:tc>
        <w:tc>
          <w:tcPr>
            <w:tcW w:w="3081" w:type="dxa"/>
          </w:tcPr>
          <w:p w:rsidR="001B7C3B" w:rsidRPr="006D2224" w:rsidRDefault="001B7C3B" w:rsidP="00012384">
            <w:pPr>
              <w:pStyle w:val="Tabletext"/>
              <w:jc w:val="center"/>
            </w:pPr>
            <w:r w:rsidRPr="006D2224">
              <w:t>$</w:t>
            </w:r>
            <w:r w:rsidR="007131B6">
              <w:rPr>
                <w:noProof/>
                <w:color w:val="000000"/>
                <w:highlight w:val="black"/>
              </w:rPr>
              <w:t>''''''''''''''''''</w:t>
            </w:r>
          </w:p>
        </w:tc>
        <w:tc>
          <w:tcPr>
            <w:tcW w:w="3081" w:type="dxa"/>
          </w:tcPr>
          <w:p w:rsidR="001B7C3B" w:rsidRPr="006D2224" w:rsidRDefault="001B7C3B" w:rsidP="00012384">
            <w:pPr>
              <w:pStyle w:val="Tabletext"/>
              <w:jc w:val="center"/>
            </w:pPr>
            <w:r w:rsidRPr="006D2224">
              <w:t>$125.76</w:t>
            </w:r>
          </w:p>
        </w:tc>
      </w:tr>
      <w:tr w:rsidR="001B7C3B" w:rsidRPr="006D2224" w:rsidTr="00386D9A">
        <w:tc>
          <w:tcPr>
            <w:tcW w:w="2972" w:type="dxa"/>
          </w:tcPr>
          <w:p w:rsidR="001B7C3B" w:rsidRPr="006D2224" w:rsidRDefault="001B7C3B" w:rsidP="00012384">
            <w:pPr>
              <w:pStyle w:val="Tabletext"/>
              <w:rPr>
                <w:i/>
              </w:rPr>
            </w:pPr>
            <w:r w:rsidRPr="006D2224">
              <w:rPr>
                <w:b/>
                <w:i/>
              </w:rPr>
              <w:t>AEMP</w:t>
            </w:r>
          </w:p>
        </w:tc>
        <w:tc>
          <w:tcPr>
            <w:tcW w:w="3081" w:type="dxa"/>
          </w:tcPr>
          <w:p w:rsidR="001B7C3B" w:rsidRPr="006D2224" w:rsidRDefault="001B7C3B" w:rsidP="00012384">
            <w:pPr>
              <w:pStyle w:val="Tabletext"/>
              <w:jc w:val="center"/>
              <w:rPr>
                <w:i/>
              </w:rPr>
            </w:pPr>
          </w:p>
        </w:tc>
        <w:tc>
          <w:tcPr>
            <w:tcW w:w="3081" w:type="dxa"/>
          </w:tcPr>
          <w:p w:rsidR="001B7C3B" w:rsidRPr="006D2224" w:rsidRDefault="001B7C3B" w:rsidP="00012384">
            <w:pPr>
              <w:pStyle w:val="Tabletext"/>
              <w:jc w:val="center"/>
              <w:rPr>
                <w:i/>
              </w:rPr>
            </w:pPr>
          </w:p>
        </w:tc>
      </w:tr>
      <w:tr w:rsidR="001B7C3B" w:rsidRPr="006D2224" w:rsidTr="00386D9A">
        <w:tc>
          <w:tcPr>
            <w:tcW w:w="2972" w:type="dxa"/>
          </w:tcPr>
          <w:p w:rsidR="001B7C3B" w:rsidRPr="006D2224" w:rsidRDefault="001B7C3B" w:rsidP="00012384">
            <w:pPr>
              <w:pStyle w:val="Tabletext"/>
              <w:rPr>
                <w:i/>
              </w:rPr>
            </w:pPr>
            <w:r w:rsidRPr="006D2224">
              <w:rPr>
                <w:i/>
              </w:rPr>
              <w:t>AEMP cost per script</w:t>
            </w:r>
          </w:p>
        </w:tc>
        <w:tc>
          <w:tcPr>
            <w:tcW w:w="3081" w:type="dxa"/>
          </w:tcPr>
          <w:p w:rsidR="001B7C3B" w:rsidRPr="006D2224" w:rsidRDefault="001B7C3B" w:rsidP="00012384">
            <w:pPr>
              <w:pStyle w:val="Tabletext"/>
              <w:jc w:val="center"/>
              <w:rPr>
                <w:i/>
              </w:rPr>
            </w:pPr>
            <w:r w:rsidRPr="006D2224">
              <w:rPr>
                <w:i/>
              </w:rPr>
              <w:t>$</w:t>
            </w:r>
            <w:r w:rsidR="007131B6">
              <w:rPr>
                <w:i/>
                <w:noProof/>
                <w:color w:val="000000"/>
                <w:highlight w:val="black"/>
              </w:rPr>
              <w:t>''''''''''''</w:t>
            </w:r>
          </w:p>
        </w:tc>
        <w:tc>
          <w:tcPr>
            <w:tcW w:w="3081" w:type="dxa"/>
          </w:tcPr>
          <w:p w:rsidR="001B7C3B" w:rsidRPr="006D2224" w:rsidRDefault="001B7C3B" w:rsidP="00012384">
            <w:pPr>
              <w:pStyle w:val="Tabletext"/>
              <w:jc w:val="center"/>
              <w:rPr>
                <w:i/>
                <w:vertAlign w:val="superscript"/>
              </w:rPr>
            </w:pPr>
            <w:r w:rsidRPr="006D2224">
              <w:rPr>
                <w:i/>
              </w:rPr>
              <w:t>$18.93</w:t>
            </w:r>
            <w:r w:rsidRPr="006D2224">
              <w:rPr>
                <w:i/>
                <w:vertAlign w:val="superscript"/>
              </w:rPr>
              <w:t>a</w:t>
            </w:r>
          </w:p>
        </w:tc>
      </w:tr>
      <w:tr w:rsidR="001B7C3B" w:rsidRPr="006D2224" w:rsidTr="00386D9A">
        <w:tc>
          <w:tcPr>
            <w:tcW w:w="2972" w:type="dxa"/>
          </w:tcPr>
          <w:p w:rsidR="001B7C3B" w:rsidRPr="006D2224" w:rsidRDefault="001B7C3B" w:rsidP="00012384">
            <w:pPr>
              <w:pStyle w:val="Tabletext"/>
              <w:rPr>
                <w:i/>
              </w:rPr>
            </w:pPr>
            <w:r w:rsidRPr="006D2224">
              <w:rPr>
                <w:i/>
              </w:rPr>
              <w:t>Amount of drug per script</w:t>
            </w:r>
          </w:p>
        </w:tc>
        <w:tc>
          <w:tcPr>
            <w:tcW w:w="3081" w:type="dxa"/>
          </w:tcPr>
          <w:p w:rsidR="001B7C3B" w:rsidRPr="006D2224" w:rsidRDefault="001B7C3B" w:rsidP="00012384">
            <w:pPr>
              <w:pStyle w:val="Tabletext"/>
              <w:jc w:val="center"/>
              <w:rPr>
                <w:i/>
              </w:rPr>
            </w:pPr>
            <w:r w:rsidRPr="006D2224">
              <w:rPr>
                <w:i/>
              </w:rPr>
              <w:t>60 g</w:t>
            </w:r>
          </w:p>
        </w:tc>
        <w:tc>
          <w:tcPr>
            <w:tcW w:w="3081" w:type="dxa"/>
          </w:tcPr>
          <w:p w:rsidR="001B7C3B" w:rsidRPr="006D2224" w:rsidRDefault="001B7C3B" w:rsidP="00012384">
            <w:pPr>
              <w:pStyle w:val="Tabletext"/>
              <w:jc w:val="center"/>
              <w:rPr>
                <w:i/>
              </w:rPr>
            </w:pPr>
            <w:r w:rsidRPr="006D2224">
              <w:rPr>
                <w:i/>
              </w:rPr>
              <w:t>15 g</w:t>
            </w:r>
          </w:p>
        </w:tc>
      </w:tr>
      <w:tr w:rsidR="001B7C3B" w:rsidRPr="006D2224" w:rsidTr="00386D9A">
        <w:tc>
          <w:tcPr>
            <w:tcW w:w="2972" w:type="dxa"/>
          </w:tcPr>
          <w:p w:rsidR="001B7C3B" w:rsidRPr="006D2224" w:rsidRDefault="001B7C3B" w:rsidP="00012384">
            <w:pPr>
              <w:pStyle w:val="Tabletext"/>
              <w:rPr>
                <w:i/>
              </w:rPr>
            </w:pPr>
            <w:r w:rsidRPr="006D2224">
              <w:rPr>
                <w:i/>
              </w:rPr>
              <w:t>Cost per gram (AEMP)</w:t>
            </w:r>
          </w:p>
        </w:tc>
        <w:tc>
          <w:tcPr>
            <w:tcW w:w="6162" w:type="dxa"/>
            <w:gridSpan w:val="2"/>
          </w:tcPr>
          <w:p w:rsidR="001B7C3B" w:rsidRPr="006D2224" w:rsidRDefault="001B7C3B" w:rsidP="00012384">
            <w:pPr>
              <w:pStyle w:val="Tabletext"/>
              <w:jc w:val="center"/>
              <w:rPr>
                <w:i/>
              </w:rPr>
            </w:pPr>
            <w:r w:rsidRPr="006D2224">
              <w:rPr>
                <w:i/>
              </w:rPr>
              <w:t>$</w:t>
            </w:r>
            <w:r w:rsidR="007131B6">
              <w:rPr>
                <w:i/>
                <w:noProof/>
                <w:color w:val="000000"/>
                <w:highlight w:val="black"/>
              </w:rPr>
              <w:t>''''''''''''''</w:t>
            </w:r>
          </w:p>
        </w:tc>
      </w:tr>
      <w:tr w:rsidR="001B7C3B" w:rsidRPr="006D2224" w:rsidTr="00386D9A">
        <w:tc>
          <w:tcPr>
            <w:tcW w:w="2972" w:type="dxa"/>
          </w:tcPr>
          <w:p w:rsidR="001B7C3B" w:rsidRPr="006D2224" w:rsidRDefault="001B7C3B" w:rsidP="00012384">
            <w:pPr>
              <w:pStyle w:val="Tabletext"/>
              <w:rPr>
                <w:i/>
                <w:vertAlign w:val="superscript"/>
              </w:rPr>
            </w:pPr>
            <w:r w:rsidRPr="006D2224">
              <w:rPr>
                <w:i/>
              </w:rPr>
              <w:t>Total cost per 60 g (DPMQ)</w:t>
            </w:r>
            <w:r w:rsidRPr="006D2224">
              <w:rPr>
                <w:i/>
                <w:vertAlign w:val="superscript"/>
              </w:rPr>
              <w:t>a</w:t>
            </w:r>
          </w:p>
        </w:tc>
        <w:tc>
          <w:tcPr>
            <w:tcW w:w="3081" w:type="dxa"/>
          </w:tcPr>
          <w:p w:rsidR="001B7C3B" w:rsidRPr="006D2224" w:rsidRDefault="001B7C3B" w:rsidP="00012384">
            <w:pPr>
              <w:pStyle w:val="Tabletext"/>
              <w:jc w:val="center"/>
              <w:rPr>
                <w:i/>
              </w:rPr>
            </w:pPr>
            <w:r w:rsidRPr="006D2224">
              <w:rPr>
                <w:i/>
              </w:rPr>
              <w:t>$</w:t>
            </w:r>
            <w:r w:rsidR="007131B6">
              <w:rPr>
                <w:i/>
                <w:noProof/>
                <w:color w:val="000000"/>
                <w:highlight w:val="black"/>
              </w:rPr>
              <w:t>''''''''''''''</w:t>
            </w:r>
          </w:p>
        </w:tc>
        <w:tc>
          <w:tcPr>
            <w:tcW w:w="3081" w:type="dxa"/>
          </w:tcPr>
          <w:p w:rsidR="001B7C3B" w:rsidRPr="006D2224" w:rsidRDefault="001B7C3B" w:rsidP="00012384">
            <w:pPr>
              <w:pStyle w:val="Tabletext"/>
              <w:jc w:val="center"/>
              <w:rPr>
                <w:i/>
              </w:rPr>
            </w:pPr>
            <w:r w:rsidRPr="006D2224">
              <w:rPr>
                <w:i/>
              </w:rPr>
              <w:t>$125.76</w:t>
            </w:r>
          </w:p>
        </w:tc>
      </w:tr>
    </w:tbl>
    <w:p w:rsidR="001B7C3B" w:rsidRPr="006D2224" w:rsidRDefault="001B7C3B" w:rsidP="001B7C3B">
      <w:pPr>
        <w:pStyle w:val="TableFooter"/>
      </w:pPr>
      <w:r w:rsidRPr="006D2224">
        <w:t>Source: Tables 3.4-1 and 3.4-2, p161 of the submission</w:t>
      </w:r>
    </w:p>
    <w:p w:rsidR="001B7C3B" w:rsidRPr="006D2224" w:rsidRDefault="001B7C3B" w:rsidP="001B7C3B">
      <w:pPr>
        <w:pStyle w:val="TableFooter"/>
      </w:pPr>
      <w:proofErr w:type="gramStart"/>
      <w:r w:rsidRPr="006D2224">
        <w:rPr>
          <w:vertAlign w:val="superscript"/>
        </w:rPr>
        <w:t>a</w:t>
      </w:r>
      <w:proofErr w:type="gramEnd"/>
      <w:r w:rsidRPr="006D2224">
        <w:t xml:space="preserve"> Based on 1 June 2018 PBS price</w:t>
      </w:r>
    </w:p>
    <w:p w:rsidR="001B7C3B" w:rsidRPr="006D2224" w:rsidRDefault="001B7C3B" w:rsidP="001B7C3B">
      <w:pPr>
        <w:pStyle w:val="TableFooter"/>
        <w:rPr>
          <w:i/>
        </w:rPr>
      </w:pPr>
      <w:r w:rsidRPr="006D2224">
        <w:rPr>
          <w:i/>
        </w:rPr>
        <w:t>Italicised values were calculated during the evaluation</w:t>
      </w:r>
    </w:p>
    <w:p w:rsidR="001B7C3B" w:rsidRPr="006D2224" w:rsidRDefault="001B7C3B" w:rsidP="001B7C3B">
      <w:pPr>
        <w:widowControl/>
      </w:pPr>
    </w:p>
    <w:p w:rsidR="001B7C3B" w:rsidRPr="006D2224" w:rsidRDefault="004D03FA" w:rsidP="00173629">
      <w:pPr>
        <w:pStyle w:val="ListParagraph"/>
        <w:widowControl/>
        <w:numPr>
          <w:ilvl w:val="1"/>
          <w:numId w:val="2"/>
        </w:numPr>
      </w:pPr>
      <w:r w:rsidRPr="006D2224">
        <w:t xml:space="preserve">The </w:t>
      </w:r>
      <w:r w:rsidR="004D0D86" w:rsidRPr="006D2224">
        <w:t xml:space="preserve">cost-minimisation analysis was conducted in the submission assuming </w:t>
      </w:r>
      <w:proofErr w:type="spellStart"/>
      <w:r w:rsidR="004D0D86" w:rsidRPr="006D2224">
        <w:t>crisaborole</w:t>
      </w:r>
      <w:proofErr w:type="spellEnd"/>
      <w:r w:rsidR="004D0D86" w:rsidRPr="006D2224">
        <w:t xml:space="preserve"> is equivalent to </w:t>
      </w:r>
      <w:proofErr w:type="spellStart"/>
      <w:r w:rsidR="004D0D86" w:rsidRPr="006D2224">
        <w:t>pimecrolimus</w:t>
      </w:r>
      <w:proofErr w:type="spellEnd"/>
      <w:r w:rsidR="004D0D86" w:rsidRPr="006D2224">
        <w:t xml:space="preserve"> on a per gram basis based on product information dosing frequencies. The submission stated that 4 tubes of </w:t>
      </w:r>
      <w:proofErr w:type="spellStart"/>
      <w:r w:rsidR="004D0D86" w:rsidRPr="006D2224">
        <w:t>pimecrolimus</w:t>
      </w:r>
      <w:proofErr w:type="spellEnd"/>
      <w:r w:rsidR="004D0D86" w:rsidRPr="006D2224">
        <w:t xml:space="preserve"> supplied in a 15 g tube would be required to supply the same quantity as </w:t>
      </w:r>
      <w:proofErr w:type="spellStart"/>
      <w:r w:rsidR="004D0D86" w:rsidRPr="006D2224">
        <w:t>crisaborole</w:t>
      </w:r>
      <w:proofErr w:type="spellEnd"/>
      <w:r w:rsidR="004D0D86" w:rsidRPr="006D2224">
        <w:t xml:space="preserve"> which is supplied in a 60 g tube. </w:t>
      </w:r>
      <w:r w:rsidR="00EE0A8E" w:rsidRPr="006D2224">
        <w:t xml:space="preserve"> This approach implicitly assumes that </w:t>
      </w:r>
      <w:proofErr w:type="spellStart"/>
      <w:r w:rsidR="00EE0A8E" w:rsidRPr="006D2224">
        <w:t>crisaborole</w:t>
      </w:r>
      <w:proofErr w:type="spellEnd"/>
      <w:r w:rsidR="00EE0A8E" w:rsidRPr="006D2224">
        <w:t xml:space="preserve"> is equivalent to </w:t>
      </w:r>
      <w:proofErr w:type="spellStart"/>
      <w:r w:rsidR="00EE0A8E" w:rsidRPr="006D2224">
        <w:t>pimecrolimus</w:t>
      </w:r>
      <w:proofErr w:type="spellEnd"/>
      <w:r w:rsidR="00EE0A8E" w:rsidRPr="006D2224">
        <w:t xml:space="preserve"> on a per gram basis. This was inappropriate as the submission did not account for differences in amounts required depending on circumstances of use.</w:t>
      </w:r>
      <w:r w:rsidR="001B7C3B" w:rsidRPr="006D2224">
        <w:t xml:space="preserve"> </w:t>
      </w:r>
      <w:proofErr w:type="spellStart"/>
      <w:r w:rsidR="00EE0A8E" w:rsidRPr="006D2224">
        <w:t>Pimecrolimus</w:t>
      </w:r>
      <w:proofErr w:type="spellEnd"/>
      <w:r w:rsidR="00EE0A8E" w:rsidRPr="006D2224">
        <w:t xml:space="preserve"> is recommended for short-term intermittent therapy for up to 6 weeks whereas the requested restriction for </w:t>
      </w:r>
      <w:proofErr w:type="spellStart"/>
      <w:r w:rsidR="00791FD6" w:rsidRPr="006D2224">
        <w:t>crisaborole</w:t>
      </w:r>
      <w:proofErr w:type="spellEnd"/>
      <w:r w:rsidR="00791FD6" w:rsidRPr="006D2224">
        <w:t xml:space="preserve"> </w:t>
      </w:r>
      <w:r w:rsidR="00EE0A8E" w:rsidRPr="006D2224">
        <w:t xml:space="preserve">indicates that </w:t>
      </w:r>
      <w:proofErr w:type="spellStart"/>
      <w:r w:rsidR="00EE0A8E" w:rsidRPr="006D2224">
        <w:t>crisaborole</w:t>
      </w:r>
      <w:proofErr w:type="spellEnd"/>
      <w:r w:rsidR="00EE0A8E" w:rsidRPr="006D2224">
        <w:t xml:space="preserve"> is for chronic use. The optimal duration of therapy for </w:t>
      </w:r>
      <w:proofErr w:type="spellStart"/>
      <w:r w:rsidR="00EE0A8E" w:rsidRPr="006D2224">
        <w:t>crisaborole</w:t>
      </w:r>
      <w:proofErr w:type="spellEnd"/>
      <w:r w:rsidR="00EE0A8E" w:rsidRPr="006D2224">
        <w:t xml:space="preserve"> was unclear, with available data based on acute disease management only over 4 weeks.</w:t>
      </w:r>
      <w:r w:rsidR="00DF180C" w:rsidRPr="006D2224">
        <w:t xml:space="preserve"> </w:t>
      </w:r>
      <w:r w:rsidR="0068029F" w:rsidRPr="006D2224">
        <w:t xml:space="preserve">The ESC </w:t>
      </w:r>
      <w:r w:rsidR="00AC2450" w:rsidRPr="006D2224">
        <w:t xml:space="preserve">noted that there was no data provided in the submission or PSCR to support the </w:t>
      </w:r>
      <w:proofErr w:type="spellStart"/>
      <w:r w:rsidR="00AC2450" w:rsidRPr="006D2224">
        <w:t>equi</w:t>
      </w:r>
      <w:proofErr w:type="spellEnd"/>
      <w:r w:rsidR="00AC2450" w:rsidRPr="006D2224">
        <w:t xml:space="preserve">-effective doses proposed in the submission. The ESC </w:t>
      </w:r>
      <w:r w:rsidR="0068029F" w:rsidRPr="006D2224">
        <w:t xml:space="preserve">considered that the assumption of equivalence for </w:t>
      </w:r>
      <w:proofErr w:type="spellStart"/>
      <w:r w:rsidR="0068029F" w:rsidRPr="006D2224">
        <w:t>crisaborole</w:t>
      </w:r>
      <w:proofErr w:type="spellEnd"/>
      <w:r w:rsidR="0068029F" w:rsidRPr="006D2224">
        <w:t xml:space="preserve"> and </w:t>
      </w:r>
      <w:proofErr w:type="spellStart"/>
      <w:r w:rsidR="0068029F" w:rsidRPr="006D2224">
        <w:t>pimecrolimus</w:t>
      </w:r>
      <w:proofErr w:type="spellEnd"/>
      <w:r w:rsidR="0068029F" w:rsidRPr="006D2224">
        <w:t xml:space="preserve"> on a per gram basis was </w:t>
      </w:r>
      <w:r w:rsidR="00CA2BC2" w:rsidRPr="006D2224">
        <w:t xml:space="preserve">not appropriate and was </w:t>
      </w:r>
      <w:r w:rsidR="0068029F" w:rsidRPr="006D2224">
        <w:t xml:space="preserve">unlikely to reflect </w:t>
      </w:r>
      <w:r w:rsidR="00AC2450" w:rsidRPr="006D2224">
        <w:t>actual use o</w:t>
      </w:r>
      <w:r w:rsidR="00E623E4" w:rsidRPr="006D2224">
        <w:t>f the treatments.</w:t>
      </w:r>
    </w:p>
    <w:p w:rsidR="00350619" w:rsidRPr="006D2224" w:rsidRDefault="00350619" w:rsidP="00173629">
      <w:pPr>
        <w:pStyle w:val="ListParagraph"/>
        <w:widowControl/>
        <w:numPr>
          <w:ilvl w:val="1"/>
          <w:numId w:val="2"/>
        </w:numPr>
      </w:pPr>
      <w:r w:rsidRPr="006D2224">
        <w:t xml:space="preserve">During the evaluation, an estimated price for </w:t>
      </w:r>
      <w:proofErr w:type="spellStart"/>
      <w:r w:rsidRPr="006D2224">
        <w:t>crisaborole</w:t>
      </w:r>
      <w:proofErr w:type="spellEnd"/>
      <w:r w:rsidRPr="006D2224">
        <w:t xml:space="preserve"> was calculated using the AEMP for </w:t>
      </w:r>
      <w:proofErr w:type="spellStart"/>
      <w:r w:rsidRPr="006D2224">
        <w:t>pimecrolimus</w:t>
      </w:r>
      <w:proofErr w:type="spellEnd"/>
      <w:r w:rsidRPr="006D2224">
        <w:t xml:space="preserve"> and the assumed </w:t>
      </w:r>
      <w:proofErr w:type="spellStart"/>
      <w:r w:rsidRPr="006D2224">
        <w:t>equi</w:t>
      </w:r>
      <w:proofErr w:type="spellEnd"/>
      <w:r w:rsidRPr="006D2224">
        <w:t xml:space="preserve">-effective doses in the submission. This estimate was lower than the proposed price calculated using the DPMQ for </w:t>
      </w:r>
      <w:proofErr w:type="spellStart"/>
      <w:r w:rsidRPr="006D2224">
        <w:t>pimecrolimus</w:t>
      </w:r>
      <w:proofErr w:type="spellEnd"/>
      <w:r w:rsidRPr="006D2224">
        <w:t>.</w:t>
      </w:r>
      <w:r w:rsidR="00E623E4" w:rsidRPr="006D2224">
        <w:t xml:space="preserve"> The ESC noted that although this was the appropriate method for calculation of the prices, the price is unlikely to be appropriate due to uncertainty in the </w:t>
      </w:r>
      <w:proofErr w:type="spellStart"/>
      <w:r w:rsidR="00E623E4" w:rsidRPr="006D2224">
        <w:t>equi</w:t>
      </w:r>
      <w:proofErr w:type="spellEnd"/>
      <w:r w:rsidR="00E623E4" w:rsidRPr="006D2224">
        <w:t>-effective doses.</w:t>
      </w:r>
    </w:p>
    <w:p w:rsidR="004D0D86" w:rsidRPr="006D2224" w:rsidRDefault="004D0D86" w:rsidP="00173629">
      <w:pPr>
        <w:pStyle w:val="ListParagraph"/>
        <w:widowControl/>
        <w:numPr>
          <w:ilvl w:val="1"/>
          <w:numId w:val="2"/>
        </w:numPr>
      </w:pPr>
      <w:r w:rsidRPr="006D2224">
        <w:t>No additional cost</w:t>
      </w:r>
      <w:r w:rsidR="00791FD6" w:rsidRPr="006D2224">
        <w:t>s or</w:t>
      </w:r>
      <w:r w:rsidRPr="006D2224">
        <w:t xml:space="preserve"> cost-offsets were claimed in the submission. This was appropriate. </w:t>
      </w:r>
    </w:p>
    <w:p w:rsidR="003132A2" w:rsidRPr="006D2224" w:rsidRDefault="004D0D86" w:rsidP="00173629">
      <w:pPr>
        <w:pStyle w:val="ListParagraph"/>
        <w:widowControl/>
        <w:numPr>
          <w:ilvl w:val="1"/>
          <w:numId w:val="2"/>
        </w:numPr>
      </w:pPr>
      <w:r w:rsidRPr="006D2224">
        <w:t xml:space="preserve">The table below is a summary of the cost-effectiveness analysis of </w:t>
      </w:r>
      <w:proofErr w:type="spellStart"/>
      <w:r w:rsidRPr="006D2224">
        <w:t>crisaborole</w:t>
      </w:r>
      <w:proofErr w:type="spellEnd"/>
      <w:r w:rsidR="00012003" w:rsidRPr="006D2224">
        <w:t xml:space="preserve"> versus </w:t>
      </w:r>
      <w:r w:rsidR="00050F9D" w:rsidRPr="006D2224">
        <w:t>standard management (using the ointment vehicle as a proxy).</w:t>
      </w:r>
      <w:r w:rsidR="00012003" w:rsidRPr="006D2224">
        <w:t xml:space="preserve"> </w:t>
      </w:r>
      <w:r w:rsidR="00624691" w:rsidRPr="006D2224">
        <w:t>There was inadequate justification for a modelled cost-effectiveness analysis over 5 y</w:t>
      </w:r>
      <w:r w:rsidR="00791FD6" w:rsidRPr="006D2224">
        <w:t>ears given the clinical data were</w:t>
      </w:r>
      <w:r w:rsidR="00624691" w:rsidRPr="006D2224">
        <w:t xml:space="preserve"> limited to 29 days for acute disease management only. A trial-based analysis may be more appropriate. </w:t>
      </w:r>
      <w:r w:rsidR="00371F35" w:rsidRPr="006D2224">
        <w:t xml:space="preserve"> </w:t>
      </w:r>
      <w:r w:rsidR="003636E6" w:rsidRPr="006D2224">
        <w:t xml:space="preserve">The ESC considered a one-year model (as was used in NICE HTA &amp; </w:t>
      </w:r>
      <w:proofErr w:type="spellStart"/>
      <w:r w:rsidR="003636E6" w:rsidRPr="006D2224">
        <w:t>Kuznik</w:t>
      </w:r>
      <w:proofErr w:type="spellEnd"/>
      <w:r w:rsidR="003636E6" w:rsidRPr="006D2224">
        <w:t xml:space="preserve"> et al 2017 and ICER review 2017), including </w:t>
      </w:r>
      <w:r w:rsidR="003636E6" w:rsidRPr="006D2224">
        <w:lastRenderedPageBreak/>
        <w:t xml:space="preserve">intermittent treatment of disease flares, would have been a more informative model structure. </w:t>
      </w:r>
    </w:p>
    <w:p w:rsidR="00624691" w:rsidRPr="006D2224" w:rsidRDefault="00624691" w:rsidP="00624691">
      <w:pPr>
        <w:rPr>
          <w:rStyle w:val="CommentReference"/>
        </w:rPr>
      </w:pPr>
      <w:r w:rsidRPr="006D2224">
        <w:rPr>
          <w:rStyle w:val="CommentReference"/>
        </w:rPr>
        <w:t xml:space="preserve">Table </w:t>
      </w:r>
      <w:r w:rsidR="001B7C3B" w:rsidRPr="006D2224">
        <w:rPr>
          <w:rStyle w:val="CommentReference"/>
        </w:rPr>
        <w:t>11</w:t>
      </w:r>
      <w:r w:rsidRPr="006D2224">
        <w:rPr>
          <w:rStyle w:val="CommentReference"/>
        </w:rPr>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99"/>
        <w:gridCol w:w="6918"/>
      </w:tblGrid>
      <w:tr w:rsidR="00624691" w:rsidRPr="006D2224" w:rsidTr="00624691">
        <w:tc>
          <w:tcPr>
            <w:tcW w:w="1164" w:type="pct"/>
            <w:vAlign w:val="center"/>
          </w:tcPr>
          <w:p w:rsidR="00624691" w:rsidRPr="006D2224" w:rsidRDefault="00624691" w:rsidP="00610075">
            <w:pPr>
              <w:pStyle w:val="Tabletext"/>
              <w:rPr>
                <w:b/>
              </w:rPr>
            </w:pPr>
            <w:r w:rsidRPr="006D2224">
              <w:rPr>
                <w:b/>
              </w:rPr>
              <w:t>Component</w:t>
            </w:r>
          </w:p>
        </w:tc>
        <w:tc>
          <w:tcPr>
            <w:tcW w:w="3836" w:type="pct"/>
          </w:tcPr>
          <w:p w:rsidR="00624691" w:rsidRPr="006D2224" w:rsidRDefault="00624691" w:rsidP="00610075">
            <w:pPr>
              <w:pStyle w:val="Tabletext"/>
              <w:jc w:val="center"/>
              <w:rPr>
                <w:b/>
              </w:rPr>
            </w:pPr>
            <w:r w:rsidRPr="006D2224">
              <w:rPr>
                <w:b/>
              </w:rPr>
              <w:t>Description</w:t>
            </w:r>
          </w:p>
        </w:tc>
      </w:tr>
      <w:tr w:rsidR="00624691" w:rsidRPr="006D2224" w:rsidTr="00624691">
        <w:tc>
          <w:tcPr>
            <w:tcW w:w="1164" w:type="pct"/>
            <w:vAlign w:val="center"/>
          </w:tcPr>
          <w:p w:rsidR="00624691" w:rsidRPr="006D2224" w:rsidRDefault="00624691" w:rsidP="00610075">
            <w:pPr>
              <w:pStyle w:val="Tabletext"/>
            </w:pPr>
            <w:r w:rsidRPr="006D2224">
              <w:t>Type of analysis</w:t>
            </w:r>
          </w:p>
        </w:tc>
        <w:tc>
          <w:tcPr>
            <w:tcW w:w="3836" w:type="pct"/>
          </w:tcPr>
          <w:p w:rsidR="00624691" w:rsidRPr="006D2224" w:rsidRDefault="00624691" w:rsidP="00610075">
            <w:pPr>
              <w:pStyle w:val="Tabletext"/>
            </w:pPr>
            <w:r w:rsidRPr="006D2224">
              <w:t>Cost-utility analysis</w:t>
            </w:r>
          </w:p>
        </w:tc>
      </w:tr>
      <w:tr w:rsidR="00624691" w:rsidRPr="006D2224" w:rsidTr="00624691">
        <w:tc>
          <w:tcPr>
            <w:tcW w:w="1164" w:type="pct"/>
            <w:vAlign w:val="center"/>
          </w:tcPr>
          <w:p w:rsidR="00624691" w:rsidRPr="006D2224" w:rsidRDefault="00624691" w:rsidP="00610075">
            <w:pPr>
              <w:pStyle w:val="Tabletext"/>
            </w:pPr>
            <w:r w:rsidRPr="006D2224">
              <w:t>Methods used to generate results</w:t>
            </w:r>
          </w:p>
        </w:tc>
        <w:tc>
          <w:tcPr>
            <w:tcW w:w="3836" w:type="pct"/>
          </w:tcPr>
          <w:p w:rsidR="00624691" w:rsidRPr="006D2224" w:rsidRDefault="00624691" w:rsidP="00610075">
            <w:pPr>
              <w:pStyle w:val="Tabletext"/>
            </w:pPr>
            <w:r w:rsidRPr="006D2224">
              <w:t>Markov cohort model (with half-cycle correction for all consequences and disease management costs only)</w:t>
            </w:r>
          </w:p>
        </w:tc>
      </w:tr>
      <w:tr w:rsidR="00624691" w:rsidRPr="006D2224" w:rsidTr="00624691">
        <w:tc>
          <w:tcPr>
            <w:tcW w:w="1164" w:type="pct"/>
            <w:vAlign w:val="center"/>
          </w:tcPr>
          <w:p w:rsidR="00624691" w:rsidRPr="006D2224" w:rsidRDefault="00624691" w:rsidP="00610075">
            <w:pPr>
              <w:pStyle w:val="Tabletext"/>
            </w:pPr>
            <w:r w:rsidRPr="006D2224">
              <w:t>Time horizon</w:t>
            </w:r>
          </w:p>
        </w:tc>
        <w:tc>
          <w:tcPr>
            <w:tcW w:w="3836" w:type="pct"/>
          </w:tcPr>
          <w:p w:rsidR="00624691" w:rsidRPr="006D2224" w:rsidRDefault="00624691" w:rsidP="00610075">
            <w:pPr>
              <w:pStyle w:val="Tabletext"/>
            </w:pPr>
            <w:r w:rsidRPr="006D2224">
              <w:t>5 years</w:t>
            </w:r>
          </w:p>
        </w:tc>
      </w:tr>
      <w:tr w:rsidR="00624691" w:rsidRPr="006D2224" w:rsidTr="00624691">
        <w:tc>
          <w:tcPr>
            <w:tcW w:w="1164" w:type="pct"/>
            <w:vAlign w:val="center"/>
          </w:tcPr>
          <w:p w:rsidR="00624691" w:rsidRPr="006D2224" w:rsidRDefault="00624691" w:rsidP="00610075">
            <w:pPr>
              <w:pStyle w:val="Tabletext"/>
            </w:pPr>
            <w:r w:rsidRPr="006D2224">
              <w:t>Cycle length</w:t>
            </w:r>
          </w:p>
        </w:tc>
        <w:tc>
          <w:tcPr>
            <w:tcW w:w="3836" w:type="pct"/>
          </w:tcPr>
          <w:p w:rsidR="00624691" w:rsidRPr="006D2224" w:rsidRDefault="00624691" w:rsidP="00610075">
            <w:pPr>
              <w:pStyle w:val="Tabletext"/>
            </w:pPr>
            <w:r w:rsidRPr="006D2224">
              <w:t>29 days</w:t>
            </w:r>
          </w:p>
        </w:tc>
      </w:tr>
      <w:tr w:rsidR="00624691" w:rsidRPr="006D2224" w:rsidTr="00624691">
        <w:tc>
          <w:tcPr>
            <w:tcW w:w="1164" w:type="pct"/>
            <w:vAlign w:val="center"/>
          </w:tcPr>
          <w:p w:rsidR="00624691" w:rsidRPr="006D2224" w:rsidRDefault="00624691" w:rsidP="00610075">
            <w:pPr>
              <w:pStyle w:val="Tabletext"/>
            </w:pPr>
            <w:r w:rsidRPr="006D2224">
              <w:t>Discounting</w:t>
            </w:r>
          </w:p>
        </w:tc>
        <w:tc>
          <w:tcPr>
            <w:tcW w:w="3836" w:type="pct"/>
          </w:tcPr>
          <w:p w:rsidR="00624691" w:rsidRPr="006D2224" w:rsidRDefault="00624691" w:rsidP="00610075">
            <w:pPr>
              <w:pStyle w:val="Tabletext"/>
            </w:pPr>
            <w:r w:rsidRPr="006D2224">
              <w:t>5% for costs and outcomes, applied annually</w:t>
            </w:r>
          </w:p>
        </w:tc>
      </w:tr>
      <w:tr w:rsidR="00624691" w:rsidRPr="006D2224" w:rsidTr="00624691">
        <w:tc>
          <w:tcPr>
            <w:tcW w:w="1164" w:type="pct"/>
            <w:vAlign w:val="center"/>
          </w:tcPr>
          <w:p w:rsidR="00624691" w:rsidRPr="006D2224" w:rsidRDefault="00624691" w:rsidP="00610075">
            <w:pPr>
              <w:pStyle w:val="Tabletext"/>
            </w:pPr>
            <w:r w:rsidRPr="006D2224">
              <w:t>Population</w:t>
            </w:r>
          </w:p>
        </w:tc>
        <w:tc>
          <w:tcPr>
            <w:tcW w:w="3836" w:type="pct"/>
          </w:tcPr>
          <w:p w:rsidR="00624691" w:rsidRPr="006D2224" w:rsidRDefault="00624691" w:rsidP="00610075">
            <w:pPr>
              <w:pStyle w:val="Tabletext"/>
            </w:pPr>
            <w:r w:rsidRPr="006D2224">
              <w:t xml:space="preserve">AD-301 and AD-302 trial populations; patients aged 2 years and above with mild to moderate atopic dermatitis </w:t>
            </w:r>
          </w:p>
        </w:tc>
      </w:tr>
      <w:tr w:rsidR="00624691" w:rsidRPr="006D2224" w:rsidTr="00624691">
        <w:tc>
          <w:tcPr>
            <w:tcW w:w="1164" w:type="pct"/>
            <w:vAlign w:val="center"/>
          </w:tcPr>
          <w:p w:rsidR="00624691" w:rsidRPr="006D2224" w:rsidRDefault="00624691" w:rsidP="00610075">
            <w:pPr>
              <w:pStyle w:val="Tabletext"/>
            </w:pPr>
            <w:r w:rsidRPr="006D2224">
              <w:t>Health states</w:t>
            </w:r>
          </w:p>
        </w:tc>
        <w:tc>
          <w:tcPr>
            <w:tcW w:w="3836" w:type="pct"/>
          </w:tcPr>
          <w:p w:rsidR="00624691" w:rsidRPr="006D2224" w:rsidRDefault="00624691" w:rsidP="00610075">
            <w:pPr>
              <w:pStyle w:val="Tabletext"/>
            </w:pPr>
            <w:r w:rsidRPr="006D2224">
              <w:t>Clear/almost clear (ISGA 0 or 1), mild (ISGA 2), moderate (ISGA 3), severe (ISGA 4), dead</w:t>
            </w:r>
          </w:p>
        </w:tc>
      </w:tr>
      <w:tr w:rsidR="00624691" w:rsidRPr="006D2224" w:rsidTr="00624691">
        <w:tc>
          <w:tcPr>
            <w:tcW w:w="1164" w:type="pct"/>
            <w:vAlign w:val="center"/>
          </w:tcPr>
          <w:p w:rsidR="00624691" w:rsidRPr="006D2224" w:rsidRDefault="00624691" w:rsidP="00610075">
            <w:pPr>
              <w:pStyle w:val="Tabletext"/>
            </w:pPr>
            <w:r w:rsidRPr="006D2224">
              <w:t>Outcomes</w:t>
            </w:r>
          </w:p>
        </w:tc>
        <w:tc>
          <w:tcPr>
            <w:tcW w:w="3836" w:type="pct"/>
          </w:tcPr>
          <w:p w:rsidR="00624691" w:rsidRPr="006D2224" w:rsidRDefault="00624691" w:rsidP="00610075">
            <w:pPr>
              <w:pStyle w:val="Tabletext"/>
            </w:pPr>
            <w:r w:rsidRPr="006D2224">
              <w:t>Quality-adjusted life years</w:t>
            </w:r>
          </w:p>
        </w:tc>
      </w:tr>
      <w:tr w:rsidR="00624691" w:rsidRPr="006D2224" w:rsidTr="00624691">
        <w:tc>
          <w:tcPr>
            <w:tcW w:w="1164" w:type="pct"/>
            <w:vAlign w:val="center"/>
          </w:tcPr>
          <w:p w:rsidR="00624691" w:rsidRPr="006D2224" w:rsidRDefault="00624691" w:rsidP="00610075">
            <w:pPr>
              <w:pStyle w:val="Tabletext"/>
            </w:pPr>
            <w:r w:rsidRPr="006D2224">
              <w:t xml:space="preserve">Transition probabilities </w:t>
            </w:r>
          </w:p>
        </w:tc>
        <w:tc>
          <w:tcPr>
            <w:tcW w:w="3836" w:type="pct"/>
          </w:tcPr>
          <w:p w:rsidR="00624691" w:rsidRPr="006D2224" w:rsidRDefault="00624691" w:rsidP="00610075">
            <w:pPr>
              <w:pStyle w:val="Tabletext"/>
            </w:pPr>
            <w:r w:rsidRPr="006D2224">
              <w:t xml:space="preserve">Transition probabilities in the first 29-day cycle were derived from the primary and secondary endpoints (ISGA score of 0 or 1 with/without ≥2-grade improvement) in Trials AD-301 and AD-302 (29 day trial durations). </w:t>
            </w:r>
          </w:p>
          <w:p w:rsidR="00624691" w:rsidRPr="006D2224" w:rsidRDefault="00624691" w:rsidP="00610075">
            <w:pPr>
              <w:pStyle w:val="Tabletext"/>
            </w:pPr>
            <w:r w:rsidRPr="006D2224">
              <w:t>In Cycles 2-12</w:t>
            </w:r>
            <w:r w:rsidR="007A4E99" w:rsidRPr="006D2224">
              <w:t xml:space="preserve"> (first year of treatment)</w:t>
            </w:r>
            <w:r w:rsidRPr="006D2224">
              <w:t>, the submission assumed that the likelihood of patients moving to less severe health states was progressively decreased in each subsequent cycle by 50% compared to the preceding cycle. From Cycle 13</w:t>
            </w:r>
            <w:r w:rsidR="007A4E99" w:rsidRPr="006D2224">
              <w:t xml:space="preserve"> (start of year 2)</w:t>
            </w:r>
            <w:r w:rsidRPr="006D2224">
              <w:t xml:space="preserve"> to the end of the model, all patients remained in the health states they were in at the end of Cycle 12</w:t>
            </w:r>
            <w:r w:rsidR="007A4E99" w:rsidRPr="006D2224">
              <w:t xml:space="preserve"> (year 1 of treatment)</w:t>
            </w:r>
            <w:r w:rsidRPr="006D2224">
              <w:t xml:space="preserve">. </w:t>
            </w:r>
          </w:p>
          <w:p w:rsidR="00624691" w:rsidRPr="006D2224" w:rsidRDefault="00624691" w:rsidP="00610075">
            <w:pPr>
              <w:pStyle w:val="Tabletext"/>
            </w:pPr>
            <w:r w:rsidRPr="006D2224">
              <w:t xml:space="preserve">In all cycles, the submission also assumed that patients can only remain in the state in which they began the cycle or transition to a better state (i.e. no patients get worse over the model lifetime). </w:t>
            </w:r>
          </w:p>
          <w:p w:rsidR="00624691" w:rsidRPr="006D2224" w:rsidRDefault="00624691" w:rsidP="00610075">
            <w:pPr>
              <w:pStyle w:val="Tabletext"/>
            </w:pPr>
            <w:r w:rsidRPr="006D2224">
              <w:t xml:space="preserve">Transition probabilities to death were based on Australian age-specific death rates in 2016 for the general population. </w:t>
            </w:r>
          </w:p>
        </w:tc>
      </w:tr>
      <w:tr w:rsidR="00624691" w:rsidRPr="006D2224" w:rsidTr="00624691">
        <w:tc>
          <w:tcPr>
            <w:tcW w:w="1164" w:type="pct"/>
            <w:vAlign w:val="center"/>
          </w:tcPr>
          <w:p w:rsidR="00624691" w:rsidRPr="006D2224" w:rsidRDefault="00624691" w:rsidP="00610075">
            <w:pPr>
              <w:pStyle w:val="Tabletext"/>
            </w:pPr>
            <w:r w:rsidRPr="006D2224">
              <w:t>Software package</w:t>
            </w:r>
          </w:p>
        </w:tc>
        <w:tc>
          <w:tcPr>
            <w:tcW w:w="3836" w:type="pct"/>
          </w:tcPr>
          <w:p w:rsidR="00624691" w:rsidRPr="006D2224" w:rsidRDefault="00624691" w:rsidP="00610075">
            <w:pPr>
              <w:pStyle w:val="Tabletext"/>
            </w:pPr>
            <w:r w:rsidRPr="006D2224">
              <w:t>Excel 2010</w:t>
            </w:r>
          </w:p>
        </w:tc>
      </w:tr>
    </w:tbl>
    <w:p w:rsidR="00624691" w:rsidRPr="006D2224" w:rsidRDefault="00624691" w:rsidP="00624691">
      <w:pPr>
        <w:pStyle w:val="TableFooter"/>
      </w:pPr>
      <w:r w:rsidRPr="006D2224">
        <w:t>Source: Table 3.1-1, p132 of the submission</w:t>
      </w:r>
    </w:p>
    <w:p w:rsidR="00624691" w:rsidRPr="006D2224" w:rsidRDefault="00624691" w:rsidP="00624691">
      <w:pPr>
        <w:pStyle w:val="TableFooter"/>
        <w:rPr>
          <w:sz w:val="20"/>
        </w:rPr>
      </w:pPr>
      <w:r w:rsidRPr="006D2224">
        <w:t>Abbreviation: ISGA, Investigator’s Static Global Assessment</w:t>
      </w:r>
    </w:p>
    <w:p w:rsidR="00275C5A" w:rsidRPr="006D2224" w:rsidRDefault="00275C5A" w:rsidP="0023209F"/>
    <w:p w:rsidR="004265BF" w:rsidRDefault="00624691" w:rsidP="00853208">
      <w:pPr>
        <w:pStyle w:val="ListParagraph"/>
        <w:widowControl/>
        <w:numPr>
          <w:ilvl w:val="1"/>
          <w:numId w:val="2"/>
        </w:numPr>
        <w:jc w:val="left"/>
      </w:pPr>
      <w:r w:rsidRPr="006D2224">
        <w:t>All patients start in either the mild or moderate disease health states. In each 29-day cycle up to model cycle 12</w:t>
      </w:r>
      <w:r w:rsidR="007A4E99" w:rsidRPr="006D2224">
        <w:t xml:space="preserve"> (first year of treatment)</w:t>
      </w:r>
      <w:r w:rsidRPr="006D2224">
        <w:t>, patients can remain in the health state in which they began that cycle, move to a less severe health state or die. Patients who enter the clear/almost clear health state can only remain in that state or die. From model cycle 13</w:t>
      </w:r>
      <w:r w:rsidR="007A4E99" w:rsidRPr="006D2224">
        <w:t xml:space="preserve"> (start of year 2)</w:t>
      </w:r>
      <w:r w:rsidRPr="006D2224">
        <w:t xml:space="preserve">, patients can only remain in the health state in which they began that cycle or die. In the base case analysis, no patients occupied the severe health state. Patients in all health states except clear/almost clear and dead accrued ongoing chronic costs and consequences associated with mild to moderate disease. The model assumed that patients in the </w:t>
      </w:r>
      <w:proofErr w:type="spellStart"/>
      <w:r w:rsidRPr="006D2224">
        <w:t>crisaborole</w:t>
      </w:r>
      <w:proofErr w:type="spellEnd"/>
      <w:r w:rsidRPr="006D2224">
        <w:t xml:space="preserve"> arm received ongoing treatment over the model lifetime regardless of disease status whereas patients in the vehicle arm received no active treatments. The model does not allow for treatment discontinuation</w:t>
      </w:r>
      <w:r w:rsidR="0078198E" w:rsidRPr="006D2224">
        <w:t>.</w:t>
      </w:r>
    </w:p>
    <w:p w:rsidR="001B7C3B" w:rsidRPr="006D2224" w:rsidRDefault="00624691" w:rsidP="00173629">
      <w:pPr>
        <w:pStyle w:val="ListParagraph"/>
        <w:widowControl/>
        <w:numPr>
          <w:ilvl w:val="1"/>
          <w:numId w:val="2"/>
        </w:numPr>
      </w:pPr>
      <w:r w:rsidRPr="006D2224">
        <w:lastRenderedPageBreak/>
        <w:t>Key drivers of the economic model are summarised in the table below.</w:t>
      </w:r>
    </w:p>
    <w:p w:rsidR="00D110BD" w:rsidRPr="006D2224" w:rsidRDefault="00D110BD" w:rsidP="009D792E">
      <w:pPr>
        <w:rPr>
          <w:rStyle w:val="CommentReference"/>
        </w:rPr>
      </w:pPr>
      <w:r w:rsidRPr="006D2224">
        <w:rPr>
          <w:rStyle w:val="CommentReference"/>
        </w:rPr>
        <w:t xml:space="preserve">Table </w:t>
      </w:r>
      <w:r w:rsidR="001B7C3B" w:rsidRPr="006D2224">
        <w:rPr>
          <w:rStyle w:val="CommentReference"/>
        </w:rPr>
        <w:t>12</w:t>
      </w:r>
      <w:r w:rsidRPr="006D2224">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4"/>
        <w:gridCol w:w="6754"/>
        <w:gridCol w:w="1109"/>
      </w:tblGrid>
      <w:tr w:rsidR="00537182" w:rsidRPr="006D2224" w:rsidTr="00D831C6">
        <w:trPr>
          <w:tblHeader/>
        </w:trPr>
        <w:tc>
          <w:tcPr>
            <w:tcW w:w="640" w:type="pct"/>
            <w:shd w:val="clear" w:color="auto" w:fill="auto"/>
            <w:vAlign w:val="center"/>
          </w:tcPr>
          <w:p w:rsidR="00D110BD" w:rsidRPr="006D2224" w:rsidRDefault="00D110BD" w:rsidP="003D1DE4">
            <w:pPr>
              <w:pStyle w:val="Tabletext"/>
              <w:rPr>
                <w:b/>
              </w:rPr>
            </w:pPr>
            <w:r w:rsidRPr="006D2224">
              <w:rPr>
                <w:b/>
              </w:rPr>
              <w:t>Description</w:t>
            </w:r>
          </w:p>
        </w:tc>
        <w:tc>
          <w:tcPr>
            <w:tcW w:w="3745" w:type="pct"/>
            <w:shd w:val="clear" w:color="auto" w:fill="auto"/>
            <w:vAlign w:val="center"/>
          </w:tcPr>
          <w:p w:rsidR="00D110BD" w:rsidRPr="006D2224" w:rsidRDefault="00D110BD" w:rsidP="003D1DE4">
            <w:pPr>
              <w:pStyle w:val="Tabletext"/>
              <w:jc w:val="center"/>
              <w:rPr>
                <w:b/>
              </w:rPr>
            </w:pPr>
            <w:r w:rsidRPr="006D2224">
              <w:rPr>
                <w:b/>
              </w:rPr>
              <w:t>Method/Value</w:t>
            </w:r>
          </w:p>
        </w:tc>
        <w:tc>
          <w:tcPr>
            <w:tcW w:w="615" w:type="pct"/>
            <w:shd w:val="clear" w:color="auto" w:fill="auto"/>
            <w:vAlign w:val="center"/>
          </w:tcPr>
          <w:p w:rsidR="00D110BD" w:rsidRPr="006D2224" w:rsidRDefault="00D110BD" w:rsidP="003D1DE4">
            <w:pPr>
              <w:pStyle w:val="Tabletext"/>
              <w:jc w:val="center"/>
              <w:rPr>
                <w:b/>
              </w:rPr>
            </w:pPr>
            <w:r w:rsidRPr="006D2224">
              <w:rPr>
                <w:b/>
              </w:rPr>
              <w:t>Impact</w:t>
            </w:r>
          </w:p>
        </w:tc>
      </w:tr>
      <w:tr w:rsidR="00627891" w:rsidRPr="006D2224" w:rsidTr="00D831C6">
        <w:tc>
          <w:tcPr>
            <w:tcW w:w="640" w:type="pct"/>
            <w:shd w:val="clear" w:color="auto" w:fill="auto"/>
            <w:vAlign w:val="center"/>
          </w:tcPr>
          <w:p w:rsidR="00627891" w:rsidRPr="006D2224" w:rsidRDefault="00627891" w:rsidP="003D1DE4">
            <w:pPr>
              <w:pStyle w:val="Tabletext"/>
            </w:pPr>
            <w:r w:rsidRPr="006D2224">
              <w:t>Treatment costs</w:t>
            </w:r>
          </w:p>
        </w:tc>
        <w:tc>
          <w:tcPr>
            <w:tcW w:w="3745" w:type="pct"/>
            <w:shd w:val="clear" w:color="auto" w:fill="auto"/>
            <w:vAlign w:val="center"/>
          </w:tcPr>
          <w:p w:rsidR="00602325" w:rsidRPr="006D2224" w:rsidRDefault="00602325" w:rsidP="00602325">
            <w:pPr>
              <w:pStyle w:val="TableText0"/>
              <w:keepNext w:val="0"/>
              <w:widowControl w:val="0"/>
              <w:spacing w:before="0" w:after="0"/>
            </w:pPr>
            <w:r w:rsidRPr="006D2224">
              <w:t xml:space="preserve">Based on </w:t>
            </w:r>
            <w:r w:rsidR="00791FD6" w:rsidRPr="006D2224">
              <w:t xml:space="preserve">the </w:t>
            </w:r>
            <w:r w:rsidRPr="006D2224">
              <w:t xml:space="preserve">proposed DPMQ for </w:t>
            </w:r>
            <w:proofErr w:type="spellStart"/>
            <w:r w:rsidRPr="006D2224">
              <w:t>crisaborole</w:t>
            </w:r>
            <w:proofErr w:type="spellEnd"/>
            <w:r w:rsidRPr="006D2224">
              <w:t xml:space="preserve"> of $</w:t>
            </w:r>
            <w:r w:rsidR="007131B6">
              <w:rPr>
                <w:noProof/>
                <w:color w:val="000000"/>
                <w:highlight w:val="black"/>
              </w:rPr>
              <w:t>'''''''''</w:t>
            </w:r>
            <w:r w:rsidRPr="006D2224">
              <w:t xml:space="preserve"> per 60 g tube. The cost per 60 g tube was applied once every 8 cycles based on an assumed annual utilisation of </w:t>
            </w:r>
            <w:r w:rsidR="007131B6">
              <w:rPr>
                <w:noProof/>
                <w:color w:val="000000"/>
                <w:highlight w:val="black"/>
              </w:rPr>
              <w:t>''''''</w:t>
            </w:r>
            <w:r w:rsidRPr="006D2224">
              <w:t xml:space="preserve"> g (</w:t>
            </w:r>
            <w:r w:rsidR="007131B6">
              <w:rPr>
                <w:noProof/>
                <w:color w:val="000000"/>
                <w:highlight w:val="black"/>
              </w:rPr>
              <w:t>'''''''''</w:t>
            </w:r>
            <w:r w:rsidRPr="006D2224">
              <w:t xml:space="preserve"> tubes per year). The assumption was </w:t>
            </w:r>
            <w:r w:rsidR="00127BDA" w:rsidRPr="006D2224">
              <w:t xml:space="preserve">inadequately supported by US </w:t>
            </w:r>
            <w:r w:rsidR="00D11CC3" w:rsidRPr="006D2224">
              <w:t>claims</w:t>
            </w:r>
            <w:r w:rsidR="00127BDA" w:rsidRPr="006D2224">
              <w:t xml:space="preserve"> data </w:t>
            </w:r>
            <w:r w:rsidR="00D831C6" w:rsidRPr="006D2224">
              <w:t xml:space="preserve">provided in the submission </w:t>
            </w:r>
            <w:r w:rsidR="00127BDA" w:rsidRPr="006D2224">
              <w:t xml:space="preserve">that were highly uncertain due to exclusion </w:t>
            </w:r>
            <w:r w:rsidR="00D831C6" w:rsidRPr="006D2224">
              <w:t>of many groups of patients from the analysis</w:t>
            </w:r>
            <w:r w:rsidR="00127BDA" w:rsidRPr="006D2224">
              <w:t xml:space="preserve"> (e.g. </w:t>
            </w:r>
            <w:r w:rsidR="00D831C6" w:rsidRPr="006D2224">
              <w:t xml:space="preserve">excluding patients with intermittent use of </w:t>
            </w:r>
            <w:proofErr w:type="spellStart"/>
            <w:r w:rsidR="00127BDA" w:rsidRPr="006D2224">
              <w:t>crisaborole</w:t>
            </w:r>
            <w:proofErr w:type="spellEnd"/>
            <w:r w:rsidR="00127BDA" w:rsidRPr="006D2224">
              <w:t>)</w:t>
            </w:r>
            <w:r w:rsidR="00D831C6" w:rsidRPr="006D2224">
              <w:t xml:space="preserve"> and misinterpretation of the </w:t>
            </w:r>
            <w:r w:rsidR="005D2926" w:rsidRPr="006D2224">
              <w:t>results</w:t>
            </w:r>
            <w:r w:rsidR="00D831C6" w:rsidRPr="006D2224">
              <w:t xml:space="preserve"> (</w:t>
            </w:r>
            <w:r w:rsidR="007131B6">
              <w:rPr>
                <w:noProof/>
                <w:color w:val="000000"/>
                <w:highlight w:val="black"/>
              </w:rPr>
              <w:t>''''''''</w:t>
            </w:r>
            <w:r w:rsidR="00D831C6" w:rsidRPr="006D2224">
              <w:t xml:space="preserve"> claims does not directly translate to </w:t>
            </w:r>
            <w:r w:rsidR="007131B6">
              <w:rPr>
                <w:noProof/>
                <w:color w:val="000000"/>
                <w:highlight w:val="black"/>
              </w:rPr>
              <w:t xml:space="preserve">'''''''' </w:t>
            </w:r>
            <w:r w:rsidR="00D831C6" w:rsidRPr="006D2224">
              <w:t xml:space="preserve">tubes). Supportive data based on another analysis of US health insurance claims data were also uncertain due to significant data loss with only 4% of </w:t>
            </w:r>
            <w:r w:rsidR="00791FD6" w:rsidRPr="006D2224">
              <w:t xml:space="preserve">the </w:t>
            </w:r>
            <w:r w:rsidR="00D831C6" w:rsidRPr="006D2224">
              <w:t xml:space="preserve">population remaining at the end of the 12-month analysis period. </w:t>
            </w:r>
            <w:r w:rsidR="00127BDA" w:rsidRPr="006D2224">
              <w:t xml:space="preserve">US </w:t>
            </w:r>
            <w:r w:rsidR="00D11CC3" w:rsidRPr="006D2224">
              <w:t>claims</w:t>
            </w:r>
            <w:r w:rsidR="00127BDA" w:rsidRPr="006D2224">
              <w:t xml:space="preserve"> data </w:t>
            </w:r>
            <w:r w:rsidR="00D831C6" w:rsidRPr="006D2224">
              <w:t xml:space="preserve">may not be </w:t>
            </w:r>
            <w:proofErr w:type="spellStart"/>
            <w:r w:rsidR="00D831C6" w:rsidRPr="006D2224">
              <w:t>generalisable</w:t>
            </w:r>
            <w:proofErr w:type="spellEnd"/>
            <w:r w:rsidR="00D831C6" w:rsidRPr="006D2224">
              <w:t xml:space="preserve"> </w:t>
            </w:r>
            <w:r w:rsidR="00127BDA" w:rsidRPr="006D2224">
              <w:t xml:space="preserve">to </w:t>
            </w:r>
            <w:r w:rsidR="00D831C6" w:rsidRPr="006D2224">
              <w:t xml:space="preserve">the Australian setting </w:t>
            </w:r>
            <w:r w:rsidR="00127BDA" w:rsidRPr="006D2224">
              <w:t xml:space="preserve">as US health insurance providers typically have different restrictions </w:t>
            </w:r>
            <w:r w:rsidR="00D831C6" w:rsidRPr="006D2224">
              <w:t>in te</w:t>
            </w:r>
            <w:r w:rsidR="005D2926" w:rsidRPr="006D2224">
              <w:t>rms of eligibility and quantity dispensed.</w:t>
            </w:r>
            <w:r w:rsidR="00D831C6" w:rsidRPr="006D2224">
              <w:t xml:space="preserve"> </w:t>
            </w:r>
            <w:r w:rsidR="00127BDA" w:rsidRPr="006D2224">
              <w:t xml:space="preserve"> </w:t>
            </w:r>
          </w:p>
          <w:p w:rsidR="00627891" w:rsidRPr="006D2224" w:rsidRDefault="00602325" w:rsidP="005D2926">
            <w:pPr>
              <w:pStyle w:val="TableText0"/>
              <w:keepNext w:val="0"/>
              <w:widowControl w:val="0"/>
              <w:spacing w:before="0" w:after="0"/>
            </w:pPr>
            <w:r w:rsidRPr="006D2224">
              <w:t xml:space="preserve">The assumed utilisation amounts to approximately </w:t>
            </w:r>
            <w:r w:rsidR="007131B6">
              <w:rPr>
                <w:noProof/>
                <w:color w:val="000000"/>
                <w:highlight w:val="black"/>
              </w:rPr>
              <w:t>''''''''</w:t>
            </w:r>
            <w:r w:rsidRPr="006D2224">
              <w:t xml:space="preserve"> g per 29-day model cycle which</w:t>
            </w:r>
            <w:r w:rsidR="005D2926" w:rsidRPr="006D2224">
              <w:t xml:space="preserve"> was inconsistent with </w:t>
            </w:r>
            <w:proofErr w:type="spellStart"/>
            <w:r w:rsidR="005D2926" w:rsidRPr="006D2224">
              <w:t>crisaborole</w:t>
            </w:r>
            <w:proofErr w:type="spellEnd"/>
            <w:r w:rsidR="005D2926" w:rsidRPr="006D2224">
              <w:t xml:space="preserve"> trials reporti</w:t>
            </w:r>
            <w:r w:rsidRPr="006D2224">
              <w:t>ng an ave</w:t>
            </w:r>
            <w:r w:rsidR="005D2926" w:rsidRPr="006D2224">
              <w:t>rage of 170 g used over 4 weeks.</w:t>
            </w:r>
          </w:p>
        </w:tc>
        <w:tc>
          <w:tcPr>
            <w:tcW w:w="615" w:type="pct"/>
            <w:shd w:val="clear" w:color="auto" w:fill="auto"/>
            <w:vAlign w:val="center"/>
          </w:tcPr>
          <w:p w:rsidR="00627891" w:rsidRPr="006D2224" w:rsidRDefault="00602325" w:rsidP="003D1DE4">
            <w:pPr>
              <w:pStyle w:val="Tabletext"/>
            </w:pPr>
            <w:r w:rsidRPr="006D2224">
              <w:t xml:space="preserve">High, favours </w:t>
            </w:r>
            <w:proofErr w:type="spellStart"/>
            <w:r w:rsidRPr="006D2224">
              <w:t>crisaborole</w:t>
            </w:r>
            <w:proofErr w:type="spellEnd"/>
          </w:p>
        </w:tc>
      </w:tr>
      <w:tr w:rsidR="008C7C14" w:rsidRPr="006D2224" w:rsidTr="00610075">
        <w:tc>
          <w:tcPr>
            <w:tcW w:w="640" w:type="pct"/>
            <w:shd w:val="clear" w:color="auto" w:fill="auto"/>
            <w:vAlign w:val="center"/>
          </w:tcPr>
          <w:p w:rsidR="008C7C14" w:rsidRPr="006D2224" w:rsidRDefault="008C7C14" w:rsidP="00610075">
            <w:pPr>
              <w:pStyle w:val="Tabletext"/>
            </w:pPr>
            <w:r w:rsidRPr="006D2224">
              <w:t>Time horizon</w:t>
            </w:r>
          </w:p>
        </w:tc>
        <w:tc>
          <w:tcPr>
            <w:tcW w:w="3745" w:type="pct"/>
            <w:shd w:val="clear" w:color="auto" w:fill="auto"/>
            <w:vAlign w:val="center"/>
          </w:tcPr>
          <w:p w:rsidR="008C7C14" w:rsidRPr="006D2224" w:rsidRDefault="008C7C14" w:rsidP="008F329D">
            <w:pPr>
              <w:pStyle w:val="TableText0"/>
              <w:keepNext w:val="0"/>
              <w:widowControl w:val="0"/>
              <w:spacing w:before="0" w:after="0"/>
            </w:pPr>
            <w:r w:rsidRPr="006D2224">
              <w:t xml:space="preserve">5 years. </w:t>
            </w:r>
            <w:r w:rsidR="008F329D" w:rsidRPr="006D2224">
              <w:t xml:space="preserve">This was inconsistent with the majority of published economic models that used 1-year time horizons to evaluate interventions for atopic dermatitis.  </w:t>
            </w:r>
          </w:p>
        </w:tc>
        <w:tc>
          <w:tcPr>
            <w:tcW w:w="615" w:type="pct"/>
            <w:shd w:val="clear" w:color="auto" w:fill="auto"/>
            <w:vAlign w:val="center"/>
          </w:tcPr>
          <w:p w:rsidR="008C7C14" w:rsidRPr="006D2224" w:rsidRDefault="008C7C14" w:rsidP="00610075">
            <w:pPr>
              <w:pStyle w:val="Tabletext"/>
            </w:pPr>
            <w:r w:rsidRPr="006D2224">
              <w:t xml:space="preserve">High, favours </w:t>
            </w:r>
            <w:proofErr w:type="spellStart"/>
            <w:r w:rsidRPr="006D2224">
              <w:t>crisaborole</w:t>
            </w:r>
            <w:proofErr w:type="spellEnd"/>
          </w:p>
        </w:tc>
      </w:tr>
      <w:tr w:rsidR="00537182" w:rsidRPr="006D2224" w:rsidTr="00D831C6">
        <w:tc>
          <w:tcPr>
            <w:tcW w:w="640" w:type="pct"/>
            <w:shd w:val="clear" w:color="auto" w:fill="auto"/>
            <w:vAlign w:val="center"/>
          </w:tcPr>
          <w:p w:rsidR="00D110BD" w:rsidRPr="006D2224" w:rsidRDefault="00106B80" w:rsidP="003D1DE4">
            <w:pPr>
              <w:pStyle w:val="Tabletext"/>
            </w:pPr>
            <w:r w:rsidRPr="006D2224">
              <w:t>Extrapolation</w:t>
            </w:r>
            <w:r w:rsidR="00627891" w:rsidRPr="006D2224">
              <w:t xml:space="preserve"> of treatment effect</w:t>
            </w:r>
          </w:p>
        </w:tc>
        <w:tc>
          <w:tcPr>
            <w:tcW w:w="3745" w:type="pct"/>
            <w:shd w:val="clear" w:color="auto" w:fill="auto"/>
            <w:vAlign w:val="center"/>
          </w:tcPr>
          <w:p w:rsidR="008C7C14" w:rsidRPr="006D2224" w:rsidRDefault="005D2926" w:rsidP="005D2926">
            <w:pPr>
              <w:pStyle w:val="Tabletext"/>
            </w:pPr>
            <w:r w:rsidRPr="006D2224">
              <w:t xml:space="preserve">In Cycles 2 to 12, the submission assumed that the likelihood of patients moving to less severe health states was progressively decreased in each subsequent cycle by 50% compared to the preceding cycle. </w:t>
            </w:r>
            <w:r w:rsidR="00791FD6" w:rsidRPr="006D2224">
              <w:t>No data were</w:t>
            </w:r>
            <w:r w:rsidR="008C7C14" w:rsidRPr="006D2224">
              <w:t xml:space="preserve"> provided in support of </w:t>
            </w:r>
            <w:r w:rsidR="0008772D" w:rsidRPr="006D2224">
              <w:t>this assumption</w:t>
            </w:r>
            <w:r w:rsidR="008C7C14" w:rsidRPr="006D2224">
              <w:t xml:space="preserve">. </w:t>
            </w:r>
          </w:p>
          <w:p w:rsidR="00106B80" w:rsidRPr="006D2224" w:rsidRDefault="008C7C14" w:rsidP="003D1DE4">
            <w:pPr>
              <w:pStyle w:val="Tabletext"/>
            </w:pPr>
            <w:r w:rsidRPr="006D2224">
              <w:t xml:space="preserve">In Cycles 13 to 63 of the 5-year model, the submission assumed that patients could only remain </w:t>
            </w:r>
            <w:r w:rsidR="005B56C2" w:rsidRPr="006D2224">
              <w:t xml:space="preserve">in </w:t>
            </w:r>
            <w:r w:rsidRPr="006D2224">
              <w:t>the health states in which they started each cycle (i.e. they could not get any better or worse).</w:t>
            </w:r>
            <w:r w:rsidR="005D2926" w:rsidRPr="006D2224">
              <w:t xml:space="preserve"> </w:t>
            </w:r>
            <w:r w:rsidRPr="006D2224">
              <w:t xml:space="preserve">The submission stated that this was due to maintenance of treatment benefit, consistent with continuous treatment with </w:t>
            </w:r>
            <w:proofErr w:type="spellStart"/>
            <w:r w:rsidRPr="006D2224">
              <w:t>crisaborole</w:t>
            </w:r>
            <w:proofErr w:type="spellEnd"/>
            <w:r w:rsidRPr="006D2224">
              <w:t xml:space="preserve"> over the modelled time horizon. </w:t>
            </w:r>
            <w:r w:rsidR="00791FD6" w:rsidRPr="006D2224">
              <w:t>No data were</w:t>
            </w:r>
            <w:r w:rsidRPr="006D2224">
              <w:t xml:space="preserve"> provided in support of this assumption which does not appear to reflect the underlying nature of a relapsing-remitting disease. This assumption was also inconsistent with trial data suggesting a small percentage of patients who had mild to moderate disease at baseline had severe disease at the end of the trial. </w:t>
            </w:r>
          </w:p>
        </w:tc>
        <w:tc>
          <w:tcPr>
            <w:tcW w:w="615" w:type="pct"/>
            <w:shd w:val="clear" w:color="auto" w:fill="auto"/>
            <w:vAlign w:val="center"/>
          </w:tcPr>
          <w:p w:rsidR="00D110BD" w:rsidRPr="006D2224" w:rsidRDefault="00D110BD" w:rsidP="005D2926">
            <w:pPr>
              <w:pStyle w:val="Tabletext"/>
            </w:pPr>
            <w:r w:rsidRPr="006D2224">
              <w:t xml:space="preserve">High, favours </w:t>
            </w:r>
            <w:proofErr w:type="spellStart"/>
            <w:r w:rsidR="005D2926" w:rsidRPr="006D2224">
              <w:t>crisaborole</w:t>
            </w:r>
            <w:proofErr w:type="spellEnd"/>
          </w:p>
        </w:tc>
      </w:tr>
    </w:tbl>
    <w:p w:rsidR="00D110BD" w:rsidRPr="006D2224" w:rsidRDefault="008C7C14" w:rsidP="009D792E">
      <w:pPr>
        <w:pStyle w:val="TableFooter"/>
      </w:pPr>
      <w:r w:rsidRPr="006D2224">
        <w:t>Source: compiled during the evaluation</w:t>
      </w:r>
    </w:p>
    <w:p w:rsidR="008C7C14" w:rsidRPr="006D2224" w:rsidRDefault="008C7C14" w:rsidP="00C303B6">
      <w:pPr>
        <w:widowControl/>
      </w:pPr>
    </w:p>
    <w:p w:rsidR="0078198E" w:rsidRPr="006D2224" w:rsidRDefault="0078198E" w:rsidP="0078198E">
      <w:pPr>
        <w:pStyle w:val="ListParagraph"/>
        <w:widowControl/>
        <w:numPr>
          <w:ilvl w:val="1"/>
          <w:numId w:val="2"/>
        </w:numPr>
      </w:pPr>
      <w:r w:rsidRPr="006D2224">
        <w:t>The ESC considered that the model structure did not reflect the clinical reality of a chronic disease with intermittent acute phases. The main areas of concern were:</w:t>
      </w:r>
    </w:p>
    <w:p w:rsidR="0078198E" w:rsidRPr="006D2224" w:rsidRDefault="0078198E" w:rsidP="0078198E">
      <w:pPr>
        <w:pStyle w:val="Bulletpoints"/>
        <w:ind w:left="1247" w:hanging="340"/>
      </w:pPr>
      <w:r w:rsidRPr="006D2224">
        <w:t>the model structure did not capture all relevant health states as it did not include responder and non-responder health states;</w:t>
      </w:r>
    </w:p>
    <w:p w:rsidR="0078198E" w:rsidRPr="006D2224" w:rsidRDefault="0078198E" w:rsidP="0078198E">
      <w:pPr>
        <w:pStyle w:val="Bulletpoints"/>
        <w:ind w:left="1247" w:hanging="340"/>
      </w:pPr>
      <w:r w:rsidRPr="006D2224">
        <w:t>it was inappropriate to assume that all patients receive treatment regardless of symptoms;</w:t>
      </w:r>
    </w:p>
    <w:p w:rsidR="0078198E" w:rsidRPr="006D2224" w:rsidRDefault="0078198E" w:rsidP="0078198E">
      <w:pPr>
        <w:pStyle w:val="Bulletpoints"/>
        <w:ind w:left="1247" w:hanging="340"/>
      </w:pPr>
      <w:r w:rsidRPr="006D2224">
        <w:t>the model assumed no transition of patients to worse health states and the structure did not allow adequate assessment of the impact of the absence of transitions to worse health states; and</w:t>
      </w:r>
    </w:p>
    <w:p w:rsidR="0078198E" w:rsidRPr="006D2224" w:rsidRDefault="0078198E" w:rsidP="0078198E">
      <w:pPr>
        <w:pStyle w:val="Bulletpoints"/>
        <w:spacing w:after="160"/>
        <w:ind w:left="1247" w:hanging="340"/>
      </w:pPr>
      <w:proofErr w:type="gramStart"/>
      <w:r w:rsidRPr="006D2224">
        <w:t>it</w:t>
      </w:r>
      <w:proofErr w:type="gramEnd"/>
      <w:r w:rsidRPr="006D2224">
        <w:t xml:space="preserve"> was inappropriate to assume that the incremental benefit in year 1 was maintained over the remaining 4 years of the 5 year model as this structure ignores the intermittent nature of AD, is inconsistent with trial data in which a small proportion of patients ended the trial in severe health states and favours the intervention.</w:t>
      </w:r>
    </w:p>
    <w:p w:rsidR="003553A5" w:rsidRPr="006D2224" w:rsidRDefault="005D2926" w:rsidP="00534D86">
      <w:pPr>
        <w:pStyle w:val="ListParagraph"/>
        <w:widowControl/>
        <w:numPr>
          <w:ilvl w:val="1"/>
          <w:numId w:val="2"/>
        </w:numPr>
      </w:pPr>
      <w:r w:rsidRPr="006D2224">
        <w:t xml:space="preserve">The </w:t>
      </w:r>
      <w:r w:rsidR="008C7C14" w:rsidRPr="006D2224">
        <w:t xml:space="preserve">modelled </w:t>
      </w:r>
      <w:r w:rsidRPr="006D2224">
        <w:t>circumstances of use (treatment duration, freq</w:t>
      </w:r>
      <w:r w:rsidR="005E6BAA" w:rsidRPr="006D2224">
        <w:t xml:space="preserve">uency of use) of </w:t>
      </w:r>
      <w:proofErr w:type="spellStart"/>
      <w:r w:rsidR="005E6BAA" w:rsidRPr="006D2224">
        <w:t>crisaborole</w:t>
      </w:r>
      <w:proofErr w:type="spellEnd"/>
      <w:r w:rsidR="005E6BAA" w:rsidRPr="006D2224">
        <w:t xml:space="preserve"> were</w:t>
      </w:r>
      <w:r w:rsidRPr="006D2224">
        <w:t xml:space="preserve"> </w:t>
      </w:r>
      <w:r w:rsidR="00791FD6" w:rsidRPr="006D2224">
        <w:t>unlikely to reflect clinical practice</w:t>
      </w:r>
      <w:r w:rsidRPr="006D2224">
        <w:t>.</w:t>
      </w:r>
      <w:r w:rsidR="00E623E4" w:rsidRPr="006D2224">
        <w:t xml:space="preserve"> </w:t>
      </w:r>
      <w:r w:rsidRPr="006D2224">
        <w:t xml:space="preserve">All patients in the </w:t>
      </w:r>
      <w:proofErr w:type="spellStart"/>
      <w:r w:rsidRPr="006D2224">
        <w:t>crisaborole</w:t>
      </w:r>
      <w:proofErr w:type="spellEnd"/>
      <w:r w:rsidRPr="006D2224">
        <w:t xml:space="preserve"> arm continued to receive the same treatment cost at fixed intervals in the model regardless of symptoms and disease severity (e.g. patients who were in the </w:t>
      </w:r>
      <w:r w:rsidRPr="006D2224">
        <w:lastRenderedPageBreak/>
        <w:t xml:space="preserve">clear/almost clear health state were attributed the same drug cost as patients who remained in the moderate health state). </w:t>
      </w:r>
      <w:r w:rsidR="004C03DE" w:rsidRPr="006D2224">
        <w:t xml:space="preserve">The PSCR (p5) suggested that treatment costs assumed in the model were based on average consumption over a period of time, during which flares occurred. The ESC noted this focus on treatment cost does not reflect the applicability of treatment benefits. </w:t>
      </w:r>
      <w:r w:rsidR="00791FD6" w:rsidRPr="006D2224">
        <w:t>In</w:t>
      </w:r>
      <w:r w:rsidRPr="006D2224">
        <w:t xml:space="preserve"> clinical practice</w:t>
      </w:r>
      <w:r w:rsidR="00791FD6" w:rsidRPr="006D2224">
        <w:t xml:space="preserve">, </w:t>
      </w:r>
      <w:r w:rsidRPr="006D2224">
        <w:t>treatment initiation, disco</w:t>
      </w:r>
      <w:r w:rsidR="00791FD6" w:rsidRPr="006D2224">
        <w:t>ntinuation and amount used would be</w:t>
      </w:r>
      <w:r w:rsidRPr="006D2224">
        <w:t xml:space="preserve"> dependent on the presence/absence of symptoms and disease severity. </w:t>
      </w:r>
      <w:r w:rsidR="003553A5" w:rsidRPr="006D2224">
        <w:t xml:space="preserve">The ESC </w:t>
      </w:r>
      <w:r w:rsidR="004973AC" w:rsidRPr="006D2224">
        <w:t>considered</w:t>
      </w:r>
      <w:r w:rsidR="003553A5" w:rsidRPr="006D2224">
        <w:t xml:space="preserve"> that the major translation issues for the model were:</w:t>
      </w:r>
    </w:p>
    <w:p w:rsidR="003553A5" w:rsidRPr="006D2224" w:rsidRDefault="004973AC" w:rsidP="004973AC">
      <w:pPr>
        <w:pStyle w:val="Bulletpoints"/>
        <w:ind w:left="1247" w:hanging="340"/>
      </w:pPr>
      <w:proofErr w:type="gramStart"/>
      <w:r w:rsidRPr="006D2224">
        <w:t>the</w:t>
      </w:r>
      <w:proofErr w:type="gramEnd"/>
      <w:r w:rsidR="003553A5" w:rsidRPr="006D2224">
        <w:t xml:space="preserve"> time horizon of 5 years despite no</w:t>
      </w:r>
      <w:r w:rsidR="004C03DE" w:rsidRPr="006D2224">
        <w:t xml:space="preserve"> comparative</w:t>
      </w:r>
      <w:r w:rsidR="003553A5" w:rsidRPr="006D2224">
        <w:t xml:space="preserve"> evidence for longer than 29 days</w:t>
      </w:r>
      <w:r w:rsidR="00047DF7" w:rsidRPr="006D2224">
        <w:t>. The extrapolation of treatment effect beyond the first 29-day cycle was based on unsupported assumptions and treatment effects beyond the first year that appeared clinically implausible (e.g. patients could not get better or worse);</w:t>
      </w:r>
    </w:p>
    <w:p w:rsidR="004973AC" w:rsidRPr="006D2224" w:rsidRDefault="004973AC" w:rsidP="004973AC">
      <w:pPr>
        <w:pStyle w:val="Bulletpoints"/>
        <w:ind w:left="1247" w:hanging="340"/>
      </w:pPr>
      <w:r w:rsidRPr="006D2224">
        <w:t>the target population is narrower than the trial population;</w:t>
      </w:r>
    </w:p>
    <w:p w:rsidR="004973AC" w:rsidRPr="006D2224" w:rsidRDefault="004973AC" w:rsidP="004973AC">
      <w:pPr>
        <w:pStyle w:val="Bulletpoints"/>
        <w:ind w:left="1247" w:hanging="340"/>
      </w:pPr>
      <w:proofErr w:type="gramStart"/>
      <w:r w:rsidRPr="006D2224">
        <w:t>the</w:t>
      </w:r>
      <w:proofErr w:type="gramEnd"/>
      <w:r w:rsidRPr="006D2224">
        <w:t xml:space="preserve"> requested setting </w:t>
      </w:r>
      <w:r w:rsidR="00C55022" w:rsidRPr="006D2224">
        <w:t>wa</w:t>
      </w:r>
      <w:r w:rsidRPr="006D2224">
        <w:t xml:space="preserve">s for chronic use whereas the data provided is in the acute setting. The PSCR </w:t>
      </w:r>
      <w:r w:rsidR="004C03DE" w:rsidRPr="006D2224">
        <w:t xml:space="preserve">(p1) </w:t>
      </w:r>
      <w:r w:rsidRPr="006D2224">
        <w:t xml:space="preserve">referred to study AD-303 </w:t>
      </w:r>
      <w:r w:rsidR="00010121" w:rsidRPr="006D2224">
        <w:t xml:space="preserve"> as</w:t>
      </w:r>
      <w:r w:rsidRPr="006D2224">
        <w:t xml:space="preserve"> evidence of the effectiveness of long term intermittent </w:t>
      </w:r>
      <w:proofErr w:type="spellStart"/>
      <w:r w:rsidRPr="006D2224">
        <w:t>crisaborole</w:t>
      </w:r>
      <w:proofErr w:type="spellEnd"/>
      <w:r w:rsidRPr="006D2224">
        <w:t xml:space="preserve"> use, however this study focussed on safety</w:t>
      </w:r>
      <w:r w:rsidR="00010121" w:rsidRPr="006D2224">
        <w:t>, was a single arm, open-label study that was not designed to measure efficacy</w:t>
      </w:r>
      <w:r w:rsidRPr="006D2224">
        <w:t xml:space="preserve"> and was not used in the modelled evaluation;</w:t>
      </w:r>
      <w:r w:rsidR="003553A5" w:rsidRPr="006D2224">
        <w:t xml:space="preserve"> </w:t>
      </w:r>
    </w:p>
    <w:p w:rsidR="004973AC" w:rsidRPr="006D2224" w:rsidRDefault="004973AC" w:rsidP="004973AC">
      <w:pPr>
        <w:pStyle w:val="Bulletpoints"/>
        <w:ind w:left="1247" w:hanging="340"/>
      </w:pPr>
      <w:r w:rsidRPr="006D2224">
        <w:t>trial-based treatment benefits using 170 g over 4 weeks</w:t>
      </w:r>
      <w:r w:rsidR="00DC07F8" w:rsidRPr="006D2224">
        <w:t xml:space="preserve"> were not applicable</w:t>
      </w:r>
      <w:r w:rsidRPr="006D2224">
        <w:t xml:space="preserve"> to </w:t>
      </w:r>
      <w:r w:rsidR="00372E11" w:rsidRPr="006D2224">
        <w:t xml:space="preserve">the </w:t>
      </w:r>
      <w:r w:rsidRPr="006D2224">
        <w:t xml:space="preserve">modelled population assumed to be using </w:t>
      </w:r>
      <w:r w:rsidR="007131B6">
        <w:rPr>
          <w:noProof/>
          <w:color w:val="000000"/>
          <w:highlight w:val="black"/>
        </w:rPr>
        <w:t>'''''</w:t>
      </w:r>
      <w:r w:rsidRPr="006D2224">
        <w:t xml:space="preserve"> g per year; and</w:t>
      </w:r>
    </w:p>
    <w:p w:rsidR="00D629BD" w:rsidRPr="006D2224" w:rsidRDefault="004973AC" w:rsidP="004973AC">
      <w:pPr>
        <w:pStyle w:val="Bulletpoints"/>
        <w:spacing w:after="160"/>
        <w:ind w:left="1247" w:hanging="340"/>
      </w:pPr>
      <w:proofErr w:type="gramStart"/>
      <w:r w:rsidRPr="006D2224">
        <w:t>baseline</w:t>
      </w:r>
      <w:proofErr w:type="gramEnd"/>
      <w:r w:rsidRPr="006D2224">
        <w:t xml:space="preserve"> disease severity </w:t>
      </w:r>
      <w:r w:rsidR="004C03DE" w:rsidRPr="006D2224">
        <w:t xml:space="preserve">was </w:t>
      </w:r>
      <w:r w:rsidRPr="006D2224">
        <w:t xml:space="preserve">assumed </w:t>
      </w:r>
      <w:r w:rsidR="00372E11" w:rsidRPr="006D2224">
        <w:t xml:space="preserve">to be the same </w:t>
      </w:r>
      <w:r w:rsidRPr="006D2224">
        <w:t>across all age groups.</w:t>
      </w:r>
    </w:p>
    <w:p w:rsidR="005E6BAA" w:rsidRPr="006D2224" w:rsidRDefault="00C303B6" w:rsidP="00173629">
      <w:pPr>
        <w:pStyle w:val="ListParagraph"/>
        <w:widowControl/>
        <w:numPr>
          <w:ilvl w:val="1"/>
          <w:numId w:val="2"/>
        </w:numPr>
      </w:pPr>
      <w:r w:rsidRPr="006D2224">
        <w:t>The submission used separate utility values for children (2-18 years) and adults (≥18 years). Estimates were derived using the averages of published utility values that were mapped to each health state in the model. This approach was inappropriate given duplication of data across studies (primarily driven by lower estimates from one study), differences in sampled populations (general population versus patient-derived preferences), methods (mapped utilities, standard gamble utilities, multi-attribute utility instruments) and different severity definitions. These differences resulted in widely varying utility estimates for some health states (e.g. moderate disease ranges from 0.69-0.88).</w:t>
      </w:r>
      <w:r w:rsidR="00372E11" w:rsidRPr="006D2224">
        <w:t xml:space="preserve"> The ESC noted that the utility values obtained from the literature may have limited applicability to health states based on ISGA score.</w:t>
      </w:r>
    </w:p>
    <w:p w:rsidR="005E6BAA" w:rsidRPr="006D2224" w:rsidRDefault="005E6BAA" w:rsidP="00173629">
      <w:pPr>
        <w:pStyle w:val="ListParagraph"/>
        <w:widowControl/>
        <w:numPr>
          <w:ilvl w:val="1"/>
          <w:numId w:val="2"/>
        </w:numPr>
      </w:pPr>
      <w:r w:rsidRPr="006D2224">
        <w:t xml:space="preserve">The costing data used to inform disease management costs in the model were based on older, out-dated data from an outpatient survey (Su et al 1997) that may not represent current clinical practice and/or current health resource costs. Mean estimates from the study may not be reliable given the relatively small sample size (n=48) and substantial variability as indicated by wide standard deviations in the results. </w:t>
      </w:r>
    </w:p>
    <w:p w:rsidR="005E6BAA" w:rsidRPr="006D2224" w:rsidRDefault="005E6BAA" w:rsidP="00853208">
      <w:pPr>
        <w:pStyle w:val="ListParagraph"/>
        <w:widowControl/>
        <w:numPr>
          <w:ilvl w:val="1"/>
          <w:numId w:val="2"/>
        </w:numPr>
        <w:spacing w:after="0"/>
      </w:pPr>
      <w:r w:rsidRPr="006D2224">
        <w:t>The results of the economic evaluation are summarised in the table below.</w:t>
      </w:r>
    </w:p>
    <w:p w:rsidR="00853208" w:rsidRDefault="00853208" w:rsidP="005E6BAA">
      <w:pPr>
        <w:rPr>
          <w:rStyle w:val="CommentReference"/>
        </w:rPr>
      </w:pPr>
    </w:p>
    <w:p w:rsidR="005E6BAA" w:rsidRPr="006D2224" w:rsidRDefault="005E6BAA" w:rsidP="005E6BAA">
      <w:pPr>
        <w:rPr>
          <w:rStyle w:val="CommentReference"/>
        </w:rPr>
      </w:pPr>
      <w:r w:rsidRPr="006D2224">
        <w:rPr>
          <w:rStyle w:val="CommentReference"/>
        </w:rPr>
        <w:t xml:space="preserve">Table </w:t>
      </w:r>
      <w:r w:rsidR="00796A39" w:rsidRPr="006D2224">
        <w:rPr>
          <w:rStyle w:val="CommentReference"/>
        </w:rPr>
        <w:t>13</w:t>
      </w:r>
      <w:r w:rsidRPr="006D2224">
        <w:rPr>
          <w:rStyle w:val="CommentReference"/>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5E6BAA" w:rsidRPr="006D2224" w:rsidTr="005E6BAA">
        <w:trPr>
          <w:tblHeader/>
        </w:trPr>
        <w:tc>
          <w:tcPr>
            <w:tcW w:w="1529" w:type="pct"/>
            <w:vAlign w:val="center"/>
          </w:tcPr>
          <w:p w:rsidR="005E6BAA" w:rsidRPr="006D2224" w:rsidRDefault="005E6BAA" w:rsidP="005E6BAA">
            <w:pPr>
              <w:pStyle w:val="Tabletext"/>
              <w:rPr>
                <w:b/>
              </w:rPr>
            </w:pPr>
            <w:r w:rsidRPr="006D2224">
              <w:rPr>
                <w:b/>
              </w:rPr>
              <w:t>Component</w:t>
            </w:r>
          </w:p>
        </w:tc>
        <w:tc>
          <w:tcPr>
            <w:tcW w:w="1359" w:type="pct"/>
            <w:vAlign w:val="center"/>
          </w:tcPr>
          <w:p w:rsidR="005E6BAA" w:rsidRPr="006D2224" w:rsidRDefault="005E6BAA" w:rsidP="005E6BAA">
            <w:pPr>
              <w:pStyle w:val="Tabletext"/>
              <w:jc w:val="center"/>
              <w:rPr>
                <w:b/>
              </w:rPr>
            </w:pPr>
            <w:proofErr w:type="spellStart"/>
            <w:r w:rsidRPr="006D2224">
              <w:rPr>
                <w:b/>
              </w:rPr>
              <w:t>Crisaborole</w:t>
            </w:r>
            <w:proofErr w:type="spellEnd"/>
          </w:p>
        </w:tc>
        <w:tc>
          <w:tcPr>
            <w:tcW w:w="1274" w:type="pct"/>
            <w:vAlign w:val="center"/>
          </w:tcPr>
          <w:p w:rsidR="005E6BAA" w:rsidRPr="006D2224" w:rsidRDefault="005E6BAA" w:rsidP="005E6BAA">
            <w:pPr>
              <w:pStyle w:val="Tabletext"/>
              <w:jc w:val="center"/>
              <w:rPr>
                <w:b/>
              </w:rPr>
            </w:pPr>
            <w:r w:rsidRPr="006D2224">
              <w:rPr>
                <w:b/>
              </w:rPr>
              <w:t>Vehicle</w:t>
            </w:r>
          </w:p>
        </w:tc>
        <w:tc>
          <w:tcPr>
            <w:tcW w:w="838" w:type="pct"/>
            <w:vAlign w:val="center"/>
          </w:tcPr>
          <w:p w:rsidR="005E6BAA" w:rsidRPr="006D2224" w:rsidRDefault="005E6BAA" w:rsidP="005E6BAA">
            <w:pPr>
              <w:pStyle w:val="Tabletext"/>
              <w:jc w:val="center"/>
              <w:rPr>
                <w:b/>
              </w:rPr>
            </w:pPr>
            <w:r w:rsidRPr="006D2224">
              <w:rPr>
                <w:b/>
              </w:rPr>
              <w:t>Increment</w:t>
            </w:r>
          </w:p>
        </w:tc>
      </w:tr>
      <w:tr w:rsidR="005E6BAA" w:rsidRPr="006D2224" w:rsidTr="005E6BAA">
        <w:tc>
          <w:tcPr>
            <w:tcW w:w="1529" w:type="pct"/>
            <w:vAlign w:val="center"/>
          </w:tcPr>
          <w:p w:rsidR="005E6BAA" w:rsidRPr="006D2224" w:rsidRDefault="005E6BAA" w:rsidP="005E6BAA">
            <w:pPr>
              <w:pStyle w:val="Tabletext"/>
              <w:rPr>
                <w:rFonts w:ascii="Times" w:hAnsi="Times"/>
              </w:rPr>
            </w:pPr>
            <w:r w:rsidRPr="006D2224">
              <w:t>Costs</w:t>
            </w:r>
          </w:p>
        </w:tc>
        <w:tc>
          <w:tcPr>
            <w:tcW w:w="1359" w:type="pct"/>
            <w:vAlign w:val="center"/>
          </w:tcPr>
          <w:p w:rsidR="005E6BAA" w:rsidRPr="006D2224" w:rsidRDefault="005E6BAA" w:rsidP="005E6BAA">
            <w:pPr>
              <w:pStyle w:val="Tabletext"/>
              <w:jc w:val="center"/>
              <w:rPr>
                <w:rFonts w:ascii="Times" w:hAnsi="Times"/>
              </w:rPr>
            </w:pPr>
            <w:r w:rsidRPr="006D2224">
              <w:t>$</w:t>
            </w:r>
            <w:r w:rsidR="007131B6">
              <w:rPr>
                <w:noProof/>
                <w:color w:val="000000"/>
                <w:highlight w:val="black"/>
              </w:rPr>
              <w:t>'''''''''''''</w:t>
            </w:r>
          </w:p>
        </w:tc>
        <w:tc>
          <w:tcPr>
            <w:tcW w:w="1274" w:type="pct"/>
            <w:vAlign w:val="center"/>
          </w:tcPr>
          <w:p w:rsidR="005E6BAA" w:rsidRPr="006D2224" w:rsidRDefault="005E6BAA" w:rsidP="005E6BAA">
            <w:pPr>
              <w:pStyle w:val="Tabletext"/>
              <w:jc w:val="center"/>
              <w:rPr>
                <w:rFonts w:ascii="Times" w:hAnsi="Times"/>
              </w:rPr>
            </w:pPr>
            <w:r w:rsidRPr="006D2224">
              <w:t>$</w:t>
            </w:r>
            <w:r w:rsidR="007131B6">
              <w:rPr>
                <w:noProof/>
                <w:color w:val="000000"/>
                <w:highlight w:val="black"/>
              </w:rPr>
              <w:t>''''''''''''</w:t>
            </w:r>
          </w:p>
        </w:tc>
        <w:tc>
          <w:tcPr>
            <w:tcW w:w="838" w:type="pct"/>
            <w:vAlign w:val="center"/>
          </w:tcPr>
          <w:p w:rsidR="005E6BAA" w:rsidRPr="006D2224" w:rsidRDefault="005E6BAA" w:rsidP="005E6BAA">
            <w:pPr>
              <w:pStyle w:val="Tabletext"/>
              <w:jc w:val="center"/>
              <w:rPr>
                <w:rFonts w:ascii="Times" w:hAnsi="Times"/>
              </w:rPr>
            </w:pPr>
            <w:r w:rsidRPr="006D2224">
              <w:t>$</w:t>
            </w:r>
            <w:r w:rsidR="007131B6">
              <w:rPr>
                <w:noProof/>
                <w:color w:val="000000"/>
                <w:highlight w:val="black"/>
              </w:rPr>
              <w:t>'''''''''</w:t>
            </w:r>
          </w:p>
        </w:tc>
      </w:tr>
      <w:tr w:rsidR="005E6BAA" w:rsidRPr="006D2224" w:rsidTr="005E6BAA">
        <w:tc>
          <w:tcPr>
            <w:tcW w:w="1529" w:type="pct"/>
            <w:vAlign w:val="center"/>
          </w:tcPr>
          <w:p w:rsidR="005E6BAA" w:rsidRPr="006D2224" w:rsidRDefault="005E6BAA" w:rsidP="005E6BAA">
            <w:pPr>
              <w:pStyle w:val="Tabletext"/>
              <w:rPr>
                <w:rFonts w:ascii="Times" w:hAnsi="Times"/>
              </w:rPr>
            </w:pPr>
            <w:r w:rsidRPr="006D2224">
              <w:t>QALYs</w:t>
            </w:r>
          </w:p>
        </w:tc>
        <w:tc>
          <w:tcPr>
            <w:tcW w:w="1359" w:type="pct"/>
            <w:vAlign w:val="center"/>
          </w:tcPr>
          <w:p w:rsidR="005E6BAA" w:rsidRPr="006D2224" w:rsidRDefault="005E6BAA" w:rsidP="005E6BAA">
            <w:pPr>
              <w:pStyle w:val="Tabletext"/>
              <w:jc w:val="center"/>
              <w:rPr>
                <w:rFonts w:ascii="Times" w:hAnsi="Times"/>
              </w:rPr>
            </w:pPr>
            <w:r w:rsidRPr="006D2224">
              <w:t>4.124</w:t>
            </w:r>
          </w:p>
        </w:tc>
        <w:tc>
          <w:tcPr>
            <w:tcW w:w="1274" w:type="pct"/>
            <w:vAlign w:val="center"/>
          </w:tcPr>
          <w:p w:rsidR="005E6BAA" w:rsidRPr="006D2224" w:rsidRDefault="005E6BAA" w:rsidP="005E6BAA">
            <w:pPr>
              <w:pStyle w:val="Tabletext"/>
              <w:jc w:val="center"/>
              <w:rPr>
                <w:rFonts w:ascii="Times" w:hAnsi="Times"/>
              </w:rPr>
            </w:pPr>
            <w:r w:rsidRPr="006D2224">
              <w:t>4.070</w:t>
            </w:r>
          </w:p>
        </w:tc>
        <w:tc>
          <w:tcPr>
            <w:tcW w:w="838" w:type="pct"/>
            <w:vAlign w:val="center"/>
          </w:tcPr>
          <w:p w:rsidR="005E6BAA" w:rsidRPr="006D2224" w:rsidRDefault="005E6BAA" w:rsidP="005E6BAA">
            <w:pPr>
              <w:pStyle w:val="Tabletext"/>
              <w:jc w:val="center"/>
            </w:pPr>
            <w:r w:rsidRPr="006D2224">
              <w:t>0.0532</w:t>
            </w:r>
          </w:p>
        </w:tc>
      </w:tr>
      <w:tr w:rsidR="005E6BAA" w:rsidRPr="006D2224" w:rsidTr="005E6BAA">
        <w:tc>
          <w:tcPr>
            <w:tcW w:w="4162" w:type="pct"/>
            <w:gridSpan w:val="3"/>
            <w:vAlign w:val="center"/>
          </w:tcPr>
          <w:p w:rsidR="005E6BAA" w:rsidRPr="006D2224" w:rsidRDefault="005E6BAA" w:rsidP="005E6BAA">
            <w:pPr>
              <w:pStyle w:val="Tabletext"/>
              <w:rPr>
                <w:b/>
                <w:snapToGrid w:val="0"/>
              </w:rPr>
            </w:pPr>
            <w:r w:rsidRPr="006D2224">
              <w:rPr>
                <w:b/>
              </w:rPr>
              <w:t>Incremental cost per quality-adjusted life year</w:t>
            </w:r>
          </w:p>
        </w:tc>
        <w:tc>
          <w:tcPr>
            <w:tcW w:w="838" w:type="pct"/>
            <w:vAlign w:val="center"/>
          </w:tcPr>
          <w:p w:rsidR="005E6BAA" w:rsidRPr="006D2224" w:rsidRDefault="005E6BAA" w:rsidP="005E6BAA">
            <w:pPr>
              <w:pStyle w:val="Tabletext"/>
              <w:jc w:val="center"/>
              <w:rPr>
                <w:b/>
              </w:rPr>
            </w:pPr>
            <w:r w:rsidRPr="006D2224">
              <w:rPr>
                <w:b/>
              </w:rPr>
              <w:t>$</w:t>
            </w:r>
            <w:r w:rsidR="007131B6">
              <w:rPr>
                <w:b/>
                <w:noProof/>
                <w:color w:val="000000"/>
                <w:highlight w:val="black"/>
              </w:rPr>
              <w:t>''''''''''''</w:t>
            </w:r>
          </w:p>
        </w:tc>
      </w:tr>
    </w:tbl>
    <w:p w:rsidR="005E6BAA" w:rsidRPr="006D2224" w:rsidRDefault="005E6BAA" w:rsidP="005E6BAA">
      <w:pPr>
        <w:pStyle w:val="TableFooter"/>
      </w:pPr>
      <w:r w:rsidRPr="006D2224">
        <w:t>Source: Section 3.8, pp154-156 of the submission</w:t>
      </w:r>
    </w:p>
    <w:p w:rsidR="005E6BAA" w:rsidRPr="006D2224" w:rsidRDefault="005E6BAA" w:rsidP="005E6BAA">
      <w:pPr>
        <w:pStyle w:val="TableFooter"/>
        <w:rPr>
          <w:sz w:val="20"/>
        </w:rPr>
      </w:pPr>
      <w:r w:rsidRPr="006D2224">
        <w:t>Abbreviation: QALY, quality-adjusted life year</w:t>
      </w:r>
    </w:p>
    <w:p w:rsidR="00581ACD" w:rsidRPr="006D2224" w:rsidRDefault="00581ACD" w:rsidP="00C303B6">
      <w:pPr>
        <w:widowControl/>
      </w:pPr>
    </w:p>
    <w:p w:rsidR="002A7910" w:rsidRPr="006D2224" w:rsidRDefault="002A7910" w:rsidP="00173629">
      <w:pPr>
        <w:pStyle w:val="ListParagraph"/>
        <w:widowControl/>
        <w:numPr>
          <w:ilvl w:val="1"/>
          <w:numId w:val="2"/>
        </w:numPr>
      </w:pPr>
      <w:r w:rsidRPr="006D2224">
        <w:t xml:space="preserve">In patients with mild to moderate atopic dermatitis who are contraindicated to, intolerant to or failing to achieve satisfactory disease control with </w:t>
      </w:r>
      <w:r w:rsidR="007064B0" w:rsidRPr="006D2224">
        <w:t>TCS</w:t>
      </w:r>
      <w:r w:rsidRPr="006D2224">
        <w:t xml:space="preserve">, treatment with </w:t>
      </w:r>
      <w:proofErr w:type="spellStart"/>
      <w:r w:rsidRPr="006D2224">
        <w:t>crisaborole</w:t>
      </w:r>
      <w:proofErr w:type="spellEnd"/>
      <w:r w:rsidRPr="006D2224">
        <w:t xml:space="preserve"> was associated with an incremental cost per QALY gained of </w:t>
      </w:r>
      <w:r w:rsidR="00CA706B">
        <w:t>less than $15,000 per QALY</w:t>
      </w:r>
      <w:r w:rsidRPr="006D2224">
        <w:t xml:space="preserve"> compared to its vehicle.</w:t>
      </w:r>
    </w:p>
    <w:p w:rsidR="001B7C3B" w:rsidRPr="006D2224" w:rsidRDefault="00627891" w:rsidP="00173629">
      <w:pPr>
        <w:pStyle w:val="ListParagraph"/>
        <w:widowControl/>
        <w:numPr>
          <w:ilvl w:val="1"/>
          <w:numId w:val="2"/>
        </w:numPr>
      </w:pPr>
      <w:r w:rsidRPr="006D2224">
        <w:t>The results of key sensitivity analyses are summarised in the table below.</w:t>
      </w:r>
      <w:r w:rsidR="00C303B6" w:rsidRPr="006D2224">
        <w:t xml:space="preserve"> </w:t>
      </w:r>
    </w:p>
    <w:p w:rsidR="00627891" w:rsidRPr="006D2224" w:rsidRDefault="00627891" w:rsidP="00627891">
      <w:pPr>
        <w:rPr>
          <w:rFonts w:ascii="Arial Narrow" w:hAnsi="Arial Narrow"/>
          <w:b/>
          <w:sz w:val="20"/>
          <w:szCs w:val="16"/>
        </w:rPr>
      </w:pPr>
      <w:r w:rsidRPr="006D2224">
        <w:rPr>
          <w:rFonts w:ascii="Arial Narrow" w:hAnsi="Arial Narrow"/>
          <w:b/>
          <w:sz w:val="20"/>
          <w:szCs w:val="16"/>
        </w:rPr>
        <w:t>T</w:t>
      </w:r>
      <w:r w:rsidR="001B7C3B" w:rsidRPr="006D2224">
        <w:rPr>
          <w:rFonts w:ascii="Arial Narrow" w:hAnsi="Arial Narrow"/>
          <w:b/>
          <w:sz w:val="20"/>
          <w:szCs w:val="16"/>
        </w:rPr>
        <w:t>able 1</w:t>
      </w:r>
      <w:r w:rsidR="0018568D" w:rsidRPr="006D2224">
        <w:rPr>
          <w:rFonts w:ascii="Arial Narrow" w:hAnsi="Arial Narrow"/>
          <w:b/>
          <w:sz w:val="20"/>
          <w:szCs w:val="16"/>
        </w:rPr>
        <w:t>4</w:t>
      </w:r>
      <w:r w:rsidRPr="006D2224">
        <w:rPr>
          <w:rFonts w:ascii="Arial Narrow" w:hAnsi="Arial Narrow"/>
          <w:b/>
          <w:sz w:val="20"/>
          <w:szCs w:val="16"/>
        </w:rPr>
        <w:t>:  Results of sensitivity analyses</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559"/>
        <w:gridCol w:w="1701"/>
        <w:gridCol w:w="1115"/>
      </w:tblGrid>
      <w:tr w:rsidR="00627891" w:rsidRPr="006D2224" w:rsidTr="00386D9A">
        <w:trPr>
          <w:tblHeader/>
        </w:trPr>
        <w:tc>
          <w:tcPr>
            <w:tcW w:w="4820" w:type="dxa"/>
            <w:vAlign w:val="center"/>
          </w:tcPr>
          <w:p w:rsidR="00627891" w:rsidRPr="006D2224" w:rsidRDefault="00627891" w:rsidP="00627891">
            <w:pPr>
              <w:widowControl/>
              <w:tabs>
                <w:tab w:val="left" w:pos="142"/>
              </w:tabs>
              <w:jc w:val="left"/>
              <w:rPr>
                <w:rFonts w:ascii="Arial Narrow" w:hAnsi="Arial Narrow" w:cs="Times New Roman"/>
                <w:b/>
                <w:snapToGrid/>
                <w:sz w:val="20"/>
              </w:rPr>
            </w:pPr>
            <w:r w:rsidRPr="006D2224">
              <w:rPr>
                <w:rFonts w:ascii="Arial Narrow" w:hAnsi="Arial Narrow" w:cs="Times New Roman"/>
                <w:b/>
                <w:snapToGrid/>
                <w:sz w:val="20"/>
              </w:rPr>
              <w:t>Analyses</w:t>
            </w:r>
          </w:p>
        </w:tc>
        <w:tc>
          <w:tcPr>
            <w:tcW w:w="1559" w:type="dxa"/>
            <w:vAlign w:val="center"/>
          </w:tcPr>
          <w:p w:rsidR="00627891" w:rsidRPr="006D2224" w:rsidRDefault="00627891" w:rsidP="00627891">
            <w:pPr>
              <w:widowControl/>
              <w:jc w:val="center"/>
              <w:rPr>
                <w:rFonts w:ascii="Arial Narrow" w:hAnsi="Arial Narrow" w:cs="Times New Roman"/>
                <w:b/>
                <w:snapToGrid/>
                <w:sz w:val="20"/>
              </w:rPr>
            </w:pPr>
            <w:r w:rsidRPr="006D2224">
              <w:rPr>
                <w:rFonts w:ascii="Arial Narrow" w:hAnsi="Arial Narrow" w:cs="Times New Roman"/>
                <w:b/>
                <w:snapToGrid/>
                <w:sz w:val="20"/>
              </w:rPr>
              <w:t>Incremental cost</w:t>
            </w:r>
          </w:p>
        </w:tc>
        <w:tc>
          <w:tcPr>
            <w:tcW w:w="1701" w:type="dxa"/>
            <w:vAlign w:val="center"/>
          </w:tcPr>
          <w:p w:rsidR="00627891" w:rsidRPr="006D2224" w:rsidRDefault="00627891" w:rsidP="00627891">
            <w:pPr>
              <w:widowControl/>
              <w:jc w:val="center"/>
              <w:rPr>
                <w:rFonts w:ascii="Arial Narrow" w:hAnsi="Arial Narrow" w:cs="Times New Roman"/>
                <w:b/>
                <w:snapToGrid/>
                <w:sz w:val="20"/>
              </w:rPr>
            </w:pPr>
            <w:r w:rsidRPr="006D2224">
              <w:rPr>
                <w:rFonts w:ascii="Arial Narrow" w:hAnsi="Arial Narrow" w:cs="Times New Roman"/>
                <w:b/>
                <w:snapToGrid/>
                <w:sz w:val="20"/>
              </w:rPr>
              <w:t>Incremental QALY</w:t>
            </w:r>
          </w:p>
        </w:tc>
        <w:tc>
          <w:tcPr>
            <w:tcW w:w="1115" w:type="dxa"/>
            <w:vAlign w:val="center"/>
          </w:tcPr>
          <w:p w:rsidR="00627891" w:rsidRPr="006D2224" w:rsidRDefault="00627891" w:rsidP="00627891">
            <w:pPr>
              <w:widowControl/>
              <w:jc w:val="center"/>
              <w:rPr>
                <w:rFonts w:ascii="Arial Narrow" w:hAnsi="Arial Narrow" w:cs="Times New Roman"/>
                <w:b/>
                <w:snapToGrid/>
                <w:sz w:val="20"/>
              </w:rPr>
            </w:pPr>
            <w:r w:rsidRPr="006D2224">
              <w:rPr>
                <w:rFonts w:ascii="Arial Narrow" w:hAnsi="Arial Narrow" w:cs="Times New Roman"/>
                <w:b/>
                <w:snapToGrid/>
                <w:sz w:val="20"/>
              </w:rPr>
              <w:t>ICER</w:t>
            </w:r>
          </w:p>
        </w:tc>
      </w:tr>
      <w:tr w:rsidR="00627891" w:rsidRPr="006D2224" w:rsidTr="00386D9A">
        <w:tc>
          <w:tcPr>
            <w:tcW w:w="4820" w:type="dxa"/>
            <w:vAlign w:val="center"/>
          </w:tcPr>
          <w:p w:rsidR="00627891" w:rsidRPr="006D2224" w:rsidRDefault="00627891" w:rsidP="00627891">
            <w:pPr>
              <w:widowControl/>
              <w:tabs>
                <w:tab w:val="left" w:pos="142"/>
              </w:tabs>
              <w:jc w:val="left"/>
              <w:rPr>
                <w:rFonts w:ascii="Arial Narrow" w:hAnsi="Arial Narrow" w:cs="Times New Roman"/>
                <w:b/>
                <w:snapToGrid/>
                <w:sz w:val="20"/>
              </w:rPr>
            </w:pPr>
            <w:r w:rsidRPr="006D2224">
              <w:rPr>
                <w:rFonts w:ascii="Arial Narrow" w:hAnsi="Arial Narrow" w:cs="Times New Roman"/>
                <w:b/>
                <w:snapToGrid/>
                <w:sz w:val="20"/>
              </w:rPr>
              <w:t>Base case</w:t>
            </w:r>
          </w:p>
        </w:tc>
        <w:tc>
          <w:tcPr>
            <w:tcW w:w="1559" w:type="dxa"/>
            <w:vAlign w:val="center"/>
          </w:tcPr>
          <w:p w:rsidR="00627891" w:rsidRPr="006D2224" w:rsidRDefault="00627891" w:rsidP="00627891">
            <w:pPr>
              <w:widowControl/>
              <w:jc w:val="center"/>
              <w:rPr>
                <w:rFonts w:ascii="Arial Narrow" w:hAnsi="Arial Narrow" w:cs="Times New Roman"/>
                <w:b/>
                <w:snapToGrid/>
                <w:sz w:val="20"/>
              </w:rPr>
            </w:pPr>
            <w:r w:rsidRPr="006D2224">
              <w:rPr>
                <w:rFonts w:ascii="Arial Narrow" w:hAnsi="Arial Narrow" w:cs="Times New Roman"/>
                <w:b/>
                <w:snapToGrid/>
                <w:sz w:val="20"/>
              </w:rPr>
              <w:t>$</w:t>
            </w:r>
            <w:r w:rsidR="007131B6">
              <w:rPr>
                <w:rFonts w:ascii="Arial Narrow" w:hAnsi="Arial Narrow" w:cs="Times New Roman"/>
                <w:b/>
                <w:noProof/>
                <w:snapToGrid/>
                <w:color w:val="000000"/>
                <w:sz w:val="20"/>
                <w:highlight w:val="black"/>
              </w:rPr>
              <w:t>'''''''</w:t>
            </w:r>
          </w:p>
        </w:tc>
        <w:tc>
          <w:tcPr>
            <w:tcW w:w="1701" w:type="dxa"/>
            <w:vAlign w:val="center"/>
          </w:tcPr>
          <w:p w:rsidR="00627891" w:rsidRPr="006D2224" w:rsidRDefault="00627891" w:rsidP="00627891">
            <w:pPr>
              <w:widowControl/>
              <w:jc w:val="center"/>
              <w:rPr>
                <w:rFonts w:ascii="Arial Narrow" w:hAnsi="Arial Narrow" w:cs="Times New Roman"/>
                <w:b/>
                <w:snapToGrid/>
                <w:sz w:val="20"/>
              </w:rPr>
            </w:pPr>
            <w:r w:rsidRPr="006D2224">
              <w:rPr>
                <w:rFonts w:ascii="Arial Narrow" w:hAnsi="Arial Narrow" w:cs="Times New Roman"/>
                <w:b/>
                <w:snapToGrid/>
                <w:sz w:val="20"/>
              </w:rPr>
              <w:t>0.0532</w:t>
            </w:r>
          </w:p>
        </w:tc>
        <w:tc>
          <w:tcPr>
            <w:tcW w:w="1115" w:type="dxa"/>
            <w:vAlign w:val="center"/>
          </w:tcPr>
          <w:p w:rsidR="00627891" w:rsidRPr="006D2224" w:rsidRDefault="00627891" w:rsidP="00627891">
            <w:pPr>
              <w:widowControl/>
              <w:jc w:val="center"/>
              <w:rPr>
                <w:rFonts w:ascii="Arial Narrow" w:hAnsi="Arial Narrow" w:cs="Times New Roman"/>
                <w:b/>
                <w:snapToGrid/>
                <w:sz w:val="20"/>
              </w:rPr>
            </w:pPr>
            <w:r w:rsidRPr="006D2224">
              <w:rPr>
                <w:rFonts w:ascii="Arial Narrow" w:hAnsi="Arial Narrow" w:cs="Times New Roman"/>
                <w:b/>
                <w:snapToGrid/>
                <w:sz w:val="20"/>
              </w:rPr>
              <w:t>$</w:t>
            </w:r>
            <w:r w:rsidR="007131B6">
              <w:rPr>
                <w:rFonts w:ascii="Arial Narrow" w:hAnsi="Arial Narrow" w:cs="Times New Roman"/>
                <w:b/>
                <w:noProof/>
                <w:snapToGrid/>
                <w:color w:val="000000"/>
                <w:sz w:val="20"/>
                <w:highlight w:val="black"/>
              </w:rPr>
              <w:t>''''''''''''</w:t>
            </w:r>
          </w:p>
        </w:tc>
      </w:tr>
      <w:tr w:rsidR="00627891" w:rsidRPr="006D2224" w:rsidTr="00386D9A">
        <w:tc>
          <w:tcPr>
            <w:tcW w:w="9195" w:type="dxa"/>
            <w:gridSpan w:val="4"/>
            <w:vAlign w:val="center"/>
          </w:tcPr>
          <w:p w:rsidR="00627891" w:rsidRPr="006D2224" w:rsidRDefault="00627891" w:rsidP="00627891">
            <w:pPr>
              <w:widowControl/>
              <w:jc w:val="left"/>
              <w:rPr>
                <w:rFonts w:ascii="Arial Narrow" w:hAnsi="Arial Narrow" w:cs="Times New Roman"/>
                <w:b/>
                <w:snapToGrid/>
                <w:sz w:val="20"/>
              </w:rPr>
            </w:pPr>
            <w:r w:rsidRPr="006D2224">
              <w:rPr>
                <w:rFonts w:ascii="Arial Narrow" w:hAnsi="Arial Narrow" w:cs="Times New Roman"/>
                <w:snapToGrid/>
                <w:sz w:val="20"/>
              </w:rPr>
              <w:t>Time horizon (base case: 5 years, 63 cycles)</w:t>
            </w:r>
          </w:p>
        </w:tc>
      </w:tr>
      <w:tr w:rsidR="00627891" w:rsidRPr="006D2224" w:rsidTr="00386D9A">
        <w:tc>
          <w:tcPr>
            <w:tcW w:w="4820" w:type="dxa"/>
            <w:vAlign w:val="center"/>
          </w:tcPr>
          <w:p w:rsidR="00627891" w:rsidRPr="006D2224" w:rsidRDefault="00627891" w:rsidP="00627891">
            <w:pPr>
              <w:widowControl/>
              <w:tabs>
                <w:tab w:val="left" w:pos="142"/>
              </w:tabs>
              <w:jc w:val="left"/>
              <w:rPr>
                <w:rFonts w:ascii="Arial Narrow" w:hAnsi="Arial Narrow" w:cs="Times New Roman"/>
                <w:i/>
                <w:snapToGrid/>
                <w:sz w:val="20"/>
              </w:rPr>
            </w:pPr>
            <w:r w:rsidRPr="006D2224">
              <w:rPr>
                <w:rFonts w:ascii="Arial Narrow" w:hAnsi="Arial Narrow" w:cs="Times New Roman"/>
                <w:i/>
                <w:snapToGrid/>
                <w:sz w:val="20"/>
              </w:rPr>
              <w:t>29 days (1 cycle)</w:t>
            </w:r>
          </w:p>
        </w:tc>
        <w:tc>
          <w:tcPr>
            <w:tcW w:w="1559"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w:t>
            </w:r>
            <w:r w:rsidR="007131B6">
              <w:rPr>
                <w:rFonts w:ascii="Arial Narrow" w:hAnsi="Arial Narrow" w:cs="Times New Roman"/>
                <w:i/>
                <w:noProof/>
                <w:snapToGrid/>
                <w:color w:val="000000"/>
                <w:sz w:val="20"/>
                <w:highlight w:val="black"/>
              </w:rPr>
              <w:t>''''''''''</w:t>
            </w:r>
          </w:p>
        </w:tc>
        <w:tc>
          <w:tcPr>
            <w:tcW w:w="1701"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0.0005</w:t>
            </w:r>
          </w:p>
        </w:tc>
        <w:tc>
          <w:tcPr>
            <w:tcW w:w="1115"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w:t>
            </w:r>
            <w:r w:rsidR="007131B6">
              <w:rPr>
                <w:rFonts w:ascii="Arial Narrow" w:hAnsi="Arial Narrow" w:cs="Times New Roman"/>
                <w:i/>
                <w:noProof/>
                <w:snapToGrid/>
                <w:color w:val="000000"/>
                <w:sz w:val="20"/>
                <w:highlight w:val="black"/>
              </w:rPr>
              <w:t>''''''''''''''''''''</w:t>
            </w:r>
          </w:p>
        </w:tc>
      </w:tr>
      <w:tr w:rsidR="003553A5" w:rsidRPr="006D2224" w:rsidTr="00386D9A">
        <w:tc>
          <w:tcPr>
            <w:tcW w:w="4820" w:type="dxa"/>
            <w:vAlign w:val="center"/>
          </w:tcPr>
          <w:p w:rsidR="003553A5" w:rsidRPr="006D2224" w:rsidRDefault="003553A5" w:rsidP="00627891">
            <w:pPr>
              <w:widowControl/>
              <w:tabs>
                <w:tab w:val="left" w:pos="142"/>
              </w:tabs>
              <w:jc w:val="left"/>
              <w:rPr>
                <w:rFonts w:ascii="Arial Narrow" w:hAnsi="Arial Narrow" w:cs="Times New Roman"/>
                <w:i/>
                <w:snapToGrid/>
                <w:sz w:val="20"/>
              </w:rPr>
            </w:pPr>
            <w:r w:rsidRPr="006D2224">
              <w:rPr>
                <w:rFonts w:ascii="Arial Narrow" w:hAnsi="Arial Narrow" w:cs="Times New Roman"/>
                <w:i/>
                <w:snapToGrid/>
                <w:sz w:val="20"/>
              </w:rPr>
              <w:t>1 year (12 cycles)</w:t>
            </w:r>
          </w:p>
        </w:tc>
        <w:tc>
          <w:tcPr>
            <w:tcW w:w="1559" w:type="dxa"/>
            <w:vAlign w:val="center"/>
          </w:tcPr>
          <w:p w:rsidR="003553A5" w:rsidRPr="006D2224" w:rsidRDefault="003553A5" w:rsidP="00627891">
            <w:pPr>
              <w:widowControl/>
              <w:jc w:val="center"/>
              <w:rPr>
                <w:rFonts w:ascii="Arial Narrow" w:hAnsi="Arial Narrow" w:cs="Times New Roman"/>
                <w:i/>
                <w:snapToGrid/>
                <w:sz w:val="20"/>
              </w:rPr>
            </w:pPr>
            <w:r w:rsidRPr="006D2224">
              <w:rPr>
                <w:rFonts w:ascii="Arial Narrow" w:hAnsi="Arial Narrow" w:cs="Times New Roman"/>
                <w:i/>
                <w:snapToGrid/>
                <w:sz w:val="20"/>
              </w:rPr>
              <w:t>$</w:t>
            </w:r>
            <w:r w:rsidR="007131B6">
              <w:rPr>
                <w:rFonts w:ascii="Arial Narrow" w:hAnsi="Arial Narrow" w:cs="Times New Roman"/>
                <w:i/>
                <w:noProof/>
                <w:snapToGrid/>
                <w:color w:val="000000"/>
                <w:sz w:val="20"/>
                <w:highlight w:val="black"/>
              </w:rPr>
              <w:t>''''''''''</w:t>
            </w:r>
          </w:p>
        </w:tc>
        <w:tc>
          <w:tcPr>
            <w:tcW w:w="1701" w:type="dxa"/>
            <w:vAlign w:val="center"/>
          </w:tcPr>
          <w:p w:rsidR="003553A5" w:rsidRPr="006D2224" w:rsidRDefault="003553A5" w:rsidP="00627891">
            <w:pPr>
              <w:widowControl/>
              <w:jc w:val="center"/>
              <w:rPr>
                <w:rFonts w:ascii="Arial Narrow" w:hAnsi="Arial Narrow" w:cs="Times New Roman"/>
                <w:i/>
                <w:snapToGrid/>
                <w:sz w:val="20"/>
              </w:rPr>
            </w:pPr>
            <w:r w:rsidRPr="006D2224">
              <w:rPr>
                <w:rFonts w:ascii="Arial Narrow" w:hAnsi="Arial Narrow" w:cs="Times New Roman"/>
                <w:i/>
                <w:snapToGrid/>
                <w:sz w:val="20"/>
              </w:rPr>
              <w:t>0.0177</w:t>
            </w:r>
          </w:p>
        </w:tc>
        <w:tc>
          <w:tcPr>
            <w:tcW w:w="1115" w:type="dxa"/>
            <w:vAlign w:val="center"/>
          </w:tcPr>
          <w:p w:rsidR="003553A5" w:rsidRPr="006D2224" w:rsidRDefault="003553A5" w:rsidP="00627891">
            <w:pPr>
              <w:widowControl/>
              <w:jc w:val="center"/>
              <w:rPr>
                <w:rFonts w:ascii="Arial Narrow" w:hAnsi="Arial Narrow" w:cs="Times New Roman"/>
                <w:i/>
                <w:snapToGrid/>
                <w:sz w:val="20"/>
              </w:rPr>
            </w:pPr>
            <w:r w:rsidRPr="006D2224">
              <w:rPr>
                <w:rFonts w:ascii="Arial Narrow" w:hAnsi="Arial Narrow" w:cs="Times New Roman"/>
                <w:i/>
                <w:snapToGrid/>
                <w:sz w:val="20"/>
              </w:rPr>
              <w:t>$</w:t>
            </w:r>
            <w:r w:rsidR="007131B6">
              <w:rPr>
                <w:rFonts w:ascii="Arial Narrow" w:hAnsi="Arial Narrow" w:cs="Times New Roman"/>
                <w:i/>
                <w:noProof/>
                <w:snapToGrid/>
                <w:color w:val="000000"/>
                <w:sz w:val="20"/>
                <w:highlight w:val="black"/>
              </w:rPr>
              <w:t>''''''''''''''''</w:t>
            </w:r>
          </w:p>
        </w:tc>
      </w:tr>
      <w:tr w:rsidR="00627891" w:rsidRPr="006D2224" w:rsidTr="00386D9A">
        <w:tc>
          <w:tcPr>
            <w:tcW w:w="4820" w:type="dxa"/>
            <w:vAlign w:val="center"/>
          </w:tcPr>
          <w:p w:rsidR="00627891" w:rsidRPr="006D2224" w:rsidRDefault="00627891" w:rsidP="00627891">
            <w:pPr>
              <w:widowControl/>
              <w:tabs>
                <w:tab w:val="left" w:pos="142"/>
              </w:tabs>
              <w:jc w:val="left"/>
              <w:rPr>
                <w:rFonts w:ascii="Arial Narrow" w:hAnsi="Arial Narrow" w:cs="Times New Roman"/>
                <w:snapToGrid/>
                <w:sz w:val="20"/>
              </w:rPr>
            </w:pPr>
            <w:r w:rsidRPr="006D2224">
              <w:rPr>
                <w:rFonts w:ascii="Arial Narrow" w:hAnsi="Arial Narrow" w:cs="Times New Roman"/>
                <w:snapToGrid/>
                <w:sz w:val="20"/>
              </w:rPr>
              <w:t>2 years (25 cycles)</w:t>
            </w:r>
          </w:p>
        </w:tc>
        <w:tc>
          <w:tcPr>
            <w:tcW w:w="1559" w:type="dxa"/>
            <w:vAlign w:val="center"/>
          </w:tcPr>
          <w:p w:rsidR="00627891" w:rsidRPr="006D2224" w:rsidRDefault="00627891" w:rsidP="00627891">
            <w:pPr>
              <w:widowControl/>
              <w:jc w:val="center"/>
              <w:rPr>
                <w:rFonts w:ascii="Arial Narrow" w:hAnsi="Arial Narrow" w:cs="Times New Roman"/>
                <w:snapToGrid/>
                <w:sz w:val="20"/>
              </w:rPr>
            </w:pPr>
            <w:r w:rsidRPr="006D2224">
              <w:rPr>
                <w:rFonts w:ascii="Arial Narrow" w:hAnsi="Arial Narrow" w:cs="Times New Roman"/>
                <w:snapToGrid/>
                <w:sz w:val="20"/>
              </w:rPr>
              <w:t>$</w:t>
            </w:r>
            <w:r w:rsidR="007131B6">
              <w:rPr>
                <w:rFonts w:ascii="Arial Narrow" w:hAnsi="Arial Narrow" w:cs="Times New Roman"/>
                <w:noProof/>
                <w:snapToGrid/>
                <w:color w:val="000000"/>
                <w:sz w:val="20"/>
                <w:highlight w:val="black"/>
              </w:rPr>
              <w:t>'''''''''</w:t>
            </w:r>
          </w:p>
        </w:tc>
        <w:tc>
          <w:tcPr>
            <w:tcW w:w="1701" w:type="dxa"/>
            <w:vAlign w:val="center"/>
          </w:tcPr>
          <w:p w:rsidR="00627891" w:rsidRPr="006D2224" w:rsidRDefault="00627891" w:rsidP="00627891">
            <w:pPr>
              <w:widowControl/>
              <w:jc w:val="center"/>
              <w:rPr>
                <w:rFonts w:ascii="Arial Narrow" w:hAnsi="Arial Narrow" w:cs="Times New Roman"/>
                <w:snapToGrid/>
                <w:sz w:val="20"/>
              </w:rPr>
            </w:pPr>
            <w:r w:rsidRPr="006D2224">
              <w:rPr>
                <w:rFonts w:ascii="Arial Narrow" w:hAnsi="Arial Narrow" w:cs="Times New Roman"/>
                <w:snapToGrid/>
                <w:sz w:val="20"/>
              </w:rPr>
              <w:t>0.0232</w:t>
            </w:r>
          </w:p>
        </w:tc>
        <w:tc>
          <w:tcPr>
            <w:tcW w:w="1115" w:type="dxa"/>
            <w:vAlign w:val="center"/>
          </w:tcPr>
          <w:p w:rsidR="00627891" w:rsidRPr="006D2224" w:rsidRDefault="00627891" w:rsidP="00627891">
            <w:pPr>
              <w:widowControl/>
              <w:jc w:val="center"/>
              <w:rPr>
                <w:rFonts w:ascii="Arial Narrow" w:hAnsi="Arial Narrow" w:cs="Times New Roman"/>
                <w:snapToGrid/>
                <w:sz w:val="20"/>
              </w:rPr>
            </w:pPr>
            <w:r w:rsidRPr="006D2224">
              <w:rPr>
                <w:rFonts w:ascii="Arial Narrow" w:hAnsi="Arial Narrow" w:cs="Times New Roman"/>
                <w:snapToGrid/>
                <w:sz w:val="20"/>
              </w:rPr>
              <w:t>$</w:t>
            </w:r>
            <w:r w:rsidR="007131B6">
              <w:rPr>
                <w:rFonts w:ascii="Arial Narrow" w:hAnsi="Arial Narrow" w:cs="Times New Roman"/>
                <w:noProof/>
                <w:snapToGrid/>
                <w:color w:val="000000"/>
                <w:sz w:val="20"/>
                <w:highlight w:val="black"/>
              </w:rPr>
              <w:t>'''''''''''''''</w:t>
            </w:r>
          </w:p>
        </w:tc>
      </w:tr>
      <w:tr w:rsidR="00627891" w:rsidRPr="006D2224" w:rsidTr="00386D9A">
        <w:tc>
          <w:tcPr>
            <w:tcW w:w="4820" w:type="dxa"/>
            <w:vAlign w:val="center"/>
          </w:tcPr>
          <w:p w:rsidR="00627891" w:rsidRPr="006D2224" w:rsidRDefault="00627891" w:rsidP="00627891">
            <w:pPr>
              <w:widowControl/>
              <w:tabs>
                <w:tab w:val="left" w:pos="142"/>
              </w:tabs>
              <w:jc w:val="left"/>
              <w:rPr>
                <w:rFonts w:ascii="Arial Narrow" w:hAnsi="Arial Narrow" w:cs="Times New Roman"/>
                <w:snapToGrid/>
                <w:sz w:val="20"/>
              </w:rPr>
            </w:pPr>
            <w:r w:rsidRPr="006D2224">
              <w:rPr>
                <w:rFonts w:ascii="Arial Narrow" w:hAnsi="Arial Narrow" w:cs="Times New Roman"/>
                <w:snapToGrid/>
                <w:sz w:val="20"/>
              </w:rPr>
              <w:t>10 years (126 cycles)</w:t>
            </w:r>
          </w:p>
        </w:tc>
        <w:tc>
          <w:tcPr>
            <w:tcW w:w="1559" w:type="dxa"/>
            <w:vAlign w:val="center"/>
          </w:tcPr>
          <w:p w:rsidR="00627891" w:rsidRPr="006D2224" w:rsidRDefault="00627891" w:rsidP="00627891">
            <w:pPr>
              <w:widowControl/>
              <w:jc w:val="center"/>
              <w:rPr>
                <w:rFonts w:ascii="Arial Narrow" w:hAnsi="Arial Narrow" w:cs="Times New Roman"/>
                <w:snapToGrid/>
                <w:sz w:val="20"/>
              </w:rPr>
            </w:pPr>
            <w:r w:rsidRPr="006D2224">
              <w:rPr>
                <w:rFonts w:ascii="Arial Narrow" w:hAnsi="Arial Narrow" w:cs="Times New Roman"/>
                <w:snapToGrid/>
                <w:sz w:val="20"/>
              </w:rPr>
              <w:t>$</w:t>
            </w:r>
            <w:r w:rsidR="007131B6">
              <w:rPr>
                <w:rFonts w:ascii="Arial Narrow" w:hAnsi="Arial Narrow" w:cs="Times New Roman"/>
                <w:noProof/>
                <w:snapToGrid/>
                <w:color w:val="000000"/>
                <w:sz w:val="20"/>
                <w:highlight w:val="black"/>
              </w:rPr>
              <w:t>'''''''''''</w:t>
            </w:r>
          </w:p>
        </w:tc>
        <w:tc>
          <w:tcPr>
            <w:tcW w:w="1701" w:type="dxa"/>
            <w:vAlign w:val="center"/>
          </w:tcPr>
          <w:p w:rsidR="00627891" w:rsidRPr="006D2224" w:rsidRDefault="00627891" w:rsidP="00627891">
            <w:pPr>
              <w:widowControl/>
              <w:jc w:val="center"/>
              <w:rPr>
                <w:rFonts w:ascii="Arial Narrow" w:hAnsi="Arial Narrow" w:cs="Times New Roman"/>
                <w:snapToGrid/>
                <w:sz w:val="20"/>
              </w:rPr>
            </w:pPr>
            <w:r w:rsidRPr="006D2224">
              <w:rPr>
                <w:rFonts w:ascii="Arial Narrow" w:hAnsi="Arial Narrow" w:cs="Times New Roman"/>
                <w:snapToGrid/>
                <w:sz w:val="20"/>
              </w:rPr>
              <w:t>1.2792</w:t>
            </w:r>
          </w:p>
        </w:tc>
        <w:tc>
          <w:tcPr>
            <w:tcW w:w="1115" w:type="dxa"/>
            <w:vAlign w:val="center"/>
          </w:tcPr>
          <w:p w:rsidR="00627891" w:rsidRPr="006D2224" w:rsidRDefault="00627891" w:rsidP="00627891">
            <w:pPr>
              <w:widowControl/>
              <w:jc w:val="center"/>
              <w:rPr>
                <w:rFonts w:ascii="Arial Narrow" w:hAnsi="Arial Narrow" w:cs="Times New Roman"/>
                <w:snapToGrid/>
                <w:sz w:val="20"/>
              </w:rPr>
            </w:pPr>
            <w:r w:rsidRPr="006D2224">
              <w:rPr>
                <w:rFonts w:ascii="Arial Narrow" w:hAnsi="Arial Narrow" w:cs="Times New Roman"/>
                <w:snapToGrid/>
                <w:sz w:val="20"/>
              </w:rPr>
              <w:t>$</w:t>
            </w:r>
            <w:r w:rsidR="007131B6">
              <w:rPr>
                <w:rFonts w:ascii="Arial Narrow" w:hAnsi="Arial Narrow" w:cs="Times New Roman"/>
                <w:noProof/>
                <w:snapToGrid/>
                <w:color w:val="000000"/>
                <w:sz w:val="20"/>
                <w:highlight w:val="black"/>
              </w:rPr>
              <w:t>''''''''''''</w:t>
            </w:r>
          </w:p>
        </w:tc>
      </w:tr>
      <w:tr w:rsidR="00627891" w:rsidRPr="006D2224" w:rsidTr="00386D9A">
        <w:tc>
          <w:tcPr>
            <w:tcW w:w="9195" w:type="dxa"/>
            <w:gridSpan w:val="4"/>
            <w:vAlign w:val="center"/>
          </w:tcPr>
          <w:p w:rsidR="00627891" w:rsidRPr="006D2224" w:rsidRDefault="00627891" w:rsidP="00627891">
            <w:pPr>
              <w:widowControl/>
              <w:jc w:val="left"/>
              <w:rPr>
                <w:rFonts w:ascii="Arial Narrow" w:hAnsi="Arial Narrow" w:cs="Times New Roman"/>
                <w:snapToGrid/>
                <w:sz w:val="20"/>
              </w:rPr>
            </w:pPr>
            <w:r w:rsidRPr="006D2224">
              <w:rPr>
                <w:rFonts w:ascii="Arial Narrow" w:hAnsi="Arial Narrow" w:cs="Times New Roman"/>
                <w:snapToGrid/>
                <w:sz w:val="20"/>
              </w:rPr>
              <w:t>Transition probabilities (base case: In each cycle, patients can only remain in the same disease severity or transition upwards to a better health state)</w:t>
            </w:r>
          </w:p>
        </w:tc>
      </w:tr>
      <w:tr w:rsidR="00627891" w:rsidRPr="006D2224" w:rsidTr="00386D9A">
        <w:tc>
          <w:tcPr>
            <w:tcW w:w="4820" w:type="dxa"/>
            <w:vAlign w:val="center"/>
          </w:tcPr>
          <w:p w:rsidR="00627891" w:rsidRPr="006D2224" w:rsidRDefault="00627891" w:rsidP="000E5528">
            <w:pPr>
              <w:widowControl/>
              <w:tabs>
                <w:tab w:val="left" w:pos="142"/>
              </w:tabs>
              <w:jc w:val="left"/>
              <w:rPr>
                <w:rFonts w:ascii="Arial Narrow" w:hAnsi="Arial Narrow" w:cs="Times New Roman"/>
                <w:snapToGrid/>
                <w:sz w:val="20"/>
              </w:rPr>
            </w:pPr>
            <w:r w:rsidRPr="006D2224">
              <w:rPr>
                <w:rFonts w:ascii="Arial Narrow" w:hAnsi="Arial Narrow" w:cs="Times New Roman"/>
                <w:snapToGrid/>
                <w:sz w:val="20"/>
              </w:rPr>
              <w:t xml:space="preserve">In each cycle, 5% of patients transition </w:t>
            </w:r>
            <w:r w:rsidR="000E5528" w:rsidRPr="006D2224">
              <w:rPr>
                <w:rFonts w:ascii="Arial Narrow" w:hAnsi="Arial Narrow" w:cs="Times New Roman"/>
                <w:snapToGrid/>
                <w:sz w:val="20"/>
              </w:rPr>
              <w:t>to a more severe state</w:t>
            </w:r>
          </w:p>
        </w:tc>
        <w:tc>
          <w:tcPr>
            <w:tcW w:w="1559" w:type="dxa"/>
            <w:vAlign w:val="center"/>
          </w:tcPr>
          <w:p w:rsidR="00627891" w:rsidRPr="006D2224" w:rsidRDefault="00627891" w:rsidP="00627891">
            <w:pPr>
              <w:widowControl/>
              <w:jc w:val="center"/>
              <w:rPr>
                <w:rFonts w:ascii="Arial Narrow" w:hAnsi="Arial Narrow" w:cs="Times New Roman"/>
                <w:snapToGrid/>
                <w:sz w:val="20"/>
              </w:rPr>
            </w:pPr>
            <w:r w:rsidRPr="006D2224">
              <w:rPr>
                <w:rFonts w:ascii="Arial Narrow" w:hAnsi="Arial Narrow" w:cs="Times New Roman"/>
                <w:snapToGrid/>
                <w:sz w:val="20"/>
              </w:rPr>
              <w:t>$</w:t>
            </w:r>
            <w:r w:rsidR="007131B6">
              <w:rPr>
                <w:rFonts w:ascii="Arial Narrow" w:hAnsi="Arial Narrow" w:cs="Times New Roman"/>
                <w:noProof/>
                <w:snapToGrid/>
                <w:color w:val="000000"/>
                <w:sz w:val="20"/>
                <w:highlight w:val="black"/>
              </w:rPr>
              <w:t>''''''''''</w:t>
            </w:r>
          </w:p>
        </w:tc>
        <w:tc>
          <w:tcPr>
            <w:tcW w:w="1701" w:type="dxa"/>
            <w:vAlign w:val="center"/>
          </w:tcPr>
          <w:p w:rsidR="00627891" w:rsidRPr="006D2224" w:rsidRDefault="00627891" w:rsidP="00627891">
            <w:pPr>
              <w:widowControl/>
              <w:jc w:val="center"/>
              <w:rPr>
                <w:rFonts w:ascii="Arial Narrow" w:hAnsi="Arial Narrow" w:cs="Times New Roman"/>
                <w:snapToGrid/>
                <w:sz w:val="20"/>
              </w:rPr>
            </w:pPr>
            <w:r w:rsidRPr="006D2224">
              <w:rPr>
                <w:rFonts w:ascii="Arial Narrow" w:hAnsi="Arial Narrow" w:cs="Times New Roman"/>
                <w:snapToGrid/>
                <w:sz w:val="20"/>
              </w:rPr>
              <w:t>0.0716</w:t>
            </w:r>
          </w:p>
        </w:tc>
        <w:tc>
          <w:tcPr>
            <w:tcW w:w="1115" w:type="dxa"/>
            <w:vAlign w:val="center"/>
          </w:tcPr>
          <w:p w:rsidR="00627891" w:rsidRPr="006D2224" w:rsidRDefault="00627891" w:rsidP="00627891">
            <w:pPr>
              <w:widowControl/>
              <w:jc w:val="center"/>
              <w:rPr>
                <w:rFonts w:ascii="Arial Narrow" w:hAnsi="Arial Narrow" w:cs="Times New Roman"/>
                <w:snapToGrid/>
                <w:sz w:val="20"/>
              </w:rPr>
            </w:pPr>
            <w:r w:rsidRPr="006D2224">
              <w:rPr>
                <w:rFonts w:ascii="Arial Narrow" w:hAnsi="Arial Narrow" w:cs="Times New Roman"/>
                <w:snapToGrid/>
                <w:sz w:val="20"/>
              </w:rPr>
              <w:t>$</w:t>
            </w:r>
            <w:r w:rsidR="007131B6">
              <w:rPr>
                <w:rFonts w:ascii="Arial Narrow" w:hAnsi="Arial Narrow" w:cs="Times New Roman"/>
                <w:noProof/>
                <w:snapToGrid/>
                <w:color w:val="000000"/>
                <w:sz w:val="20"/>
                <w:highlight w:val="black"/>
              </w:rPr>
              <w:t>''''''''''''''</w:t>
            </w:r>
          </w:p>
        </w:tc>
      </w:tr>
      <w:tr w:rsidR="00627891" w:rsidRPr="006D2224" w:rsidTr="00386D9A">
        <w:tc>
          <w:tcPr>
            <w:tcW w:w="9195" w:type="dxa"/>
            <w:gridSpan w:val="4"/>
            <w:vAlign w:val="center"/>
          </w:tcPr>
          <w:p w:rsidR="00627891" w:rsidRPr="006D2224" w:rsidRDefault="00627891" w:rsidP="00627891">
            <w:pPr>
              <w:widowControl/>
              <w:jc w:val="left"/>
              <w:rPr>
                <w:rFonts w:ascii="Arial Narrow" w:hAnsi="Arial Narrow" w:cs="Times New Roman"/>
                <w:i/>
                <w:snapToGrid/>
                <w:sz w:val="20"/>
              </w:rPr>
            </w:pPr>
            <w:proofErr w:type="spellStart"/>
            <w:r w:rsidRPr="006D2224">
              <w:rPr>
                <w:rFonts w:ascii="Arial Narrow" w:hAnsi="Arial Narrow" w:cs="Times New Roman"/>
                <w:snapToGrid/>
                <w:sz w:val="20"/>
              </w:rPr>
              <w:t>Crisaborole</w:t>
            </w:r>
            <w:proofErr w:type="spellEnd"/>
            <w:r w:rsidRPr="006D2224">
              <w:rPr>
                <w:rFonts w:ascii="Arial Narrow" w:hAnsi="Arial Narrow" w:cs="Times New Roman"/>
                <w:snapToGrid/>
                <w:sz w:val="20"/>
              </w:rPr>
              <w:t xml:space="preserve"> treatme</w:t>
            </w:r>
            <w:r w:rsidR="00581ACD" w:rsidRPr="006D2224">
              <w:rPr>
                <w:rFonts w:ascii="Arial Narrow" w:hAnsi="Arial Narrow" w:cs="Times New Roman"/>
                <w:snapToGrid/>
                <w:sz w:val="20"/>
              </w:rPr>
              <w:t>nt costs (base case: 1 x</w:t>
            </w:r>
            <w:r w:rsidRPr="006D2224">
              <w:rPr>
                <w:rFonts w:ascii="Arial Narrow" w:hAnsi="Arial Narrow" w:cs="Times New Roman"/>
                <w:snapToGrid/>
                <w:sz w:val="20"/>
              </w:rPr>
              <w:t xml:space="preserve"> 60 g </w:t>
            </w:r>
            <w:r w:rsidR="00581ACD" w:rsidRPr="006D2224">
              <w:rPr>
                <w:rFonts w:ascii="Arial Narrow" w:hAnsi="Arial Narrow" w:cs="Times New Roman"/>
                <w:snapToGrid/>
                <w:sz w:val="20"/>
              </w:rPr>
              <w:t xml:space="preserve">tube </w:t>
            </w:r>
            <w:r w:rsidRPr="006D2224">
              <w:rPr>
                <w:rFonts w:ascii="Arial Narrow" w:hAnsi="Arial Narrow" w:cs="Times New Roman"/>
                <w:snapToGrid/>
                <w:sz w:val="20"/>
              </w:rPr>
              <w:t>every 8 cycles)</w:t>
            </w:r>
          </w:p>
        </w:tc>
      </w:tr>
      <w:tr w:rsidR="00627891" w:rsidRPr="006D2224" w:rsidTr="00386D9A">
        <w:tc>
          <w:tcPr>
            <w:tcW w:w="4820" w:type="dxa"/>
            <w:vAlign w:val="center"/>
          </w:tcPr>
          <w:p w:rsidR="00627891" w:rsidRPr="006D2224" w:rsidRDefault="00581ACD" w:rsidP="00627891">
            <w:pPr>
              <w:widowControl/>
              <w:tabs>
                <w:tab w:val="left" w:pos="142"/>
              </w:tabs>
              <w:jc w:val="left"/>
              <w:rPr>
                <w:rFonts w:ascii="Arial Narrow" w:hAnsi="Arial Narrow" w:cs="Times New Roman"/>
                <w:i/>
                <w:snapToGrid/>
                <w:sz w:val="20"/>
              </w:rPr>
            </w:pPr>
            <w:r w:rsidRPr="006D2224">
              <w:rPr>
                <w:rFonts w:ascii="Arial Narrow" w:hAnsi="Arial Narrow" w:cs="Times New Roman"/>
                <w:i/>
                <w:snapToGrid/>
                <w:sz w:val="20"/>
              </w:rPr>
              <w:t>3 x 60 g tubes</w:t>
            </w:r>
            <w:r w:rsidR="00627891" w:rsidRPr="006D2224">
              <w:rPr>
                <w:rFonts w:ascii="Arial Narrow" w:hAnsi="Arial Narrow" w:cs="Times New Roman"/>
                <w:i/>
                <w:snapToGrid/>
                <w:sz w:val="20"/>
              </w:rPr>
              <w:t xml:space="preserve"> every 8 cycles</w:t>
            </w:r>
          </w:p>
        </w:tc>
        <w:tc>
          <w:tcPr>
            <w:tcW w:w="1559"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w:t>
            </w:r>
            <w:r w:rsidR="007131B6">
              <w:rPr>
                <w:rFonts w:ascii="Arial Narrow" w:hAnsi="Arial Narrow" w:cs="Times New Roman"/>
                <w:i/>
                <w:noProof/>
                <w:snapToGrid/>
                <w:color w:val="000000"/>
                <w:sz w:val="20"/>
                <w:highlight w:val="black"/>
              </w:rPr>
              <w:t>'''''''''''''</w:t>
            </w:r>
          </w:p>
        </w:tc>
        <w:tc>
          <w:tcPr>
            <w:tcW w:w="1701"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0.0532</w:t>
            </w:r>
          </w:p>
        </w:tc>
        <w:tc>
          <w:tcPr>
            <w:tcW w:w="1115"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w:t>
            </w:r>
            <w:r w:rsidR="007131B6">
              <w:rPr>
                <w:rFonts w:ascii="Arial Narrow" w:hAnsi="Arial Narrow" w:cs="Times New Roman"/>
                <w:i/>
                <w:noProof/>
                <w:snapToGrid/>
                <w:color w:val="000000"/>
                <w:sz w:val="20"/>
                <w:highlight w:val="black"/>
              </w:rPr>
              <w:t>'''''''''''''''''</w:t>
            </w:r>
          </w:p>
        </w:tc>
      </w:tr>
      <w:tr w:rsidR="00627891" w:rsidRPr="006D2224" w:rsidTr="00386D9A">
        <w:tc>
          <w:tcPr>
            <w:tcW w:w="4820" w:type="dxa"/>
            <w:vAlign w:val="center"/>
          </w:tcPr>
          <w:p w:rsidR="00627891" w:rsidRPr="006D2224" w:rsidRDefault="007131B6" w:rsidP="00627891">
            <w:pPr>
              <w:widowControl/>
              <w:tabs>
                <w:tab w:val="left" w:pos="142"/>
              </w:tabs>
              <w:jc w:val="left"/>
              <w:rPr>
                <w:rFonts w:ascii="Arial Narrow" w:hAnsi="Arial Narrow" w:cs="Times New Roman"/>
                <w:i/>
                <w:snapToGrid/>
                <w:sz w:val="20"/>
              </w:rPr>
            </w:pPr>
            <w:r>
              <w:rPr>
                <w:rFonts w:ascii="Arial Narrow" w:hAnsi="Arial Narrow" w:cs="Times New Roman"/>
                <w:i/>
                <w:noProof/>
                <w:snapToGrid/>
                <w:color w:val="000000"/>
                <w:sz w:val="20"/>
                <w:highlight w:val="black"/>
              </w:rPr>
              <w:t>''''''''</w:t>
            </w:r>
            <w:r w:rsidR="00627891" w:rsidRPr="006D2224">
              <w:rPr>
                <w:rFonts w:ascii="Arial Narrow" w:hAnsi="Arial Narrow" w:cs="Times New Roman"/>
                <w:i/>
                <w:snapToGrid/>
                <w:sz w:val="20"/>
              </w:rPr>
              <w:t xml:space="preserve"> g in each cycle (average of </w:t>
            </w:r>
            <w:r>
              <w:rPr>
                <w:rFonts w:ascii="Arial Narrow" w:hAnsi="Arial Narrow" w:cs="Times New Roman"/>
                <w:i/>
                <w:noProof/>
                <w:snapToGrid/>
                <w:color w:val="000000"/>
                <w:sz w:val="20"/>
                <w:highlight w:val="black"/>
              </w:rPr>
              <w:t>''''''</w:t>
            </w:r>
            <w:r w:rsidR="00627891" w:rsidRPr="006D2224">
              <w:rPr>
                <w:rFonts w:ascii="Arial Narrow" w:hAnsi="Arial Narrow" w:cs="Times New Roman"/>
                <w:i/>
                <w:snapToGrid/>
                <w:sz w:val="20"/>
              </w:rPr>
              <w:t xml:space="preserve"> g over </w:t>
            </w:r>
            <w:r>
              <w:rPr>
                <w:rFonts w:ascii="Arial Narrow" w:hAnsi="Arial Narrow" w:cs="Times New Roman"/>
                <w:i/>
                <w:noProof/>
                <w:snapToGrid/>
                <w:color w:val="000000"/>
                <w:sz w:val="20"/>
                <w:highlight w:val="black"/>
              </w:rPr>
              <w:t>'''</w:t>
            </w:r>
            <w:r w:rsidR="00627891" w:rsidRPr="006D2224">
              <w:rPr>
                <w:rFonts w:ascii="Arial Narrow" w:hAnsi="Arial Narrow" w:cs="Times New Roman"/>
                <w:i/>
                <w:snapToGrid/>
                <w:sz w:val="20"/>
              </w:rPr>
              <w:t xml:space="preserve"> cycles)</w:t>
            </w:r>
          </w:p>
        </w:tc>
        <w:tc>
          <w:tcPr>
            <w:tcW w:w="1559"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w:t>
            </w:r>
            <w:r w:rsidR="007131B6">
              <w:rPr>
                <w:rFonts w:ascii="Arial Narrow" w:hAnsi="Arial Narrow" w:cs="Times New Roman"/>
                <w:i/>
                <w:noProof/>
                <w:snapToGrid/>
                <w:color w:val="000000"/>
                <w:sz w:val="20"/>
                <w:highlight w:val="black"/>
              </w:rPr>
              <w:t>''''''''''</w:t>
            </w:r>
          </w:p>
        </w:tc>
        <w:tc>
          <w:tcPr>
            <w:tcW w:w="1701"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0.0532</w:t>
            </w:r>
          </w:p>
        </w:tc>
        <w:tc>
          <w:tcPr>
            <w:tcW w:w="1115"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w:t>
            </w:r>
            <w:r w:rsidR="007131B6">
              <w:rPr>
                <w:rFonts w:ascii="Arial Narrow" w:hAnsi="Arial Narrow" w:cs="Times New Roman"/>
                <w:i/>
                <w:noProof/>
                <w:snapToGrid/>
                <w:color w:val="000000"/>
                <w:sz w:val="20"/>
                <w:highlight w:val="black"/>
              </w:rPr>
              <w:t>''''''''''''''</w:t>
            </w:r>
          </w:p>
        </w:tc>
      </w:tr>
      <w:tr w:rsidR="00627891" w:rsidRPr="006D2224" w:rsidTr="00386D9A">
        <w:tc>
          <w:tcPr>
            <w:tcW w:w="4820" w:type="dxa"/>
            <w:vAlign w:val="center"/>
          </w:tcPr>
          <w:p w:rsidR="00627891" w:rsidRPr="006D2224" w:rsidRDefault="00581ACD" w:rsidP="00627891">
            <w:pPr>
              <w:widowControl/>
              <w:tabs>
                <w:tab w:val="left" w:pos="142"/>
              </w:tabs>
              <w:jc w:val="left"/>
              <w:rPr>
                <w:rFonts w:ascii="Arial Narrow" w:hAnsi="Arial Narrow" w:cs="Times New Roman"/>
                <w:i/>
                <w:snapToGrid/>
                <w:sz w:val="20"/>
              </w:rPr>
            </w:pPr>
            <w:r w:rsidRPr="006D2224">
              <w:rPr>
                <w:rFonts w:ascii="Arial Narrow" w:hAnsi="Arial Narrow" w:cs="Times New Roman"/>
                <w:i/>
                <w:snapToGrid/>
                <w:sz w:val="20"/>
              </w:rPr>
              <w:t xml:space="preserve">1 x </w:t>
            </w:r>
            <w:r w:rsidR="00627891" w:rsidRPr="006D2224">
              <w:rPr>
                <w:rFonts w:ascii="Arial Narrow" w:hAnsi="Arial Narrow" w:cs="Times New Roman"/>
                <w:i/>
                <w:snapToGrid/>
                <w:sz w:val="20"/>
              </w:rPr>
              <w:t xml:space="preserve">60 g </w:t>
            </w:r>
            <w:r w:rsidRPr="006D2224">
              <w:rPr>
                <w:rFonts w:ascii="Arial Narrow" w:hAnsi="Arial Narrow" w:cs="Times New Roman"/>
                <w:i/>
                <w:snapToGrid/>
                <w:sz w:val="20"/>
              </w:rPr>
              <w:t xml:space="preserve">tube </w:t>
            </w:r>
            <w:r w:rsidR="00627891" w:rsidRPr="006D2224">
              <w:rPr>
                <w:rFonts w:ascii="Arial Narrow" w:hAnsi="Arial Narrow" w:cs="Times New Roman"/>
                <w:i/>
                <w:snapToGrid/>
                <w:sz w:val="20"/>
              </w:rPr>
              <w:t>in each cycle</w:t>
            </w:r>
          </w:p>
        </w:tc>
        <w:tc>
          <w:tcPr>
            <w:tcW w:w="1559"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w:t>
            </w:r>
            <w:r w:rsidR="007131B6">
              <w:rPr>
                <w:rFonts w:ascii="Arial Narrow" w:hAnsi="Arial Narrow" w:cs="Times New Roman"/>
                <w:i/>
                <w:noProof/>
                <w:snapToGrid/>
                <w:color w:val="000000"/>
                <w:sz w:val="20"/>
                <w:highlight w:val="black"/>
              </w:rPr>
              <w:t>'''''''''''''</w:t>
            </w:r>
          </w:p>
        </w:tc>
        <w:tc>
          <w:tcPr>
            <w:tcW w:w="1701"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0.0532</w:t>
            </w:r>
          </w:p>
        </w:tc>
        <w:tc>
          <w:tcPr>
            <w:tcW w:w="1115"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w:t>
            </w:r>
            <w:r w:rsidR="007131B6">
              <w:rPr>
                <w:rFonts w:ascii="Arial Narrow" w:hAnsi="Arial Narrow" w:cs="Times New Roman"/>
                <w:i/>
                <w:noProof/>
                <w:snapToGrid/>
                <w:color w:val="000000"/>
                <w:sz w:val="20"/>
                <w:highlight w:val="black"/>
              </w:rPr>
              <w:t>''''''''''''''''''''</w:t>
            </w:r>
          </w:p>
        </w:tc>
      </w:tr>
      <w:tr w:rsidR="00627891" w:rsidRPr="006D2224" w:rsidTr="00386D9A">
        <w:tc>
          <w:tcPr>
            <w:tcW w:w="4820" w:type="dxa"/>
            <w:vAlign w:val="center"/>
          </w:tcPr>
          <w:p w:rsidR="00627891" w:rsidRPr="006D2224" w:rsidRDefault="00581ACD" w:rsidP="00627891">
            <w:pPr>
              <w:widowControl/>
              <w:tabs>
                <w:tab w:val="left" w:pos="142"/>
              </w:tabs>
              <w:jc w:val="left"/>
              <w:rPr>
                <w:rFonts w:ascii="Arial Narrow" w:hAnsi="Arial Narrow" w:cs="Times New Roman"/>
                <w:i/>
                <w:snapToGrid/>
                <w:sz w:val="20"/>
              </w:rPr>
            </w:pPr>
            <w:r w:rsidRPr="006D2224">
              <w:rPr>
                <w:rFonts w:ascii="Arial Narrow" w:hAnsi="Arial Narrow" w:cs="Times New Roman"/>
                <w:i/>
                <w:snapToGrid/>
                <w:sz w:val="20"/>
              </w:rPr>
              <w:t>3 x 60 g tubes</w:t>
            </w:r>
            <w:r w:rsidR="00627891" w:rsidRPr="006D2224">
              <w:rPr>
                <w:rFonts w:ascii="Arial Narrow" w:hAnsi="Arial Narrow" w:cs="Times New Roman"/>
                <w:i/>
                <w:snapToGrid/>
                <w:sz w:val="20"/>
              </w:rPr>
              <w:t xml:space="preserve"> in each cycle</w:t>
            </w:r>
          </w:p>
        </w:tc>
        <w:tc>
          <w:tcPr>
            <w:tcW w:w="1559"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w:t>
            </w:r>
            <w:r w:rsidR="007131B6">
              <w:rPr>
                <w:rFonts w:ascii="Arial Narrow" w:hAnsi="Arial Narrow" w:cs="Times New Roman"/>
                <w:i/>
                <w:noProof/>
                <w:snapToGrid/>
                <w:color w:val="000000"/>
                <w:sz w:val="20"/>
                <w:highlight w:val="black"/>
              </w:rPr>
              <w:t>''''''''''''''''</w:t>
            </w:r>
          </w:p>
        </w:tc>
        <w:tc>
          <w:tcPr>
            <w:tcW w:w="1701"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0.0532</w:t>
            </w:r>
          </w:p>
        </w:tc>
        <w:tc>
          <w:tcPr>
            <w:tcW w:w="1115"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w:t>
            </w:r>
            <w:r w:rsidR="007131B6">
              <w:rPr>
                <w:rFonts w:ascii="Arial Narrow" w:hAnsi="Arial Narrow" w:cs="Times New Roman"/>
                <w:i/>
                <w:noProof/>
                <w:snapToGrid/>
                <w:color w:val="000000"/>
                <w:sz w:val="20"/>
                <w:highlight w:val="black"/>
              </w:rPr>
              <w:t>'''''''''''''''''''</w:t>
            </w:r>
          </w:p>
        </w:tc>
      </w:tr>
      <w:tr w:rsidR="00627891" w:rsidRPr="006D2224" w:rsidTr="00386D9A">
        <w:tc>
          <w:tcPr>
            <w:tcW w:w="9195" w:type="dxa"/>
            <w:gridSpan w:val="4"/>
            <w:vAlign w:val="center"/>
          </w:tcPr>
          <w:p w:rsidR="00627891" w:rsidRPr="006D2224" w:rsidRDefault="00627891" w:rsidP="00627891">
            <w:pPr>
              <w:widowControl/>
              <w:jc w:val="left"/>
              <w:rPr>
                <w:rFonts w:ascii="Arial Narrow" w:hAnsi="Arial Narrow" w:cs="Times New Roman"/>
                <w:b/>
                <w:snapToGrid/>
                <w:sz w:val="20"/>
              </w:rPr>
            </w:pPr>
            <w:r w:rsidRPr="006D2224">
              <w:rPr>
                <w:rFonts w:ascii="Arial Narrow" w:hAnsi="Arial Narrow" w:cs="Times New Roman"/>
                <w:b/>
                <w:snapToGrid/>
                <w:sz w:val="20"/>
              </w:rPr>
              <w:t>Multivariate analys</w:t>
            </w:r>
            <w:r w:rsidR="009B4CA8" w:rsidRPr="006D2224">
              <w:rPr>
                <w:rFonts w:ascii="Arial Narrow" w:hAnsi="Arial Narrow" w:cs="Times New Roman"/>
                <w:b/>
                <w:snapToGrid/>
                <w:sz w:val="20"/>
              </w:rPr>
              <w:t>i</w:t>
            </w:r>
            <w:r w:rsidRPr="006D2224">
              <w:rPr>
                <w:rFonts w:ascii="Arial Narrow" w:hAnsi="Arial Narrow" w:cs="Times New Roman"/>
                <w:b/>
                <w:snapToGrid/>
                <w:sz w:val="20"/>
              </w:rPr>
              <w:t>s</w:t>
            </w:r>
          </w:p>
        </w:tc>
      </w:tr>
      <w:tr w:rsidR="00627891" w:rsidRPr="006D2224" w:rsidTr="00386D9A">
        <w:trPr>
          <w:trHeight w:val="58"/>
        </w:trPr>
        <w:tc>
          <w:tcPr>
            <w:tcW w:w="4820" w:type="dxa"/>
            <w:vAlign w:val="center"/>
          </w:tcPr>
          <w:p w:rsidR="00627891" w:rsidRPr="006D2224" w:rsidRDefault="005D2926" w:rsidP="00627891">
            <w:pPr>
              <w:widowControl/>
              <w:tabs>
                <w:tab w:val="left" w:pos="142"/>
              </w:tabs>
              <w:jc w:val="left"/>
              <w:rPr>
                <w:rFonts w:ascii="Arial Narrow" w:hAnsi="Arial Narrow" w:cs="Times New Roman"/>
                <w:i/>
                <w:snapToGrid/>
                <w:sz w:val="20"/>
              </w:rPr>
            </w:pPr>
            <w:r w:rsidRPr="006D2224">
              <w:rPr>
                <w:rFonts w:ascii="Arial Narrow" w:hAnsi="Arial Narrow" w:cs="Times New Roman"/>
                <w:i/>
                <w:snapToGrid/>
                <w:sz w:val="20"/>
              </w:rPr>
              <w:t>3 x 60</w:t>
            </w:r>
            <w:r w:rsidR="00627891" w:rsidRPr="006D2224">
              <w:rPr>
                <w:rFonts w:ascii="Arial Narrow" w:hAnsi="Arial Narrow" w:cs="Times New Roman"/>
                <w:i/>
                <w:snapToGrid/>
                <w:sz w:val="20"/>
              </w:rPr>
              <w:t xml:space="preserve"> g </w:t>
            </w:r>
            <w:proofErr w:type="spellStart"/>
            <w:r w:rsidR="00627891" w:rsidRPr="006D2224">
              <w:rPr>
                <w:rFonts w:ascii="Arial Narrow" w:hAnsi="Arial Narrow" w:cs="Times New Roman"/>
                <w:i/>
                <w:snapToGrid/>
                <w:sz w:val="20"/>
              </w:rPr>
              <w:t>crisaborole</w:t>
            </w:r>
            <w:proofErr w:type="spellEnd"/>
            <w:r w:rsidR="00627891" w:rsidRPr="006D2224">
              <w:rPr>
                <w:rFonts w:ascii="Arial Narrow" w:hAnsi="Arial Narrow" w:cs="Times New Roman"/>
                <w:i/>
                <w:snapToGrid/>
                <w:sz w:val="20"/>
              </w:rPr>
              <w:t xml:space="preserve"> in Cycle 1, time horizon of 29 days</w:t>
            </w:r>
          </w:p>
        </w:tc>
        <w:tc>
          <w:tcPr>
            <w:tcW w:w="1559"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w:t>
            </w:r>
            <w:r w:rsidR="007131B6">
              <w:rPr>
                <w:rFonts w:ascii="Arial Narrow" w:hAnsi="Arial Narrow" w:cs="Times New Roman"/>
                <w:i/>
                <w:noProof/>
                <w:snapToGrid/>
                <w:color w:val="000000"/>
                <w:sz w:val="20"/>
                <w:highlight w:val="black"/>
              </w:rPr>
              <w:t>'''''''''</w:t>
            </w:r>
          </w:p>
        </w:tc>
        <w:tc>
          <w:tcPr>
            <w:tcW w:w="1701"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0.0005</w:t>
            </w:r>
          </w:p>
        </w:tc>
        <w:tc>
          <w:tcPr>
            <w:tcW w:w="1115" w:type="dxa"/>
            <w:vAlign w:val="center"/>
          </w:tcPr>
          <w:p w:rsidR="00627891" w:rsidRPr="006D2224" w:rsidRDefault="00627891" w:rsidP="00627891">
            <w:pPr>
              <w:widowControl/>
              <w:jc w:val="center"/>
              <w:rPr>
                <w:rFonts w:ascii="Arial Narrow" w:hAnsi="Arial Narrow" w:cs="Times New Roman"/>
                <w:i/>
                <w:snapToGrid/>
                <w:sz w:val="20"/>
              </w:rPr>
            </w:pPr>
            <w:r w:rsidRPr="006D2224">
              <w:rPr>
                <w:rFonts w:ascii="Arial Narrow" w:hAnsi="Arial Narrow" w:cs="Times New Roman"/>
                <w:i/>
                <w:snapToGrid/>
                <w:sz w:val="20"/>
              </w:rPr>
              <w:t>$</w:t>
            </w:r>
            <w:r w:rsidR="007131B6">
              <w:rPr>
                <w:rFonts w:ascii="Arial Narrow" w:hAnsi="Arial Narrow" w:cs="Times New Roman"/>
                <w:i/>
                <w:noProof/>
                <w:snapToGrid/>
                <w:color w:val="000000"/>
                <w:sz w:val="20"/>
                <w:highlight w:val="black"/>
              </w:rPr>
              <w:t>'''''''''''''''''''</w:t>
            </w:r>
          </w:p>
        </w:tc>
      </w:tr>
    </w:tbl>
    <w:p w:rsidR="00627891" w:rsidRPr="006D2224" w:rsidRDefault="00627891" w:rsidP="00627891">
      <w:pPr>
        <w:tabs>
          <w:tab w:val="left" w:pos="3864"/>
        </w:tabs>
        <w:rPr>
          <w:rFonts w:ascii="Arial Narrow" w:hAnsi="Arial Narrow"/>
          <w:sz w:val="18"/>
        </w:rPr>
      </w:pPr>
      <w:r w:rsidRPr="006D2224">
        <w:rPr>
          <w:rFonts w:ascii="Arial Narrow" w:hAnsi="Arial Narrow"/>
          <w:sz w:val="18"/>
        </w:rPr>
        <w:t>Source: Table 3.9-2, p158 of the submission</w:t>
      </w:r>
      <w:r w:rsidRPr="006D2224">
        <w:rPr>
          <w:rFonts w:ascii="Arial Narrow" w:hAnsi="Arial Narrow"/>
          <w:sz w:val="18"/>
        </w:rPr>
        <w:tab/>
      </w:r>
    </w:p>
    <w:p w:rsidR="00627891" w:rsidRPr="006D2224" w:rsidRDefault="00627891" w:rsidP="00627891">
      <w:pPr>
        <w:rPr>
          <w:rFonts w:ascii="Arial Narrow" w:hAnsi="Arial Narrow"/>
          <w:sz w:val="18"/>
        </w:rPr>
      </w:pPr>
      <w:r w:rsidRPr="006D2224">
        <w:rPr>
          <w:rFonts w:ascii="Arial Narrow" w:hAnsi="Arial Narrow"/>
          <w:sz w:val="18"/>
        </w:rPr>
        <w:t>Abbreviations: ICER, incremental cost effectiveness ratio; QALY, quality-adjusted life year</w:t>
      </w:r>
    </w:p>
    <w:p w:rsidR="00627891" w:rsidRPr="006D2224" w:rsidRDefault="00627891" w:rsidP="00627891">
      <w:pPr>
        <w:rPr>
          <w:rFonts w:ascii="Arial Narrow" w:hAnsi="Arial Narrow"/>
          <w:i/>
          <w:sz w:val="18"/>
        </w:rPr>
      </w:pPr>
      <w:r w:rsidRPr="006D2224">
        <w:rPr>
          <w:rFonts w:ascii="Arial Narrow" w:hAnsi="Arial Narrow"/>
          <w:i/>
          <w:sz w:val="18"/>
        </w:rPr>
        <w:t>Italicised analyses were conducted during the evaluation</w:t>
      </w:r>
    </w:p>
    <w:p w:rsidR="00627891" w:rsidRPr="006D2224" w:rsidRDefault="00627891" w:rsidP="00627891">
      <w:pPr>
        <w:widowControl/>
      </w:pPr>
    </w:p>
    <w:p w:rsidR="00C417CF" w:rsidRPr="006D2224" w:rsidRDefault="00581ACD" w:rsidP="00CA706B">
      <w:pPr>
        <w:pStyle w:val="ListParagraph"/>
        <w:widowControl/>
        <w:numPr>
          <w:ilvl w:val="1"/>
          <w:numId w:val="2"/>
        </w:numPr>
      </w:pPr>
      <w:r w:rsidRPr="006D2224">
        <w:t xml:space="preserve">The </w:t>
      </w:r>
      <w:r w:rsidR="00791FD6" w:rsidRPr="006D2224">
        <w:t xml:space="preserve">results </w:t>
      </w:r>
      <w:r w:rsidRPr="006D2224">
        <w:t xml:space="preserve">were </w:t>
      </w:r>
      <w:r w:rsidR="00E5002E" w:rsidRPr="006D2224">
        <w:t xml:space="preserve">highly </w:t>
      </w:r>
      <w:r w:rsidRPr="006D2224">
        <w:t xml:space="preserve">sensitive to the costs of treatment with </w:t>
      </w:r>
      <w:proofErr w:type="spellStart"/>
      <w:r w:rsidRPr="006D2224">
        <w:t>crisaborole</w:t>
      </w:r>
      <w:proofErr w:type="spellEnd"/>
      <w:r w:rsidRPr="006D2224">
        <w:t xml:space="preserve"> and extrapolation of treatment benefits beyond the clinical trial data.</w:t>
      </w:r>
      <w:r w:rsidR="00C303B6" w:rsidRPr="006D2224">
        <w:t xml:space="preserve"> </w:t>
      </w:r>
      <w:r w:rsidR="00FE3823" w:rsidRPr="006D2224">
        <w:t xml:space="preserve">Sensitivity </w:t>
      </w:r>
      <w:r w:rsidR="00940700" w:rsidRPr="006D2224">
        <w:t xml:space="preserve">analyses based on the trial duration of 1 cycle (29 days) increased the ICER to </w:t>
      </w:r>
      <w:r w:rsidR="00CA706B">
        <w:t xml:space="preserve">more than </w:t>
      </w:r>
      <w:r w:rsidR="00940700" w:rsidRPr="006D2224">
        <w:t>$2</w:t>
      </w:r>
      <w:r w:rsidR="00CA706B">
        <w:t>00</w:t>
      </w:r>
      <w:r w:rsidR="00940700" w:rsidRPr="006D2224">
        <w:t>,</w:t>
      </w:r>
      <w:r w:rsidR="00CA706B">
        <w:t>000</w:t>
      </w:r>
      <w:r w:rsidR="00940700" w:rsidRPr="006D2224">
        <w:t xml:space="preserve"> </w:t>
      </w:r>
      <w:r w:rsidR="00E5074C" w:rsidRPr="006D2224">
        <w:t xml:space="preserve">per QALY </w:t>
      </w:r>
      <w:r w:rsidR="00940700" w:rsidRPr="006D2224">
        <w:t xml:space="preserve">and varying the amount of </w:t>
      </w:r>
      <w:proofErr w:type="spellStart"/>
      <w:r w:rsidR="00940700" w:rsidRPr="006D2224">
        <w:t>crisaborole</w:t>
      </w:r>
      <w:proofErr w:type="spellEnd"/>
      <w:r w:rsidR="00940700" w:rsidRPr="006D2224">
        <w:t xml:space="preserve"> to 3 x 60 g tubes in each model cycle </w:t>
      </w:r>
      <w:r w:rsidR="00E5074C" w:rsidRPr="006D2224">
        <w:t xml:space="preserve">as in the trial </w:t>
      </w:r>
      <w:r w:rsidR="00940700" w:rsidRPr="006D2224">
        <w:t xml:space="preserve">increased the ICER to </w:t>
      </w:r>
      <w:r w:rsidR="00CA706B" w:rsidRPr="00CA706B">
        <w:t>more than $200,000</w:t>
      </w:r>
      <w:r w:rsidR="00CA706B">
        <w:t xml:space="preserve"> </w:t>
      </w:r>
      <w:r w:rsidR="00E5074C" w:rsidRPr="006D2224">
        <w:t>per QALY</w:t>
      </w:r>
      <w:r w:rsidR="00940700" w:rsidRPr="006D2224">
        <w:t xml:space="preserve">. </w:t>
      </w:r>
      <w:r w:rsidR="00E5074C" w:rsidRPr="006D2224">
        <w:t xml:space="preserve">Multivariate analysis based on the trial duration and amount of </w:t>
      </w:r>
      <w:proofErr w:type="spellStart"/>
      <w:r w:rsidR="00E5074C" w:rsidRPr="006D2224">
        <w:t>crisaborole</w:t>
      </w:r>
      <w:proofErr w:type="spellEnd"/>
      <w:r w:rsidR="00E5074C" w:rsidRPr="006D2224">
        <w:t xml:space="preserve"> used on the trial increased the ICER to </w:t>
      </w:r>
      <w:r w:rsidR="00CA706B">
        <w:t xml:space="preserve">substantially more than </w:t>
      </w:r>
      <w:r w:rsidR="00CA706B" w:rsidRPr="006D2224">
        <w:t>$2</w:t>
      </w:r>
      <w:r w:rsidR="00CA706B">
        <w:t>00</w:t>
      </w:r>
      <w:r w:rsidR="00CA706B" w:rsidRPr="006D2224">
        <w:t>,</w:t>
      </w:r>
      <w:r w:rsidR="00CA706B">
        <w:t>000</w:t>
      </w:r>
      <w:r w:rsidR="007531F4">
        <w:t xml:space="preserve"> </w:t>
      </w:r>
      <w:r w:rsidR="00E5074C" w:rsidRPr="006D2224">
        <w:t xml:space="preserve">per QALY. </w:t>
      </w:r>
      <w:r w:rsidR="00940700" w:rsidRPr="006D2224">
        <w:t xml:space="preserve">The model structure did not allow for testing of intermittent use for the treatment of disease flares. </w:t>
      </w:r>
    </w:p>
    <w:p w:rsidR="00581ACD" w:rsidRPr="006D2224" w:rsidRDefault="0066731F" w:rsidP="007531F4">
      <w:pPr>
        <w:pStyle w:val="ListParagraph"/>
        <w:widowControl/>
        <w:numPr>
          <w:ilvl w:val="1"/>
          <w:numId w:val="2"/>
        </w:numPr>
      </w:pPr>
      <w:r w:rsidRPr="006D2224">
        <w:t xml:space="preserve">The ESC considered that the time horizon of one year, consistent with published literature in the area, would be more appropriate as the base case. The use of a </w:t>
      </w:r>
      <w:r w:rsidR="009A5AD8" w:rsidRPr="006D2224">
        <w:t>one-year</w:t>
      </w:r>
      <w:r w:rsidRPr="006D2224">
        <w:t xml:space="preserve"> time horizon results in an ICER of </w:t>
      </w:r>
      <w:r w:rsidR="007531F4">
        <w:t>less than $</w:t>
      </w:r>
      <w:proofErr w:type="gramStart"/>
      <w:r w:rsidR="007531F4">
        <w:t xml:space="preserve">15,000 </w:t>
      </w:r>
      <w:r w:rsidRPr="006D2224">
        <w:t xml:space="preserve"> per</w:t>
      </w:r>
      <w:proofErr w:type="gramEnd"/>
      <w:r w:rsidRPr="006D2224">
        <w:t xml:space="preserve"> QALY. </w:t>
      </w:r>
      <w:r w:rsidR="001F0BA8" w:rsidRPr="006D2224">
        <w:t xml:space="preserve">The ESC noted that the application of drug costs to the model every 8 cycles rather than an average cost per cycle resulted in anomalies in the ICER over different time horizons and considered that it would be preferable to have applied an average cost per cycle. </w:t>
      </w:r>
      <w:r w:rsidR="00274D3F" w:rsidRPr="006D2224">
        <w:t>For example</w:t>
      </w:r>
      <w:r w:rsidR="00372E11" w:rsidRPr="006D2224">
        <w:t>, due to the application of costs every 8 cycles the ICER for 8 cycles is substantially higher (</w:t>
      </w:r>
      <w:r w:rsidR="00946FE5" w:rsidRPr="006D2224">
        <w:t>$</w:t>
      </w:r>
      <w:r w:rsidR="00796B35">
        <w:t>15,000 - $45,000</w:t>
      </w:r>
      <w:r w:rsidR="00946FE5" w:rsidRPr="006D2224">
        <w:t xml:space="preserve"> per QALY) than the ICER for </w:t>
      </w:r>
      <w:r w:rsidR="009A5AD8" w:rsidRPr="006D2224">
        <w:t>12</w:t>
      </w:r>
      <w:r w:rsidR="00946FE5" w:rsidRPr="006D2224">
        <w:t xml:space="preserve"> cycles (</w:t>
      </w:r>
      <w:r w:rsidR="00796B35">
        <w:t xml:space="preserve">less than </w:t>
      </w:r>
      <w:r w:rsidR="00946FE5" w:rsidRPr="006D2224">
        <w:t>$</w:t>
      </w:r>
      <w:r w:rsidR="00796B35">
        <w:t>15,000</w:t>
      </w:r>
      <w:r w:rsidR="00946FE5" w:rsidRPr="006D2224">
        <w:t xml:space="preserve"> per QALY).</w:t>
      </w:r>
      <w:r w:rsidR="00B4431B" w:rsidRPr="006D2224">
        <w:t xml:space="preserve"> </w:t>
      </w:r>
    </w:p>
    <w:p w:rsidR="0078198E" w:rsidRPr="006D2224" w:rsidRDefault="00581ACD" w:rsidP="0078198E">
      <w:pPr>
        <w:pStyle w:val="ListParagraph"/>
        <w:widowControl/>
        <w:numPr>
          <w:ilvl w:val="1"/>
          <w:numId w:val="2"/>
        </w:numPr>
      </w:pPr>
      <w:r w:rsidRPr="006D2224">
        <w:t>The sensitivity analysis suggests that the model was insensitive to the change that allowed 5% of patients to transition to a more severe state in each cycle. However, the implementation of transitions</w:t>
      </w:r>
      <w:r w:rsidR="000E5528" w:rsidRPr="006D2224">
        <w:t xml:space="preserve"> to more severe states</w:t>
      </w:r>
      <w:r w:rsidRPr="006D2224">
        <w:t xml:space="preserve"> may not be appropriate as it resulted in clinically implausible outcomes (e.g. no patients are clear of disease and the majority have severe disease at Year 5). The impact of assumed transition probabilities </w:t>
      </w:r>
      <w:r w:rsidR="000E5528" w:rsidRPr="006D2224">
        <w:t>used in the base case (i.e. patients cannot transition to a worse state)</w:t>
      </w:r>
      <w:r w:rsidRPr="006D2224">
        <w:t xml:space="preserve"> could not be adequately assessed with sensitivity analyses due to the structure of the economic model.</w:t>
      </w:r>
    </w:p>
    <w:p w:rsidR="00C25D9C" w:rsidRPr="006D2224" w:rsidRDefault="00AA1C10" w:rsidP="000814E3">
      <w:pPr>
        <w:pStyle w:val="Heading2"/>
        <w:spacing w:after="240"/>
      </w:pPr>
      <w:bookmarkStart w:id="13" w:name="_Toc524516455"/>
      <w:r w:rsidRPr="006D2224">
        <w:t>Drug cost/patient/</w:t>
      </w:r>
      <w:r w:rsidR="00C25D9C" w:rsidRPr="006D2224">
        <w:t>course</w:t>
      </w:r>
      <w:bookmarkEnd w:id="13"/>
      <w:r w:rsidR="000814E3" w:rsidRPr="006D2224">
        <w:tab/>
      </w:r>
    </w:p>
    <w:p w:rsidR="00171EBD" w:rsidRPr="006D2224" w:rsidRDefault="00171EBD" w:rsidP="00173629">
      <w:pPr>
        <w:pStyle w:val="ListParagraph"/>
        <w:numPr>
          <w:ilvl w:val="1"/>
          <w:numId w:val="2"/>
        </w:numPr>
      </w:pPr>
      <w:r w:rsidRPr="006D2224">
        <w:t xml:space="preserve">Based on the proposed weighted DPMQ for </w:t>
      </w:r>
      <w:proofErr w:type="spellStart"/>
      <w:r w:rsidRPr="006D2224">
        <w:t>crisaborole</w:t>
      </w:r>
      <w:proofErr w:type="spellEnd"/>
      <w:r w:rsidRPr="006D2224">
        <w:t xml:space="preserve"> for use on the whole body</w:t>
      </w:r>
      <w:r w:rsidR="002039A0" w:rsidRPr="006D2224">
        <w:t xml:space="preserve"> including face and eyelids</w:t>
      </w:r>
      <w:r w:rsidRPr="006D2224">
        <w:t>, the estimated drug cost per patient per year was $</w:t>
      </w:r>
      <w:r w:rsidR="007131B6">
        <w:rPr>
          <w:noProof/>
          <w:color w:val="000000"/>
          <w:highlight w:val="black"/>
        </w:rPr>
        <w:t>''''''''''''</w:t>
      </w:r>
      <w:r w:rsidRPr="006D2224">
        <w:t xml:space="preserve"> (using a DPMQ of $</w:t>
      </w:r>
      <w:r w:rsidR="007131B6">
        <w:rPr>
          <w:noProof/>
          <w:color w:val="000000"/>
          <w:highlight w:val="black"/>
        </w:rPr>
        <w:t>'''''''''</w:t>
      </w:r>
      <w:r w:rsidRPr="006D2224">
        <w:t xml:space="preserve"> per gram and assuming </w:t>
      </w:r>
      <w:r w:rsidR="007131B6">
        <w:rPr>
          <w:noProof/>
          <w:color w:val="000000"/>
          <w:highlight w:val="black"/>
        </w:rPr>
        <w:t>'''''</w:t>
      </w:r>
      <w:r w:rsidRPr="006D2224">
        <w:t xml:space="preserve"> grams per patient per year as per US claims data). This estimate was highly uncertain and was inconsistent with usage reported in the trials.</w:t>
      </w:r>
      <w:r w:rsidR="002039A0" w:rsidRPr="006D2224">
        <w:t xml:space="preserve"> </w:t>
      </w:r>
      <w:r w:rsidRPr="006D2224">
        <w:t>Based on trial data</w:t>
      </w:r>
      <w:r w:rsidR="002039A0" w:rsidRPr="006D2224">
        <w:t xml:space="preserve">, the estimated drug cost for </w:t>
      </w:r>
      <w:proofErr w:type="spellStart"/>
      <w:r w:rsidR="002039A0" w:rsidRPr="006D2224">
        <w:t>crisaborole</w:t>
      </w:r>
      <w:proofErr w:type="spellEnd"/>
      <w:r w:rsidR="002039A0" w:rsidRPr="006D2224">
        <w:t xml:space="preserve"> per patient per 4 weeks was $</w:t>
      </w:r>
      <w:r w:rsidR="007131B6">
        <w:rPr>
          <w:noProof/>
          <w:color w:val="000000"/>
          <w:highlight w:val="black"/>
        </w:rPr>
        <w:t>'''''''''''''</w:t>
      </w:r>
      <w:r w:rsidR="002039A0" w:rsidRPr="006D2224">
        <w:t xml:space="preserve"> (mean dose of 170 g).</w:t>
      </w:r>
    </w:p>
    <w:p w:rsidR="00CB1857" w:rsidRPr="006D2224" w:rsidRDefault="00CB1857" w:rsidP="00173629">
      <w:pPr>
        <w:pStyle w:val="ListParagraph"/>
        <w:numPr>
          <w:ilvl w:val="1"/>
          <w:numId w:val="2"/>
        </w:numPr>
      </w:pPr>
      <w:r w:rsidRPr="006D2224">
        <w:t xml:space="preserve">Based on use on the face and eyelids only, the estimated drug cost for </w:t>
      </w:r>
      <w:proofErr w:type="spellStart"/>
      <w:r w:rsidRPr="006D2224">
        <w:t>pimecrolimus</w:t>
      </w:r>
      <w:proofErr w:type="spellEnd"/>
      <w:r w:rsidRPr="006D2224">
        <w:t xml:space="preserve"> per patient per year was $125.76 (using a DPMQ of $31.44 per 15 gram script and assuming a maximum of 60 grams as per the annual limit under PBS restrictions). </w:t>
      </w:r>
    </w:p>
    <w:p w:rsidR="00B60939" w:rsidRPr="006D2224" w:rsidRDefault="00B60939" w:rsidP="0078198E">
      <w:pPr>
        <w:pStyle w:val="Heading2"/>
        <w:spacing w:after="240"/>
      </w:pPr>
      <w:bookmarkStart w:id="14" w:name="_Toc524516456"/>
      <w:r w:rsidRPr="006D2224">
        <w:t>Estimated PBS usage &amp; financial implications</w:t>
      </w:r>
      <w:bookmarkEnd w:id="14"/>
    </w:p>
    <w:p w:rsidR="00733E9E" w:rsidRPr="006D2224" w:rsidRDefault="00733E9E" w:rsidP="00733E9E">
      <w:pPr>
        <w:pStyle w:val="ListParagraph"/>
        <w:widowControl/>
        <w:numPr>
          <w:ilvl w:val="1"/>
          <w:numId w:val="2"/>
        </w:numPr>
      </w:pPr>
      <w:r w:rsidRPr="006D2224">
        <w:t>This submission was considered by DUSC</w:t>
      </w:r>
      <w:r w:rsidRPr="006D2224">
        <w:rPr>
          <w:color w:val="0070C0"/>
        </w:rPr>
        <w:t xml:space="preserve">. </w:t>
      </w:r>
      <w:r w:rsidRPr="006D2224">
        <w:t xml:space="preserve">The submission used a mixed epidemiological and market share approach to estimate the utilisation and financial implications of listing </w:t>
      </w:r>
      <w:proofErr w:type="spellStart"/>
      <w:r w:rsidRPr="006D2224">
        <w:t>crisaborole</w:t>
      </w:r>
      <w:proofErr w:type="spellEnd"/>
      <w:r w:rsidRPr="006D2224">
        <w:t>.</w:t>
      </w:r>
    </w:p>
    <w:p w:rsidR="00733E9E" w:rsidRPr="006D2224" w:rsidRDefault="00733E9E" w:rsidP="00733E9E">
      <w:pPr>
        <w:pStyle w:val="ListParagraph"/>
        <w:widowControl/>
        <w:numPr>
          <w:ilvl w:val="1"/>
          <w:numId w:val="2"/>
        </w:numPr>
      </w:pPr>
      <w:r w:rsidRPr="006D2224">
        <w:t xml:space="preserve">The estimated eligible population and budget impact of listing </w:t>
      </w:r>
      <w:proofErr w:type="spellStart"/>
      <w:r w:rsidRPr="006D2224">
        <w:t>crisaborole</w:t>
      </w:r>
      <w:proofErr w:type="spellEnd"/>
      <w:r w:rsidRPr="006D2224">
        <w:t xml:space="preserve"> is summarised in the table below. </w:t>
      </w:r>
    </w:p>
    <w:p w:rsidR="00733E9E" w:rsidRPr="006D2224" w:rsidRDefault="00733E9E" w:rsidP="00733E9E">
      <w:pPr>
        <w:rPr>
          <w:rStyle w:val="CommentReference"/>
        </w:rPr>
      </w:pPr>
      <w:r w:rsidRPr="006D2224">
        <w:rPr>
          <w:rStyle w:val="CommentReference"/>
        </w:rPr>
        <w:t xml:space="preserve">Table 15:  Estimated utilisation and cost of </w:t>
      </w:r>
      <w:proofErr w:type="spellStart"/>
      <w:r w:rsidRPr="006D2224">
        <w:rPr>
          <w:rStyle w:val="CommentReference"/>
        </w:rPr>
        <w:t>crisaborole</w:t>
      </w:r>
      <w:proofErr w:type="spellEnd"/>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1"/>
        <w:gridCol w:w="1160"/>
        <w:gridCol w:w="1161"/>
        <w:gridCol w:w="1161"/>
        <w:gridCol w:w="1161"/>
        <w:gridCol w:w="1161"/>
        <w:gridCol w:w="1161"/>
      </w:tblGrid>
      <w:tr w:rsidR="00157C21" w:rsidRPr="006D2224" w:rsidTr="00157C21">
        <w:trPr>
          <w:tblHeader/>
        </w:trPr>
        <w:tc>
          <w:tcPr>
            <w:tcW w:w="1112" w:type="pct"/>
            <w:shd w:val="clear" w:color="auto" w:fill="auto"/>
            <w:vAlign w:val="center"/>
          </w:tcPr>
          <w:p w:rsidR="00157C21" w:rsidRPr="006D2224" w:rsidRDefault="00157C21" w:rsidP="00157C21">
            <w:pPr>
              <w:keepNext/>
              <w:widowControl/>
              <w:spacing w:before="40" w:after="40"/>
              <w:jc w:val="left"/>
              <w:rPr>
                <w:rFonts w:ascii="Arial Narrow" w:eastAsia="Calibri" w:hAnsi="Arial Narrow"/>
                <w:snapToGrid/>
                <w:sz w:val="20"/>
              </w:rPr>
            </w:pPr>
          </w:p>
        </w:tc>
        <w:tc>
          <w:tcPr>
            <w:tcW w:w="648" w:type="pct"/>
            <w:shd w:val="clear" w:color="auto" w:fill="auto"/>
            <w:vAlign w:val="center"/>
          </w:tcPr>
          <w:p w:rsidR="00157C21" w:rsidRPr="006D2224" w:rsidRDefault="00157C21" w:rsidP="00157C21">
            <w:pPr>
              <w:keepNext/>
              <w:widowControl/>
              <w:spacing w:before="40" w:after="40"/>
              <w:jc w:val="center"/>
              <w:rPr>
                <w:rFonts w:ascii="Arial Narrow" w:eastAsia="Calibri" w:hAnsi="Arial Narrow"/>
                <w:b/>
                <w:snapToGrid/>
                <w:sz w:val="20"/>
              </w:rPr>
            </w:pPr>
            <w:r w:rsidRPr="006D2224">
              <w:rPr>
                <w:rFonts w:ascii="Arial Narrow" w:eastAsia="Calibri" w:hAnsi="Arial Narrow"/>
                <w:b/>
                <w:snapToGrid/>
                <w:sz w:val="20"/>
              </w:rPr>
              <w:t>Year 1</w:t>
            </w:r>
          </w:p>
        </w:tc>
        <w:tc>
          <w:tcPr>
            <w:tcW w:w="648" w:type="pct"/>
            <w:shd w:val="clear" w:color="auto" w:fill="auto"/>
            <w:vAlign w:val="center"/>
          </w:tcPr>
          <w:p w:rsidR="00157C21" w:rsidRPr="006D2224" w:rsidRDefault="00157C21" w:rsidP="00157C21">
            <w:pPr>
              <w:keepNext/>
              <w:widowControl/>
              <w:spacing w:before="40" w:after="40"/>
              <w:jc w:val="center"/>
              <w:rPr>
                <w:rFonts w:ascii="Arial Narrow" w:eastAsia="Calibri" w:hAnsi="Arial Narrow"/>
                <w:b/>
                <w:snapToGrid/>
                <w:sz w:val="20"/>
              </w:rPr>
            </w:pPr>
            <w:r w:rsidRPr="006D2224">
              <w:rPr>
                <w:rFonts w:ascii="Arial Narrow" w:eastAsia="Calibri" w:hAnsi="Arial Narrow"/>
                <w:b/>
                <w:snapToGrid/>
                <w:sz w:val="20"/>
              </w:rPr>
              <w:t>Year 2</w:t>
            </w:r>
          </w:p>
        </w:tc>
        <w:tc>
          <w:tcPr>
            <w:tcW w:w="648" w:type="pct"/>
            <w:shd w:val="clear" w:color="auto" w:fill="auto"/>
            <w:vAlign w:val="center"/>
          </w:tcPr>
          <w:p w:rsidR="00157C21" w:rsidRPr="006D2224" w:rsidRDefault="00157C21" w:rsidP="00157C21">
            <w:pPr>
              <w:keepNext/>
              <w:widowControl/>
              <w:spacing w:before="40" w:after="40"/>
              <w:jc w:val="center"/>
              <w:rPr>
                <w:rFonts w:ascii="Arial Narrow" w:eastAsia="Calibri" w:hAnsi="Arial Narrow"/>
                <w:b/>
                <w:snapToGrid/>
                <w:sz w:val="20"/>
              </w:rPr>
            </w:pPr>
            <w:r w:rsidRPr="006D2224">
              <w:rPr>
                <w:rFonts w:ascii="Arial Narrow" w:eastAsia="Calibri" w:hAnsi="Arial Narrow"/>
                <w:b/>
                <w:snapToGrid/>
                <w:sz w:val="20"/>
              </w:rPr>
              <w:t>Year 3</w:t>
            </w:r>
          </w:p>
        </w:tc>
        <w:tc>
          <w:tcPr>
            <w:tcW w:w="648" w:type="pct"/>
            <w:shd w:val="clear" w:color="auto" w:fill="auto"/>
            <w:vAlign w:val="center"/>
          </w:tcPr>
          <w:p w:rsidR="00157C21" w:rsidRPr="006D2224" w:rsidRDefault="00157C21" w:rsidP="00157C21">
            <w:pPr>
              <w:keepNext/>
              <w:widowControl/>
              <w:spacing w:before="40" w:after="40"/>
              <w:jc w:val="center"/>
              <w:rPr>
                <w:rFonts w:ascii="Arial Narrow" w:eastAsia="Calibri" w:hAnsi="Arial Narrow"/>
                <w:b/>
                <w:snapToGrid/>
                <w:sz w:val="20"/>
              </w:rPr>
            </w:pPr>
            <w:r w:rsidRPr="006D2224">
              <w:rPr>
                <w:rFonts w:ascii="Arial Narrow" w:eastAsia="Calibri" w:hAnsi="Arial Narrow"/>
                <w:b/>
                <w:snapToGrid/>
                <w:sz w:val="20"/>
              </w:rPr>
              <w:t>Year 4</w:t>
            </w:r>
          </w:p>
        </w:tc>
        <w:tc>
          <w:tcPr>
            <w:tcW w:w="648" w:type="pct"/>
            <w:shd w:val="clear" w:color="auto" w:fill="auto"/>
            <w:vAlign w:val="center"/>
          </w:tcPr>
          <w:p w:rsidR="00157C21" w:rsidRPr="006D2224" w:rsidRDefault="00157C21" w:rsidP="00157C21">
            <w:pPr>
              <w:keepNext/>
              <w:widowControl/>
              <w:spacing w:before="40" w:after="40"/>
              <w:jc w:val="center"/>
              <w:rPr>
                <w:rFonts w:ascii="Arial Narrow" w:eastAsia="Calibri" w:hAnsi="Arial Narrow"/>
                <w:b/>
                <w:snapToGrid/>
                <w:sz w:val="20"/>
              </w:rPr>
            </w:pPr>
            <w:r w:rsidRPr="006D2224">
              <w:rPr>
                <w:rFonts w:ascii="Arial Narrow" w:eastAsia="Calibri" w:hAnsi="Arial Narrow"/>
                <w:b/>
                <w:snapToGrid/>
                <w:sz w:val="20"/>
              </w:rPr>
              <w:t>Year 5</w:t>
            </w:r>
          </w:p>
        </w:tc>
        <w:tc>
          <w:tcPr>
            <w:tcW w:w="648" w:type="pct"/>
            <w:vAlign w:val="center"/>
          </w:tcPr>
          <w:p w:rsidR="00157C21" w:rsidRPr="006D2224" w:rsidRDefault="00157C21" w:rsidP="00157C21">
            <w:pPr>
              <w:keepNext/>
              <w:widowControl/>
              <w:spacing w:before="40" w:after="40"/>
              <w:jc w:val="center"/>
              <w:rPr>
                <w:rFonts w:ascii="Arial Narrow" w:eastAsia="Calibri" w:hAnsi="Arial Narrow"/>
                <w:b/>
                <w:snapToGrid/>
                <w:sz w:val="20"/>
              </w:rPr>
            </w:pPr>
            <w:r w:rsidRPr="006D2224">
              <w:rPr>
                <w:rFonts w:ascii="Arial Narrow" w:eastAsia="Calibri" w:hAnsi="Arial Narrow"/>
                <w:b/>
                <w:snapToGrid/>
                <w:sz w:val="20"/>
              </w:rPr>
              <w:t>Year 6</w:t>
            </w:r>
          </w:p>
        </w:tc>
      </w:tr>
      <w:tr w:rsidR="00157C21" w:rsidRPr="006D2224" w:rsidTr="00157C21">
        <w:tc>
          <w:tcPr>
            <w:tcW w:w="5000" w:type="pct"/>
            <w:gridSpan w:val="7"/>
            <w:shd w:val="clear" w:color="auto" w:fill="auto"/>
            <w:vAlign w:val="center"/>
          </w:tcPr>
          <w:p w:rsidR="00157C21" w:rsidRPr="006D2224" w:rsidRDefault="00157C21" w:rsidP="00157C21">
            <w:pPr>
              <w:keepNext/>
              <w:widowControl/>
              <w:spacing w:before="40" w:after="40"/>
              <w:jc w:val="left"/>
              <w:rPr>
                <w:rFonts w:ascii="Arial Narrow" w:eastAsia="Calibri" w:hAnsi="Arial Narrow"/>
                <w:b/>
                <w:bCs/>
                <w:snapToGrid/>
                <w:sz w:val="20"/>
              </w:rPr>
            </w:pPr>
            <w:r w:rsidRPr="006D2224">
              <w:rPr>
                <w:rFonts w:ascii="Arial Narrow" w:eastAsia="Calibri" w:hAnsi="Arial Narrow"/>
                <w:b/>
                <w:bCs/>
                <w:snapToGrid/>
                <w:sz w:val="20"/>
              </w:rPr>
              <w:t>Estimated extent of use</w:t>
            </w:r>
          </w:p>
        </w:tc>
      </w:tr>
      <w:tr w:rsidR="00157C21" w:rsidRPr="006D2224" w:rsidTr="00157C21">
        <w:trPr>
          <w:trHeight w:val="492"/>
        </w:trPr>
        <w:tc>
          <w:tcPr>
            <w:tcW w:w="1112" w:type="pct"/>
            <w:shd w:val="clear" w:color="auto" w:fill="auto"/>
            <w:vAlign w:val="center"/>
          </w:tcPr>
          <w:p w:rsidR="00157C21" w:rsidRPr="006D2224" w:rsidRDefault="00157C21" w:rsidP="00157C21">
            <w:pPr>
              <w:keepNext/>
              <w:widowControl/>
              <w:spacing w:before="40"/>
              <w:jc w:val="left"/>
              <w:rPr>
                <w:rFonts w:ascii="Arial Narrow" w:hAnsi="Arial Narrow"/>
                <w:snapToGrid/>
                <w:sz w:val="20"/>
              </w:rPr>
            </w:pPr>
            <w:r w:rsidRPr="006D2224">
              <w:rPr>
                <w:rFonts w:ascii="Arial Narrow" w:eastAsia="Calibri" w:hAnsi="Arial Narrow"/>
                <w:snapToGrid/>
                <w:sz w:val="20"/>
              </w:rPr>
              <w:t>Number of patients treated</w:t>
            </w:r>
          </w:p>
        </w:tc>
        <w:tc>
          <w:tcPr>
            <w:tcW w:w="648" w:type="pct"/>
            <w:shd w:val="clear" w:color="auto" w:fill="auto"/>
            <w:vAlign w:val="center"/>
          </w:tcPr>
          <w:p w:rsidR="00157C21" w:rsidRPr="007131B6" w:rsidRDefault="007131B6" w:rsidP="00157C21">
            <w:pPr>
              <w:pStyle w:val="Tabletext"/>
              <w:jc w:val="center"/>
              <w:rPr>
                <w:highlight w:val="black"/>
              </w:rPr>
            </w:pPr>
            <w:r>
              <w:rPr>
                <w:noProof/>
                <w:color w:val="000000"/>
                <w:highlight w:val="black"/>
              </w:rPr>
              <w:t>''''''''''''''''</w:t>
            </w:r>
          </w:p>
        </w:tc>
        <w:tc>
          <w:tcPr>
            <w:tcW w:w="648" w:type="pct"/>
            <w:shd w:val="clear" w:color="auto" w:fill="auto"/>
            <w:vAlign w:val="center"/>
          </w:tcPr>
          <w:p w:rsidR="00157C21" w:rsidRPr="007131B6" w:rsidRDefault="007131B6" w:rsidP="00157C21">
            <w:pPr>
              <w:pStyle w:val="Tabletext"/>
              <w:jc w:val="center"/>
              <w:rPr>
                <w:highlight w:val="black"/>
              </w:rPr>
            </w:pPr>
            <w:r>
              <w:rPr>
                <w:noProof/>
                <w:color w:val="000000"/>
                <w:highlight w:val="black"/>
              </w:rPr>
              <w:t>'''''''''''''''</w:t>
            </w:r>
          </w:p>
        </w:tc>
        <w:tc>
          <w:tcPr>
            <w:tcW w:w="648" w:type="pct"/>
            <w:shd w:val="clear" w:color="auto" w:fill="auto"/>
            <w:vAlign w:val="center"/>
          </w:tcPr>
          <w:p w:rsidR="00157C21" w:rsidRPr="007131B6" w:rsidRDefault="007131B6" w:rsidP="00157C21">
            <w:pPr>
              <w:pStyle w:val="Tabletext"/>
              <w:jc w:val="center"/>
              <w:rPr>
                <w:highlight w:val="black"/>
              </w:rPr>
            </w:pPr>
            <w:r>
              <w:rPr>
                <w:noProof/>
                <w:color w:val="000000"/>
                <w:highlight w:val="black"/>
              </w:rPr>
              <w:t>'''''''''''''''</w:t>
            </w:r>
          </w:p>
        </w:tc>
        <w:tc>
          <w:tcPr>
            <w:tcW w:w="648" w:type="pct"/>
            <w:shd w:val="clear" w:color="auto" w:fill="auto"/>
            <w:vAlign w:val="center"/>
          </w:tcPr>
          <w:p w:rsidR="00157C21" w:rsidRPr="007131B6" w:rsidRDefault="007131B6" w:rsidP="00157C21">
            <w:pPr>
              <w:pStyle w:val="Tabletext"/>
              <w:jc w:val="center"/>
              <w:rPr>
                <w:highlight w:val="black"/>
              </w:rPr>
            </w:pPr>
            <w:r>
              <w:rPr>
                <w:noProof/>
                <w:color w:val="000000"/>
                <w:highlight w:val="black"/>
              </w:rPr>
              <w:t>'''''''''''''''''</w:t>
            </w:r>
          </w:p>
        </w:tc>
        <w:tc>
          <w:tcPr>
            <w:tcW w:w="648" w:type="pct"/>
            <w:shd w:val="clear" w:color="auto" w:fill="auto"/>
            <w:vAlign w:val="center"/>
          </w:tcPr>
          <w:p w:rsidR="00157C21" w:rsidRPr="007131B6" w:rsidRDefault="007131B6" w:rsidP="00157C21">
            <w:pPr>
              <w:pStyle w:val="Tabletext"/>
              <w:jc w:val="center"/>
              <w:rPr>
                <w:highlight w:val="black"/>
              </w:rPr>
            </w:pPr>
            <w:r>
              <w:rPr>
                <w:noProof/>
                <w:color w:val="000000"/>
                <w:highlight w:val="black"/>
              </w:rPr>
              <w:t>''''''''''''''''''</w:t>
            </w:r>
          </w:p>
        </w:tc>
        <w:tc>
          <w:tcPr>
            <w:tcW w:w="648" w:type="pct"/>
            <w:vAlign w:val="center"/>
          </w:tcPr>
          <w:p w:rsidR="00157C21" w:rsidRPr="007131B6" w:rsidRDefault="007131B6" w:rsidP="00157C21">
            <w:pPr>
              <w:pStyle w:val="Tabletext"/>
              <w:jc w:val="center"/>
              <w:rPr>
                <w:highlight w:val="black"/>
              </w:rPr>
            </w:pPr>
            <w:r>
              <w:rPr>
                <w:noProof/>
                <w:color w:val="000000"/>
                <w:highlight w:val="black"/>
              </w:rPr>
              <w:t>''''''''''''''''''''</w:t>
            </w:r>
          </w:p>
        </w:tc>
      </w:tr>
      <w:tr w:rsidR="00157C21" w:rsidRPr="006D2224" w:rsidTr="00157C21">
        <w:tc>
          <w:tcPr>
            <w:tcW w:w="1112" w:type="pct"/>
            <w:shd w:val="clear" w:color="auto" w:fill="auto"/>
            <w:vAlign w:val="center"/>
          </w:tcPr>
          <w:p w:rsidR="00157C21" w:rsidRPr="006D2224" w:rsidRDefault="00157C21" w:rsidP="00157C21">
            <w:pPr>
              <w:keepNext/>
              <w:widowControl/>
              <w:spacing w:before="40"/>
              <w:jc w:val="left"/>
              <w:rPr>
                <w:rFonts w:ascii="Arial Narrow" w:hAnsi="Arial Narrow"/>
                <w:snapToGrid/>
                <w:sz w:val="20"/>
              </w:rPr>
            </w:pPr>
            <w:r w:rsidRPr="006D2224">
              <w:rPr>
                <w:rFonts w:ascii="Arial Narrow" w:eastAsia="Calibri" w:hAnsi="Arial Narrow"/>
                <w:snapToGrid/>
                <w:sz w:val="20"/>
              </w:rPr>
              <w:t xml:space="preserve">Number of scripts </w:t>
            </w:r>
            <w:proofErr w:type="spellStart"/>
            <w:r w:rsidRPr="006D2224">
              <w:rPr>
                <w:rFonts w:ascii="Arial Narrow" w:eastAsia="Calibri" w:hAnsi="Arial Narrow"/>
                <w:snapToGrid/>
                <w:sz w:val="20"/>
              </w:rPr>
              <w:t>dispensed</w:t>
            </w:r>
            <w:r w:rsidRPr="006D2224">
              <w:rPr>
                <w:rFonts w:ascii="Arial Narrow" w:eastAsia="Calibri" w:hAnsi="Arial Narrow"/>
                <w:snapToGrid/>
                <w:sz w:val="20"/>
                <w:vertAlign w:val="superscript"/>
              </w:rPr>
              <w:t>a</w:t>
            </w:r>
            <w:proofErr w:type="spellEnd"/>
          </w:p>
        </w:tc>
        <w:tc>
          <w:tcPr>
            <w:tcW w:w="648" w:type="pct"/>
            <w:shd w:val="clear" w:color="auto" w:fill="auto"/>
            <w:vAlign w:val="center"/>
          </w:tcPr>
          <w:p w:rsidR="00157C21" w:rsidRPr="007131B6" w:rsidRDefault="007131B6" w:rsidP="00157C21">
            <w:pPr>
              <w:pStyle w:val="Tabletext"/>
              <w:jc w:val="center"/>
              <w:rPr>
                <w:rFonts w:cs="Arial"/>
                <w:highlight w:val="black"/>
              </w:rPr>
            </w:pPr>
            <w:r>
              <w:rPr>
                <w:noProof/>
                <w:color w:val="000000"/>
                <w:highlight w:val="black"/>
              </w:rPr>
              <w:t>'''''''''''''''''</w:t>
            </w:r>
          </w:p>
        </w:tc>
        <w:tc>
          <w:tcPr>
            <w:tcW w:w="648" w:type="pct"/>
            <w:shd w:val="clear" w:color="auto" w:fill="auto"/>
            <w:vAlign w:val="center"/>
          </w:tcPr>
          <w:p w:rsidR="00157C21" w:rsidRPr="007131B6" w:rsidRDefault="007131B6" w:rsidP="00157C21">
            <w:pPr>
              <w:pStyle w:val="Tabletext"/>
              <w:jc w:val="center"/>
              <w:rPr>
                <w:rFonts w:cs="Arial"/>
                <w:highlight w:val="black"/>
              </w:rPr>
            </w:pPr>
            <w:r>
              <w:rPr>
                <w:noProof/>
                <w:color w:val="000000"/>
                <w:highlight w:val="black"/>
              </w:rPr>
              <w:t>''''''''''''''''''''</w:t>
            </w:r>
          </w:p>
        </w:tc>
        <w:tc>
          <w:tcPr>
            <w:tcW w:w="648" w:type="pct"/>
            <w:shd w:val="clear" w:color="auto" w:fill="auto"/>
            <w:vAlign w:val="center"/>
          </w:tcPr>
          <w:p w:rsidR="00157C21" w:rsidRPr="007131B6" w:rsidRDefault="007131B6" w:rsidP="00157C21">
            <w:pPr>
              <w:pStyle w:val="Tabletext"/>
              <w:jc w:val="center"/>
              <w:rPr>
                <w:rFonts w:cs="Arial"/>
                <w:highlight w:val="black"/>
              </w:rPr>
            </w:pPr>
            <w:r>
              <w:rPr>
                <w:noProof/>
                <w:color w:val="000000"/>
                <w:highlight w:val="black"/>
              </w:rPr>
              <w:t>''''''''''''''''''''</w:t>
            </w:r>
          </w:p>
        </w:tc>
        <w:tc>
          <w:tcPr>
            <w:tcW w:w="648" w:type="pct"/>
            <w:shd w:val="clear" w:color="auto" w:fill="auto"/>
            <w:vAlign w:val="center"/>
          </w:tcPr>
          <w:p w:rsidR="00157C21" w:rsidRPr="007131B6" w:rsidRDefault="007131B6" w:rsidP="00157C21">
            <w:pPr>
              <w:pStyle w:val="Tabletext"/>
              <w:jc w:val="center"/>
              <w:rPr>
                <w:rFonts w:cs="Arial"/>
                <w:highlight w:val="black"/>
              </w:rPr>
            </w:pPr>
            <w:r>
              <w:rPr>
                <w:noProof/>
                <w:color w:val="000000"/>
                <w:highlight w:val="black"/>
              </w:rPr>
              <w:t>'''''''''''''''''''</w:t>
            </w:r>
          </w:p>
        </w:tc>
        <w:tc>
          <w:tcPr>
            <w:tcW w:w="648" w:type="pct"/>
            <w:shd w:val="clear" w:color="auto" w:fill="auto"/>
            <w:vAlign w:val="center"/>
          </w:tcPr>
          <w:p w:rsidR="00157C21" w:rsidRPr="007131B6" w:rsidRDefault="007131B6" w:rsidP="00157C21">
            <w:pPr>
              <w:pStyle w:val="Tabletext"/>
              <w:jc w:val="center"/>
              <w:rPr>
                <w:rFonts w:cs="Arial"/>
                <w:highlight w:val="black"/>
              </w:rPr>
            </w:pPr>
            <w:r>
              <w:rPr>
                <w:noProof/>
                <w:color w:val="000000"/>
                <w:highlight w:val="black"/>
              </w:rPr>
              <w:t>'''''''''''''''''''</w:t>
            </w:r>
          </w:p>
        </w:tc>
        <w:tc>
          <w:tcPr>
            <w:tcW w:w="648" w:type="pct"/>
            <w:vAlign w:val="center"/>
          </w:tcPr>
          <w:p w:rsidR="00157C21" w:rsidRPr="007131B6" w:rsidRDefault="007131B6" w:rsidP="00157C21">
            <w:pPr>
              <w:pStyle w:val="Tabletext"/>
              <w:jc w:val="center"/>
              <w:rPr>
                <w:rFonts w:cs="Arial"/>
                <w:highlight w:val="black"/>
              </w:rPr>
            </w:pPr>
            <w:r>
              <w:rPr>
                <w:noProof/>
                <w:color w:val="000000"/>
                <w:highlight w:val="black"/>
              </w:rPr>
              <w:t>'''''''''''''''''''</w:t>
            </w:r>
          </w:p>
        </w:tc>
      </w:tr>
      <w:tr w:rsidR="00157C21" w:rsidRPr="006D2224" w:rsidTr="00157C21">
        <w:tc>
          <w:tcPr>
            <w:tcW w:w="5000" w:type="pct"/>
            <w:gridSpan w:val="7"/>
            <w:shd w:val="clear" w:color="auto" w:fill="auto"/>
            <w:vAlign w:val="center"/>
          </w:tcPr>
          <w:p w:rsidR="00157C21" w:rsidRPr="006D2224" w:rsidRDefault="00157C21" w:rsidP="00324DF8">
            <w:pPr>
              <w:keepNext/>
              <w:widowControl/>
              <w:spacing w:before="40" w:after="40"/>
              <w:jc w:val="left"/>
              <w:rPr>
                <w:rFonts w:ascii="Arial Narrow" w:eastAsia="Calibri" w:hAnsi="Arial Narrow"/>
                <w:b/>
                <w:bCs/>
                <w:snapToGrid/>
                <w:sz w:val="20"/>
              </w:rPr>
            </w:pPr>
            <w:r w:rsidRPr="006D2224">
              <w:rPr>
                <w:rFonts w:ascii="Arial Narrow" w:eastAsia="Calibri" w:hAnsi="Arial Narrow"/>
                <w:b/>
                <w:bCs/>
                <w:snapToGrid/>
                <w:sz w:val="20"/>
              </w:rPr>
              <w:t xml:space="preserve">Estimated financial implications of </w:t>
            </w:r>
            <w:proofErr w:type="spellStart"/>
            <w:r w:rsidR="00324DF8" w:rsidRPr="006D2224">
              <w:rPr>
                <w:rFonts w:ascii="Arial Narrow" w:eastAsia="Calibri" w:hAnsi="Arial Narrow"/>
                <w:b/>
                <w:bCs/>
                <w:snapToGrid/>
                <w:sz w:val="20"/>
              </w:rPr>
              <w:t>crisaborole</w:t>
            </w:r>
            <w:proofErr w:type="spellEnd"/>
          </w:p>
        </w:tc>
      </w:tr>
      <w:tr w:rsidR="00157C21" w:rsidRPr="006D2224" w:rsidTr="00157C21">
        <w:trPr>
          <w:trHeight w:val="393"/>
        </w:trPr>
        <w:tc>
          <w:tcPr>
            <w:tcW w:w="1112" w:type="pct"/>
            <w:shd w:val="clear" w:color="auto" w:fill="auto"/>
            <w:vAlign w:val="center"/>
          </w:tcPr>
          <w:p w:rsidR="00157C21" w:rsidRPr="006D2224" w:rsidRDefault="00157C21" w:rsidP="00157C21">
            <w:pPr>
              <w:keepNext/>
              <w:widowControl/>
              <w:spacing w:before="40"/>
              <w:jc w:val="left"/>
              <w:rPr>
                <w:rFonts w:ascii="Arial Narrow" w:hAnsi="Arial Narrow"/>
                <w:snapToGrid/>
                <w:sz w:val="20"/>
              </w:rPr>
            </w:pPr>
            <w:r w:rsidRPr="006D2224">
              <w:rPr>
                <w:rFonts w:ascii="Arial Narrow" w:eastAsia="Calibri" w:hAnsi="Arial Narrow"/>
                <w:snapToGrid/>
                <w:sz w:val="20"/>
              </w:rPr>
              <w:t>Cost to PBS/RPBS</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r>
      <w:tr w:rsidR="00157C21" w:rsidRPr="006D2224" w:rsidTr="00157C21">
        <w:trPr>
          <w:trHeight w:val="513"/>
        </w:trPr>
        <w:tc>
          <w:tcPr>
            <w:tcW w:w="1112" w:type="pct"/>
            <w:shd w:val="clear" w:color="auto" w:fill="auto"/>
            <w:vAlign w:val="center"/>
          </w:tcPr>
          <w:p w:rsidR="00157C21" w:rsidRPr="006D2224" w:rsidRDefault="00157C21" w:rsidP="00157C21">
            <w:pPr>
              <w:keepNext/>
              <w:widowControl/>
              <w:spacing w:before="40"/>
              <w:jc w:val="left"/>
              <w:rPr>
                <w:rFonts w:ascii="Arial Narrow" w:eastAsia="Calibri" w:hAnsi="Arial Narrow"/>
                <w:snapToGrid/>
                <w:sz w:val="20"/>
              </w:rPr>
            </w:pPr>
            <w:r w:rsidRPr="006D2224">
              <w:rPr>
                <w:rFonts w:ascii="Arial Narrow" w:eastAsia="Calibri" w:hAnsi="Arial Narrow"/>
                <w:snapToGrid/>
                <w:sz w:val="20"/>
              </w:rPr>
              <w:t>Co-payments</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r>
      <w:tr w:rsidR="00157C21" w:rsidRPr="006D2224" w:rsidTr="00157C21">
        <w:tc>
          <w:tcPr>
            <w:tcW w:w="1112" w:type="pct"/>
            <w:shd w:val="clear" w:color="auto" w:fill="auto"/>
            <w:vAlign w:val="center"/>
          </w:tcPr>
          <w:p w:rsidR="00157C21" w:rsidRPr="006D2224" w:rsidRDefault="00157C21" w:rsidP="00157C21">
            <w:pPr>
              <w:keepNext/>
              <w:widowControl/>
              <w:spacing w:before="40"/>
              <w:jc w:val="left"/>
              <w:rPr>
                <w:rFonts w:ascii="Arial Narrow" w:eastAsia="Calibri" w:hAnsi="Arial Narrow"/>
                <w:snapToGrid/>
                <w:sz w:val="20"/>
              </w:rPr>
            </w:pPr>
            <w:r w:rsidRPr="006D2224">
              <w:rPr>
                <w:rFonts w:ascii="Arial Narrow" w:eastAsia="Calibri" w:hAnsi="Arial Narrow"/>
                <w:snapToGrid/>
                <w:sz w:val="20"/>
              </w:rPr>
              <w:t>Cost to PBS/RPBS less co</w:t>
            </w:r>
            <w:r w:rsidRPr="006D2224">
              <w:rPr>
                <w:rFonts w:ascii="Arial Narrow" w:eastAsia="Calibri" w:hAnsi="Arial Narrow"/>
                <w:snapToGrid/>
                <w:sz w:val="20"/>
              </w:rPr>
              <w:noBreakHyphen/>
              <w:t>payments</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r>
      <w:tr w:rsidR="00157C21" w:rsidRPr="006D2224" w:rsidTr="00157C21">
        <w:tc>
          <w:tcPr>
            <w:tcW w:w="5000" w:type="pct"/>
            <w:gridSpan w:val="7"/>
            <w:shd w:val="clear" w:color="auto" w:fill="auto"/>
            <w:vAlign w:val="center"/>
          </w:tcPr>
          <w:p w:rsidR="00157C21" w:rsidRPr="006D2224" w:rsidRDefault="00157C21" w:rsidP="00324DF8">
            <w:pPr>
              <w:keepNext/>
              <w:widowControl/>
              <w:spacing w:before="40" w:after="40"/>
              <w:jc w:val="left"/>
              <w:rPr>
                <w:rFonts w:ascii="Arial Narrow" w:eastAsia="Calibri" w:hAnsi="Arial Narrow"/>
                <w:bCs/>
                <w:snapToGrid/>
                <w:sz w:val="20"/>
              </w:rPr>
            </w:pPr>
            <w:r w:rsidRPr="006D2224">
              <w:rPr>
                <w:rFonts w:ascii="Arial Narrow" w:eastAsia="Calibri" w:hAnsi="Arial Narrow"/>
                <w:b/>
                <w:bCs/>
                <w:snapToGrid/>
                <w:sz w:val="20"/>
              </w:rPr>
              <w:t xml:space="preserve">Estimated financial implications for </w:t>
            </w:r>
            <w:proofErr w:type="spellStart"/>
            <w:r w:rsidR="00324DF8" w:rsidRPr="006D2224">
              <w:rPr>
                <w:rFonts w:ascii="Arial Narrow" w:eastAsia="Calibri" w:hAnsi="Arial Narrow"/>
                <w:b/>
                <w:bCs/>
                <w:snapToGrid/>
                <w:sz w:val="20"/>
              </w:rPr>
              <w:t>pimecrolimus</w:t>
            </w:r>
            <w:proofErr w:type="spellEnd"/>
          </w:p>
        </w:tc>
      </w:tr>
      <w:tr w:rsidR="00157C21" w:rsidRPr="006D2224" w:rsidTr="00157C21">
        <w:tc>
          <w:tcPr>
            <w:tcW w:w="1112" w:type="pct"/>
            <w:shd w:val="clear" w:color="auto" w:fill="auto"/>
            <w:vAlign w:val="center"/>
          </w:tcPr>
          <w:p w:rsidR="00157C21" w:rsidRPr="006D2224" w:rsidRDefault="00157C21" w:rsidP="00157C21">
            <w:pPr>
              <w:keepNext/>
              <w:widowControl/>
              <w:spacing w:before="40"/>
              <w:jc w:val="left"/>
              <w:rPr>
                <w:rFonts w:ascii="Arial Narrow" w:eastAsia="Calibri" w:hAnsi="Arial Narrow"/>
                <w:snapToGrid/>
                <w:sz w:val="20"/>
              </w:rPr>
            </w:pPr>
            <w:r w:rsidRPr="006D2224">
              <w:rPr>
                <w:rFonts w:ascii="Arial Narrow" w:eastAsia="Calibri" w:hAnsi="Arial Narrow"/>
                <w:snapToGrid/>
                <w:sz w:val="20"/>
              </w:rPr>
              <w:t>Cost to PBS/RPBS</w:t>
            </w:r>
          </w:p>
        </w:tc>
        <w:tc>
          <w:tcPr>
            <w:tcW w:w="648" w:type="pct"/>
            <w:shd w:val="clear" w:color="auto" w:fill="auto"/>
            <w:vAlign w:val="center"/>
          </w:tcPr>
          <w:p w:rsidR="00157C21" w:rsidRPr="006D2224" w:rsidRDefault="00157C21" w:rsidP="00157C21">
            <w:pPr>
              <w:pStyle w:val="Tabletext"/>
              <w:jc w:val="cente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pPr>
            <w:r w:rsidRPr="006D2224">
              <w:t>$</w:t>
            </w:r>
            <w:r w:rsidR="007131B6">
              <w:rPr>
                <w:noProof/>
                <w:color w:val="000000"/>
                <w:highlight w:val="black"/>
              </w:rPr>
              <w:t>''''''''''''''''''''''''</w:t>
            </w:r>
          </w:p>
        </w:tc>
        <w:tc>
          <w:tcPr>
            <w:tcW w:w="648" w:type="pct"/>
            <w:vAlign w:val="center"/>
          </w:tcPr>
          <w:p w:rsidR="00157C21" w:rsidRPr="006D2224" w:rsidRDefault="00157C21" w:rsidP="00157C21">
            <w:pPr>
              <w:pStyle w:val="Tabletext"/>
              <w:jc w:val="center"/>
            </w:pPr>
            <w:r w:rsidRPr="006D2224">
              <w:t>$</w:t>
            </w:r>
            <w:r w:rsidR="007131B6">
              <w:rPr>
                <w:noProof/>
                <w:color w:val="000000"/>
                <w:highlight w:val="black"/>
              </w:rPr>
              <w:t>''''''''''''''''''''''</w:t>
            </w:r>
          </w:p>
        </w:tc>
      </w:tr>
      <w:tr w:rsidR="00157C21" w:rsidRPr="006D2224" w:rsidTr="00157C21">
        <w:tc>
          <w:tcPr>
            <w:tcW w:w="1112" w:type="pct"/>
            <w:shd w:val="clear" w:color="auto" w:fill="auto"/>
            <w:vAlign w:val="center"/>
          </w:tcPr>
          <w:p w:rsidR="00157C21" w:rsidRPr="006D2224" w:rsidRDefault="00157C21" w:rsidP="00157C21">
            <w:pPr>
              <w:keepNext/>
              <w:widowControl/>
              <w:spacing w:before="40"/>
              <w:jc w:val="left"/>
              <w:rPr>
                <w:rFonts w:ascii="Arial Narrow" w:eastAsia="Calibri" w:hAnsi="Arial Narrow"/>
                <w:snapToGrid/>
                <w:sz w:val="20"/>
              </w:rPr>
            </w:pPr>
            <w:r w:rsidRPr="006D2224">
              <w:rPr>
                <w:rFonts w:ascii="Arial Narrow" w:eastAsia="Calibri" w:hAnsi="Arial Narrow"/>
                <w:snapToGrid/>
                <w:sz w:val="20"/>
              </w:rPr>
              <w:t>Co-payments</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r>
      <w:tr w:rsidR="00157C21" w:rsidRPr="006D2224" w:rsidTr="00157C21">
        <w:tc>
          <w:tcPr>
            <w:tcW w:w="1112" w:type="pct"/>
            <w:shd w:val="clear" w:color="auto" w:fill="auto"/>
            <w:vAlign w:val="center"/>
          </w:tcPr>
          <w:p w:rsidR="00157C21" w:rsidRPr="006D2224" w:rsidRDefault="00157C21" w:rsidP="00157C21">
            <w:pPr>
              <w:keepNext/>
              <w:widowControl/>
              <w:spacing w:before="40"/>
              <w:jc w:val="left"/>
              <w:rPr>
                <w:rFonts w:ascii="Arial Narrow" w:eastAsia="Calibri" w:hAnsi="Arial Narrow"/>
                <w:snapToGrid/>
                <w:sz w:val="20"/>
              </w:rPr>
            </w:pPr>
            <w:r w:rsidRPr="006D2224">
              <w:rPr>
                <w:rFonts w:ascii="Arial Narrow" w:eastAsia="Calibri" w:hAnsi="Arial Narrow"/>
                <w:snapToGrid/>
                <w:sz w:val="20"/>
              </w:rPr>
              <w:t>Cost to PBS/RPBS less co</w:t>
            </w:r>
            <w:r w:rsidRPr="006D2224">
              <w:rPr>
                <w:rFonts w:ascii="Arial Narrow" w:eastAsia="Calibri" w:hAnsi="Arial Narrow"/>
                <w:snapToGrid/>
                <w:sz w:val="20"/>
              </w:rPr>
              <w:noBreakHyphen/>
              <w:t>payments</w:t>
            </w:r>
          </w:p>
        </w:tc>
        <w:tc>
          <w:tcPr>
            <w:tcW w:w="648" w:type="pct"/>
            <w:shd w:val="clear" w:color="auto" w:fill="auto"/>
            <w:vAlign w:val="center"/>
          </w:tcPr>
          <w:p w:rsidR="00157C21" w:rsidRPr="006D2224" w:rsidRDefault="00157C21" w:rsidP="00157C21">
            <w:pPr>
              <w:pStyle w:val="Tabletext"/>
              <w:jc w:val="cente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pPr>
            <w:r w:rsidRPr="006D2224">
              <w:t>$</w:t>
            </w:r>
            <w:r w:rsidR="007131B6">
              <w:rPr>
                <w:noProof/>
                <w:color w:val="000000"/>
                <w:highlight w:val="black"/>
              </w:rPr>
              <w:t>''''''''''''''''''''''''</w:t>
            </w:r>
          </w:p>
        </w:tc>
        <w:tc>
          <w:tcPr>
            <w:tcW w:w="648" w:type="pct"/>
            <w:vAlign w:val="center"/>
          </w:tcPr>
          <w:p w:rsidR="00157C21" w:rsidRPr="006D2224" w:rsidRDefault="00157C21" w:rsidP="00157C21">
            <w:pPr>
              <w:pStyle w:val="Tabletext"/>
              <w:jc w:val="center"/>
            </w:pPr>
            <w:r w:rsidRPr="006D2224">
              <w:t>$</w:t>
            </w:r>
            <w:r w:rsidR="007131B6">
              <w:rPr>
                <w:noProof/>
                <w:color w:val="000000"/>
                <w:highlight w:val="black"/>
              </w:rPr>
              <w:t>''''''''''''''''''''''''</w:t>
            </w:r>
          </w:p>
        </w:tc>
      </w:tr>
      <w:tr w:rsidR="00157C21" w:rsidRPr="006D2224" w:rsidTr="00157C21">
        <w:tc>
          <w:tcPr>
            <w:tcW w:w="5000" w:type="pct"/>
            <w:gridSpan w:val="7"/>
            <w:shd w:val="clear" w:color="auto" w:fill="auto"/>
            <w:vAlign w:val="center"/>
          </w:tcPr>
          <w:p w:rsidR="00157C21" w:rsidRPr="006D2224" w:rsidRDefault="00157C21" w:rsidP="00157C21">
            <w:pPr>
              <w:keepNext/>
              <w:widowControl/>
              <w:spacing w:before="40" w:after="40"/>
              <w:jc w:val="left"/>
              <w:rPr>
                <w:rFonts w:ascii="Arial Narrow" w:eastAsia="Calibri" w:hAnsi="Arial Narrow"/>
                <w:b/>
                <w:bCs/>
                <w:snapToGrid/>
                <w:sz w:val="20"/>
              </w:rPr>
            </w:pPr>
            <w:r w:rsidRPr="006D2224">
              <w:rPr>
                <w:rFonts w:ascii="Arial Narrow" w:eastAsia="Calibri" w:hAnsi="Arial Narrow"/>
                <w:b/>
                <w:bCs/>
                <w:snapToGrid/>
                <w:sz w:val="20"/>
              </w:rPr>
              <w:t>Net financial implications</w:t>
            </w:r>
          </w:p>
        </w:tc>
      </w:tr>
      <w:tr w:rsidR="00157C21" w:rsidRPr="006D2224" w:rsidTr="00157C21">
        <w:tc>
          <w:tcPr>
            <w:tcW w:w="1112" w:type="pct"/>
            <w:shd w:val="clear" w:color="auto" w:fill="auto"/>
            <w:vAlign w:val="center"/>
          </w:tcPr>
          <w:p w:rsidR="00157C21" w:rsidRPr="006D2224" w:rsidRDefault="00157C21" w:rsidP="00157C21">
            <w:pPr>
              <w:keepNext/>
              <w:widowControl/>
              <w:spacing w:before="40"/>
              <w:jc w:val="left"/>
              <w:rPr>
                <w:rFonts w:ascii="Arial Narrow" w:eastAsia="Calibri" w:hAnsi="Arial Narrow"/>
                <w:snapToGrid/>
                <w:sz w:val="20"/>
              </w:rPr>
            </w:pPr>
            <w:r w:rsidRPr="006D2224">
              <w:rPr>
                <w:rFonts w:ascii="Arial Narrow" w:eastAsia="Calibri" w:hAnsi="Arial Narrow"/>
                <w:snapToGrid/>
                <w:sz w:val="20"/>
              </w:rPr>
              <w:t>Net cost to PBS/RPBS</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shd w:val="clear" w:color="auto" w:fill="auto"/>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c>
          <w:tcPr>
            <w:tcW w:w="648" w:type="pct"/>
            <w:vAlign w:val="center"/>
          </w:tcPr>
          <w:p w:rsidR="00157C21" w:rsidRPr="006D2224" w:rsidRDefault="00157C21" w:rsidP="00157C21">
            <w:pPr>
              <w:pStyle w:val="Tabletext"/>
              <w:jc w:val="center"/>
              <w:rPr>
                <w:rFonts w:cs="Arial"/>
              </w:rPr>
            </w:pPr>
            <w:r w:rsidRPr="006D2224">
              <w:t>$</w:t>
            </w:r>
            <w:r w:rsidR="007131B6">
              <w:rPr>
                <w:noProof/>
                <w:color w:val="000000"/>
                <w:highlight w:val="black"/>
              </w:rPr>
              <w:t>'''''''''''''''''''''''''''</w:t>
            </w:r>
          </w:p>
        </w:tc>
      </w:tr>
    </w:tbl>
    <w:p w:rsidR="00157C21" w:rsidRPr="006D2224" w:rsidRDefault="00157C21" w:rsidP="00733E9E">
      <w:pPr>
        <w:rPr>
          <w:rStyle w:val="CommentReference"/>
        </w:rPr>
      </w:pPr>
    </w:p>
    <w:p w:rsidR="00733E9E" w:rsidRPr="006D2224" w:rsidRDefault="00733E9E" w:rsidP="00733E9E">
      <w:pPr>
        <w:pStyle w:val="TableFooter"/>
      </w:pPr>
      <w:r w:rsidRPr="006D2224">
        <w:t>Source: Table 4.2-1, Table 4.2-2, p176; Table 4.2-3, Table 4.2-4, Table 4.2-5, p177; Table 4.2-11, pp180-181; Table 4.2-12, p181; Table 4.2-13, pp181-182 of the submission; Table 4.4-1, p186 of the submission</w:t>
      </w:r>
      <w:r w:rsidR="00324DF8" w:rsidRPr="006D2224">
        <w:t>.</w:t>
      </w:r>
    </w:p>
    <w:p w:rsidR="00733E9E" w:rsidRPr="006D2224" w:rsidRDefault="00733E9E" w:rsidP="00733E9E">
      <w:pPr>
        <w:pStyle w:val="TableFooter"/>
      </w:pPr>
      <w:r w:rsidRPr="006D2224">
        <w:t xml:space="preserve">Abbreviations: AD, atopic dermatitis; DPMQ, dispensed price for maximum quantity; </w:t>
      </w:r>
      <w:proofErr w:type="spellStart"/>
      <w:r w:rsidRPr="006D2224">
        <w:t>pt</w:t>
      </w:r>
      <w:proofErr w:type="spellEnd"/>
      <w:r w:rsidRPr="006D2224">
        <w:t xml:space="preserve">, patient; TCS, topical corticosteroids; </w:t>
      </w:r>
      <w:proofErr w:type="spellStart"/>
      <w:r w:rsidRPr="006D2224">
        <w:t>yr</w:t>
      </w:r>
      <w:proofErr w:type="spellEnd"/>
      <w:r w:rsidRPr="006D2224">
        <w:t>, year</w:t>
      </w:r>
    </w:p>
    <w:p w:rsidR="00733E9E" w:rsidRPr="006D2224" w:rsidRDefault="00733E9E" w:rsidP="00733E9E">
      <w:pPr>
        <w:widowControl/>
      </w:pPr>
    </w:p>
    <w:p w:rsidR="00733E9E" w:rsidRPr="006D2224" w:rsidRDefault="00733E9E" w:rsidP="00733E9E">
      <w:pPr>
        <w:pStyle w:val="ListParagraph"/>
        <w:widowControl/>
        <w:numPr>
          <w:ilvl w:val="1"/>
          <w:numId w:val="2"/>
        </w:numPr>
      </w:pPr>
      <w:r w:rsidRPr="006D2224">
        <w:t xml:space="preserve">Treatment costs associated with </w:t>
      </w:r>
      <w:proofErr w:type="spellStart"/>
      <w:r w:rsidRPr="006D2224">
        <w:t>crisaborole</w:t>
      </w:r>
      <w:proofErr w:type="spellEnd"/>
      <w:r w:rsidRPr="006D2224">
        <w:t xml:space="preserve"> may be substantially underestimated based on the assumed use of </w:t>
      </w:r>
      <w:r w:rsidR="007131B6">
        <w:rPr>
          <w:noProof/>
          <w:color w:val="000000"/>
          <w:highlight w:val="black"/>
        </w:rPr>
        <w:t>''''''</w:t>
      </w:r>
      <w:r w:rsidRPr="006D2224">
        <w:t xml:space="preserve"> scripts (</w:t>
      </w:r>
      <w:r w:rsidR="007131B6">
        <w:rPr>
          <w:noProof/>
          <w:color w:val="000000"/>
          <w:highlight w:val="black"/>
        </w:rPr>
        <w:t>'''''</w:t>
      </w:r>
      <w:r w:rsidRPr="006D2224">
        <w:t xml:space="preserve"> g) per patient per year. The assumption was based on US claims data that may not be </w:t>
      </w:r>
      <w:proofErr w:type="spellStart"/>
      <w:r w:rsidRPr="006D2224">
        <w:t>generalisable</w:t>
      </w:r>
      <w:proofErr w:type="spellEnd"/>
      <w:r w:rsidRPr="006D2224">
        <w:t xml:space="preserve"> to the Australian setting. The assumed usage was inconsistent with trial data suggesting approximately 3 x 60</w:t>
      </w:r>
      <w:r w:rsidR="00953223" w:rsidRPr="006D2224">
        <w:t> </w:t>
      </w:r>
      <w:r w:rsidRPr="006D2224">
        <w:t>g tubes were required for 4 weeks of therapy.</w:t>
      </w:r>
      <w:r w:rsidR="00E25B8E" w:rsidRPr="006D2224">
        <w:t xml:space="preserve"> The pre-PBAC </w:t>
      </w:r>
      <w:r w:rsidR="007D47DB" w:rsidRPr="006D2224">
        <w:t xml:space="preserve">response </w:t>
      </w:r>
      <w:r w:rsidR="00E25B8E" w:rsidRPr="006D2224">
        <w:t xml:space="preserve">presented an alternative approach in which the number of tubes per patient per year was calculated using the other 3 time points in the US data (90, 180 and 270 days). Based on these estimates the number of tubes per patient per year ranged from </w:t>
      </w:r>
      <w:r w:rsidR="007131B6">
        <w:rPr>
          <w:noProof/>
          <w:color w:val="000000"/>
          <w:highlight w:val="black"/>
        </w:rPr>
        <w:t>''''''''</w:t>
      </w:r>
      <w:r w:rsidR="00E25B8E" w:rsidRPr="006D2224">
        <w:t xml:space="preserve"> to </w:t>
      </w:r>
      <w:r w:rsidR="007131B6">
        <w:rPr>
          <w:noProof/>
          <w:color w:val="000000"/>
          <w:highlight w:val="black"/>
        </w:rPr>
        <w:t>'''''''''</w:t>
      </w:r>
      <w:r w:rsidR="00E25B8E" w:rsidRPr="006D2224">
        <w:t xml:space="preserve">, with an average of </w:t>
      </w:r>
      <w:r w:rsidR="007131B6">
        <w:rPr>
          <w:noProof/>
          <w:color w:val="000000"/>
          <w:highlight w:val="black"/>
        </w:rPr>
        <w:t>''''''''</w:t>
      </w:r>
      <w:r w:rsidR="00E25B8E" w:rsidRPr="006D2224">
        <w:t>.</w:t>
      </w:r>
    </w:p>
    <w:p w:rsidR="00733E9E" w:rsidRPr="006D2224" w:rsidRDefault="00733E9E" w:rsidP="00733E9E">
      <w:pPr>
        <w:pStyle w:val="ListParagraph"/>
        <w:widowControl/>
        <w:numPr>
          <w:ilvl w:val="1"/>
          <w:numId w:val="2"/>
        </w:numPr>
      </w:pPr>
      <w:r w:rsidRPr="006D2224">
        <w:t xml:space="preserve">DUSC considered the estimates presented in the submission to be significantly underestimated. The main issues </w:t>
      </w:r>
      <w:r w:rsidR="00A521D6" w:rsidRPr="006D2224">
        <w:t>were</w:t>
      </w:r>
      <w:r w:rsidRPr="006D2224">
        <w:t>:</w:t>
      </w:r>
    </w:p>
    <w:p w:rsidR="00733E9E" w:rsidRPr="006D2224" w:rsidRDefault="00733E9E" w:rsidP="00733E9E">
      <w:pPr>
        <w:pStyle w:val="ListParagraph"/>
        <w:widowControl/>
        <w:numPr>
          <w:ilvl w:val="0"/>
          <w:numId w:val="15"/>
        </w:numPr>
        <w:spacing w:after="0"/>
        <w:ind w:left="1134" w:hanging="283"/>
      </w:pPr>
      <w:r w:rsidRPr="006D2224">
        <w:t xml:space="preserve">The evidence used to guide the estimates was very limited. The estimated eligible population was highly uncertain as it was largely derived using mid-point estimates from a sponsor-commissioned study. The estimates in this study were wide-ranging and varied according to age and disease severity. </w:t>
      </w:r>
    </w:p>
    <w:p w:rsidR="00733E9E" w:rsidRPr="006D2224" w:rsidRDefault="00733E9E" w:rsidP="00733E9E">
      <w:pPr>
        <w:pStyle w:val="ListParagraph"/>
        <w:widowControl/>
        <w:numPr>
          <w:ilvl w:val="0"/>
          <w:numId w:val="15"/>
        </w:numPr>
        <w:spacing w:after="0"/>
        <w:ind w:left="1134" w:hanging="283"/>
      </w:pPr>
      <w:r w:rsidRPr="006D2224">
        <w:t xml:space="preserve">The submission did not consider additional uptake of </w:t>
      </w:r>
      <w:proofErr w:type="spellStart"/>
      <w:r w:rsidRPr="006D2224">
        <w:t>crisaborole</w:t>
      </w:r>
      <w:proofErr w:type="spellEnd"/>
      <w:r w:rsidRPr="006D2224">
        <w:t xml:space="preserve"> from the private prescription market for </w:t>
      </w:r>
      <w:proofErr w:type="spellStart"/>
      <w:r w:rsidRPr="006D2224">
        <w:t>pimecrolimus</w:t>
      </w:r>
      <w:proofErr w:type="spellEnd"/>
      <w:r w:rsidRPr="006D2224">
        <w:t xml:space="preserve"> or over</w:t>
      </w:r>
      <w:r w:rsidRPr="006D2224">
        <w:noBreakHyphen/>
        <w:t>the</w:t>
      </w:r>
      <w:r w:rsidRPr="006D2224">
        <w:noBreakHyphen/>
        <w:t>counter topical corticosteroids. The size of this market and circumstances of use (e.g. amounts dispensed) is unknown.</w:t>
      </w:r>
    </w:p>
    <w:p w:rsidR="00733E9E" w:rsidRPr="006D2224" w:rsidRDefault="00733E9E" w:rsidP="00733E9E">
      <w:pPr>
        <w:pStyle w:val="ListParagraph"/>
        <w:widowControl/>
        <w:numPr>
          <w:ilvl w:val="0"/>
          <w:numId w:val="15"/>
        </w:numPr>
        <w:spacing w:after="0"/>
        <w:ind w:left="1134" w:hanging="283"/>
      </w:pPr>
      <w:r w:rsidRPr="006D2224">
        <w:lastRenderedPageBreak/>
        <w:t xml:space="preserve">There is also potential for use of </w:t>
      </w:r>
      <w:proofErr w:type="spellStart"/>
      <w:r w:rsidRPr="006D2224">
        <w:t>crisaborole</w:t>
      </w:r>
      <w:proofErr w:type="spellEnd"/>
      <w:r w:rsidRPr="006D2224">
        <w:t xml:space="preserve"> outside the requested restriction, particularly in younger patients (under 2 years of age), those with severe disease and as first-line therapy in those not contraindicated to topical corticosteroids. DUSC advised that a disinclination for patients and/or prescribers towards the use of steroids may contribute to use outside of the requested restriction in the first line setting.</w:t>
      </w:r>
    </w:p>
    <w:p w:rsidR="00733E9E" w:rsidRPr="006D2224" w:rsidRDefault="00733E9E" w:rsidP="00733E9E">
      <w:pPr>
        <w:pStyle w:val="ListParagraph"/>
        <w:widowControl/>
        <w:numPr>
          <w:ilvl w:val="0"/>
          <w:numId w:val="15"/>
        </w:numPr>
        <w:spacing w:after="0"/>
        <w:ind w:left="1134" w:hanging="283"/>
      </w:pPr>
      <w:r w:rsidRPr="006D2224">
        <w:t xml:space="preserve">The estimated utilisation of </w:t>
      </w:r>
      <w:proofErr w:type="spellStart"/>
      <w:r w:rsidRPr="006D2224">
        <w:t>crisaborole</w:t>
      </w:r>
      <w:proofErr w:type="spellEnd"/>
      <w:r w:rsidRPr="006D2224">
        <w:t xml:space="preserve"> was highly uncertain as it was based on market penetration rates for </w:t>
      </w:r>
      <w:proofErr w:type="spellStart"/>
      <w:r w:rsidRPr="006D2224">
        <w:t>pimecrolimus</w:t>
      </w:r>
      <w:proofErr w:type="spellEnd"/>
      <w:r w:rsidRPr="006D2224">
        <w:t xml:space="preserve">. The </w:t>
      </w:r>
      <w:proofErr w:type="spellStart"/>
      <w:r w:rsidRPr="006D2224">
        <w:t>crisaborole</w:t>
      </w:r>
      <w:proofErr w:type="spellEnd"/>
      <w:r w:rsidRPr="006D2224">
        <w:t xml:space="preserve"> market is unlikely to mimic utilisation rates of </w:t>
      </w:r>
      <w:proofErr w:type="spellStart"/>
      <w:r w:rsidRPr="006D2224">
        <w:t>pimecrolimus</w:t>
      </w:r>
      <w:proofErr w:type="spellEnd"/>
      <w:r w:rsidRPr="006D2224">
        <w:t xml:space="preserve">, given existing restrictions that do not apply to </w:t>
      </w:r>
      <w:proofErr w:type="spellStart"/>
      <w:r w:rsidRPr="006D2224">
        <w:t>crisaborole</w:t>
      </w:r>
      <w:proofErr w:type="spellEnd"/>
      <w:r w:rsidRPr="006D2224">
        <w:t xml:space="preserve"> (face and eyelids only, annual limit of 4 scripts). </w:t>
      </w:r>
    </w:p>
    <w:p w:rsidR="00733E9E" w:rsidRPr="006D2224" w:rsidRDefault="00733E9E" w:rsidP="00733E9E">
      <w:pPr>
        <w:pStyle w:val="ListParagraph"/>
        <w:widowControl/>
        <w:numPr>
          <w:ilvl w:val="0"/>
          <w:numId w:val="15"/>
        </w:numPr>
        <w:spacing w:after="0"/>
        <w:ind w:left="1134" w:hanging="283"/>
      </w:pPr>
      <w:r w:rsidRPr="006D2224">
        <w:t xml:space="preserve">The submission did not adequately justify restricting the patient population to those who are contraindicated to, intolerant to, or failing topical corticosteroids given the clinical data and requested TGA indication were for the broader population with mild to moderate disease. </w:t>
      </w:r>
    </w:p>
    <w:p w:rsidR="00733E9E" w:rsidRPr="006D2224" w:rsidRDefault="00733E9E" w:rsidP="00733E9E">
      <w:pPr>
        <w:pStyle w:val="ListParagraph"/>
        <w:widowControl/>
        <w:numPr>
          <w:ilvl w:val="0"/>
          <w:numId w:val="15"/>
        </w:numPr>
        <w:spacing w:after="0"/>
        <w:ind w:left="1134" w:hanging="283"/>
      </w:pPr>
      <w:r w:rsidRPr="006D2224">
        <w:t>Analysis of the 10% Medicare sample data to derive the market penetration rates and number of patients contraindicated to topical corticosteroids was poorly detailed and not fit for purpose.</w:t>
      </w:r>
    </w:p>
    <w:p w:rsidR="00733E9E" w:rsidRPr="006D2224" w:rsidRDefault="00733E9E" w:rsidP="0090052D">
      <w:pPr>
        <w:pStyle w:val="ListParagraph"/>
        <w:widowControl/>
        <w:numPr>
          <w:ilvl w:val="0"/>
          <w:numId w:val="15"/>
        </w:numPr>
        <w:spacing w:after="120"/>
        <w:ind w:left="1135" w:hanging="284"/>
      </w:pPr>
      <w:r w:rsidRPr="006D2224">
        <w:t xml:space="preserve">Treatment costs associated with </w:t>
      </w:r>
      <w:proofErr w:type="spellStart"/>
      <w:r w:rsidRPr="006D2224">
        <w:t>crisaborole</w:t>
      </w:r>
      <w:proofErr w:type="spellEnd"/>
      <w:r w:rsidRPr="006D2224">
        <w:t xml:space="preserve"> may be substantially underestimated based on an assumed use of use of </w:t>
      </w:r>
      <w:r w:rsidR="007131B6">
        <w:rPr>
          <w:noProof/>
          <w:color w:val="000000"/>
          <w:highlight w:val="black"/>
        </w:rPr>
        <w:t>''''''</w:t>
      </w:r>
      <w:r w:rsidRPr="006D2224">
        <w:t xml:space="preserve"> scripts (</w:t>
      </w:r>
      <w:r w:rsidR="007131B6">
        <w:rPr>
          <w:noProof/>
          <w:color w:val="000000"/>
          <w:highlight w:val="black"/>
        </w:rPr>
        <w:t>'''''</w:t>
      </w:r>
      <w:r w:rsidRPr="006D2224">
        <w:t xml:space="preserve"> g) per patient per year. The assumed usage was inconsistent with trial data suggesting approximately 3 x 60 g tubes were required for 4 weeks of therapy. DUSC advised that this assumption was poorly justified and created the potential for usage well above the base case estimates.</w:t>
      </w:r>
      <w:r w:rsidR="0090052D" w:rsidRPr="006D2224">
        <w:t xml:space="preserve"> </w:t>
      </w:r>
    </w:p>
    <w:p w:rsidR="00371D26" w:rsidRPr="006D2224" w:rsidRDefault="00371D26" w:rsidP="0090052D">
      <w:pPr>
        <w:pStyle w:val="ListParagraph"/>
        <w:widowControl/>
        <w:numPr>
          <w:ilvl w:val="1"/>
          <w:numId w:val="2"/>
        </w:numPr>
      </w:pPr>
      <w:r w:rsidRPr="006D2224">
        <w:t xml:space="preserve">Based on the estimates presented, at year 6 the estimated number of patients was </w:t>
      </w:r>
      <w:r w:rsidR="00775005">
        <w:t>100,000-200,000</w:t>
      </w:r>
      <w:r w:rsidRPr="006D2224">
        <w:t xml:space="preserve"> and the net cost to the PBS would be $</w:t>
      </w:r>
      <w:r w:rsidR="00775005">
        <w:t>20-$30</w:t>
      </w:r>
      <w:r w:rsidRPr="006D2224">
        <w:t xml:space="preserve"> million. As noted by DUSC it is likely that these estimates are significantly underestimated.</w:t>
      </w:r>
    </w:p>
    <w:p w:rsidR="00733E9E" w:rsidRPr="006D2224" w:rsidRDefault="0090052D" w:rsidP="0090052D">
      <w:pPr>
        <w:pStyle w:val="ListParagraph"/>
        <w:widowControl/>
        <w:numPr>
          <w:ilvl w:val="1"/>
          <w:numId w:val="2"/>
        </w:numPr>
      </w:pPr>
      <w:r w:rsidRPr="006D2224">
        <w:t xml:space="preserve">The pre-PBAC response commented that the sponsor assumes that, should </w:t>
      </w:r>
      <w:proofErr w:type="spellStart"/>
      <w:r w:rsidRPr="006D2224">
        <w:t>crisaborole</w:t>
      </w:r>
      <w:proofErr w:type="spellEnd"/>
      <w:r w:rsidRPr="006D2224">
        <w:t xml:space="preserve"> be PBS-listed, a risk-share agreement would be in place to manage leakage. No details of a proposed risk-share arrangement were provided.</w:t>
      </w:r>
    </w:p>
    <w:p w:rsidR="00733E9E" w:rsidRPr="006D2224" w:rsidRDefault="00733E9E" w:rsidP="00733E9E">
      <w:pPr>
        <w:pStyle w:val="ListParagraph"/>
        <w:ind w:left="709"/>
        <w:rPr>
          <w:rFonts w:asciiTheme="minorHAnsi" w:hAnsiTheme="minorHAnsi"/>
          <w:i/>
        </w:rPr>
      </w:pPr>
      <w:r w:rsidRPr="006D2224">
        <w:rPr>
          <w:rFonts w:asciiTheme="minorHAnsi" w:hAnsiTheme="minorHAnsi"/>
          <w:i/>
        </w:rPr>
        <w:t>For more detail on PBAC’s view, see section 7 PBAC outcome.</w:t>
      </w:r>
    </w:p>
    <w:p w:rsidR="00A521D6" w:rsidRPr="00530A18" w:rsidRDefault="00A521D6" w:rsidP="00530A18">
      <w:pPr>
        <w:pStyle w:val="PBACHeading1"/>
        <w:spacing w:after="100" w:afterAutospacing="1"/>
        <w:outlineLvl w:val="0"/>
        <w:rPr>
          <w:rFonts w:asciiTheme="minorHAnsi" w:eastAsiaTheme="minorHAnsi" w:hAnsiTheme="minorHAnsi" w:cstheme="minorBidi"/>
          <w:snapToGrid/>
        </w:rPr>
      </w:pPr>
      <w:r w:rsidRPr="00530A18">
        <w:rPr>
          <w:rFonts w:asciiTheme="minorHAnsi" w:eastAsiaTheme="minorHAnsi" w:hAnsiTheme="minorHAnsi" w:cstheme="minorBidi"/>
          <w:snapToGrid/>
        </w:rPr>
        <w:t>PBAC Outcome</w:t>
      </w:r>
    </w:p>
    <w:p w:rsidR="00530A18" w:rsidRPr="00530A18" w:rsidRDefault="0002055B" w:rsidP="00853208">
      <w:pPr>
        <w:pStyle w:val="ListParagraph"/>
        <w:widowControl/>
        <w:numPr>
          <w:ilvl w:val="1"/>
          <w:numId w:val="2"/>
        </w:numPr>
      </w:pPr>
      <w:r w:rsidRPr="00530A18">
        <w:t xml:space="preserve">The PBAC did not recommend the listing of </w:t>
      </w:r>
      <w:proofErr w:type="spellStart"/>
      <w:r w:rsidRPr="00530A18">
        <w:t>crisaborole</w:t>
      </w:r>
      <w:proofErr w:type="spellEnd"/>
      <w:r w:rsidRPr="00530A18">
        <w:t xml:space="preserve"> for the treatment of mild to moderate atopic dermatitis due to</w:t>
      </w:r>
      <w:r w:rsidR="00500851" w:rsidRPr="00530A18">
        <w:t xml:space="preserve"> the</w:t>
      </w:r>
      <w:r w:rsidRPr="00530A18">
        <w:t xml:space="preserve"> </w:t>
      </w:r>
      <w:r w:rsidR="00991897" w:rsidRPr="00530A18">
        <w:t>omission of a relevant</w:t>
      </w:r>
      <w:r w:rsidRPr="00530A18">
        <w:t xml:space="preserve"> comparator, uncertainty regarding the appropriate place in </w:t>
      </w:r>
      <w:r w:rsidR="00F94311" w:rsidRPr="00530A18">
        <w:t xml:space="preserve">therapy, </w:t>
      </w:r>
      <w:r w:rsidRPr="00530A18">
        <w:t xml:space="preserve">uncertain comparative efficacy and </w:t>
      </w:r>
      <w:r w:rsidR="00991897" w:rsidRPr="00530A18">
        <w:t xml:space="preserve">highly </w:t>
      </w:r>
      <w:r w:rsidR="00F94311" w:rsidRPr="00530A18">
        <w:t xml:space="preserve">uncertain </w:t>
      </w:r>
      <w:r w:rsidRPr="00530A18">
        <w:t xml:space="preserve">cost effectiveness. </w:t>
      </w:r>
    </w:p>
    <w:p w:rsidR="00A521D6" w:rsidRPr="00530A18" w:rsidRDefault="00F94311" w:rsidP="00530A18">
      <w:pPr>
        <w:pStyle w:val="ListParagraph"/>
        <w:widowControl/>
        <w:numPr>
          <w:ilvl w:val="1"/>
          <w:numId w:val="2"/>
        </w:numPr>
      </w:pPr>
      <w:r w:rsidRPr="00530A18">
        <w:t xml:space="preserve">The PBAC noted that the proposed listing is for chronic use for an indeterminate period of time, which it considered may not be appropriate given the lack of efficacy data beyond 4 weeks. The PBAC considered that the restriction should address the use of </w:t>
      </w:r>
      <w:proofErr w:type="spellStart"/>
      <w:r w:rsidRPr="00530A18">
        <w:t>crisaborole</w:t>
      </w:r>
      <w:proofErr w:type="spellEnd"/>
      <w:r w:rsidRPr="00530A18">
        <w:t xml:space="preserve"> in terms o</w:t>
      </w:r>
      <w:r w:rsidR="00A106D9" w:rsidRPr="00530A18">
        <w:t>f</w:t>
      </w:r>
      <w:r w:rsidRPr="00530A18">
        <w:t xml:space="preserve"> </w:t>
      </w:r>
      <w:r w:rsidR="009835FF" w:rsidRPr="00530A18">
        <w:t>initiation</w:t>
      </w:r>
      <w:r w:rsidRPr="00530A18">
        <w:t xml:space="preserve">, discontinuation and optimal duration of therapy. </w:t>
      </w:r>
      <w:r w:rsidR="009835FF" w:rsidRPr="00530A18">
        <w:t xml:space="preserve">The PBAC agreed with ESC that the </w:t>
      </w:r>
      <w:r w:rsidR="007901EC" w:rsidRPr="00530A18">
        <w:t xml:space="preserve">maximum </w:t>
      </w:r>
      <w:r w:rsidR="009835FF" w:rsidRPr="00530A18">
        <w:t>q</w:t>
      </w:r>
      <w:r w:rsidR="00A106D9" w:rsidRPr="00530A18">
        <w:t xml:space="preserve">uantity and number of repeats </w:t>
      </w:r>
      <w:r w:rsidR="00150749" w:rsidRPr="00530A18">
        <w:t xml:space="preserve">was inadequately justified and the appropriate amount </w:t>
      </w:r>
      <w:r w:rsidR="00A106D9" w:rsidRPr="00530A18">
        <w:t>remains</w:t>
      </w:r>
      <w:r w:rsidR="009835FF" w:rsidRPr="00530A18">
        <w:t xml:space="preserve"> unclear</w:t>
      </w:r>
      <w:r w:rsidR="00A106D9" w:rsidRPr="00530A18">
        <w:t xml:space="preserve">. The </w:t>
      </w:r>
      <w:r w:rsidR="00A106D9" w:rsidRPr="00530A18">
        <w:lastRenderedPageBreak/>
        <w:t xml:space="preserve">PBAC noted the proposed restriction was based on merging the two existing restrictions for </w:t>
      </w:r>
      <w:proofErr w:type="spellStart"/>
      <w:r w:rsidR="00A106D9" w:rsidRPr="00530A18">
        <w:t>pimecrolimus</w:t>
      </w:r>
      <w:proofErr w:type="spellEnd"/>
      <w:r w:rsidR="00A106D9" w:rsidRPr="00530A18">
        <w:t xml:space="preserve">, however the PBAC considered that this was not appropriate due to differences in the use of these drugs such as the annual limit, age range and restriction to use on the face and eyelids for </w:t>
      </w:r>
      <w:proofErr w:type="spellStart"/>
      <w:r w:rsidR="00A106D9" w:rsidRPr="00530A18">
        <w:t>pimecrolimus</w:t>
      </w:r>
      <w:proofErr w:type="spellEnd"/>
      <w:r w:rsidR="00A106D9" w:rsidRPr="00530A18">
        <w:t xml:space="preserve">. </w:t>
      </w:r>
    </w:p>
    <w:p w:rsidR="00001D73" w:rsidRPr="006D2224" w:rsidRDefault="00001D73" w:rsidP="00001D73">
      <w:pPr>
        <w:numPr>
          <w:ilvl w:val="1"/>
          <w:numId w:val="2"/>
        </w:numPr>
        <w:spacing w:after="120"/>
        <w:rPr>
          <w:rFonts w:asciiTheme="minorHAnsi" w:hAnsiTheme="minorHAnsi"/>
          <w:bCs/>
        </w:rPr>
      </w:pPr>
      <w:r w:rsidRPr="006D2224">
        <w:rPr>
          <w:rFonts w:asciiTheme="minorHAnsi" w:hAnsiTheme="minorHAnsi"/>
          <w:bCs/>
        </w:rPr>
        <w:t xml:space="preserve">The PBAC noted that the proposed listing is narrower than the requested TGA indication in that it was limited to patients who </w:t>
      </w:r>
      <w:r w:rsidRPr="006D2224">
        <w:t xml:space="preserve">are contraindicated, have failed to achieve satisfactory disease control, or are intolerant to TCS. The PBAC considered that this restriction was not consistent with the clinical data and was not adequately justified. </w:t>
      </w:r>
      <w:r w:rsidRPr="006D2224">
        <w:rPr>
          <w:rFonts w:asciiTheme="minorHAnsi" w:hAnsiTheme="minorHAnsi"/>
          <w:bCs/>
        </w:rPr>
        <w:t>The PBAC noted that the concept of intolerance to TCS was not addressed in</w:t>
      </w:r>
      <w:r w:rsidR="00953223" w:rsidRPr="006D2224">
        <w:rPr>
          <w:rFonts w:asciiTheme="minorHAnsi" w:hAnsiTheme="minorHAnsi"/>
          <w:bCs/>
        </w:rPr>
        <w:t xml:space="preserve"> the</w:t>
      </w:r>
      <w:r w:rsidRPr="006D2224">
        <w:rPr>
          <w:rFonts w:asciiTheme="minorHAnsi" w:hAnsiTheme="minorHAnsi"/>
          <w:bCs/>
        </w:rPr>
        <w:t xml:space="preserve"> proposed restriction and remained open to interpretation. </w:t>
      </w:r>
    </w:p>
    <w:p w:rsidR="00F541F5" w:rsidRPr="006D2224" w:rsidRDefault="00611FCA" w:rsidP="00A521D6">
      <w:pPr>
        <w:numPr>
          <w:ilvl w:val="1"/>
          <w:numId w:val="2"/>
        </w:numPr>
        <w:spacing w:after="120"/>
        <w:rPr>
          <w:rFonts w:asciiTheme="minorHAnsi" w:hAnsiTheme="minorHAnsi"/>
          <w:bCs/>
        </w:rPr>
      </w:pPr>
      <w:r w:rsidRPr="006D2224">
        <w:rPr>
          <w:rFonts w:asciiTheme="minorHAnsi" w:hAnsiTheme="minorHAnsi"/>
          <w:bCs/>
        </w:rPr>
        <w:t xml:space="preserve">The PBAC </w:t>
      </w:r>
      <w:r w:rsidR="00F541F5" w:rsidRPr="006D2224">
        <w:rPr>
          <w:rFonts w:asciiTheme="minorHAnsi" w:hAnsiTheme="minorHAnsi"/>
          <w:bCs/>
        </w:rPr>
        <w:t>considered</w:t>
      </w:r>
      <w:r w:rsidRPr="006D2224">
        <w:rPr>
          <w:rFonts w:asciiTheme="minorHAnsi" w:hAnsiTheme="minorHAnsi"/>
          <w:bCs/>
        </w:rPr>
        <w:t xml:space="preserve"> that the appropriate clinical place for </w:t>
      </w:r>
      <w:proofErr w:type="spellStart"/>
      <w:r w:rsidRPr="006D2224">
        <w:rPr>
          <w:rFonts w:asciiTheme="minorHAnsi" w:hAnsiTheme="minorHAnsi"/>
          <w:bCs/>
        </w:rPr>
        <w:t>crisaborole</w:t>
      </w:r>
      <w:proofErr w:type="spellEnd"/>
      <w:r w:rsidRPr="006D2224">
        <w:rPr>
          <w:rFonts w:asciiTheme="minorHAnsi" w:hAnsiTheme="minorHAnsi"/>
          <w:bCs/>
        </w:rPr>
        <w:t xml:space="preserve"> was </w:t>
      </w:r>
      <w:r w:rsidR="00312DD7" w:rsidRPr="006D2224">
        <w:rPr>
          <w:rFonts w:asciiTheme="minorHAnsi" w:hAnsiTheme="minorHAnsi"/>
          <w:bCs/>
        </w:rPr>
        <w:t>not clearly defined</w:t>
      </w:r>
      <w:r w:rsidR="00065CAB" w:rsidRPr="006D2224">
        <w:rPr>
          <w:rFonts w:asciiTheme="minorHAnsi" w:hAnsiTheme="minorHAnsi"/>
          <w:bCs/>
        </w:rPr>
        <w:t xml:space="preserve"> in the submission and was not consistent</w:t>
      </w:r>
      <w:r w:rsidR="00312DD7" w:rsidRPr="006D2224">
        <w:rPr>
          <w:rFonts w:asciiTheme="minorHAnsi" w:hAnsiTheme="minorHAnsi"/>
          <w:bCs/>
        </w:rPr>
        <w:t xml:space="preserve"> in the relevant clinical guidelines</w:t>
      </w:r>
      <w:r w:rsidRPr="006D2224">
        <w:rPr>
          <w:rFonts w:asciiTheme="minorHAnsi" w:hAnsiTheme="minorHAnsi"/>
          <w:bCs/>
        </w:rPr>
        <w:t xml:space="preserve">. The PBAC noted that the data presented in the submission was limited to 4 weeks </w:t>
      </w:r>
      <w:r w:rsidR="006C70EC" w:rsidRPr="006D2224">
        <w:rPr>
          <w:rFonts w:asciiTheme="minorHAnsi" w:hAnsiTheme="minorHAnsi"/>
          <w:bCs/>
        </w:rPr>
        <w:t>of acute treatment</w:t>
      </w:r>
      <w:r w:rsidR="00F67799" w:rsidRPr="006D2224">
        <w:rPr>
          <w:rFonts w:asciiTheme="minorHAnsi" w:hAnsiTheme="minorHAnsi"/>
          <w:bCs/>
        </w:rPr>
        <w:t>, but it was assumed that long-term intermittent use was likely</w:t>
      </w:r>
      <w:r w:rsidR="00324DF8" w:rsidRPr="006D2224">
        <w:rPr>
          <w:rFonts w:asciiTheme="minorHAnsi" w:hAnsiTheme="minorHAnsi"/>
          <w:bCs/>
        </w:rPr>
        <w:t xml:space="preserve"> and the clinician presenting the sponsor hearing indicated that treatment would usually be intermittent for flares lasting two to three weeks</w:t>
      </w:r>
      <w:r w:rsidRPr="006D2224">
        <w:rPr>
          <w:rFonts w:asciiTheme="minorHAnsi" w:hAnsiTheme="minorHAnsi"/>
          <w:bCs/>
        </w:rPr>
        <w:t xml:space="preserve">. The pre-PBAC response </w:t>
      </w:r>
      <w:r w:rsidR="00324DF8" w:rsidRPr="006D2224">
        <w:rPr>
          <w:rFonts w:asciiTheme="minorHAnsi" w:hAnsiTheme="minorHAnsi"/>
          <w:bCs/>
        </w:rPr>
        <w:t xml:space="preserve">(p2) </w:t>
      </w:r>
      <w:r w:rsidRPr="006D2224">
        <w:rPr>
          <w:rFonts w:asciiTheme="minorHAnsi" w:hAnsiTheme="minorHAnsi"/>
          <w:bCs/>
        </w:rPr>
        <w:t xml:space="preserve">claimed that data from Study AD-303 support the effectiveness of long-term intermittent use of </w:t>
      </w:r>
      <w:proofErr w:type="spellStart"/>
      <w:r w:rsidRPr="006D2224">
        <w:rPr>
          <w:rFonts w:asciiTheme="minorHAnsi" w:hAnsiTheme="minorHAnsi"/>
          <w:bCs/>
        </w:rPr>
        <w:t>crisaborole</w:t>
      </w:r>
      <w:proofErr w:type="spellEnd"/>
      <w:r w:rsidR="00312DD7" w:rsidRPr="006D2224">
        <w:rPr>
          <w:rFonts w:asciiTheme="minorHAnsi" w:hAnsiTheme="minorHAnsi"/>
          <w:bCs/>
        </w:rPr>
        <w:t>,</w:t>
      </w:r>
      <w:r w:rsidRPr="006D2224">
        <w:rPr>
          <w:rFonts w:asciiTheme="minorHAnsi" w:hAnsiTheme="minorHAnsi"/>
          <w:bCs/>
        </w:rPr>
        <w:t xml:space="preserve"> however only safety data for study AD-303 were included in the submission. </w:t>
      </w:r>
      <w:r w:rsidR="00312DD7" w:rsidRPr="006D2224">
        <w:rPr>
          <w:rFonts w:asciiTheme="minorHAnsi" w:hAnsiTheme="minorHAnsi"/>
          <w:bCs/>
        </w:rPr>
        <w:t xml:space="preserve">The PBAC noted that </w:t>
      </w:r>
      <w:r w:rsidR="006C70EC" w:rsidRPr="006D2224">
        <w:rPr>
          <w:rFonts w:asciiTheme="minorHAnsi" w:hAnsiTheme="minorHAnsi"/>
          <w:bCs/>
        </w:rPr>
        <w:t xml:space="preserve">2018 European consensus guidelines </w:t>
      </w:r>
      <w:r w:rsidR="008F1EAB" w:rsidRPr="006D2224">
        <w:rPr>
          <w:rFonts w:asciiTheme="minorHAnsi" w:hAnsiTheme="minorHAnsi"/>
          <w:bCs/>
        </w:rPr>
        <w:t>comment</w:t>
      </w:r>
      <w:r w:rsidR="006C70EC" w:rsidRPr="006D2224">
        <w:rPr>
          <w:rFonts w:asciiTheme="minorHAnsi" w:hAnsiTheme="minorHAnsi"/>
          <w:bCs/>
        </w:rPr>
        <w:t xml:space="preserve"> that the role of </w:t>
      </w:r>
      <w:proofErr w:type="spellStart"/>
      <w:r w:rsidR="006C70EC" w:rsidRPr="006D2224">
        <w:rPr>
          <w:rFonts w:asciiTheme="minorHAnsi" w:hAnsiTheme="minorHAnsi"/>
          <w:bCs/>
        </w:rPr>
        <w:t>crisaborole</w:t>
      </w:r>
      <w:proofErr w:type="spellEnd"/>
      <w:r w:rsidR="006C70EC" w:rsidRPr="006D2224">
        <w:rPr>
          <w:rFonts w:asciiTheme="minorHAnsi" w:hAnsiTheme="minorHAnsi"/>
          <w:bCs/>
        </w:rPr>
        <w:t xml:space="preserve"> is unclear given the lack of comparative data versus established therapies</w:t>
      </w:r>
      <w:r w:rsidR="008F1EAB" w:rsidRPr="006D2224">
        <w:rPr>
          <w:rFonts w:asciiTheme="minorHAnsi" w:hAnsiTheme="minorHAnsi"/>
          <w:bCs/>
        </w:rPr>
        <w:t xml:space="preserve">, while other guidelines position </w:t>
      </w:r>
      <w:proofErr w:type="spellStart"/>
      <w:r w:rsidR="008F1EAB" w:rsidRPr="006D2224">
        <w:rPr>
          <w:rFonts w:asciiTheme="minorHAnsi" w:hAnsiTheme="minorHAnsi"/>
          <w:bCs/>
        </w:rPr>
        <w:t>crisaborole</w:t>
      </w:r>
      <w:proofErr w:type="spellEnd"/>
      <w:r w:rsidR="008F1EAB" w:rsidRPr="006D2224">
        <w:rPr>
          <w:rFonts w:asciiTheme="minorHAnsi" w:hAnsiTheme="minorHAnsi"/>
          <w:bCs/>
        </w:rPr>
        <w:t xml:space="preserve"> as an alternative to </w:t>
      </w:r>
      <w:r w:rsidR="00001D73" w:rsidRPr="006D2224">
        <w:rPr>
          <w:rFonts w:asciiTheme="minorHAnsi" w:hAnsiTheme="minorHAnsi"/>
          <w:bCs/>
        </w:rPr>
        <w:t>TCIs</w:t>
      </w:r>
      <w:r w:rsidR="008F1EAB" w:rsidRPr="006D2224">
        <w:rPr>
          <w:rFonts w:asciiTheme="minorHAnsi" w:hAnsiTheme="minorHAnsi"/>
          <w:bCs/>
        </w:rPr>
        <w:t xml:space="preserve"> or in combination with weak TCS for acute flare-ups in mild disease </w:t>
      </w:r>
      <w:r w:rsidR="00F541F5" w:rsidRPr="006D2224">
        <w:t>(</w:t>
      </w:r>
      <w:proofErr w:type="spellStart"/>
      <w:r w:rsidR="00F541F5" w:rsidRPr="006D2224">
        <w:t>UpToDate</w:t>
      </w:r>
      <w:proofErr w:type="spellEnd"/>
      <w:r w:rsidR="00F541F5" w:rsidRPr="006D2224">
        <w:t xml:space="preserve"> – Atopic Dermatitis June 2018)</w:t>
      </w:r>
      <w:r w:rsidR="006C70EC" w:rsidRPr="006D2224">
        <w:rPr>
          <w:rFonts w:asciiTheme="minorHAnsi" w:hAnsiTheme="minorHAnsi"/>
          <w:bCs/>
        </w:rPr>
        <w:t>.</w:t>
      </w:r>
      <w:r w:rsidR="00312DD7" w:rsidRPr="006D2224">
        <w:rPr>
          <w:rFonts w:asciiTheme="minorHAnsi" w:hAnsiTheme="minorHAnsi"/>
          <w:bCs/>
        </w:rPr>
        <w:t xml:space="preserve"> </w:t>
      </w:r>
    </w:p>
    <w:p w:rsidR="00A521D6" w:rsidRPr="006D2224" w:rsidRDefault="004F5F62" w:rsidP="00A521D6">
      <w:pPr>
        <w:numPr>
          <w:ilvl w:val="1"/>
          <w:numId w:val="2"/>
        </w:numPr>
        <w:spacing w:after="120"/>
        <w:rPr>
          <w:rFonts w:asciiTheme="minorHAnsi" w:hAnsiTheme="minorHAnsi"/>
          <w:bCs/>
        </w:rPr>
      </w:pPr>
      <w:r w:rsidRPr="006D2224">
        <w:rPr>
          <w:rFonts w:asciiTheme="minorHAnsi" w:hAnsiTheme="minorHAnsi"/>
          <w:bCs/>
        </w:rPr>
        <w:t xml:space="preserve">The PBAC considered that the comparator of </w:t>
      </w:r>
      <w:proofErr w:type="spellStart"/>
      <w:r w:rsidRPr="006D2224">
        <w:rPr>
          <w:rFonts w:asciiTheme="minorHAnsi" w:hAnsiTheme="minorHAnsi"/>
          <w:bCs/>
        </w:rPr>
        <w:t>pimecrolimus</w:t>
      </w:r>
      <w:proofErr w:type="spellEnd"/>
      <w:r w:rsidRPr="006D2224">
        <w:rPr>
          <w:rFonts w:asciiTheme="minorHAnsi" w:hAnsiTheme="minorHAnsi"/>
          <w:bCs/>
        </w:rPr>
        <w:t xml:space="preserve"> was appropriate for use on the face and eyelids, although tacrolimus ointment may also be a relevant comparator. The PBAC considered that for the rest of the body the comparator of standard management was appropriate for the small number of patients who are contraindicated to TCS</w:t>
      </w:r>
      <w:r w:rsidR="00CB3B57" w:rsidRPr="006D2224">
        <w:rPr>
          <w:rFonts w:asciiTheme="minorHAnsi" w:hAnsiTheme="minorHAnsi"/>
          <w:bCs/>
        </w:rPr>
        <w:t>;</w:t>
      </w:r>
      <w:r w:rsidRPr="006D2224">
        <w:rPr>
          <w:rFonts w:asciiTheme="minorHAnsi" w:hAnsiTheme="minorHAnsi"/>
          <w:bCs/>
        </w:rPr>
        <w:t xml:space="preserve"> for patients with intolerance to TCS or who have failed to achieve satisfactory control with TCS, some degree of </w:t>
      </w:r>
      <w:r w:rsidR="002A441A" w:rsidRPr="006D2224">
        <w:rPr>
          <w:rFonts w:asciiTheme="minorHAnsi" w:hAnsiTheme="minorHAnsi"/>
          <w:bCs/>
        </w:rPr>
        <w:t xml:space="preserve">continuing </w:t>
      </w:r>
      <w:r w:rsidRPr="006D2224">
        <w:rPr>
          <w:rFonts w:asciiTheme="minorHAnsi" w:hAnsiTheme="minorHAnsi"/>
          <w:bCs/>
        </w:rPr>
        <w:t>TCS use is likely</w:t>
      </w:r>
      <w:r w:rsidR="00CB3B57" w:rsidRPr="006D2224">
        <w:rPr>
          <w:rFonts w:asciiTheme="minorHAnsi" w:hAnsiTheme="minorHAnsi"/>
          <w:bCs/>
        </w:rPr>
        <w:t xml:space="preserve"> for symptom management,</w:t>
      </w:r>
      <w:r w:rsidRPr="006D2224">
        <w:rPr>
          <w:rFonts w:asciiTheme="minorHAnsi" w:hAnsiTheme="minorHAnsi"/>
          <w:bCs/>
        </w:rPr>
        <w:t xml:space="preserve"> and </w:t>
      </w:r>
      <w:r w:rsidR="00065CAB" w:rsidRPr="006D2224">
        <w:rPr>
          <w:rFonts w:asciiTheme="minorHAnsi" w:hAnsiTheme="minorHAnsi"/>
          <w:bCs/>
        </w:rPr>
        <w:t xml:space="preserve">TCS </w:t>
      </w:r>
      <w:r w:rsidRPr="006D2224">
        <w:rPr>
          <w:rFonts w:asciiTheme="minorHAnsi" w:hAnsiTheme="minorHAnsi"/>
          <w:bCs/>
        </w:rPr>
        <w:t xml:space="preserve">should be included as a comparator. </w:t>
      </w:r>
      <w:r w:rsidR="002A441A" w:rsidRPr="006D2224">
        <w:rPr>
          <w:rFonts w:asciiTheme="minorHAnsi" w:hAnsiTheme="minorHAnsi"/>
          <w:bCs/>
        </w:rPr>
        <w:t xml:space="preserve">The PBAC noted that this was consistent with its previous consideration of </w:t>
      </w:r>
      <w:proofErr w:type="spellStart"/>
      <w:r w:rsidR="002A441A" w:rsidRPr="006D2224">
        <w:rPr>
          <w:rFonts w:asciiTheme="minorHAnsi" w:hAnsiTheme="minorHAnsi"/>
          <w:bCs/>
        </w:rPr>
        <w:t>pimecrolimus</w:t>
      </w:r>
      <w:proofErr w:type="spellEnd"/>
      <w:r w:rsidR="002A441A" w:rsidRPr="006D2224">
        <w:rPr>
          <w:rFonts w:asciiTheme="minorHAnsi" w:hAnsiTheme="minorHAnsi"/>
          <w:bCs/>
        </w:rPr>
        <w:t xml:space="preserve"> </w:t>
      </w:r>
      <w:r w:rsidR="002A441A" w:rsidRPr="006D2224">
        <w:t>(</w:t>
      </w:r>
      <w:proofErr w:type="spellStart"/>
      <w:r w:rsidR="002A441A" w:rsidRPr="006D2224">
        <w:t>pimecrolimus</w:t>
      </w:r>
      <w:proofErr w:type="spellEnd"/>
      <w:r w:rsidR="002A441A" w:rsidRPr="006D2224">
        <w:t xml:space="preserve"> PSD July 2006)</w:t>
      </w:r>
      <w:r w:rsidR="002A441A" w:rsidRPr="006D2224">
        <w:rPr>
          <w:rFonts w:asciiTheme="minorHAnsi" w:hAnsiTheme="minorHAnsi"/>
          <w:bCs/>
        </w:rPr>
        <w:t xml:space="preserve"> in which the PBAC considered </w:t>
      </w:r>
      <w:r w:rsidR="002A441A" w:rsidRPr="006D2224">
        <w:t>that TCS were also appropriate comparators for treatment in patients contraindicated to or those failing intermittent TCS.</w:t>
      </w:r>
    </w:p>
    <w:p w:rsidR="000E5F47" w:rsidRPr="006D2224" w:rsidRDefault="006A2F91" w:rsidP="00D47339">
      <w:pPr>
        <w:numPr>
          <w:ilvl w:val="1"/>
          <w:numId w:val="2"/>
        </w:numPr>
        <w:spacing w:after="120"/>
        <w:rPr>
          <w:rFonts w:asciiTheme="minorHAnsi" w:hAnsiTheme="minorHAnsi"/>
          <w:bCs/>
        </w:rPr>
      </w:pPr>
      <w:r w:rsidRPr="006D2224">
        <w:rPr>
          <w:rFonts w:asciiTheme="minorHAnsi" w:hAnsiTheme="minorHAnsi"/>
          <w:bCs/>
        </w:rPr>
        <w:t xml:space="preserve">The PBAC noted that the evidence presented </w:t>
      </w:r>
      <w:r w:rsidR="000E5F47" w:rsidRPr="006D2224">
        <w:rPr>
          <w:rFonts w:asciiTheme="minorHAnsi" w:hAnsiTheme="minorHAnsi"/>
          <w:bCs/>
        </w:rPr>
        <w:t xml:space="preserve">for the comparison of </w:t>
      </w:r>
      <w:proofErr w:type="spellStart"/>
      <w:r w:rsidR="000E5F47" w:rsidRPr="006D2224">
        <w:rPr>
          <w:rFonts w:asciiTheme="minorHAnsi" w:hAnsiTheme="minorHAnsi"/>
          <w:bCs/>
        </w:rPr>
        <w:t>crisaborole</w:t>
      </w:r>
      <w:proofErr w:type="spellEnd"/>
      <w:r w:rsidR="000E5F47" w:rsidRPr="006D2224">
        <w:rPr>
          <w:rFonts w:asciiTheme="minorHAnsi" w:hAnsiTheme="minorHAnsi"/>
          <w:bCs/>
        </w:rPr>
        <w:t xml:space="preserve"> with standard management was based on two 4 week </w:t>
      </w:r>
      <w:r w:rsidR="00D47339" w:rsidRPr="006D2224">
        <w:rPr>
          <w:rFonts w:asciiTheme="minorHAnsi" w:hAnsiTheme="minorHAnsi"/>
          <w:bCs/>
        </w:rPr>
        <w:t xml:space="preserve">RCTs </w:t>
      </w:r>
      <w:r w:rsidR="000E5F47" w:rsidRPr="006D2224">
        <w:rPr>
          <w:rFonts w:asciiTheme="minorHAnsi" w:hAnsiTheme="minorHAnsi"/>
          <w:bCs/>
        </w:rPr>
        <w:t>versus vehicle alone</w:t>
      </w:r>
      <w:r w:rsidR="0008076A" w:rsidRPr="006D2224">
        <w:rPr>
          <w:rFonts w:asciiTheme="minorHAnsi" w:hAnsiTheme="minorHAnsi"/>
          <w:bCs/>
        </w:rPr>
        <w:t xml:space="preserve"> (AD-301 and AD-302)</w:t>
      </w:r>
      <w:r w:rsidR="000E5F47" w:rsidRPr="006D2224">
        <w:rPr>
          <w:rFonts w:asciiTheme="minorHAnsi" w:hAnsiTheme="minorHAnsi"/>
          <w:bCs/>
        </w:rPr>
        <w:t xml:space="preserve">. The PBAC noted that these trials </w:t>
      </w:r>
      <w:r w:rsidR="00565D0B" w:rsidRPr="006D2224">
        <w:rPr>
          <w:rFonts w:asciiTheme="minorHAnsi" w:hAnsiTheme="minorHAnsi"/>
          <w:bCs/>
        </w:rPr>
        <w:t>had</w:t>
      </w:r>
      <w:r w:rsidRPr="006D2224">
        <w:rPr>
          <w:rFonts w:asciiTheme="minorHAnsi" w:hAnsiTheme="minorHAnsi"/>
          <w:bCs/>
        </w:rPr>
        <w:t xml:space="preserve"> limited</w:t>
      </w:r>
      <w:r w:rsidR="00565D0B" w:rsidRPr="006D2224">
        <w:rPr>
          <w:rFonts w:asciiTheme="minorHAnsi" w:hAnsiTheme="minorHAnsi"/>
          <w:bCs/>
        </w:rPr>
        <w:t xml:space="preserve"> applicability</w:t>
      </w:r>
      <w:r w:rsidRPr="006D2224">
        <w:rPr>
          <w:rFonts w:asciiTheme="minorHAnsi" w:hAnsiTheme="minorHAnsi"/>
          <w:bCs/>
        </w:rPr>
        <w:t xml:space="preserve"> </w:t>
      </w:r>
      <w:r w:rsidR="00065CAB" w:rsidRPr="006D2224">
        <w:rPr>
          <w:rFonts w:asciiTheme="minorHAnsi" w:hAnsiTheme="minorHAnsi"/>
          <w:bCs/>
        </w:rPr>
        <w:t>to the proposed listing</w:t>
      </w:r>
      <w:r w:rsidR="0008076A" w:rsidRPr="006D2224">
        <w:rPr>
          <w:rFonts w:asciiTheme="minorHAnsi" w:hAnsiTheme="minorHAnsi"/>
          <w:bCs/>
        </w:rPr>
        <w:t xml:space="preserve"> </w:t>
      </w:r>
      <w:r w:rsidR="00252EBD" w:rsidRPr="006D2224">
        <w:rPr>
          <w:rFonts w:asciiTheme="minorHAnsi" w:hAnsiTheme="minorHAnsi"/>
          <w:bCs/>
        </w:rPr>
        <w:t xml:space="preserve">as they reflected </w:t>
      </w:r>
      <w:r w:rsidR="00565D0B" w:rsidRPr="006D2224">
        <w:rPr>
          <w:rFonts w:asciiTheme="minorHAnsi" w:hAnsiTheme="minorHAnsi"/>
          <w:bCs/>
        </w:rPr>
        <w:t xml:space="preserve">acute use </w:t>
      </w:r>
      <w:r w:rsidR="0008076A" w:rsidRPr="006D2224">
        <w:rPr>
          <w:rFonts w:asciiTheme="minorHAnsi" w:hAnsiTheme="minorHAnsi"/>
          <w:bCs/>
        </w:rPr>
        <w:t xml:space="preserve">over 4 weeks </w:t>
      </w:r>
      <w:r w:rsidR="00565D0B" w:rsidRPr="006D2224">
        <w:rPr>
          <w:rFonts w:asciiTheme="minorHAnsi" w:hAnsiTheme="minorHAnsi"/>
          <w:bCs/>
        </w:rPr>
        <w:t xml:space="preserve">only, </w:t>
      </w:r>
      <w:r w:rsidR="00E67B17" w:rsidRPr="006D2224">
        <w:rPr>
          <w:rFonts w:asciiTheme="minorHAnsi" w:hAnsiTheme="minorHAnsi"/>
          <w:bCs/>
        </w:rPr>
        <w:t xml:space="preserve">no data were provided for the subgroup of patients </w:t>
      </w:r>
      <w:r w:rsidR="00E468FB" w:rsidRPr="006D2224">
        <w:rPr>
          <w:rFonts w:asciiTheme="minorHAnsi" w:hAnsiTheme="minorHAnsi"/>
          <w:bCs/>
        </w:rPr>
        <w:t xml:space="preserve">included in the proposed restriction, </w:t>
      </w:r>
      <w:r w:rsidR="0008076A" w:rsidRPr="006D2224">
        <w:rPr>
          <w:rFonts w:asciiTheme="minorHAnsi" w:hAnsiTheme="minorHAnsi"/>
          <w:bCs/>
        </w:rPr>
        <w:t xml:space="preserve">the clinical importance of the primary endpoint ISGA </w:t>
      </w:r>
      <w:r w:rsidR="00D47339" w:rsidRPr="006D2224">
        <w:rPr>
          <w:rFonts w:asciiTheme="minorHAnsi" w:hAnsiTheme="minorHAnsi"/>
          <w:bCs/>
        </w:rPr>
        <w:t>was uncertain and there was a</w:t>
      </w:r>
      <w:r w:rsidR="00E468FB" w:rsidRPr="006D2224">
        <w:rPr>
          <w:rFonts w:asciiTheme="minorHAnsi" w:hAnsiTheme="minorHAnsi"/>
          <w:bCs/>
        </w:rPr>
        <w:t xml:space="preserve"> lack of comparative data with well-established treatments used in standard management</w:t>
      </w:r>
      <w:r w:rsidR="0008076A" w:rsidRPr="006D2224">
        <w:rPr>
          <w:rFonts w:asciiTheme="minorHAnsi" w:hAnsiTheme="minorHAnsi"/>
          <w:bCs/>
        </w:rPr>
        <w:t>.</w:t>
      </w:r>
      <w:r w:rsidR="00E67B17" w:rsidRPr="006D2224">
        <w:rPr>
          <w:rFonts w:asciiTheme="minorHAnsi" w:hAnsiTheme="minorHAnsi"/>
          <w:bCs/>
        </w:rPr>
        <w:t xml:space="preserve"> The PBAC also noted </w:t>
      </w:r>
      <w:r w:rsidR="00E24684" w:rsidRPr="006D2224">
        <w:rPr>
          <w:rFonts w:asciiTheme="minorHAnsi" w:hAnsiTheme="minorHAnsi"/>
          <w:bCs/>
        </w:rPr>
        <w:t>that</w:t>
      </w:r>
      <w:r w:rsidR="00E67B17" w:rsidRPr="006D2224">
        <w:rPr>
          <w:rFonts w:asciiTheme="minorHAnsi" w:hAnsiTheme="minorHAnsi"/>
          <w:bCs/>
        </w:rPr>
        <w:t xml:space="preserve"> the meta-analysis of the </w:t>
      </w:r>
      <w:proofErr w:type="spellStart"/>
      <w:r w:rsidR="00E67B17" w:rsidRPr="006D2224">
        <w:rPr>
          <w:rFonts w:asciiTheme="minorHAnsi" w:hAnsiTheme="minorHAnsi"/>
          <w:bCs/>
        </w:rPr>
        <w:t>crisaborole</w:t>
      </w:r>
      <w:proofErr w:type="spellEnd"/>
      <w:r w:rsidR="00E67B17" w:rsidRPr="006D2224">
        <w:rPr>
          <w:rFonts w:asciiTheme="minorHAnsi" w:hAnsiTheme="minorHAnsi"/>
          <w:bCs/>
        </w:rPr>
        <w:t xml:space="preserve"> trials</w:t>
      </w:r>
      <w:r w:rsidR="00E24684" w:rsidRPr="006D2224">
        <w:rPr>
          <w:rFonts w:asciiTheme="minorHAnsi" w:hAnsiTheme="minorHAnsi"/>
          <w:bCs/>
        </w:rPr>
        <w:t xml:space="preserve"> was problematic as there was</w:t>
      </w:r>
      <w:r w:rsidR="0008076A" w:rsidRPr="006D2224">
        <w:rPr>
          <w:rFonts w:asciiTheme="minorHAnsi" w:hAnsiTheme="minorHAnsi"/>
          <w:bCs/>
        </w:rPr>
        <w:t xml:space="preserve"> </w:t>
      </w:r>
      <w:r w:rsidR="00E67B17" w:rsidRPr="006D2224">
        <w:rPr>
          <w:rFonts w:asciiTheme="minorHAnsi" w:hAnsiTheme="minorHAnsi"/>
          <w:bCs/>
        </w:rPr>
        <w:t xml:space="preserve">heterogeneity </w:t>
      </w:r>
      <w:r w:rsidR="0008076A" w:rsidRPr="006D2224">
        <w:rPr>
          <w:rFonts w:asciiTheme="minorHAnsi" w:hAnsiTheme="minorHAnsi"/>
          <w:bCs/>
        </w:rPr>
        <w:t>between</w:t>
      </w:r>
      <w:r w:rsidR="00E67B17" w:rsidRPr="006D2224">
        <w:rPr>
          <w:rFonts w:asciiTheme="minorHAnsi" w:hAnsiTheme="minorHAnsi"/>
          <w:bCs/>
        </w:rPr>
        <w:t xml:space="preserve"> the two </w:t>
      </w:r>
      <w:proofErr w:type="spellStart"/>
      <w:r w:rsidR="00E67B17" w:rsidRPr="006D2224">
        <w:rPr>
          <w:rFonts w:asciiTheme="minorHAnsi" w:hAnsiTheme="minorHAnsi"/>
          <w:bCs/>
        </w:rPr>
        <w:t>crisaborole</w:t>
      </w:r>
      <w:proofErr w:type="spellEnd"/>
      <w:r w:rsidR="00E67B17" w:rsidRPr="006D2224">
        <w:rPr>
          <w:rFonts w:asciiTheme="minorHAnsi" w:hAnsiTheme="minorHAnsi"/>
          <w:bCs/>
        </w:rPr>
        <w:t xml:space="preserve"> </w:t>
      </w:r>
      <w:r w:rsidR="0008076A" w:rsidRPr="006D2224">
        <w:rPr>
          <w:rFonts w:asciiTheme="minorHAnsi" w:hAnsiTheme="minorHAnsi"/>
          <w:bCs/>
        </w:rPr>
        <w:t xml:space="preserve">trials, </w:t>
      </w:r>
      <w:r w:rsidR="00E24684" w:rsidRPr="006D2224">
        <w:rPr>
          <w:rFonts w:asciiTheme="minorHAnsi" w:hAnsiTheme="minorHAnsi"/>
          <w:bCs/>
        </w:rPr>
        <w:t xml:space="preserve">the </w:t>
      </w:r>
      <w:r w:rsidR="00E24684" w:rsidRPr="006D2224">
        <w:rPr>
          <w:rFonts w:asciiTheme="minorHAnsi" w:hAnsiTheme="minorHAnsi"/>
          <w:bCs/>
        </w:rPr>
        <w:lastRenderedPageBreak/>
        <w:t xml:space="preserve">statistical significance of the </w:t>
      </w:r>
      <w:r w:rsidR="0008076A" w:rsidRPr="006D2224">
        <w:rPr>
          <w:rFonts w:asciiTheme="minorHAnsi" w:hAnsiTheme="minorHAnsi"/>
          <w:bCs/>
        </w:rPr>
        <w:t>results appeared sensitive to the method of imputation used</w:t>
      </w:r>
      <w:r w:rsidR="00E468FB" w:rsidRPr="006D2224">
        <w:rPr>
          <w:rFonts w:asciiTheme="minorHAnsi" w:hAnsiTheme="minorHAnsi"/>
          <w:bCs/>
        </w:rPr>
        <w:t xml:space="preserve"> and the magnitude of benefit associated with </w:t>
      </w:r>
      <w:proofErr w:type="spellStart"/>
      <w:r w:rsidR="00E468FB" w:rsidRPr="006D2224">
        <w:rPr>
          <w:rFonts w:asciiTheme="minorHAnsi" w:hAnsiTheme="minorHAnsi"/>
          <w:bCs/>
        </w:rPr>
        <w:t>crisaborole</w:t>
      </w:r>
      <w:proofErr w:type="spellEnd"/>
      <w:r w:rsidR="00E468FB" w:rsidRPr="006D2224">
        <w:rPr>
          <w:rFonts w:asciiTheme="minorHAnsi" w:hAnsiTheme="minorHAnsi"/>
          <w:bCs/>
        </w:rPr>
        <w:t xml:space="preserve"> over its vehicle appeared modest and only just exceeded the MCID proposed</w:t>
      </w:r>
      <w:r w:rsidR="00E24684" w:rsidRPr="006D2224">
        <w:rPr>
          <w:rFonts w:asciiTheme="minorHAnsi" w:hAnsiTheme="minorHAnsi"/>
          <w:bCs/>
        </w:rPr>
        <w:t>.</w:t>
      </w:r>
      <w:r w:rsidR="00A14BF3" w:rsidRPr="006D2224">
        <w:rPr>
          <w:rFonts w:asciiTheme="minorHAnsi" w:hAnsiTheme="minorHAnsi"/>
          <w:bCs/>
        </w:rPr>
        <w:t xml:space="preserve"> </w:t>
      </w:r>
      <w:r w:rsidR="00E468FB" w:rsidRPr="006D2224">
        <w:rPr>
          <w:rFonts w:asciiTheme="minorHAnsi" w:hAnsiTheme="minorHAnsi"/>
          <w:bCs/>
        </w:rPr>
        <w:t xml:space="preserve">The PBAC considered that overall the claim of superior comparative effectiveness compared with standard management was not adequately supported by the data. </w:t>
      </w:r>
    </w:p>
    <w:p w:rsidR="00E24684" w:rsidRPr="006D2224" w:rsidRDefault="000E5F47" w:rsidP="00E24684">
      <w:pPr>
        <w:numPr>
          <w:ilvl w:val="1"/>
          <w:numId w:val="2"/>
        </w:numPr>
        <w:spacing w:after="120"/>
        <w:rPr>
          <w:rFonts w:asciiTheme="minorHAnsi" w:hAnsiTheme="minorHAnsi"/>
          <w:bCs/>
        </w:rPr>
      </w:pPr>
      <w:r w:rsidRPr="006D2224">
        <w:rPr>
          <w:rFonts w:asciiTheme="minorHAnsi" w:hAnsiTheme="minorHAnsi"/>
          <w:bCs/>
        </w:rPr>
        <w:t xml:space="preserve">The PBAC noted that the evidence presented for the comparison with </w:t>
      </w:r>
      <w:proofErr w:type="spellStart"/>
      <w:r w:rsidRPr="006D2224">
        <w:rPr>
          <w:rFonts w:asciiTheme="minorHAnsi" w:hAnsiTheme="minorHAnsi"/>
          <w:bCs/>
        </w:rPr>
        <w:t>pimecrolimus</w:t>
      </w:r>
      <w:proofErr w:type="spellEnd"/>
      <w:r w:rsidRPr="006D2224">
        <w:rPr>
          <w:rFonts w:asciiTheme="minorHAnsi" w:hAnsiTheme="minorHAnsi"/>
          <w:bCs/>
        </w:rPr>
        <w:t xml:space="preserve"> was based on an indirect comparison using ointment vehicle/cream vehicle as the common referen</w:t>
      </w:r>
      <w:r w:rsidR="00E24684" w:rsidRPr="006D2224">
        <w:rPr>
          <w:rFonts w:asciiTheme="minorHAnsi" w:hAnsiTheme="minorHAnsi"/>
          <w:bCs/>
        </w:rPr>
        <w:t>ce.</w:t>
      </w:r>
      <w:r w:rsidRPr="006D2224">
        <w:rPr>
          <w:rFonts w:asciiTheme="minorHAnsi" w:hAnsiTheme="minorHAnsi"/>
          <w:bCs/>
        </w:rPr>
        <w:t xml:space="preserve"> The PBAC noted that </w:t>
      </w:r>
      <w:r w:rsidR="00E24684" w:rsidRPr="006D2224">
        <w:rPr>
          <w:rFonts w:asciiTheme="minorHAnsi" w:hAnsiTheme="minorHAnsi"/>
          <w:bCs/>
        </w:rPr>
        <w:t xml:space="preserve">a large body of evidence for </w:t>
      </w:r>
      <w:proofErr w:type="spellStart"/>
      <w:r w:rsidR="00E24684" w:rsidRPr="006D2224">
        <w:rPr>
          <w:rFonts w:asciiTheme="minorHAnsi" w:hAnsiTheme="minorHAnsi"/>
          <w:bCs/>
        </w:rPr>
        <w:t>pimecrol</w:t>
      </w:r>
      <w:r w:rsidR="00C75A5D" w:rsidRPr="006D2224">
        <w:rPr>
          <w:rFonts w:asciiTheme="minorHAnsi" w:hAnsiTheme="minorHAnsi"/>
          <w:bCs/>
        </w:rPr>
        <w:t>i</w:t>
      </w:r>
      <w:r w:rsidR="00E24684" w:rsidRPr="006D2224">
        <w:rPr>
          <w:rFonts w:asciiTheme="minorHAnsi" w:hAnsiTheme="minorHAnsi"/>
          <w:bCs/>
        </w:rPr>
        <w:t>mus</w:t>
      </w:r>
      <w:proofErr w:type="spellEnd"/>
      <w:r w:rsidR="00E24684" w:rsidRPr="006D2224">
        <w:rPr>
          <w:rFonts w:asciiTheme="minorHAnsi" w:hAnsiTheme="minorHAnsi"/>
          <w:bCs/>
        </w:rPr>
        <w:t xml:space="preserve"> was excluded based on differences in treatment duration, comparison with active treatments and combination use with TCS. The PBAC also noted that there were major transitivity issues with the indirect comparison including:  substantial clinical and statistical heterogeneity within the </w:t>
      </w:r>
      <w:proofErr w:type="spellStart"/>
      <w:r w:rsidR="00E24684" w:rsidRPr="006D2224">
        <w:rPr>
          <w:rFonts w:asciiTheme="minorHAnsi" w:hAnsiTheme="minorHAnsi"/>
          <w:bCs/>
        </w:rPr>
        <w:t>pimecrolimus</w:t>
      </w:r>
      <w:proofErr w:type="spellEnd"/>
      <w:r w:rsidR="00E24684" w:rsidRPr="006D2224">
        <w:rPr>
          <w:rFonts w:asciiTheme="minorHAnsi" w:hAnsiTheme="minorHAnsi"/>
          <w:bCs/>
        </w:rPr>
        <w:t xml:space="preserve"> trials and between the </w:t>
      </w:r>
      <w:proofErr w:type="spellStart"/>
      <w:r w:rsidR="00E24684" w:rsidRPr="006D2224">
        <w:rPr>
          <w:rFonts w:asciiTheme="minorHAnsi" w:hAnsiTheme="minorHAnsi"/>
          <w:bCs/>
        </w:rPr>
        <w:t>crisaborole</w:t>
      </w:r>
      <w:proofErr w:type="spellEnd"/>
      <w:r w:rsidR="00E24684" w:rsidRPr="006D2224">
        <w:rPr>
          <w:rFonts w:asciiTheme="minorHAnsi" w:hAnsiTheme="minorHAnsi"/>
          <w:bCs/>
        </w:rPr>
        <w:t xml:space="preserve"> and </w:t>
      </w:r>
      <w:proofErr w:type="spellStart"/>
      <w:r w:rsidR="00E24684" w:rsidRPr="006D2224">
        <w:rPr>
          <w:rFonts w:asciiTheme="minorHAnsi" w:hAnsiTheme="minorHAnsi"/>
          <w:bCs/>
        </w:rPr>
        <w:t>pimecrolimus</w:t>
      </w:r>
      <w:proofErr w:type="spellEnd"/>
      <w:r w:rsidR="00E24684" w:rsidRPr="006D2224">
        <w:rPr>
          <w:rFonts w:asciiTheme="minorHAnsi" w:hAnsiTheme="minorHAnsi"/>
          <w:bCs/>
        </w:rPr>
        <w:t xml:space="preserve"> trials; </w:t>
      </w:r>
      <w:r w:rsidR="00D47339" w:rsidRPr="006D2224">
        <w:rPr>
          <w:rFonts w:asciiTheme="minorHAnsi" w:hAnsiTheme="minorHAnsi"/>
          <w:bCs/>
        </w:rPr>
        <w:t xml:space="preserve">differences in vehicle response (35% versus 17% for </w:t>
      </w:r>
      <w:proofErr w:type="spellStart"/>
      <w:r w:rsidR="00D47339" w:rsidRPr="006D2224">
        <w:rPr>
          <w:rFonts w:asciiTheme="minorHAnsi" w:hAnsiTheme="minorHAnsi"/>
          <w:bCs/>
        </w:rPr>
        <w:t>crisaborole</w:t>
      </w:r>
      <w:proofErr w:type="spellEnd"/>
      <w:r w:rsidR="00D47339" w:rsidRPr="006D2224">
        <w:rPr>
          <w:rFonts w:asciiTheme="minorHAnsi" w:hAnsiTheme="minorHAnsi"/>
          <w:bCs/>
        </w:rPr>
        <w:t xml:space="preserve"> and </w:t>
      </w:r>
      <w:proofErr w:type="spellStart"/>
      <w:r w:rsidR="00D47339" w:rsidRPr="006D2224">
        <w:rPr>
          <w:rFonts w:asciiTheme="minorHAnsi" w:hAnsiTheme="minorHAnsi"/>
          <w:bCs/>
        </w:rPr>
        <w:t>pimecrolimus</w:t>
      </w:r>
      <w:proofErr w:type="spellEnd"/>
      <w:r w:rsidR="00D47339" w:rsidRPr="006D2224">
        <w:rPr>
          <w:rFonts w:asciiTheme="minorHAnsi" w:hAnsiTheme="minorHAnsi"/>
          <w:bCs/>
        </w:rPr>
        <w:t xml:space="preserve"> respectively), and </w:t>
      </w:r>
      <w:r w:rsidR="00E24684" w:rsidRPr="006D2224">
        <w:rPr>
          <w:rFonts w:asciiTheme="minorHAnsi" w:hAnsiTheme="minorHAnsi"/>
          <w:bCs/>
        </w:rPr>
        <w:t xml:space="preserve">uncertain comparability of the ISGA scale used in the </w:t>
      </w:r>
      <w:proofErr w:type="spellStart"/>
      <w:r w:rsidR="00E24684" w:rsidRPr="006D2224">
        <w:rPr>
          <w:rFonts w:asciiTheme="minorHAnsi" w:hAnsiTheme="minorHAnsi"/>
          <w:bCs/>
        </w:rPr>
        <w:t>crisaborole</w:t>
      </w:r>
      <w:proofErr w:type="spellEnd"/>
      <w:r w:rsidR="00E24684" w:rsidRPr="006D2224">
        <w:rPr>
          <w:rFonts w:asciiTheme="minorHAnsi" w:hAnsiTheme="minorHAnsi"/>
          <w:bCs/>
        </w:rPr>
        <w:t xml:space="preserve"> trials with the IGA scale used in the </w:t>
      </w:r>
      <w:proofErr w:type="spellStart"/>
      <w:r w:rsidR="00E24684" w:rsidRPr="006D2224">
        <w:rPr>
          <w:rFonts w:asciiTheme="minorHAnsi" w:hAnsiTheme="minorHAnsi"/>
          <w:bCs/>
        </w:rPr>
        <w:t>pimecrolimus</w:t>
      </w:r>
      <w:proofErr w:type="spellEnd"/>
      <w:r w:rsidR="00D47339" w:rsidRPr="006D2224">
        <w:rPr>
          <w:rFonts w:asciiTheme="minorHAnsi" w:hAnsiTheme="minorHAnsi"/>
          <w:bCs/>
        </w:rPr>
        <w:t>. The PBAC agreed with ESC</w:t>
      </w:r>
      <w:r w:rsidR="001B357B" w:rsidRPr="006D2224">
        <w:rPr>
          <w:rFonts w:asciiTheme="minorHAnsi" w:hAnsiTheme="minorHAnsi"/>
          <w:bCs/>
        </w:rPr>
        <w:t xml:space="preserve"> that</w:t>
      </w:r>
      <w:r w:rsidR="00D47339" w:rsidRPr="006D2224">
        <w:rPr>
          <w:rFonts w:asciiTheme="minorHAnsi" w:hAnsiTheme="minorHAnsi"/>
          <w:bCs/>
        </w:rPr>
        <w:t xml:space="preserve"> </w:t>
      </w:r>
      <w:r w:rsidR="001B357B" w:rsidRPr="006D2224">
        <w:rPr>
          <w:rFonts w:asciiTheme="minorHAnsi" w:hAnsiTheme="minorHAnsi"/>
          <w:bCs/>
        </w:rPr>
        <w:t xml:space="preserve">the nominated non-inferiority margin did not appear reasonable and </w:t>
      </w:r>
      <w:r w:rsidR="00D47339" w:rsidRPr="006D2224">
        <w:rPr>
          <w:rFonts w:asciiTheme="minorHAnsi" w:hAnsiTheme="minorHAnsi"/>
          <w:bCs/>
        </w:rPr>
        <w:t xml:space="preserve">the </w:t>
      </w:r>
      <w:r w:rsidR="001B357B" w:rsidRPr="006D2224">
        <w:rPr>
          <w:rFonts w:asciiTheme="minorHAnsi" w:hAnsiTheme="minorHAnsi"/>
          <w:bCs/>
        </w:rPr>
        <w:t xml:space="preserve">results of the indirect comparison did not exclude the possibility that </w:t>
      </w:r>
      <w:proofErr w:type="spellStart"/>
      <w:r w:rsidR="001B357B" w:rsidRPr="006D2224">
        <w:rPr>
          <w:rFonts w:asciiTheme="minorHAnsi" w:hAnsiTheme="minorHAnsi"/>
          <w:bCs/>
        </w:rPr>
        <w:t>pimecrolimus</w:t>
      </w:r>
      <w:proofErr w:type="spellEnd"/>
      <w:r w:rsidR="001B357B" w:rsidRPr="006D2224">
        <w:rPr>
          <w:rFonts w:asciiTheme="minorHAnsi" w:hAnsiTheme="minorHAnsi"/>
          <w:bCs/>
        </w:rPr>
        <w:t xml:space="preserve"> was superior to </w:t>
      </w:r>
      <w:proofErr w:type="spellStart"/>
      <w:r w:rsidR="001B357B" w:rsidRPr="006D2224">
        <w:rPr>
          <w:rFonts w:asciiTheme="minorHAnsi" w:hAnsiTheme="minorHAnsi"/>
          <w:bCs/>
        </w:rPr>
        <w:t>crisaborole</w:t>
      </w:r>
      <w:proofErr w:type="spellEnd"/>
      <w:r w:rsidR="001B357B" w:rsidRPr="006D2224">
        <w:rPr>
          <w:rFonts w:asciiTheme="minorHAnsi" w:hAnsiTheme="minorHAnsi"/>
          <w:bCs/>
        </w:rPr>
        <w:t xml:space="preserve"> </w:t>
      </w:r>
      <w:r w:rsidR="00D47339" w:rsidRPr="006D2224">
        <w:rPr>
          <w:rFonts w:asciiTheme="minorHAnsi" w:hAnsiTheme="minorHAnsi"/>
          <w:bCs/>
        </w:rPr>
        <w:t>in terms of efficacy.</w:t>
      </w:r>
    </w:p>
    <w:p w:rsidR="00507F24" w:rsidRPr="006D2224" w:rsidRDefault="00507F24" w:rsidP="00507F24">
      <w:pPr>
        <w:pStyle w:val="ListParagraph"/>
        <w:widowControl/>
        <w:numPr>
          <w:ilvl w:val="1"/>
          <w:numId w:val="2"/>
        </w:numPr>
        <w:snapToGrid w:val="0"/>
        <w:spacing w:after="120"/>
        <w:rPr>
          <w:rFonts w:asciiTheme="minorHAnsi" w:hAnsiTheme="minorHAnsi"/>
          <w:szCs w:val="20"/>
        </w:rPr>
      </w:pPr>
      <w:r w:rsidRPr="006D2224">
        <w:rPr>
          <w:rFonts w:asciiTheme="minorHAnsi" w:hAnsiTheme="minorHAnsi"/>
          <w:szCs w:val="20"/>
        </w:rPr>
        <w:t xml:space="preserve">The PBAC noted that no safety data were provided comparing </w:t>
      </w:r>
      <w:proofErr w:type="spellStart"/>
      <w:r w:rsidRPr="006D2224">
        <w:rPr>
          <w:rFonts w:asciiTheme="minorHAnsi" w:hAnsiTheme="minorHAnsi"/>
          <w:szCs w:val="20"/>
        </w:rPr>
        <w:t>cr</w:t>
      </w:r>
      <w:r w:rsidR="00E949BB" w:rsidRPr="006D2224">
        <w:rPr>
          <w:rFonts w:asciiTheme="minorHAnsi" w:hAnsiTheme="minorHAnsi"/>
          <w:szCs w:val="20"/>
        </w:rPr>
        <w:t>i</w:t>
      </w:r>
      <w:r w:rsidRPr="006D2224">
        <w:rPr>
          <w:rFonts w:asciiTheme="minorHAnsi" w:hAnsiTheme="minorHAnsi"/>
          <w:szCs w:val="20"/>
        </w:rPr>
        <w:t>saborole</w:t>
      </w:r>
      <w:proofErr w:type="spellEnd"/>
      <w:r w:rsidRPr="006D2224">
        <w:rPr>
          <w:rFonts w:asciiTheme="minorHAnsi" w:hAnsiTheme="minorHAnsi"/>
          <w:szCs w:val="20"/>
        </w:rPr>
        <w:t xml:space="preserve"> with standard management</w:t>
      </w:r>
      <w:r w:rsidR="00E949BB" w:rsidRPr="006D2224">
        <w:rPr>
          <w:rFonts w:asciiTheme="minorHAnsi" w:hAnsiTheme="minorHAnsi"/>
          <w:szCs w:val="20"/>
        </w:rPr>
        <w:t xml:space="preserve"> but that the vehicle ointment may be a reasonable proxy</w:t>
      </w:r>
      <w:r w:rsidRPr="006D2224">
        <w:rPr>
          <w:rFonts w:asciiTheme="minorHAnsi" w:hAnsiTheme="minorHAnsi"/>
          <w:szCs w:val="20"/>
        </w:rPr>
        <w:t xml:space="preserve">. </w:t>
      </w:r>
      <w:r w:rsidR="00E949BB" w:rsidRPr="006D2224">
        <w:rPr>
          <w:rFonts w:asciiTheme="minorHAnsi" w:hAnsiTheme="minorHAnsi"/>
          <w:szCs w:val="20"/>
        </w:rPr>
        <w:t xml:space="preserve">The PBAC noted that </w:t>
      </w:r>
      <w:proofErr w:type="spellStart"/>
      <w:r w:rsidR="00CA67F5" w:rsidRPr="006D2224">
        <w:rPr>
          <w:rFonts w:asciiTheme="minorHAnsi" w:hAnsiTheme="minorHAnsi"/>
          <w:szCs w:val="20"/>
        </w:rPr>
        <w:t>crisaborole</w:t>
      </w:r>
      <w:proofErr w:type="spellEnd"/>
      <w:r w:rsidR="00CA67F5" w:rsidRPr="006D2224">
        <w:rPr>
          <w:rFonts w:asciiTheme="minorHAnsi" w:hAnsiTheme="minorHAnsi"/>
          <w:szCs w:val="20"/>
        </w:rPr>
        <w:t xml:space="preserve"> was associated with more frequent application site disorders </w:t>
      </w:r>
      <w:r w:rsidR="00252EBD" w:rsidRPr="006D2224">
        <w:rPr>
          <w:rFonts w:asciiTheme="minorHAnsi" w:hAnsiTheme="minorHAnsi"/>
          <w:szCs w:val="20"/>
        </w:rPr>
        <w:t>than</w:t>
      </w:r>
      <w:r w:rsidR="00CA67F5" w:rsidRPr="006D2224">
        <w:rPr>
          <w:rFonts w:asciiTheme="minorHAnsi" w:hAnsiTheme="minorHAnsi"/>
          <w:szCs w:val="20"/>
        </w:rPr>
        <w:t xml:space="preserve"> its vehicle and </w:t>
      </w:r>
      <w:r w:rsidRPr="006D2224">
        <w:rPr>
          <w:rFonts w:asciiTheme="minorHAnsi" w:hAnsiTheme="minorHAnsi"/>
          <w:szCs w:val="20"/>
        </w:rPr>
        <w:t xml:space="preserve">considered that the claim of non-inferior comparative safety compared with standard management was not adequately supported by the data. The PBAC </w:t>
      </w:r>
      <w:r w:rsidR="00CA67F5" w:rsidRPr="006D2224">
        <w:rPr>
          <w:rFonts w:asciiTheme="minorHAnsi" w:hAnsiTheme="minorHAnsi"/>
          <w:szCs w:val="20"/>
        </w:rPr>
        <w:t xml:space="preserve">noted that no formal comparison of safety between </w:t>
      </w:r>
      <w:proofErr w:type="spellStart"/>
      <w:r w:rsidR="00CA67F5" w:rsidRPr="006D2224">
        <w:rPr>
          <w:rFonts w:asciiTheme="minorHAnsi" w:hAnsiTheme="minorHAnsi"/>
          <w:szCs w:val="20"/>
        </w:rPr>
        <w:t>crisaborole</w:t>
      </w:r>
      <w:proofErr w:type="spellEnd"/>
      <w:r w:rsidR="00CA67F5" w:rsidRPr="006D2224">
        <w:rPr>
          <w:rFonts w:asciiTheme="minorHAnsi" w:hAnsiTheme="minorHAnsi"/>
          <w:szCs w:val="20"/>
        </w:rPr>
        <w:t xml:space="preserve"> and </w:t>
      </w:r>
      <w:proofErr w:type="spellStart"/>
      <w:r w:rsidR="00CA67F5" w:rsidRPr="006D2224">
        <w:rPr>
          <w:rFonts w:asciiTheme="minorHAnsi" w:hAnsiTheme="minorHAnsi"/>
          <w:szCs w:val="20"/>
        </w:rPr>
        <w:t>pimecrolimus</w:t>
      </w:r>
      <w:proofErr w:type="spellEnd"/>
      <w:r w:rsidR="00CA67F5" w:rsidRPr="006D2224">
        <w:rPr>
          <w:rFonts w:asciiTheme="minorHAnsi" w:hAnsiTheme="minorHAnsi"/>
          <w:szCs w:val="20"/>
        </w:rPr>
        <w:t xml:space="preserve"> was possible and </w:t>
      </w:r>
      <w:r w:rsidRPr="006D2224">
        <w:rPr>
          <w:rFonts w:asciiTheme="minorHAnsi" w:hAnsiTheme="minorHAnsi"/>
          <w:szCs w:val="20"/>
        </w:rPr>
        <w:t xml:space="preserve">considered that the claim of non-inferior comparative safety compared with </w:t>
      </w:r>
      <w:proofErr w:type="spellStart"/>
      <w:r w:rsidRPr="006D2224">
        <w:rPr>
          <w:rFonts w:asciiTheme="minorHAnsi" w:hAnsiTheme="minorHAnsi"/>
          <w:szCs w:val="20"/>
        </w:rPr>
        <w:t>pimecrolimus</w:t>
      </w:r>
      <w:proofErr w:type="spellEnd"/>
      <w:r w:rsidRPr="006D2224">
        <w:rPr>
          <w:rFonts w:asciiTheme="minorHAnsi" w:hAnsiTheme="minorHAnsi"/>
          <w:szCs w:val="20"/>
        </w:rPr>
        <w:t xml:space="preserve"> was likely to be reasonable but was supported by limited data. </w:t>
      </w:r>
    </w:p>
    <w:p w:rsidR="00A521D6" w:rsidRPr="006D2224" w:rsidRDefault="001A64B0" w:rsidP="00A521D6">
      <w:pPr>
        <w:numPr>
          <w:ilvl w:val="1"/>
          <w:numId w:val="2"/>
        </w:numPr>
        <w:spacing w:after="120"/>
        <w:rPr>
          <w:rFonts w:asciiTheme="minorHAnsi" w:hAnsiTheme="minorHAnsi"/>
          <w:bCs/>
        </w:rPr>
      </w:pPr>
      <w:r w:rsidRPr="006D2224">
        <w:rPr>
          <w:rFonts w:asciiTheme="minorHAnsi" w:hAnsiTheme="minorHAnsi"/>
          <w:bCs/>
        </w:rPr>
        <w:t xml:space="preserve">The PBAC considered that the cost-effectiveness of </w:t>
      </w:r>
      <w:proofErr w:type="spellStart"/>
      <w:r w:rsidRPr="006D2224">
        <w:rPr>
          <w:rFonts w:asciiTheme="minorHAnsi" w:hAnsiTheme="minorHAnsi"/>
          <w:bCs/>
        </w:rPr>
        <w:t>crisaborole</w:t>
      </w:r>
      <w:proofErr w:type="spellEnd"/>
      <w:r w:rsidRPr="006D2224">
        <w:rPr>
          <w:rFonts w:asciiTheme="minorHAnsi" w:hAnsiTheme="minorHAnsi"/>
          <w:bCs/>
        </w:rPr>
        <w:t xml:space="preserve"> compared with </w:t>
      </w:r>
      <w:r w:rsidR="006E3447" w:rsidRPr="006D2224">
        <w:rPr>
          <w:rFonts w:asciiTheme="minorHAnsi" w:hAnsiTheme="minorHAnsi"/>
          <w:bCs/>
        </w:rPr>
        <w:t xml:space="preserve">standard management </w:t>
      </w:r>
      <w:r w:rsidRPr="006D2224">
        <w:rPr>
          <w:rFonts w:asciiTheme="minorHAnsi" w:hAnsiTheme="minorHAnsi"/>
          <w:bCs/>
        </w:rPr>
        <w:t xml:space="preserve">was highly uncertain as </w:t>
      </w:r>
      <w:r w:rsidR="00EE2BBD" w:rsidRPr="006D2224">
        <w:rPr>
          <w:rFonts w:asciiTheme="minorHAnsi" w:hAnsiTheme="minorHAnsi"/>
          <w:bCs/>
        </w:rPr>
        <w:t xml:space="preserve">the analysis did not include a relevant comparator and </w:t>
      </w:r>
      <w:r w:rsidRPr="006D2224">
        <w:rPr>
          <w:rFonts w:asciiTheme="minorHAnsi" w:hAnsiTheme="minorHAnsi"/>
          <w:bCs/>
        </w:rPr>
        <w:t>the model did not reflect the likely use in practice</w:t>
      </w:r>
      <w:r w:rsidR="00065884" w:rsidRPr="006D2224">
        <w:rPr>
          <w:rFonts w:asciiTheme="minorHAnsi" w:hAnsiTheme="minorHAnsi"/>
          <w:bCs/>
        </w:rPr>
        <w:t>,</w:t>
      </w:r>
      <w:r w:rsidRPr="006D2224">
        <w:rPr>
          <w:rFonts w:asciiTheme="minorHAnsi" w:hAnsiTheme="minorHAnsi"/>
          <w:bCs/>
        </w:rPr>
        <w:t xml:space="preserve"> or capture all relevant health states</w:t>
      </w:r>
      <w:r w:rsidR="00065884" w:rsidRPr="006D2224">
        <w:rPr>
          <w:rFonts w:asciiTheme="minorHAnsi" w:hAnsiTheme="minorHAnsi"/>
          <w:bCs/>
        </w:rPr>
        <w:t>,</w:t>
      </w:r>
      <w:r w:rsidRPr="006D2224">
        <w:rPr>
          <w:rFonts w:asciiTheme="minorHAnsi" w:hAnsiTheme="minorHAnsi"/>
          <w:bCs/>
        </w:rPr>
        <w:t xml:space="preserve"> and extrapolation of the treatment benefit </w:t>
      </w:r>
      <w:r w:rsidR="00283BE7" w:rsidRPr="006D2224">
        <w:rPr>
          <w:rFonts w:asciiTheme="minorHAnsi" w:hAnsiTheme="minorHAnsi"/>
          <w:bCs/>
        </w:rPr>
        <w:t>was</w:t>
      </w:r>
      <w:r w:rsidRPr="006D2224">
        <w:rPr>
          <w:rFonts w:asciiTheme="minorHAnsi" w:hAnsiTheme="minorHAnsi"/>
          <w:bCs/>
        </w:rPr>
        <w:t xml:space="preserve"> based on unsupported assumptions </w:t>
      </w:r>
      <w:r w:rsidR="00283BE7" w:rsidRPr="006D2224">
        <w:rPr>
          <w:rFonts w:asciiTheme="minorHAnsi" w:hAnsiTheme="minorHAnsi"/>
          <w:bCs/>
        </w:rPr>
        <w:t>which</w:t>
      </w:r>
      <w:r w:rsidRPr="006D2224">
        <w:rPr>
          <w:rFonts w:asciiTheme="minorHAnsi" w:hAnsiTheme="minorHAnsi"/>
          <w:bCs/>
        </w:rPr>
        <w:t xml:space="preserve"> appeared clinically implausible. </w:t>
      </w:r>
      <w:r w:rsidR="00283BE7" w:rsidRPr="006D2224">
        <w:rPr>
          <w:rFonts w:asciiTheme="minorHAnsi" w:hAnsiTheme="minorHAnsi"/>
          <w:bCs/>
        </w:rPr>
        <w:t xml:space="preserve">The PBAC noted that usage costs in the model also appeared substantially underestimated and did not reflect use in the trial on which the treatment benefit was based. </w:t>
      </w:r>
    </w:p>
    <w:p w:rsidR="001A64B0" w:rsidRPr="006D2224" w:rsidRDefault="001A64B0" w:rsidP="001A64B0">
      <w:pPr>
        <w:numPr>
          <w:ilvl w:val="1"/>
          <w:numId w:val="2"/>
        </w:numPr>
        <w:spacing w:after="120"/>
        <w:rPr>
          <w:rFonts w:asciiTheme="minorHAnsi" w:hAnsiTheme="minorHAnsi"/>
          <w:bCs/>
        </w:rPr>
      </w:pPr>
      <w:r w:rsidRPr="006D2224">
        <w:rPr>
          <w:rFonts w:asciiTheme="minorHAnsi" w:hAnsiTheme="minorHAnsi"/>
          <w:bCs/>
        </w:rPr>
        <w:t xml:space="preserve">The PBAC agreed with ESC that </w:t>
      </w:r>
      <w:r w:rsidR="00065884" w:rsidRPr="006D2224">
        <w:t xml:space="preserve">the cost-minimisation analysis was not reasonable given that the clinical claim of non-inferiority to </w:t>
      </w:r>
      <w:proofErr w:type="spellStart"/>
      <w:r w:rsidR="00065884" w:rsidRPr="006D2224">
        <w:t>pimecrolimus</w:t>
      </w:r>
      <w:proofErr w:type="spellEnd"/>
      <w:r w:rsidR="00065884" w:rsidRPr="006D2224">
        <w:t xml:space="preserve"> was inadequately supported. The PBAC also agreed with the ESC that</w:t>
      </w:r>
      <w:r w:rsidR="00065884" w:rsidRPr="006D2224">
        <w:rPr>
          <w:rFonts w:asciiTheme="minorHAnsi" w:hAnsiTheme="minorHAnsi"/>
          <w:bCs/>
        </w:rPr>
        <w:t xml:space="preserve"> </w:t>
      </w:r>
      <w:r w:rsidRPr="006D2224">
        <w:rPr>
          <w:rFonts w:asciiTheme="minorHAnsi" w:hAnsiTheme="minorHAnsi"/>
          <w:bCs/>
        </w:rPr>
        <w:t xml:space="preserve">the use of the ‘rule of nines’ in the weighting of the price </w:t>
      </w:r>
      <w:r w:rsidR="00283BE7" w:rsidRPr="006D2224">
        <w:rPr>
          <w:rFonts w:asciiTheme="minorHAnsi" w:hAnsiTheme="minorHAnsi"/>
          <w:bCs/>
        </w:rPr>
        <w:t xml:space="preserve">was not appropriate and was unlikely to reflect actual use, though </w:t>
      </w:r>
      <w:r w:rsidRPr="006D2224">
        <w:rPr>
          <w:rFonts w:asciiTheme="minorHAnsi" w:hAnsiTheme="minorHAnsi"/>
          <w:bCs/>
        </w:rPr>
        <w:t xml:space="preserve">the distribution of affected areas between the face and eyelids versus the rest of the body </w:t>
      </w:r>
      <w:r w:rsidR="00283BE7" w:rsidRPr="006D2224">
        <w:rPr>
          <w:rFonts w:asciiTheme="minorHAnsi" w:hAnsiTheme="minorHAnsi"/>
          <w:bCs/>
        </w:rPr>
        <w:t xml:space="preserve">in the </w:t>
      </w:r>
      <w:proofErr w:type="spellStart"/>
      <w:r w:rsidR="00283BE7" w:rsidRPr="006D2224">
        <w:rPr>
          <w:rFonts w:asciiTheme="minorHAnsi" w:hAnsiTheme="minorHAnsi"/>
          <w:bCs/>
        </w:rPr>
        <w:t>crisaborole</w:t>
      </w:r>
      <w:proofErr w:type="spellEnd"/>
      <w:r w:rsidR="00283BE7" w:rsidRPr="006D2224">
        <w:rPr>
          <w:rFonts w:asciiTheme="minorHAnsi" w:hAnsiTheme="minorHAnsi"/>
          <w:bCs/>
        </w:rPr>
        <w:t xml:space="preserve"> trials </w:t>
      </w:r>
      <w:r w:rsidRPr="006D2224">
        <w:rPr>
          <w:rFonts w:asciiTheme="minorHAnsi" w:hAnsiTheme="minorHAnsi"/>
          <w:bCs/>
        </w:rPr>
        <w:t xml:space="preserve">was unknown. The PBAC also agreed with ESC that the assumption of equivalence of </w:t>
      </w:r>
      <w:proofErr w:type="spellStart"/>
      <w:r w:rsidRPr="006D2224">
        <w:rPr>
          <w:rFonts w:asciiTheme="minorHAnsi" w:hAnsiTheme="minorHAnsi"/>
          <w:bCs/>
        </w:rPr>
        <w:t>crisaborole</w:t>
      </w:r>
      <w:proofErr w:type="spellEnd"/>
      <w:r w:rsidRPr="006D2224">
        <w:rPr>
          <w:rFonts w:asciiTheme="minorHAnsi" w:hAnsiTheme="minorHAnsi"/>
          <w:bCs/>
        </w:rPr>
        <w:t xml:space="preserve"> and </w:t>
      </w:r>
      <w:proofErr w:type="spellStart"/>
      <w:r w:rsidRPr="006D2224">
        <w:rPr>
          <w:rFonts w:asciiTheme="minorHAnsi" w:hAnsiTheme="minorHAnsi"/>
          <w:bCs/>
        </w:rPr>
        <w:t>pimecrolimus</w:t>
      </w:r>
      <w:proofErr w:type="spellEnd"/>
      <w:r w:rsidRPr="006D2224">
        <w:rPr>
          <w:rFonts w:asciiTheme="minorHAnsi" w:hAnsiTheme="minorHAnsi"/>
          <w:bCs/>
        </w:rPr>
        <w:t xml:space="preserve"> on a per gram basis was not appropriate and was unlikely to reflect actual use of the treatments. </w:t>
      </w:r>
    </w:p>
    <w:p w:rsidR="00A521D6" w:rsidRPr="006D2224" w:rsidRDefault="00B274DC" w:rsidP="000318EF">
      <w:pPr>
        <w:pStyle w:val="ListParagraph"/>
        <w:widowControl/>
        <w:numPr>
          <w:ilvl w:val="1"/>
          <w:numId w:val="2"/>
        </w:numPr>
      </w:pPr>
      <w:r w:rsidRPr="006D2224">
        <w:rPr>
          <w:rFonts w:asciiTheme="minorHAnsi" w:hAnsiTheme="minorHAnsi"/>
          <w:bCs/>
        </w:rPr>
        <w:lastRenderedPageBreak/>
        <w:t xml:space="preserve">The PBAC noted that there was very limited evidence available to estimate the utilisation of </w:t>
      </w:r>
      <w:proofErr w:type="spellStart"/>
      <w:r w:rsidRPr="006D2224">
        <w:rPr>
          <w:rFonts w:asciiTheme="minorHAnsi" w:hAnsiTheme="minorHAnsi"/>
          <w:bCs/>
        </w:rPr>
        <w:t>crisaborole</w:t>
      </w:r>
      <w:proofErr w:type="spellEnd"/>
      <w:r w:rsidRPr="006D2224">
        <w:rPr>
          <w:rFonts w:asciiTheme="minorHAnsi" w:hAnsiTheme="minorHAnsi"/>
          <w:bCs/>
        </w:rPr>
        <w:t xml:space="preserve">. The PBAC agreed with the DUSC that </w:t>
      </w:r>
      <w:r w:rsidR="003D1568" w:rsidRPr="006D2224">
        <w:rPr>
          <w:rFonts w:asciiTheme="minorHAnsi" w:hAnsiTheme="minorHAnsi"/>
          <w:bCs/>
        </w:rPr>
        <w:t>the estimated patient numbers</w:t>
      </w:r>
      <w:r w:rsidRPr="006D2224">
        <w:rPr>
          <w:rFonts w:asciiTheme="minorHAnsi" w:hAnsiTheme="minorHAnsi"/>
          <w:bCs/>
        </w:rPr>
        <w:t xml:space="preserve"> presented were highly uncertain and likely to be underestimated. The PBAC considered that the estimated </w:t>
      </w:r>
      <w:r w:rsidR="00C75A5D" w:rsidRPr="006D2224">
        <w:rPr>
          <w:rFonts w:asciiTheme="minorHAnsi" w:hAnsiTheme="minorHAnsi"/>
          <w:bCs/>
        </w:rPr>
        <w:t xml:space="preserve">prescription </w:t>
      </w:r>
      <w:r w:rsidRPr="006D2224">
        <w:rPr>
          <w:rFonts w:asciiTheme="minorHAnsi" w:hAnsiTheme="minorHAnsi"/>
          <w:bCs/>
        </w:rPr>
        <w:t xml:space="preserve">usage was highly uncertain and likely to be underestimated and that there would be a </w:t>
      </w:r>
      <w:r w:rsidR="000318EF" w:rsidRPr="006D2224">
        <w:rPr>
          <w:rFonts w:asciiTheme="minorHAnsi" w:hAnsiTheme="minorHAnsi"/>
          <w:bCs/>
        </w:rPr>
        <w:t>high likelihood of leakage to other types of dermatitis, infants under 2 years, and patients with ‘steroid phobia’</w:t>
      </w:r>
      <w:r w:rsidRPr="006D2224">
        <w:rPr>
          <w:rFonts w:asciiTheme="minorHAnsi" w:hAnsiTheme="minorHAnsi"/>
          <w:bCs/>
        </w:rPr>
        <w:t xml:space="preserve">. </w:t>
      </w:r>
      <w:r w:rsidR="00F94311" w:rsidRPr="006D2224">
        <w:t xml:space="preserve">The PBAC agreed with </w:t>
      </w:r>
      <w:r w:rsidR="007901EC">
        <w:t xml:space="preserve">the </w:t>
      </w:r>
      <w:r w:rsidR="00F94311" w:rsidRPr="006D2224">
        <w:t>sponsor that an RSA would be required to address the likelihood of leakage outside the restriction.</w:t>
      </w:r>
    </w:p>
    <w:p w:rsidR="00A521D6" w:rsidRPr="006D2224" w:rsidRDefault="000318EF" w:rsidP="00A521D6">
      <w:pPr>
        <w:numPr>
          <w:ilvl w:val="1"/>
          <w:numId w:val="2"/>
        </w:numPr>
        <w:spacing w:after="120"/>
        <w:rPr>
          <w:rFonts w:asciiTheme="minorHAnsi" w:hAnsiTheme="minorHAnsi"/>
          <w:bCs/>
        </w:rPr>
      </w:pPr>
      <w:r w:rsidRPr="006D2224">
        <w:rPr>
          <w:rFonts w:asciiTheme="minorHAnsi" w:hAnsiTheme="minorHAnsi"/>
          <w:bCs/>
        </w:rPr>
        <w:t xml:space="preserve">The PBAC considered that any resubmission would need to include </w:t>
      </w:r>
      <w:r w:rsidR="00F94311" w:rsidRPr="006D2224">
        <w:rPr>
          <w:rFonts w:asciiTheme="minorHAnsi" w:hAnsiTheme="minorHAnsi"/>
          <w:bCs/>
        </w:rPr>
        <w:t>TCS</w:t>
      </w:r>
      <w:r w:rsidRPr="006D2224">
        <w:rPr>
          <w:rFonts w:asciiTheme="minorHAnsi" w:hAnsiTheme="minorHAnsi"/>
          <w:bCs/>
        </w:rPr>
        <w:t xml:space="preserve"> as a comparator</w:t>
      </w:r>
      <w:r w:rsidR="00F94311" w:rsidRPr="006D2224">
        <w:rPr>
          <w:rFonts w:asciiTheme="minorHAnsi" w:hAnsiTheme="minorHAnsi"/>
          <w:bCs/>
        </w:rPr>
        <w:t xml:space="preserve">, </w:t>
      </w:r>
      <w:r w:rsidRPr="006D2224">
        <w:rPr>
          <w:rFonts w:asciiTheme="minorHAnsi" w:hAnsiTheme="minorHAnsi"/>
          <w:bCs/>
        </w:rPr>
        <w:t xml:space="preserve">present a clearly defined population aligned with a </w:t>
      </w:r>
      <w:r w:rsidR="00F94311" w:rsidRPr="006D2224">
        <w:rPr>
          <w:rFonts w:asciiTheme="minorHAnsi" w:hAnsiTheme="minorHAnsi"/>
          <w:bCs/>
        </w:rPr>
        <w:t xml:space="preserve">tight restriction, </w:t>
      </w:r>
      <w:r w:rsidRPr="006D2224">
        <w:rPr>
          <w:rFonts w:asciiTheme="minorHAnsi" w:hAnsiTheme="minorHAnsi"/>
          <w:bCs/>
        </w:rPr>
        <w:t xml:space="preserve">present </w:t>
      </w:r>
      <w:r w:rsidR="00F94311" w:rsidRPr="006D2224">
        <w:rPr>
          <w:rFonts w:asciiTheme="minorHAnsi" w:hAnsiTheme="minorHAnsi"/>
          <w:bCs/>
        </w:rPr>
        <w:t xml:space="preserve">clearly defined </w:t>
      </w:r>
      <w:r w:rsidRPr="006D2224">
        <w:rPr>
          <w:rFonts w:asciiTheme="minorHAnsi" w:hAnsiTheme="minorHAnsi"/>
          <w:bCs/>
        </w:rPr>
        <w:t>usage in terms of initiation, discontinuation and optimal duration of therapy aligned with an</w:t>
      </w:r>
      <w:r w:rsidR="00F94311" w:rsidRPr="006D2224">
        <w:rPr>
          <w:rFonts w:asciiTheme="minorHAnsi" w:hAnsiTheme="minorHAnsi"/>
          <w:bCs/>
        </w:rPr>
        <w:t xml:space="preserve"> economic model that reflects the benefit </w:t>
      </w:r>
      <w:r w:rsidRPr="006D2224">
        <w:rPr>
          <w:rFonts w:asciiTheme="minorHAnsi" w:hAnsiTheme="minorHAnsi"/>
          <w:bCs/>
        </w:rPr>
        <w:t xml:space="preserve">and cost </w:t>
      </w:r>
      <w:r w:rsidR="00F94311" w:rsidRPr="006D2224">
        <w:rPr>
          <w:rFonts w:asciiTheme="minorHAnsi" w:hAnsiTheme="minorHAnsi"/>
          <w:bCs/>
        </w:rPr>
        <w:t>of this usage</w:t>
      </w:r>
      <w:r w:rsidRPr="006D2224">
        <w:rPr>
          <w:rFonts w:asciiTheme="minorHAnsi" w:hAnsiTheme="minorHAnsi"/>
          <w:bCs/>
        </w:rPr>
        <w:t xml:space="preserve">, and </w:t>
      </w:r>
      <w:r w:rsidR="003D1568" w:rsidRPr="006D2224">
        <w:rPr>
          <w:rFonts w:asciiTheme="minorHAnsi" w:hAnsiTheme="minorHAnsi"/>
          <w:bCs/>
        </w:rPr>
        <w:t xml:space="preserve">provide </w:t>
      </w:r>
      <w:r w:rsidRPr="006D2224">
        <w:rPr>
          <w:rFonts w:asciiTheme="minorHAnsi" w:hAnsiTheme="minorHAnsi"/>
          <w:bCs/>
        </w:rPr>
        <w:t xml:space="preserve">data to support </w:t>
      </w:r>
      <w:r w:rsidR="00860449" w:rsidRPr="006D2224">
        <w:rPr>
          <w:rFonts w:asciiTheme="minorHAnsi" w:hAnsiTheme="minorHAnsi"/>
          <w:bCs/>
        </w:rPr>
        <w:t xml:space="preserve">uptake and estimated </w:t>
      </w:r>
      <w:r w:rsidRPr="006D2224">
        <w:rPr>
          <w:rFonts w:asciiTheme="minorHAnsi" w:hAnsiTheme="minorHAnsi"/>
          <w:bCs/>
        </w:rPr>
        <w:t xml:space="preserve">use of </w:t>
      </w:r>
      <w:proofErr w:type="spellStart"/>
      <w:r w:rsidRPr="006D2224">
        <w:rPr>
          <w:rFonts w:asciiTheme="minorHAnsi" w:hAnsiTheme="minorHAnsi"/>
          <w:bCs/>
        </w:rPr>
        <w:t>crisaborole</w:t>
      </w:r>
      <w:proofErr w:type="spellEnd"/>
      <w:r w:rsidR="00D74E3D" w:rsidRPr="006D2224">
        <w:rPr>
          <w:rFonts w:asciiTheme="minorHAnsi" w:hAnsiTheme="minorHAnsi"/>
          <w:bCs/>
        </w:rPr>
        <w:t xml:space="preserve"> in clinical practice</w:t>
      </w:r>
      <w:r w:rsidRPr="006D2224">
        <w:rPr>
          <w:rFonts w:asciiTheme="minorHAnsi" w:hAnsiTheme="minorHAnsi"/>
          <w:bCs/>
        </w:rPr>
        <w:t xml:space="preserve">. </w:t>
      </w:r>
      <w:r w:rsidR="00252EBD" w:rsidRPr="006D2224">
        <w:rPr>
          <w:rFonts w:asciiTheme="minorHAnsi" w:hAnsiTheme="minorHAnsi"/>
          <w:bCs/>
        </w:rPr>
        <w:t xml:space="preserve">The PBAC acknowledged the important impact of treatments for AD on patient quality of life and considered that data showing improvement in quality of life measures may be a more suitable basis for demonstrating the cost-effectiveness of </w:t>
      </w:r>
      <w:proofErr w:type="spellStart"/>
      <w:r w:rsidR="00252EBD" w:rsidRPr="006D2224">
        <w:rPr>
          <w:rFonts w:asciiTheme="minorHAnsi" w:hAnsiTheme="minorHAnsi"/>
          <w:bCs/>
        </w:rPr>
        <w:t>crisaborole</w:t>
      </w:r>
      <w:proofErr w:type="spellEnd"/>
      <w:r w:rsidR="00252EBD" w:rsidRPr="006D2224">
        <w:rPr>
          <w:rFonts w:asciiTheme="minorHAnsi" w:hAnsiTheme="minorHAnsi"/>
          <w:bCs/>
        </w:rPr>
        <w:t xml:space="preserve"> compared</w:t>
      </w:r>
      <w:r w:rsidR="003D1568" w:rsidRPr="006D2224">
        <w:rPr>
          <w:rFonts w:asciiTheme="minorHAnsi" w:hAnsiTheme="minorHAnsi"/>
          <w:bCs/>
        </w:rPr>
        <w:t xml:space="preserve"> with </w:t>
      </w:r>
      <w:r w:rsidR="00252EBD" w:rsidRPr="006D2224">
        <w:rPr>
          <w:rFonts w:asciiTheme="minorHAnsi" w:hAnsiTheme="minorHAnsi"/>
          <w:bCs/>
        </w:rPr>
        <w:t xml:space="preserve">standard management or TCS. </w:t>
      </w:r>
    </w:p>
    <w:p w:rsidR="00A521D6" w:rsidRPr="006D2224" w:rsidRDefault="00A521D6" w:rsidP="00A521D6">
      <w:pPr>
        <w:numPr>
          <w:ilvl w:val="1"/>
          <w:numId w:val="2"/>
        </w:numPr>
        <w:spacing w:after="120"/>
        <w:rPr>
          <w:rFonts w:asciiTheme="minorHAnsi" w:hAnsiTheme="minorHAnsi"/>
          <w:bCs/>
        </w:rPr>
      </w:pPr>
      <w:r w:rsidRPr="006D2224">
        <w:rPr>
          <w:rFonts w:asciiTheme="minorHAnsi" w:hAnsiTheme="minorHAnsi"/>
          <w:bCs/>
        </w:rPr>
        <w:t>The PBAC note</w:t>
      </w:r>
      <w:r w:rsidR="00991897" w:rsidRPr="006D2224">
        <w:rPr>
          <w:rFonts w:asciiTheme="minorHAnsi" w:hAnsiTheme="minorHAnsi"/>
          <w:bCs/>
        </w:rPr>
        <w:t>d that this submission is</w:t>
      </w:r>
      <w:r w:rsidRPr="006D2224">
        <w:rPr>
          <w:rFonts w:asciiTheme="minorHAnsi" w:hAnsiTheme="minorHAnsi"/>
          <w:bCs/>
        </w:rPr>
        <w:t xml:space="preserve"> eligible for an Independent Review. </w:t>
      </w:r>
    </w:p>
    <w:p w:rsidR="00A521D6" w:rsidRPr="006D2224" w:rsidRDefault="00A521D6" w:rsidP="00A521D6">
      <w:pPr>
        <w:spacing w:before="240"/>
        <w:rPr>
          <w:rFonts w:asciiTheme="minorHAnsi" w:hAnsiTheme="minorHAnsi"/>
          <w:b/>
          <w:bCs/>
        </w:rPr>
      </w:pPr>
      <w:r w:rsidRPr="006D2224">
        <w:rPr>
          <w:rFonts w:asciiTheme="minorHAnsi" w:hAnsiTheme="minorHAnsi"/>
          <w:b/>
          <w:bCs/>
        </w:rPr>
        <w:t>Outcome:</w:t>
      </w:r>
    </w:p>
    <w:p w:rsidR="00A521D6" w:rsidRDefault="00991897" w:rsidP="00A521D6">
      <w:pPr>
        <w:rPr>
          <w:rFonts w:asciiTheme="minorHAnsi" w:hAnsiTheme="minorHAnsi"/>
          <w:bCs/>
        </w:rPr>
      </w:pPr>
      <w:r w:rsidRPr="006D2224">
        <w:rPr>
          <w:rFonts w:asciiTheme="minorHAnsi" w:hAnsiTheme="minorHAnsi"/>
          <w:bCs/>
        </w:rPr>
        <w:t>Rejected</w:t>
      </w:r>
    </w:p>
    <w:p w:rsidR="00AB2312" w:rsidRDefault="00AB2312" w:rsidP="00A521D6">
      <w:pPr>
        <w:rPr>
          <w:rFonts w:asciiTheme="minorHAnsi" w:hAnsiTheme="minorHAnsi"/>
          <w:bCs/>
        </w:rPr>
      </w:pPr>
    </w:p>
    <w:p w:rsidR="00AB2312" w:rsidRPr="00AB2312" w:rsidRDefault="00AB2312" w:rsidP="00AB2312">
      <w:pPr>
        <w:pStyle w:val="PBACHeading1"/>
        <w:outlineLvl w:val="0"/>
        <w:rPr>
          <w:rFonts w:asciiTheme="minorHAnsi" w:eastAsiaTheme="minorHAnsi" w:hAnsiTheme="minorHAnsi" w:cstheme="minorBidi"/>
          <w:snapToGrid/>
        </w:rPr>
      </w:pPr>
      <w:r w:rsidRPr="00AB2312">
        <w:rPr>
          <w:rFonts w:asciiTheme="minorHAnsi" w:eastAsiaTheme="minorHAnsi" w:hAnsiTheme="minorHAnsi" w:cstheme="minorBidi"/>
          <w:snapToGrid/>
        </w:rPr>
        <w:t>Context for Decision</w:t>
      </w:r>
    </w:p>
    <w:p w:rsidR="00431A02" w:rsidRDefault="00AB2312" w:rsidP="00431A02">
      <w:pPr>
        <w:widowControl/>
        <w:spacing w:before="240"/>
        <w:ind w:left="720"/>
        <w:contextualSpacing/>
        <w:rPr>
          <w:rFonts w:asciiTheme="minorHAnsi" w:eastAsiaTheme="minorHAnsi" w:hAnsiTheme="minorHAnsi"/>
          <w:snapToGrid/>
        </w:rPr>
      </w:pPr>
      <w:r w:rsidRPr="00AB2312">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31A02" w:rsidRPr="00431A02" w:rsidRDefault="00431A02" w:rsidP="00431A02">
      <w:pPr>
        <w:widowControl/>
        <w:spacing w:before="240"/>
        <w:ind w:left="720"/>
        <w:contextualSpacing/>
        <w:rPr>
          <w:rFonts w:asciiTheme="minorHAnsi" w:eastAsiaTheme="minorHAnsi" w:hAnsiTheme="minorHAnsi"/>
          <w:snapToGrid/>
          <w:sz w:val="20"/>
          <w:szCs w:val="20"/>
        </w:rPr>
      </w:pPr>
    </w:p>
    <w:p w:rsidR="00AB2312" w:rsidRPr="00AB2312" w:rsidRDefault="00AB2312" w:rsidP="00431A02">
      <w:pPr>
        <w:pStyle w:val="PBACHeading1"/>
        <w:contextualSpacing/>
        <w:outlineLvl w:val="0"/>
        <w:rPr>
          <w:rFonts w:asciiTheme="minorHAnsi" w:eastAsiaTheme="minorHAnsi" w:hAnsiTheme="minorHAnsi" w:cstheme="minorBidi"/>
          <w:snapToGrid/>
        </w:rPr>
      </w:pPr>
      <w:r w:rsidRPr="00AB2312">
        <w:rPr>
          <w:rFonts w:asciiTheme="minorHAnsi" w:eastAsiaTheme="minorHAnsi" w:hAnsiTheme="minorHAnsi" w:cstheme="minorBidi"/>
          <w:snapToGrid/>
        </w:rPr>
        <w:t>Sponsor’s Comment</w:t>
      </w:r>
    </w:p>
    <w:p w:rsidR="00AB2312" w:rsidRPr="005B0472" w:rsidRDefault="005B0472" w:rsidP="00431A02">
      <w:pPr>
        <w:widowControl/>
        <w:spacing w:before="240"/>
        <w:ind w:left="720"/>
        <w:contextualSpacing/>
        <w:rPr>
          <w:rFonts w:asciiTheme="minorHAnsi" w:hAnsiTheme="minorHAnsi"/>
          <w:bCs/>
        </w:rPr>
      </w:pPr>
      <w:r w:rsidRPr="005B0472">
        <w:rPr>
          <w:rFonts w:asciiTheme="minorHAnsi" w:hAnsiTheme="minorHAnsi"/>
          <w:bCs/>
        </w:rPr>
        <w:t xml:space="preserve">Pfizer Australia is pleased that the PBAC acknowledged the unmet need that exists for patients with atopic dermatitis and is committed to working with the PBAC to enable reimbursed access to </w:t>
      </w:r>
      <w:proofErr w:type="spellStart"/>
      <w:r w:rsidRPr="005B0472">
        <w:rPr>
          <w:rFonts w:asciiTheme="minorHAnsi" w:hAnsiTheme="minorHAnsi"/>
          <w:bCs/>
        </w:rPr>
        <w:t>crisaborole</w:t>
      </w:r>
      <w:proofErr w:type="spellEnd"/>
      <w:r w:rsidRPr="005B0472">
        <w:rPr>
          <w:rFonts w:asciiTheme="minorHAnsi" w:hAnsiTheme="minorHAnsi"/>
          <w:bCs/>
        </w:rPr>
        <w:t>.</w:t>
      </w:r>
    </w:p>
    <w:sectPr w:rsidR="00AB2312" w:rsidRPr="005B0472" w:rsidSect="00E21358">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208" w:rsidRDefault="00853208" w:rsidP="00124A51">
      <w:r>
        <w:separator/>
      </w:r>
    </w:p>
    <w:p w:rsidR="00853208" w:rsidRDefault="00853208"/>
  </w:endnote>
  <w:endnote w:type="continuationSeparator" w:id="0">
    <w:p w:rsidR="00853208" w:rsidRDefault="00853208" w:rsidP="00124A51">
      <w:r>
        <w:continuationSeparator/>
      </w:r>
    </w:p>
    <w:p w:rsidR="00853208" w:rsidRDefault="00853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TimesNewRoman,Bold">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208" w:rsidRDefault="00853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208" w:rsidRPr="003965E5" w:rsidRDefault="00853208" w:rsidP="006830D4">
    <w:pPr>
      <w:contextualSpacing/>
      <w:jc w:val="center"/>
      <w:rPr>
        <w:rFonts w:ascii="Arial" w:hAnsi="Arial"/>
        <w:bCs/>
        <w:sz w:val="20"/>
        <w:szCs w:val="20"/>
      </w:rPr>
    </w:pPr>
    <w:r w:rsidRPr="003965E5">
      <w:rPr>
        <w:rFonts w:eastAsia="Calibri"/>
        <w:sz w:val="20"/>
        <w:szCs w:val="20"/>
      </w:rPr>
      <w:fldChar w:fldCharType="begin"/>
    </w:r>
    <w:r w:rsidRPr="003965E5">
      <w:rPr>
        <w:rFonts w:eastAsia="Calibri"/>
        <w:sz w:val="20"/>
        <w:szCs w:val="20"/>
      </w:rPr>
      <w:instrText xml:space="preserve"> PAGE   \* MERGEFORMAT </w:instrText>
    </w:r>
    <w:r w:rsidRPr="003965E5">
      <w:rPr>
        <w:rFonts w:eastAsia="Calibri"/>
        <w:sz w:val="20"/>
        <w:szCs w:val="20"/>
      </w:rPr>
      <w:fldChar w:fldCharType="separate"/>
    </w:r>
    <w:r w:rsidR="003E513F">
      <w:rPr>
        <w:rFonts w:eastAsia="Calibri"/>
        <w:noProof/>
        <w:sz w:val="20"/>
        <w:szCs w:val="20"/>
      </w:rPr>
      <w:t>21</w:t>
    </w:r>
    <w:r w:rsidRPr="003965E5">
      <w:rPr>
        <w:rFonts w:eastAsia="Calibr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208" w:rsidRDefault="00853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208" w:rsidRDefault="00853208" w:rsidP="00124A51">
      <w:r>
        <w:separator/>
      </w:r>
    </w:p>
    <w:p w:rsidR="00853208" w:rsidRDefault="00853208"/>
  </w:footnote>
  <w:footnote w:type="continuationSeparator" w:id="0">
    <w:p w:rsidR="00853208" w:rsidRDefault="00853208" w:rsidP="00124A51">
      <w:r>
        <w:continuationSeparator/>
      </w:r>
    </w:p>
    <w:p w:rsidR="00853208" w:rsidRDefault="00853208"/>
  </w:footnote>
  <w:footnote w:id="1">
    <w:p w:rsidR="00853208" w:rsidRDefault="00853208" w:rsidP="00912B18">
      <w:pPr>
        <w:pStyle w:val="FootnoteText"/>
      </w:pPr>
      <w:r>
        <w:rPr>
          <w:rStyle w:val="FootnoteReference"/>
        </w:rPr>
        <w:footnoteRef/>
      </w:r>
      <w:r>
        <w:t xml:space="preserve"> </w:t>
      </w:r>
      <w:proofErr w:type="spellStart"/>
      <w:r w:rsidRPr="005B7D93">
        <w:rPr>
          <w:rFonts w:ascii="Arial Narrow" w:hAnsi="Arial Narrow"/>
          <w:color w:val="231F20"/>
          <w:sz w:val="16"/>
          <w:szCs w:val="16"/>
        </w:rPr>
        <w:t>Bożek</w:t>
      </w:r>
      <w:proofErr w:type="spellEnd"/>
      <w:r w:rsidRPr="005B7D93">
        <w:rPr>
          <w:rFonts w:ascii="Arial Narrow" w:hAnsi="Arial Narrow"/>
          <w:color w:val="231F20"/>
          <w:sz w:val="16"/>
          <w:szCs w:val="16"/>
        </w:rPr>
        <w:t xml:space="preserve"> A and Reich A.  </w:t>
      </w:r>
      <w:r w:rsidRPr="005B7D93">
        <w:rPr>
          <w:rFonts w:ascii="Arial Narrow" w:hAnsi="Arial Narrow"/>
          <w:bCs/>
          <w:color w:val="231F20"/>
          <w:sz w:val="16"/>
          <w:szCs w:val="16"/>
        </w:rPr>
        <w:t>Assessment of intra- and inter-</w:t>
      </w:r>
      <w:proofErr w:type="spellStart"/>
      <w:r w:rsidRPr="005B7D93">
        <w:rPr>
          <w:rFonts w:ascii="Arial Narrow" w:hAnsi="Arial Narrow"/>
          <w:bCs/>
          <w:color w:val="231F20"/>
          <w:sz w:val="16"/>
          <w:szCs w:val="16"/>
        </w:rPr>
        <w:t>rater</w:t>
      </w:r>
      <w:proofErr w:type="spellEnd"/>
      <w:r w:rsidRPr="005B7D93">
        <w:rPr>
          <w:rFonts w:ascii="Arial Narrow" w:hAnsi="Arial Narrow"/>
          <w:bCs/>
          <w:color w:val="231F20"/>
          <w:sz w:val="16"/>
          <w:szCs w:val="16"/>
        </w:rPr>
        <w:t xml:space="preserve"> reliability of three methods for measuring atopic dermatitis severity: EASI, Objective SCORAD, and IGA. Dermatology, May 12, 2017</w:t>
      </w:r>
    </w:p>
  </w:footnote>
  <w:footnote w:id="2">
    <w:p w:rsidR="00853208" w:rsidRDefault="00853208">
      <w:pPr>
        <w:pStyle w:val="FootnoteText"/>
      </w:pPr>
      <w:r>
        <w:rPr>
          <w:rStyle w:val="FootnoteReference"/>
        </w:rPr>
        <w:footnoteRef/>
      </w:r>
      <w:r>
        <w:t xml:space="preserve"> </w:t>
      </w:r>
      <w:proofErr w:type="spellStart"/>
      <w:r w:rsidRPr="00EE68B2">
        <w:rPr>
          <w:rFonts w:ascii="Arial Narrow" w:hAnsi="Arial Narrow"/>
          <w:color w:val="0070C0"/>
          <w:sz w:val="16"/>
          <w:szCs w:val="16"/>
          <w:u w:val="single"/>
        </w:rPr>
        <w:t>Cappelleri</w:t>
      </w:r>
      <w:proofErr w:type="spellEnd"/>
      <w:r w:rsidRPr="00EE68B2">
        <w:rPr>
          <w:rFonts w:ascii="Arial Narrow" w:hAnsi="Arial Narrow"/>
          <w:color w:val="0070C0"/>
          <w:sz w:val="16"/>
          <w:szCs w:val="16"/>
          <w:u w:val="single"/>
        </w:rPr>
        <w:t xml:space="preserve"> JC, Gerber RA, </w:t>
      </w:r>
      <w:proofErr w:type="spellStart"/>
      <w:r w:rsidRPr="00EE68B2">
        <w:rPr>
          <w:rFonts w:ascii="Arial Narrow" w:hAnsi="Arial Narrow"/>
          <w:color w:val="0070C0"/>
          <w:sz w:val="16"/>
          <w:szCs w:val="16"/>
          <w:u w:val="single"/>
        </w:rPr>
        <w:t>Bushmakin</w:t>
      </w:r>
      <w:proofErr w:type="spellEnd"/>
      <w:r w:rsidRPr="00EE68B2">
        <w:rPr>
          <w:rFonts w:ascii="Arial Narrow" w:hAnsi="Arial Narrow"/>
          <w:color w:val="0070C0"/>
          <w:sz w:val="16"/>
          <w:szCs w:val="16"/>
          <w:u w:val="single"/>
        </w:rPr>
        <w:t xml:space="preserve"> AG </w:t>
      </w:r>
      <w:r w:rsidRPr="00EE68B2">
        <w:rPr>
          <w:rFonts w:ascii="Arial Narrow" w:hAnsi="Arial Narrow"/>
          <w:i/>
          <w:color w:val="0070C0"/>
          <w:sz w:val="16"/>
          <w:szCs w:val="16"/>
          <w:u w:val="single"/>
        </w:rPr>
        <w:t>et al</w:t>
      </w:r>
      <w:r w:rsidRPr="00EE68B2">
        <w:rPr>
          <w:rFonts w:ascii="Arial Narrow" w:hAnsi="Arial Narrow"/>
          <w:color w:val="0070C0"/>
          <w:sz w:val="16"/>
          <w:szCs w:val="16"/>
          <w:u w:val="single"/>
        </w:rPr>
        <w:t xml:space="preserve">. Evaluation of treatment effects on the Investigator’s Static Global Assessment: Longitudinal analysis of 2 phase 3 studies of the phosphodiesterase 4 inhibitor </w:t>
      </w:r>
      <w:proofErr w:type="spellStart"/>
      <w:r w:rsidRPr="00EE68B2">
        <w:rPr>
          <w:rFonts w:ascii="Arial Narrow" w:hAnsi="Arial Narrow"/>
          <w:color w:val="0070C0"/>
          <w:sz w:val="16"/>
          <w:szCs w:val="16"/>
          <w:u w:val="single"/>
        </w:rPr>
        <w:t>crisaborole</w:t>
      </w:r>
      <w:proofErr w:type="spellEnd"/>
      <w:r w:rsidRPr="00EE68B2">
        <w:rPr>
          <w:rFonts w:ascii="Arial Narrow" w:hAnsi="Arial Narrow"/>
          <w:color w:val="0070C0"/>
          <w:sz w:val="16"/>
          <w:szCs w:val="16"/>
          <w:u w:val="single"/>
        </w:rPr>
        <w:t xml:space="preserve"> ointment, 2% in patients 2 years and older with mild to moderate atopic dermatitis.  Presented at the EADV 2018 Annual Meeting; September 12-16;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208" w:rsidRDefault="00853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208" w:rsidRPr="006830D4" w:rsidRDefault="00853208" w:rsidP="006830D4">
    <w:pPr>
      <w:tabs>
        <w:tab w:val="left" w:pos="142"/>
        <w:tab w:val="right" w:pos="9027"/>
      </w:tabs>
      <w:jc w:val="center"/>
      <w:rPr>
        <w:i/>
        <w:sz w:val="22"/>
      </w:rPr>
    </w:pPr>
    <w:r>
      <w:rPr>
        <w:i/>
        <w:sz w:val="22"/>
      </w:rPr>
      <w:t xml:space="preserve">Public Summary Document </w:t>
    </w:r>
    <w:r w:rsidRPr="006830D4">
      <w:rPr>
        <w:i/>
        <w:sz w:val="22"/>
      </w:rPr>
      <w:t>– November 2018 PBAC Meeting</w:t>
    </w:r>
  </w:p>
  <w:p w:rsidR="00853208" w:rsidRDefault="0085320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208" w:rsidRDefault="00853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CF18A1"/>
    <w:multiLevelType w:val="hybridMultilevel"/>
    <w:tmpl w:val="0BE4A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95856"/>
    <w:multiLevelType w:val="hybridMultilevel"/>
    <w:tmpl w:val="3A2E559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E57180"/>
    <w:multiLevelType w:val="hybridMultilevel"/>
    <w:tmpl w:val="FE4AF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B3429B"/>
    <w:multiLevelType w:val="hybridMultilevel"/>
    <w:tmpl w:val="9E7A2CCE"/>
    <w:lvl w:ilvl="0" w:tplc="3670EF1C">
      <w:numFmt w:val="bullet"/>
      <w:lvlText w:val="-"/>
      <w:lvlJc w:val="left"/>
      <w:pPr>
        <w:ind w:left="308" w:hanging="360"/>
      </w:pPr>
      <w:rPr>
        <w:rFonts w:ascii="Arial Narrow" w:eastAsia="Times New Roman" w:hAnsi="Arial Narrow" w:cs="Arial" w:hint="default"/>
      </w:rPr>
    </w:lvl>
    <w:lvl w:ilvl="1" w:tplc="0C090003" w:tentative="1">
      <w:start w:val="1"/>
      <w:numFmt w:val="bullet"/>
      <w:lvlText w:val="o"/>
      <w:lvlJc w:val="left"/>
      <w:pPr>
        <w:ind w:left="1028" w:hanging="360"/>
      </w:pPr>
      <w:rPr>
        <w:rFonts w:ascii="Courier New" w:hAnsi="Courier New" w:cs="Courier New" w:hint="default"/>
      </w:rPr>
    </w:lvl>
    <w:lvl w:ilvl="2" w:tplc="0C090005" w:tentative="1">
      <w:start w:val="1"/>
      <w:numFmt w:val="bullet"/>
      <w:lvlText w:val=""/>
      <w:lvlJc w:val="left"/>
      <w:pPr>
        <w:ind w:left="1748" w:hanging="360"/>
      </w:pPr>
      <w:rPr>
        <w:rFonts w:ascii="Wingdings" w:hAnsi="Wingdings" w:hint="default"/>
      </w:rPr>
    </w:lvl>
    <w:lvl w:ilvl="3" w:tplc="0C090001" w:tentative="1">
      <w:start w:val="1"/>
      <w:numFmt w:val="bullet"/>
      <w:lvlText w:val=""/>
      <w:lvlJc w:val="left"/>
      <w:pPr>
        <w:ind w:left="2468" w:hanging="360"/>
      </w:pPr>
      <w:rPr>
        <w:rFonts w:ascii="Symbol" w:hAnsi="Symbol" w:hint="default"/>
      </w:rPr>
    </w:lvl>
    <w:lvl w:ilvl="4" w:tplc="0C090003" w:tentative="1">
      <w:start w:val="1"/>
      <w:numFmt w:val="bullet"/>
      <w:lvlText w:val="o"/>
      <w:lvlJc w:val="left"/>
      <w:pPr>
        <w:ind w:left="3188" w:hanging="360"/>
      </w:pPr>
      <w:rPr>
        <w:rFonts w:ascii="Courier New" w:hAnsi="Courier New" w:cs="Courier New" w:hint="default"/>
      </w:rPr>
    </w:lvl>
    <w:lvl w:ilvl="5" w:tplc="0C090005" w:tentative="1">
      <w:start w:val="1"/>
      <w:numFmt w:val="bullet"/>
      <w:lvlText w:val=""/>
      <w:lvlJc w:val="left"/>
      <w:pPr>
        <w:ind w:left="3908" w:hanging="360"/>
      </w:pPr>
      <w:rPr>
        <w:rFonts w:ascii="Wingdings" w:hAnsi="Wingdings" w:hint="default"/>
      </w:rPr>
    </w:lvl>
    <w:lvl w:ilvl="6" w:tplc="0C090001" w:tentative="1">
      <w:start w:val="1"/>
      <w:numFmt w:val="bullet"/>
      <w:lvlText w:val=""/>
      <w:lvlJc w:val="left"/>
      <w:pPr>
        <w:ind w:left="4628" w:hanging="360"/>
      </w:pPr>
      <w:rPr>
        <w:rFonts w:ascii="Symbol" w:hAnsi="Symbol" w:hint="default"/>
      </w:rPr>
    </w:lvl>
    <w:lvl w:ilvl="7" w:tplc="0C090003" w:tentative="1">
      <w:start w:val="1"/>
      <w:numFmt w:val="bullet"/>
      <w:lvlText w:val="o"/>
      <w:lvlJc w:val="left"/>
      <w:pPr>
        <w:ind w:left="5348" w:hanging="360"/>
      </w:pPr>
      <w:rPr>
        <w:rFonts w:ascii="Courier New" w:hAnsi="Courier New" w:cs="Courier New" w:hint="default"/>
      </w:rPr>
    </w:lvl>
    <w:lvl w:ilvl="8" w:tplc="0C090005" w:tentative="1">
      <w:start w:val="1"/>
      <w:numFmt w:val="bullet"/>
      <w:lvlText w:val=""/>
      <w:lvlJc w:val="left"/>
      <w:pPr>
        <w:ind w:left="6068"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60666A"/>
    <w:multiLevelType w:val="hybridMultilevel"/>
    <w:tmpl w:val="D47C58E4"/>
    <w:lvl w:ilvl="0" w:tplc="851E46D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B121EEF"/>
    <w:multiLevelType w:val="hybridMultilevel"/>
    <w:tmpl w:val="E2C8D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8686C"/>
    <w:multiLevelType w:val="hybridMultilevel"/>
    <w:tmpl w:val="97F29DEC"/>
    <w:lvl w:ilvl="0" w:tplc="0C090001">
      <w:start w:val="1"/>
      <w:numFmt w:val="bullet"/>
      <w:lvlText w:val=""/>
      <w:lvlJc w:val="left"/>
      <w:pPr>
        <w:ind w:left="12" w:hanging="360"/>
      </w:pPr>
      <w:rPr>
        <w:rFonts w:ascii="Symbol" w:hAnsi="Symbol" w:hint="default"/>
      </w:rPr>
    </w:lvl>
    <w:lvl w:ilvl="1" w:tplc="0C090003" w:tentative="1">
      <w:start w:val="1"/>
      <w:numFmt w:val="bullet"/>
      <w:lvlText w:val="o"/>
      <w:lvlJc w:val="left"/>
      <w:pPr>
        <w:ind w:left="732" w:hanging="360"/>
      </w:pPr>
      <w:rPr>
        <w:rFonts w:ascii="Courier New" w:hAnsi="Courier New" w:cs="Courier New" w:hint="default"/>
      </w:rPr>
    </w:lvl>
    <w:lvl w:ilvl="2" w:tplc="0C090005" w:tentative="1">
      <w:start w:val="1"/>
      <w:numFmt w:val="bullet"/>
      <w:lvlText w:val=""/>
      <w:lvlJc w:val="left"/>
      <w:pPr>
        <w:ind w:left="1452" w:hanging="360"/>
      </w:pPr>
      <w:rPr>
        <w:rFonts w:ascii="Wingdings" w:hAnsi="Wingdings" w:hint="default"/>
      </w:rPr>
    </w:lvl>
    <w:lvl w:ilvl="3" w:tplc="0C090001" w:tentative="1">
      <w:start w:val="1"/>
      <w:numFmt w:val="bullet"/>
      <w:lvlText w:val=""/>
      <w:lvlJc w:val="left"/>
      <w:pPr>
        <w:ind w:left="2172" w:hanging="360"/>
      </w:pPr>
      <w:rPr>
        <w:rFonts w:ascii="Symbol" w:hAnsi="Symbol" w:hint="default"/>
      </w:rPr>
    </w:lvl>
    <w:lvl w:ilvl="4" w:tplc="0C090003" w:tentative="1">
      <w:start w:val="1"/>
      <w:numFmt w:val="bullet"/>
      <w:lvlText w:val="o"/>
      <w:lvlJc w:val="left"/>
      <w:pPr>
        <w:ind w:left="2892" w:hanging="360"/>
      </w:pPr>
      <w:rPr>
        <w:rFonts w:ascii="Courier New" w:hAnsi="Courier New" w:cs="Courier New" w:hint="default"/>
      </w:rPr>
    </w:lvl>
    <w:lvl w:ilvl="5" w:tplc="0C090005" w:tentative="1">
      <w:start w:val="1"/>
      <w:numFmt w:val="bullet"/>
      <w:lvlText w:val=""/>
      <w:lvlJc w:val="left"/>
      <w:pPr>
        <w:ind w:left="3612" w:hanging="360"/>
      </w:pPr>
      <w:rPr>
        <w:rFonts w:ascii="Wingdings" w:hAnsi="Wingdings" w:hint="default"/>
      </w:rPr>
    </w:lvl>
    <w:lvl w:ilvl="6" w:tplc="0C090001" w:tentative="1">
      <w:start w:val="1"/>
      <w:numFmt w:val="bullet"/>
      <w:lvlText w:val=""/>
      <w:lvlJc w:val="left"/>
      <w:pPr>
        <w:ind w:left="4332" w:hanging="360"/>
      </w:pPr>
      <w:rPr>
        <w:rFonts w:ascii="Symbol" w:hAnsi="Symbol" w:hint="default"/>
      </w:rPr>
    </w:lvl>
    <w:lvl w:ilvl="7" w:tplc="0C090003" w:tentative="1">
      <w:start w:val="1"/>
      <w:numFmt w:val="bullet"/>
      <w:lvlText w:val="o"/>
      <w:lvlJc w:val="left"/>
      <w:pPr>
        <w:ind w:left="5052" w:hanging="360"/>
      </w:pPr>
      <w:rPr>
        <w:rFonts w:ascii="Courier New" w:hAnsi="Courier New" w:cs="Courier New" w:hint="default"/>
      </w:rPr>
    </w:lvl>
    <w:lvl w:ilvl="8" w:tplc="0C090005" w:tentative="1">
      <w:start w:val="1"/>
      <w:numFmt w:val="bullet"/>
      <w:lvlText w:val=""/>
      <w:lvlJc w:val="left"/>
      <w:pPr>
        <w:ind w:left="5772" w:hanging="360"/>
      </w:pPr>
      <w:rPr>
        <w:rFonts w:ascii="Wingdings" w:hAnsi="Wingdings" w:hint="default"/>
      </w:rPr>
    </w:lvl>
  </w:abstractNum>
  <w:abstractNum w:abstractNumId="10" w15:restartNumberingAfterBreak="0">
    <w:nsid w:val="37DB1489"/>
    <w:multiLevelType w:val="hybridMultilevel"/>
    <w:tmpl w:val="982C57E2"/>
    <w:lvl w:ilvl="0" w:tplc="7A8E3A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7C34E2"/>
    <w:multiLevelType w:val="hybridMultilevel"/>
    <w:tmpl w:val="AA96A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0E6266"/>
    <w:multiLevelType w:val="hybridMultilevel"/>
    <w:tmpl w:val="7FBCB128"/>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3" w15:restartNumberingAfterBreak="0">
    <w:nsid w:val="42951F39"/>
    <w:multiLevelType w:val="hybridMultilevel"/>
    <w:tmpl w:val="FFE0D7C4"/>
    <w:lvl w:ilvl="0" w:tplc="347E1DB6">
      <w:start w:val="1"/>
      <w:numFmt w:val="bullet"/>
      <w:lvlText w:val="•"/>
      <w:lvlJc w:val="left"/>
      <w:pPr>
        <w:tabs>
          <w:tab w:val="num" w:pos="720"/>
        </w:tabs>
        <w:ind w:left="720" w:hanging="360"/>
      </w:pPr>
      <w:rPr>
        <w:rFonts w:ascii="Arial" w:hAnsi="Arial" w:hint="default"/>
      </w:rPr>
    </w:lvl>
    <w:lvl w:ilvl="1" w:tplc="19425F20" w:tentative="1">
      <w:start w:val="1"/>
      <w:numFmt w:val="bullet"/>
      <w:lvlText w:val="•"/>
      <w:lvlJc w:val="left"/>
      <w:pPr>
        <w:tabs>
          <w:tab w:val="num" w:pos="1440"/>
        </w:tabs>
        <w:ind w:left="1440" w:hanging="360"/>
      </w:pPr>
      <w:rPr>
        <w:rFonts w:ascii="Arial" w:hAnsi="Arial" w:hint="default"/>
      </w:rPr>
    </w:lvl>
    <w:lvl w:ilvl="2" w:tplc="BCA6ADDC" w:tentative="1">
      <w:start w:val="1"/>
      <w:numFmt w:val="bullet"/>
      <w:lvlText w:val="•"/>
      <w:lvlJc w:val="left"/>
      <w:pPr>
        <w:tabs>
          <w:tab w:val="num" w:pos="2160"/>
        </w:tabs>
        <w:ind w:left="2160" w:hanging="360"/>
      </w:pPr>
      <w:rPr>
        <w:rFonts w:ascii="Arial" w:hAnsi="Arial" w:hint="default"/>
      </w:rPr>
    </w:lvl>
    <w:lvl w:ilvl="3" w:tplc="6FD0F550" w:tentative="1">
      <w:start w:val="1"/>
      <w:numFmt w:val="bullet"/>
      <w:lvlText w:val="•"/>
      <w:lvlJc w:val="left"/>
      <w:pPr>
        <w:tabs>
          <w:tab w:val="num" w:pos="2880"/>
        </w:tabs>
        <w:ind w:left="2880" w:hanging="360"/>
      </w:pPr>
      <w:rPr>
        <w:rFonts w:ascii="Arial" w:hAnsi="Arial" w:hint="default"/>
      </w:rPr>
    </w:lvl>
    <w:lvl w:ilvl="4" w:tplc="94B2E670" w:tentative="1">
      <w:start w:val="1"/>
      <w:numFmt w:val="bullet"/>
      <w:lvlText w:val="•"/>
      <w:lvlJc w:val="left"/>
      <w:pPr>
        <w:tabs>
          <w:tab w:val="num" w:pos="3600"/>
        </w:tabs>
        <w:ind w:left="3600" w:hanging="360"/>
      </w:pPr>
      <w:rPr>
        <w:rFonts w:ascii="Arial" w:hAnsi="Arial" w:hint="default"/>
      </w:rPr>
    </w:lvl>
    <w:lvl w:ilvl="5" w:tplc="F8CA1F38" w:tentative="1">
      <w:start w:val="1"/>
      <w:numFmt w:val="bullet"/>
      <w:lvlText w:val="•"/>
      <w:lvlJc w:val="left"/>
      <w:pPr>
        <w:tabs>
          <w:tab w:val="num" w:pos="4320"/>
        </w:tabs>
        <w:ind w:left="4320" w:hanging="360"/>
      </w:pPr>
      <w:rPr>
        <w:rFonts w:ascii="Arial" w:hAnsi="Arial" w:hint="default"/>
      </w:rPr>
    </w:lvl>
    <w:lvl w:ilvl="6" w:tplc="FEDE43DC" w:tentative="1">
      <w:start w:val="1"/>
      <w:numFmt w:val="bullet"/>
      <w:lvlText w:val="•"/>
      <w:lvlJc w:val="left"/>
      <w:pPr>
        <w:tabs>
          <w:tab w:val="num" w:pos="5040"/>
        </w:tabs>
        <w:ind w:left="5040" w:hanging="360"/>
      </w:pPr>
      <w:rPr>
        <w:rFonts w:ascii="Arial" w:hAnsi="Arial" w:hint="default"/>
      </w:rPr>
    </w:lvl>
    <w:lvl w:ilvl="7" w:tplc="A04ADDE0" w:tentative="1">
      <w:start w:val="1"/>
      <w:numFmt w:val="bullet"/>
      <w:lvlText w:val="•"/>
      <w:lvlJc w:val="left"/>
      <w:pPr>
        <w:tabs>
          <w:tab w:val="num" w:pos="5760"/>
        </w:tabs>
        <w:ind w:left="5760" w:hanging="360"/>
      </w:pPr>
      <w:rPr>
        <w:rFonts w:ascii="Arial" w:hAnsi="Arial" w:hint="default"/>
      </w:rPr>
    </w:lvl>
    <w:lvl w:ilvl="8" w:tplc="78027C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1F4131"/>
    <w:multiLevelType w:val="hybridMultilevel"/>
    <w:tmpl w:val="AB7411E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C361D1"/>
    <w:multiLevelType w:val="hybridMultilevel"/>
    <w:tmpl w:val="BBC4E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92BEB"/>
    <w:multiLevelType w:val="hybridMultilevel"/>
    <w:tmpl w:val="22A44E06"/>
    <w:lvl w:ilvl="0" w:tplc="EB769AC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0A0F85"/>
    <w:multiLevelType w:val="hybridMultilevel"/>
    <w:tmpl w:val="1444B2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7935837"/>
    <w:multiLevelType w:val="hybridMultilevel"/>
    <w:tmpl w:val="F1E0E61C"/>
    <w:lvl w:ilvl="0" w:tplc="6E9AA01C">
      <w:start w:val="1"/>
      <w:numFmt w:val="bullet"/>
      <w:lvlText w:val="•"/>
      <w:lvlJc w:val="left"/>
      <w:pPr>
        <w:tabs>
          <w:tab w:val="num" w:pos="720"/>
        </w:tabs>
        <w:ind w:left="720" w:hanging="360"/>
      </w:pPr>
      <w:rPr>
        <w:rFonts w:ascii="Arial" w:hAnsi="Arial" w:hint="default"/>
      </w:rPr>
    </w:lvl>
    <w:lvl w:ilvl="1" w:tplc="F560126E">
      <w:start w:val="1"/>
      <w:numFmt w:val="bullet"/>
      <w:lvlText w:val="•"/>
      <w:lvlJc w:val="left"/>
      <w:pPr>
        <w:tabs>
          <w:tab w:val="num" w:pos="1440"/>
        </w:tabs>
        <w:ind w:left="1440" w:hanging="360"/>
      </w:pPr>
      <w:rPr>
        <w:rFonts w:ascii="Arial" w:hAnsi="Arial" w:hint="default"/>
      </w:rPr>
    </w:lvl>
    <w:lvl w:ilvl="2" w:tplc="4F84ECDE" w:tentative="1">
      <w:start w:val="1"/>
      <w:numFmt w:val="bullet"/>
      <w:lvlText w:val="•"/>
      <w:lvlJc w:val="left"/>
      <w:pPr>
        <w:tabs>
          <w:tab w:val="num" w:pos="2160"/>
        </w:tabs>
        <w:ind w:left="2160" w:hanging="360"/>
      </w:pPr>
      <w:rPr>
        <w:rFonts w:ascii="Arial" w:hAnsi="Arial" w:hint="default"/>
      </w:rPr>
    </w:lvl>
    <w:lvl w:ilvl="3" w:tplc="86747DD6" w:tentative="1">
      <w:start w:val="1"/>
      <w:numFmt w:val="bullet"/>
      <w:lvlText w:val="•"/>
      <w:lvlJc w:val="left"/>
      <w:pPr>
        <w:tabs>
          <w:tab w:val="num" w:pos="2880"/>
        </w:tabs>
        <w:ind w:left="2880" w:hanging="360"/>
      </w:pPr>
      <w:rPr>
        <w:rFonts w:ascii="Arial" w:hAnsi="Arial" w:hint="default"/>
      </w:rPr>
    </w:lvl>
    <w:lvl w:ilvl="4" w:tplc="FE301C08" w:tentative="1">
      <w:start w:val="1"/>
      <w:numFmt w:val="bullet"/>
      <w:lvlText w:val="•"/>
      <w:lvlJc w:val="left"/>
      <w:pPr>
        <w:tabs>
          <w:tab w:val="num" w:pos="3600"/>
        </w:tabs>
        <w:ind w:left="3600" w:hanging="360"/>
      </w:pPr>
      <w:rPr>
        <w:rFonts w:ascii="Arial" w:hAnsi="Arial" w:hint="default"/>
      </w:rPr>
    </w:lvl>
    <w:lvl w:ilvl="5" w:tplc="A06840A6" w:tentative="1">
      <w:start w:val="1"/>
      <w:numFmt w:val="bullet"/>
      <w:lvlText w:val="•"/>
      <w:lvlJc w:val="left"/>
      <w:pPr>
        <w:tabs>
          <w:tab w:val="num" w:pos="4320"/>
        </w:tabs>
        <w:ind w:left="4320" w:hanging="360"/>
      </w:pPr>
      <w:rPr>
        <w:rFonts w:ascii="Arial" w:hAnsi="Arial" w:hint="default"/>
      </w:rPr>
    </w:lvl>
    <w:lvl w:ilvl="6" w:tplc="7B2265F8" w:tentative="1">
      <w:start w:val="1"/>
      <w:numFmt w:val="bullet"/>
      <w:lvlText w:val="•"/>
      <w:lvlJc w:val="left"/>
      <w:pPr>
        <w:tabs>
          <w:tab w:val="num" w:pos="5040"/>
        </w:tabs>
        <w:ind w:left="5040" w:hanging="360"/>
      </w:pPr>
      <w:rPr>
        <w:rFonts w:ascii="Arial" w:hAnsi="Arial" w:hint="default"/>
      </w:rPr>
    </w:lvl>
    <w:lvl w:ilvl="7" w:tplc="662C12A0" w:tentative="1">
      <w:start w:val="1"/>
      <w:numFmt w:val="bullet"/>
      <w:lvlText w:val="•"/>
      <w:lvlJc w:val="left"/>
      <w:pPr>
        <w:tabs>
          <w:tab w:val="num" w:pos="5760"/>
        </w:tabs>
        <w:ind w:left="5760" w:hanging="360"/>
      </w:pPr>
      <w:rPr>
        <w:rFonts w:ascii="Arial" w:hAnsi="Arial" w:hint="default"/>
      </w:rPr>
    </w:lvl>
    <w:lvl w:ilvl="8" w:tplc="CC3EF5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2134240"/>
    <w:multiLevelType w:val="hybridMultilevel"/>
    <w:tmpl w:val="A9605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10440C"/>
    <w:multiLevelType w:val="hybridMultilevel"/>
    <w:tmpl w:val="8B70B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4D033C"/>
    <w:multiLevelType w:val="multilevel"/>
    <w:tmpl w:val="DCB6C9E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Calibri" w:hAnsi="Calibri" w:cs="Calibri" w:hint="default"/>
        <w:b w:val="0"/>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BC06FB"/>
    <w:multiLevelType w:val="hybridMultilevel"/>
    <w:tmpl w:val="F8F20BB8"/>
    <w:lvl w:ilvl="0" w:tplc="24C603D6">
      <w:numFmt w:val="bullet"/>
      <w:lvlText w:val="-"/>
      <w:lvlJc w:val="left"/>
      <w:pPr>
        <w:ind w:left="720" w:hanging="360"/>
      </w:pPr>
      <w:rPr>
        <w:rFonts w:ascii="Calibri" w:eastAsia="Calibri" w:hAnsi="Calibri" w:cs="Times New Roman" w:hint="default"/>
      </w:rPr>
    </w:lvl>
    <w:lvl w:ilvl="1" w:tplc="24C603D6">
      <w:numFmt w:val="bullet"/>
      <w:lvlText w:val="-"/>
      <w:lvlJc w:val="left"/>
      <w:pPr>
        <w:ind w:left="1440" w:hanging="360"/>
      </w:pPr>
      <w:rPr>
        <w:rFonts w:ascii="Calibri" w:eastAsia="Calibri"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506FC0"/>
    <w:multiLevelType w:val="hybridMultilevel"/>
    <w:tmpl w:val="D5C68E38"/>
    <w:lvl w:ilvl="0" w:tplc="7A8E3A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16"/>
  </w:num>
  <w:num w:numId="4">
    <w:abstractNumId w:val="22"/>
  </w:num>
  <w:num w:numId="5">
    <w:abstractNumId w:val="2"/>
  </w:num>
  <w:num w:numId="6">
    <w:abstractNumId w:val="25"/>
  </w:num>
  <w:num w:numId="7">
    <w:abstractNumId w:val="10"/>
  </w:num>
  <w:num w:numId="8">
    <w:abstractNumId w:val="26"/>
  </w:num>
  <w:num w:numId="9">
    <w:abstractNumId w:val="5"/>
  </w:num>
  <w:num w:numId="10">
    <w:abstractNumId w:val="8"/>
  </w:num>
  <w:num w:numId="11">
    <w:abstractNumId w:val="20"/>
  </w:num>
  <w:num w:numId="12">
    <w:abstractNumId w:val="9"/>
  </w:num>
  <w:num w:numId="13">
    <w:abstractNumId w:val="23"/>
  </w:num>
  <w:num w:numId="14">
    <w:abstractNumId w:val="4"/>
  </w:num>
  <w:num w:numId="15">
    <w:abstractNumId w:val="12"/>
  </w:num>
  <w:num w:numId="16">
    <w:abstractNumId w:val="15"/>
  </w:num>
  <w:num w:numId="17">
    <w:abstractNumId w:val="7"/>
  </w:num>
  <w:num w:numId="18">
    <w:abstractNumId w:val="17"/>
  </w:num>
  <w:num w:numId="19">
    <w:abstractNumId w:val="16"/>
  </w:num>
  <w:num w:numId="20">
    <w:abstractNumId w:val="16"/>
  </w:num>
  <w:num w:numId="21">
    <w:abstractNumId w:val="13"/>
  </w:num>
  <w:num w:numId="22">
    <w:abstractNumId w:val="16"/>
  </w:num>
  <w:num w:numId="23">
    <w:abstractNumId w:val="14"/>
  </w:num>
  <w:num w:numId="24">
    <w:abstractNumId w:val="18"/>
  </w:num>
  <w:num w:numId="25">
    <w:abstractNumId w:val="19"/>
  </w:num>
  <w:num w:numId="26">
    <w:abstractNumId w:val="3"/>
  </w:num>
  <w:num w:numId="27">
    <w:abstractNumId w:val="0"/>
  </w:num>
  <w:num w:numId="28">
    <w:abstractNumId w:val="6"/>
  </w:num>
  <w:num w:numId="29">
    <w:abstractNumId w:val="16"/>
  </w:num>
  <w:num w:numId="30">
    <w:abstractNumId w:val="16"/>
  </w:num>
  <w:num w:numId="31">
    <w:abstractNumId w:val="21"/>
  </w:num>
  <w:num w:numId="32">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4"/>
  </w:num>
  <w:num w:numId="35">
    <w:abstractNumId w:val="24"/>
  </w:num>
  <w:num w:numId="36">
    <w:abstractNumId w:val="1"/>
  </w:num>
  <w:num w:numId="37">
    <w:abstractNumId w:val="24"/>
  </w:num>
  <w:num w:numId="38">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4F6"/>
    <w:rsid w:val="00000790"/>
    <w:rsid w:val="0000110B"/>
    <w:rsid w:val="0000126B"/>
    <w:rsid w:val="00001D73"/>
    <w:rsid w:val="00001F2F"/>
    <w:rsid w:val="00003499"/>
    <w:rsid w:val="00003594"/>
    <w:rsid w:val="000039B7"/>
    <w:rsid w:val="00004AD6"/>
    <w:rsid w:val="000053A1"/>
    <w:rsid w:val="0000571F"/>
    <w:rsid w:val="00010121"/>
    <w:rsid w:val="00010A2E"/>
    <w:rsid w:val="0001107D"/>
    <w:rsid w:val="0001171E"/>
    <w:rsid w:val="00012003"/>
    <w:rsid w:val="000122C4"/>
    <w:rsid w:val="00012384"/>
    <w:rsid w:val="0001254A"/>
    <w:rsid w:val="00013247"/>
    <w:rsid w:val="0001454B"/>
    <w:rsid w:val="000153D1"/>
    <w:rsid w:val="00015886"/>
    <w:rsid w:val="00016059"/>
    <w:rsid w:val="000162EF"/>
    <w:rsid w:val="00016996"/>
    <w:rsid w:val="00017AC1"/>
    <w:rsid w:val="0002055B"/>
    <w:rsid w:val="0002225F"/>
    <w:rsid w:val="00023763"/>
    <w:rsid w:val="00023EF3"/>
    <w:rsid w:val="0002422F"/>
    <w:rsid w:val="00024435"/>
    <w:rsid w:val="00024693"/>
    <w:rsid w:val="0002691E"/>
    <w:rsid w:val="000314E9"/>
    <w:rsid w:val="00031580"/>
    <w:rsid w:val="000318EF"/>
    <w:rsid w:val="00033863"/>
    <w:rsid w:val="00033EAB"/>
    <w:rsid w:val="00035AA5"/>
    <w:rsid w:val="00035AD1"/>
    <w:rsid w:val="00035DC0"/>
    <w:rsid w:val="000366C0"/>
    <w:rsid w:val="00036829"/>
    <w:rsid w:val="00037671"/>
    <w:rsid w:val="00037A9E"/>
    <w:rsid w:val="000401EC"/>
    <w:rsid w:val="00040895"/>
    <w:rsid w:val="00040CF0"/>
    <w:rsid w:val="00041E69"/>
    <w:rsid w:val="00042083"/>
    <w:rsid w:val="000425DB"/>
    <w:rsid w:val="00042A4A"/>
    <w:rsid w:val="00043C37"/>
    <w:rsid w:val="00043EB4"/>
    <w:rsid w:val="00045017"/>
    <w:rsid w:val="00045A2B"/>
    <w:rsid w:val="0004698F"/>
    <w:rsid w:val="000469BB"/>
    <w:rsid w:val="0004727A"/>
    <w:rsid w:val="0004745D"/>
    <w:rsid w:val="00047DF7"/>
    <w:rsid w:val="000507FD"/>
    <w:rsid w:val="00050F9D"/>
    <w:rsid w:val="00051025"/>
    <w:rsid w:val="000539D0"/>
    <w:rsid w:val="00053C6A"/>
    <w:rsid w:val="00053FF4"/>
    <w:rsid w:val="00054621"/>
    <w:rsid w:val="0005468C"/>
    <w:rsid w:val="000546D7"/>
    <w:rsid w:val="00055ACA"/>
    <w:rsid w:val="00056C12"/>
    <w:rsid w:val="00056E8F"/>
    <w:rsid w:val="00060513"/>
    <w:rsid w:val="00065884"/>
    <w:rsid w:val="00065CAB"/>
    <w:rsid w:val="00066360"/>
    <w:rsid w:val="000671DB"/>
    <w:rsid w:val="00067631"/>
    <w:rsid w:val="00071248"/>
    <w:rsid w:val="00071C7A"/>
    <w:rsid w:val="000720B9"/>
    <w:rsid w:val="00072AC0"/>
    <w:rsid w:val="0007301D"/>
    <w:rsid w:val="00073744"/>
    <w:rsid w:val="000737F7"/>
    <w:rsid w:val="000741C6"/>
    <w:rsid w:val="0007672F"/>
    <w:rsid w:val="000774F0"/>
    <w:rsid w:val="00077639"/>
    <w:rsid w:val="0008076A"/>
    <w:rsid w:val="00080909"/>
    <w:rsid w:val="000812CA"/>
    <w:rsid w:val="000814E3"/>
    <w:rsid w:val="0008258D"/>
    <w:rsid w:val="00083E99"/>
    <w:rsid w:val="000848F1"/>
    <w:rsid w:val="00084B60"/>
    <w:rsid w:val="00084C21"/>
    <w:rsid w:val="00085496"/>
    <w:rsid w:val="000856C5"/>
    <w:rsid w:val="00085ED2"/>
    <w:rsid w:val="00086BA8"/>
    <w:rsid w:val="0008772D"/>
    <w:rsid w:val="00090C7E"/>
    <w:rsid w:val="000910DF"/>
    <w:rsid w:val="00092600"/>
    <w:rsid w:val="0009262B"/>
    <w:rsid w:val="000927C6"/>
    <w:rsid w:val="00093310"/>
    <w:rsid w:val="00093AC6"/>
    <w:rsid w:val="00093B24"/>
    <w:rsid w:val="0009445C"/>
    <w:rsid w:val="0009566A"/>
    <w:rsid w:val="00095996"/>
    <w:rsid w:val="00095E2A"/>
    <w:rsid w:val="00095FE5"/>
    <w:rsid w:val="00096284"/>
    <w:rsid w:val="00097CB9"/>
    <w:rsid w:val="00097EDA"/>
    <w:rsid w:val="000A2B6D"/>
    <w:rsid w:val="000A2B99"/>
    <w:rsid w:val="000A2F03"/>
    <w:rsid w:val="000A34D7"/>
    <w:rsid w:val="000A36F9"/>
    <w:rsid w:val="000A47F7"/>
    <w:rsid w:val="000A5D13"/>
    <w:rsid w:val="000A6710"/>
    <w:rsid w:val="000A7B48"/>
    <w:rsid w:val="000A7B70"/>
    <w:rsid w:val="000A7D08"/>
    <w:rsid w:val="000B0670"/>
    <w:rsid w:val="000B095D"/>
    <w:rsid w:val="000B0E75"/>
    <w:rsid w:val="000B18AE"/>
    <w:rsid w:val="000B1B1D"/>
    <w:rsid w:val="000B6BFE"/>
    <w:rsid w:val="000B6CAC"/>
    <w:rsid w:val="000B7612"/>
    <w:rsid w:val="000B76EA"/>
    <w:rsid w:val="000B788D"/>
    <w:rsid w:val="000C1032"/>
    <w:rsid w:val="000C1EA2"/>
    <w:rsid w:val="000C2101"/>
    <w:rsid w:val="000C2F04"/>
    <w:rsid w:val="000C30C9"/>
    <w:rsid w:val="000C3DF9"/>
    <w:rsid w:val="000C4078"/>
    <w:rsid w:val="000C4FAE"/>
    <w:rsid w:val="000C657C"/>
    <w:rsid w:val="000C6713"/>
    <w:rsid w:val="000C716F"/>
    <w:rsid w:val="000D0BC0"/>
    <w:rsid w:val="000D1BFC"/>
    <w:rsid w:val="000D26F5"/>
    <w:rsid w:val="000D281A"/>
    <w:rsid w:val="000D2D52"/>
    <w:rsid w:val="000D326A"/>
    <w:rsid w:val="000D51FB"/>
    <w:rsid w:val="000D6E49"/>
    <w:rsid w:val="000D6EA4"/>
    <w:rsid w:val="000E131A"/>
    <w:rsid w:val="000E135D"/>
    <w:rsid w:val="000E2363"/>
    <w:rsid w:val="000E5528"/>
    <w:rsid w:val="000E5C4C"/>
    <w:rsid w:val="000E5F47"/>
    <w:rsid w:val="000E659F"/>
    <w:rsid w:val="000E71BE"/>
    <w:rsid w:val="000F00BA"/>
    <w:rsid w:val="000F0535"/>
    <w:rsid w:val="000F316A"/>
    <w:rsid w:val="000F3C74"/>
    <w:rsid w:val="000F415A"/>
    <w:rsid w:val="000F44BA"/>
    <w:rsid w:val="000F4BB8"/>
    <w:rsid w:val="000F4CDC"/>
    <w:rsid w:val="000F7127"/>
    <w:rsid w:val="000F736E"/>
    <w:rsid w:val="00100F8A"/>
    <w:rsid w:val="00101354"/>
    <w:rsid w:val="00101647"/>
    <w:rsid w:val="00101CA5"/>
    <w:rsid w:val="00101DA4"/>
    <w:rsid w:val="001029A1"/>
    <w:rsid w:val="00102CD4"/>
    <w:rsid w:val="001053D1"/>
    <w:rsid w:val="0010594C"/>
    <w:rsid w:val="00105AE2"/>
    <w:rsid w:val="00106B80"/>
    <w:rsid w:val="0011032E"/>
    <w:rsid w:val="001114D8"/>
    <w:rsid w:val="00113080"/>
    <w:rsid w:val="0011348B"/>
    <w:rsid w:val="00115982"/>
    <w:rsid w:val="00116C53"/>
    <w:rsid w:val="0011731E"/>
    <w:rsid w:val="00121799"/>
    <w:rsid w:val="001222FC"/>
    <w:rsid w:val="0012408F"/>
    <w:rsid w:val="00124A51"/>
    <w:rsid w:val="00125478"/>
    <w:rsid w:val="00126621"/>
    <w:rsid w:val="00126787"/>
    <w:rsid w:val="00126AD5"/>
    <w:rsid w:val="0012709F"/>
    <w:rsid w:val="0012728F"/>
    <w:rsid w:val="00127B2D"/>
    <w:rsid w:val="00127BDA"/>
    <w:rsid w:val="001301E9"/>
    <w:rsid w:val="001308C5"/>
    <w:rsid w:val="00131318"/>
    <w:rsid w:val="001319C4"/>
    <w:rsid w:val="00131BC8"/>
    <w:rsid w:val="00131D82"/>
    <w:rsid w:val="001320F0"/>
    <w:rsid w:val="00132494"/>
    <w:rsid w:val="0013250A"/>
    <w:rsid w:val="00133D36"/>
    <w:rsid w:val="00134A89"/>
    <w:rsid w:val="00134E0B"/>
    <w:rsid w:val="00136145"/>
    <w:rsid w:val="00137645"/>
    <w:rsid w:val="00137D77"/>
    <w:rsid w:val="0014015A"/>
    <w:rsid w:val="00140E99"/>
    <w:rsid w:val="00142E7D"/>
    <w:rsid w:val="00143CD4"/>
    <w:rsid w:val="00145540"/>
    <w:rsid w:val="001456B0"/>
    <w:rsid w:val="00145D1C"/>
    <w:rsid w:val="00150230"/>
    <w:rsid w:val="00150749"/>
    <w:rsid w:val="00150A45"/>
    <w:rsid w:val="00152930"/>
    <w:rsid w:val="00154542"/>
    <w:rsid w:val="00157130"/>
    <w:rsid w:val="001576B1"/>
    <w:rsid w:val="00157C21"/>
    <w:rsid w:val="00160804"/>
    <w:rsid w:val="00160A4C"/>
    <w:rsid w:val="00162913"/>
    <w:rsid w:val="00163EFF"/>
    <w:rsid w:val="001661FB"/>
    <w:rsid w:val="0017015F"/>
    <w:rsid w:val="00171096"/>
    <w:rsid w:val="00171EBD"/>
    <w:rsid w:val="00172808"/>
    <w:rsid w:val="00173565"/>
    <w:rsid w:val="00173629"/>
    <w:rsid w:val="00173B07"/>
    <w:rsid w:val="0017653B"/>
    <w:rsid w:val="00180E1C"/>
    <w:rsid w:val="00181387"/>
    <w:rsid w:val="00181D9C"/>
    <w:rsid w:val="001826DE"/>
    <w:rsid w:val="00183EC2"/>
    <w:rsid w:val="0018568D"/>
    <w:rsid w:val="00186532"/>
    <w:rsid w:val="0018752F"/>
    <w:rsid w:val="001923D1"/>
    <w:rsid w:val="00192BAE"/>
    <w:rsid w:val="00192E9F"/>
    <w:rsid w:val="00194574"/>
    <w:rsid w:val="00194734"/>
    <w:rsid w:val="00195222"/>
    <w:rsid w:val="001957C4"/>
    <w:rsid w:val="00195CED"/>
    <w:rsid w:val="0019733C"/>
    <w:rsid w:val="001975D8"/>
    <w:rsid w:val="001A2290"/>
    <w:rsid w:val="001A3F45"/>
    <w:rsid w:val="001A412B"/>
    <w:rsid w:val="001A43FA"/>
    <w:rsid w:val="001A59FB"/>
    <w:rsid w:val="001A5ABA"/>
    <w:rsid w:val="001A6354"/>
    <w:rsid w:val="001A64B0"/>
    <w:rsid w:val="001A7AE8"/>
    <w:rsid w:val="001B027C"/>
    <w:rsid w:val="001B02B9"/>
    <w:rsid w:val="001B07AE"/>
    <w:rsid w:val="001B204E"/>
    <w:rsid w:val="001B23C3"/>
    <w:rsid w:val="001B333F"/>
    <w:rsid w:val="001B3443"/>
    <w:rsid w:val="001B357B"/>
    <w:rsid w:val="001B4680"/>
    <w:rsid w:val="001B4A9B"/>
    <w:rsid w:val="001B4D20"/>
    <w:rsid w:val="001B5147"/>
    <w:rsid w:val="001B7C3B"/>
    <w:rsid w:val="001C2A9B"/>
    <w:rsid w:val="001C3163"/>
    <w:rsid w:val="001C4299"/>
    <w:rsid w:val="001C5F94"/>
    <w:rsid w:val="001C6B34"/>
    <w:rsid w:val="001C6E66"/>
    <w:rsid w:val="001C764C"/>
    <w:rsid w:val="001D0716"/>
    <w:rsid w:val="001D0E15"/>
    <w:rsid w:val="001D4666"/>
    <w:rsid w:val="001D46A9"/>
    <w:rsid w:val="001E04A8"/>
    <w:rsid w:val="001E238E"/>
    <w:rsid w:val="001E23C8"/>
    <w:rsid w:val="001E2483"/>
    <w:rsid w:val="001E2B1E"/>
    <w:rsid w:val="001E30D4"/>
    <w:rsid w:val="001E41C2"/>
    <w:rsid w:val="001E423B"/>
    <w:rsid w:val="001E52EB"/>
    <w:rsid w:val="001E5902"/>
    <w:rsid w:val="001E61D2"/>
    <w:rsid w:val="001E639B"/>
    <w:rsid w:val="001E6619"/>
    <w:rsid w:val="001E740C"/>
    <w:rsid w:val="001E7A9A"/>
    <w:rsid w:val="001E7F5E"/>
    <w:rsid w:val="001F0286"/>
    <w:rsid w:val="001F0BA8"/>
    <w:rsid w:val="001F1235"/>
    <w:rsid w:val="001F1CB3"/>
    <w:rsid w:val="001F38B5"/>
    <w:rsid w:val="001F5D46"/>
    <w:rsid w:val="001F7361"/>
    <w:rsid w:val="001F73B6"/>
    <w:rsid w:val="002011B0"/>
    <w:rsid w:val="002018C9"/>
    <w:rsid w:val="00202151"/>
    <w:rsid w:val="00203151"/>
    <w:rsid w:val="00203181"/>
    <w:rsid w:val="00203783"/>
    <w:rsid w:val="0020385F"/>
    <w:rsid w:val="002039A0"/>
    <w:rsid w:val="00204CDF"/>
    <w:rsid w:val="002051C8"/>
    <w:rsid w:val="00206832"/>
    <w:rsid w:val="00207021"/>
    <w:rsid w:val="0020732F"/>
    <w:rsid w:val="002078CE"/>
    <w:rsid w:val="00207D00"/>
    <w:rsid w:val="002105C1"/>
    <w:rsid w:val="002109A6"/>
    <w:rsid w:val="00211335"/>
    <w:rsid w:val="00211FF5"/>
    <w:rsid w:val="00212DC0"/>
    <w:rsid w:val="00212F67"/>
    <w:rsid w:val="002166D2"/>
    <w:rsid w:val="00216A4A"/>
    <w:rsid w:val="00216C80"/>
    <w:rsid w:val="002178C5"/>
    <w:rsid w:val="00217D3F"/>
    <w:rsid w:val="00220B42"/>
    <w:rsid w:val="002226C4"/>
    <w:rsid w:val="00222A5D"/>
    <w:rsid w:val="0022355C"/>
    <w:rsid w:val="00223B49"/>
    <w:rsid w:val="00224DD4"/>
    <w:rsid w:val="00225619"/>
    <w:rsid w:val="002274BB"/>
    <w:rsid w:val="002307B3"/>
    <w:rsid w:val="0023081C"/>
    <w:rsid w:val="002309CC"/>
    <w:rsid w:val="00230E57"/>
    <w:rsid w:val="00231A24"/>
    <w:rsid w:val="0023209F"/>
    <w:rsid w:val="00232F5D"/>
    <w:rsid w:val="00234A23"/>
    <w:rsid w:val="00235CFE"/>
    <w:rsid w:val="0023629D"/>
    <w:rsid w:val="00236E24"/>
    <w:rsid w:val="00237255"/>
    <w:rsid w:val="002379A7"/>
    <w:rsid w:val="00240B13"/>
    <w:rsid w:val="002424AF"/>
    <w:rsid w:val="00243891"/>
    <w:rsid w:val="002439DC"/>
    <w:rsid w:val="00244937"/>
    <w:rsid w:val="00244DC8"/>
    <w:rsid w:val="002458BA"/>
    <w:rsid w:val="002460BD"/>
    <w:rsid w:val="0024636C"/>
    <w:rsid w:val="00246B05"/>
    <w:rsid w:val="00247925"/>
    <w:rsid w:val="002502F6"/>
    <w:rsid w:val="00252EBD"/>
    <w:rsid w:val="0025382C"/>
    <w:rsid w:val="00254583"/>
    <w:rsid w:val="00254DCF"/>
    <w:rsid w:val="0025534B"/>
    <w:rsid w:val="00255AC7"/>
    <w:rsid w:val="00255BB7"/>
    <w:rsid w:val="00255DD8"/>
    <w:rsid w:val="00257541"/>
    <w:rsid w:val="00262A1A"/>
    <w:rsid w:val="00262A87"/>
    <w:rsid w:val="00264D26"/>
    <w:rsid w:val="00267642"/>
    <w:rsid w:val="00267AEA"/>
    <w:rsid w:val="002700E6"/>
    <w:rsid w:val="002710E6"/>
    <w:rsid w:val="00271563"/>
    <w:rsid w:val="002715C5"/>
    <w:rsid w:val="0027294B"/>
    <w:rsid w:val="00272BFF"/>
    <w:rsid w:val="00274D3F"/>
    <w:rsid w:val="00275C5A"/>
    <w:rsid w:val="00276480"/>
    <w:rsid w:val="0028004F"/>
    <w:rsid w:val="00281014"/>
    <w:rsid w:val="002818F7"/>
    <w:rsid w:val="00283145"/>
    <w:rsid w:val="00283598"/>
    <w:rsid w:val="00283BE7"/>
    <w:rsid w:val="00283C48"/>
    <w:rsid w:val="0028435C"/>
    <w:rsid w:val="00284396"/>
    <w:rsid w:val="00284537"/>
    <w:rsid w:val="00287717"/>
    <w:rsid w:val="00287F14"/>
    <w:rsid w:val="00292A7B"/>
    <w:rsid w:val="0029347C"/>
    <w:rsid w:val="00293E35"/>
    <w:rsid w:val="002945C2"/>
    <w:rsid w:val="002952A6"/>
    <w:rsid w:val="002A1299"/>
    <w:rsid w:val="002A14AB"/>
    <w:rsid w:val="002A2F50"/>
    <w:rsid w:val="002A3E1E"/>
    <w:rsid w:val="002A441A"/>
    <w:rsid w:val="002A5B38"/>
    <w:rsid w:val="002A6552"/>
    <w:rsid w:val="002A6CB4"/>
    <w:rsid w:val="002A6D87"/>
    <w:rsid w:val="002A7910"/>
    <w:rsid w:val="002B09A4"/>
    <w:rsid w:val="002B1281"/>
    <w:rsid w:val="002B1C1F"/>
    <w:rsid w:val="002B432F"/>
    <w:rsid w:val="002B5257"/>
    <w:rsid w:val="002B62B3"/>
    <w:rsid w:val="002B6754"/>
    <w:rsid w:val="002B680D"/>
    <w:rsid w:val="002B6CCE"/>
    <w:rsid w:val="002B6E1B"/>
    <w:rsid w:val="002B79CC"/>
    <w:rsid w:val="002C2510"/>
    <w:rsid w:val="002C2775"/>
    <w:rsid w:val="002C27C1"/>
    <w:rsid w:val="002C2B0B"/>
    <w:rsid w:val="002C5099"/>
    <w:rsid w:val="002C5657"/>
    <w:rsid w:val="002C5889"/>
    <w:rsid w:val="002C61B5"/>
    <w:rsid w:val="002C64CB"/>
    <w:rsid w:val="002C6D4C"/>
    <w:rsid w:val="002C71CE"/>
    <w:rsid w:val="002D0737"/>
    <w:rsid w:val="002D280B"/>
    <w:rsid w:val="002D3C04"/>
    <w:rsid w:val="002D577C"/>
    <w:rsid w:val="002D60ED"/>
    <w:rsid w:val="002D6C75"/>
    <w:rsid w:val="002D6C83"/>
    <w:rsid w:val="002D7121"/>
    <w:rsid w:val="002D726B"/>
    <w:rsid w:val="002E140D"/>
    <w:rsid w:val="002E15B9"/>
    <w:rsid w:val="002E16DB"/>
    <w:rsid w:val="002E2158"/>
    <w:rsid w:val="002E26C7"/>
    <w:rsid w:val="002E2F1F"/>
    <w:rsid w:val="002E723A"/>
    <w:rsid w:val="002E76CF"/>
    <w:rsid w:val="002E7722"/>
    <w:rsid w:val="002E7A3C"/>
    <w:rsid w:val="002F07BA"/>
    <w:rsid w:val="002F0DA9"/>
    <w:rsid w:val="002F1BD2"/>
    <w:rsid w:val="002F2567"/>
    <w:rsid w:val="002F318C"/>
    <w:rsid w:val="002F643C"/>
    <w:rsid w:val="002F71C0"/>
    <w:rsid w:val="002F7675"/>
    <w:rsid w:val="00300E63"/>
    <w:rsid w:val="00301017"/>
    <w:rsid w:val="0030155F"/>
    <w:rsid w:val="00301BD5"/>
    <w:rsid w:val="00302CC6"/>
    <w:rsid w:val="003031FC"/>
    <w:rsid w:val="003054CF"/>
    <w:rsid w:val="0030587B"/>
    <w:rsid w:val="00306B6A"/>
    <w:rsid w:val="00306D98"/>
    <w:rsid w:val="0030786C"/>
    <w:rsid w:val="0031029B"/>
    <w:rsid w:val="0031031A"/>
    <w:rsid w:val="00310499"/>
    <w:rsid w:val="00310511"/>
    <w:rsid w:val="00310981"/>
    <w:rsid w:val="00311AE3"/>
    <w:rsid w:val="003121BA"/>
    <w:rsid w:val="00312DD7"/>
    <w:rsid w:val="003132A2"/>
    <w:rsid w:val="00315498"/>
    <w:rsid w:val="00316BBD"/>
    <w:rsid w:val="0031759E"/>
    <w:rsid w:val="00321286"/>
    <w:rsid w:val="00322107"/>
    <w:rsid w:val="00322846"/>
    <w:rsid w:val="00324175"/>
    <w:rsid w:val="00324DF8"/>
    <w:rsid w:val="00325833"/>
    <w:rsid w:val="00326884"/>
    <w:rsid w:val="00326DA7"/>
    <w:rsid w:val="003270E4"/>
    <w:rsid w:val="0033056D"/>
    <w:rsid w:val="00330F5C"/>
    <w:rsid w:val="00332F8E"/>
    <w:rsid w:val="003334A1"/>
    <w:rsid w:val="00333580"/>
    <w:rsid w:val="00334971"/>
    <w:rsid w:val="0033568A"/>
    <w:rsid w:val="003366C9"/>
    <w:rsid w:val="003371B0"/>
    <w:rsid w:val="00340173"/>
    <w:rsid w:val="00340DF1"/>
    <w:rsid w:val="00341930"/>
    <w:rsid w:val="0034266F"/>
    <w:rsid w:val="00342ED0"/>
    <w:rsid w:val="00343F39"/>
    <w:rsid w:val="00346085"/>
    <w:rsid w:val="0035030F"/>
    <w:rsid w:val="00350619"/>
    <w:rsid w:val="00351315"/>
    <w:rsid w:val="003517F9"/>
    <w:rsid w:val="00352224"/>
    <w:rsid w:val="00352784"/>
    <w:rsid w:val="00353A90"/>
    <w:rsid w:val="003553A5"/>
    <w:rsid w:val="003555B7"/>
    <w:rsid w:val="0035620E"/>
    <w:rsid w:val="00356254"/>
    <w:rsid w:val="00360442"/>
    <w:rsid w:val="003624C4"/>
    <w:rsid w:val="003628EB"/>
    <w:rsid w:val="003636E6"/>
    <w:rsid w:val="003638B9"/>
    <w:rsid w:val="003654AC"/>
    <w:rsid w:val="003659FE"/>
    <w:rsid w:val="00365B86"/>
    <w:rsid w:val="00365EBF"/>
    <w:rsid w:val="00367454"/>
    <w:rsid w:val="003710CF"/>
    <w:rsid w:val="00371D26"/>
    <w:rsid w:val="00371F35"/>
    <w:rsid w:val="00372414"/>
    <w:rsid w:val="00372E11"/>
    <w:rsid w:val="0037358A"/>
    <w:rsid w:val="003750F6"/>
    <w:rsid w:val="00376066"/>
    <w:rsid w:val="003760FC"/>
    <w:rsid w:val="00376783"/>
    <w:rsid w:val="0038075A"/>
    <w:rsid w:val="0038204D"/>
    <w:rsid w:val="003827BC"/>
    <w:rsid w:val="0038365C"/>
    <w:rsid w:val="0038369B"/>
    <w:rsid w:val="00383B78"/>
    <w:rsid w:val="003846ED"/>
    <w:rsid w:val="00385A9D"/>
    <w:rsid w:val="00386D9A"/>
    <w:rsid w:val="003902B1"/>
    <w:rsid w:val="00390772"/>
    <w:rsid w:val="00391516"/>
    <w:rsid w:val="00391531"/>
    <w:rsid w:val="00392287"/>
    <w:rsid w:val="00392A6E"/>
    <w:rsid w:val="00394E54"/>
    <w:rsid w:val="0039596D"/>
    <w:rsid w:val="003965E5"/>
    <w:rsid w:val="00396896"/>
    <w:rsid w:val="00396FD0"/>
    <w:rsid w:val="003A1333"/>
    <w:rsid w:val="003A1A7A"/>
    <w:rsid w:val="003A2392"/>
    <w:rsid w:val="003A2831"/>
    <w:rsid w:val="003A2A5C"/>
    <w:rsid w:val="003A3B9B"/>
    <w:rsid w:val="003A3ED1"/>
    <w:rsid w:val="003A458C"/>
    <w:rsid w:val="003A643E"/>
    <w:rsid w:val="003B4223"/>
    <w:rsid w:val="003B4B86"/>
    <w:rsid w:val="003B5911"/>
    <w:rsid w:val="003B5B61"/>
    <w:rsid w:val="003B6124"/>
    <w:rsid w:val="003B731B"/>
    <w:rsid w:val="003B78EA"/>
    <w:rsid w:val="003C124F"/>
    <w:rsid w:val="003C1654"/>
    <w:rsid w:val="003C190F"/>
    <w:rsid w:val="003C2577"/>
    <w:rsid w:val="003C297C"/>
    <w:rsid w:val="003C3842"/>
    <w:rsid w:val="003C3AB2"/>
    <w:rsid w:val="003C60F8"/>
    <w:rsid w:val="003C69F3"/>
    <w:rsid w:val="003C753B"/>
    <w:rsid w:val="003C7D19"/>
    <w:rsid w:val="003D1568"/>
    <w:rsid w:val="003D16D8"/>
    <w:rsid w:val="003D1828"/>
    <w:rsid w:val="003D19D7"/>
    <w:rsid w:val="003D1DE4"/>
    <w:rsid w:val="003D2422"/>
    <w:rsid w:val="003D34A3"/>
    <w:rsid w:val="003D39A1"/>
    <w:rsid w:val="003D3DFF"/>
    <w:rsid w:val="003D3FBF"/>
    <w:rsid w:val="003D4282"/>
    <w:rsid w:val="003D4942"/>
    <w:rsid w:val="003D4A30"/>
    <w:rsid w:val="003D4DDE"/>
    <w:rsid w:val="003D5842"/>
    <w:rsid w:val="003D79BB"/>
    <w:rsid w:val="003D7C98"/>
    <w:rsid w:val="003E0543"/>
    <w:rsid w:val="003E23DA"/>
    <w:rsid w:val="003E3743"/>
    <w:rsid w:val="003E38F3"/>
    <w:rsid w:val="003E513F"/>
    <w:rsid w:val="003E62B6"/>
    <w:rsid w:val="003E6AAD"/>
    <w:rsid w:val="003F0A6F"/>
    <w:rsid w:val="003F16BB"/>
    <w:rsid w:val="003F16E5"/>
    <w:rsid w:val="003F2361"/>
    <w:rsid w:val="003F28BB"/>
    <w:rsid w:val="003F4156"/>
    <w:rsid w:val="003F5F7C"/>
    <w:rsid w:val="003F7451"/>
    <w:rsid w:val="003F7AE6"/>
    <w:rsid w:val="00400B29"/>
    <w:rsid w:val="00402DF8"/>
    <w:rsid w:val="00402E42"/>
    <w:rsid w:val="0040504B"/>
    <w:rsid w:val="004062E5"/>
    <w:rsid w:val="00410708"/>
    <w:rsid w:val="00410EC7"/>
    <w:rsid w:val="004115D5"/>
    <w:rsid w:val="00411B39"/>
    <w:rsid w:val="00413A1E"/>
    <w:rsid w:val="00414476"/>
    <w:rsid w:val="00414C2E"/>
    <w:rsid w:val="004151CF"/>
    <w:rsid w:val="00415DB3"/>
    <w:rsid w:val="00416364"/>
    <w:rsid w:val="00416D60"/>
    <w:rsid w:val="0041730E"/>
    <w:rsid w:val="00420AA6"/>
    <w:rsid w:val="00420B9F"/>
    <w:rsid w:val="00422260"/>
    <w:rsid w:val="004227F9"/>
    <w:rsid w:val="00422A92"/>
    <w:rsid w:val="00422F98"/>
    <w:rsid w:val="0042413F"/>
    <w:rsid w:val="00425D4B"/>
    <w:rsid w:val="004265BF"/>
    <w:rsid w:val="00427089"/>
    <w:rsid w:val="00427548"/>
    <w:rsid w:val="004278BC"/>
    <w:rsid w:val="004319F8"/>
    <w:rsid w:val="00431A02"/>
    <w:rsid w:val="00431E55"/>
    <w:rsid w:val="004321F6"/>
    <w:rsid w:val="00433044"/>
    <w:rsid w:val="004375B9"/>
    <w:rsid w:val="00437A30"/>
    <w:rsid w:val="004428D0"/>
    <w:rsid w:val="004429DB"/>
    <w:rsid w:val="004443A7"/>
    <w:rsid w:val="0044442C"/>
    <w:rsid w:val="00445564"/>
    <w:rsid w:val="00445941"/>
    <w:rsid w:val="00445A40"/>
    <w:rsid w:val="004464EB"/>
    <w:rsid w:val="00446974"/>
    <w:rsid w:val="00447D26"/>
    <w:rsid w:val="00452795"/>
    <w:rsid w:val="004549D1"/>
    <w:rsid w:val="00455D45"/>
    <w:rsid w:val="00461264"/>
    <w:rsid w:val="004612C7"/>
    <w:rsid w:val="0046371B"/>
    <w:rsid w:val="00464595"/>
    <w:rsid w:val="00464B09"/>
    <w:rsid w:val="00467E64"/>
    <w:rsid w:val="00471AD4"/>
    <w:rsid w:val="00471F34"/>
    <w:rsid w:val="004722A9"/>
    <w:rsid w:val="00472A79"/>
    <w:rsid w:val="00473F19"/>
    <w:rsid w:val="004756B1"/>
    <w:rsid w:val="00475E22"/>
    <w:rsid w:val="004761A9"/>
    <w:rsid w:val="0048088E"/>
    <w:rsid w:val="0048184B"/>
    <w:rsid w:val="00482720"/>
    <w:rsid w:val="00482D31"/>
    <w:rsid w:val="004835E7"/>
    <w:rsid w:val="004844AE"/>
    <w:rsid w:val="0048655F"/>
    <w:rsid w:val="004867E2"/>
    <w:rsid w:val="00491361"/>
    <w:rsid w:val="00491B3A"/>
    <w:rsid w:val="00492CFD"/>
    <w:rsid w:val="00492DBF"/>
    <w:rsid w:val="004943A2"/>
    <w:rsid w:val="00494DD5"/>
    <w:rsid w:val="00494F88"/>
    <w:rsid w:val="00495A27"/>
    <w:rsid w:val="004962D2"/>
    <w:rsid w:val="00496A9E"/>
    <w:rsid w:val="004973AC"/>
    <w:rsid w:val="004A0DA1"/>
    <w:rsid w:val="004A17BB"/>
    <w:rsid w:val="004A1A5B"/>
    <w:rsid w:val="004A3C89"/>
    <w:rsid w:val="004A4271"/>
    <w:rsid w:val="004A454A"/>
    <w:rsid w:val="004A52E9"/>
    <w:rsid w:val="004A6597"/>
    <w:rsid w:val="004A65A9"/>
    <w:rsid w:val="004A7037"/>
    <w:rsid w:val="004A77A7"/>
    <w:rsid w:val="004A7848"/>
    <w:rsid w:val="004B018F"/>
    <w:rsid w:val="004B1CB4"/>
    <w:rsid w:val="004B2F18"/>
    <w:rsid w:val="004B3DDB"/>
    <w:rsid w:val="004B44FD"/>
    <w:rsid w:val="004B4E4F"/>
    <w:rsid w:val="004B5253"/>
    <w:rsid w:val="004B5CFC"/>
    <w:rsid w:val="004B774D"/>
    <w:rsid w:val="004C03DE"/>
    <w:rsid w:val="004C248D"/>
    <w:rsid w:val="004C2C61"/>
    <w:rsid w:val="004C4AED"/>
    <w:rsid w:val="004C6530"/>
    <w:rsid w:val="004C658C"/>
    <w:rsid w:val="004C66A1"/>
    <w:rsid w:val="004C7528"/>
    <w:rsid w:val="004C778E"/>
    <w:rsid w:val="004C7950"/>
    <w:rsid w:val="004C7FB8"/>
    <w:rsid w:val="004D03FA"/>
    <w:rsid w:val="004D0D86"/>
    <w:rsid w:val="004D2C2D"/>
    <w:rsid w:val="004D7227"/>
    <w:rsid w:val="004E08FE"/>
    <w:rsid w:val="004E0E7F"/>
    <w:rsid w:val="004E0EB8"/>
    <w:rsid w:val="004E2ADC"/>
    <w:rsid w:val="004E43B2"/>
    <w:rsid w:val="004E66B3"/>
    <w:rsid w:val="004E781F"/>
    <w:rsid w:val="004F199B"/>
    <w:rsid w:val="004F1D02"/>
    <w:rsid w:val="004F220D"/>
    <w:rsid w:val="004F2679"/>
    <w:rsid w:val="004F2F21"/>
    <w:rsid w:val="004F350A"/>
    <w:rsid w:val="004F5B33"/>
    <w:rsid w:val="004F5F3A"/>
    <w:rsid w:val="004F5F62"/>
    <w:rsid w:val="004F6478"/>
    <w:rsid w:val="004F6913"/>
    <w:rsid w:val="004F7865"/>
    <w:rsid w:val="004F7D08"/>
    <w:rsid w:val="004F7FF8"/>
    <w:rsid w:val="00500851"/>
    <w:rsid w:val="00500FDD"/>
    <w:rsid w:val="005020E1"/>
    <w:rsid w:val="0050219B"/>
    <w:rsid w:val="00502328"/>
    <w:rsid w:val="00503BDE"/>
    <w:rsid w:val="00503F17"/>
    <w:rsid w:val="00505792"/>
    <w:rsid w:val="00505E0A"/>
    <w:rsid w:val="00506928"/>
    <w:rsid w:val="0050713A"/>
    <w:rsid w:val="00507BFB"/>
    <w:rsid w:val="00507F24"/>
    <w:rsid w:val="0051002D"/>
    <w:rsid w:val="005108D1"/>
    <w:rsid w:val="005134FE"/>
    <w:rsid w:val="00513B06"/>
    <w:rsid w:val="00515186"/>
    <w:rsid w:val="005152B5"/>
    <w:rsid w:val="00515646"/>
    <w:rsid w:val="00515BD0"/>
    <w:rsid w:val="00520EA8"/>
    <w:rsid w:val="00521319"/>
    <w:rsid w:val="00522BC8"/>
    <w:rsid w:val="00523C28"/>
    <w:rsid w:val="005257E1"/>
    <w:rsid w:val="005276A3"/>
    <w:rsid w:val="00530963"/>
    <w:rsid w:val="00530A18"/>
    <w:rsid w:val="00532B1B"/>
    <w:rsid w:val="00534334"/>
    <w:rsid w:val="00534D86"/>
    <w:rsid w:val="00535ECD"/>
    <w:rsid w:val="00536F42"/>
    <w:rsid w:val="00537054"/>
    <w:rsid w:val="00537182"/>
    <w:rsid w:val="0054206B"/>
    <w:rsid w:val="00542410"/>
    <w:rsid w:val="00542743"/>
    <w:rsid w:val="00542C2D"/>
    <w:rsid w:val="00542D48"/>
    <w:rsid w:val="0054355F"/>
    <w:rsid w:val="00545091"/>
    <w:rsid w:val="00546087"/>
    <w:rsid w:val="00550944"/>
    <w:rsid w:val="005512FA"/>
    <w:rsid w:val="005514A5"/>
    <w:rsid w:val="00551985"/>
    <w:rsid w:val="00552B44"/>
    <w:rsid w:val="00552B83"/>
    <w:rsid w:val="00552BD3"/>
    <w:rsid w:val="005536BA"/>
    <w:rsid w:val="00553D1F"/>
    <w:rsid w:val="00555109"/>
    <w:rsid w:val="005563BF"/>
    <w:rsid w:val="00557CA1"/>
    <w:rsid w:val="00561C65"/>
    <w:rsid w:val="00562C9B"/>
    <w:rsid w:val="00563284"/>
    <w:rsid w:val="00565D0B"/>
    <w:rsid w:val="0056696F"/>
    <w:rsid w:val="00571A30"/>
    <w:rsid w:val="00572269"/>
    <w:rsid w:val="0057244A"/>
    <w:rsid w:val="00573350"/>
    <w:rsid w:val="00575D8D"/>
    <w:rsid w:val="00576097"/>
    <w:rsid w:val="00576972"/>
    <w:rsid w:val="005779CB"/>
    <w:rsid w:val="00581ACD"/>
    <w:rsid w:val="00582E9D"/>
    <w:rsid w:val="00583699"/>
    <w:rsid w:val="00585CDD"/>
    <w:rsid w:val="00585DFA"/>
    <w:rsid w:val="005864BE"/>
    <w:rsid w:val="00587058"/>
    <w:rsid w:val="005877CA"/>
    <w:rsid w:val="0059010E"/>
    <w:rsid w:val="00591957"/>
    <w:rsid w:val="005919A5"/>
    <w:rsid w:val="005937CD"/>
    <w:rsid w:val="0059561B"/>
    <w:rsid w:val="00597BF9"/>
    <w:rsid w:val="00597F35"/>
    <w:rsid w:val="005A1386"/>
    <w:rsid w:val="005A1F03"/>
    <w:rsid w:val="005A373D"/>
    <w:rsid w:val="005A3EAC"/>
    <w:rsid w:val="005A5D55"/>
    <w:rsid w:val="005A6E66"/>
    <w:rsid w:val="005B0472"/>
    <w:rsid w:val="005B0863"/>
    <w:rsid w:val="005B1C5B"/>
    <w:rsid w:val="005B3715"/>
    <w:rsid w:val="005B4E31"/>
    <w:rsid w:val="005B529A"/>
    <w:rsid w:val="005B56C2"/>
    <w:rsid w:val="005B5857"/>
    <w:rsid w:val="005B61DD"/>
    <w:rsid w:val="005B76A6"/>
    <w:rsid w:val="005B7EB7"/>
    <w:rsid w:val="005C1B83"/>
    <w:rsid w:val="005C2092"/>
    <w:rsid w:val="005C2D55"/>
    <w:rsid w:val="005C346B"/>
    <w:rsid w:val="005C3BDA"/>
    <w:rsid w:val="005C65B5"/>
    <w:rsid w:val="005C72E2"/>
    <w:rsid w:val="005D044D"/>
    <w:rsid w:val="005D09A8"/>
    <w:rsid w:val="005D0ABD"/>
    <w:rsid w:val="005D18AD"/>
    <w:rsid w:val="005D26B4"/>
    <w:rsid w:val="005D2926"/>
    <w:rsid w:val="005D4133"/>
    <w:rsid w:val="005D5D74"/>
    <w:rsid w:val="005D68D2"/>
    <w:rsid w:val="005D7A1B"/>
    <w:rsid w:val="005E2217"/>
    <w:rsid w:val="005E305E"/>
    <w:rsid w:val="005E4D52"/>
    <w:rsid w:val="005E6BAA"/>
    <w:rsid w:val="005E6CBC"/>
    <w:rsid w:val="005E73C0"/>
    <w:rsid w:val="005F0D44"/>
    <w:rsid w:val="005F2706"/>
    <w:rsid w:val="005F49E2"/>
    <w:rsid w:val="005F4AE2"/>
    <w:rsid w:val="005F6A8F"/>
    <w:rsid w:val="005F7279"/>
    <w:rsid w:val="00600B10"/>
    <w:rsid w:val="006013E0"/>
    <w:rsid w:val="00602325"/>
    <w:rsid w:val="00603DB9"/>
    <w:rsid w:val="006051FC"/>
    <w:rsid w:val="006063B5"/>
    <w:rsid w:val="00607669"/>
    <w:rsid w:val="00607AFD"/>
    <w:rsid w:val="00610075"/>
    <w:rsid w:val="006112FA"/>
    <w:rsid w:val="00611FCA"/>
    <w:rsid w:val="006121C4"/>
    <w:rsid w:val="00612DB6"/>
    <w:rsid w:val="00612F97"/>
    <w:rsid w:val="0061345D"/>
    <w:rsid w:val="00615428"/>
    <w:rsid w:val="00616802"/>
    <w:rsid w:val="006178A8"/>
    <w:rsid w:val="00617E12"/>
    <w:rsid w:val="00621477"/>
    <w:rsid w:val="00621E32"/>
    <w:rsid w:val="00621F7E"/>
    <w:rsid w:val="00622BFC"/>
    <w:rsid w:val="00623BFD"/>
    <w:rsid w:val="00624691"/>
    <w:rsid w:val="00625663"/>
    <w:rsid w:val="0062611A"/>
    <w:rsid w:val="00626FAD"/>
    <w:rsid w:val="00627891"/>
    <w:rsid w:val="00627D71"/>
    <w:rsid w:val="0063066A"/>
    <w:rsid w:val="006313F7"/>
    <w:rsid w:val="0063158F"/>
    <w:rsid w:val="006319BA"/>
    <w:rsid w:val="00631D6B"/>
    <w:rsid w:val="0063307F"/>
    <w:rsid w:val="006330A1"/>
    <w:rsid w:val="0063479F"/>
    <w:rsid w:val="006353F0"/>
    <w:rsid w:val="006359E5"/>
    <w:rsid w:val="006364A1"/>
    <w:rsid w:val="00637BFD"/>
    <w:rsid w:val="0064037E"/>
    <w:rsid w:val="00641C4E"/>
    <w:rsid w:val="006471CC"/>
    <w:rsid w:val="006472CE"/>
    <w:rsid w:val="0065079F"/>
    <w:rsid w:val="00651CD7"/>
    <w:rsid w:val="006531AF"/>
    <w:rsid w:val="00653747"/>
    <w:rsid w:val="0065379F"/>
    <w:rsid w:val="0065393F"/>
    <w:rsid w:val="0065408F"/>
    <w:rsid w:val="006575A1"/>
    <w:rsid w:val="00661749"/>
    <w:rsid w:val="00661B77"/>
    <w:rsid w:val="00661C6B"/>
    <w:rsid w:val="00661D2D"/>
    <w:rsid w:val="00663EE1"/>
    <w:rsid w:val="00664992"/>
    <w:rsid w:val="00665CFB"/>
    <w:rsid w:val="006667B6"/>
    <w:rsid w:val="00666F8C"/>
    <w:rsid w:val="00667103"/>
    <w:rsid w:val="0066731F"/>
    <w:rsid w:val="00667A2B"/>
    <w:rsid w:val="00670D63"/>
    <w:rsid w:val="00671BC9"/>
    <w:rsid w:val="00671C81"/>
    <w:rsid w:val="0067260A"/>
    <w:rsid w:val="00674E42"/>
    <w:rsid w:val="00674F75"/>
    <w:rsid w:val="0067528C"/>
    <w:rsid w:val="00675A30"/>
    <w:rsid w:val="00676635"/>
    <w:rsid w:val="0068029F"/>
    <w:rsid w:val="00680A48"/>
    <w:rsid w:val="00681AC8"/>
    <w:rsid w:val="00682112"/>
    <w:rsid w:val="00682DD1"/>
    <w:rsid w:val="006830D4"/>
    <w:rsid w:val="0068392C"/>
    <w:rsid w:val="00683B8C"/>
    <w:rsid w:val="00684354"/>
    <w:rsid w:val="006855ED"/>
    <w:rsid w:val="00686191"/>
    <w:rsid w:val="00686957"/>
    <w:rsid w:val="006872BA"/>
    <w:rsid w:val="00691648"/>
    <w:rsid w:val="006917D7"/>
    <w:rsid w:val="006940B6"/>
    <w:rsid w:val="00694F44"/>
    <w:rsid w:val="006956E9"/>
    <w:rsid w:val="0069593E"/>
    <w:rsid w:val="00697AD3"/>
    <w:rsid w:val="006A088A"/>
    <w:rsid w:val="006A1961"/>
    <w:rsid w:val="006A22E4"/>
    <w:rsid w:val="006A289B"/>
    <w:rsid w:val="006A2F91"/>
    <w:rsid w:val="006A3689"/>
    <w:rsid w:val="006A5443"/>
    <w:rsid w:val="006A7239"/>
    <w:rsid w:val="006A7E5F"/>
    <w:rsid w:val="006B03D4"/>
    <w:rsid w:val="006B261B"/>
    <w:rsid w:val="006B2C90"/>
    <w:rsid w:val="006B499E"/>
    <w:rsid w:val="006B4C37"/>
    <w:rsid w:val="006B6DD0"/>
    <w:rsid w:val="006B7840"/>
    <w:rsid w:val="006B7F07"/>
    <w:rsid w:val="006C10A3"/>
    <w:rsid w:val="006C23E4"/>
    <w:rsid w:val="006C2A8E"/>
    <w:rsid w:val="006C6AA1"/>
    <w:rsid w:val="006C70EC"/>
    <w:rsid w:val="006D1AA4"/>
    <w:rsid w:val="006D1FDA"/>
    <w:rsid w:val="006D2224"/>
    <w:rsid w:val="006D3C7D"/>
    <w:rsid w:val="006D42FC"/>
    <w:rsid w:val="006D5D5F"/>
    <w:rsid w:val="006D6957"/>
    <w:rsid w:val="006D79C1"/>
    <w:rsid w:val="006E0322"/>
    <w:rsid w:val="006E0727"/>
    <w:rsid w:val="006E07CC"/>
    <w:rsid w:val="006E3447"/>
    <w:rsid w:val="006E3913"/>
    <w:rsid w:val="006E3DF6"/>
    <w:rsid w:val="006E40D8"/>
    <w:rsid w:val="006E4B61"/>
    <w:rsid w:val="006E4F99"/>
    <w:rsid w:val="006F05DE"/>
    <w:rsid w:val="006F281B"/>
    <w:rsid w:val="006F306C"/>
    <w:rsid w:val="006F3816"/>
    <w:rsid w:val="006F3F6E"/>
    <w:rsid w:val="006F56B0"/>
    <w:rsid w:val="006F6071"/>
    <w:rsid w:val="006F63A5"/>
    <w:rsid w:val="006F741C"/>
    <w:rsid w:val="0070073E"/>
    <w:rsid w:val="0070142B"/>
    <w:rsid w:val="0070276E"/>
    <w:rsid w:val="00702F8F"/>
    <w:rsid w:val="00703C2A"/>
    <w:rsid w:val="00704004"/>
    <w:rsid w:val="0070483A"/>
    <w:rsid w:val="0070588D"/>
    <w:rsid w:val="007064B0"/>
    <w:rsid w:val="007077CE"/>
    <w:rsid w:val="00707C33"/>
    <w:rsid w:val="007117F6"/>
    <w:rsid w:val="00711A36"/>
    <w:rsid w:val="00712B38"/>
    <w:rsid w:val="00713037"/>
    <w:rsid w:val="007131B6"/>
    <w:rsid w:val="007146BC"/>
    <w:rsid w:val="0071529C"/>
    <w:rsid w:val="00715F38"/>
    <w:rsid w:val="007172AD"/>
    <w:rsid w:val="00717728"/>
    <w:rsid w:val="007203FC"/>
    <w:rsid w:val="00722B1B"/>
    <w:rsid w:val="00723E92"/>
    <w:rsid w:val="00723F1C"/>
    <w:rsid w:val="0072416F"/>
    <w:rsid w:val="00724BB5"/>
    <w:rsid w:val="00727C94"/>
    <w:rsid w:val="007309C6"/>
    <w:rsid w:val="00731AB2"/>
    <w:rsid w:val="00731C98"/>
    <w:rsid w:val="00731EAE"/>
    <w:rsid w:val="00733846"/>
    <w:rsid w:val="00733E9E"/>
    <w:rsid w:val="00734138"/>
    <w:rsid w:val="007343A9"/>
    <w:rsid w:val="0073486D"/>
    <w:rsid w:val="00735033"/>
    <w:rsid w:val="00735328"/>
    <w:rsid w:val="00736732"/>
    <w:rsid w:val="0073685B"/>
    <w:rsid w:val="00740BCE"/>
    <w:rsid w:val="007433B4"/>
    <w:rsid w:val="0074423A"/>
    <w:rsid w:val="0074699F"/>
    <w:rsid w:val="007479AC"/>
    <w:rsid w:val="00750E01"/>
    <w:rsid w:val="00752142"/>
    <w:rsid w:val="007523F9"/>
    <w:rsid w:val="007531F4"/>
    <w:rsid w:val="007573E8"/>
    <w:rsid w:val="00760B89"/>
    <w:rsid w:val="00760C4E"/>
    <w:rsid w:val="007623E5"/>
    <w:rsid w:val="00765B1A"/>
    <w:rsid w:val="00773DA4"/>
    <w:rsid w:val="007749F0"/>
    <w:rsid w:val="00774FE2"/>
    <w:rsid w:val="00775005"/>
    <w:rsid w:val="0077554F"/>
    <w:rsid w:val="007765A2"/>
    <w:rsid w:val="007765FA"/>
    <w:rsid w:val="00780712"/>
    <w:rsid w:val="0078198E"/>
    <w:rsid w:val="007840C3"/>
    <w:rsid w:val="007843F2"/>
    <w:rsid w:val="00784F4E"/>
    <w:rsid w:val="007870F2"/>
    <w:rsid w:val="00787E43"/>
    <w:rsid w:val="007901EC"/>
    <w:rsid w:val="00790E65"/>
    <w:rsid w:val="00791FD6"/>
    <w:rsid w:val="00794FA3"/>
    <w:rsid w:val="007966DC"/>
    <w:rsid w:val="00796A39"/>
    <w:rsid w:val="00796B35"/>
    <w:rsid w:val="007A04EA"/>
    <w:rsid w:val="007A06F8"/>
    <w:rsid w:val="007A0A12"/>
    <w:rsid w:val="007A0C2E"/>
    <w:rsid w:val="007A132D"/>
    <w:rsid w:val="007A3E8B"/>
    <w:rsid w:val="007A44C4"/>
    <w:rsid w:val="007A4E99"/>
    <w:rsid w:val="007A58E2"/>
    <w:rsid w:val="007A6343"/>
    <w:rsid w:val="007A6F9A"/>
    <w:rsid w:val="007A7477"/>
    <w:rsid w:val="007B0D68"/>
    <w:rsid w:val="007B0F25"/>
    <w:rsid w:val="007B1AEF"/>
    <w:rsid w:val="007B1F9C"/>
    <w:rsid w:val="007B251D"/>
    <w:rsid w:val="007B2C5E"/>
    <w:rsid w:val="007B2F3E"/>
    <w:rsid w:val="007B309F"/>
    <w:rsid w:val="007B4F58"/>
    <w:rsid w:val="007B528D"/>
    <w:rsid w:val="007B5E0E"/>
    <w:rsid w:val="007B5F66"/>
    <w:rsid w:val="007B6FCA"/>
    <w:rsid w:val="007B77D1"/>
    <w:rsid w:val="007C0B3B"/>
    <w:rsid w:val="007C1CD9"/>
    <w:rsid w:val="007C361D"/>
    <w:rsid w:val="007C4086"/>
    <w:rsid w:val="007C4B84"/>
    <w:rsid w:val="007C4C3F"/>
    <w:rsid w:val="007C5AFB"/>
    <w:rsid w:val="007C5B08"/>
    <w:rsid w:val="007C6FDB"/>
    <w:rsid w:val="007D004F"/>
    <w:rsid w:val="007D0B38"/>
    <w:rsid w:val="007D3818"/>
    <w:rsid w:val="007D47DB"/>
    <w:rsid w:val="007D4ECB"/>
    <w:rsid w:val="007D5440"/>
    <w:rsid w:val="007E03AA"/>
    <w:rsid w:val="007E1D59"/>
    <w:rsid w:val="007E1E24"/>
    <w:rsid w:val="007E209C"/>
    <w:rsid w:val="007E2EDC"/>
    <w:rsid w:val="007E3FB3"/>
    <w:rsid w:val="007E491D"/>
    <w:rsid w:val="007E548F"/>
    <w:rsid w:val="007E6169"/>
    <w:rsid w:val="007E6AAE"/>
    <w:rsid w:val="007E7123"/>
    <w:rsid w:val="007F0024"/>
    <w:rsid w:val="007F0E1B"/>
    <w:rsid w:val="007F1017"/>
    <w:rsid w:val="007F170F"/>
    <w:rsid w:val="007F1762"/>
    <w:rsid w:val="007F2CDC"/>
    <w:rsid w:val="007F4A3F"/>
    <w:rsid w:val="007F4A61"/>
    <w:rsid w:val="007F51DA"/>
    <w:rsid w:val="007F5FAC"/>
    <w:rsid w:val="007F61C2"/>
    <w:rsid w:val="0080261C"/>
    <w:rsid w:val="00803EA8"/>
    <w:rsid w:val="0080455C"/>
    <w:rsid w:val="0080495C"/>
    <w:rsid w:val="00805142"/>
    <w:rsid w:val="0080542B"/>
    <w:rsid w:val="00807A8B"/>
    <w:rsid w:val="00811138"/>
    <w:rsid w:val="008112D3"/>
    <w:rsid w:val="00811317"/>
    <w:rsid w:val="00811383"/>
    <w:rsid w:val="00812149"/>
    <w:rsid w:val="00812CAC"/>
    <w:rsid w:val="00813BE4"/>
    <w:rsid w:val="00814D58"/>
    <w:rsid w:val="00814E14"/>
    <w:rsid w:val="00815CE5"/>
    <w:rsid w:val="008166EF"/>
    <w:rsid w:val="00816F79"/>
    <w:rsid w:val="00822466"/>
    <w:rsid w:val="00822D7B"/>
    <w:rsid w:val="00825210"/>
    <w:rsid w:val="00825751"/>
    <w:rsid w:val="008261F8"/>
    <w:rsid w:val="008264EB"/>
    <w:rsid w:val="00826C1F"/>
    <w:rsid w:val="0082720C"/>
    <w:rsid w:val="008314AB"/>
    <w:rsid w:val="00833B05"/>
    <w:rsid w:val="008357D8"/>
    <w:rsid w:val="00835EB2"/>
    <w:rsid w:val="00836133"/>
    <w:rsid w:val="008362B4"/>
    <w:rsid w:val="00840CA2"/>
    <w:rsid w:val="008418BB"/>
    <w:rsid w:val="00842567"/>
    <w:rsid w:val="0084374F"/>
    <w:rsid w:val="008444E3"/>
    <w:rsid w:val="00844C51"/>
    <w:rsid w:val="00847DF5"/>
    <w:rsid w:val="008501BF"/>
    <w:rsid w:val="00850EB3"/>
    <w:rsid w:val="00851B47"/>
    <w:rsid w:val="0085309D"/>
    <w:rsid w:val="00853208"/>
    <w:rsid w:val="0085376D"/>
    <w:rsid w:val="0085562E"/>
    <w:rsid w:val="00856897"/>
    <w:rsid w:val="00856E9A"/>
    <w:rsid w:val="00860449"/>
    <w:rsid w:val="0086075D"/>
    <w:rsid w:val="00860E82"/>
    <w:rsid w:val="00861FF4"/>
    <w:rsid w:val="00862502"/>
    <w:rsid w:val="008628A4"/>
    <w:rsid w:val="008640B3"/>
    <w:rsid w:val="008644F7"/>
    <w:rsid w:val="00865E3E"/>
    <w:rsid w:val="008660D4"/>
    <w:rsid w:val="00866306"/>
    <w:rsid w:val="008702E4"/>
    <w:rsid w:val="00871121"/>
    <w:rsid w:val="00871FA9"/>
    <w:rsid w:val="008728E9"/>
    <w:rsid w:val="00876E81"/>
    <w:rsid w:val="008814C4"/>
    <w:rsid w:val="00882874"/>
    <w:rsid w:val="00882A1E"/>
    <w:rsid w:val="00883787"/>
    <w:rsid w:val="00884B3C"/>
    <w:rsid w:val="00884E41"/>
    <w:rsid w:val="00886CD2"/>
    <w:rsid w:val="00886EA8"/>
    <w:rsid w:val="008914D7"/>
    <w:rsid w:val="00891682"/>
    <w:rsid w:val="0089177A"/>
    <w:rsid w:val="00892A36"/>
    <w:rsid w:val="00893239"/>
    <w:rsid w:val="00893D28"/>
    <w:rsid w:val="00894489"/>
    <w:rsid w:val="00894923"/>
    <w:rsid w:val="008963A5"/>
    <w:rsid w:val="00897327"/>
    <w:rsid w:val="008A1251"/>
    <w:rsid w:val="008A2DF4"/>
    <w:rsid w:val="008A3363"/>
    <w:rsid w:val="008A3371"/>
    <w:rsid w:val="008A3C3E"/>
    <w:rsid w:val="008A79DE"/>
    <w:rsid w:val="008B01BE"/>
    <w:rsid w:val="008B03B7"/>
    <w:rsid w:val="008B04A0"/>
    <w:rsid w:val="008B12B8"/>
    <w:rsid w:val="008B1757"/>
    <w:rsid w:val="008B3A4A"/>
    <w:rsid w:val="008B4563"/>
    <w:rsid w:val="008B655A"/>
    <w:rsid w:val="008B6CD2"/>
    <w:rsid w:val="008B7D7E"/>
    <w:rsid w:val="008C0316"/>
    <w:rsid w:val="008C1697"/>
    <w:rsid w:val="008C28C3"/>
    <w:rsid w:val="008C7C14"/>
    <w:rsid w:val="008C7ECB"/>
    <w:rsid w:val="008D4755"/>
    <w:rsid w:val="008D4C3D"/>
    <w:rsid w:val="008D4E4C"/>
    <w:rsid w:val="008D7078"/>
    <w:rsid w:val="008E0D3C"/>
    <w:rsid w:val="008E1B9E"/>
    <w:rsid w:val="008E3230"/>
    <w:rsid w:val="008E55AB"/>
    <w:rsid w:val="008E5A41"/>
    <w:rsid w:val="008E72EB"/>
    <w:rsid w:val="008F120A"/>
    <w:rsid w:val="008F1EAB"/>
    <w:rsid w:val="008F27E0"/>
    <w:rsid w:val="008F329D"/>
    <w:rsid w:val="008F48EB"/>
    <w:rsid w:val="008F4F0B"/>
    <w:rsid w:val="008F63E5"/>
    <w:rsid w:val="008F65C2"/>
    <w:rsid w:val="0090052D"/>
    <w:rsid w:val="00900BD9"/>
    <w:rsid w:val="00900E09"/>
    <w:rsid w:val="00901FDC"/>
    <w:rsid w:val="009036EE"/>
    <w:rsid w:val="009045EB"/>
    <w:rsid w:val="009046C4"/>
    <w:rsid w:val="00904CA6"/>
    <w:rsid w:val="009056FD"/>
    <w:rsid w:val="009058FC"/>
    <w:rsid w:val="009062A5"/>
    <w:rsid w:val="0091018A"/>
    <w:rsid w:val="00910991"/>
    <w:rsid w:val="00911272"/>
    <w:rsid w:val="00912B18"/>
    <w:rsid w:val="00912D58"/>
    <w:rsid w:val="00912E50"/>
    <w:rsid w:val="00912FF2"/>
    <w:rsid w:val="009135D6"/>
    <w:rsid w:val="00913C3D"/>
    <w:rsid w:val="00914C77"/>
    <w:rsid w:val="0091682B"/>
    <w:rsid w:val="00916D4B"/>
    <w:rsid w:val="009203E0"/>
    <w:rsid w:val="009218F7"/>
    <w:rsid w:val="00921FD9"/>
    <w:rsid w:val="0092369B"/>
    <w:rsid w:val="00923FD4"/>
    <w:rsid w:val="00932145"/>
    <w:rsid w:val="00933385"/>
    <w:rsid w:val="00934676"/>
    <w:rsid w:val="0093487F"/>
    <w:rsid w:val="00937D28"/>
    <w:rsid w:val="00940700"/>
    <w:rsid w:val="00940829"/>
    <w:rsid w:val="009420EB"/>
    <w:rsid w:val="00943136"/>
    <w:rsid w:val="00943FF3"/>
    <w:rsid w:val="0094616F"/>
    <w:rsid w:val="00946FE5"/>
    <w:rsid w:val="00947D17"/>
    <w:rsid w:val="00950BC4"/>
    <w:rsid w:val="00950F22"/>
    <w:rsid w:val="009510A2"/>
    <w:rsid w:val="009516F1"/>
    <w:rsid w:val="00952100"/>
    <w:rsid w:val="00953223"/>
    <w:rsid w:val="00953257"/>
    <w:rsid w:val="00953BAD"/>
    <w:rsid w:val="00953DF4"/>
    <w:rsid w:val="00953F49"/>
    <w:rsid w:val="00954172"/>
    <w:rsid w:val="00955A89"/>
    <w:rsid w:val="00957245"/>
    <w:rsid w:val="009606B1"/>
    <w:rsid w:val="0096075D"/>
    <w:rsid w:val="00961BE4"/>
    <w:rsid w:val="00961F2C"/>
    <w:rsid w:val="009627EA"/>
    <w:rsid w:val="00962CB9"/>
    <w:rsid w:val="00964312"/>
    <w:rsid w:val="00965AA7"/>
    <w:rsid w:val="00965B8A"/>
    <w:rsid w:val="00966DAE"/>
    <w:rsid w:val="00967FE2"/>
    <w:rsid w:val="009717AC"/>
    <w:rsid w:val="009718EB"/>
    <w:rsid w:val="00972906"/>
    <w:rsid w:val="009743D5"/>
    <w:rsid w:val="00974471"/>
    <w:rsid w:val="009745A1"/>
    <w:rsid w:val="009760D0"/>
    <w:rsid w:val="0098141B"/>
    <w:rsid w:val="009825D7"/>
    <w:rsid w:val="009835FF"/>
    <w:rsid w:val="00983E57"/>
    <w:rsid w:val="0098470D"/>
    <w:rsid w:val="0098675D"/>
    <w:rsid w:val="00991897"/>
    <w:rsid w:val="0099340A"/>
    <w:rsid w:val="009939C2"/>
    <w:rsid w:val="00994911"/>
    <w:rsid w:val="00995195"/>
    <w:rsid w:val="00996B1A"/>
    <w:rsid w:val="009A182C"/>
    <w:rsid w:val="009A29A8"/>
    <w:rsid w:val="009A3A25"/>
    <w:rsid w:val="009A5AD8"/>
    <w:rsid w:val="009A5C4E"/>
    <w:rsid w:val="009A5DDA"/>
    <w:rsid w:val="009A6A55"/>
    <w:rsid w:val="009A6AC2"/>
    <w:rsid w:val="009A7B88"/>
    <w:rsid w:val="009A7F10"/>
    <w:rsid w:val="009B0A9C"/>
    <w:rsid w:val="009B3E26"/>
    <w:rsid w:val="009B4CA8"/>
    <w:rsid w:val="009B4D68"/>
    <w:rsid w:val="009B5A67"/>
    <w:rsid w:val="009B5D34"/>
    <w:rsid w:val="009C0601"/>
    <w:rsid w:val="009C15FA"/>
    <w:rsid w:val="009C26EC"/>
    <w:rsid w:val="009C3A9C"/>
    <w:rsid w:val="009C5661"/>
    <w:rsid w:val="009C6365"/>
    <w:rsid w:val="009C6CEA"/>
    <w:rsid w:val="009C7B85"/>
    <w:rsid w:val="009C7DF1"/>
    <w:rsid w:val="009D057E"/>
    <w:rsid w:val="009D34EB"/>
    <w:rsid w:val="009D43EC"/>
    <w:rsid w:val="009D5B91"/>
    <w:rsid w:val="009D792E"/>
    <w:rsid w:val="009E0DFE"/>
    <w:rsid w:val="009E15CB"/>
    <w:rsid w:val="009E4C07"/>
    <w:rsid w:val="009E5546"/>
    <w:rsid w:val="009E5AF7"/>
    <w:rsid w:val="009E5F3A"/>
    <w:rsid w:val="009E70C6"/>
    <w:rsid w:val="009E7ADA"/>
    <w:rsid w:val="009F0854"/>
    <w:rsid w:val="009F36C3"/>
    <w:rsid w:val="009F763F"/>
    <w:rsid w:val="00A005EA"/>
    <w:rsid w:val="00A01184"/>
    <w:rsid w:val="00A02231"/>
    <w:rsid w:val="00A03D43"/>
    <w:rsid w:val="00A04380"/>
    <w:rsid w:val="00A04D36"/>
    <w:rsid w:val="00A05061"/>
    <w:rsid w:val="00A07A53"/>
    <w:rsid w:val="00A106D9"/>
    <w:rsid w:val="00A11CD0"/>
    <w:rsid w:val="00A11DB1"/>
    <w:rsid w:val="00A13948"/>
    <w:rsid w:val="00A14004"/>
    <w:rsid w:val="00A1466B"/>
    <w:rsid w:val="00A14BF3"/>
    <w:rsid w:val="00A1555B"/>
    <w:rsid w:val="00A155C5"/>
    <w:rsid w:val="00A16A20"/>
    <w:rsid w:val="00A16AD8"/>
    <w:rsid w:val="00A17C2A"/>
    <w:rsid w:val="00A21CDD"/>
    <w:rsid w:val="00A21CF3"/>
    <w:rsid w:val="00A240CE"/>
    <w:rsid w:val="00A243B1"/>
    <w:rsid w:val="00A24D63"/>
    <w:rsid w:val="00A266AA"/>
    <w:rsid w:val="00A27AEC"/>
    <w:rsid w:val="00A319DC"/>
    <w:rsid w:val="00A320DB"/>
    <w:rsid w:val="00A326F5"/>
    <w:rsid w:val="00A3589F"/>
    <w:rsid w:val="00A35D16"/>
    <w:rsid w:val="00A37AD3"/>
    <w:rsid w:val="00A37BCD"/>
    <w:rsid w:val="00A40A8A"/>
    <w:rsid w:val="00A40BD7"/>
    <w:rsid w:val="00A412BF"/>
    <w:rsid w:val="00A42855"/>
    <w:rsid w:val="00A43C59"/>
    <w:rsid w:val="00A4704F"/>
    <w:rsid w:val="00A476E8"/>
    <w:rsid w:val="00A50ECD"/>
    <w:rsid w:val="00A518F3"/>
    <w:rsid w:val="00A521D6"/>
    <w:rsid w:val="00A52729"/>
    <w:rsid w:val="00A53675"/>
    <w:rsid w:val="00A5383F"/>
    <w:rsid w:val="00A54905"/>
    <w:rsid w:val="00A54D8A"/>
    <w:rsid w:val="00A564D7"/>
    <w:rsid w:val="00A56B6A"/>
    <w:rsid w:val="00A57407"/>
    <w:rsid w:val="00A578DC"/>
    <w:rsid w:val="00A62DC2"/>
    <w:rsid w:val="00A642FF"/>
    <w:rsid w:val="00A66D75"/>
    <w:rsid w:val="00A6725B"/>
    <w:rsid w:val="00A70605"/>
    <w:rsid w:val="00A73134"/>
    <w:rsid w:val="00A74FF7"/>
    <w:rsid w:val="00A777B2"/>
    <w:rsid w:val="00A80256"/>
    <w:rsid w:val="00A8126A"/>
    <w:rsid w:val="00A82022"/>
    <w:rsid w:val="00A85695"/>
    <w:rsid w:val="00A86284"/>
    <w:rsid w:val="00A86E8B"/>
    <w:rsid w:val="00A87164"/>
    <w:rsid w:val="00A90052"/>
    <w:rsid w:val="00A9079A"/>
    <w:rsid w:val="00A9141E"/>
    <w:rsid w:val="00A9302E"/>
    <w:rsid w:val="00A93072"/>
    <w:rsid w:val="00A93953"/>
    <w:rsid w:val="00A94A91"/>
    <w:rsid w:val="00A959D8"/>
    <w:rsid w:val="00A97407"/>
    <w:rsid w:val="00AA113D"/>
    <w:rsid w:val="00AA1C10"/>
    <w:rsid w:val="00AA1E61"/>
    <w:rsid w:val="00AA2064"/>
    <w:rsid w:val="00AA3B7B"/>
    <w:rsid w:val="00AA6C7D"/>
    <w:rsid w:val="00AA7390"/>
    <w:rsid w:val="00AA7FD6"/>
    <w:rsid w:val="00AB042A"/>
    <w:rsid w:val="00AB0FB0"/>
    <w:rsid w:val="00AB1B3B"/>
    <w:rsid w:val="00AB2293"/>
    <w:rsid w:val="00AB2312"/>
    <w:rsid w:val="00AB2D34"/>
    <w:rsid w:val="00AB2D75"/>
    <w:rsid w:val="00AB3430"/>
    <w:rsid w:val="00AB35EA"/>
    <w:rsid w:val="00AB3A7D"/>
    <w:rsid w:val="00AB4AD1"/>
    <w:rsid w:val="00AB5AC3"/>
    <w:rsid w:val="00AB63F3"/>
    <w:rsid w:val="00AB6D74"/>
    <w:rsid w:val="00AB787C"/>
    <w:rsid w:val="00AB7CFA"/>
    <w:rsid w:val="00AC2450"/>
    <w:rsid w:val="00AC32D5"/>
    <w:rsid w:val="00AC5B48"/>
    <w:rsid w:val="00AC6313"/>
    <w:rsid w:val="00AC7AE2"/>
    <w:rsid w:val="00AD0E2E"/>
    <w:rsid w:val="00AD2E48"/>
    <w:rsid w:val="00AD30F7"/>
    <w:rsid w:val="00AD4D8F"/>
    <w:rsid w:val="00AD53FE"/>
    <w:rsid w:val="00AD5DC4"/>
    <w:rsid w:val="00AD6502"/>
    <w:rsid w:val="00AD696D"/>
    <w:rsid w:val="00AD7DAC"/>
    <w:rsid w:val="00AE1CEB"/>
    <w:rsid w:val="00AE3293"/>
    <w:rsid w:val="00AE4F80"/>
    <w:rsid w:val="00AE5774"/>
    <w:rsid w:val="00AE7920"/>
    <w:rsid w:val="00AF07B5"/>
    <w:rsid w:val="00AF1315"/>
    <w:rsid w:val="00AF19BF"/>
    <w:rsid w:val="00AF2DC3"/>
    <w:rsid w:val="00AF4FF4"/>
    <w:rsid w:val="00AF5245"/>
    <w:rsid w:val="00B00F10"/>
    <w:rsid w:val="00B03045"/>
    <w:rsid w:val="00B033E5"/>
    <w:rsid w:val="00B03A63"/>
    <w:rsid w:val="00B0405F"/>
    <w:rsid w:val="00B070E0"/>
    <w:rsid w:val="00B104C1"/>
    <w:rsid w:val="00B10536"/>
    <w:rsid w:val="00B109EE"/>
    <w:rsid w:val="00B10ED4"/>
    <w:rsid w:val="00B135B9"/>
    <w:rsid w:val="00B14DA4"/>
    <w:rsid w:val="00B14F3C"/>
    <w:rsid w:val="00B16427"/>
    <w:rsid w:val="00B201A4"/>
    <w:rsid w:val="00B213A6"/>
    <w:rsid w:val="00B228BC"/>
    <w:rsid w:val="00B24DF6"/>
    <w:rsid w:val="00B264BD"/>
    <w:rsid w:val="00B274DC"/>
    <w:rsid w:val="00B31B9D"/>
    <w:rsid w:val="00B3291A"/>
    <w:rsid w:val="00B32BCF"/>
    <w:rsid w:val="00B33DDB"/>
    <w:rsid w:val="00B34FE2"/>
    <w:rsid w:val="00B357D8"/>
    <w:rsid w:val="00B37823"/>
    <w:rsid w:val="00B37BFC"/>
    <w:rsid w:val="00B401E9"/>
    <w:rsid w:val="00B40358"/>
    <w:rsid w:val="00B409D0"/>
    <w:rsid w:val="00B41614"/>
    <w:rsid w:val="00B42851"/>
    <w:rsid w:val="00B42F80"/>
    <w:rsid w:val="00B435CB"/>
    <w:rsid w:val="00B43F68"/>
    <w:rsid w:val="00B4431B"/>
    <w:rsid w:val="00B50887"/>
    <w:rsid w:val="00B50C8F"/>
    <w:rsid w:val="00B50DB8"/>
    <w:rsid w:val="00B519EF"/>
    <w:rsid w:val="00B53654"/>
    <w:rsid w:val="00B53905"/>
    <w:rsid w:val="00B54545"/>
    <w:rsid w:val="00B54B5B"/>
    <w:rsid w:val="00B5562E"/>
    <w:rsid w:val="00B558DB"/>
    <w:rsid w:val="00B57000"/>
    <w:rsid w:val="00B57FE4"/>
    <w:rsid w:val="00B60939"/>
    <w:rsid w:val="00B60AFD"/>
    <w:rsid w:val="00B60CF5"/>
    <w:rsid w:val="00B60DCC"/>
    <w:rsid w:val="00B62715"/>
    <w:rsid w:val="00B632B3"/>
    <w:rsid w:val="00B63C2E"/>
    <w:rsid w:val="00B66BBA"/>
    <w:rsid w:val="00B67E61"/>
    <w:rsid w:val="00B72E97"/>
    <w:rsid w:val="00B75371"/>
    <w:rsid w:val="00B7758C"/>
    <w:rsid w:val="00B818A4"/>
    <w:rsid w:val="00B83BE5"/>
    <w:rsid w:val="00B84117"/>
    <w:rsid w:val="00B84D9A"/>
    <w:rsid w:val="00B85AA2"/>
    <w:rsid w:val="00B8649C"/>
    <w:rsid w:val="00B867CC"/>
    <w:rsid w:val="00B87F0A"/>
    <w:rsid w:val="00B91B48"/>
    <w:rsid w:val="00B9227F"/>
    <w:rsid w:val="00B92D0B"/>
    <w:rsid w:val="00B94945"/>
    <w:rsid w:val="00BA322D"/>
    <w:rsid w:val="00BA32E3"/>
    <w:rsid w:val="00BA36E6"/>
    <w:rsid w:val="00BA4AE0"/>
    <w:rsid w:val="00BA593E"/>
    <w:rsid w:val="00BB0BDD"/>
    <w:rsid w:val="00BB2A73"/>
    <w:rsid w:val="00BB4ACC"/>
    <w:rsid w:val="00BB5D02"/>
    <w:rsid w:val="00BB627B"/>
    <w:rsid w:val="00BB703E"/>
    <w:rsid w:val="00BB711C"/>
    <w:rsid w:val="00BB7405"/>
    <w:rsid w:val="00BC0D43"/>
    <w:rsid w:val="00BC0D64"/>
    <w:rsid w:val="00BC3631"/>
    <w:rsid w:val="00BC4333"/>
    <w:rsid w:val="00BC5594"/>
    <w:rsid w:val="00BC6E45"/>
    <w:rsid w:val="00BD0A1D"/>
    <w:rsid w:val="00BD24A0"/>
    <w:rsid w:val="00BD2BBF"/>
    <w:rsid w:val="00BD3D6D"/>
    <w:rsid w:val="00BD4707"/>
    <w:rsid w:val="00BD4B42"/>
    <w:rsid w:val="00BD5BD0"/>
    <w:rsid w:val="00BD68A3"/>
    <w:rsid w:val="00BD6938"/>
    <w:rsid w:val="00BD6CF3"/>
    <w:rsid w:val="00BE2180"/>
    <w:rsid w:val="00BE21F2"/>
    <w:rsid w:val="00BE3463"/>
    <w:rsid w:val="00BE3898"/>
    <w:rsid w:val="00BE3B1A"/>
    <w:rsid w:val="00BE4275"/>
    <w:rsid w:val="00BE5094"/>
    <w:rsid w:val="00BF0552"/>
    <w:rsid w:val="00BF0908"/>
    <w:rsid w:val="00BF0F95"/>
    <w:rsid w:val="00BF2433"/>
    <w:rsid w:val="00BF532F"/>
    <w:rsid w:val="00BF61C9"/>
    <w:rsid w:val="00BF6C94"/>
    <w:rsid w:val="00BF7A0D"/>
    <w:rsid w:val="00BF7CE0"/>
    <w:rsid w:val="00C00424"/>
    <w:rsid w:val="00C037FA"/>
    <w:rsid w:val="00C059C7"/>
    <w:rsid w:val="00C05F56"/>
    <w:rsid w:val="00C06C54"/>
    <w:rsid w:val="00C10A41"/>
    <w:rsid w:val="00C10F44"/>
    <w:rsid w:val="00C12C14"/>
    <w:rsid w:val="00C200AA"/>
    <w:rsid w:val="00C20391"/>
    <w:rsid w:val="00C2306A"/>
    <w:rsid w:val="00C237ED"/>
    <w:rsid w:val="00C23DCB"/>
    <w:rsid w:val="00C24047"/>
    <w:rsid w:val="00C2412A"/>
    <w:rsid w:val="00C24632"/>
    <w:rsid w:val="00C25418"/>
    <w:rsid w:val="00C25D9C"/>
    <w:rsid w:val="00C26558"/>
    <w:rsid w:val="00C2693F"/>
    <w:rsid w:val="00C2778B"/>
    <w:rsid w:val="00C303B6"/>
    <w:rsid w:val="00C31649"/>
    <w:rsid w:val="00C32B3D"/>
    <w:rsid w:val="00C333A5"/>
    <w:rsid w:val="00C34D80"/>
    <w:rsid w:val="00C35566"/>
    <w:rsid w:val="00C365E0"/>
    <w:rsid w:val="00C37EB5"/>
    <w:rsid w:val="00C40385"/>
    <w:rsid w:val="00C40EDC"/>
    <w:rsid w:val="00C417CF"/>
    <w:rsid w:val="00C419BF"/>
    <w:rsid w:val="00C421F3"/>
    <w:rsid w:val="00C437E9"/>
    <w:rsid w:val="00C447C3"/>
    <w:rsid w:val="00C4650E"/>
    <w:rsid w:val="00C46927"/>
    <w:rsid w:val="00C475AA"/>
    <w:rsid w:val="00C5032C"/>
    <w:rsid w:val="00C5163D"/>
    <w:rsid w:val="00C51DF7"/>
    <w:rsid w:val="00C53C70"/>
    <w:rsid w:val="00C55022"/>
    <w:rsid w:val="00C56A4D"/>
    <w:rsid w:val="00C62BE5"/>
    <w:rsid w:val="00C65126"/>
    <w:rsid w:val="00C65576"/>
    <w:rsid w:val="00C66165"/>
    <w:rsid w:val="00C66744"/>
    <w:rsid w:val="00C67BFE"/>
    <w:rsid w:val="00C70314"/>
    <w:rsid w:val="00C70570"/>
    <w:rsid w:val="00C7151A"/>
    <w:rsid w:val="00C71F60"/>
    <w:rsid w:val="00C72241"/>
    <w:rsid w:val="00C72A3C"/>
    <w:rsid w:val="00C73D52"/>
    <w:rsid w:val="00C74B2F"/>
    <w:rsid w:val="00C750C8"/>
    <w:rsid w:val="00C7560F"/>
    <w:rsid w:val="00C758B0"/>
    <w:rsid w:val="00C75A5D"/>
    <w:rsid w:val="00C763A2"/>
    <w:rsid w:val="00C80A0E"/>
    <w:rsid w:val="00C8213F"/>
    <w:rsid w:val="00C84925"/>
    <w:rsid w:val="00C8531B"/>
    <w:rsid w:val="00C85F1E"/>
    <w:rsid w:val="00C8660E"/>
    <w:rsid w:val="00C8797A"/>
    <w:rsid w:val="00C900B8"/>
    <w:rsid w:val="00C90C71"/>
    <w:rsid w:val="00C90D87"/>
    <w:rsid w:val="00C916EC"/>
    <w:rsid w:val="00C91A1D"/>
    <w:rsid w:val="00C91E6A"/>
    <w:rsid w:val="00C931CF"/>
    <w:rsid w:val="00C935C7"/>
    <w:rsid w:val="00C938CF"/>
    <w:rsid w:val="00C95551"/>
    <w:rsid w:val="00C9624D"/>
    <w:rsid w:val="00C969DA"/>
    <w:rsid w:val="00C97B91"/>
    <w:rsid w:val="00CA2825"/>
    <w:rsid w:val="00CA2BC2"/>
    <w:rsid w:val="00CA2C77"/>
    <w:rsid w:val="00CA2D83"/>
    <w:rsid w:val="00CA444F"/>
    <w:rsid w:val="00CA4FB9"/>
    <w:rsid w:val="00CA5245"/>
    <w:rsid w:val="00CA564C"/>
    <w:rsid w:val="00CA67F5"/>
    <w:rsid w:val="00CA706B"/>
    <w:rsid w:val="00CA71F4"/>
    <w:rsid w:val="00CA7244"/>
    <w:rsid w:val="00CA72DB"/>
    <w:rsid w:val="00CA783F"/>
    <w:rsid w:val="00CA7B09"/>
    <w:rsid w:val="00CB0FF8"/>
    <w:rsid w:val="00CB1857"/>
    <w:rsid w:val="00CB286D"/>
    <w:rsid w:val="00CB2F2A"/>
    <w:rsid w:val="00CB3B57"/>
    <w:rsid w:val="00CB5B1A"/>
    <w:rsid w:val="00CB60BD"/>
    <w:rsid w:val="00CB6B22"/>
    <w:rsid w:val="00CB7F5F"/>
    <w:rsid w:val="00CC1B29"/>
    <w:rsid w:val="00CC1B39"/>
    <w:rsid w:val="00CC3215"/>
    <w:rsid w:val="00CC6FF0"/>
    <w:rsid w:val="00CC7964"/>
    <w:rsid w:val="00CD1636"/>
    <w:rsid w:val="00CD3DC5"/>
    <w:rsid w:val="00CD627F"/>
    <w:rsid w:val="00CD6ADC"/>
    <w:rsid w:val="00CD6B75"/>
    <w:rsid w:val="00CD7597"/>
    <w:rsid w:val="00CE0C0A"/>
    <w:rsid w:val="00CE2CF8"/>
    <w:rsid w:val="00CE3211"/>
    <w:rsid w:val="00CE6274"/>
    <w:rsid w:val="00CE646C"/>
    <w:rsid w:val="00CE6D9D"/>
    <w:rsid w:val="00CE797E"/>
    <w:rsid w:val="00CF0CD2"/>
    <w:rsid w:val="00CF2B8D"/>
    <w:rsid w:val="00CF3360"/>
    <w:rsid w:val="00CF456B"/>
    <w:rsid w:val="00CF4802"/>
    <w:rsid w:val="00CF5A22"/>
    <w:rsid w:val="00D01002"/>
    <w:rsid w:val="00D01E8E"/>
    <w:rsid w:val="00D0262E"/>
    <w:rsid w:val="00D02D62"/>
    <w:rsid w:val="00D0400B"/>
    <w:rsid w:val="00D0443B"/>
    <w:rsid w:val="00D0735F"/>
    <w:rsid w:val="00D1058C"/>
    <w:rsid w:val="00D110BD"/>
    <w:rsid w:val="00D11CC3"/>
    <w:rsid w:val="00D12A5C"/>
    <w:rsid w:val="00D13675"/>
    <w:rsid w:val="00D141E1"/>
    <w:rsid w:val="00D17687"/>
    <w:rsid w:val="00D17D6C"/>
    <w:rsid w:val="00D17D7E"/>
    <w:rsid w:val="00D20099"/>
    <w:rsid w:val="00D20766"/>
    <w:rsid w:val="00D21359"/>
    <w:rsid w:val="00D2301C"/>
    <w:rsid w:val="00D24400"/>
    <w:rsid w:val="00D24CC1"/>
    <w:rsid w:val="00D250B8"/>
    <w:rsid w:val="00D25DA5"/>
    <w:rsid w:val="00D260BC"/>
    <w:rsid w:val="00D2754D"/>
    <w:rsid w:val="00D27B27"/>
    <w:rsid w:val="00D32148"/>
    <w:rsid w:val="00D32D13"/>
    <w:rsid w:val="00D333C3"/>
    <w:rsid w:val="00D33B9C"/>
    <w:rsid w:val="00D33BE9"/>
    <w:rsid w:val="00D33D47"/>
    <w:rsid w:val="00D357FF"/>
    <w:rsid w:val="00D424C7"/>
    <w:rsid w:val="00D43B2A"/>
    <w:rsid w:val="00D4409A"/>
    <w:rsid w:val="00D452C2"/>
    <w:rsid w:val="00D455A8"/>
    <w:rsid w:val="00D45B8E"/>
    <w:rsid w:val="00D465F3"/>
    <w:rsid w:val="00D46A67"/>
    <w:rsid w:val="00D47339"/>
    <w:rsid w:val="00D47575"/>
    <w:rsid w:val="00D500EA"/>
    <w:rsid w:val="00D51DB3"/>
    <w:rsid w:val="00D527E6"/>
    <w:rsid w:val="00D55CD2"/>
    <w:rsid w:val="00D562CC"/>
    <w:rsid w:val="00D56DBF"/>
    <w:rsid w:val="00D57526"/>
    <w:rsid w:val="00D57AD9"/>
    <w:rsid w:val="00D60869"/>
    <w:rsid w:val="00D6148A"/>
    <w:rsid w:val="00D617A6"/>
    <w:rsid w:val="00D62207"/>
    <w:rsid w:val="00D629BD"/>
    <w:rsid w:val="00D62C83"/>
    <w:rsid w:val="00D6414E"/>
    <w:rsid w:val="00D64863"/>
    <w:rsid w:val="00D648D9"/>
    <w:rsid w:val="00D64F86"/>
    <w:rsid w:val="00D66058"/>
    <w:rsid w:val="00D6630F"/>
    <w:rsid w:val="00D70F16"/>
    <w:rsid w:val="00D73E32"/>
    <w:rsid w:val="00D74E3D"/>
    <w:rsid w:val="00D75D65"/>
    <w:rsid w:val="00D7667D"/>
    <w:rsid w:val="00D76A44"/>
    <w:rsid w:val="00D80BA8"/>
    <w:rsid w:val="00D815EF"/>
    <w:rsid w:val="00D81CE4"/>
    <w:rsid w:val="00D831C6"/>
    <w:rsid w:val="00D86716"/>
    <w:rsid w:val="00D878B6"/>
    <w:rsid w:val="00D91923"/>
    <w:rsid w:val="00D92A48"/>
    <w:rsid w:val="00D92D5E"/>
    <w:rsid w:val="00D93753"/>
    <w:rsid w:val="00D95C5C"/>
    <w:rsid w:val="00DA230B"/>
    <w:rsid w:val="00DA3167"/>
    <w:rsid w:val="00DA3768"/>
    <w:rsid w:val="00DA39C6"/>
    <w:rsid w:val="00DA4A3B"/>
    <w:rsid w:val="00DA4DC3"/>
    <w:rsid w:val="00DA60F6"/>
    <w:rsid w:val="00DA6384"/>
    <w:rsid w:val="00DA7427"/>
    <w:rsid w:val="00DA77A5"/>
    <w:rsid w:val="00DB11DA"/>
    <w:rsid w:val="00DB2B47"/>
    <w:rsid w:val="00DB3490"/>
    <w:rsid w:val="00DB3BFC"/>
    <w:rsid w:val="00DB484F"/>
    <w:rsid w:val="00DB523B"/>
    <w:rsid w:val="00DB614E"/>
    <w:rsid w:val="00DB796A"/>
    <w:rsid w:val="00DC04F6"/>
    <w:rsid w:val="00DC07F8"/>
    <w:rsid w:val="00DC1F4C"/>
    <w:rsid w:val="00DC3223"/>
    <w:rsid w:val="00DC379A"/>
    <w:rsid w:val="00DC3C57"/>
    <w:rsid w:val="00DC43FC"/>
    <w:rsid w:val="00DC5501"/>
    <w:rsid w:val="00DC6B3B"/>
    <w:rsid w:val="00DC7E02"/>
    <w:rsid w:val="00DD2222"/>
    <w:rsid w:val="00DD273C"/>
    <w:rsid w:val="00DD3F28"/>
    <w:rsid w:val="00DD4537"/>
    <w:rsid w:val="00DD4E15"/>
    <w:rsid w:val="00DD5940"/>
    <w:rsid w:val="00DE1A8B"/>
    <w:rsid w:val="00DE2A8C"/>
    <w:rsid w:val="00DE3039"/>
    <w:rsid w:val="00DE3138"/>
    <w:rsid w:val="00DE3184"/>
    <w:rsid w:val="00DE37F8"/>
    <w:rsid w:val="00DE3F3F"/>
    <w:rsid w:val="00DE4FCB"/>
    <w:rsid w:val="00DE5D1B"/>
    <w:rsid w:val="00DE6A55"/>
    <w:rsid w:val="00DE7832"/>
    <w:rsid w:val="00DF180C"/>
    <w:rsid w:val="00DF18FC"/>
    <w:rsid w:val="00DF26E7"/>
    <w:rsid w:val="00DF2B2A"/>
    <w:rsid w:val="00DF58AE"/>
    <w:rsid w:val="00DF5D2B"/>
    <w:rsid w:val="00DF67CB"/>
    <w:rsid w:val="00E00E8E"/>
    <w:rsid w:val="00E053CB"/>
    <w:rsid w:val="00E05630"/>
    <w:rsid w:val="00E0579B"/>
    <w:rsid w:val="00E05E6B"/>
    <w:rsid w:val="00E06DBB"/>
    <w:rsid w:val="00E10149"/>
    <w:rsid w:val="00E1017F"/>
    <w:rsid w:val="00E1414C"/>
    <w:rsid w:val="00E1421E"/>
    <w:rsid w:val="00E147CF"/>
    <w:rsid w:val="00E15762"/>
    <w:rsid w:val="00E1617C"/>
    <w:rsid w:val="00E16249"/>
    <w:rsid w:val="00E16372"/>
    <w:rsid w:val="00E174E0"/>
    <w:rsid w:val="00E17A03"/>
    <w:rsid w:val="00E20E4D"/>
    <w:rsid w:val="00E20ED6"/>
    <w:rsid w:val="00E210AB"/>
    <w:rsid w:val="00E21358"/>
    <w:rsid w:val="00E21B71"/>
    <w:rsid w:val="00E2249B"/>
    <w:rsid w:val="00E22A0D"/>
    <w:rsid w:val="00E23738"/>
    <w:rsid w:val="00E2420A"/>
    <w:rsid w:val="00E24684"/>
    <w:rsid w:val="00E24700"/>
    <w:rsid w:val="00E24BEE"/>
    <w:rsid w:val="00E25B8E"/>
    <w:rsid w:val="00E26402"/>
    <w:rsid w:val="00E2771E"/>
    <w:rsid w:val="00E300ED"/>
    <w:rsid w:val="00E30317"/>
    <w:rsid w:val="00E32327"/>
    <w:rsid w:val="00E34948"/>
    <w:rsid w:val="00E36608"/>
    <w:rsid w:val="00E37569"/>
    <w:rsid w:val="00E407BB"/>
    <w:rsid w:val="00E41E30"/>
    <w:rsid w:val="00E41EB3"/>
    <w:rsid w:val="00E41F1A"/>
    <w:rsid w:val="00E42130"/>
    <w:rsid w:val="00E42B00"/>
    <w:rsid w:val="00E43211"/>
    <w:rsid w:val="00E43D70"/>
    <w:rsid w:val="00E4459A"/>
    <w:rsid w:val="00E466F3"/>
    <w:rsid w:val="00E468FB"/>
    <w:rsid w:val="00E478BE"/>
    <w:rsid w:val="00E47B2C"/>
    <w:rsid w:val="00E5002E"/>
    <w:rsid w:val="00E500CC"/>
    <w:rsid w:val="00E500FF"/>
    <w:rsid w:val="00E5074C"/>
    <w:rsid w:val="00E51560"/>
    <w:rsid w:val="00E5257C"/>
    <w:rsid w:val="00E53446"/>
    <w:rsid w:val="00E53EF4"/>
    <w:rsid w:val="00E54347"/>
    <w:rsid w:val="00E547D4"/>
    <w:rsid w:val="00E54819"/>
    <w:rsid w:val="00E55424"/>
    <w:rsid w:val="00E55BB5"/>
    <w:rsid w:val="00E5618D"/>
    <w:rsid w:val="00E56D7B"/>
    <w:rsid w:val="00E608D3"/>
    <w:rsid w:val="00E623E4"/>
    <w:rsid w:val="00E65E79"/>
    <w:rsid w:val="00E66477"/>
    <w:rsid w:val="00E66BA2"/>
    <w:rsid w:val="00E67035"/>
    <w:rsid w:val="00E67416"/>
    <w:rsid w:val="00E67B17"/>
    <w:rsid w:val="00E718B6"/>
    <w:rsid w:val="00E719B8"/>
    <w:rsid w:val="00E723BA"/>
    <w:rsid w:val="00E73581"/>
    <w:rsid w:val="00E833F7"/>
    <w:rsid w:val="00E838BD"/>
    <w:rsid w:val="00E83BDF"/>
    <w:rsid w:val="00E8430F"/>
    <w:rsid w:val="00E84AB1"/>
    <w:rsid w:val="00E86103"/>
    <w:rsid w:val="00E87108"/>
    <w:rsid w:val="00E87A1D"/>
    <w:rsid w:val="00E87EE0"/>
    <w:rsid w:val="00E90192"/>
    <w:rsid w:val="00E91450"/>
    <w:rsid w:val="00E9239E"/>
    <w:rsid w:val="00E926A5"/>
    <w:rsid w:val="00E94706"/>
    <w:rsid w:val="00E9483F"/>
    <w:rsid w:val="00E949BB"/>
    <w:rsid w:val="00E9598C"/>
    <w:rsid w:val="00E963CC"/>
    <w:rsid w:val="00E966A0"/>
    <w:rsid w:val="00E96B3A"/>
    <w:rsid w:val="00E97B59"/>
    <w:rsid w:val="00E97D55"/>
    <w:rsid w:val="00EA1172"/>
    <w:rsid w:val="00EA119F"/>
    <w:rsid w:val="00EA17C3"/>
    <w:rsid w:val="00EA2CAA"/>
    <w:rsid w:val="00EA3864"/>
    <w:rsid w:val="00EA450A"/>
    <w:rsid w:val="00EA45EB"/>
    <w:rsid w:val="00EA7414"/>
    <w:rsid w:val="00EB10A0"/>
    <w:rsid w:val="00EB15B6"/>
    <w:rsid w:val="00EB4916"/>
    <w:rsid w:val="00EB67E6"/>
    <w:rsid w:val="00EB6B7A"/>
    <w:rsid w:val="00EB6BAD"/>
    <w:rsid w:val="00EB6F74"/>
    <w:rsid w:val="00EB6F94"/>
    <w:rsid w:val="00EB7008"/>
    <w:rsid w:val="00EC00C9"/>
    <w:rsid w:val="00EC0AB0"/>
    <w:rsid w:val="00EC2219"/>
    <w:rsid w:val="00EC2649"/>
    <w:rsid w:val="00EC27C6"/>
    <w:rsid w:val="00EC4052"/>
    <w:rsid w:val="00EC78F7"/>
    <w:rsid w:val="00EC7E0F"/>
    <w:rsid w:val="00ED05CB"/>
    <w:rsid w:val="00ED1F32"/>
    <w:rsid w:val="00ED2E06"/>
    <w:rsid w:val="00ED57EA"/>
    <w:rsid w:val="00ED68C3"/>
    <w:rsid w:val="00ED6B7C"/>
    <w:rsid w:val="00EE0241"/>
    <w:rsid w:val="00EE07D3"/>
    <w:rsid w:val="00EE0A8E"/>
    <w:rsid w:val="00EE22AF"/>
    <w:rsid w:val="00EE2450"/>
    <w:rsid w:val="00EE2BBD"/>
    <w:rsid w:val="00EE6FA6"/>
    <w:rsid w:val="00EE76B2"/>
    <w:rsid w:val="00EF0171"/>
    <w:rsid w:val="00EF0934"/>
    <w:rsid w:val="00EF1B25"/>
    <w:rsid w:val="00EF1F79"/>
    <w:rsid w:val="00EF3824"/>
    <w:rsid w:val="00EF3967"/>
    <w:rsid w:val="00EF4747"/>
    <w:rsid w:val="00EF4BF8"/>
    <w:rsid w:val="00EF66F3"/>
    <w:rsid w:val="00EF6A6C"/>
    <w:rsid w:val="00EF6AD6"/>
    <w:rsid w:val="00F000C3"/>
    <w:rsid w:val="00F012B8"/>
    <w:rsid w:val="00F02253"/>
    <w:rsid w:val="00F03244"/>
    <w:rsid w:val="00F03B96"/>
    <w:rsid w:val="00F03C2E"/>
    <w:rsid w:val="00F04A66"/>
    <w:rsid w:val="00F0516C"/>
    <w:rsid w:val="00F067A2"/>
    <w:rsid w:val="00F07ADF"/>
    <w:rsid w:val="00F11B9B"/>
    <w:rsid w:val="00F11C45"/>
    <w:rsid w:val="00F11C51"/>
    <w:rsid w:val="00F1263A"/>
    <w:rsid w:val="00F126E4"/>
    <w:rsid w:val="00F1324D"/>
    <w:rsid w:val="00F14171"/>
    <w:rsid w:val="00F150E3"/>
    <w:rsid w:val="00F152B5"/>
    <w:rsid w:val="00F23DF1"/>
    <w:rsid w:val="00F246D6"/>
    <w:rsid w:val="00F24837"/>
    <w:rsid w:val="00F2575F"/>
    <w:rsid w:val="00F27565"/>
    <w:rsid w:val="00F310D4"/>
    <w:rsid w:val="00F316CA"/>
    <w:rsid w:val="00F31D5A"/>
    <w:rsid w:val="00F325D7"/>
    <w:rsid w:val="00F335E7"/>
    <w:rsid w:val="00F339F5"/>
    <w:rsid w:val="00F33DE9"/>
    <w:rsid w:val="00F34C0D"/>
    <w:rsid w:val="00F3619A"/>
    <w:rsid w:val="00F368D5"/>
    <w:rsid w:val="00F40AAA"/>
    <w:rsid w:val="00F40BA7"/>
    <w:rsid w:val="00F42AAC"/>
    <w:rsid w:val="00F4309E"/>
    <w:rsid w:val="00F431CE"/>
    <w:rsid w:val="00F441D4"/>
    <w:rsid w:val="00F453DA"/>
    <w:rsid w:val="00F46CB6"/>
    <w:rsid w:val="00F47DE8"/>
    <w:rsid w:val="00F50444"/>
    <w:rsid w:val="00F52F1B"/>
    <w:rsid w:val="00F541F5"/>
    <w:rsid w:val="00F542C1"/>
    <w:rsid w:val="00F55E73"/>
    <w:rsid w:val="00F55EDA"/>
    <w:rsid w:val="00F57ADF"/>
    <w:rsid w:val="00F60092"/>
    <w:rsid w:val="00F621F0"/>
    <w:rsid w:val="00F63489"/>
    <w:rsid w:val="00F63516"/>
    <w:rsid w:val="00F63F27"/>
    <w:rsid w:val="00F647F0"/>
    <w:rsid w:val="00F65F4B"/>
    <w:rsid w:val="00F67799"/>
    <w:rsid w:val="00F6785C"/>
    <w:rsid w:val="00F67B00"/>
    <w:rsid w:val="00F70C9D"/>
    <w:rsid w:val="00F74CD9"/>
    <w:rsid w:val="00F75A4E"/>
    <w:rsid w:val="00F802F7"/>
    <w:rsid w:val="00F80A7B"/>
    <w:rsid w:val="00F80E5D"/>
    <w:rsid w:val="00F820D4"/>
    <w:rsid w:val="00F83A0E"/>
    <w:rsid w:val="00F83C24"/>
    <w:rsid w:val="00F84017"/>
    <w:rsid w:val="00F8429F"/>
    <w:rsid w:val="00F851CE"/>
    <w:rsid w:val="00F85F7B"/>
    <w:rsid w:val="00F86467"/>
    <w:rsid w:val="00F87BD7"/>
    <w:rsid w:val="00F91219"/>
    <w:rsid w:val="00F94311"/>
    <w:rsid w:val="00F9619A"/>
    <w:rsid w:val="00F96B53"/>
    <w:rsid w:val="00F96CD5"/>
    <w:rsid w:val="00F97066"/>
    <w:rsid w:val="00F97A78"/>
    <w:rsid w:val="00FA0B20"/>
    <w:rsid w:val="00FA24E7"/>
    <w:rsid w:val="00FA354A"/>
    <w:rsid w:val="00FB0FF4"/>
    <w:rsid w:val="00FB277A"/>
    <w:rsid w:val="00FB2FCB"/>
    <w:rsid w:val="00FB3123"/>
    <w:rsid w:val="00FB6920"/>
    <w:rsid w:val="00FB7CF4"/>
    <w:rsid w:val="00FC1074"/>
    <w:rsid w:val="00FC1884"/>
    <w:rsid w:val="00FC210D"/>
    <w:rsid w:val="00FC371D"/>
    <w:rsid w:val="00FC37A4"/>
    <w:rsid w:val="00FC44BB"/>
    <w:rsid w:val="00FC5056"/>
    <w:rsid w:val="00FC5AA5"/>
    <w:rsid w:val="00FC5F0B"/>
    <w:rsid w:val="00FD2100"/>
    <w:rsid w:val="00FD210E"/>
    <w:rsid w:val="00FD2786"/>
    <w:rsid w:val="00FD30CE"/>
    <w:rsid w:val="00FD3631"/>
    <w:rsid w:val="00FD3E3B"/>
    <w:rsid w:val="00FD436C"/>
    <w:rsid w:val="00FD446D"/>
    <w:rsid w:val="00FD4977"/>
    <w:rsid w:val="00FD4B45"/>
    <w:rsid w:val="00FD6394"/>
    <w:rsid w:val="00FE0236"/>
    <w:rsid w:val="00FE0E6C"/>
    <w:rsid w:val="00FE19D9"/>
    <w:rsid w:val="00FE19E5"/>
    <w:rsid w:val="00FE20F2"/>
    <w:rsid w:val="00FE3823"/>
    <w:rsid w:val="00FE3BEA"/>
    <w:rsid w:val="00FE6438"/>
    <w:rsid w:val="00FE70C3"/>
    <w:rsid w:val="00FF0E17"/>
    <w:rsid w:val="00FF3DCF"/>
    <w:rsid w:val="00FF492C"/>
    <w:rsid w:val="00FF4A21"/>
    <w:rsid w:val="00FF4A3C"/>
    <w:rsid w:val="00FF5AA3"/>
    <w:rsid w:val="00FF5AD8"/>
    <w:rsid w:val="00FF61FE"/>
    <w:rsid w:val="00FF68E9"/>
    <w:rsid w:val="00FF7C1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897"/>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EndnoteText">
    <w:name w:val="endnote text"/>
    <w:basedOn w:val="Normal"/>
    <w:link w:val="EndnoteTextChar"/>
    <w:semiHidden/>
    <w:unhideWhenUsed/>
    <w:rsid w:val="00BD4707"/>
    <w:rPr>
      <w:sz w:val="20"/>
      <w:szCs w:val="20"/>
    </w:rPr>
  </w:style>
  <w:style w:type="character" w:customStyle="1" w:styleId="EndnoteTextChar">
    <w:name w:val="Endnote Text Char"/>
    <w:basedOn w:val="DefaultParagraphFont"/>
    <w:link w:val="EndnoteText"/>
    <w:semiHidden/>
    <w:rsid w:val="00BD4707"/>
    <w:rPr>
      <w:rFonts w:ascii="Calibri" w:hAnsi="Calibri" w:cs="Arial"/>
      <w:snapToGrid w:val="0"/>
      <w:lang w:eastAsia="en-US"/>
    </w:rPr>
  </w:style>
  <w:style w:type="character" w:styleId="EndnoteReference">
    <w:name w:val="endnote reference"/>
    <w:basedOn w:val="DefaultParagraphFont"/>
    <w:uiPriority w:val="99"/>
    <w:semiHidden/>
    <w:unhideWhenUsed/>
    <w:rsid w:val="00BD4707"/>
    <w:rPr>
      <w:vertAlign w:val="superscript"/>
    </w:rPr>
  </w:style>
  <w:style w:type="character" w:styleId="PlaceholderText">
    <w:name w:val="Placeholder Text"/>
    <w:basedOn w:val="DefaultParagraphFont"/>
    <w:uiPriority w:val="99"/>
    <w:semiHidden/>
    <w:rsid w:val="000425DB"/>
    <w:rPr>
      <w:color w:val="808080"/>
    </w:rPr>
  </w:style>
  <w:style w:type="paragraph" w:customStyle="1" w:styleId="MainBodyText">
    <w:name w:val="Main Body Text"/>
    <w:basedOn w:val="Normal"/>
    <w:link w:val="MainBodyTextChar"/>
    <w:rsid w:val="00F6785C"/>
    <w:pPr>
      <w:widowControl/>
      <w:spacing w:after="240" w:line="276" w:lineRule="auto"/>
    </w:pPr>
    <w:rPr>
      <w:rFonts w:ascii="Arial" w:hAnsi="Arial" w:cs="Times New Roman"/>
      <w:snapToGrid/>
      <w:sz w:val="22"/>
      <w:lang w:eastAsia="en-AU"/>
    </w:rPr>
  </w:style>
  <w:style w:type="character" w:customStyle="1" w:styleId="MainBodyTextChar">
    <w:name w:val="Main Body Text Char"/>
    <w:link w:val="MainBodyText"/>
    <w:rsid w:val="00F6785C"/>
    <w:rPr>
      <w:rFonts w:ascii="Arial" w:hAnsi="Arial"/>
      <w:sz w:val="22"/>
      <w:szCs w:val="22"/>
    </w:rPr>
  </w:style>
  <w:style w:type="paragraph" w:customStyle="1" w:styleId="Default">
    <w:name w:val="Default"/>
    <w:rsid w:val="00136145"/>
    <w:pPr>
      <w:autoSpaceDE w:val="0"/>
      <w:autoSpaceDN w:val="0"/>
      <w:adjustRightInd w:val="0"/>
    </w:pPr>
    <w:rPr>
      <w:rFonts w:ascii="Cambria" w:hAnsi="Cambria" w:cs="Cambria"/>
      <w:color w:val="000000"/>
      <w:sz w:val="24"/>
      <w:szCs w:val="24"/>
    </w:rPr>
  </w:style>
  <w:style w:type="paragraph" w:customStyle="1" w:styleId="TableHeading0">
    <w:name w:val="Table Heading"/>
    <w:basedOn w:val="Normal"/>
    <w:qFormat/>
    <w:rsid w:val="00B3291A"/>
    <w:pPr>
      <w:keepNext/>
      <w:widowControl/>
      <w:spacing w:after="60"/>
      <w:jc w:val="left"/>
    </w:pPr>
    <w:rPr>
      <w:rFonts w:ascii="Arial Narrow" w:eastAsiaTheme="minorHAnsi" w:hAnsi="Arial Narrow" w:cstheme="minorBidi"/>
      <w:b/>
      <w:snapToGrid/>
      <w:sz w:val="20"/>
    </w:rPr>
  </w:style>
  <w:style w:type="paragraph" w:customStyle="1" w:styleId="TableText0">
    <w:name w:val="Table Text"/>
    <w:basedOn w:val="Normal"/>
    <w:link w:val="TableTextChar0"/>
    <w:qFormat/>
    <w:rsid w:val="00B3291A"/>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locked/>
    <w:rsid w:val="00B3291A"/>
    <w:rPr>
      <w:rFonts w:ascii="Arial Narrow" w:eastAsiaTheme="minorHAnsi" w:hAnsi="Arial Narrow" w:cstheme="minorBidi"/>
      <w:szCs w:val="22"/>
      <w:lang w:eastAsia="en-US"/>
    </w:rPr>
  </w:style>
  <w:style w:type="paragraph" w:customStyle="1" w:styleId="V50Instructions">
    <w:name w:val="V5.0 Instructions"/>
    <w:basedOn w:val="Normal"/>
    <w:link w:val="V50InstructionsChar"/>
    <w:qFormat/>
    <w:rsid w:val="00913C3D"/>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913C3D"/>
    <w:rPr>
      <w:rFonts w:asciiTheme="minorHAnsi" w:eastAsiaTheme="minorHAnsi" w:hAnsiTheme="minorHAnsi" w:cstheme="minorBidi"/>
      <w:color w:val="4BACC6" w:themeColor="accent5"/>
      <w:sz w:val="24"/>
      <w:szCs w:val="22"/>
      <w:lang w:eastAsia="en-US"/>
    </w:rPr>
  </w:style>
  <w:style w:type="paragraph" w:styleId="FootnoteText">
    <w:name w:val="footnote text"/>
    <w:basedOn w:val="Normal"/>
    <w:link w:val="FootnoteTextChar"/>
    <w:semiHidden/>
    <w:unhideWhenUsed/>
    <w:rsid w:val="00C37EB5"/>
    <w:rPr>
      <w:sz w:val="20"/>
      <w:szCs w:val="20"/>
    </w:rPr>
  </w:style>
  <w:style w:type="character" w:customStyle="1" w:styleId="FootnoteTextChar">
    <w:name w:val="Footnote Text Char"/>
    <w:basedOn w:val="DefaultParagraphFont"/>
    <w:link w:val="FootnoteText"/>
    <w:semiHidden/>
    <w:rsid w:val="00C37EB5"/>
    <w:rPr>
      <w:rFonts w:ascii="Calibri" w:hAnsi="Calibri" w:cs="Arial"/>
      <w:snapToGrid w:val="0"/>
      <w:lang w:eastAsia="en-US"/>
    </w:rPr>
  </w:style>
  <w:style w:type="character" w:styleId="FootnoteReference">
    <w:name w:val="footnote reference"/>
    <w:basedOn w:val="DefaultParagraphFont"/>
    <w:semiHidden/>
    <w:unhideWhenUsed/>
    <w:rsid w:val="00C37E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657671">
      <w:bodyDiv w:val="1"/>
      <w:marLeft w:val="0"/>
      <w:marRight w:val="0"/>
      <w:marTop w:val="0"/>
      <w:marBottom w:val="0"/>
      <w:divBdr>
        <w:top w:val="none" w:sz="0" w:space="0" w:color="auto"/>
        <w:left w:val="none" w:sz="0" w:space="0" w:color="auto"/>
        <w:bottom w:val="none" w:sz="0" w:space="0" w:color="auto"/>
        <w:right w:val="none" w:sz="0" w:space="0" w:color="auto"/>
      </w:divBdr>
      <w:divsChild>
        <w:div w:id="1989627704">
          <w:marLeft w:val="446"/>
          <w:marRight w:val="0"/>
          <w:marTop w:val="0"/>
          <w:marBottom w:val="0"/>
          <w:divBdr>
            <w:top w:val="none" w:sz="0" w:space="0" w:color="auto"/>
            <w:left w:val="none" w:sz="0" w:space="0" w:color="auto"/>
            <w:bottom w:val="none" w:sz="0" w:space="0" w:color="auto"/>
            <w:right w:val="none" w:sz="0" w:space="0" w:color="auto"/>
          </w:divBdr>
        </w:div>
      </w:divsChild>
    </w:div>
    <w:div w:id="1097947321">
      <w:bodyDiv w:val="1"/>
      <w:marLeft w:val="0"/>
      <w:marRight w:val="0"/>
      <w:marTop w:val="0"/>
      <w:marBottom w:val="0"/>
      <w:divBdr>
        <w:top w:val="none" w:sz="0" w:space="0" w:color="auto"/>
        <w:left w:val="none" w:sz="0" w:space="0" w:color="auto"/>
        <w:bottom w:val="none" w:sz="0" w:space="0" w:color="auto"/>
        <w:right w:val="none" w:sz="0" w:space="0" w:color="auto"/>
      </w:divBdr>
    </w:div>
    <w:div w:id="1568224597">
      <w:bodyDiv w:val="1"/>
      <w:marLeft w:val="0"/>
      <w:marRight w:val="0"/>
      <w:marTop w:val="0"/>
      <w:marBottom w:val="0"/>
      <w:divBdr>
        <w:top w:val="none" w:sz="0" w:space="0" w:color="auto"/>
        <w:left w:val="none" w:sz="0" w:space="0" w:color="auto"/>
        <w:bottom w:val="none" w:sz="0" w:space="0" w:color="auto"/>
        <w:right w:val="none" w:sz="0" w:space="0" w:color="auto"/>
      </w:divBdr>
    </w:div>
    <w:div w:id="1927305567">
      <w:bodyDiv w:val="1"/>
      <w:marLeft w:val="0"/>
      <w:marRight w:val="0"/>
      <w:marTop w:val="0"/>
      <w:marBottom w:val="0"/>
      <w:divBdr>
        <w:top w:val="none" w:sz="0" w:space="0" w:color="auto"/>
        <w:left w:val="none" w:sz="0" w:space="0" w:color="auto"/>
        <w:bottom w:val="none" w:sz="0" w:space="0" w:color="auto"/>
        <w:right w:val="none" w:sz="0" w:space="0" w:color="auto"/>
      </w:divBdr>
      <w:divsChild>
        <w:div w:id="84376441">
          <w:marLeft w:val="1080"/>
          <w:marRight w:val="0"/>
          <w:marTop w:val="100"/>
          <w:marBottom w:val="0"/>
          <w:divBdr>
            <w:top w:val="none" w:sz="0" w:space="0" w:color="auto"/>
            <w:left w:val="none" w:sz="0" w:space="0" w:color="auto"/>
            <w:bottom w:val="none" w:sz="0" w:space="0" w:color="auto"/>
            <w:right w:val="none" w:sz="0" w:space="0" w:color="auto"/>
          </w:divBdr>
        </w:div>
      </w:divsChild>
    </w:div>
    <w:div w:id="1987465960">
      <w:bodyDiv w:val="1"/>
      <w:marLeft w:val="0"/>
      <w:marRight w:val="0"/>
      <w:marTop w:val="0"/>
      <w:marBottom w:val="0"/>
      <w:divBdr>
        <w:top w:val="none" w:sz="0" w:space="0" w:color="auto"/>
        <w:left w:val="none" w:sz="0" w:space="0" w:color="auto"/>
        <w:bottom w:val="none" w:sz="0" w:space="0" w:color="auto"/>
        <w:right w:val="none" w:sz="0" w:space="0" w:color="auto"/>
      </w:divBdr>
    </w:div>
    <w:div w:id="211774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62751-0FED-4F80-881C-4C6E63E9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12594</Words>
  <Characters>70453</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2019-02-20T03:52:00Z</dcterms:created>
  <dcterms:modified xsi:type="dcterms:W3CDTF">2019-02-20T04:03:00Z</dcterms:modified>
</cp:coreProperties>
</file>