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F8A" w:rsidRDefault="00FF1F8A" w:rsidP="00AB152E">
      <w:pPr>
        <w:widowControl/>
        <w:ind w:left="720" w:hanging="720"/>
        <w:jc w:val="left"/>
        <w:rPr>
          <w:b/>
          <w:sz w:val="36"/>
          <w:szCs w:val="36"/>
        </w:rPr>
      </w:pPr>
      <w:r>
        <w:rPr>
          <w:b/>
          <w:sz w:val="36"/>
          <w:szCs w:val="36"/>
        </w:rPr>
        <w:t>6</w:t>
      </w:r>
      <w:r w:rsidR="00433044" w:rsidRPr="00C12C14">
        <w:rPr>
          <w:b/>
          <w:sz w:val="36"/>
          <w:szCs w:val="36"/>
        </w:rPr>
        <w:t>.</w:t>
      </w:r>
      <w:r>
        <w:rPr>
          <w:b/>
          <w:sz w:val="36"/>
          <w:szCs w:val="36"/>
        </w:rPr>
        <w:t>02</w:t>
      </w:r>
      <w:r w:rsidR="00A0088E">
        <w:rPr>
          <w:b/>
          <w:sz w:val="36"/>
          <w:szCs w:val="36"/>
        </w:rPr>
        <w:tab/>
      </w:r>
      <w:r w:rsidR="00852C8B" w:rsidRPr="00852C8B">
        <w:rPr>
          <w:rFonts w:cs="Arial Bold"/>
          <w:b/>
          <w:caps/>
          <w:sz w:val="36"/>
          <w:szCs w:val="36"/>
        </w:rPr>
        <w:t>Clostridium botulinum type A toxin</w:t>
      </w:r>
      <w:r w:rsidR="00AB7B13">
        <w:rPr>
          <w:rFonts w:cs="Arial Bold"/>
          <w:b/>
          <w:caps/>
          <w:sz w:val="36"/>
          <w:szCs w:val="36"/>
        </w:rPr>
        <w:t>-Haemagglutinin complex</w:t>
      </w:r>
      <w:r w:rsidR="00B60939" w:rsidRPr="00C12C14">
        <w:rPr>
          <w:b/>
          <w:sz w:val="36"/>
          <w:szCs w:val="36"/>
        </w:rPr>
        <w:t xml:space="preserve">, </w:t>
      </w:r>
    </w:p>
    <w:p w:rsidR="00114B88" w:rsidRDefault="008B7D34" w:rsidP="00AB152E">
      <w:pPr>
        <w:widowControl/>
        <w:ind w:left="720"/>
        <w:jc w:val="left"/>
        <w:rPr>
          <w:b/>
          <w:sz w:val="36"/>
          <w:szCs w:val="36"/>
        </w:rPr>
      </w:pPr>
      <w:r>
        <w:rPr>
          <w:b/>
          <w:sz w:val="36"/>
          <w:szCs w:val="36"/>
        </w:rPr>
        <w:t>Lyophilised powder for I.M. injection</w:t>
      </w:r>
      <w:r w:rsidR="00B0593E">
        <w:rPr>
          <w:b/>
          <w:sz w:val="36"/>
          <w:szCs w:val="36"/>
        </w:rPr>
        <w:t>,</w:t>
      </w:r>
      <w:r w:rsidR="00AF50FF">
        <w:rPr>
          <w:b/>
          <w:sz w:val="36"/>
          <w:szCs w:val="36"/>
        </w:rPr>
        <w:t xml:space="preserve"> </w:t>
      </w:r>
      <w:r>
        <w:rPr>
          <w:b/>
          <w:sz w:val="36"/>
          <w:szCs w:val="36"/>
        </w:rPr>
        <w:t>300 units,</w:t>
      </w:r>
      <w:r w:rsidR="00852C8B">
        <w:rPr>
          <w:b/>
          <w:sz w:val="36"/>
          <w:szCs w:val="36"/>
        </w:rPr>
        <w:t xml:space="preserve"> </w:t>
      </w:r>
      <w:r w:rsidR="00AF50FF">
        <w:rPr>
          <w:b/>
          <w:sz w:val="36"/>
          <w:szCs w:val="36"/>
        </w:rPr>
        <w:t>500 units,</w:t>
      </w:r>
      <w:r w:rsidR="00AB152E">
        <w:rPr>
          <w:b/>
          <w:sz w:val="36"/>
          <w:szCs w:val="36"/>
        </w:rPr>
        <w:t xml:space="preserve"> </w:t>
      </w:r>
    </w:p>
    <w:p w:rsidR="00B60939" w:rsidRPr="00C12C14" w:rsidRDefault="00852C8B" w:rsidP="00AB152E">
      <w:pPr>
        <w:widowControl/>
        <w:ind w:left="720"/>
        <w:jc w:val="left"/>
        <w:rPr>
          <w:b/>
          <w:sz w:val="36"/>
          <w:szCs w:val="36"/>
        </w:rPr>
      </w:pPr>
      <w:r>
        <w:rPr>
          <w:b/>
          <w:sz w:val="36"/>
          <w:szCs w:val="36"/>
        </w:rPr>
        <w:t>Dysport</w:t>
      </w:r>
      <w:r w:rsidR="00B60939" w:rsidRPr="008B7D34">
        <w:rPr>
          <w:b/>
          <w:sz w:val="36"/>
          <w:szCs w:val="36"/>
        </w:rPr>
        <w:t>®</w:t>
      </w:r>
      <w:r w:rsidR="00B60939" w:rsidRPr="00C12C14">
        <w:rPr>
          <w:b/>
          <w:sz w:val="36"/>
          <w:szCs w:val="36"/>
        </w:rPr>
        <w:t>,</w:t>
      </w:r>
      <w:r>
        <w:rPr>
          <w:b/>
          <w:sz w:val="36"/>
          <w:szCs w:val="36"/>
        </w:rPr>
        <w:t xml:space="preserve"> Ipsen</w:t>
      </w:r>
      <w:r w:rsidR="008B7D34">
        <w:rPr>
          <w:b/>
          <w:sz w:val="36"/>
          <w:szCs w:val="36"/>
        </w:rPr>
        <w:t xml:space="preserve"> Pty Ltd</w:t>
      </w:r>
      <w:r w:rsidR="00B60939" w:rsidRPr="00C12C14">
        <w:rPr>
          <w:b/>
          <w:sz w:val="36"/>
          <w:szCs w:val="36"/>
        </w:rPr>
        <w:t>.</w:t>
      </w:r>
    </w:p>
    <w:p w:rsidR="00B50DB8" w:rsidRPr="00114B88" w:rsidRDefault="00B50DB8" w:rsidP="00987415">
      <w:pPr>
        <w:pStyle w:val="Heading1"/>
        <w:ind w:left="709" w:hanging="709"/>
      </w:pPr>
      <w:bookmarkStart w:id="0" w:name="_Toc524505987"/>
      <w:r w:rsidRPr="00114B88">
        <w:t>Purpose of Application</w:t>
      </w:r>
      <w:bookmarkEnd w:id="0"/>
    </w:p>
    <w:p w:rsidR="002C2775" w:rsidRPr="00267462" w:rsidRDefault="00FA60DA" w:rsidP="00D309A1">
      <w:pPr>
        <w:pStyle w:val="ListParagraph"/>
      </w:pPr>
      <w:r w:rsidRPr="00267462">
        <w:t xml:space="preserve">The submission requested a </w:t>
      </w:r>
      <w:r w:rsidR="008B1757" w:rsidRPr="00267462">
        <w:t>Section 100</w:t>
      </w:r>
      <w:r w:rsidR="00EA21D5" w:rsidRPr="00267462">
        <w:t xml:space="preserve"> (Botulinum Toxin Program)</w:t>
      </w:r>
      <w:r w:rsidR="008B1757" w:rsidRPr="00267462">
        <w:t>, Authority Required</w:t>
      </w:r>
      <w:r w:rsidR="00EA21D5" w:rsidRPr="00267462">
        <w:t xml:space="preserve"> (STREAMLINED)</w:t>
      </w:r>
      <w:r w:rsidR="008B1757" w:rsidRPr="00267462">
        <w:t xml:space="preserve"> listing for </w:t>
      </w:r>
      <w:r w:rsidR="00E527EB" w:rsidRPr="00267462">
        <w:t>Clostridium botulinum type A toxin-haemagglutin</w:t>
      </w:r>
      <w:r w:rsidR="00D5411C" w:rsidRPr="00267462">
        <w:t>in</w:t>
      </w:r>
      <w:r w:rsidR="00E527EB" w:rsidRPr="00267462">
        <w:t xml:space="preserve"> complex </w:t>
      </w:r>
      <w:r w:rsidR="006717EB" w:rsidRPr="00267462">
        <w:t>(</w:t>
      </w:r>
      <w:r w:rsidR="00E527EB" w:rsidRPr="00267462">
        <w:t xml:space="preserve">herein known as </w:t>
      </w:r>
      <w:r w:rsidR="00051CA9" w:rsidRPr="00267462">
        <w:t>Dysport®</w:t>
      </w:r>
      <w:r w:rsidR="006717EB" w:rsidRPr="00267462">
        <w:t>),</w:t>
      </w:r>
      <w:r w:rsidR="00E527EB" w:rsidRPr="00267462">
        <w:t xml:space="preserve"> </w:t>
      </w:r>
      <w:r w:rsidR="008B1757" w:rsidRPr="00267462">
        <w:t>for treatment of</w:t>
      </w:r>
      <w:r w:rsidR="00E527EB" w:rsidRPr="00267462">
        <w:t xml:space="preserve"> adult patients with moderate to severe spasticity of the lower limbs</w:t>
      </w:r>
      <w:r w:rsidR="008B1757" w:rsidRPr="00267462">
        <w:t xml:space="preserve"> </w:t>
      </w:r>
      <w:r w:rsidR="00E527EB" w:rsidRPr="00267462">
        <w:t>following an acute event</w:t>
      </w:r>
      <w:r w:rsidR="005956CB" w:rsidRPr="00267462">
        <w:t xml:space="preserve"> (e.g. stroke, traumatic brain injury (TBI), hypoxia, infection)</w:t>
      </w:r>
      <w:r w:rsidR="008B1757" w:rsidRPr="00267462">
        <w:t>.</w:t>
      </w:r>
      <w:r w:rsidR="00F62D45" w:rsidRPr="00267462">
        <w:t xml:space="preserve"> </w:t>
      </w:r>
      <w:r w:rsidR="002E219C" w:rsidRPr="00267462">
        <w:t xml:space="preserve">This is the first submission </w:t>
      </w:r>
      <w:r w:rsidR="005B780D" w:rsidRPr="00267462">
        <w:t xml:space="preserve">with this indication for </w:t>
      </w:r>
      <w:r w:rsidR="002E219C" w:rsidRPr="00267462">
        <w:t>consideration by the PBAC.</w:t>
      </w:r>
      <w:r w:rsidRPr="00267462">
        <w:t xml:space="preserve"> </w:t>
      </w:r>
      <w:r w:rsidR="00051CA9" w:rsidRPr="00267462">
        <w:t>Dysport®</w:t>
      </w:r>
      <w:r w:rsidR="00E527EB" w:rsidRPr="00267462">
        <w:t xml:space="preserve"> is currently PBS listed for</w:t>
      </w:r>
      <w:r w:rsidR="002E219C" w:rsidRPr="00267462">
        <w:t xml:space="preserve"> the treatment of adults with</w:t>
      </w:r>
      <w:r w:rsidR="00E527EB" w:rsidRPr="00267462">
        <w:t xml:space="preserve"> moderate to severe spasticity of the upper limbs following stroke, and a </w:t>
      </w:r>
      <w:r w:rsidR="002E219C" w:rsidRPr="00267462">
        <w:t>number of other indications.</w:t>
      </w:r>
    </w:p>
    <w:p w:rsidR="000A332D" w:rsidRPr="00267462" w:rsidRDefault="000A332D" w:rsidP="00A83A32">
      <w:pPr>
        <w:pStyle w:val="ListParagraph"/>
        <w:spacing w:after="160"/>
        <w:rPr>
          <w:rFonts w:asciiTheme="minorHAnsi" w:hAnsiTheme="minorHAnsi" w:cstheme="minorHAnsi"/>
          <w:szCs w:val="24"/>
        </w:rPr>
      </w:pPr>
      <w:r w:rsidRPr="00267462">
        <w:t xml:space="preserve">At the November 2018 meeting the PBAC </w:t>
      </w:r>
      <w:r w:rsidR="00FA60DA" w:rsidRPr="00267462">
        <w:t>also consider</w:t>
      </w:r>
      <w:r w:rsidR="001536A5">
        <w:t>ed</w:t>
      </w:r>
      <w:r w:rsidRPr="00267462">
        <w:t xml:space="preserve"> a submission for Dysport</w:t>
      </w:r>
      <w:r w:rsidRPr="00267462">
        <w:rPr>
          <w:rFonts w:cs="Calibri"/>
        </w:rPr>
        <w:t>®</w:t>
      </w:r>
      <w:r w:rsidRPr="00267462">
        <w:t xml:space="preserve"> use in the upper limb, to extend the PBS listing from following stroke to following an acute event</w:t>
      </w:r>
      <w:r w:rsidR="001536A5">
        <w:t xml:space="preserve"> (Item 6.03)</w:t>
      </w:r>
      <w:r w:rsidRPr="00267462">
        <w:t xml:space="preserve">, and </w:t>
      </w:r>
      <w:r w:rsidR="0004633A">
        <w:t>botulinum toxin type A (</w:t>
      </w:r>
      <w:r w:rsidRPr="00267462">
        <w:t>B</w:t>
      </w:r>
      <w:r w:rsidR="0004633A">
        <w:t>OTOX</w:t>
      </w:r>
      <w:r w:rsidRPr="00267462">
        <w:rPr>
          <w:rFonts w:cs="Calibri"/>
        </w:rPr>
        <w:t>®</w:t>
      </w:r>
      <w:r w:rsidR="0004633A">
        <w:rPr>
          <w:rFonts w:cs="Calibri"/>
        </w:rPr>
        <w:t>)</w:t>
      </w:r>
      <w:r w:rsidRPr="00267462">
        <w:t xml:space="preserve"> for the treatment of focal spasticity of the lower limb following a stroke</w:t>
      </w:r>
      <w:r w:rsidR="001536A5">
        <w:t xml:space="preserve"> (Item 7.02)</w:t>
      </w:r>
      <w:r w:rsidRPr="00267462">
        <w:t xml:space="preserve">. </w:t>
      </w:r>
    </w:p>
    <w:p w:rsidR="00C2778B" w:rsidRPr="00A0088E" w:rsidRDefault="00060888" w:rsidP="00D309A1">
      <w:pPr>
        <w:pStyle w:val="ListParagraph"/>
      </w:pPr>
      <w:r w:rsidRPr="00A0088E">
        <w:t xml:space="preserve">The basis for the requested listing was </w:t>
      </w:r>
      <w:r w:rsidR="008B1757" w:rsidRPr="00A0088E">
        <w:t xml:space="preserve">cost-effectiveness </w:t>
      </w:r>
      <w:r w:rsidRPr="00A0088E">
        <w:t xml:space="preserve">of </w:t>
      </w:r>
      <w:r w:rsidR="00051CA9" w:rsidRPr="00A0088E">
        <w:t>Dysport®</w:t>
      </w:r>
      <w:r w:rsidRPr="00A0088E">
        <w:t xml:space="preserve"> plus standard of care </w:t>
      </w:r>
      <w:r w:rsidR="008B1757" w:rsidRPr="00A0088E">
        <w:t xml:space="preserve">compared with </w:t>
      </w:r>
      <w:r w:rsidRPr="00A0088E">
        <w:t>standard of care alone</w:t>
      </w:r>
      <w:r w:rsidR="008B1757" w:rsidRPr="00A0088E">
        <w:t>.</w:t>
      </w:r>
      <w:r w:rsidR="00FA60DA">
        <w:t xml:space="preserve"> </w:t>
      </w:r>
      <w:r w:rsidR="005E3CBD" w:rsidRPr="00A0088E">
        <w:rPr>
          <w:iCs/>
        </w:rPr>
        <w:t>The modelled economic analysis estimated improve</w:t>
      </w:r>
      <w:r w:rsidR="001503F5" w:rsidRPr="00A0088E">
        <w:rPr>
          <w:iCs/>
        </w:rPr>
        <w:t>d</w:t>
      </w:r>
      <w:r w:rsidR="005E3CBD" w:rsidRPr="00A0088E">
        <w:rPr>
          <w:iCs/>
        </w:rPr>
        <w:t xml:space="preserve"> quality of life associated with improved walking speed </w:t>
      </w:r>
      <w:r w:rsidR="00601FD3" w:rsidRPr="00A0088E">
        <w:rPr>
          <w:iCs/>
        </w:rPr>
        <w:t>from</w:t>
      </w:r>
      <w:r w:rsidR="005E3CBD" w:rsidRPr="00A0088E">
        <w:rPr>
          <w:iCs/>
        </w:rPr>
        <w:t xml:space="preserve"> treatment; however, the trial evidence did not demonstrate a difference in walking speed </w:t>
      </w:r>
      <w:r w:rsidR="001536A5">
        <w:rPr>
          <w:iCs/>
        </w:rPr>
        <w:t>between the</w:t>
      </w:r>
      <w:r w:rsidR="001536A5" w:rsidRPr="00A0088E">
        <w:rPr>
          <w:iCs/>
        </w:rPr>
        <w:t xml:space="preserve"> </w:t>
      </w:r>
      <w:r w:rsidR="005E3CBD" w:rsidRPr="00A0088E">
        <w:rPr>
          <w:iCs/>
        </w:rPr>
        <w:t>arms.</w:t>
      </w:r>
      <w:r w:rsidR="00FA60DA">
        <w:rPr>
          <w:iCs/>
        </w:rPr>
        <w:t xml:space="preserve"> </w:t>
      </w:r>
    </w:p>
    <w:p w:rsidR="008B1757" w:rsidRPr="008B1757" w:rsidRDefault="00060888" w:rsidP="00D309A1">
      <w:pPr>
        <w:keepNext/>
        <w:widowControl/>
        <w:rPr>
          <w:rStyle w:val="CommentReference"/>
        </w:rPr>
      </w:pPr>
      <w:r>
        <w:rPr>
          <w:rStyle w:val="CommentReference"/>
        </w:rPr>
        <w:t>Table 1</w:t>
      </w:r>
      <w:r w:rsidR="008B1757">
        <w:rPr>
          <w:rStyle w:val="CommentReference"/>
        </w:rPr>
        <w:t>:</w:t>
      </w:r>
      <w:r w:rsidR="00FA60DA">
        <w:rPr>
          <w:rStyle w:val="CommentReference"/>
        </w:rPr>
        <w:t xml:space="preserve"> </w:t>
      </w:r>
      <w:r w:rsidR="008B1757">
        <w:rPr>
          <w:rStyle w:val="CommentReference"/>
        </w:rPr>
        <w:t>Key components of the clinical issue addressed by the submission</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7971"/>
      </w:tblGrid>
      <w:tr w:rsidR="008B1757" w:rsidRPr="00691913" w:rsidTr="007A397D">
        <w:trPr>
          <w:cantSplit/>
          <w:tblHeader/>
        </w:trPr>
        <w:tc>
          <w:tcPr>
            <w:tcW w:w="1129" w:type="dxa"/>
            <w:shd w:val="clear" w:color="auto" w:fill="auto"/>
          </w:tcPr>
          <w:p w:rsidR="008B1757" w:rsidRPr="008B1757" w:rsidRDefault="008B1757" w:rsidP="00D309A1">
            <w:pPr>
              <w:pStyle w:val="Tabletext"/>
              <w:keepNext/>
              <w:rPr>
                <w:b/>
                <w:szCs w:val="20"/>
              </w:rPr>
            </w:pPr>
            <w:r w:rsidRPr="008B1757">
              <w:rPr>
                <w:b/>
              </w:rPr>
              <w:t>Component</w:t>
            </w:r>
          </w:p>
        </w:tc>
        <w:tc>
          <w:tcPr>
            <w:tcW w:w="7971" w:type="dxa"/>
            <w:shd w:val="clear" w:color="auto" w:fill="auto"/>
          </w:tcPr>
          <w:p w:rsidR="008B1757" w:rsidRPr="008B1757" w:rsidRDefault="008B1757" w:rsidP="00D309A1">
            <w:pPr>
              <w:pStyle w:val="Tabletext"/>
              <w:keepNext/>
              <w:jc w:val="center"/>
              <w:rPr>
                <w:b/>
              </w:rPr>
            </w:pPr>
            <w:r w:rsidRPr="008B1757">
              <w:rPr>
                <w:b/>
              </w:rPr>
              <w:t>Description</w:t>
            </w:r>
          </w:p>
        </w:tc>
      </w:tr>
      <w:tr w:rsidR="002E219C" w:rsidRPr="00691913" w:rsidTr="007A397D">
        <w:trPr>
          <w:cantSplit/>
        </w:trPr>
        <w:tc>
          <w:tcPr>
            <w:tcW w:w="1129" w:type="dxa"/>
            <w:shd w:val="clear" w:color="auto" w:fill="auto"/>
          </w:tcPr>
          <w:p w:rsidR="002E219C" w:rsidRPr="00691913" w:rsidRDefault="002E219C" w:rsidP="00D309A1">
            <w:pPr>
              <w:pStyle w:val="Tabletext"/>
              <w:keepNext/>
            </w:pPr>
            <w:r w:rsidRPr="00691913">
              <w:t>Population</w:t>
            </w:r>
          </w:p>
        </w:tc>
        <w:tc>
          <w:tcPr>
            <w:tcW w:w="7971" w:type="dxa"/>
            <w:shd w:val="clear" w:color="auto" w:fill="auto"/>
            <w:vAlign w:val="center"/>
          </w:tcPr>
          <w:p w:rsidR="002E219C" w:rsidRPr="00691913" w:rsidRDefault="002E219C" w:rsidP="00D309A1">
            <w:pPr>
              <w:pStyle w:val="Tabletext"/>
              <w:keepNext/>
            </w:pPr>
            <w:r>
              <w:t>Patients with moderate to severe spasticity</w:t>
            </w:r>
            <w:r w:rsidR="00CE1B00">
              <w:t xml:space="preserve"> of the lower limbs</w:t>
            </w:r>
            <w:r>
              <w:t>, resulting from an acute event that has occurred two years or less prior to commencing treatment.</w:t>
            </w:r>
            <w:r w:rsidR="00FA60DA">
              <w:t xml:space="preserve"> </w:t>
            </w:r>
            <w:r>
              <w:t xml:space="preserve">An acute event is an event </w:t>
            </w:r>
            <w:r w:rsidRPr="00E96CEB">
              <w:t xml:space="preserve">that leads to an upper motor neuron lesion resulting in spasticity such as a stroke, traumatic brain injury (TBI), infection </w:t>
            </w:r>
            <w:r>
              <w:t>or hypoxia.</w:t>
            </w:r>
          </w:p>
        </w:tc>
      </w:tr>
      <w:tr w:rsidR="002E219C" w:rsidRPr="00691913" w:rsidTr="007A397D">
        <w:trPr>
          <w:cantSplit/>
        </w:trPr>
        <w:tc>
          <w:tcPr>
            <w:tcW w:w="1129" w:type="dxa"/>
            <w:shd w:val="clear" w:color="auto" w:fill="auto"/>
          </w:tcPr>
          <w:p w:rsidR="002E219C" w:rsidRPr="00691913" w:rsidRDefault="002E219C" w:rsidP="00D309A1">
            <w:pPr>
              <w:pStyle w:val="Tabletext"/>
              <w:keepNext/>
            </w:pPr>
            <w:r w:rsidRPr="00691913">
              <w:t>Intervention</w:t>
            </w:r>
          </w:p>
        </w:tc>
        <w:tc>
          <w:tcPr>
            <w:tcW w:w="7971" w:type="dxa"/>
            <w:shd w:val="clear" w:color="auto" w:fill="auto"/>
            <w:vAlign w:val="center"/>
          </w:tcPr>
          <w:p w:rsidR="002E219C" w:rsidRPr="00691913" w:rsidRDefault="00051CA9" w:rsidP="00D309A1">
            <w:pPr>
              <w:pStyle w:val="Tabletext"/>
              <w:keepNext/>
            </w:pPr>
            <w:r>
              <w:t>Dysport</w:t>
            </w:r>
            <w:r w:rsidR="001C3B66">
              <w:t xml:space="preserve"> as adjuvant to standard of care</w:t>
            </w:r>
            <w:r w:rsidR="002E219C">
              <w:t>.</w:t>
            </w:r>
            <w:r w:rsidR="00FA60DA">
              <w:t xml:space="preserve"> </w:t>
            </w:r>
            <w:r w:rsidR="002E219C">
              <w:t>T</w:t>
            </w:r>
            <w:r w:rsidR="002E219C" w:rsidRPr="002E219C">
              <w:t xml:space="preserve">he dose injected in each </w:t>
            </w:r>
            <w:r w:rsidR="002E219C">
              <w:t xml:space="preserve">lower </w:t>
            </w:r>
            <w:r w:rsidR="002E219C" w:rsidRPr="002E219C">
              <w:t>limb is tailored to the patient but without exceeding the total dose of 1500U</w:t>
            </w:r>
            <w:r w:rsidR="002E219C">
              <w:t>, administered no sooner than every 12 weeks.</w:t>
            </w:r>
            <w:r w:rsidR="00FA60DA">
              <w:t xml:space="preserve"> </w:t>
            </w:r>
            <w:r w:rsidR="002E219C" w:rsidRPr="002E219C">
              <w:t>If treatment is required in both upper and lower limbs, the total dose (upper and lower combined) should not exceed 1500U</w:t>
            </w:r>
            <w:r w:rsidR="001C3B66">
              <w:t>.</w:t>
            </w:r>
          </w:p>
        </w:tc>
      </w:tr>
      <w:tr w:rsidR="008B1757" w:rsidRPr="00691913" w:rsidTr="007A397D">
        <w:trPr>
          <w:cantSplit/>
        </w:trPr>
        <w:tc>
          <w:tcPr>
            <w:tcW w:w="1129" w:type="dxa"/>
            <w:shd w:val="clear" w:color="auto" w:fill="auto"/>
          </w:tcPr>
          <w:p w:rsidR="008B1757" w:rsidRPr="00691913" w:rsidRDefault="008B1757" w:rsidP="00D309A1">
            <w:pPr>
              <w:pStyle w:val="Tabletext"/>
              <w:keepNext/>
            </w:pPr>
            <w:r w:rsidRPr="00691913">
              <w:t>Comparator</w:t>
            </w:r>
          </w:p>
        </w:tc>
        <w:tc>
          <w:tcPr>
            <w:tcW w:w="7971" w:type="dxa"/>
            <w:shd w:val="clear" w:color="auto" w:fill="auto"/>
          </w:tcPr>
          <w:p w:rsidR="008B1757" w:rsidRPr="00691913" w:rsidRDefault="00CE1B00" w:rsidP="00D309A1">
            <w:pPr>
              <w:pStyle w:val="Tabletext"/>
              <w:keepNext/>
            </w:pPr>
            <w:r>
              <w:t>S</w:t>
            </w:r>
            <w:r w:rsidR="002E219C">
              <w:t>tandard of care</w:t>
            </w:r>
            <w:r w:rsidR="001C3B66">
              <w:t xml:space="preserve"> (placebo)</w:t>
            </w:r>
            <w:r w:rsidR="0013607E">
              <w:t>, including physiotherapy and/or oral spasticity medication</w:t>
            </w:r>
            <w:r w:rsidR="002E219C">
              <w:t>.</w:t>
            </w:r>
          </w:p>
        </w:tc>
      </w:tr>
      <w:tr w:rsidR="008B1757" w:rsidRPr="00691913" w:rsidTr="007A397D">
        <w:trPr>
          <w:cantSplit/>
        </w:trPr>
        <w:tc>
          <w:tcPr>
            <w:tcW w:w="1129" w:type="dxa"/>
            <w:shd w:val="clear" w:color="auto" w:fill="auto"/>
          </w:tcPr>
          <w:p w:rsidR="008B1757" w:rsidRPr="00691913" w:rsidRDefault="008B1757" w:rsidP="00D309A1">
            <w:pPr>
              <w:pStyle w:val="Tabletext"/>
              <w:keepNext/>
            </w:pPr>
            <w:r w:rsidRPr="00691913">
              <w:t>Outcomes</w:t>
            </w:r>
          </w:p>
        </w:tc>
        <w:tc>
          <w:tcPr>
            <w:tcW w:w="7971" w:type="dxa"/>
            <w:shd w:val="clear" w:color="auto" w:fill="auto"/>
          </w:tcPr>
          <w:p w:rsidR="00370E93" w:rsidRPr="00370E93" w:rsidRDefault="00833A96" w:rsidP="00D309A1">
            <w:pPr>
              <w:pStyle w:val="Tabletext"/>
              <w:keepNext/>
              <w:rPr>
                <w:iCs/>
                <w:u w:val="single"/>
              </w:rPr>
            </w:pPr>
            <w:r w:rsidRPr="00370E93">
              <w:rPr>
                <w:iCs/>
                <w:u w:val="single"/>
              </w:rPr>
              <w:t xml:space="preserve">Change in </w:t>
            </w:r>
            <w:r w:rsidR="00EF3022" w:rsidRPr="00370E93">
              <w:rPr>
                <w:iCs/>
                <w:u w:val="single"/>
              </w:rPr>
              <w:t>spasticity</w:t>
            </w:r>
          </w:p>
          <w:p w:rsidR="00EF3022" w:rsidRPr="00370E93" w:rsidRDefault="00EF3022" w:rsidP="00D309A1">
            <w:pPr>
              <w:pStyle w:val="Tabletext"/>
              <w:keepNext/>
              <w:rPr>
                <w:iCs/>
              </w:rPr>
            </w:pPr>
            <w:r w:rsidRPr="00370E93">
              <w:rPr>
                <w:iCs/>
              </w:rPr>
              <w:t>Reduction in</w:t>
            </w:r>
            <w:r w:rsidR="00833A96" w:rsidRPr="00370E93">
              <w:rPr>
                <w:iCs/>
              </w:rPr>
              <w:t xml:space="preserve"> </w:t>
            </w:r>
            <w:r w:rsidR="00CE1B00" w:rsidRPr="00370E93">
              <w:rPr>
                <w:iCs/>
              </w:rPr>
              <w:t>Modified Ashworth Scale (MAS)</w:t>
            </w:r>
            <w:r w:rsidRPr="00370E93">
              <w:rPr>
                <w:iCs/>
              </w:rPr>
              <w:t xml:space="preserve"> score in the PTMG</w:t>
            </w:r>
          </w:p>
          <w:p w:rsidR="00CE1B00" w:rsidRPr="00370E93" w:rsidRDefault="00CE1B00" w:rsidP="00D309A1">
            <w:pPr>
              <w:pStyle w:val="Tabletext"/>
              <w:keepNext/>
              <w:rPr>
                <w:iCs/>
                <w:u w:val="single"/>
              </w:rPr>
            </w:pPr>
            <w:r w:rsidRPr="00370E93">
              <w:rPr>
                <w:iCs/>
                <w:u w:val="single"/>
              </w:rPr>
              <w:t>Active functioning</w:t>
            </w:r>
          </w:p>
          <w:p w:rsidR="008B1757" w:rsidRPr="00370E93" w:rsidRDefault="00EF3022" w:rsidP="00D309A1">
            <w:pPr>
              <w:pStyle w:val="Tabletext"/>
              <w:keepNext/>
              <w:rPr>
                <w:iCs/>
              </w:rPr>
            </w:pPr>
            <w:r w:rsidRPr="00370E93">
              <w:rPr>
                <w:iCs/>
              </w:rPr>
              <w:t>Improved speed in</w:t>
            </w:r>
            <w:r w:rsidR="001536A5">
              <w:rPr>
                <w:iCs/>
              </w:rPr>
              <w:t xml:space="preserve"> </w:t>
            </w:r>
            <w:r w:rsidR="00CE1B00" w:rsidRPr="00370E93">
              <w:rPr>
                <w:iCs/>
              </w:rPr>
              <w:t>10-meter comfortable barefoot walking test</w:t>
            </w:r>
          </w:p>
          <w:p w:rsidR="00EF3022" w:rsidRPr="0054284B" w:rsidRDefault="00EF3022" w:rsidP="00D309A1">
            <w:pPr>
              <w:pStyle w:val="Tabletext"/>
              <w:keepNext/>
              <w:rPr>
                <w:i/>
              </w:rPr>
            </w:pPr>
            <w:r w:rsidRPr="00370E93">
              <w:rPr>
                <w:iCs/>
              </w:rPr>
              <w:t>PGA of overall treatment response</w:t>
            </w:r>
            <w:r w:rsidR="0054284B">
              <w:rPr>
                <w:i/>
              </w:rPr>
              <w:t xml:space="preserve"> </w:t>
            </w:r>
          </w:p>
        </w:tc>
      </w:tr>
      <w:tr w:rsidR="008B1757" w:rsidRPr="00691913" w:rsidTr="007A397D">
        <w:trPr>
          <w:cantSplit/>
        </w:trPr>
        <w:tc>
          <w:tcPr>
            <w:tcW w:w="1129" w:type="dxa"/>
            <w:shd w:val="clear" w:color="auto" w:fill="auto"/>
          </w:tcPr>
          <w:p w:rsidR="008B1757" w:rsidRPr="00691913" w:rsidRDefault="008B1757" w:rsidP="00D309A1">
            <w:pPr>
              <w:pStyle w:val="Tabletext"/>
              <w:keepNext/>
            </w:pPr>
            <w:r w:rsidRPr="00691913">
              <w:t>Clinical claim</w:t>
            </w:r>
          </w:p>
        </w:tc>
        <w:tc>
          <w:tcPr>
            <w:tcW w:w="7971" w:type="dxa"/>
            <w:shd w:val="clear" w:color="auto" w:fill="auto"/>
          </w:tcPr>
          <w:p w:rsidR="008B1757" w:rsidRPr="00691913" w:rsidRDefault="008B1757" w:rsidP="00D309A1">
            <w:pPr>
              <w:pStyle w:val="Tabletext"/>
              <w:keepNext/>
            </w:pPr>
            <w:r w:rsidRPr="00691913">
              <w:t xml:space="preserve">In </w:t>
            </w:r>
            <w:r w:rsidR="001C3B66">
              <w:t xml:space="preserve">patients with moderate to severe spasticity of the lower limbs, </w:t>
            </w:r>
            <w:r w:rsidR="00051CA9">
              <w:t>Dysport</w:t>
            </w:r>
            <w:r w:rsidRPr="00691913">
              <w:t xml:space="preserve"> is more effective than </w:t>
            </w:r>
            <w:r w:rsidR="001C3B66">
              <w:t xml:space="preserve">placebo </w:t>
            </w:r>
            <w:r w:rsidRPr="00691913">
              <w:t>at improving</w:t>
            </w:r>
            <w:r w:rsidR="001C3B66">
              <w:t xml:space="preserve"> spasticity (MAS) and active functioning (walking speed)</w:t>
            </w:r>
            <w:r w:rsidR="006C5875">
              <w:t>, and no worse in terms of safety.</w:t>
            </w:r>
          </w:p>
        </w:tc>
      </w:tr>
    </w:tbl>
    <w:p w:rsidR="00EF3022" w:rsidRDefault="00EF3022" w:rsidP="00114B88">
      <w:pPr>
        <w:pStyle w:val="TableFooter"/>
      </w:pPr>
      <w:r>
        <w:t>Abbreviations: MAS=modified Ashworth scale; PGA=Physician’s Global Assessment; PTMG=primary targeted muscle group; TBI=traumatic brain injury.</w:t>
      </w:r>
    </w:p>
    <w:p w:rsidR="008B1757" w:rsidRDefault="006C5875" w:rsidP="00114B88">
      <w:pPr>
        <w:pStyle w:val="TableFooter"/>
      </w:pPr>
      <w:r>
        <w:t xml:space="preserve">Source: </w:t>
      </w:r>
      <w:r w:rsidR="008B1757">
        <w:t>Table</w:t>
      </w:r>
      <w:r>
        <w:t>s 2 and 1.4</w:t>
      </w:r>
      <w:r w:rsidR="008B1757">
        <w:t>, p</w:t>
      </w:r>
      <w:r>
        <w:t>p3</w:t>
      </w:r>
      <w:r w:rsidR="008B1757">
        <w:t xml:space="preserve"> </w:t>
      </w:r>
      <w:r>
        <w:t xml:space="preserve">and 22 </w:t>
      </w:r>
      <w:r w:rsidR="008B1757" w:rsidRPr="00D13A3E">
        <w:t xml:space="preserve">of the </w:t>
      </w:r>
      <w:r w:rsidR="008B1757">
        <w:t>submission.</w:t>
      </w:r>
    </w:p>
    <w:p w:rsidR="00AC7D94" w:rsidRDefault="00AC7D94" w:rsidP="00591EC3">
      <w:pPr>
        <w:pStyle w:val="TableFooter"/>
      </w:pPr>
    </w:p>
    <w:p w:rsidR="00F022D2" w:rsidRPr="00F022D2" w:rsidRDefault="00F022D2" w:rsidP="00F022D2">
      <w:pPr>
        <w:rPr>
          <w:i/>
        </w:rPr>
      </w:pPr>
      <w:r>
        <w:tab/>
      </w:r>
      <w:r w:rsidRPr="00F022D2">
        <w:rPr>
          <w:i/>
        </w:rPr>
        <w:t>For more details on PBAC’s view, see Section 7 PBAC outcome.</w:t>
      </w:r>
      <w:r w:rsidRPr="00F022D2">
        <w:rPr>
          <w:i/>
        </w:rPr>
        <w:tab/>
      </w:r>
    </w:p>
    <w:p w:rsidR="00B60939" w:rsidRDefault="00B50DB8" w:rsidP="00987415">
      <w:pPr>
        <w:pStyle w:val="Heading1"/>
        <w:ind w:left="709" w:hanging="709"/>
      </w:pPr>
      <w:bookmarkStart w:id="1" w:name="_Toc524505988"/>
      <w:r w:rsidRPr="00407F2D">
        <w:t>Requested listing</w:t>
      </w:r>
      <w:bookmarkEnd w:id="1"/>
    </w:p>
    <w:p w:rsidR="001536A5" w:rsidRDefault="001536A5" w:rsidP="001536A5">
      <w:pPr>
        <w:pStyle w:val="ListParagraph"/>
      </w:pPr>
      <w:r>
        <w:t>Suggested additions proposed by the Secretariat to the requested listing are added in italics and suggested deletions are crossed out with strikethrough.</w:t>
      </w:r>
    </w:p>
    <w:p w:rsidR="00A0088E" w:rsidRDefault="00A0088E" w:rsidP="00D309A1">
      <w:pPr>
        <w:widowControl/>
      </w:pPr>
    </w:p>
    <w:tbl>
      <w:tblPr>
        <w:tblW w:w="4907" w:type="pct"/>
        <w:tblInd w:w="108" w:type="dxa"/>
        <w:tblLayout w:type="fixed"/>
        <w:tblLook w:val="0000" w:firstRow="0" w:lastRow="0" w:firstColumn="0" w:lastColumn="0" w:noHBand="0" w:noVBand="0"/>
      </w:tblPr>
      <w:tblGrid>
        <w:gridCol w:w="1799"/>
        <w:gridCol w:w="1246"/>
        <w:gridCol w:w="1382"/>
        <w:gridCol w:w="555"/>
        <w:gridCol w:w="1524"/>
        <w:gridCol w:w="1008"/>
        <w:gridCol w:w="1345"/>
      </w:tblGrid>
      <w:tr w:rsidR="00236ADA" w:rsidTr="00961064">
        <w:trPr>
          <w:trHeight w:val="58"/>
        </w:trPr>
        <w:tc>
          <w:tcPr>
            <w:tcW w:w="1719" w:type="pct"/>
            <w:gridSpan w:val="2"/>
            <w:tcBorders>
              <w:top w:val="single" w:sz="4" w:space="0" w:color="auto"/>
              <w:bottom w:val="single" w:sz="4" w:space="0" w:color="auto"/>
            </w:tcBorders>
            <w:shd w:val="clear" w:color="000000" w:fill="FFFFFF"/>
          </w:tcPr>
          <w:p w:rsidR="00236ADA" w:rsidRPr="00BB3152" w:rsidRDefault="00236ADA" w:rsidP="00D309A1">
            <w:pPr>
              <w:keepNext/>
              <w:widowControl/>
              <w:autoSpaceDE w:val="0"/>
              <w:autoSpaceDN w:val="0"/>
              <w:adjustRightInd w:val="0"/>
              <w:ind w:left="-108"/>
              <w:jc w:val="left"/>
              <w:rPr>
                <w:rFonts w:ascii="Arial Narrow" w:hAnsi="Arial Narrow" w:cs="Arial Narrow"/>
                <w:b/>
                <w:sz w:val="20"/>
                <w:szCs w:val="20"/>
                <w:lang w:val="en"/>
              </w:rPr>
            </w:pPr>
            <w:r w:rsidRPr="00BB3152">
              <w:rPr>
                <w:rFonts w:ascii="Arial Narrow" w:hAnsi="Arial Narrow" w:cs="Arial Narrow"/>
                <w:b/>
                <w:sz w:val="20"/>
                <w:szCs w:val="20"/>
                <w:lang w:val="en"/>
              </w:rPr>
              <w:t>Name, Restriction,</w:t>
            </w:r>
          </w:p>
          <w:p w:rsidR="00236ADA" w:rsidRPr="00BB3152" w:rsidRDefault="00236ADA" w:rsidP="00D309A1">
            <w:pPr>
              <w:keepNext/>
              <w:widowControl/>
              <w:autoSpaceDE w:val="0"/>
              <w:autoSpaceDN w:val="0"/>
              <w:adjustRightInd w:val="0"/>
              <w:ind w:left="-108"/>
              <w:jc w:val="left"/>
              <w:rPr>
                <w:rFonts w:cs="Calibri"/>
                <w:b/>
                <w:lang w:val="en"/>
              </w:rPr>
            </w:pPr>
            <w:r w:rsidRPr="00BB3152">
              <w:rPr>
                <w:rFonts w:ascii="Arial Narrow" w:hAnsi="Arial Narrow" w:cs="Arial Narrow"/>
                <w:b/>
                <w:sz w:val="20"/>
                <w:szCs w:val="20"/>
                <w:lang w:val="en"/>
              </w:rPr>
              <w:t>Manner of administration and form</w:t>
            </w:r>
          </w:p>
        </w:tc>
        <w:tc>
          <w:tcPr>
            <w:tcW w:w="780" w:type="pct"/>
            <w:tcBorders>
              <w:top w:val="single" w:sz="4" w:space="0" w:color="auto"/>
              <w:bottom w:val="single" w:sz="4" w:space="0" w:color="auto"/>
            </w:tcBorders>
            <w:shd w:val="clear" w:color="000000" w:fill="FFFFFF"/>
          </w:tcPr>
          <w:p w:rsidR="00236ADA" w:rsidRPr="00BB3152" w:rsidRDefault="00236ADA" w:rsidP="00D309A1">
            <w:pPr>
              <w:keepNext/>
              <w:widowControl/>
              <w:autoSpaceDE w:val="0"/>
              <w:autoSpaceDN w:val="0"/>
              <w:adjustRightInd w:val="0"/>
              <w:ind w:left="-108"/>
              <w:jc w:val="center"/>
              <w:rPr>
                <w:rFonts w:ascii="Arial Narrow" w:hAnsi="Arial Narrow" w:cs="Arial Narrow"/>
                <w:b/>
                <w:sz w:val="20"/>
                <w:szCs w:val="20"/>
                <w:lang w:val="en"/>
              </w:rPr>
            </w:pPr>
            <w:r w:rsidRPr="00BB3152">
              <w:rPr>
                <w:rFonts w:ascii="Arial Narrow" w:hAnsi="Arial Narrow" w:cs="Arial Narrow"/>
                <w:b/>
                <w:sz w:val="20"/>
                <w:szCs w:val="20"/>
                <w:lang w:val="en"/>
              </w:rPr>
              <w:t>Max.</w:t>
            </w:r>
          </w:p>
          <w:p w:rsidR="00236ADA" w:rsidRPr="00BB3152" w:rsidRDefault="00236ADA" w:rsidP="00D309A1">
            <w:pPr>
              <w:keepNext/>
              <w:widowControl/>
              <w:autoSpaceDE w:val="0"/>
              <w:autoSpaceDN w:val="0"/>
              <w:adjustRightInd w:val="0"/>
              <w:ind w:left="-108"/>
              <w:jc w:val="center"/>
              <w:rPr>
                <w:rFonts w:cs="Calibri"/>
                <w:b/>
                <w:lang w:val="en"/>
              </w:rPr>
            </w:pPr>
            <w:r w:rsidRPr="00BB3152">
              <w:rPr>
                <w:rFonts w:ascii="Arial Narrow" w:hAnsi="Arial Narrow" w:cs="Arial Narrow"/>
                <w:b/>
                <w:sz w:val="20"/>
                <w:szCs w:val="20"/>
                <w:lang w:val="en"/>
              </w:rPr>
              <w:t>Qty. (units)</w:t>
            </w:r>
          </w:p>
        </w:tc>
        <w:tc>
          <w:tcPr>
            <w:tcW w:w="313" w:type="pct"/>
            <w:tcBorders>
              <w:top w:val="single" w:sz="4" w:space="0" w:color="auto"/>
              <w:bottom w:val="single" w:sz="4" w:space="0" w:color="auto"/>
            </w:tcBorders>
            <w:shd w:val="clear" w:color="000000" w:fill="FFFFFF"/>
          </w:tcPr>
          <w:p w:rsidR="00236ADA" w:rsidRPr="00BB3152" w:rsidRDefault="00236ADA" w:rsidP="00D309A1">
            <w:pPr>
              <w:keepNext/>
              <w:widowControl/>
              <w:autoSpaceDE w:val="0"/>
              <w:autoSpaceDN w:val="0"/>
              <w:adjustRightInd w:val="0"/>
              <w:ind w:left="-108"/>
              <w:jc w:val="center"/>
              <w:rPr>
                <w:rFonts w:ascii="Arial Narrow" w:hAnsi="Arial Narrow" w:cs="Arial Narrow"/>
                <w:b/>
                <w:sz w:val="20"/>
                <w:szCs w:val="20"/>
                <w:lang w:val="en"/>
              </w:rPr>
            </w:pPr>
            <w:r w:rsidRPr="00BB3152">
              <w:rPr>
                <w:rFonts w:ascii="Arial Narrow" w:hAnsi="Arial Narrow"/>
                <w:b/>
                <w:sz w:val="20"/>
                <w:szCs w:val="20"/>
              </w:rPr>
              <w:t>№</w:t>
            </w:r>
            <w:r w:rsidRPr="00BB3152">
              <w:rPr>
                <w:rFonts w:ascii="Arial Narrow" w:hAnsi="Arial Narrow" w:cs="Arial Narrow"/>
                <w:b/>
                <w:sz w:val="20"/>
                <w:szCs w:val="20"/>
                <w:lang w:val="en"/>
              </w:rPr>
              <w:t>. of</w:t>
            </w:r>
          </w:p>
          <w:p w:rsidR="00236ADA" w:rsidRPr="00BB3152" w:rsidRDefault="00236ADA" w:rsidP="00D309A1">
            <w:pPr>
              <w:keepNext/>
              <w:widowControl/>
              <w:autoSpaceDE w:val="0"/>
              <w:autoSpaceDN w:val="0"/>
              <w:adjustRightInd w:val="0"/>
              <w:ind w:left="-108"/>
              <w:jc w:val="center"/>
              <w:rPr>
                <w:rFonts w:cs="Calibri"/>
                <w:b/>
                <w:lang w:val="en"/>
              </w:rPr>
            </w:pPr>
            <w:r w:rsidRPr="00BB3152">
              <w:rPr>
                <w:rFonts w:ascii="Arial Narrow" w:hAnsi="Arial Narrow" w:cs="Arial Narrow"/>
                <w:b/>
                <w:sz w:val="20"/>
                <w:szCs w:val="20"/>
                <w:lang w:val="en"/>
              </w:rPr>
              <w:t>Rpts</w:t>
            </w:r>
          </w:p>
        </w:tc>
        <w:tc>
          <w:tcPr>
            <w:tcW w:w="860" w:type="pct"/>
            <w:tcBorders>
              <w:top w:val="single" w:sz="4" w:space="0" w:color="auto"/>
              <w:bottom w:val="single" w:sz="4" w:space="0" w:color="auto"/>
            </w:tcBorders>
            <w:shd w:val="clear" w:color="000000" w:fill="FFFFFF"/>
          </w:tcPr>
          <w:p w:rsidR="00236ADA" w:rsidRPr="00BB3152" w:rsidRDefault="00305966" w:rsidP="00D309A1">
            <w:pPr>
              <w:keepNext/>
              <w:widowControl/>
              <w:autoSpaceDE w:val="0"/>
              <w:autoSpaceDN w:val="0"/>
              <w:adjustRightInd w:val="0"/>
              <w:ind w:left="-108"/>
              <w:jc w:val="center"/>
              <w:rPr>
                <w:rFonts w:cs="Calibri"/>
                <w:b/>
                <w:lang w:val="en"/>
              </w:rPr>
            </w:pPr>
            <w:r>
              <w:rPr>
                <w:rFonts w:ascii="Arial Narrow" w:hAnsi="Arial Narrow" w:cs="Arial Narrow"/>
                <w:b/>
                <w:sz w:val="20"/>
                <w:szCs w:val="20"/>
                <w:lang w:val="en"/>
              </w:rPr>
              <w:t>DPMQ</w:t>
            </w:r>
          </w:p>
        </w:tc>
        <w:tc>
          <w:tcPr>
            <w:tcW w:w="1328" w:type="pct"/>
            <w:gridSpan w:val="2"/>
            <w:tcBorders>
              <w:top w:val="single" w:sz="4" w:space="0" w:color="auto"/>
              <w:bottom w:val="single" w:sz="4" w:space="0" w:color="auto"/>
            </w:tcBorders>
            <w:shd w:val="clear" w:color="000000" w:fill="FFFFFF"/>
          </w:tcPr>
          <w:p w:rsidR="00236ADA" w:rsidRPr="00BB3152" w:rsidRDefault="00236ADA" w:rsidP="00D309A1">
            <w:pPr>
              <w:keepNext/>
              <w:widowControl/>
              <w:autoSpaceDE w:val="0"/>
              <w:autoSpaceDN w:val="0"/>
              <w:adjustRightInd w:val="0"/>
              <w:ind w:left="-108"/>
              <w:jc w:val="left"/>
              <w:rPr>
                <w:rFonts w:cs="Calibri"/>
                <w:b/>
                <w:lang w:val="en"/>
              </w:rPr>
            </w:pPr>
            <w:r w:rsidRPr="00BB3152">
              <w:rPr>
                <w:rFonts w:ascii="Arial Narrow" w:hAnsi="Arial Narrow" w:cs="Arial Narrow"/>
                <w:b/>
                <w:sz w:val="20"/>
                <w:szCs w:val="20"/>
                <w:lang w:val="en"/>
              </w:rPr>
              <w:t>Proprietary Name and Manufacturer</w:t>
            </w:r>
          </w:p>
        </w:tc>
      </w:tr>
      <w:tr w:rsidR="00236ADA" w:rsidTr="00961064">
        <w:trPr>
          <w:trHeight w:val="58"/>
        </w:trPr>
        <w:tc>
          <w:tcPr>
            <w:tcW w:w="1719" w:type="pct"/>
            <w:gridSpan w:val="2"/>
            <w:tcBorders>
              <w:top w:val="single" w:sz="4" w:space="0" w:color="auto"/>
            </w:tcBorders>
            <w:shd w:val="clear" w:color="000000" w:fill="FFFFFF"/>
          </w:tcPr>
          <w:p w:rsidR="00236ADA" w:rsidRDefault="00236ADA" w:rsidP="00D309A1">
            <w:pPr>
              <w:keepNext/>
              <w:widowControl/>
              <w:autoSpaceDE w:val="0"/>
              <w:autoSpaceDN w:val="0"/>
              <w:adjustRightInd w:val="0"/>
              <w:ind w:left="-108"/>
              <w:jc w:val="left"/>
              <w:rPr>
                <w:rFonts w:ascii="Arial Narrow" w:hAnsi="Arial Narrow" w:cs="Arial Narrow"/>
                <w:sz w:val="20"/>
                <w:szCs w:val="20"/>
                <w:lang w:val="en"/>
              </w:rPr>
            </w:pPr>
            <w:r>
              <w:rPr>
                <w:rFonts w:ascii="Arial Narrow" w:hAnsi="Arial Narrow" w:cs="Arial Narrow"/>
                <w:sz w:val="20"/>
                <w:szCs w:val="20"/>
                <w:lang w:val="en"/>
              </w:rPr>
              <w:t>CLOSTRIDIUM BOTULINUM TYPE A TOXIN-HAEMAGGLUTININ COMPLEX</w:t>
            </w:r>
          </w:p>
          <w:p w:rsidR="00236ADA" w:rsidRDefault="00236ADA" w:rsidP="00D309A1">
            <w:pPr>
              <w:keepNext/>
              <w:widowControl/>
              <w:autoSpaceDE w:val="0"/>
              <w:autoSpaceDN w:val="0"/>
              <w:adjustRightInd w:val="0"/>
              <w:ind w:left="-108"/>
              <w:jc w:val="left"/>
              <w:rPr>
                <w:rFonts w:cs="Calibri"/>
                <w:lang w:val="en"/>
              </w:rPr>
            </w:pPr>
            <w:r>
              <w:rPr>
                <w:rFonts w:ascii="Arial Narrow" w:hAnsi="Arial Narrow" w:cs="Arial Narrow"/>
                <w:sz w:val="20"/>
                <w:szCs w:val="20"/>
                <w:lang w:val="en"/>
              </w:rPr>
              <w:t>300 units injection, 1 vial</w:t>
            </w:r>
          </w:p>
        </w:tc>
        <w:tc>
          <w:tcPr>
            <w:tcW w:w="780" w:type="pct"/>
            <w:tcBorders>
              <w:top w:val="single" w:sz="4" w:space="0" w:color="auto"/>
            </w:tcBorders>
            <w:shd w:val="clear" w:color="000000" w:fill="FFFFFF"/>
            <w:vAlign w:val="bottom"/>
          </w:tcPr>
          <w:p w:rsidR="00236ADA" w:rsidRDefault="00236ADA" w:rsidP="00D309A1">
            <w:pPr>
              <w:keepNext/>
              <w:widowControl/>
              <w:autoSpaceDE w:val="0"/>
              <w:autoSpaceDN w:val="0"/>
              <w:adjustRightInd w:val="0"/>
              <w:ind w:left="-108"/>
              <w:jc w:val="center"/>
              <w:rPr>
                <w:rFonts w:ascii="Arial Narrow" w:hAnsi="Arial Narrow" w:cs="Arial Narrow"/>
                <w:sz w:val="20"/>
                <w:szCs w:val="20"/>
                <w:lang w:val="en"/>
              </w:rPr>
            </w:pPr>
          </w:p>
          <w:p w:rsidR="00236ADA" w:rsidRDefault="00FA1FCD" w:rsidP="00D309A1">
            <w:pPr>
              <w:keepNext/>
              <w:widowControl/>
              <w:autoSpaceDE w:val="0"/>
              <w:autoSpaceDN w:val="0"/>
              <w:adjustRightInd w:val="0"/>
              <w:ind w:left="-108"/>
              <w:jc w:val="center"/>
              <w:rPr>
                <w:rFonts w:cs="Calibri"/>
                <w:lang w:val="en"/>
              </w:rPr>
            </w:pPr>
            <w:r>
              <w:rPr>
                <w:rFonts w:ascii="Arial Narrow" w:hAnsi="Arial Narrow" w:cs="Arial Narrow"/>
                <w:sz w:val="20"/>
                <w:szCs w:val="20"/>
                <w:lang w:val="en"/>
              </w:rPr>
              <w:t>5</w:t>
            </w:r>
          </w:p>
        </w:tc>
        <w:tc>
          <w:tcPr>
            <w:tcW w:w="313" w:type="pct"/>
            <w:tcBorders>
              <w:top w:val="single" w:sz="4" w:space="0" w:color="auto"/>
            </w:tcBorders>
            <w:shd w:val="clear" w:color="000000" w:fill="FFFFFF"/>
            <w:vAlign w:val="bottom"/>
          </w:tcPr>
          <w:p w:rsidR="00236ADA" w:rsidRDefault="00236ADA" w:rsidP="00D309A1">
            <w:pPr>
              <w:keepNext/>
              <w:widowControl/>
              <w:autoSpaceDE w:val="0"/>
              <w:autoSpaceDN w:val="0"/>
              <w:adjustRightInd w:val="0"/>
              <w:ind w:left="-108"/>
              <w:jc w:val="center"/>
              <w:rPr>
                <w:rFonts w:ascii="Arial Narrow" w:hAnsi="Arial Narrow" w:cs="Arial Narrow"/>
                <w:strike/>
                <w:sz w:val="20"/>
                <w:szCs w:val="20"/>
                <w:lang w:val="en"/>
              </w:rPr>
            </w:pPr>
          </w:p>
          <w:p w:rsidR="00236ADA" w:rsidRPr="00CE0B5C" w:rsidRDefault="00236ADA" w:rsidP="00D309A1">
            <w:pPr>
              <w:keepNext/>
              <w:widowControl/>
              <w:autoSpaceDE w:val="0"/>
              <w:autoSpaceDN w:val="0"/>
              <w:adjustRightInd w:val="0"/>
              <w:ind w:left="-108"/>
              <w:jc w:val="center"/>
              <w:rPr>
                <w:rFonts w:cs="Calibri"/>
                <w:lang w:val="en"/>
              </w:rPr>
            </w:pPr>
            <w:r w:rsidRPr="00CE0B5C">
              <w:rPr>
                <w:rFonts w:ascii="Arial Narrow" w:hAnsi="Arial Narrow" w:cs="Arial Narrow"/>
                <w:sz w:val="20"/>
                <w:szCs w:val="20"/>
                <w:lang w:val="en"/>
              </w:rPr>
              <w:t>0</w:t>
            </w:r>
          </w:p>
        </w:tc>
        <w:tc>
          <w:tcPr>
            <w:tcW w:w="860" w:type="pct"/>
            <w:tcBorders>
              <w:top w:val="single" w:sz="4" w:space="0" w:color="auto"/>
            </w:tcBorders>
            <w:shd w:val="clear" w:color="000000" w:fill="FFFFFF"/>
            <w:vAlign w:val="bottom"/>
          </w:tcPr>
          <w:p w:rsidR="00236ADA" w:rsidRDefault="00236ADA" w:rsidP="00D309A1">
            <w:pPr>
              <w:keepNext/>
              <w:widowControl/>
              <w:autoSpaceDE w:val="0"/>
              <w:autoSpaceDN w:val="0"/>
              <w:adjustRightInd w:val="0"/>
              <w:ind w:left="-108"/>
              <w:jc w:val="center"/>
              <w:rPr>
                <w:rFonts w:ascii="Arial Narrow" w:hAnsi="Arial Narrow" w:cs="Arial Narrow"/>
                <w:sz w:val="20"/>
                <w:szCs w:val="20"/>
                <w:lang w:val="en"/>
              </w:rPr>
            </w:pPr>
          </w:p>
          <w:p w:rsidR="00236ADA" w:rsidRDefault="00236ADA" w:rsidP="00D309A1">
            <w:pPr>
              <w:keepNext/>
              <w:widowControl/>
              <w:autoSpaceDE w:val="0"/>
              <w:autoSpaceDN w:val="0"/>
              <w:adjustRightInd w:val="0"/>
              <w:ind w:left="-108"/>
              <w:jc w:val="center"/>
              <w:rPr>
                <w:rFonts w:cs="Calibri"/>
                <w:lang w:val="en"/>
              </w:rPr>
            </w:pPr>
            <w:r>
              <w:rPr>
                <w:rFonts w:ascii="Arial Narrow" w:hAnsi="Arial Narrow" w:cs="Arial Narrow"/>
                <w:sz w:val="20"/>
                <w:szCs w:val="20"/>
                <w:lang w:val="en"/>
              </w:rPr>
              <w:t>$</w:t>
            </w:r>
            <w:r w:rsidRPr="009355A7">
              <w:rPr>
                <w:rFonts w:ascii="Arial Narrow" w:hAnsi="Arial Narrow" w:cs="Arial Narrow"/>
                <w:sz w:val="20"/>
                <w:szCs w:val="20"/>
                <w:lang w:val="en"/>
              </w:rPr>
              <w:t>1,515.49</w:t>
            </w:r>
            <w:r>
              <w:rPr>
                <w:rFonts w:ascii="Arial Narrow" w:hAnsi="Arial Narrow" w:cs="Arial Narrow"/>
                <w:sz w:val="20"/>
                <w:szCs w:val="20"/>
                <w:lang w:val="en"/>
              </w:rPr>
              <w:t xml:space="preserve"> </w:t>
            </w:r>
          </w:p>
        </w:tc>
        <w:tc>
          <w:tcPr>
            <w:tcW w:w="569" w:type="pct"/>
            <w:tcBorders>
              <w:top w:val="single" w:sz="4" w:space="0" w:color="auto"/>
            </w:tcBorders>
            <w:shd w:val="clear" w:color="000000" w:fill="FFFFFF"/>
            <w:vAlign w:val="bottom"/>
          </w:tcPr>
          <w:p w:rsidR="00236ADA" w:rsidRDefault="00236ADA" w:rsidP="00D309A1">
            <w:pPr>
              <w:keepNext/>
              <w:widowControl/>
              <w:autoSpaceDE w:val="0"/>
              <w:autoSpaceDN w:val="0"/>
              <w:adjustRightInd w:val="0"/>
              <w:jc w:val="left"/>
              <w:rPr>
                <w:rFonts w:cs="Calibri"/>
                <w:lang w:val="en"/>
              </w:rPr>
            </w:pPr>
            <w:r>
              <w:rPr>
                <w:rFonts w:ascii="Arial Narrow" w:hAnsi="Arial Narrow" w:cs="Arial Narrow"/>
                <w:sz w:val="20"/>
                <w:szCs w:val="20"/>
                <w:lang w:val="en"/>
              </w:rPr>
              <w:t>Dysport</w:t>
            </w:r>
            <w:r w:rsidRPr="00FF044C">
              <w:rPr>
                <w:rFonts w:ascii="Arial Narrow" w:hAnsi="Arial Narrow"/>
                <w:sz w:val="20"/>
                <w:vertAlign w:val="superscript"/>
              </w:rPr>
              <w:t>®</w:t>
            </w:r>
          </w:p>
        </w:tc>
        <w:tc>
          <w:tcPr>
            <w:tcW w:w="759" w:type="pct"/>
            <w:tcBorders>
              <w:top w:val="single" w:sz="4" w:space="0" w:color="auto"/>
            </w:tcBorders>
            <w:shd w:val="clear" w:color="000000" w:fill="FFFFFF"/>
            <w:vAlign w:val="bottom"/>
          </w:tcPr>
          <w:p w:rsidR="00236ADA" w:rsidRDefault="00236ADA" w:rsidP="00D309A1">
            <w:pPr>
              <w:keepNext/>
              <w:widowControl/>
              <w:autoSpaceDE w:val="0"/>
              <w:autoSpaceDN w:val="0"/>
              <w:adjustRightInd w:val="0"/>
              <w:ind w:left="-108"/>
              <w:jc w:val="left"/>
              <w:rPr>
                <w:rFonts w:cs="Calibri"/>
                <w:lang w:val="en"/>
              </w:rPr>
            </w:pPr>
            <w:r>
              <w:rPr>
                <w:rFonts w:ascii="Arial Narrow" w:hAnsi="Arial Narrow" w:cs="Arial Narrow"/>
                <w:sz w:val="20"/>
                <w:szCs w:val="20"/>
                <w:lang w:val="en"/>
              </w:rPr>
              <w:t>Ipsen Pty Ltd</w:t>
            </w:r>
          </w:p>
        </w:tc>
      </w:tr>
      <w:tr w:rsidR="00236ADA" w:rsidTr="00961064">
        <w:trPr>
          <w:trHeight w:val="58"/>
        </w:trPr>
        <w:tc>
          <w:tcPr>
            <w:tcW w:w="1719" w:type="pct"/>
            <w:gridSpan w:val="2"/>
            <w:shd w:val="clear" w:color="000000" w:fill="FFFFFF"/>
          </w:tcPr>
          <w:p w:rsidR="00236ADA" w:rsidRDefault="00236ADA" w:rsidP="00D309A1">
            <w:pPr>
              <w:keepNext/>
              <w:widowControl/>
              <w:autoSpaceDE w:val="0"/>
              <w:autoSpaceDN w:val="0"/>
              <w:adjustRightInd w:val="0"/>
              <w:ind w:left="-108"/>
              <w:jc w:val="left"/>
              <w:rPr>
                <w:rFonts w:ascii="Arial Narrow" w:hAnsi="Arial Narrow" w:cs="Arial Narrow"/>
                <w:sz w:val="20"/>
                <w:szCs w:val="20"/>
                <w:lang w:val="en"/>
              </w:rPr>
            </w:pPr>
            <w:r>
              <w:rPr>
                <w:rFonts w:ascii="Arial Narrow" w:hAnsi="Arial Narrow" w:cs="Arial Narrow"/>
                <w:sz w:val="20"/>
                <w:szCs w:val="20"/>
                <w:lang w:val="en"/>
              </w:rPr>
              <w:t>500 units injection, 1 vial</w:t>
            </w:r>
          </w:p>
        </w:tc>
        <w:tc>
          <w:tcPr>
            <w:tcW w:w="780" w:type="pct"/>
            <w:shd w:val="clear" w:color="000000" w:fill="FFFFFF"/>
          </w:tcPr>
          <w:p w:rsidR="00236ADA" w:rsidRDefault="00FA1FCD" w:rsidP="00D309A1">
            <w:pPr>
              <w:keepNext/>
              <w:widowControl/>
              <w:autoSpaceDE w:val="0"/>
              <w:autoSpaceDN w:val="0"/>
              <w:adjustRightInd w:val="0"/>
              <w:ind w:left="-108"/>
              <w:jc w:val="center"/>
              <w:rPr>
                <w:rFonts w:ascii="Arial Narrow" w:hAnsi="Arial Narrow" w:cs="Arial Narrow"/>
                <w:sz w:val="20"/>
                <w:szCs w:val="20"/>
                <w:lang w:val="en"/>
              </w:rPr>
            </w:pPr>
            <w:r>
              <w:rPr>
                <w:rFonts w:ascii="Arial Narrow" w:hAnsi="Arial Narrow" w:cs="Arial Narrow"/>
                <w:sz w:val="20"/>
                <w:szCs w:val="20"/>
                <w:lang w:val="en"/>
              </w:rPr>
              <w:t>3</w:t>
            </w:r>
          </w:p>
        </w:tc>
        <w:tc>
          <w:tcPr>
            <w:tcW w:w="313" w:type="pct"/>
            <w:shd w:val="clear" w:color="000000" w:fill="FFFFFF"/>
          </w:tcPr>
          <w:p w:rsidR="00236ADA" w:rsidRPr="00CE0B5C" w:rsidRDefault="00236ADA" w:rsidP="00D309A1">
            <w:pPr>
              <w:keepNext/>
              <w:widowControl/>
              <w:autoSpaceDE w:val="0"/>
              <w:autoSpaceDN w:val="0"/>
              <w:adjustRightInd w:val="0"/>
              <w:ind w:left="-108"/>
              <w:jc w:val="center"/>
              <w:rPr>
                <w:rFonts w:ascii="Arial Narrow" w:hAnsi="Arial Narrow" w:cs="Arial Narrow"/>
                <w:sz w:val="20"/>
                <w:szCs w:val="20"/>
                <w:lang w:val="en"/>
              </w:rPr>
            </w:pPr>
            <w:r w:rsidRPr="00CE0B5C">
              <w:rPr>
                <w:rFonts w:ascii="Arial Narrow" w:hAnsi="Arial Narrow" w:cs="Arial Narrow"/>
                <w:sz w:val="20"/>
                <w:szCs w:val="20"/>
                <w:lang w:val="en"/>
              </w:rPr>
              <w:t>0</w:t>
            </w:r>
          </w:p>
        </w:tc>
        <w:tc>
          <w:tcPr>
            <w:tcW w:w="860" w:type="pct"/>
            <w:shd w:val="clear" w:color="000000" w:fill="FFFFFF"/>
          </w:tcPr>
          <w:p w:rsidR="00236ADA" w:rsidRDefault="00236ADA" w:rsidP="00D309A1">
            <w:pPr>
              <w:keepNext/>
              <w:widowControl/>
              <w:autoSpaceDE w:val="0"/>
              <w:autoSpaceDN w:val="0"/>
              <w:adjustRightInd w:val="0"/>
              <w:ind w:left="-108"/>
              <w:jc w:val="center"/>
              <w:rPr>
                <w:rFonts w:ascii="Arial Narrow" w:hAnsi="Arial Narrow" w:cs="Arial Narrow"/>
                <w:sz w:val="20"/>
                <w:szCs w:val="20"/>
                <w:lang w:val="en"/>
              </w:rPr>
            </w:pPr>
            <w:r>
              <w:rPr>
                <w:rFonts w:ascii="Arial Narrow" w:hAnsi="Arial Narrow" w:cs="Arial Narrow"/>
                <w:sz w:val="20"/>
                <w:szCs w:val="20"/>
                <w:lang w:val="en"/>
              </w:rPr>
              <w:t>$</w:t>
            </w:r>
            <w:r w:rsidRPr="009355A7">
              <w:rPr>
                <w:rFonts w:ascii="Arial Narrow" w:hAnsi="Arial Narrow" w:cs="Arial Narrow"/>
                <w:sz w:val="20"/>
                <w:szCs w:val="20"/>
                <w:lang w:val="en"/>
              </w:rPr>
              <w:t>1,618.53</w:t>
            </w:r>
          </w:p>
        </w:tc>
        <w:tc>
          <w:tcPr>
            <w:tcW w:w="569" w:type="pct"/>
            <w:shd w:val="clear" w:color="000000" w:fill="FFFFFF"/>
            <w:vAlign w:val="bottom"/>
          </w:tcPr>
          <w:p w:rsidR="00236ADA" w:rsidRDefault="00236ADA" w:rsidP="00D309A1">
            <w:pPr>
              <w:keepNext/>
              <w:widowControl/>
              <w:autoSpaceDE w:val="0"/>
              <w:autoSpaceDN w:val="0"/>
              <w:adjustRightInd w:val="0"/>
              <w:jc w:val="left"/>
              <w:rPr>
                <w:rFonts w:cs="Calibri"/>
                <w:lang w:val="en"/>
              </w:rPr>
            </w:pPr>
            <w:r>
              <w:rPr>
                <w:rFonts w:ascii="Arial Narrow" w:hAnsi="Arial Narrow" w:cs="Arial Narrow"/>
                <w:sz w:val="20"/>
                <w:szCs w:val="20"/>
                <w:lang w:val="en"/>
              </w:rPr>
              <w:t>Dysport</w:t>
            </w:r>
            <w:r w:rsidRPr="00FF044C">
              <w:rPr>
                <w:rFonts w:ascii="Arial Narrow" w:hAnsi="Arial Narrow"/>
                <w:sz w:val="20"/>
                <w:vertAlign w:val="superscript"/>
              </w:rPr>
              <w:t>®</w:t>
            </w:r>
          </w:p>
        </w:tc>
        <w:tc>
          <w:tcPr>
            <w:tcW w:w="759" w:type="pct"/>
            <w:shd w:val="clear" w:color="000000" w:fill="FFFFFF"/>
            <w:vAlign w:val="bottom"/>
          </w:tcPr>
          <w:p w:rsidR="00236ADA" w:rsidRDefault="00236ADA" w:rsidP="00D309A1">
            <w:pPr>
              <w:keepNext/>
              <w:widowControl/>
              <w:autoSpaceDE w:val="0"/>
              <w:autoSpaceDN w:val="0"/>
              <w:adjustRightInd w:val="0"/>
              <w:ind w:left="-108"/>
              <w:jc w:val="left"/>
              <w:rPr>
                <w:rFonts w:cs="Calibri"/>
                <w:lang w:val="en"/>
              </w:rPr>
            </w:pPr>
            <w:r>
              <w:rPr>
                <w:rFonts w:ascii="Arial Narrow" w:hAnsi="Arial Narrow" w:cs="Arial Narrow"/>
                <w:sz w:val="20"/>
                <w:szCs w:val="20"/>
                <w:lang w:val="en"/>
              </w:rPr>
              <w:t>Ipsen Pty Ltd</w:t>
            </w:r>
          </w:p>
        </w:tc>
      </w:tr>
      <w:tr w:rsidR="00236ADA" w:rsidTr="00961064">
        <w:trPr>
          <w:trHeight w:val="58"/>
        </w:trPr>
        <w:tc>
          <w:tcPr>
            <w:tcW w:w="1719" w:type="pct"/>
            <w:gridSpan w:val="2"/>
            <w:tcBorders>
              <w:bottom w:val="single" w:sz="4" w:space="0" w:color="auto"/>
            </w:tcBorders>
            <w:shd w:val="clear" w:color="000000" w:fill="FFFFFF"/>
          </w:tcPr>
          <w:p w:rsidR="00305966" w:rsidRDefault="00305966" w:rsidP="00D309A1">
            <w:pPr>
              <w:keepNext/>
              <w:widowControl/>
              <w:autoSpaceDE w:val="0"/>
              <w:autoSpaceDN w:val="0"/>
              <w:adjustRightInd w:val="0"/>
              <w:rPr>
                <w:rFonts w:ascii="Arial Narrow" w:hAnsi="Arial Narrow" w:cs="Arial Narrow"/>
                <w:sz w:val="20"/>
                <w:szCs w:val="20"/>
                <w:lang w:val="en"/>
              </w:rPr>
            </w:pPr>
          </w:p>
        </w:tc>
        <w:tc>
          <w:tcPr>
            <w:tcW w:w="780" w:type="pct"/>
            <w:tcBorders>
              <w:bottom w:val="single" w:sz="4" w:space="0" w:color="auto"/>
            </w:tcBorders>
            <w:shd w:val="clear" w:color="000000" w:fill="FFFFFF"/>
          </w:tcPr>
          <w:p w:rsidR="00236ADA" w:rsidRDefault="00236ADA" w:rsidP="00D309A1">
            <w:pPr>
              <w:keepNext/>
              <w:widowControl/>
              <w:autoSpaceDE w:val="0"/>
              <w:autoSpaceDN w:val="0"/>
              <w:adjustRightInd w:val="0"/>
              <w:ind w:left="-108"/>
              <w:rPr>
                <w:rFonts w:ascii="Arial Narrow" w:hAnsi="Arial Narrow" w:cs="Arial Narrow"/>
                <w:sz w:val="20"/>
                <w:szCs w:val="20"/>
                <w:lang w:val="en"/>
              </w:rPr>
            </w:pPr>
          </w:p>
        </w:tc>
        <w:tc>
          <w:tcPr>
            <w:tcW w:w="313" w:type="pct"/>
            <w:tcBorders>
              <w:bottom w:val="single" w:sz="4" w:space="0" w:color="auto"/>
            </w:tcBorders>
            <w:shd w:val="clear" w:color="000000" w:fill="FFFFFF"/>
          </w:tcPr>
          <w:p w:rsidR="00236ADA" w:rsidRDefault="00236ADA" w:rsidP="00D309A1">
            <w:pPr>
              <w:keepNext/>
              <w:widowControl/>
              <w:autoSpaceDE w:val="0"/>
              <w:autoSpaceDN w:val="0"/>
              <w:adjustRightInd w:val="0"/>
              <w:ind w:left="-108"/>
              <w:rPr>
                <w:rFonts w:ascii="Arial Narrow" w:hAnsi="Arial Narrow" w:cs="Arial Narrow"/>
                <w:strike/>
                <w:sz w:val="20"/>
                <w:szCs w:val="20"/>
                <w:lang w:val="en"/>
              </w:rPr>
            </w:pPr>
          </w:p>
        </w:tc>
        <w:tc>
          <w:tcPr>
            <w:tcW w:w="860" w:type="pct"/>
            <w:tcBorders>
              <w:bottom w:val="single" w:sz="4" w:space="0" w:color="auto"/>
            </w:tcBorders>
            <w:shd w:val="clear" w:color="000000" w:fill="FFFFFF"/>
          </w:tcPr>
          <w:p w:rsidR="00236ADA" w:rsidRDefault="00236ADA" w:rsidP="00D309A1">
            <w:pPr>
              <w:keepNext/>
              <w:widowControl/>
              <w:autoSpaceDE w:val="0"/>
              <w:autoSpaceDN w:val="0"/>
              <w:adjustRightInd w:val="0"/>
              <w:ind w:left="-108"/>
              <w:rPr>
                <w:rFonts w:ascii="Arial Narrow" w:hAnsi="Arial Narrow" w:cs="Arial Narrow"/>
                <w:sz w:val="20"/>
                <w:szCs w:val="20"/>
                <w:lang w:val="en"/>
              </w:rPr>
            </w:pPr>
          </w:p>
        </w:tc>
        <w:tc>
          <w:tcPr>
            <w:tcW w:w="569" w:type="pct"/>
            <w:tcBorders>
              <w:bottom w:val="single" w:sz="4" w:space="0" w:color="auto"/>
            </w:tcBorders>
            <w:shd w:val="clear" w:color="000000" w:fill="FFFFFF"/>
            <w:vAlign w:val="center"/>
          </w:tcPr>
          <w:p w:rsidR="00236ADA" w:rsidRDefault="00236ADA" w:rsidP="00D309A1">
            <w:pPr>
              <w:keepNext/>
              <w:widowControl/>
              <w:autoSpaceDE w:val="0"/>
              <w:autoSpaceDN w:val="0"/>
              <w:adjustRightInd w:val="0"/>
              <w:rPr>
                <w:rFonts w:ascii="Arial Narrow" w:hAnsi="Arial Narrow" w:cs="Arial Narrow"/>
                <w:sz w:val="20"/>
                <w:szCs w:val="20"/>
                <w:lang w:val="en"/>
              </w:rPr>
            </w:pPr>
          </w:p>
        </w:tc>
        <w:tc>
          <w:tcPr>
            <w:tcW w:w="759" w:type="pct"/>
            <w:tcBorders>
              <w:bottom w:val="single" w:sz="4" w:space="0" w:color="auto"/>
            </w:tcBorders>
            <w:shd w:val="clear" w:color="000000" w:fill="FFFFFF"/>
            <w:vAlign w:val="center"/>
          </w:tcPr>
          <w:p w:rsidR="00236ADA" w:rsidRDefault="00236ADA" w:rsidP="00D309A1">
            <w:pPr>
              <w:keepNext/>
              <w:widowControl/>
              <w:autoSpaceDE w:val="0"/>
              <w:autoSpaceDN w:val="0"/>
              <w:adjustRightInd w:val="0"/>
              <w:ind w:left="-108"/>
              <w:rPr>
                <w:rFonts w:ascii="Arial Narrow" w:hAnsi="Arial Narrow" w:cs="Arial Narrow"/>
                <w:sz w:val="20"/>
                <w:szCs w:val="20"/>
                <w:lang w:val="en"/>
              </w:rPr>
            </w:pPr>
          </w:p>
        </w:tc>
      </w:tr>
      <w:tr w:rsidR="00236ADA" w:rsidTr="00961064">
        <w:trPr>
          <w:trHeight w:val="58"/>
        </w:trPr>
        <w:tc>
          <w:tcPr>
            <w:tcW w:w="1016" w:type="pct"/>
            <w:tcBorders>
              <w:top w:val="single" w:sz="4" w:space="0" w:color="auto"/>
              <w:left w:val="single" w:sz="3" w:space="0" w:color="000000"/>
              <w:bottom w:val="single" w:sz="3" w:space="0" w:color="000000"/>
              <w:right w:val="single" w:sz="3" w:space="0" w:color="000000"/>
            </w:tcBorders>
            <w:shd w:val="clear" w:color="000000" w:fill="FFFFFF"/>
          </w:tcPr>
          <w:p w:rsidR="00236ADA" w:rsidRDefault="00236ADA" w:rsidP="00D309A1">
            <w:pPr>
              <w:widowControl/>
              <w:autoSpaceDE w:val="0"/>
              <w:autoSpaceDN w:val="0"/>
              <w:adjustRightInd w:val="0"/>
              <w:rPr>
                <w:rFonts w:cs="Calibri"/>
                <w:lang w:val="en"/>
              </w:rPr>
            </w:pPr>
            <w:r>
              <w:rPr>
                <w:rFonts w:ascii="Arial Narrow" w:hAnsi="Arial Narrow" w:cs="Arial Narrow"/>
                <w:b/>
                <w:bCs/>
                <w:color w:val="000000"/>
                <w:sz w:val="20"/>
                <w:szCs w:val="20"/>
                <w:lang w:val="en"/>
              </w:rPr>
              <w:t>Category / Program :</w:t>
            </w:r>
          </w:p>
        </w:tc>
        <w:tc>
          <w:tcPr>
            <w:tcW w:w="3984" w:type="pct"/>
            <w:gridSpan w:val="6"/>
            <w:tcBorders>
              <w:top w:val="single" w:sz="4" w:space="0" w:color="auto"/>
              <w:left w:val="single" w:sz="3" w:space="0" w:color="000000"/>
              <w:bottom w:val="single" w:sz="3" w:space="0" w:color="000000"/>
              <w:right w:val="single" w:sz="3" w:space="0" w:color="000000"/>
            </w:tcBorders>
            <w:shd w:val="clear" w:color="000000" w:fill="FFFFFF"/>
          </w:tcPr>
          <w:p w:rsidR="00236ADA" w:rsidRDefault="00236ADA" w:rsidP="00D309A1">
            <w:pPr>
              <w:widowControl/>
              <w:autoSpaceDE w:val="0"/>
              <w:autoSpaceDN w:val="0"/>
              <w:adjustRightInd w:val="0"/>
              <w:rPr>
                <w:rFonts w:cs="Calibri"/>
                <w:lang w:val="en"/>
              </w:rPr>
            </w:pPr>
            <w:r>
              <w:rPr>
                <w:rFonts w:ascii="Arial Narrow" w:hAnsi="Arial Narrow" w:cs="Arial Narrow"/>
                <w:color w:val="000000"/>
                <w:sz w:val="20"/>
                <w:szCs w:val="20"/>
                <w:lang w:val="en"/>
              </w:rPr>
              <w:t>Section 100 – Botulinum Toxin Program</w:t>
            </w:r>
          </w:p>
        </w:tc>
      </w:tr>
      <w:tr w:rsidR="00236ADA" w:rsidRPr="00260CE3" w:rsidTr="00961064">
        <w:trPr>
          <w:trHeight w:val="58"/>
        </w:trPr>
        <w:tc>
          <w:tcPr>
            <w:tcW w:w="1016" w:type="pct"/>
            <w:tcBorders>
              <w:top w:val="single" w:sz="4" w:space="0" w:color="auto"/>
              <w:left w:val="single" w:sz="3" w:space="0" w:color="000000"/>
              <w:bottom w:val="single" w:sz="3" w:space="0" w:color="000000"/>
              <w:right w:val="single" w:sz="3" w:space="0" w:color="000000"/>
            </w:tcBorders>
            <w:shd w:val="clear" w:color="000000" w:fill="FFFFFF"/>
          </w:tcPr>
          <w:p w:rsidR="00236ADA" w:rsidRPr="00AD41F5" w:rsidRDefault="00236ADA" w:rsidP="00D309A1">
            <w:pPr>
              <w:widowControl/>
              <w:autoSpaceDE w:val="0"/>
              <w:autoSpaceDN w:val="0"/>
              <w:adjustRightInd w:val="0"/>
              <w:rPr>
                <w:rFonts w:ascii="Arial Narrow" w:hAnsi="Arial Narrow" w:cs="Arial Narrow"/>
                <w:b/>
                <w:bCs/>
                <w:color w:val="000000"/>
                <w:sz w:val="20"/>
                <w:szCs w:val="20"/>
                <w:lang w:val="en"/>
              </w:rPr>
            </w:pPr>
            <w:r w:rsidRPr="00AD41F5">
              <w:rPr>
                <w:rFonts w:ascii="Arial Narrow" w:hAnsi="Arial Narrow" w:cs="Arial Narrow"/>
                <w:b/>
                <w:bCs/>
                <w:color w:val="000000"/>
                <w:sz w:val="20"/>
                <w:szCs w:val="20"/>
                <w:lang w:val="en"/>
              </w:rPr>
              <w:t>Prescriber type:</w:t>
            </w:r>
          </w:p>
        </w:tc>
        <w:tc>
          <w:tcPr>
            <w:tcW w:w="3984" w:type="pct"/>
            <w:gridSpan w:val="6"/>
            <w:tcBorders>
              <w:top w:val="single" w:sz="4" w:space="0" w:color="auto"/>
              <w:left w:val="single" w:sz="3" w:space="0" w:color="000000"/>
              <w:bottom w:val="single" w:sz="3" w:space="0" w:color="000000"/>
              <w:right w:val="single" w:sz="3" w:space="0" w:color="000000"/>
            </w:tcBorders>
            <w:shd w:val="clear" w:color="000000" w:fill="FFFFFF"/>
          </w:tcPr>
          <w:p w:rsidR="00236ADA" w:rsidRPr="00AD41F5" w:rsidRDefault="00236ADA" w:rsidP="00D309A1">
            <w:pPr>
              <w:widowControl/>
              <w:autoSpaceDE w:val="0"/>
              <w:autoSpaceDN w:val="0"/>
              <w:adjustRightInd w:val="0"/>
              <w:rPr>
                <w:rFonts w:ascii="Arial Narrow" w:hAnsi="Arial Narrow" w:cs="Arial Narrow"/>
                <w:color w:val="000000"/>
                <w:sz w:val="20"/>
                <w:szCs w:val="20"/>
                <w:lang w:val="en"/>
              </w:rPr>
            </w:pPr>
            <w:r w:rsidRPr="00AD41F5">
              <w:rPr>
                <w:rFonts w:ascii="Arial Narrow" w:hAnsi="Arial Narrow" w:cs="Arial Narrow"/>
                <w:color w:val="000000"/>
                <w:sz w:val="20"/>
                <w:szCs w:val="20"/>
                <w:lang w:val="en"/>
              </w:rPr>
              <w:fldChar w:fldCharType="begin">
                <w:ffData>
                  <w:name w:val="Check1"/>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7C62FB">
              <w:rPr>
                <w:rFonts w:ascii="Arial Narrow" w:hAnsi="Arial Narrow" w:cs="Arial Narrow"/>
                <w:color w:val="000000"/>
                <w:sz w:val="20"/>
                <w:szCs w:val="20"/>
                <w:lang w:val="en"/>
              </w:rPr>
            </w:r>
            <w:r w:rsidR="007C62FB">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Dental</w:t>
            </w:r>
            <w:r w:rsidR="00FA60DA">
              <w:rPr>
                <w:rFonts w:ascii="Arial Narrow" w:hAnsi="Arial Narrow" w:cs="Arial Narrow"/>
                <w:color w:val="000000"/>
                <w:sz w:val="20"/>
                <w:szCs w:val="20"/>
                <w:lang w:val="en"/>
              </w:rPr>
              <w:t xml:space="preserve"> </w:t>
            </w:r>
            <w:r w:rsidRPr="00AD41F5">
              <w:rPr>
                <w:rFonts w:ascii="Arial Narrow" w:hAnsi="Arial Narrow" w:cs="Arial Narrow"/>
                <w:color w:val="000000"/>
                <w:sz w:val="20"/>
                <w:szCs w:val="20"/>
                <w:lang w:val="en"/>
              </w:rPr>
              <w:fldChar w:fldCharType="begin">
                <w:ffData>
                  <w:name w:val=""/>
                  <w:enabled/>
                  <w:calcOnExit w:val="0"/>
                  <w:checkBox>
                    <w:sizeAuto/>
                    <w:default w:val="1"/>
                  </w:checkBox>
                </w:ffData>
              </w:fldChar>
            </w:r>
            <w:r w:rsidRPr="00AD41F5">
              <w:rPr>
                <w:rFonts w:ascii="Arial Narrow" w:hAnsi="Arial Narrow" w:cs="Arial Narrow"/>
                <w:color w:val="000000"/>
                <w:sz w:val="20"/>
                <w:szCs w:val="20"/>
                <w:lang w:val="en"/>
              </w:rPr>
              <w:instrText xml:space="preserve"> FORMCHECKBOX </w:instrText>
            </w:r>
            <w:r w:rsidR="007C62FB">
              <w:rPr>
                <w:rFonts w:ascii="Arial Narrow" w:hAnsi="Arial Narrow" w:cs="Arial Narrow"/>
                <w:color w:val="000000"/>
                <w:sz w:val="20"/>
                <w:szCs w:val="20"/>
                <w:lang w:val="en"/>
              </w:rPr>
            </w:r>
            <w:r w:rsidR="007C62FB">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Medical Practitioners</w:t>
            </w:r>
            <w:r w:rsidR="00FA60DA">
              <w:rPr>
                <w:rFonts w:ascii="Arial Narrow" w:hAnsi="Arial Narrow" w:cs="Arial Narrow"/>
                <w:color w:val="000000"/>
                <w:sz w:val="20"/>
                <w:szCs w:val="20"/>
                <w:lang w:val="en"/>
              </w:rPr>
              <w:t xml:space="preserve"> </w:t>
            </w:r>
            <w:r w:rsidRPr="00AD41F5">
              <w:rPr>
                <w:rFonts w:ascii="Arial Narrow" w:hAnsi="Arial Narrow" w:cs="Arial Narrow"/>
                <w:color w:val="000000"/>
                <w:sz w:val="20"/>
                <w:szCs w:val="20"/>
                <w:lang w:val="en"/>
              </w:rPr>
              <w:fldChar w:fldCharType="begin">
                <w:ffData>
                  <w:name w:val="Check3"/>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7C62FB">
              <w:rPr>
                <w:rFonts w:ascii="Arial Narrow" w:hAnsi="Arial Narrow" w:cs="Arial Narrow"/>
                <w:color w:val="000000"/>
                <w:sz w:val="20"/>
                <w:szCs w:val="20"/>
                <w:lang w:val="en"/>
              </w:rPr>
            </w:r>
            <w:r w:rsidR="007C62FB">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Nurse practitioners</w:t>
            </w:r>
            <w:r w:rsidR="00FA60DA">
              <w:rPr>
                <w:rFonts w:ascii="Arial Narrow" w:hAnsi="Arial Narrow" w:cs="Arial Narrow"/>
                <w:color w:val="000000"/>
                <w:sz w:val="20"/>
                <w:szCs w:val="20"/>
                <w:lang w:val="en"/>
              </w:rPr>
              <w:t xml:space="preserve"> </w:t>
            </w:r>
            <w:r w:rsidRPr="00AD41F5">
              <w:rPr>
                <w:rFonts w:ascii="Arial Narrow" w:hAnsi="Arial Narrow" w:cs="Arial Narrow"/>
                <w:color w:val="000000"/>
                <w:sz w:val="20"/>
                <w:szCs w:val="20"/>
                <w:lang w:val="en"/>
              </w:rPr>
              <w:fldChar w:fldCharType="begin">
                <w:ffData>
                  <w:name w:val=""/>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7C62FB">
              <w:rPr>
                <w:rFonts w:ascii="Arial Narrow" w:hAnsi="Arial Narrow" w:cs="Arial Narrow"/>
                <w:color w:val="000000"/>
                <w:sz w:val="20"/>
                <w:szCs w:val="20"/>
                <w:lang w:val="en"/>
              </w:rPr>
            </w:r>
            <w:r w:rsidR="007C62FB">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Pr>
                <w:rFonts w:ascii="Arial Narrow" w:hAnsi="Arial Narrow" w:cs="Arial Narrow"/>
                <w:color w:val="000000"/>
                <w:sz w:val="20"/>
                <w:szCs w:val="20"/>
                <w:lang w:val="en"/>
              </w:rPr>
              <w:t>O</w:t>
            </w:r>
            <w:r w:rsidRPr="00AD41F5">
              <w:rPr>
                <w:rFonts w:ascii="Arial Narrow" w:hAnsi="Arial Narrow" w:cs="Arial Narrow"/>
                <w:color w:val="000000"/>
                <w:sz w:val="20"/>
                <w:szCs w:val="20"/>
                <w:lang w:val="en"/>
              </w:rPr>
              <w:t xml:space="preserve">ptometrists </w:t>
            </w:r>
            <w:r w:rsidRPr="00AD41F5">
              <w:rPr>
                <w:rFonts w:ascii="Arial Narrow" w:hAnsi="Arial Narrow" w:cs="Arial Narrow"/>
                <w:color w:val="000000"/>
                <w:sz w:val="20"/>
                <w:szCs w:val="20"/>
                <w:lang w:val="en"/>
              </w:rPr>
              <w:fldChar w:fldCharType="begin">
                <w:ffData>
                  <w:name w:val="Check5"/>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7C62FB">
              <w:rPr>
                <w:rFonts w:ascii="Arial Narrow" w:hAnsi="Arial Narrow" w:cs="Arial Narrow"/>
                <w:color w:val="000000"/>
                <w:sz w:val="20"/>
                <w:szCs w:val="20"/>
                <w:lang w:val="en"/>
              </w:rPr>
            </w:r>
            <w:r w:rsidR="007C62FB">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Midwives</w:t>
            </w:r>
          </w:p>
        </w:tc>
      </w:tr>
      <w:tr w:rsidR="00236ADA" w:rsidTr="00961064">
        <w:trPr>
          <w:trHeight w:val="58"/>
        </w:trPr>
        <w:tc>
          <w:tcPr>
            <w:tcW w:w="1016" w:type="pct"/>
            <w:tcBorders>
              <w:top w:val="single" w:sz="3" w:space="0" w:color="000000"/>
              <w:left w:val="single" w:sz="3" w:space="0" w:color="000000"/>
              <w:bottom w:val="single" w:sz="3" w:space="0" w:color="000000"/>
              <w:right w:val="single" w:sz="3" w:space="0" w:color="000000"/>
            </w:tcBorders>
            <w:shd w:val="clear" w:color="000000" w:fill="FFFFFF"/>
          </w:tcPr>
          <w:p w:rsidR="00236ADA" w:rsidRDefault="00236ADA" w:rsidP="00D309A1">
            <w:pPr>
              <w:widowControl/>
              <w:autoSpaceDE w:val="0"/>
              <w:autoSpaceDN w:val="0"/>
              <w:adjustRightInd w:val="0"/>
              <w:rPr>
                <w:rFonts w:cs="Calibri"/>
                <w:lang w:val="en"/>
              </w:rPr>
            </w:pPr>
            <w:r>
              <w:rPr>
                <w:rFonts w:ascii="Arial Narrow" w:hAnsi="Arial Narrow" w:cs="Arial Narrow"/>
                <w:b/>
                <w:bCs/>
                <w:color w:val="000000"/>
                <w:sz w:val="20"/>
                <w:szCs w:val="20"/>
                <w:lang w:val="en"/>
              </w:rPr>
              <w:t>Condition:</w:t>
            </w:r>
          </w:p>
        </w:tc>
        <w:tc>
          <w:tcPr>
            <w:tcW w:w="3984" w:type="pct"/>
            <w:gridSpan w:val="6"/>
            <w:tcBorders>
              <w:top w:val="single" w:sz="3" w:space="0" w:color="000000"/>
              <w:left w:val="single" w:sz="3" w:space="0" w:color="000000"/>
              <w:bottom w:val="single" w:sz="3" w:space="0" w:color="000000"/>
              <w:right w:val="single" w:sz="3" w:space="0" w:color="000000"/>
            </w:tcBorders>
            <w:shd w:val="clear" w:color="000000" w:fill="FFFFFF"/>
          </w:tcPr>
          <w:p w:rsidR="00236ADA" w:rsidRPr="00073BA6" w:rsidRDefault="00236ADA" w:rsidP="00D309A1">
            <w:pPr>
              <w:widowControl/>
              <w:autoSpaceDE w:val="0"/>
              <w:autoSpaceDN w:val="0"/>
              <w:adjustRightInd w:val="0"/>
              <w:rPr>
                <w:rFonts w:ascii="Arial Narrow" w:hAnsi="Arial Narrow" w:cs="Calibri"/>
                <w:i/>
                <w:sz w:val="20"/>
                <w:szCs w:val="20"/>
                <w:lang w:val="en"/>
              </w:rPr>
            </w:pPr>
            <w:r w:rsidRPr="00D606A6">
              <w:rPr>
                <w:rFonts w:ascii="Arial Narrow" w:hAnsi="Arial Narrow" w:cs="Calibri"/>
                <w:sz w:val="20"/>
                <w:szCs w:val="20"/>
                <w:lang w:val="en"/>
              </w:rPr>
              <w:t>Lower</w:t>
            </w:r>
            <w:r w:rsidRPr="00910FFC">
              <w:rPr>
                <w:rFonts w:ascii="Arial Narrow" w:hAnsi="Arial Narrow" w:cs="Calibri"/>
                <w:sz w:val="20"/>
                <w:szCs w:val="20"/>
                <w:lang w:val="en"/>
              </w:rPr>
              <w:t xml:space="preserve"> limb</w:t>
            </w:r>
            <w:r w:rsidRPr="00D606A6">
              <w:rPr>
                <w:rFonts w:ascii="Arial Narrow" w:hAnsi="Arial Narrow" w:cs="Calibri"/>
                <w:sz w:val="20"/>
                <w:szCs w:val="20"/>
                <w:lang w:val="en"/>
              </w:rPr>
              <w:t xml:space="preserve"> spasticity </w:t>
            </w:r>
            <w:r>
              <w:rPr>
                <w:rFonts w:ascii="Arial Narrow" w:hAnsi="Arial Narrow" w:cs="Calibri"/>
                <w:i/>
                <w:sz w:val="20"/>
                <w:szCs w:val="20"/>
                <w:lang w:val="en"/>
              </w:rPr>
              <w:t>following an acute event</w:t>
            </w:r>
          </w:p>
        </w:tc>
      </w:tr>
      <w:tr w:rsidR="00236ADA" w:rsidTr="00961064">
        <w:trPr>
          <w:trHeight w:val="58"/>
        </w:trPr>
        <w:tc>
          <w:tcPr>
            <w:tcW w:w="1016" w:type="pct"/>
            <w:tcBorders>
              <w:top w:val="single" w:sz="3" w:space="0" w:color="000000"/>
              <w:left w:val="single" w:sz="3" w:space="0" w:color="000000"/>
              <w:bottom w:val="single" w:sz="3" w:space="0" w:color="000000"/>
              <w:right w:val="single" w:sz="3" w:space="0" w:color="000000"/>
            </w:tcBorders>
            <w:shd w:val="clear" w:color="000000" w:fill="FFFFFF"/>
          </w:tcPr>
          <w:p w:rsidR="00236ADA" w:rsidRDefault="00236ADA" w:rsidP="00D309A1">
            <w:pPr>
              <w:widowControl/>
              <w:autoSpaceDE w:val="0"/>
              <w:autoSpaceDN w:val="0"/>
              <w:adjustRightInd w:val="0"/>
              <w:rPr>
                <w:rFonts w:cs="Calibri"/>
                <w:lang w:val="en"/>
              </w:rPr>
            </w:pPr>
            <w:r>
              <w:rPr>
                <w:rFonts w:ascii="Arial Narrow" w:hAnsi="Arial Narrow" w:cs="Arial Narrow"/>
                <w:b/>
                <w:bCs/>
                <w:color w:val="000000"/>
                <w:sz w:val="20"/>
                <w:szCs w:val="20"/>
                <w:lang w:val="en"/>
              </w:rPr>
              <w:t>PBS Indication:</w:t>
            </w:r>
          </w:p>
        </w:tc>
        <w:tc>
          <w:tcPr>
            <w:tcW w:w="3984" w:type="pct"/>
            <w:gridSpan w:val="6"/>
            <w:tcBorders>
              <w:top w:val="single" w:sz="3" w:space="0" w:color="000000"/>
              <w:left w:val="single" w:sz="3" w:space="0" w:color="000000"/>
              <w:bottom w:val="single" w:sz="3" w:space="0" w:color="000000"/>
              <w:right w:val="single" w:sz="3" w:space="0" w:color="000000"/>
            </w:tcBorders>
            <w:shd w:val="clear" w:color="000000" w:fill="FFFFFF"/>
          </w:tcPr>
          <w:p w:rsidR="00236ADA" w:rsidRPr="00910FFC" w:rsidRDefault="00236ADA" w:rsidP="00D309A1">
            <w:pPr>
              <w:widowControl/>
              <w:autoSpaceDE w:val="0"/>
              <w:autoSpaceDN w:val="0"/>
              <w:adjustRightInd w:val="0"/>
              <w:rPr>
                <w:rFonts w:cs="Calibri"/>
                <w:i/>
                <w:strike/>
                <w:lang w:val="en"/>
              </w:rPr>
            </w:pPr>
            <w:r>
              <w:rPr>
                <w:rFonts w:ascii="Arial Narrow" w:hAnsi="Arial Narrow"/>
                <w:color w:val="000000" w:themeColor="text1"/>
                <w:sz w:val="20"/>
              </w:rPr>
              <w:t xml:space="preserve">Moderate to severe spasticity of the lower limb </w:t>
            </w:r>
            <w:r>
              <w:rPr>
                <w:rFonts w:ascii="Arial Narrow" w:hAnsi="Arial Narrow"/>
                <w:i/>
                <w:color w:val="000000" w:themeColor="text1"/>
                <w:sz w:val="20"/>
              </w:rPr>
              <w:t>following an acute event</w:t>
            </w:r>
          </w:p>
        </w:tc>
      </w:tr>
      <w:tr w:rsidR="00236ADA" w:rsidTr="00961064">
        <w:trPr>
          <w:trHeight w:val="58"/>
        </w:trPr>
        <w:tc>
          <w:tcPr>
            <w:tcW w:w="1016" w:type="pct"/>
            <w:tcBorders>
              <w:top w:val="single" w:sz="3" w:space="0" w:color="000000"/>
              <w:left w:val="single" w:sz="3" w:space="0" w:color="000000"/>
              <w:bottom w:val="single" w:sz="3" w:space="0" w:color="000000"/>
              <w:right w:val="single" w:sz="3" w:space="0" w:color="000000"/>
            </w:tcBorders>
            <w:shd w:val="clear" w:color="000000" w:fill="FFFFFF"/>
          </w:tcPr>
          <w:p w:rsidR="00236ADA" w:rsidRDefault="00236ADA" w:rsidP="00D309A1">
            <w:pPr>
              <w:widowControl/>
              <w:autoSpaceDE w:val="0"/>
              <w:autoSpaceDN w:val="0"/>
              <w:adjustRightInd w:val="0"/>
              <w:rPr>
                <w:rFonts w:cs="Calibri"/>
                <w:lang w:val="en"/>
              </w:rPr>
            </w:pPr>
            <w:r>
              <w:rPr>
                <w:rFonts w:ascii="Arial Narrow" w:hAnsi="Arial Narrow" w:cs="Arial Narrow"/>
                <w:b/>
                <w:bCs/>
                <w:color w:val="000000"/>
                <w:sz w:val="20"/>
                <w:szCs w:val="20"/>
                <w:lang w:val="en"/>
              </w:rPr>
              <w:t>Treatment phase:</w:t>
            </w:r>
          </w:p>
        </w:tc>
        <w:tc>
          <w:tcPr>
            <w:tcW w:w="3984" w:type="pct"/>
            <w:gridSpan w:val="6"/>
            <w:tcBorders>
              <w:top w:val="single" w:sz="3" w:space="0" w:color="000000"/>
              <w:left w:val="single" w:sz="3" w:space="0" w:color="000000"/>
              <w:bottom w:val="single" w:sz="3" w:space="0" w:color="000000"/>
              <w:right w:val="single" w:sz="3" w:space="0" w:color="000000"/>
            </w:tcBorders>
            <w:shd w:val="clear" w:color="000000" w:fill="FFFFFF"/>
          </w:tcPr>
          <w:p w:rsidR="00236ADA" w:rsidRPr="00073BA6" w:rsidRDefault="00236ADA" w:rsidP="00D309A1">
            <w:pPr>
              <w:widowControl/>
              <w:autoSpaceDE w:val="0"/>
              <w:autoSpaceDN w:val="0"/>
              <w:adjustRightInd w:val="0"/>
              <w:rPr>
                <w:rFonts w:cs="Calibri"/>
                <w:strike/>
                <w:highlight w:val="lightGray"/>
                <w:lang w:val="en"/>
              </w:rPr>
            </w:pPr>
            <w:r w:rsidRPr="00073BA6">
              <w:rPr>
                <w:rFonts w:ascii="Arial Narrow" w:hAnsi="Arial Narrow" w:cs="Arial Narrow"/>
                <w:strike/>
                <w:color w:val="000000"/>
                <w:sz w:val="20"/>
                <w:szCs w:val="20"/>
                <w:lang w:val="en"/>
              </w:rPr>
              <w:t>Initial and continuing</w:t>
            </w:r>
          </w:p>
        </w:tc>
      </w:tr>
      <w:tr w:rsidR="00236ADA" w:rsidTr="00961064">
        <w:trPr>
          <w:trHeight w:val="360"/>
        </w:trPr>
        <w:tc>
          <w:tcPr>
            <w:tcW w:w="1016" w:type="pct"/>
            <w:tcBorders>
              <w:top w:val="single" w:sz="3" w:space="0" w:color="000000"/>
              <w:left w:val="single" w:sz="3" w:space="0" w:color="000000"/>
              <w:bottom w:val="single" w:sz="3" w:space="0" w:color="000000"/>
              <w:right w:val="single" w:sz="3" w:space="0" w:color="000000"/>
            </w:tcBorders>
            <w:shd w:val="clear" w:color="000000" w:fill="FFFFFF"/>
          </w:tcPr>
          <w:p w:rsidR="00236ADA" w:rsidRDefault="00236ADA" w:rsidP="00D309A1">
            <w:pPr>
              <w:widowControl/>
              <w:autoSpaceDE w:val="0"/>
              <w:autoSpaceDN w:val="0"/>
              <w:adjustRightInd w:val="0"/>
              <w:jc w:val="left"/>
              <w:rPr>
                <w:rFonts w:cs="Calibri"/>
                <w:lang w:val="en"/>
              </w:rPr>
            </w:pPr>
            <w:r>
              <w:rPr>
                <w:rFonts w:ascii="Arial Narrow" w:hAnsi="Arial Narrow" w:cs="Arial Narrow"/>
                <w:b/>
                <w:bCs/>
                <w:color w:val="000000"/>
                <w:sz w:val="20"/>
                <w:szCs w:val="20"/>
                <w:lang w:val="en"/>
              </w:rPr>
              <w:t>Restriction Level / Method:</w:t>
            </w:r>
          </w:p>
        </w:tc>
        <w:tc>
          <w:tcPr>
            <w:tcW w:w="3984" w:type="pct"/>
            <w:gridSpan w:val="6"/>
            <w:tcBorders>
              <w:top w:val="single" w:sz="3" w:space="0" w:color="000000"/>
              <w:left w:val="single" w:sz="3" w:space="0" w:color="000000"/>
              <w:bottom w:val="single" w:sz="3" w:space="0" w:color="000000"/>
              <w:right w:val="single" w:sz="3" w:space="0" w:color="000000"/>
            </w:tcBorders>
            <w:shd w:val="clear" w:color="000000" w:fill="FFFFFF"/>
          </w:tcPr>
          <w:p w:rsidR="00236ADA" w:rsidRPr="00F15216" w:rsidRDefault="00236ADA" w:rsidP="00D309A1">
            <w:pPr>
              <w:widowControl/>
              <w:rPr>
                <w:rFonts w:ascii="Arial Narrow" w:hAnsi="Arial Narrow"/>
                <w:color w:val="000000" w:themeColor="text1"/>
                <w:sz w:val="20"/>
              </w:rPr>
            </w:pPr>
            <w:r w:rsidRPr="00F15216">
              <w:rPr>
                <w:rFonts w:ascii="Arial Narrow" w:hAnsi="Arial Narrow"/>
                <w:color w:val="000000" w:themeColor="text1"/>
                <w:sz w:val="20"/>
              </w:rPr>
              <w:fldChar w:fldCharType="begin">
                <w:ffData>
                  <w:name w:val="Check1"/>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7C62FB">
              <w:rPr>
                <w:rFonts w:ascii="Arial Narrow" w:hAnsi="Arial Narrow"/>
                <w:color w:val="000000" w:themeColor="text1"/>
                <w:sz w:val="20"/>
              </w:rPr>
            </w:r>
            <w:r w:rsidR="007C62FB">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Restricted benefit</w:t>
            </w:r>
          </w:p>
          <w:p w:rsidR="00236ADA" w:rsidRPr="00F15216" w:rsidRDefault="00236ADA" w:rsidP="00D309A1">
            <w:pPr>
              <w:widowControl/>
              <w:rPr>
                <w:rFonts w:ascii="Arial Narrow" w:hAnsi="Arial Narrow"/>
                <w:color w:val="000000" w:themeColor="text1"/>
                <w:sz w:val="20"/>
              </w:rPr>
            </w:pPr>
            <w:r w:rsidRPr="00F15216">
              <w:rPr>
                <w:rFonts w:ascii="Arial Narrow" w:hAnsi="Arial Narrow"/>
                <w:color w:val="000000" w:themeColor="text1"/>
                <w:sz w:val="20"/>
              </w:rPr>
              <w:fldChar w:fldCharType="begin">
                <w:ffData>
                  <w:name w:val=""/>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7C62FB">
              <w:rPr>
                <w:rFonts w:ascii="Arial Narrow" w:hAnsi="Arial Narrow"/>
                <w:color w:val="000000" w:themeColor="text1"/>
                <w:sz w:val="20"/>
              </w:rPr>
            </w:r>
            <w:r w:rsidR="007C62FB">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Authority Required - In Writing</w:t>
            </w:r>
          </w:p>
          <w:p w:rsidR="00236ADA" w:rsidRPr="00F15216" w:rsidRDefault="00236ADA" w:rsidP="00D309A1">
            <w:pPr>
              <w:widowControl/>
              <w:rPr>
                <w:rFonts w:ascii="Arial Narrow" w:hAnsi="Arial Narrow"/>
                <w:color w:val="000000" w:themeColor="text1"/>
                <w:sz w:val="20"/>
              </w:rPr>
            </w:pPr>
            <w:r w:rsidRPr="00F15216">
              <w:rPr>
                <w:rFonts w:ascii="Arial Narrow" w:hAnsi="Arial Narrow"/>
                <w:color w:val="000000" w:themeColor="text1"/>
                <w:sz w:val="20"/>
              </w:rPr>
              <w:fldChar w:fldCharType="begin">
                <w:ffData>
                  <w:name w:val="Check3"/>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7C62FB">
              <w:rPr>
                <w:rFonts w:ascii="Arial Narrow" w:hAnsi="Arial Narrow"/>
                <w:color w:val="000000" w:themeColor="text1"/>
                <w:sz w:val="20"/>
              </w:rPr>
            </w:r>
            <w:r w:rsidR="007C62FB">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Authority Required - Telephone</w:t>
            </w:r>
          </w:p>
          <w:p w:rsidR="00236ADA" w:rsidRPr="00F15216" w:rsidRDefault="00236ADA" w:rsidP="00D309A1">
            <w:pPr>
              <w:widowControl/>
              <w:rPr>
                <w:rFonts w:ascii="Arial Narrow" w:hAnsi="Arial Narrow"/>
                <w:color w:val="000000" w:themeColor="text1"/>
                <w:sz w:val="20"/>
              </w:rPr>
            </w:pPr>
            <w:r w:rsidRPr="00F15216">
              <w:rPr>
                <w:rFonts w:ascii="Arial Narrow" w:hAnsi="Arial Narrow"/>
                <w:color w:val="000000" w:themeColor="text1"/>
                <w:sz w:val="20"/>
              </w:rPr>
              <w:fldChar w:fldCharType="begin">
                <w:ffData>
                  <w:name w:val=""/>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7C62FB">
              <w:rPr>
                <w:rFonts w:ascii="Arial Narrow" w:hAnsi="Arial Narrow"/>
                <w:color w:val="000000" w:themeColor="text1"/>
                <w:sz w:val="20"/>
              </w:rPr>
            </w:r>
            <w:r w:rsidR="007C62FB">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Authority Required – Emergency</w:t>
            </w:r>
          </w:p>
          <w:p w:rsidR="00236ADA" w:rsidRPr="00F15216" w:rsidRDefault="00236ADA" w:rsidP="00D309A1">
            <w:pPr>
              <w:widowControl/>
              <w:rPr>
                <w:rFonts w:ascii="Arial Narrow" w:hAnsi="Arial Narrow"/>
                <w:color w:val="000000" w:themeColor="text1"/>
                <w:sz w:val="20"/>
              </w:rPr>
            </w:pPr>
            <w:r w:rsidRPr="00F15216">
              <w:rPr>
                <w:rFonts w:ascii="Arial Narrow" w:hAnsi="Arial Narrow"/>
                <w:color w:val="000000" w:themeColor="text1"/>
                <w:sz w:val="20"/>
              </w:rPr>
              <w:fldChar w:fldCharType="begin">
                <w:ffData>
                  <w:name w:val="Check5"/>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7C62FB">
              <w:rPr>
                <w:rFonts w:ascii="Arial Narrow" w:hAnsi="Arial Narrow"/>
                <w:color w:val="000000" w:themeColor="text1"/>
                <w:sz w:val="20"/>
              </w:rPr>
            </w:r>
            <w:r w:rsidR="007C62FB">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Authority Required - Electronic</w:t>
            </w:r>
          </w:p>
          <w:p w:rsidR="00236ADA" w:rsidRDefault="00236ADA" w:rsidP="00D309A1">
            <w:pPr>
              <w:widowControl/>
              <w:autoSpaceDE w:val="0"/>
              <w:autoSpaceDN w:val="0"/>
              <w:adjustRightInd w:val="0"/>
              <w:rPr>
                <w:rFonts w:cs="Calibri"/>
                <w:lang w:val="en"/>
              </w:rPr>
            </w:pPr>
            <w:r w:rsidRPr="00F15216">
              <w:rPr>
                <w:rFonts w:ascii="Arial Narrow" w:hAnsi="Arial Narrow" w:cs="Times New Roman"/>
                <w:color w:val="000000" w:themeColor="text1"/>
                <w:sz w:val="20"/>
              </w:rPr>
              <w:fldChar w:fldCharType="begin">
                <w:ffData>
                  <w:name w:val="Check5"/>
                  <w:enabled/>
                  <w:calcOnExit w:val="0"/>
                  <w:checkBox>
                    <w:sizeAuto/>
                    <w:default w:val="1"/>
                  </w:checkBox>
                </w:ffData>
              </w:fldChar>
            </w:r>
            <w:r w:rsidRPr="00F15216">
              <w:rPr>
                <w:rFonts w:ascii="Arial Narrow" w:hAnsi="Arial Narrow" w:cs="Times New Roman"/>
                <w:color w:val="000000" w:themeColor="text1"/>
                <w:sz w:val="20"/>
              </w:rPr>
              <w:instrText xml:space="preserve"> FORMCHECKBOX </w:instrText>
            </w:r>
            <w:r w:rsidR="007C62FB">
              <w:rPr>
                <w:rFonts w:ascii="Arial Narrow" w:hAnsi="Arial Narrow" w:cs="Times New Roman"/>
                <w:color w:val="000000" w:themeColor="text1"/>
                <w:sz w:val="20"/>
              </w:rPr>
            </w:r>
            <w:r w:rsidR="007C62FB">
              <w:rPr>
                <w:rFonts w:ascii="Arial Narrow" w:hAnsi="Arial Narrow" w:cs="Times New Roman"/>
                <w:color w:val="000000" w:themeColor="text1"/>
                <w:sz w:val="20"/>
              </w:rPr>
              <w:fldChar w:fldCharType="separate"/>
            </w:r>
            <w:r w:rsidRPr="00F15216">
              <w:rPr>
                <w:rFonts w:ascii="Arial Narrow" w:hAnsi="Arial Narrow" w:cs="Times New Roman"/>
                <w:color w:val="000000" w:themeColor="text1"/>
                <w:sz w:val="20"/>
              </w:rPr>
              <w:fldChar w:fldCharType="end"/>
            </w:r>
            <w:r w:rsidRPr="00F15216">
              <w:rPr>
                <w:rFonts w:ascii="Arial Narrow" w:hAnsi="Arial Narrow" w:cs="Times New Roman"/>
                <w:color w:val="000000" w:themeColor="text1"/>
                <w:sz w:val="20"/>
              </w:rPr>
              <w:t>S</w:t>
            </w:r>
            <w:r w:rsidRPr="00F15216">
              <w:rPr>
                <w:rFonts w:ascii="Arial Narrow" w:hAnsi="Arial Narrow"/>
                <w:color w:val="000000" w:themeColor="text1"/>
                <w:sz w:val="20"/>
              </w:rPr>
              <w:t>treamlined</w:t>
            </w:r>
          </w:p>
        </w:tc>
      </w:tr>
      <w:tr w:rsidR="00236ADA" w:rsidTr="00961064">
        <w:trPr>
          <w:trHeight w:val="274"/>
        </w:trPr>
        <w:tc>
          <w:tcPr>
            <w:tcW w:w="1016" w:type="pct"/>
            <w:tcBorders>
              <w:top w:val="single" w:sz="3" w:space="0" w:color="000000"/>
              <w:left w:val="single" w:sz="3" w:space="0" w:color="000000"/>
              <w:bottom w:val="single" w:sz="3" w:space="0" w:color="000000"/>
              <w:right w:val="single" w:sz="3" w:space="0" w:color="000000"/>
            </w:tcBorders>
            <w:shd w:val="clear" w:color="000000" w:fill="FFFFFF"/>
          </w:tcPr>
          <w:p w:rsidR="00236ADA" w:rsidRDefault="00236ADA" w:rsidP="00D309A1">
            <w:pPr>
              <w:widowControl/>
              <w:autoSpaceDE w:val="0"/>
              <w:autoSpaceDN w:val="0"/>
              <w:adjustRightInd w:val="0"/>
              <w:rPr>
                <w:rFonts w:cs="Calibri"/>
                <w:lang w:val="en"/>
              </w:rPr>
            </w:pPr>
            <w:r>
              <w:rPr>
                <w:rFonts w:ascii="Arial Narrow" w:hAnsi="Arial Narrow" w:cs="Arial Narrow"/>
                <w:b/>
                <w:bCs/>
                <w:sz w:val="20"/>
                <w:szCs w:val="20"/>
                <w:lang w:val="en"/>
              </w:rPr>
              <w:t>Clinical criteria:</w:t>
            </w:r>
          </w:p>
        </w:tc>
        <w:tc>
          <w:tcPr>
            <w:tcW w:w="3984" w:type="pct"/>
            <w:gridSpan w:val="6"/>
            <w:tcBorders>
              <w:top w:val="single" w:sz="3" w:space="0" w:color="000000"/>
              <w:left w:val="single" w:sz="3" w:space="0" w:color="000000"/>
              <w:bottom w:val="single" w:sz="3" w:space="0" w:color="000000"/>
              <w:right w:val="single" w:sz="3" w:space="0" w:color="000000"/>
            </w:tcBorders>
            <w:shd w:val="clear" w:color="000000" w:fill="FFFFFF"/>
          </w:tcPr>
          <w:p w:rsidR="00236ADA" w:rsidRPr="00073BA6" w:rsidRDefault="00236ADA" w:rsidP="00D309A1">
            <w:pPr>
              <w:widowControl/>
              <w:rPr>
                <w:rFonts w:ascii="Arial Narrow" w:hAnsi="Arial Narrow"/>
                <w:sz w:val="20"/>
                <w:szCs w:val="20"/>
              </w:rPr>
            </w:pPr>
            <w:r w:rsidRPr="00073BA6">
              <w:rPr>
                <w:rFonts w:ascii="Arial Narrow" w:hAnsi="Arial Narrow"/>
                <w:sz w:val="20"/>
                <w:szCs w:val="20"/>
              </w:rPr>
              <w:t xml:space="preserve">The condition must be moderate to severe spasticity of the </w:t>
            </w:r>
            <w:r>
              <w:rPr>
                <w:rFonts w:ascii="Arial Narrow" w:hAnsi="Arial Narrow"/>
                <w:sz w:val="20"/>
                <w:szCs w:val="20"/>
              </w:rPr>
              <w:t>lower</w:t>
            </w:r>
            <w:r w:rsidRPr="00073BA6">
              <w:rPr>
                <w:rFonts w:ascii="Arial Narrow" w:hAnsi="Arial Narrow"/>
                <w:sz w:val="20"/>
                <w:szCs w:val="20"/>
              </w:rPr>
              <w:t xml:space="preserve"> limb/s following an acute event, defined as a Modified Ashworth Scale rating of </w:t>
            </w:r>
            <w:r w:rsidR="00323AC1" w:rsidRPr="00323AC1">
              <w:rPr>
                <w:rFonts w:ascii="Arial Narrow" w:hAnsi="Arial Narrow"/>
                <w:strike/>
                <w:sz w:val="20"/>
                <w:szCs w:val="20"/>
              </w:rPr>
              <w:t>2</w:t>
            </w:r>
            <w:r w:rsidR="00323AC1">
              <w:rPr>
                <w:rFonts w:ascii="Arial Narrow" w:hAnsi="Arial Narrow"/>
                <w:sz w:val="20"/>
                <w:szCs w:val="20"/>
              </w:rPr>
              <w:t xml:space="preserve"> </w:t>
            </w:r>
            <w:r w:rsidR="001536A5" w:rsidRPr="001536A5">
              <w:rPr>
                <w:rFonts w:ascii="Arial Narrow" w:hAnsi="Arial Narrow"/>
                <w:i/>
                <w:sz w:val="20"/>
                <w:szCs w:val="20"/>
              </w:rPr>
              <w:t>3</w:t>
            </w:r>
            <w:r w:rsidR="001536A5" w:rsidRPr="00073BA6">
              <w:rPr>
                <w:rFonts w:ascii="Arial Narrow" w:hAnsi="Arial Narrow"/>
                <w:sz w:val="20"/>
                <w:szCs w:val="20"/>
              </w:rPr>
              <w:t xml:space="preserve"> </w:t>
            </w:r>
            <w:r w:rsidRPr="00073BA6">
              <w:rPr>
                <w:rFonts w:ascii="Arial Narrow" w:hAnsi="Arial Narrow"/>
                <w:sz w:val="20"/>
                <w:szCs w:val="20"/>
              </w:rPr>
              <w:t>or more,</w:t>
            </w:r>
          </w:p>
          <w:p w:rsidR="00236ADA" w:rsidRPr="00073BA6" w:rsidRDefault="00236ADA" w:rsidP="00D309A1">
            <w:pPr>
              <w:widowControl/>
              <w:rPr>
                <w:rFonts w:ascii="Arial Narrow" w:hAnsi="Arial Narrow"/>
                <w:b/>
                <w:sz w:val="20"/>
                <w:szCs w:val="20"/>
              </w:rPr>
            </w:pPr>
            <w:r w:rsidRPr="00073BA6">
              <w:rPr>
                <w:rFonts w:ascii="Arial Narrow" w:hAnsi="Arial Narrow"/>
                <w:b/>
                <w:sz w:val="20"/>
                <w:szCs w:val="20"/>
              </w:rPr>
              <w:t>AND</w:t>
            </w:r>
          </w:p>
          <w:p w:rsidR="00236ADA" w:rsidRPr="0008767B" w:rsidRDefault="00236ADA" w:rsidP="00D309A1">
            <w:pPr>
              <w:widowControl/>
              <w:rPr>
                <w:rFonts w:ascii="Arial Narrow" w:hAnsi="Arial Narrow"/>
                <w:strike/>
                <w:sz w:val="20"/>
                <w:szCs w:val="20"/>
              </w:rPr>
            </w:pPr>
            <w:r w:rsidRPr="0008767B">
              <w:rPr>
                <w:rFonts w:ascii="Arial Narrow" w:hAnsi="Arial Narrow"/>
                <w:strike/>
                <w:sz w:val="20"/>
                <w:szCs w:val="20"/>
              </w:rPr>
              <w:t>The treatment must be initiated between 3 months and 2 years following the acute event,</w:t>
            </w:r>
          </w:p>
          <w:p w:rsidR="00236ADA" w:rsidRPr="00073BA6" w:rsidRDefault="00236ADA" w:rsidP="00D309A1">
            <w:pPr>
              <w:widowControl/>
              <w:rPr>
                <w:rFonts w:ascii="Arial Narrow" w:hAnsi="Arial Narrow"/>
                <w:b/>
                <w:sz w:val="20"/>
                <w:szCs w:val="20"/>
              </w:rPr>
            </w:pPr>
            <w:r w:rsidRPr="00073BA6">
              <w:rPr>
                <w:rFonts w:ascii="Arial Narrow" w:hAnsi="Arial Narrow"/>
                <w:b/>
                <w:sz w:val="20"/>
                <w:szCs w:val="20"/>
              </w:rPr>
              <w:t>AND</w:t>
            </w:r>
          </w:p>
          <w:p w:rsidR="00236ADA" w:rsidRPr="001C0C8F" w:rsidRDefault="00236ADA" w:rsidP="00D309A1">
            <w:pPr>
              <w:widowControl/>
              <w:rPr>
                <w:rFonts w:ascii="Arial Narrow" w:hAnsi="Arial Narrow"/>
                <w:sz w:val="20"/>
                <w:szCs w:val="20"/>
              </w:rPr>
            </w:pPr>
            <w:r w:rsidRPr="00073BA6">
              <w:rPr>
                <w:rFonts w:ascii="Arial Narrow" w:hAnsi="Arial Narrow"/>
                <w:sz w:val="20"/>
                <w:szCs w:val="20"/>
              </w:rPr>
              <w:t>The treatment must only be used as second line therapy when standard management has failed;</w:t>
            </w:r>
            <w:r w:rsidRPr="00073BA6">
              <w:rPr>
                <w:rFonts w:ascii="Arial Narrow" w:hAnsi="Arial Narrow"/>
                <w:b/>
                <w:sz w:val="20"/>
                <w:szCs w:val="20"/>
              </w:rPr>
              <w:t xml:space="preserve"> </w:t>
            </w:r>
            <w:r w:rsidRPr="001C0C8F">
              <w:rPr>
                <w:rFonts w:ascii="Arial Narrow" w:hAnsi="Arial Narrow"/>
                <w:sz w:val="20"/>
                <w:szCs w:val="20"/>
              </w:rPr>
              <w:t>OR</w:t>
            </w:r>
          </w:p>
          <w:p w:rsidR="00236ADA" w:rsidRPr="00073BA6" w:rsidRDefault="00236ADA" w:rsidP="00D309A1">
            <w:pPr>
              <w:widowControl/>
              <w:rPr>
                <w:rFonts w:ascii="Arial Narrow" w:hAnsi="Arial Narrow"/>
                <w:sz w:val="20"/>
                <w:szCs w:val="20"/>
              </w:rPr>
            </w:pPr>
            <w:r w:rsidRPr="00073BA6">
              <w:rPr>
                <w:rFonts w:ascii="Arial Narrow" w:hAnsi="Arial Narrow"/>
                <w:sz w:val="20"/>
                <w:szCs w:val="20"/>
              </w:rPr>
              <w:t>The treatment must only be used as an adjunct to physical therapy,</w:t>
            </w:r>
          </w:p>
          <w:p w:rsidR="00236ADA" w:rsidRPr="00073BA6" w:rsidRDefault="00236ADA" w:rsidP="00D309A1">
            <w:pPr>
              <w:widowControl/>
              <w:rPr>
                <w:rFonts w:ascii="Arial Narrow" w:hAnsi="Arial Narrow"/>
                <w:b/>
                <w:sz w:val="20"/>
                <w:szCs w:val="20"/>
              </w:rPr>
            </w:pPr>
            <w:r w:rsidRPr="00073BA6">
              <w:rPr>
                <w:rFonts w:ascii="Arial Narrow" w:hAnsi="Arial Narrow"/>
                <w:b/>
                <w:sz w:val="20"/>
                <w:szCs w:val="20"/>
              </w:rPr>
              <w:t>AND</w:t>
            </w:r>
          </w:p>
          <w:p w:rsidR="00236ADA" w:rsidRPr="00861FA7" w:rsidRDefault="00236ADA" w:rsidP="00D309A1">
            <w:pPr>
              <w:widowControl/>
              <w:rPr>
                <w:rFonts w:ascii="Arial Narrow" w:hAnsi="Arial Narrow"/>
                <w:b/>
                <w:sz w:val="20"/>
                <w:szCs w:val="20"/>
              </w:rPr>
            </w:pPr>
            <w:r w:rsidRPr="00861FA7">
              <w:rPr>
                <w:rFonts w:ascii="Arial Narrow" w:hAnsi="Arial Narrow"/>
                <w:sz w:val="20"/>
                <w:szCs w:val="20"/>
              </w:rPr>
              <w:t>T</w:t>
            </w:r>
            <w:r>
              <w:rPr>
                <w:rFonts w:ascii="Arial Narrow" w:hAnsi="Arial Narrow"/>
                <w:sz w:val="20"/>
                <w:szCs w:val="20"/>
              </w:rPr>
              <w:t>he treatment must not continue i</w:t>
            </w:r>
            <w:r w:rsidRPr="00861FA7">
              <w:rPr>
                <w:rFonts w:ascii="Arial Narrow" w:hAnsi="Arial Narrow"/>
                <w:sz w:val="20"/>
                <w:szCs w:val="20"/>
              </w:rPr>
              <w:t>f the patient does not respond (defined as not having had an improvement in walking speed of 0.13m/s) after four treatment periods</w:t>
            </w:r>
            <w:r w:rsidRPr="001C183F">
              <w:rPr>
                <w:rFonts w:ascii="Arial Narrow" w:hAnsi="Arial Narrow"/>
                <w:sz w:val="20"/>
                <w:szCs w:val="20"/>
              </w:rPr>
              <w:t xml:space="preserve"> </w:t>
            </w:r>
            <w:r w:rsidRPr="001C183F">
              <w:rPr>
                <w:rFonts w:ascii="Arial Narrow" w:hAnsi="Arial Narrow"/>
                <w:i/>
                <w:sz w:val="20"/>
                <w:szCs w:val="20"/>
              </w:rPr>
              <w:t>(</w:t>
            </w:r>
            <w:r>
              <w:rPr>
                <w:rFonts w:ascii="Arial Narrow" w:hAnsi="Arial Narrow"/>
                <w:i/>
                <w:color w:val="222222"/>
                <w:sz w:val="20"/>
                <w:szCs w:val="20"/>
              </w:rPr>
              <w:t>with any botulinum toxin type A</w:t>
            </w:r>
            <w:r w:rsidRPr="00861FA7">
              <w:rPr>
                <w:rFonts w:ascii="Arial Narrow" w:hAnsi="Arial Narrow"/>
                <w:i/>
                <w:color w:val="222222"/>
                <w:sz w:val="20"/>
                <w:szCs w:val="20"/>
              </w:rPr>
              <w:t>) per lower limb,</w:t>
            </w:r>
          </w:p>
          <w:p w:rsidR="00236ADA" w:rsidRPr="00073BA6" w:rsidRDefault="00236ADA" w:rsidP="00D309A1">
            <w:pPr>
              <w:widowControl/>
              <w:rPr>
                <w:rFonts w:ascii="Arial Narrow" w:hAnsi="Arial Narrow"/>
                <w:b/>
                <w:sz w:val="20"/>
                <w:szCs w:val="20"/>
              </w:rPr>
            </w:pPr>
            <w:r w:rsidRPr="00073BA6">
              <w:rPr>
                <w:rFonts w:ascii="Arial Narrow" w:hAnsi="Arial Narrow"/>
                <w:b/>
                <w:sz w:val="20"/>
                <w:szCs w:val="20"/>
              </w:rPr>
              <w:t>AND</w:t>
            </w:r>
          </w:p>
          <w:p w:rsidR="00236ADA" w:rsidRPr="00073BA6" w:rsidRDefault="00236ADA" w:rsidP="00886FC7">
            <w:pPr>
              <w:widowControl/>
              <w:rPr>
                <w:rFonts w:ascii="Arial Narrow" w:hAnsi="Arial Narrow"/>
                <w:sz w:val="20"/>
                <w:szCs w:val="20"/>
              </w:rPr>
            </w:pPr>
            <w:r w:rsidRPr="00073BA6">
              <w:rPr>
                <w:rFonts w:ascii="Arial Narrow" w:hAnsi="Arial Narrow"/>
                <w:sz w:val="20"/>
                <w:szCs w:val="20"/>
              </w:rPr>
              <w:t>Patient must not have established severe contracture in the limb to be treated</w:t>
            </w:r>
            <w:r w:rsidR="004626C8">
              <w:rPr>
                <w:rFonts w:ascii="Arial Narrow" w:hAnsi="Arial Narrow"/>
                <w:sz w:val="20"/>
                <w:szCs w:val="20"/>
              </w:rPr>
              <w:t>.</w:t>
            </w:r>
          </w:p>
        </w:tc>
      </w:tr>
      <w:tr w:rsidR="00236ADA" w:rsidRPr="007F2EF5" w:rsidTr="00961064">
        <w:trPr>
          <w:trHeight w:val="240"/>
        </w:trPr>
        <w:tc>
          <w:tcPr>
            <w:tcW w:w="1016" w:type="pct"/>
            <w:tcBorders>
              <w:top w:val="single" w:sz="3" w:space="0" w:color="000000"/>
              <w:left w:val="single" w:sz="3" w:space="0" w:color="000000"/>
              <w:bottom w:val="single" w:sz="3" w:space="0" w:color="000000"/>
              <w:right w:val="single" w:sz="3" w:space="0" w:color="000000"/>
            </w:tcBorders>
            <w:shd w:val="clear" w:color="000000" w:fill="FFFFFF"/>
          </w:tcPr>
          <w:p w:rsidR="00236ADA" w:rsidRPr="00073BA6" w:rsidRDefault="00236ADA" w:rsidP="00D309A1">
            <w:pPr>
              <w:widowControl/>
              <w:autoSpaceDE w:val="0"/>
              <w:autoSpaceDN w:val="0"/>
              <w:adjustRightInd w:val="0"/>
              <w:rPr>
                <w:rFonts w:ascii="Arial Narrow" w:hAnsi="Arial Narrow" w:cs="Arial Narrow"/>
                <w:b/>
                <w:bCs/>
                <w:color w:val="000000"/>
                <w:sz w:val="20"/>
                <w:szCs w:val="20"/>
                <w:lang w:val="en"/>
              </w:rPr>
            </w:pPr>
            <w:r w:rsidRPr="00073BA6">
              <w:rPr>
                <w:rFonts w:ascii="Arial Narrow" w:hAnsi="Arial Narrow" w:cs="Arial Narrow"/>
                <w:b/>
                <w:bCs/>
                <w:color w:val="000000"/>
                <w:sz w:val="20"/>
                <w:szCs w:val="20"/>
                <w:lang w:val="en"/>
              </w:rPr>
              <w:t>Population criteria</w:t>
            </w:r>
          </w:p>
        </w:tc>
        <w:tc>
          <w:tcPr>
            <w:tcW w:w="3984" w:type="pct"/>
            <w:gridSpan w:val="6"/>
            <w:tcBorders>
              <w:top w:val="single" w:sz="3" w:space="0" w:color="000000"/>
              <w:left w:val="single" w:sz="3" w:space="0" w:color="000000"/>
              <w:bottom w:val="single" w:sz="3" w:space="0" w:color="000000"/>
              <w:right w:val="single" w:sz="3" w:space="0" w:color="000000"/>
            </w:tcBorders>
            <w:shd w:val="clear" w:color="000000" w:fill="FFFFFF"/>
          </w:tcPr>
          <w:p w:rsidR="00236ADA" w:rsidRPr="00073BA6" w:rsidRDefault="00236ADA" w:rsidP="00D309A1">
            <w:pPr>
              <w:widowControl/>
              <w:autoSpaceDE w:val="0"/>
              <w:autoSpaceDN w:val="0"/>
              <w:adjustRightInd w:val="0"/>
              <w:rPr>
                <w:rFonts w:ascii="Arial Narrow" w:hAnsi="Arial Narrow" w:cs="Calibri"/>
                <w:sz w:val="20"/>
                <w:szCs w:val="20"/>
                <w:lang w:val="en"/>
              </w:rPr>
            </w:pPr>
            <w:r w:rsidRPr="00073BA6">
              <w:rPr>
                <w:rFonts w:ascii="Arial Narrow" w:hAnsi="Arial Narrow" w:cs="Calibri"/>
                <w:sz w:val="20"/>
                <w:szCs w:val="20"/>
                <w:lang w:val="en"/>
              </w:rPr>
              <w:t>Patient must be aged 18 years or older.</w:t>
            </w:r>
          </w:p>
        </w:tc>
      </w:tr>
      <w:tr w:rsidR="00236ADA" w:rsidRPr="00C31A26" w:rsidTr="00961064">
        <w:trPr>
          <w:cantSplit/>
        </w:trPr>
        <w:tc>
          <w:tcPr>
            <w:tcW w:w="1016" w:type="pct"/>
            <w:tcBorders>
              <w:top w:val="single" w:sz="4" w:space="0" w:color="auto"/>
              <w:left w:val="single" w:sz="4" w:space="0" w:color="auto"/>
              <w:bottom w:val="single" w:sz="4" w:space="0" w:color="auto"/>
              <w:right w:val="single" w:sz="4" w:space="0" w:color="auto"/>
            </w:tcBorders>
          </w:tcPr>
          <w:p w:rsidR="00236ADA" w:rsidRPr="00892A36" w:rsidRDefault="00236ADA" w:rsidP="00D309A1">
            <w:pPr>
              <w:pStyle w:val="Tabletext"/>
              <w:spacing w:after="120"/>
              <w:rPr>
                <w:b/>
              </w:rPr>
            </w:pPr>
            <w:r w:rsidRPr="00892A36">
              <w:rPr>
                <w:b/>
              </w:rPr>
              <w:t>Treatment criteria:</w:t>
            </w:r>
          </w:p>
          <w:p w:rsidR="00236ADA" w:rsidRPr="00045A2B" w:rsidRDefault="00236ADA" w:rsidP="00D309A1">
            <w:pPr>
              <w:pStyle w:val="Tabletext"/>
              <w:spacing w:after="120"/>
              <w:rPr>
                <w:i/>
              </w:rPr>
            </w:pPr>
          </w:p>
        </w:tc>
        <w:tc>
          <w:tcPr>
            <w:tcW w:w="3984" w:type="pct"/>
            <w:gridSpan w:val="6"/>
            <w:tcBorders>
              <w:top w:val="single" w:sz="4" w:space="0" w:color="auto"/>
              <w:left w:val="single" w:sz="4" w:space="0" w:color="auto"/>
              <w:bottom w:val="single" w:sz="4" w:space="0" w:color="auto"/>
              <w:right w:val="single" w:sz="4" w:space="0" w:color="auto"/>
            </w:tcBorders>
          </w:tcPr>
          <w:p w:rsidR="00236ADA" w:rsidRDefault="00236ADA" w:rsidP="00D309A1">
            <w:pPr>
              <w:pStyle w:val="Tabletext"/>
            </w:pPr>
            <w:r>
              <w:t>Must be treated by a neurologist; OR</w:t>
            </w:r>
          </w:p>
          <w:p w:rsidR="00236ADA" w:rsidRDefault="00236ADA" w:rsidP="00D309A1">
            <w:pPr>
              <w:pStyle w:val="Tabletext"/>
            </w:pPr>
            <w:r>
              <w:t>Must be treated by an orthopaedic surgeon; OR</w:t>
            </w:r>
          </w:p>
          <w:p w:rsidR="00236ADA" w:rsidRDefault="00236ADA" w:rsidP="00D309A1">
            <w:pPr>
              <w:pStyle w:val="Tabletext"/>
            </w:pPr>
            <w:r>
              <w:t>Must be treated by a rehabilitation specialist; OR</w:t>
            </w:r>
          </w:p>
          <w:p w:rsidR="00236ADA" w:rsidRDefault="00236ADA" w:rsidP="00D309A1">
            <w:pPr>
              <w:pStyle w:val="Tabletext"/>
            </w:pPr>
            <w:r>
              <w:t>Must be treated by a plastic surgeon; OR</w:t>
            </w:r>
          </w:p>
          <w:p w:rsidR="00236ADA" w:rsidRPr="00813C5D" w:rsidRDefault="00236ADA" w:rsidP="00D309A1">
            <w:pPr>
              <w:pStyle w:val="Tabletext"/>
            </w:pPr>
            <w:r>
              <w:t>Must be treated by a geriatrician.</w:t>
            </w:r>
          </w:p>
        </w:tc>
      </w:tr>
      <w:tr w:rsidR="00236ADA" w:rsidRPr="007F2EF5" w:rsidTr="00961064">
        <w:trPr>
          <w:trHeight w:val="277"/>
        </w:trPr>
        <w:tc>
          <w:tcPr>
            <w:tcW w:w="1016" w:type="pct"/>
            <w:tcBorders>
              <w:top w:val="single" w:sz="3" w:space="0" w:color="000000"/>
              <w:left w:val="single" w:sz="3" w:space="0" w:color="000000"/>
              <w:bottom w:val="single" w:sz="3" w:space="0" w:color="000000"/>
              <w:right w:val="single" w:sz="3" w:space="0" w:color="000000"/>
            </w:tcBorders>
            <w:shd w:val="clear" w:color="000000" w:fill="FFFFFF"/>
          </w:tcPr>
          <w:p w:rsidR="00236ADA" w:rsidRDefault="00236ADA" w:rsidP="00D309A1">
            <w:pPr>
              <w:widowControl/>
              <w:autoSpaceDE w:val="0"/>
              <w:autoSpaceDN w:val="0"/>
              <w:adjustRightInd w:val="0"/>
              <w:rPr>
                <w:rFonts w:ascii="Arial Narrow" w:hAnsi="Arial Narrow" w:cs="Arial Narrow"/>
                <w:b/>
                <w:bCs/>
                <w:color w:val="000000"/>
                <w:sz w:val="20"/>
                <w:szCs w:val="20"/>
                <w:lang w:val="en"/>
              </w:rPr>
            </w:pPr>
            <w:r>
              <w:rPr>
                <w:rFonts w:ascii="Arial Narrow" w:hAnsi="Arial Narrow" w:cs="Arial Narrow"/>
                <w:b/>
                <w:bCs/>
                <w:color w:val="000000"/>
                <w:sz w:val="20"/>
                <w:szCs w:val="20"/>
                <w:lang w:val="en"/>
              </w:rPr>
              <w:t>Prescribing instructions</w:t>
            </w:r>
          </w:p>
        </w:tc>
        <w:tc>
          <w:tcPr>
            <w:tcW w:w="3984" w:type="pct"/>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236ADA" w:rsidRPr="007E444C" w:rsidRDefault="00236ADA" w:rsidP="00D309A1">
            <w:pPr>
              <w:pStyle w:val="Tabletext"/>
              <w:rPr>
                <w:i/>
                <w:szCs w:val="20"/>
              </w:rPr>
            </w:pPr>
            <w:r w:rsidRPr="007E444C">
              <w:rPr>
                <w:i/>
                <w:szCs w:val="20"/>
              </w:rPr>
              <w:t xml:space="preserve">The date </w:t>
            </w:r>
            <w:r>
              <w:rPr>
                <w:i/>
                <w:szCs w:val="20"/>
              </w:rPr>
              <w:t xml:space="preserve">and nature </w:t>
            </w:r>
            <w:r w:rsidRPr="007E444C">
              <w:rPr>
                <w:i/>
                <w:szCs w:val="20"/>
              </w:rPr>
              <w:t>of the event must be documented in the patient’s medical records when treatment is initiated.</w:t>
            </w:r>
          </w:p>
          <w:p w:rsidR="00236ADA" w:rsidRDefault="00236ADA" w:rsidP="00D309A1">
            <w:pPr>
              <w:widowControl/>
              <w:autoSpaceDE w:val="0"/>
              <w:autoSpaceDN w:val="0"/>
              <w:adjustRightInd w:val="0"/>
              <w:rPr>
                <w:rFonts w:ascii="Arial Narrow" w:hAnsi="Arial Narrow"/>
                <w:i/>
                <w:sz w:val="20"/>
                <w:szCs w:val="20"/>
              </w:rPr>
            </w:pPr>
            <w:r w:rsidRPr="007E444C">
              <w:rPr>
                <w:rFonts w:ascii="Arial Narrow" w:hAnsi="Arial Narrow"/>
                <w:i/>
                <w:sz w:val="20"/>
                <w:szCs w:val="20"/>
              </w:rPr>
              <w:t>Standard management includes physiotherapy and/or oral spasticity agents.</w:t>
            </w:r>
          </w:p>
          <w:p w:rsidR="00236ADA" w:rsidRPr="001536A5" w:rsidRDefault="00236ADA" w:rsidP="00D309A1">
            <w:pPr>
              <w:widowControl/>
              <w:autoSpaceDE w:val="0"/>
              <w:autoSpaceDN w:val="0"/>
              <w:adjustRightInd w:val="0"/>
              <w:rPr>
                <w:rFonts w:ascii="Arial Narrow" w:hAnsi="Arial Narrow"/>
                <w:i/>
                <w:strike/>
                <w:color w:val="222222"/>
                <w:sz w:val="20"/>
                <w:szCs w:val="20"/>
                <w:shd w:val="clear" w:color="auto" w:fill="FFFFFF"/>
              </w:rPr>
            </w:pPr>
            <w:r w:rsidRPr="001536A5">
              <w:rPr>
                <w:rFonts w:ascii="Arial Narrow" w:hAnsi="Arial Narrow"/>
                <w:i/>
                <w:strike/>
                <w:sz w:val="20"/>
                <w:szCs w:val="20"/>
              </w:rPr>
              <w:t>The maximum total dose per patient is 1500U every 12 weeks.</w:t>
            </w:r>
          </w:p>
        </w:tc>
      </w:tr>
      <w:tr w:rsidR="00236ADA" w:rsidRPr="007F2EF5" w:rsidTr="00961064">
        <w:trPr>
          <w:trHeight w:val="277"/>
        </w:trPr>
        <w:tc>
          <w:tcPr>
            <w:tcW w:w="1016" w:type="pct"/>
            <w:tcBorders>
              <w:top w:val="single" w:sz="3" w:space="0" w:color="000000"/>
              <w:left w:val="single" w:sz="3" w:space="0" w:color="000000"/>
              <w:bottom w:val="single" w:sz="3" w:space="0" w:color="000000"/>
              <w:right w:val="single" w:sz="3" w:space="0" w:color="000000"/>
            </w:tcBorders>
            <w:shd w:val="clear" w:color="000000" w:fill="FFFFFF"/>
          </w:tcPr>
          <w:p w:rsidR="00236ADA" w:rsidRPr="00073BA6" w:rsidRDefault="00236ADA" w:rsidP="00D309A1">
            <w:pPr>
              <w:widowControl/>
              <w:autoSpaceDE w:val="0"/>
              <w:autoSpaceDN w:val="0"/>
              <w:adjustRightInd w:val="0"/>
              <w:rPr>
                <w:rFonts w:ascii="Arial Narrow" w:hAnsi="Arial Narrow" w:cs="Arial Narrow"/>
                <w:b/>
                <w:bCs/>
                <w:color w:val="000000"/>
                <w:sz w:val="20"/>
                <w:szCs w:val="20"/>
                <w:lang w:val="en"/>
              </w:rPr>
            </w:pPr>
            <w:r>
              <w:rPr>
                <w:rFonts w:ascii="Arial Narrow" w:hAnsi="Arial Narrow" w:cs="Arial Narrow"/>
                <w:b/>
                <w:bCs/>
                <w:color w:val="000000"/>
                <w:sz w:val="20"/>
                <w:szCs w:val="20"/>
                <w:lang w:val="en"/>
              </w:rPr>
              <w:t xml:space="preserve">Administrative </w:t>
            </w:r>
            <w:r w:rsidRPr="00073BA6">
              <w:rPr>
                <w:rFonts w:ascii="Arial Narrow" w:hAnsi="Arial Narrow" w:cs="Arial Narrow"/>
                <w:b/>
                <w:bCs/>
                <w:color w:val="000000"/>
                <w:sz w:val="20"/>
                <w:szCs w:val="20"/>
                <w:lang w:val="en"/>
              </w:rPr>
              <w:t>Note</w:t>
            </w:r>
          </w:p>
        </w:tc>
        <w:tc>
          <w:tcPr>
            <w:tcW w:w="3984" w:type="pct"/>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236ADA" w:rsidRPr="00073BA6" w:rsidRDefault="00236ADA" w:rsidP="00D309A1">
            <w:pPr>
              <w:widowControl/>
              <w:autoSpaceDE w:val="0"/>
              <w:autoSpaceDN w:val="0"/>
              <w:adjustRightInd w:val="0"/>
              <w:rPr>
                <w:rFonts w:ascii="Arial Narrow" w:hAnsi="Arial Narrow" w:cs="Calibri"/>
                <w:i/>
                <w:sz w:val="20"/>
                <w:szCs w:val="20"/>
                <w:lang w:val="en"/>
              </w:rPr>
            </w:pPr>
            <w:r w:rsidRPr="00073BA6">
              <w:rPr>
                <w:rFonts w:ascii="Arial Narrow" w:hAnsi="Arial Narrow"/>
                <w:i/>
                <w:color w:val="222222"/>
                <w:sz w:val="20"/>
                <w:szCs w:val="20"/>
                <w:shd w:val="clear" w:color="auto" w:fill="FFFFFF"/>
              </w:rPr>
              <w:t>The units used to express the potency of botulinum toxin preparations currently available for PBS subsidy are not equivalent.</w:t>
            </w:r>
          </w:p>
        </w:tc>
      </w:tr>
      <w:tr w:rsidR="00236ADA" w:rsidTr="00961064">
        <w:trPr>
          <w:trHeight w:val="196"/>
        </w:trPr>
        <w:tc>
          <w:tcPr>
            <w:tcW w:w="1016" w:type="pct"/>
            <w:tcBorders>
              <w:top w:val="single" w:sz="3" w:space="0" w:color="000000"/>
              <w:left w:val="single" w:sz="3" w:space="0" w:color="000000"/>
              <w:bottom w:val="single" w:sz="3" w:space="0" w:color="000000"/>
              <w:right w:val="single" w:sz="3" w:space="0" w:color="000000"/>
            </w:tcBorders>
            <w:shd w:val="clear" w:color="000000" w:fill="FFFFFF"/>
          </w:tcPr>
          <w:p w:rsidR="00236ADA" w:rsidRDefault="00236ADA" w:rsidP="00D309A1">
            <w:pPr>
              <w:widowControl/>
              <w:autoSpaceDE w:val="0"/>
              <w:autoSpaceDN w:val="0"/>
              <w:adjustRightInd w:val="0"/>
              <w:jc w:val="left"/>
              <w:rPr>
                <w:rFonts w:cs="Calibri"/>
                <w:lang w:val="en"/>
              </w:rPr>
            </w:pPr>
            <w:r>
              <w:rPr>
                <w:rFonts w:ascii="Arial Narrow" w:hAnsi="Arial Narrow" w:cs="Arial Narrow"/>
                <w:b/>
                <w:bCs/>
                <w:color w:val="000000"/>
                <w:sz w:val="20"/>
                <w:szCs w:val="20"/>
                <w:lang w:val="en"/>
              </w:rPr>
              <w:lastRenderedPageBreak/>
              <w:t>Administrative Advice</w:t>
            </w:r>
          </w:p>
        </w:tc>
        <w:tc>
          <w:tcPr>
            <w:tcW w:w="3984" w:type="pct"/>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236ADA" w:rsidRPr="00FA6FEE" w:rsidRDefault="00236ADA" w:rsidP="00D309A1">
            <w:pPr>
              <w:widowControl/>
              <w:autoSpaceDE w:val="0"/>
              <w:autoSpaceDN w:val="0"/>
              <w:adjustRightInd w:val="0"/>
              <w:rPr>
                <w:rFonts w:ascii="Arial Narrow" w:hAnsi="Arial Narrow" w:cs="Calibri"/>
                <w:sz w:val="20"/>
                <w:szCs w:val="20"/>
                <w:lang w:val="en"/>
              </w:rPr>
            </w:pPr>
            <w:r w:rsidRPr="00073BA6">
              <w:rPr>
                <w:rFonts w:ascii="Arial Narrow" w:hAnsi="Arial Narrow" w:cs="Calibri"/>
                <w:sz w:val="20"/>
                <w:szCs w:val="20"/>
                <w:lang w:val="en"/>
              </w:rPr>
              <w:t>An acute event may be a clinical or external event that leads to upper motor neuron lesions resulting in spasticity for example these may be stroke, TBI, infection or hypoxia</w:t>
            </w:r>
            <w:r>
              <w:rPr>
                <w:rFonts w:ascii="Arial Narrow" w:hAnsi="Arial Narrow" w:cs="Calibri"/>
                <w:sz w:val="20"/>
                <w:szCs w:val="20"/>
                <w:lang w:val="en"/>
              </w:rPr>
              <w:t>.</w:t>
            </w:r>
          </w:p>
        </w:tc>
      </w:tr>
      <w:tr w:rsidR="00236ADA" w:rsidTr="00961064">
        <w:trPr>
          <w:trHeight w:val="160"/>
        </w:trPr>
        <w:tc>
          <w:tcPr>
            <w:tcW w:w="1016" w:type="pct"/>
            <w:tcBorders>
              <w:top w:val="single" w:sz="3" w:space="0" w:color="000000"/>
              <w:left w:val="single" w:sz="3" w:space="0" w:color="000000"/>
              <w:bottom w:val="single" w:sz="3" w:space="0" w:color="000000"/>
              <w:right w:val="single" w:sz="3" w:space="0" w:color="000000"/>
            </w:tcBorders>
            <w:shd w:val="clear" w:color="000000" w:fill="FFFFFF"/>
          </w:tcPr>
          <w:p w:rsidR="00236ADA" w:rsidRDefault="00236ADA" w:rsidP="00D309A1">
            <w:pPr>
              <w:widowControl/>
              <w:autoSpaceDE w:val="0"/>
              <w:autoSpaceDN w:val="0"/>
              <w:adjustRightInd w:val="0"/>
              <w:jc w:val="left"/>
              <w:rPr>
                <w:rFonts w:ascii="Arial Narrow" w:hAnsi="Arial Narrow" w:cs="Arial Narrow"/>
                <w:b/>
                <w:bCs/>
                <w:color w:val="000000"/>
                <w:sz w:val="20"/>
                <w:szCs w:val="20"/>
                <w:lang w:val="en"/>
              </w:rPr>
            </w:pPr>
            <w:r>
              <w:rPr>
                <w:rFonts w:ascii="Arial Narrow" w:hAnsi="Arial Narrow" w:cs="Arial Narrow"/>
                <w:b/>
                <w:bCs/>
                <w:color w:val="000000"/>
                <w:sz w:val="20"/>
                <w:szCs w:val="20"/>
                <w:lang w:val="en"/>
              </w:rPr>
              <w:t>Caution</w:t>
            </w:r>
          </w:p>
        </w:tc>
        <w:tc>
          <w:tcPr>
            <w:tcW w:w="3984" w:type="pct"/>
            <w:gridSpan w:val="6"/>
            <w:tcBorders>
              <w:top w:val="single" w:sz="3" w:space="0" w:color="000000"/>
              <w:left w:val="single" w:sz="3" w:space="0" w:color="000000"/>
              <w:bottom w:val="single" w:sz="3" w:space="0" w:color="000000"/>
              <w:right w:val="single" w:sz="3" w:space="0" w:color="000000"/>
            </w:tcBorders>
            <w:shd w:val="clear" w:color="000000" w:fill="FFFFFF"/>
          </w:tcPr>
          <w:p w:rsidR="00236ADA" w:rsidRPr="00FA6FEE" w:rsidRDefault="00236ADA" w:rsidP="00D309A1">
            <w:pPr>
              <w:widowControl/>
              <w:autoSpaceDE w:val="0"/>
              <w:autoSpaceDN w:val="0"/>
              <w:adjustRightInd w:val="0"/>
              <w:jc w:val="left"/>
              <w:rPr>
                <w:rFonts w:ascii="Arial Narrow" w:hAnsi="Arial Narrow"/>
                <w:i/>
                <w:color w:val="222222"/>
                <w:sz w:val="20"/>
                <w:szCs w:val="20"/>
                <w:shd w:val="clear" w:color="auto" w:fill="FFFFFF"/>
              </w:rPr>
            </w:pPr>
            <w:r w:rsidRPr="00FA6FEE">
              <w:rPr>
                <w:rFonts w:ascii="Arial Narrow" w:hAnsi="Arial Narrow"/>
                <w:i/>
                <w:color w:val="222222"/>
                <w:sz w:val="20"/>
                <w:szCs w:val="20"/>
                <w:shd w:val="clear" w:color="auto" w:fill="FFFFFF"/>
              </w:rPr>
              <w:t>Contraindications to treatment include known sensitivity to botulinum toxin.</w:t>
            </w:r>
          </w:p>
        </w:tc>
      </w:tr>
    </w:tbl>
    <w:p w:rsidR="008B1D36" w:rsidRDefault="008B1D36" w:rsidP="00114B88">
      <w:pPr>
        <w:pStyle w:val="TableFooter"/>
      </w:pPr>
      <w:r w:rsidRPr="00786A47">
        <w:rPr>
          <w:vertAlign w:val="superscript"/>
        </w:rPr>
        <w:t>a</w:t>
      </w:r>
      <w:r w:rsidR="00591EC3">
        <w:t xml:space="preserve"> </w:t>
      </w:r>
      <w:r w:rsidRPr="00786A47">
        <w:t xml:space="preserve">Dispensed price calculated during the evaluation using </w:t>
      </w:r>
      <w:r>
        <w:t xml:space="preserve">PBAC </w:t>
      </w:r>
      <w:r w:rsidRPr="00786A47">
        <w:t>pricing calculator version 28</w:t>
      </w:r>
    </w:p>
    <w:p w:rsidR="008B1D36" w:rsidRPr="00763D6D" w:rsidRDefault="008B1D36" w:rsidP="00114B88">
      <w:pPr>
        <w:pStyle w:val="TableFooter"/>
      </w:pPr>
      <w:r>
        <w:rPr>
          <w:vertAlign w:val="superscript"/>
        </w:rPr>
        <w:t>b</w:t>
      </w:r>
      <w:r w:rsidR="00591EC3">
        <w:t xml:space="preserve"> </w:t>
      </w:r>
      <w:r w:rsidRPr="00FA3494">
        <w:t>The submission quoted DPMQ of $</w:t>
      </w:r>
      <w:r w:rsidRPr="009355A7">
        <w:t>1,515.35</w:t>
      </w:r>
      <w:r w:rsidRPr="00FA3494">
        <w:t xml:space="preserve"> and $</w:t>
      </w:r>
      <w:r w:rsidRPr="009355A7">
        <w:t>1,618.40</w:t>
      </w:r>
      <w:r w:rsidRPr="00FA3494">
        <w:t xml:space="preserve"> respectively for the 300</w:t>
      </w:r>
      <w:r>
        <w:t>U</w:t>
      </w:r>
      <w:r w:rsidRPr="00FA3494">
        <w:t xml:space="preserve"> and 500</w:t>
      </w:r>
      <w:r>
        <w:t>U injection</w:t>
      </w:r>
    </w:p>
    <w:p w:rsidR="008B1D36" w:rsidRDefault="008B1D36" w:rsidP="00114B88">
      <w:pPr>
        <w:pStyle w:val="TableFooter"/>
      </w:pPr>
      <w:r w:rsidRPr="00786A47">
        <w:t>Note:</w:t>
      </w:r>
      <w:r w:rsidR="00FA60DA">
        <w:t xml:space="preserve"> </w:t>
      </w:r>
      <w:r w:rsidR="00051CA9">
        <w:t>Dysport</w:t>
      </w:r>
      <w:r w:rsidRPr="00786A47">
        <w:t xml:space="preserve"> </w:t>
      </w:r>
      <w:r>
        <w:t>was</w:t>
      </w:r>
      <w:r w:rsidRPr="00786A47">
        <w:t xml:space="preserve"> subject to a 14.5% price reduction as of 1 June 2018 (as </w:t>
      </w:r>
      <w:r w:rsidR="00051CA9">
        <w:t>Dysport</w:t>
      </w:r>
      <w:r w:rsidRPr="00786A47">
        <w:t xml:space="preserve"> had previously taken a 5% statutory price cut in 2015, and will subsequently take </w:t>
      </w:r>
      <w:r w:rsidR="007452A0">
        <w:t xml:space="preserve">a </w:t>
      </w:r>
      <w:r w:rsidRPr="00786A47">
        <w:t>further 10% and 5% price cut for being listed on the PBS for longer than 15 years).</w:t>
      </w:r>
      <w:r w:rsidR="00FA60DA">
        <w:t xml:space="preserve"> </w:t>
      </w:r>
      <w:r w:rsidRPr="00E947E0">
        <w:t>The DPMQ takes into account these statutory price cuts.</w:t>
      </w:r>
    </w:p>
    <w:p w:rsidR="008B1D36" w:rsidRDefault="008B1D36" w:rsidP="00114B88">
      <w:pPr>
        <w:pStyle w:val="TableFooter"/>
      </w:pPr>
      <w:r>
        <w:t>Source: Tables 1.11 and 1.12, pp47 and 49 of the submission.</w:t>
      </w:r>
    </w:p>
    <w:p w:rsidR="00D3199C" w:rsidRDefault="00D3199C" w:rsidP="00114B88">
      <w:pPr>
        <w:pStyle w:val="TableFooter"/>
      </w:pPr>
    </w:p>
    <w:p w:rsidR="00ED44FF" w:rsidRPr="00A0088E" w:rsidRDefault="008B1D36" w:rsidP="00D309A1">
      <w:pPr>
        <w:pStyle w:val="ListParagraph"/>
      </w:pPr>
      <w:r w:rsidRPr="00A0088E">
        <w:t xml:space="preserve">The Sponsor requested </w:t>
      </w:r>
      <w:r w:rsidRPr="009355A7">
        <w:t>the same price per vial as</w:t>
      </w:r>
      <w:r w:rsidRPr="00A0088E">
        <w:t xml:space="preserve"> listed for treatment of spasticity of the upper limb</w:t>
      </w:r>
      <w:r w:rsidR="00FB744C">
        <w:t>s</w:t>
      </w:r>
      <w:r w:rsidRPr="00A0088E">
        <w:t xml:space="preserve"> following stroke.</w:t>
      </w:r>
      <w:r w:rsidR="00FA60DA">
        <w:t xml:space="preserve"> </w:t>
      </w:r>
      <w:r w:rsidRPr="00A0088E">
        <w:t>It was not clear why the ex-man</w:t>
      </w:r>
      <w:r w:rsidR="005F19D3" w:rsidRPr="00A0088E">
        <w:t>ufacturer</w:t>
      </w:r>
      <w:r w:rsidRPr="00A0088E">
        <w:t xml:space="preserve"> price per unit is higher for the 500U vial ($1.05 per unit) compared with the 300U vial ($0.98 per unit)</w:t>
      </w:r>
      <w:r w:rsidR="00ED44FF" w:rsidRPr="00A0088E">
        <w:t>, which resulted in a higher requested DPMQ for the 500U formulation.</w:t>
      </w:r>
      <w:r w:rsidR="00FA60DA">
        <w:t xml:space="preserve"> </w:t>
      </w:r>
      <w:r w:rsidR="00777CE4" w:rsidRPr="00A0088E">
        <w:t>Higher doses (hence more vials) are required for treatment of lower limbs compared to upper limbs.</w:t>
      </w:r>
    </w:p>
    <w:p w:rsidR="005B780D" w:rsidRPr="0004633A" w:rsidRDefault="009D1FC0" w:rsidP="00581863">
      <w:pPr>
        <w:pStyle w:val="ListParagraph"/>
        <w:spacing w:after="160"/>
      </w:pPr>
      <w:r w:rsidRPr="0004633A">
        <w:t xml:space="preserve">The wording of the requested restriction </w:t>
      </w:r>
      <w:r w:rsidR="0004633A">
        <w:t>had some similarities</w:t>
      </w:r>
      <w:r w:rsidRPr="0004633A">
        <w:t xml:space="preserve"> to the current PBS listing of </w:t>
      </w:r>
      <w:r w:rsidR="00051CA9" w:rsidRPr="0004633A">
        <w:t>Dysport®</w:t>
      </w:r>
      <w:r w:rsidRPr="0004633A">
        <w:t xml:space="preserve"> for </w:t>
      </w:r>
      <w:r w:rsidR="00A96887" w:rsidRPr="0004633A">
        <w:t>spasticity of the upper limb</w:t>
      </w:r>
      <w:r w:rsidR="0004633A">
        <w:t xml:space="preserve"> and</w:t>
      </w:r>
      <w:r w:rsidRPr="0004633A">
        <w:t xml:space="preserve"> incorporated </w:t>
      </w:r>
      <w:r w:rsidR="003C5605" w:rsidRPr="0004633A">
        <w:t xml:space="preserve">some </w:t>
      </w:r>
      <w:r w:rsidRPr="0004633A">
        <w:t xml:space="preserve">changes </w:t>
      </w:r>
      <w:r w:rsidR="004C59C9" w:rsidRPr="0004633A">
        <w:t>requested by the Rehabilitation Medicine Society of Australia and New Zealand (RMSANZ) in correspondence considered at the July 2018 PBAC meeting</w:t>
      </w:r>
      <w:r w:rsidR="005B780D" w:rsidRPr="0004633A">
        <w:t xml:space="preserve"> designed to facilitate</w:t>
      </w:r>
      <w:r w:rsidR="004C59C9" w:rsidRPr="0004633A">
        <w:t xml:space="preserve"> </w:t>
      </w:r>
      <w:r w:rsidR="005B780D" w:rsidRPr="0004633A">
        <w:t>the ‘expansion of funded conditions to include muscle overactivity of any aetiology’</w:t>
      </w:r>
      <w:r w:rsidRPr="0004633A">
        <w:t>.</w:t>
      </w:r>
      <w:r w:rsidR="00FA60DA" w:rsidRPr="0004633A">
        <w:t xml:space="preserve"> </w:t>
      </w:r>
    </w:p>
    <w:p w:rsidR="009D1FC0" w:rsidRPr="00A0088E" w:rsidRDefault="009222CF" w:rsidP="00D309A1">
      <w:pPr>
        <w:pStyle w:val="ListParagraph"/>
        <w:contextualSpacing/>
      </w:pPr>
      <w:r w:rsidRPr="00A0088E">
        <w:t>T</w:t>
      </w:r>
      <w:r w:rsidR="009D1FC0" w:rsidRPr="00A0088E">
        <w:t>he key differences</w:t>
      </w:r>
      <w:r w:rsidR="005B780D" w:rsidRPr="00A0088E">
        <w:t xml:space="preserve"> between the requested lower limb restriction and</w:t>
      </w:r>
      <w:r w:rsidR="00A03E92" w:rsidRPr="00A0088E">
        <w:t xml:space="preserve"> the </w:t>
      </w:r>
      <w:r w:rsidR="005B780D" w:rsidRPr="000A332D">
        <w:rPr>
          <w:u w:val="single"/>
        </w:rPr>
        <w:t>current</w:t>
      </w:r>
      <w:r w:rsidR="005B780D" w:rsidRPr="00A0088E">
        <w:t xml:space="preserve"> PBS listed</w:t>
      </w:r>
      <w:r w:rsidR="00A03E92" w:rsidRPr="00A0088E">
        <w:t xml:space="preserve"> upper limb</w:t>
      </w:r>
      <w:r w:rsidR="005B780D" w:rsidRPr="00A0088E">
        <w:t xml:space="preserve"> restriction</w:t>
      </w:r>
      <w:r w:rsidR="009D1FC0" w:rsidRPr="00A0088E">
        <w:t xml:space="preserve"> </w:t>
      </w:r>
      <w:r w:rsidR="00CE494E">
        <w:t>we</w:t>
      </w:r>
      <w:r w:rsidR="00C96837" w:rsidRPr="00A0088E">
        <w:t>re</w:t>
      </w:r>
      <w:r w:rsidR="009D1FC0" w:rsidRPr="00A0088E">
        <w:t>:</w:t>
      </w:r>
    </w:p>
    <w:p w:rsidR="009D1FC0" w:rsidRPr="00A0088E" w:rsidRDefault="009D1FC0" w:rsidP="00581863">
      <w:pPr>
        <w:pStyle w:val="ListParagraph"/>
        <w:numPr>
          <w:ilvl w:val="0"/>
          <w:numId w:val="13"/>
        </w:numPr>
        <w:spacing w:before="40" w:after="0"/>
        <w:ind w:left="1077" w:hanging="357"/>
      </w:pPr>
      <w:r w:rsidRPr="00A0088E">
        <w:t xml:space="preserve">Treatment for </w:t>
      </w:r>
      <w:r w:rsidR="0004633A">
        <w:t xml:space="preserve">the </w:t>
      </w:r>
      <w:r w:rsidRPr="00A0088E">
        <w:t xml:space="preserve">upper limb </w:t>
      </w:r>
      <w:r w:rsidR="00CE494E">
        <w:t>was</w:t>
      </w:r>
      <w:r w:rsidR="0010684D" w:rsidRPr="00A0088E">
        <w:t xml:space="preserve"> </w:t>
      </w:r>
      <w:r w:rsidRPr="00A0088E">
        <w:t xml:space="preserve">restricted to patients </w:t>
      </w:r>
      <w:r w:rsidR="00A03E92" w:rsidRPr="00A0088E">
        <w:t xml:space="preserve">following </w:t>
      </w:r>
      <w:r w:rsidRPr="00A0088E">
        <w:t>stroke</w:t>
      </w:r>
      <w:r w:rsidR="00712B5A" w:rsidRPr="00A0088E">
        <w:t xml:space="preserve">. The requested </w:t>
      </w:r>
      <w:r w:rsidR="005B780D" w:rsidRPr="00A0088E">
        <w:t xml:space="preserve">lower limb </w:t>
      </w:r>
      <w:r w:rsidR="00712B5A" w:rsidRPr="00A0088E">
        <w:t>restriction extend</w:t>
      </w:r>
      <w:r w:rsidR="00CE494E">
        <w:t>ed</w:t>
      </w:r>
      <w:r w:rsidR="00712B5A" w:rsidRPr="00A0088E">
        <w:t xml:space="preserve"> this aetiology to</w:t>
      </w:r>
      <w:r w:rsidR="00C96837" w:rsidRPr="00A0088E">
        <w:t xml:space="preserve"> </w:t>
      </w:r>
      <w:r w:rsidRPr="00A0088E">
        <w:t>post-acute event</w:t>
      </w:r>
      <w:r w:rsidR="00833A96" w:rsidRPr="00A0088E">
        <w:t>,</w:t>
      </w:r>
      <w:r w:rsidRPr="00A0088E">
        <w:t xml:space="preserve"> </w:t>
      </w:r>
      <w:r w:rsidR="00712B5A" w:rsidRPr="00A0088E">
        <w:t>defined</w:t>
      </w:r>
      <w:r w:rsidR="00833A96" w:rsidRPr="00A0088E">
        <w:t xml:space="preserve"> by the submission </w:t>
      </w:r>
      <w:r w:rsidR="00712B5A" w:rsidRPr="00A0088E">
        <w:t>as</w:t>
      </w:r>
      <w:r w:rsidR="00833A96" w:rsidRPr="00A0088E">
        <w:t xml:space="preserve"> an event that leads to an upper motor neuron lesion resulting in spasticity such as</w:t>
      </w:r>
      <w:r w:rsidRPr="00A0088E">
        <w:t xml:space="preserve"> stroke, </w:t>
      </w:r>
      <w:r w:rsidR="0008767B">
        <w:t>TBI</w:t>
      </w:r>
      <w:r w:rsidRPr="00A0088E">
        <w:t>, infection, hypoxia.</w:t>
      </w:r>
      <w:r w:rsidR="00581863">
        <w:t xml:space="preserve"> The PBAC </w:t>
      </w:r>
      <w:r w:rsidR="00D2167A">
        <w:t xml:space="preserve">recognised that the RMSANZ requested that botulinum toxin be available for lower limb focal spasticity due to aetiologies other than stoke, but </w:t>
      </w:r>
      <w:r w:rsidR="00581863">
        <w:t xml:space="preserve">noted that there were limited data </w:t>
      </w:r>
      <w:r w:rsidR="003447B1">
        <w:t xml:space="preserve">for these other aetiologies </w:t>
      </w:r>
      <w:r w:rsidR="0004633A">
        <w:t>presented in the submission</w:t>
      </w:r>
      <w:r w:rsidR="00581863">
        <w:t>.</w:t>
      </w:r>
    </w:p>
    <w:p w:rsidR="009D1FC0" w:rsidRPr="0027502F" w:rsidRDefault="009D1FC0" w:rsidP="00F11230">
      <w:pPr>
        <w:pStyle w:val="ListParagraph"/>
        <w:numPr>
          <w:ilvl w:val="0"/>
          <w:numId w:val="13"/>
        </w:numPr>
        <w:spacing w:before="40" w:after="0"/>
        <w:ind w:left="1077" w:hanging="357"/>
        <w:rPr>
          <w:i/>
        </w:rPr>
      </w:pPr>
      <w:r w:rsidRPr="00A0088E">
        <w:t xml:space="preserve">Treatment for </w:t>
      </w:r>
      <w:r w:rsidR="0004633A">
        <w:t xml:space="preserve">the </w:t>
      </w:r>
      <w:r w:rsidRPr="00A0088E">
        <w:t xml:space="preserve">upper limb </w:t>
      </w:r>
      <w:r w:rsidR="00CE494E">
        <w:t>was</w:t>
      </w:r>
      <w:r w:rsidRPr="00A0088E">
        <w:t xml:space="preserve"> restricted to patients with </w:t>
      </w:r>
      <w:r w:rsidR="008F0B20">
        <w:t>“</w:t>
      </w:r>
      <w:r w:rsidRPr="00A0088E">
        <w:t xml:space="preserve">moderate to severe spasticity defined as </w:t>
      </w:r>
      <w:r w:rsidR="00CE494E">
        <w:t xml:space="preserve">a </w:t>
      </w:r>
      <w:r w:rsidRPr="00A0088E">
        <w:t>MAS</w:t>
      </w:r>
      <w:r w:rsidR="000F55B0">
        <w:t xml:space="preserve"> </w:t>
      </w:r>
      <w:r w:rsidR="00CE494E">
        <w:t xml:space="preserve">score </w:t>
      </w:r>
      <w:r w:rsidR="0004633A">
        <w:t>of 3 or more</w:t>
      </w:r>
      <w:r w:rsidR="008F0B20">
        <w:t>”</w:t>
      </w:r>
      <w:r w:rsidR="0004633A">
        <w:t xml:space="preserve">. The submission proposed </w:t>
      </w:r>
      <w:r w:rsidR="008F0B20">
        <w:t>“</w:t>
      </w:r>
      <w:r w:rsidRPr="00A0088E">
        <w:t xml:space="preserve">moderate to </w:t>
      </w:r>
      <w:r w:rsidRPr="00267462">
        <w:t xml:space="preserve">severe spasticity defined as </w:t>
      </w:r>
      <w:r w:rsidR="00CE494E">
        <w:t xml:space="preserve">a </w:t>
      </w:r>
      <w:r w:rsidRPr="00267462">
        <w:t>MAS</w:t>
      </w:r>
      <w:r w:rsidR="000F55B0" w:rsidRPr="00267462">
        <w:t xml:space="preserve"> </w:t>
      </w:r>
      <w:r w:rsidR="00CE494E">
        <w:t xml:space="preserve">score </w:t>
      </w:r>
      <w:r w:rsidR="0004633A">
        <w:t>of 2 or more</w:t>
      </w:r>
      <w:r w:rsidR="008F0B20">
        <w:t>”</w:t>
      </w:r>
      <w:r w:rsidR="0004633A">
        <w:t xml:space="preserve"> which </w:t>
      </w:r>
      <w:r w:rsidR="0027502F" w:rsidRPr="00267462">
        <w:t xml:space="preserve">aligned with the eligibility criteria </w:t>
      </w:r>
      <w:r w:rsidR="0004633A">
        <w:t xml:space="preserve">of the key trial </w:t>
      </w:r>
      <w:r w:rsidR="0027502F" w:rsidRPr="00267462">
        <w:t xml:space="preserve">which included toxin naïve patients with a MAS </w:t>
      </w:r>
      <w:r w:rsidR="0027502F" w:rsidRPr="00267462">
        <w:rPr>
          <w:rFonts w:cs="Calibri"/>
        </w:rPr>
        <w:t>≥</w:t>
      </w:r>
      <w:r w:rsidR="0027502F" w:rsidRPr="00267462">
        <w:t xml:space="preserve"> 2</w:t>
      </w:r>
      <w:r w:rsidR="00CE494E">
        <w:t xml:space="preserve"> and</w:t>
      </w:r>
      <w:r w:rsidR="0027502F" w:rsidRPr="00267462">
        <w:t xml:space="preserve"> toxin non-naïve patients with a MAS </w:t>
      </w:r>
      <w:r w:rsidR="0027502F" w:rsidRPr="00267462">
        <w:rPr>
          <w:rFonts w:cs="Calibri"/>
        </w:rPr>
        <w:t>≥</w:t>
      </w:r>
      <w:r w:rsidR="0008767B">
        <w:rPr>
          <w:rFonts w:cs="Calibri"/>
        </w:rPr>
        <w:t xml:space="preserve"> </w:t>
      </w:r>
      <w:r w:rsidR="0027502F" w:rsidRPr="00267462">
        <w:t>3.</w:t>
      </w:r>
      <w:r w:rsidR="004D72AB">
        <w:t xml:space="preserve"> The PBAC noted that a change in the eligibility criterion for treatment from MAS ≥</w:t>
      </w:r>
      <w:r w:rsidR="00BB0F30">
        <w:t xml:space="preserve"> </w:t>
      </w:r>
      <w:r w:rsidR="004D72AB">
        <w:t>3 to MAS ≥</w:t>
      </w:r>
      <w:r w:rsidR="00BB0F30">
        <w:t xml:space="preserve"> </w:t>
      </w:r>
      <w:r w:rsidR="004D72AB">
        <w:t xml:space="preserve">2 was not requested by the RMSANZ. </w:t>
      </w:r>
      <w:r w:rsidR="00BB0F30">
        <w:t xml:space="preserve">The PBAC acknowledged that the key </w:t>
      </w:r>
      <w:r w:rsidR="0004633A">
        <w:t xml:space="preserve">trial </w:t>
      </w:r>
      <w:r w:rsidR="00BB0F30">
        <w:t>(</w:t>
      </w:r>
      <w:r w:rsidR="00F11230">
        <w:t>Study</w:t>
      </w:r>
      <w:r w:rsidR="00BB0F30">
        <w:t xml:space="preserve"> 140) enrolled </w:t>
      </w:r>
      <w:r w:rsidR="0008767B">
        <w:t xml:space="preserve">toxin naïve </w:t>
      </w:r>
      <w:r w:rsidR="00BB0F30">
        <w:t>patients with MAS ≥ 2</w:t>
      </w:r>
      <w:r w:rsidR="0008767B">
        <w:t xml:space="preserve">; however, </w:t>
      </w:r>
      <w:r w:rsidR="00BB0F30">
        <w:t xml:space="preserve">considered that the </w:t>
      </w:r>
      <w:r w:rsidR="0008767B">
        <w:t xml:space="preserve">PBS </w:t>
      </w:r>
      <w:r w:rsidR="00BB0F30">
        <w:t>eligibility criteria should re</w:t>
      </w:r>
      <w:r w:rsidR="0008767B">
        <w:t>main consistent with that of the upper limb</w:t>
      </w:r>
      <w:r w:rsidR="008F0B20">
        <w:t xml:space="preserve"> in defining moderate to severe spasticity as a MAS score of 3 or more. The PBAC noted that the mean baseline MAS score for patients enrolled in Study 140 </w:t>
      </w:r>
      <w:r w:rsidR="000925ED">
        <w:t>in the gastrocnemius soleus complex was 3.8</w:t>
      </w:r>
      <w:r w:rsidR="00BB0F30">
        <w:t>.</w:t>
      </w:r>
    </w:p>
    <w:p w:rsidR="009D1FC0" w:rsidRPr="00A0088E" w:rsidRDefault="0008767B" w:rsidP="00D309A1">
      <w:pPr>
        <w:pStyle w:val="ListParagraph"/>
        <w:numPr>
          <w:ilvl w:val="0"/>
          <w:numId w:val="13"/>
        </w:numPr>
        <w:spacing w:before="40" w:after="0"/>
        <w:ind w:left="1077" w:hanging="357"/>
      </w:pPr>
      <w:r>
        <w:lastRenderedPageBreak/>
        <w:t xml:space="preserve">The proposed restriction requested initiation </w:t>
      </w:r>
      <w:r w:rsidR="000B1A0E" w:rsidRPr="00A0088E">
        <w:t>“</w:t>
      </w:r>
      <w:r w:rsidR="009D1FC0" w:rsidRPr="00A0088E">
        <w:t>between 3 month</w:t>
      </w:r>
      <w:r>
        <w:t>s</w:t>
      </w:r>
      <w:r w:rsidR="009D1FC0" w:rsidRPr="00A0088E">
        <w:t xml:space="preserve"> and 2 years post-acute event</w:t>
      </w:r>
      <w:r w:rsidR="000B1A0E" w:rsidRPr="00A0088E">
        <w:t>”</w:t>
      </w:r>
      <w:r w:rsidR="009D1FC0" w:rsidRPr="00A0088E">
        <w:t>.</w:t>
      </w:r>
      <w:r>
        <w:t xml:space="preserve"> Although noting a lack of evidence for the optimal timing of the initiation of treatment, the PBAC recommended removing the criteria, deter</w:t>
      </w:r>
      <w:r w:rsidR="00886FC7">
        <w:t xml:space="preserve">mining that the timing of the onset of treatment should be at the discretion of the physician. This was supported by the RMSANZ. </w:t>
      </w:r>
      <w:r w:rsidR="00581863">
        <w:t xml:space="preserve"> </w:t>
      </w:r>
    </w:p>
    <w:p w:rsidR="009D1FC0" w:rsidRPr="00267462" w:rsidRDefault="009D1FC0" w:rsidP="00D309A1">
      <w:pPr>
        <w:pStyle w:val="ListParagraph"/>
        <w:numPr>
          <w:ilvl w:val="0"/>
          <w:numId w:val="13"/>
        </w:numPr>
        <w:spacing w:before="40" w:after="0"/>
        <w:ind w:left="1077" w:hanging="357"/>
      </w:pPr>
      <w:r w:rsidRPr="00A0088E">
        <w:t xml:space="preserve">Treatment for </w:t>
      </w:r>
      <w:r w:rsidR="008F0B20">
        <w:t xml:space="preserve">the </w:t>
      </w:r>
      <w:r w:rsidR="00A96887" w:rsidRPr="00A0088E">
        <w:t xml:space="preserve">upper limb </w:t>
      </w:r>
      <w:r w:rsidRPr="00A0088E">
        <w:t xml:space="preserve">is </w:t>
      </w:r>
      <w:r w:rsidR="0010684D" w:rsidRPr="00A0088E">
        <w:t xml:space="preserve">currently </w:t>
      </w:r>
      <w:r w:rsidRPr="00A0088E">
        <w:t xml:space="preserve">limited to a maximum of </w:t>
      </w:r>
      <w:r w:rsidR="008F0B20">
        <w:t>four</w:t>
      </w:r>
      <w:r w:rsidRPr="00A0088E">
        <w:t xml:space="preserve"> treatment cycles (any brand of </w:t>
      </w:r>
      <w:r w:rsidR="00886FC7">
        <w:t>botulinum toxin</w:t>
      </w:r>
      <w:r w:rsidRPr="00A0088E">
        <w:t xml:space="preserve">) per </w:t>
      </w:r>
      <w:r w:rsidR="001503F5" w:rsidRPr="00A0088E">
        <w:t>upper limb</w:t>
      </w:r>
      <w:r w:rsidRPr="00A0088E">
        <w:t xml:space="preserve"> per lifetime (given </w:t>
      </w:r>
      <w:r w:rsidR="008F0B20">
        <w:t xml:space="preserve">that </w:t>
      </w:r>
      <w:r w:rsidRPr="00A0088E">
        <w:t>response criteria was met)</w:t>
      </w:r>
      <w:r w:rsidR="00740F1C" w:rsidRPr="00A0088E">
        <w:t>.</w:t>
      </w:r>
      <w:r w:rsidRPr="00A0088E">
        <w:t xml:space="preserve"> </w:t>
      </w:r>
      <w:r w:rsidR="00740F1C" w:rsidRPr="00A0088E">
        <w:t>N</w:t>
      </w:r>
      <w:r w:rsidRPr="00A0088E">
        <w:t xml:space="preserve">o lifetime </w:t>
      </w:r>
      <w:r w:rsidR="00740F1C" w:rsidRPr="00A0088E">
        <w:t xml:space="preserve">treatment limit was proposed in the </w:t>
      </w:r>
      <w:r w:rsidR="00A6189D" w:rsidRPr="00A0088E">
        <w:t xml:space="preserve">requested lower limb </w:t>
      </w:r>
      <w:r w:rsidR="00A6189D" w:rsidRPr="00267462">
        <w:t>listing</w:t>
      </w:r>
      <w:r w:rsidRPr="00267462">
        <w:t>.</w:t>
      </w:r>
      <w:r w:rsidR="00886FC7">
        <w:t xml:space="preserve"> The PBAC agreed that the </w:t>
      </w:r>
      <w:r w:rsidR="00CE494E">
        <w:t>removal of a lifetime limit of four</w:t>
      </w:r>
      <w:r w:rsidR="00886FC7">
        <w:t xml:space="preserve"> treatments was consistent with clinical practice for continuing responders</w:t>
      </w:r>
      <w:r w:rsidR="003447B1">
        <w:t xml:space="preserve"> and consistent with the recommendation by the RMSANZ</w:t>
      </w:r>
      <w:r w:rsidR="00886FC7">
        <w:t>. The PBAC noted expert opinion which indicated that re</w:t>
      </w:r>
      <w:r w:rsidR="008F0B20">
        <w:t>-</w:t>
      </w:r>
      <w:r w:rsidR="00886FC7">
        <w:t xml:space="preserve">injection intervals </w:t>
      </w:r>
      <w:r w:rsidR="008F0B20">
        <w:t xml:space="preserve">tended to </w:t>
      </w:r>
      <w:r w:rsidR="00886FC7">
        <w:t>increase with continued treatment and considered that a limit of four treatment periods per lower limb in the first year</w:t>
      </w:r>
      <w:r w:rsidR="008F0B20">
        <w:t xml:space="preserve"> and </w:t>
      </w:r>
      <w:r w:rsidR="00CE494E">
        <w:t>two</w:t>
      </w:r>
      <w:r w:rsidR="00886FC7">
        <w:t xml:space="preserve"> treatment periods per lower limb per year from Year 2 </w:t>
      </w:r>
      <w:r w:rsidR="008F0B20">
        <w:t xml:space="preserve">onwards </w:t>
      </w:r>
      <w:r w:rsidR="000C4450">
        <w:t>might be</w:t>
      </w:r>
      <w:r w:rsidR="00886FC7">
        <w:t xml:space="preserve"> reasonable.</w:t>
      </w:r>
    </w:p>
    <w:p w:rsidR="00CE494E" w:rsidRPr="00267462" w:rsidRDefault="009D1FC0" w:rsidP="00CE494E">
      <w:pPr>
        <w:pStyle w:val="ListParagraph"/>
        <w:numPr>
          <w:ilvl w:val="0"/>
          <w:numId w:val="13"/>
        </w:numPr>
        <w:spacing w:before="40"/>
        <w:ind w:left="1077" w:hanging="357"/>
      </w:pPr>
      <w:r w:rsidRPr="00267462">
        <w:t>T</w:t>
      </w:r>
      <w:r w:rsidR="00886FC7">
        <w:t>he submission defined t</w:t>
      </w:r>
      <w:r w:rsidRPr="00267462">
        <w:t xml:space="preserve">reatment response </w:t>
      </w:r>
      <w:r w:rsidR="00886FC7">
        <w:t>as an</w:t>
      </w:r>
      <w:r w:rsidR="00FC4CF5" w:rsidRPr="00267462">
        <w:t xml:space="preserve"> </w:t>
      </w:r>
      <w:r w:rsidR="00886FC7">
        <w:t xml:space="preserve">improvement in walking speed of at least </w:t>
      </w:r>
      <w:r w:rsidRPr="000506E0">
        <w:rPr>
          <w:rFonts w:cs="Calibri"/>
        </w:rPr>
        <w:t>0.13</w:t>
      </w:r>
      <w:r w:rsidR="00886FC7" w:rsidRPr="000506E0">
        <w:rPr>
          <w:rFonts w:cs="Calibri"/>
        </w:rPr>
        <w:t xml:space="preserve"> </w:t>
      </w:r>
      <w:r w:rsidRPr="000506E0">
        <w:rPr>
          <w:rFonts w:cs="Calibri"/>
        </w:rPr>
        <w:t>m/s</w:t>
      </w:r>
      <w:r w:rsidR="00AC7D94" w:rsidRPr="000506E0">
        <w:rPr>
          <w:rFonts w:cs="Calibri"/>
        </w:rPr>
        <w:t xml:space="preserve"> after </w:t>
      </w:r>
      <w:r w:rsidR="00886FC7" w:rsidRPr="000506E0">
        <w:rPr>
          <w:rFonts w:cs="Calibri"/>
        </w:rPr>
        <w:t>four </w:t>
      </w:r>
      <w:r w:rsidRPr="000506E0">
        <w:rPr>
          <w:rFonts w:cs="Calibri"/>
        </w:rPr>
        <w:t>treatment cycles.</w:t>
      </w:r>
      <w:r w:rsidR="002B4483" w:rsidRPr="000506E0">
        <w:rPr>
          <w:rFonts w:cs="Calibri"/>
        </w:rPr>
        <w:t xml:space="preserve"> The PSCR stated that the </w:t>
      </w:r>
      <w:r w:rsidR="00886FC7" w:rsidRPr="000506E0">
        <w:rPr>
          <w:rFonts w:cs="Calibri"/>
        </w:rPr>
        <w:t xml:space="preserve">10 m comfortable barefoot walking test, which aligned with the test used in the </w:t>
      </w:r>
      <w:r w:rsidR="008F0B20">
        <w:rPr>
          <w:rFonts w:cs="Calibri"/>
        </w:rPr>
        <w:t xml:space="preserve">key </w:t>
      </w:r>
      <w:r w:rsidR="00886FC7" w:rsidRPr="000506E0">
        <w:rPr>
          <w:rFonts w:cs="Calibri"/>
        </w:rPr>
        <w:t>clinical trial, was the</w:t>
      </w:r>
      <w:r w:rsidR="002B4483" w:rsidRPr="000506E0">
        <w:rPr>
          <w:rFonts w:cs="Calibri"/>
        </w:rPr>
        <w:t xml:space="preserve"> most appropriate for assessing walking speed</w:t>
      </w:r>
      <w:r w:rsidR="00B81ED7" w:rsidRPr="000506E0">
        <w:rPr>
          <w:rFonts w:cs="Calibri"/>
        </w:rPr>
        <w:t xml:space="preserve">. </w:t>
      </w:r>
      <w:r w:rsidR="000506E0">
        <w:rPr>
          <w:rFonts w:cs="Calibri"/>
        </w:rPr>
        <w:t>The evaluation considered that w</w:t>
      </w:r>
      <w:r w:rsidR="00E751E9" w:rsidRPr="00267462">
        <w:t xml:space="preserve">alking speed may not be a reasonable proxy for community ambulation, which is </w:t>
      </w:r>
      <w:r w:rsidR="00601FD3" w:rsidRPr="00267462">
        <w:t xml:space="preserve">determined </w:t>
      </w:r>
      <w:r w:rsidR="00E751E9" w:rsidRPr="00267462">
        <w:t>by other factors (such as balance, motor function, endurance and assistive walking aids), or for meaningful changes to patient functioning and quality of life.</w:t>
      </w:r>
      <w:r w:rsidR="00FA60DA" w:rsidRPr="00267462">
        <w:t xml:space="preserve"> </w:t>
      </w:r>
      <w:r w:rsidR="00A05F7D" w:rsidRPr="00267462">
        <w:t xml:space="preserve">The RMSANZ stated that intended outcomes of treatment with </w:t>
      </w:r>
      <w:r w:rsidR="00A05F7D">
        <w:t>botulinum toxin</w:t>
      </w:r>
      <w:r w:rsidR="00A05F7D" w:rsidRPr="00267462">
        <w:t xml:space="preserve"> included reduced impairment (i.e. spasticity, pain), improved activity and participation (i.e. independent living and mobility), improved passive function (i.e. personal hygiene), improved quality of life and reduced carer burden.</w:t>
      </w:r>
      <w:r w:rsidR="00A05F7D">
        <w:t xml:space="preserve"> </w:t>
      </w:r>
      <w:r w:rsidR="00892BA7" w:rsidRPr="000506E0">
        <w:rPr>
          <w:rFonts w:cs="Calibri"/>
        </w:rPr>
        <w:t>The PSCR claimed that the British National Guidelines for the treatment of spasticity recommend the use of a 10</w:t>
      </w:r>
      <w:r w:rsidR="000506E0">
        <w:rPr>
          <w:rFonts w:cs="Calibri"/>
        </w:rPr>
        <w:t xml:space="preserve"> </w:t>
      </w:r>
      <w:r w:rsidR="00892BA7" w:rsidRPr="000506E0">
        <w:rPr>
          <w:rFonts w:cs="Calibri"/>
        </w:rPr>
        <w:t>m walking speed test as part of patients on-going monitoring, specifically where improvements in their mobility have been identified as a goal for treatment.</w:t>
      </w:r>
      <w:r w:rsidR="00310A60" w:rsidRPr="000506E0">
        <w:rPr>
          <w:rFonts w:cs="Calibri"/>
        </w:rPr>
        <w:t xml:space="preserve"> The ESC </w:t>
      </w:r>
      <w:r w:rsidR="00CF6C64" w:rsidRPr="000506E0">
        <w:rPr>
          <w:rFonts w:cs="Calibri"/>
        </w:rPr>
        <w:t xml:space="preserve">considered </w:t>
      </w:r>
      <w:r w:rsidR="00310A60" w:rsidRPr="000506E0">
        <w:rPr>
          <w:rFonts w:cs="Calibri"/>
        </w:rPr>
        <w:t>that while 10</w:t>
      </w:r>
      <w:r w:rsidR="000506E0">
        <w:rPr>
          <w:rFonts w:cs="Calibri"/>
        </w:rPr>
        <w:t xml:space="preserve"> </w:t>
      </w:r>
      <w:r w:rsidR="00310A60" w:rsidRPr="000506E0">
        <w:rPr>
          <w:rFonts w:cs="Calibri"/>
        </w:rPr>
        <w:t xml:space="preserve">m walking speed test is a </w:t>
      </w:r>
      <w:r w:rsidR="00FC5C53" w:rsidRPr="000506E0">
        <w:rPr>
          <w:rFonts w:cs="Calibri"/>
        </w:rPr>
        <w:t>commonly used outcome</w:t>
      </w:r>
      <w:r w:rsidR="003600D3" w:rsidRPr="000506E0">
        <w:rPr>
          <w:rFonts w:cs="Calibri"/>
        </w:rPr>
        <w:t xml:space="preserve"> measure, it may not correlate to a patient-relevant outcome measure and does not adequately capture activities of daily living.</w:t>
      </w:r>
      <w:r w:rsidR="00310A60" w:rsidRPr="000506E0">
        <w:rPr>
          <w:rFonts w:cs="Calibri"/>
        </w:rPr>
        <w:t xml:space="preserve"> </w:t>
      </w:r>
      <w:r w:rsidR="004D72AB">
        <w:t>The PBAC noted the use of the 10 m walking speed test was</w:t>
      </w:r>
      <w:r w:rsidR="0024543C">
        <w:t xml:space="preserve"> commonly used in the assessment of patients with </w:t>
      </w:r>
      <w:r w:rsidR="008F0B20">
        <w:t>lower limb spasticity</w:t>
      </w:r>
      <w:r w:rsidR="0024543C">
        <w:t xml:space="preserve">. However, the PBAC agreed with the ESC that walking speed may not adequately capture improvements to </w:t>
      </w:r>
      <w:r w:rsidR="00A05F7D">
        <w:t xml:space="preserve">overall </w:t>
      </w:r>
      <w:r w:rsidR="0024543C">
        <w:t xml:space="preserve">patient functioning or quality of life. The PBAC </w:t>
      </w:r>
      <w:r w:rsidR="00A05F7D">
        <w:t xml:space="preserve">also </w:t>
      </w:r>
      <w:r w:rsidR="0024543C">
        <w:t>expressed concern that the clinical relevance of walking speed improvements may vary with aetiology, age and baseline walking speeds, and may be difficult to test in some patients.</w:t>
      </w:r>
      <w:r w:rsidR="00CE494E">
        <w:t xml:space="preserve"> </w:t>
      </w:r>
      <w:r w:rsidR="00CE494E" w:rsidRPr="000506E0">
        <w:rPr>
          <w:rFonts w:cs="Calibri"/>
        </w:rPr>
        <w:t>The PBAC noted that</w:t>
      </w:r>
      <w:r w:rsidR="008F0B20">
        <w:rPr>
          <w:rFonts w:cs="Calibri"/>
        </w:rPr>
        <w:t xml:space="preserve"> as</w:t>
      </w:r>
      <w:r w:rsidR="00CE494E" w:rsidRPr="000506E0">
        <w:rPr>
          <w:rFonts w:cs="Calibri"/>
        </w:rPr>
        <w:t xml:space="preserve"> MAS was the primary outcome for Study 140</w:t>
      </w:r>
      <w:r w:rsidR="008F0B20">
        <w:rPr>
          <w:rFonts w:cs="Calibri"/>
        </w:rPr>
        <w:t xml:space="preserve"> and</w:t>
      </w:r>
      <w:r w:rsidR="00A05F7D">
        <w:rPr>
          <w:rFonts w:cs="Calibri"/>
        </w:rPr>
        <w:t xml:space="preserve"> was used as the continuation criteria for upper limb spasticity</w:t>
      </w:r>
      <w:r w:rsidR="00CE494E" w:rsidRPr="000506E0">
        <w:rPr>
          <w:rFonts w:cs="Calibri"/>
        </w:rPr>
        <w:t xml:space="preserve"> that a continuation criterion based on MAS </w:t>
      </w:r>
      <w:r w:rsidR="00A05F7D">
        <w:rPr>
          <w:rFonts w:cs="Calibri"/>
        </w:rPr>
        <w:t>might be more reasonable</w:t>
      </w:r>
      <w:r w:rsidR="00CE494E" w:rsidRPr="000506E0">
        <w:rPr>
          <w:rFonts w:cs="Calibri"/>
        </w:rPr>
        <w:t>.</w:t>
      </w:r>
    </w:p>
    <w:p w:rsidR="00651001" w:rsidRDefault="006352F0" w:rsidP="00D309A1">
      <w:pPr>
        <w:pStyle w:val="ListParagraph"/>
      </w:pPr>
      <w:r w:rsidRPr="00A0088E">
        <w:lastRenderedPageBreak/>
        <w:t>S</w:t>
      </w:r>
      <w:r w:rsidR="00651001" w:rsidRPr="00A0088E">
        <w:t xml:space="preserve">ome patients </w:t>
      </w:r>
      <w:r w:rsidR="00601FD3" w:rsidRPr="00A0088E">
        <w:t>may</w:t>
      </w:r>
      <w:r w:rsidR="00651001" w:rsidRPr="00A0088E">
        <w:t xml:space="preserve"> require treatment for spasticity in both </w:t>
      </w:r>
      <w:r w:rsidR="008F0B20">
        <w:t xml:space="preserve">the </w:t>
      </w:r>
      <w:r w:rsidR="00651001" w:rsidRPr="00A0088E">
        <w:t xml:space="preserve">upper and lower limbs </w:t>
      </w:r>
      <w:r w:rsidR="008F0B20">
        <w:t>concurrently</w:t>
      </w:r>
      <w:r w:rsidR="00601FD3" w:rsidRPr="00A0088E">
        <w:t xml:space="preserve"> </w:t>
      </w:r>
      <w:r w:rsidR="00651001" w:rsidRPr="00A0088E">
        <w:t>(</w:t>
      </w:r>
      <w:r w:rsidR="008F0B20">
        <w:t xml:space="preserve">as was the case for </w:t>
      </w:r>
      <w:r w:rsidR="00651001" w:rsidRPr="00A0088E">
        <w:t xml:space="preserve">up to 48% </w:t>
      </w:r>
      <w:r w:rsidR="00FC4CF5" w:rsidRPr="00A0088E">
        <w:t xml:space="preserve">of </w:t>
      </w:r>
      <w:r w:rsidR="00651001" w:rsidRPr="00A0088E">
        <w:t>the population</w:t>
      </w:r>
      <w:r w:rsidR="00EA7556" w:rsidRPr="00A0088E">
        <w:t xml:space="preserve"> </w:t>
      </w:r>
      <w:r w:rsidR="00C96837" w:rsidRPr="00A0088E">
        <w:t>in</w:t>
      </w:r>
      <w:r w:rsidR="00EA7556" w:rsidRPr="00A0088E">
        <w:t xml:space="preserve"> </w:t>
      </w:r>
      <w:r w:rsidR="008753F3" w:rsidRPr="00A0088E">
        <w:t>the open label extension</w:t>
      </w:r>
      <w:r w:rsidR="008F0B20">
        <w:t>,</w:t>
      </w:r>
      <w:r w:rsidR="008753F3" w:rsidRPr="00A0088E">
        <w:t xml:space="preserve"> </w:t>
      </w:r>
      <w:r w:rsidR="00EA7556" w:rsidRPr="00A0088E">
        <w:t>Study 142</w:t>
      </w:r>
      <w:r w:rsidR="00651001" w:rsidRPr="00A0088E">
        <w:t>)</w:t>
      </w:r>
      <w:r w:rsidR="00A05F7D">
        <w:t>. The</w:t>
      </w:r>
      <w:r w:rsidR="008F0B20">
        <w:t xml:space="preserve"> approved Australian</w:t>
      </w:r>
      <w:r w:rsidR="004F0499" w:rsidRPr="00A0088E">
        <w:t xml:space="preserve"> Product Information recommends </w:t>
      </w:r>
      <w:r w:rsidR="00651001" w:rsidRPr="00A0088E">
        <w:t xml:space="preserve">the same maximum dose </w:t>
      </w:r>
      <w:r w:rsidR="00FC4CF5" w:rsidRPr="00A0088E">
        <w:t xml:space="preserve">per </w:t>
      </w:r>
      <w:r w:rsidR="0074549C" w:rsidRPr="00A0088E">
        <w:t>person</w:t>
      </w:r>
      <w:r w:rsidR="008F0B20">
        <w:t>,</w:t>
      </w:r>
      <w:r w:rsidR="0074549C" w:rsidRPr="00A0088E">
        <w:t xml:space="preserve"> </w:t>
      </w:r>
      <w:r w:rsidR="00130F71" w:rsidRPr="00A0088E">
        <w:t xml:space="preserve">as </w:t>
      </w:r>
      <w:r w:rsidR="00651001" w:rsidRPr="00A0088E">
        <w:t>for lower limbs alone</w:t>
      </w:r>
      <w:r w:rsidR="00A05F7D">
        <w:t xml:space="preserve"> (1,500U at an interval of at least 12 weeks)</w:t>
      </w:r>
      <w:r w:rsidRPr="00A0088E">
        <w:t>.</w:t>
      </w:r>
      <w:r w:rsidR="00FA60DA">
        <w:t xml:space="preserve"> </w:t>
      </w:r>
    </w:p>
    <w:p w:rsidR="00F022D2" w:rsidRPr="00F022D2" w:rsidRDefault="00F022D2" w:rsidP="00F022D2">
      <w:pPr>
        <w:pStyle w:val="ListParagraph"/>
        <w:numPr>
          <w:ilvl w:val="0"/>
          <w:numId w:val="0"/>
        </w:numPr>
        <w:ind w:left="720"/>
        <w:rPr>
          <w:i/>
        </w:rPr>
      </w:pPr>
      <w:r w:rsidRPr="00F022D2">
        <w:rPr>
          <w:i/>
        </w:rPr>
        <w:t>For more details on PBAC’s view, see Section 7 PBAC outcome.</w:t>
      </w:r>
    </w:p>
    <w:p w:rsidR="00B50DB8" w:rsidRPr="00407F2D" w:rsidRDefault="00B50DB8" w:rsidP="00987415">
      <w:pPr>
        <w:pStyle w:val="Heading1"/>
        <w:ind w:left="709" w:hanging="709"/>
      </w:pPr>
      <w:bookmarkStart w:id="2" w:name="_Toc524505989"/>
      <w:r w:rsidRPr="00407F2D">
        <w:t>Background</w:t>
      </w:r>
      <w:bookmarkEnd w:id="2"/>
    </w:p>
    <w:p w:rsidR="00B60939" w:rsidRPr="0006794C" w:rsidRDefault="00591957" w:rsidP="00114B88">
      <w:pPr>
        <w:pStyle w:val="Heading2"/>
      </w:pPr>
      <w:bookmarkStart w:id="3" w:name="_Toc524505990"/>
      <w:r w:rsidRPr="0006794C">
        <w:t>Registration status</w:t>
      </w:r>
      <w:bookmarkEnd w:id="3"/>
    </w:p>
    <w:p w:rsidR="00480BF1" w:rsidRDefault="00B60939" w:rsidP="00D309A1">
      <w:pPr>
        <w:pStyle w:val="ListParagraph"/>
      </w:pPr>
      <w:r w:rsidRPr="0006794C">
        <w:t>TGA status:</w:t>
      </w:r>
      <w:r w:rsidR="00115370" w:rsidRPr="0006794C">
        <w:t xml:space="preserve"> </w:t>
      </w:r>
      <w:r w:rsidR="00051CA9" w:rsidRPr="0006794C">
        <w:t>Dysport®</w:t>
      </w:r>
      <w:r w:rsidRPr="0006794C">
        <w:t xml:space="preserve"> was TGA registered on</w:t>
      </w:r>
      <w:r w:rsidR="001576B1" w:rsidRPr="0006794C">
        <w:t xml:space="preserve"> </w:t>
      </w:r>
      <w:r w:rsidR="005544A3" w:rsidRPr="0006794C">
        <w:t>16 March 2018</w:t>
      </w:r>
      <w:r w:rsidR="001576B1" w:rsidRPr="0006794C">
        <w:t xml:space="preserve"> for </w:t>
      </w:r>
      <w:r w:rsidR="00115370" w:rsidRPr="0006794C">
        <w:t>“symptomatic treatment of focal spasticity affecting the lower limbs in adults”.</w:t>
      </w:r>
      <w:r w:rsidR="00FA60DA">
        <w:t xml:space="preserve"> </w:t>
      </w:r>
    </w:p>
    <w:p w:rsidR="00D2167A" w:rsidRDefault="00D2167A" w:rsidP="00D309A1">
      <w:pPr>
        <w:pStyle w:val="ListParagraph"/>
      </w:pPr>
      <w:r>
        <w:t>The PBAC noted that the TGA approved Dysport</w:t>
      </w:r>
      <w:r>
        <w:rPr>
          <w:rFonts w:cs="Calibri"/>
        </w:rPr>
        <w:t>®</w:t>
      </w:r>
      <w:r>
        <w:t xml:space="preserve"> for the treatment of focal spasticity of the lower limb</w:t>
      </w:r>
      <w:r w:rsidR="00CE3008">
        <w:t>s</w:t>
      </w:r>
      <w:r>
        <w:t xml:space="preserve"> due to any aetiology</w:t>
      </w:r>
      <w:r w:rsidR="0029179A">
        <w:t xml:space="preserve">, on the basis that the underlying </w:t>
      </w:r>
      <w:r w:rsidR="008F0B20">
        <w:t>cause</w:t>
      </w:r>
      <w:r w:rsidR="0029179A">
        <w:t xml:space="preserve"> of spasticity would not have a major effect on the utility of the treatment. </w:t>
      </w:r>
    </w:p>
    <w:p w:rsidR="00B60939" w:rsidRDefault="001866AC" w:rsidP="00D309A1">
      <w:pPr>
        <w:pStyle w:val="ListParagraph"/>
      </w:pPr>
      <w:r w:rsidRPr="0006794C">
        <w:t xml:space="preserve">Other approved indications include </w:t>
      </w:r>
      <w:r w:rsidR="00130F71" w:rsidRPr="0006794C">
        <w:t xml:space="preserve">focal </w:t>
      </w:r>
      <w:r w:rsidRPr="0006794C">
        <w:t xml:space="preserve">spasticity of the </w:t>
      </w:r>
      <w:r w:rsidR="00B5698B" w:rsidRPr="0006794C">
        <w:t>lower</w:t>
      </w:r>
      <w:r w:rsidRPr="0006794C">
        <w:t xml:space="preserve"> limbs</w:t>
      </w:r>
      <w:r w:rsidR="00B5698B" w:rsidRPr="0006794C">
        <w:t xml:space="preserve"> in children, </w:t>
      </w:r>
      <w:r w:rsidR="00130F71" w:rsidRPr="0006794C">
        <w:t xml:space="preserve">focal </w:t>
      </w:r>
      <w:r w:rsidR="00B5698B" w:rsidRPr="0006794C">
        <w:t>spasticity of the upper limbs, spasmodic torticollis, blepharospasm, hemifacial spasm and glabellar lines.</w:t>
      </w:r>
    </w:p>
    <w:p w:rsidR="00BC7CC9" w:rsidRDefault="00BC7CC9" w:rsidP="00114B88">
      <w:pPr>
        <w:pStyle w:val="Heading2"/>
      </w:pPr>
      <w:bookmarkStart w:id="4" w:name="_Toc524459018"/>
      <w:bookmarkStart w:id="5" w:name="_Toc524505991"/>
      <w:r>
        <w:t>Previous PBAC considerations</w:t>
      </w:r>
      <w:bookmarkEnd w:id="4"/>
      <w:bookmarkEnd w:id="5"/>
    </w:p>
    <w:p w:rsidR="004D3925" w:rsidRPr="00854825" w:rsidRDefault="004D3925" w:rsidP="001D61B9">
      <w:pPr>
        <w:pStyle w:val="ListParagraph"/>
        <w:spacing w:after="160"/>
        <w:rPr>
          <w:snapToGrid/>
          <w:lang w:val="en-US" w:eastAsia="en-AU"/>
        </w:rPr>
      </w:pPr>
      <w:r w:rsidRPr="00854825">
        <w:rPr>
          <w:snapToGrid/>
          <w:lang w:val="en-US" w:eastAsia="en-AU"/>
        </w:rPr>
        <w:t>Dysport</w:t>
      </w:r>
      <w:r w:rsidRPr="00854825">
        <w:rPr>
          <w:rFonts w:cs="Calibri"/>
          <w:snapToGrid/>
          <w:lang w:val="en-US" w:eastAsia="en-AU"/>
        </w:rPr>
        <w:t>®</w:t>
      </w:r>
      <w:r w:rsidRPr="00854825">
        <w:rPr>
          <w:snapToGrid/>
          <w:lang w:val="en-US" w:eastAsia="en-AU"/>
        </w:rPr>
        <w:t xml:space="preserve"> has not been considered for lower limb spasticity previously. It was approved for the treatment of upper limb focal spasticity following stroke in November 20</w:t>
      </w:r>
      <w:r w:rsidR="008F0B20" w:rsidRPr="00854825">
        <w:rPr>
          <w:snapToGrid/>
          <w:lang w:val="en-US" w:eastAsia="en-AU"/>
        </w:rPr>
        <w:t>0</w:t>
      </w:r>
      <w:r w:rsidR="00854825">
        <w:rPr>
          <w:snapToGrid/>
          <w:lang w:val="en-US" w:eastAsia="en-AU"/>
        </w:rPr>
        <w:t>7</w:t>
      </w:r>
      <w:r w:rsidRPr="00854825">
        <w:rPr>
          <w:snapToGrid/>
          <w:lang w:val="en-US" w:eastAsia="en-AU"/>
        </w:rPr>
        <w:t>.</w:t>
      </w:r>
    </w:p>
    <w:p w:rsidR="004333E8" w:rsidRPr="00854825" w:rsidRDefault="004333E8" w:rsidP="001D61B9">
      <w:pPr>
        <w:pStyle w:val="ListParagraph"/>
        <w:spacing w:after="160"/>
        <w:rPr>
          <w:snapToGrid/>
          <w:lang w:val="en-US" w:eastAsia="en-AU"/>
        </w:rPr>
      </w:pPr>
      <w:r w:rsidRPr="00854825">
        <w:rPr>
          <w:snapToGrid/>
          <w:lang w:val="en-US" w:eastAsia="en-AU"/>
        </w:rPr>
        <w:t xml:space="preserve">In May 2018, DUSC provided advice to the PBAC in a review of utilisation of botulinum toxin type A (BoNT-A) supplied through the PBS for treatment of spasticity in patients with cerebral palsy (CP) or following a stroke, and for spasmodic torticollis, blepharospasm and hemifacial spasm. This followed a request from the RMSANZ to the PBAC to review a perceived inequity of access for patients to </w:t>
      </w:r>
      <w:r w:rsidR="00854825">
        <w:rPr>
          <w:snapToGrid/>
          <w:lang w:val="en-US" w:eastAsia="en-AU"/>
        </w:rPr>
        <w:t xml:space="preserve">botulinum toxin </w:t>
      </w:r>
      <w:r w:rsidRPr="00854825">
        <w:rPr>
          <w:snapToGrid/>
          <w:lang w:val="en-US" w:eastAsia="en-AU"/>
        </w:rPr>
        <w:t>treatments in the current PBS restrictions.</w:t>
      </w:r>
      <w:r w:rsidR="00FA60DA" w:rsidRPr="00854825">
        <w:rPr>
          <w:snapToGrid/>
          <w:lang w:val="en-US" w:eastAsia="en-AU"/>
        </w:rPr>
        <w:t xml:space="preserve"> </w:t>
      </w:r>
      <w:r w:rsidR="00854825">
        <w:rPr>
          <w:snapToGrid/>
          <w:lang w:val="en-US" w:eastAsia="en-AU"/>
        </w:rPr>
        <w:t xml:space="preserve">Both the DUSC report and the RMSANZ requests were considered by the PBAC in July 2018. </w:t>
      </w:r>
    </w:p>
    <w:p w:rsidR="00F022D2" w:rsidRPr="00F022D2" w:rsidRDefault="00F022D2" w:rsidP="00F022D2">
      <w:pPr>
        <w:pStyle w:val="ListParagraph"/>
        <w:numPr>
          <w:ilvl w:val="0"/>
          <w:numId w:val="0"/>
        </w:numPr>
        <w:spacing w:after="160"/>
        <w:ind w:left="720"/>
        <w:rPr>
          <w:i/>
          <w:snapToGrid/>
          <w:lang w:val="en-US" w:eastAsia="en-AU"/>
        </w:rPr>
      </w:pPr>
      <w:r w:rsidRPr="00F022D2">
        <w:rPr>
          <w:i/>
          <w:snapToGrid/>
          <w:lang w:val="en-US" w:eastAsia="en-AU"/>
        </w:rPr>
        <w:t>For more details on PBAC’s view, see Section 7 PBAC outcome.</w:t>
      </w:r>
    </w:p>
    <w:p w:rsidR="00B50DB8" w:rsidRPr="00407F2D" w:rsidRDefault="00203181" w:rsidP="00987415">
      <w:pPr>
        <w:pStyle w:val="Heading1"/>
        <w:ind w:left="709" w:hanging="709"/>
      </w:pPr>
      <w:bookmarkStart w:id="6" w:name="_Toc524505992"/>
      <w:r>
        <w:t xml:space="preserve">Population and </w:t>
      </w:r>
      <w:r w:rsidR="008E0D3C">
        <w:t>d</w:t>
      </w:r>
      <w:r>
        <w:t>isease</w:t>
      </w:r>
      <w:bookmarkEnd w:id="6"/>
    </w:p>
    <w:p w:rsidR="00130F71" w:rsidRDefault="00130F71" w:rsidP="00D309A1">
      <w:pPr>
        <w:pStyle w:val="ListParagraph"/>
      </w:pPr>
      <w:r>
        <w:t>Spasticity of the lower limbs (</w:t>
      </w:r>
      <w:r w:rsidR="003600D3">
        <w:t xml:space="preserve">in </w:t>
      </w:r>
      <w:r>
        <w:t>adults) typically affects the hip, knee, ankle and foot.</w:t>
      </w:r>
      <w:r w:rsidR="00FA60DA">
        <w:t xml:space="preserve"> </w:t>
      </w:r>
      <w:r>
        <w:t>Focal spasticity affects a concentrated muscle area; examples in the lower limb include</w:t>
      </w:r>
      <w:r w:rsidRPr="00907EC5">
        <w:t xml:space="preserve"> the equinovarus foot, valgus foot, striatal toe, stiff knee, flexed knee, adducted thighs, and flexed hip</w:t>
      </w:r>
      <w:r>
        <w:t>.</w:t>
      </w:r>
      <w:r w:rsidRPr="00FF6AF0">
        <w:t xml:space="preserve"> These deformities may impede bed positioning, sitting balance, chair-level activities, transfers and standing up</w:t>
      </w:r>
      <w:r>
        <w:t xml:space="preserve"> which limits mobility, pain and contractures</w:t>
      </w:r>
      <w:r w:rsidR="0074549C">
        <w:t>,</w:t>
      </w:r>
      <w:r>
        <w:t xml:space="preserve"> and impact on activities of daily living</w:t>
      </w:r>
      <w:r w:rsidRPr="00FF6AF0">
        <w:t>.</w:t>
      </w:r>
    </w:p>
    <w:p w:rsidR="005544A3" w:rsidRDefault="00051CA9" w:rsidP="00D309A1">
      <w:pPr>
        <w:pStyle w:val="ListParagraph"/>
      </w:pPr>
      <w:r>
        <w:lastRenderedPageBreak/>
        <w:t>Dysport®</w:t>
      </w:r>
      <w:r w:rsidR="005544A3">
        <w:t xml:space="preserve"> is a muscle relaxant that acts on the junctions between the nerves and muscles, preventing the release of one of the chemical messengers called acetylcholine from the nerve endings that would normally cause the muscle to contract.</w:t>
      </w:r>
      <w:r w:rsidR="00FA60DA">
        <w:t xml:space="preserve"> </w:t>
      </w:r>
      <w:r w:rsidR="005544A3">
        <w:t>This results in a weakened muscle and helps to reduce some of the abnormal muscle contractions.</w:t>
      </w:r>
    </w:p>
    <w:p w:rsidR="00037C99" w:rsidRDefault="0045782E" w:rsidP="00D309A1">
      <w:pPr>
        <w:pStyle w:val="ListParagraph"/>
      </w:pPr>
      <w:r>
        <w:t>The dose adminis</w:t>
      </w:r>
      <w:r w:rsidR="00037C99">
        <w:t>tered</w:t>
      </w:r>
      <w:r>
        <w:t xml:space="preserve">, </w:t>
      </w:r>
      <w:r w:rsidR="00D25F0E">
        <w:t xml:space="preserve">which is </w:t>
      </w:r>
      <w:r>
        <w:t xml:space="preserve">given by intramuscular injection, is </w:t>
      </w:r>
      <w:r w:rsidR="003B73BE">
        <w:t xml:space="preserve">divided between affected muscles </w:t>
      </w:r>
      <w:r>
        <w:t>depend</w:t>
      </w:r>
      <w:r w:rsidR="003B73BE">
        <w:t>ing</w:t>
      </w:r>
      <w:r>
        <w:t xml:space="preserve"> on the size, number and location of muscles involved, how severe the spasticity is, and taking into account any local muscle weakness and previous response to treatment.</w:t>
      </w:r>
      <w:r w:rsidR="00FA60DA">
        <w:t xml:space="preserve"> </w:t>
      </w:r>
      <w:r>
        <w:t>Injections are given approximately every 12 to 16 weeks, or as re</w:t>
      </w:r>
      <w:r w:rsidR="00037C99">
        <w:t>quired to maintain the response</w:t>
      </w:r>
      <w:r>
        <w:t xml:space="preserve"> but not more frequently than every 12 weeks.</w:t>
      </w:r>
      <w:r w:rsidR="00FA60DA">
        <w:t xml:space="preserve"> </w:t>
      </w:r>
      <w:r>
        <w:t>The maximum dose must not exceed 1500U</w:t>
      </w:r>
      <w:r w:rsidR="00037C99">
        <w:t xml:space="preserve"> in the lower limbs.</w:t>
      </w:r>
      <w:r w:rsidR="00FA60DA">
        <w:t xml:space="preserve"> </w:t>
      </w:r>
      <w:r w:rsidR="00037C99">
        <w:t xml:space="preserve">If </w:t>
      </w:r>
      <w:r w:rsidR="00037C99" w:rsidRPr="00037C99">
        <w:t xml:space="preserve">treatment is required </w:t>
      </w:r>
      <w:r w:rsidR="00037C99">
        <w:t>for both upper and lower limbs, the total dose also must not exceed 1500U.</w:t>
      </w:r>
    </w:p>
    <w:p w:rsidR="002C2775" w:rsidRDefault="00900DE1" w:rsidP="00D309A1">
      <w:pPr>
        <w:pStyle w:val="ListParagraph"/>
        <w:spacing w:after="160"/>
      </w:pPr>
      <w:r>
        <w:t>Local and international guidelines recommend treatment as adjuvant therapy to physical therapy (including postural management, physiotherapy, splints) and/or muscle blocking drugs.</w:t>
      </w:r>
      <w:r w:rsidR="00FA60DA">
        <w:t xml:space="preserve"> </w:t>
      </w:r>
      <w:r w:rsidR="00AF7939" w:rsidRPr="00AF7939">
        <w:t>The proposed PBS listing for Dysport</w:t>
      </w:r>
      <w:r w:rsidR="00AF7939" w:rsidRPr="00AF7939">
        <w:rPr>
          <w:rFonts w:cs="Calibri"/>
        </w:rPr>
        <w:t>®</w:t>
      </w:r>
      <w:r w:rsidR="00AF7939" w:rsidRPr="00AF7939">
        <w:t xml:space="preserve"> is for use as an adjunct to physical therapy, or as second line therapy when standard management has failed.</w:t>
      </w:r>
      <w:r w:rsidR="00FA60DA">
        <w:t xml:space="preserve"> </w:t>
      </w:r>
      <w:r w:rsidR="00AF7939" w:rsidRPr="00A0088E">
        <w:rPr>
          <w:iCs/>
        </w:rPr>
        <w:t>This does not preclude Dysport® from being used without physical therapy.</w:t>
      </w:r>
      <w:r w:rsidR="00FA60DA">
        <w:t xml:space="preserve"> </w:t>
      </w:r>
      <w:r w:rsidR="00AF7939" w:rsidRPr="00A0088E">
        <w:t>Standard management includes physiotherapy and/or oral spasticity agents.</w:t>
      </w:r>
      <w:r w:rsidR="00FA60DA">
        <w:t xml:space="preserve"> </w:t>
      </w:r>
    </w:p>
    <w:p w:rsidR="00F022D2" w:rsidRPr="00F022D2" w:rsidRDefault="00F022D2" w:rsidP="00F022D2">
      <w:pPr>
        <w:pStyle w:val="ListParagraph"/>
        <w:numPr>
          <w:ilvl w:val="0"/>
          <w:numId w:val="0"/>
        </w:numPr>
        <w:spacing w:after="160"/>
        <w:ind w:left="720"/>
        <w:rPr>
          <w:i/>
        </w:rPr>
      </w:pPr>
      <w:r w:rsidRPr="00F022D2">
        <w:rPr>
          <w:i/>
        </w:rPr>
        <w:t>For more details on PBAC’s view, see Section 7 PBAC outcome.</w:t>
      </w:r>
    </w:p>
    <w:p w:rsidR="00B50DB8" w:rsidRPr="00407F2D" w:rsidRDefault="00B50DB8" w:rsidP="00987415">
      <w:pPr>
        <w:pStyle w:val="Heading1"/>
        <w:ind w:left="709" w:hanging="709"/>
      </w:pPr>
      <w:bookmarkStart w:id="7" w:name="_Toc524505993"/>
      <w:r w:rsidRPr="00407F2D">
        <w:t>Comparator</w:t>
      </w:r>
      <w:bookmarkEnd w:id="7"/>
    </w:p>
    <w:p w:rsidR="002C2775" w:rsidRDefault="00FA28BF" w:rsidP="00D309A1">
      <w:pPr>
        <w:pStyle w:val="ListParagraph"/>
      </w:pPr>
      <w:r w:rsidRPr="00267462">
        <w:t>Standard of care (placebo).</w:t>
      </w:r>
      <w:r w:rsidR="00FA60DA" w:rsidRPr="00267462">
        <w:t xml:space="preserve"> </w:t>
      </w:r>
      <w:r w:rsidR="00892BA7" w:rsidRPr="00267462">
        <w:t xml:space="preserve">The ESC considered standard of care (placebo) to be a reasonable comparator, noting that </w:t>
      </w:r>
      <w:r w:rsidR="00456758" w:rsidRPr="00267462">
        <w:t>given</w:t>
      </w:r>
      <w:r w:rsidR="00456758">
        <w:t xml:space="preserve"> the PBAC will also consider an application to list </w:t>
      </w:r>
      <w:r w:rsidR="00D26716">
        <w:t>BOTOX</w:t>
      </w:r>
      <w:r w:rsidR="00456758">
        <w:t>® on the PBS for spasticity of the lower limb at the November 2018 meeting, B</w:t>
      </w:r>
      <w:r w:rsidR="00D26716">
        <w:t>OTOX</w:t>
      </w:r>
      <w:r w:rsidR="00456758">
        <w:t xml:space="preserve">® </w:t>
      </w:r>
      <w:r w:rsidR="00D25F0E">
        <w:t>would be a</w:t>
      </w:r>
      <w:r w:rsidR="00456758">
        <w:t xml:space="preserve"> relevant </w:t>
      </w:r>
      <w:r w:rsidR="00D25F0E">
        <w:t xml:space="preserve">near market </w:t>
      </w:r>
      <w:r w:rsidR="00456758">
        <w:t>comparator.</w:t>
      </w:r>
    </w:p>
    <w:p w:rsidR="00F022D2" w:rsidRPr="00F022D2" w:rsidRDefault="00F022D2" w:rsidP="00F022D2">
      <w:pPr>
        <w:pStyle w:val="ListParagraph"/>
        <w:numPr>
          <w:ilvl w:val="0"/>
          <w:numId w:val="0"/>
        </w:numPr>
        <w:ind w:left="720"/>
        <w:rPr>
          <w:i/>
        </w:rPr>
      </w:pPr>
      <w:r w:rsidRPr="00F022D2">
        <w:rPr>
          <w:i/>
        </w:rPr>
        <w:t>For more details on PBAC’s view, see Section 7 PBAC outcome.</w:t>
      </w:r>
    </w:p>
    <w:p w:rsidR="00B50DB8" w:rsidRPr="00407F2D" w:rsidRDefault="00BD6CF3" w:rsidP="00987415">
      <w:pPr>
        <w:pStyle w:val="Heading1"/>
        <w:ind w:left="709" w:hanging="709"/>
      </w:pPr>
      <w:bookmarkStart w:id="8" w:name="_Toc524505994"/>
      <w:r>
        <w:t>C</w:t>
      </w:r>
      <w:r w:rsidR="00B50DB8" w:rsidRPr="00407F2D">
        <w:t>onsideration of the evidence</w:t>
      </w:r>
      <w:bookmarkEnd w:id="8"/>
    </w:p>
    <w:p w:rsidR="00267462" w:rsidRPr="00D26716" w:rsidRDefault="00267462" w:rsidP="00114B88">
      <w:pPr>
        <w:pStyle w:val="Heading2"/>
      </w:pPr>
      <w:bookmarkStart w:id="9" w:name="_Toc524505995"/>
      <w:r w:rsidRPr="00D26716">
        <w:t>Sponsor hearing</w:t>
      </w:r>
    </w:p>
    <w:p w:rsidR="001D61B9" w:rsidRPr="00D26716" w:rsidRDefault="001D61B9" w:rsidP="00B84237">
      <w:pPr>
        <w:numPr>
          <w:ilvl w:val="1"/>
          <w:numId w:val="3"/>
        </w:numPr>
        <w:spacing w:after="120"/>
        <w:rPr>
          <w:rFonts w:asciiTheme="minorHAnsi" w:hAnsiTheme="minorHAnsi"/>
          <w:bCs/>
        </w:rPr>
      </w:pPr>
      <w:r w:rsidRPr="00D26716">
        <w:rPr>
          <w:rFonts w:asciiTheme="minorHAnsi" w:hAnsiTheme="minorHAnsi"/>
          <w:bCs/>
        </w:rPr>
        <w:t>The sponsor requested a hearing for this item. The clinician discussed the use of Dysport® in clinical practice</w:t>
      </w:r>
      <w:r w:rsidR="00B84237" w:rsidRPr="00D26716">
        <w:rPr>
          <w:rFonts w:asciiTheme="minorHAnsi" w:hAnsiTheme="minorHAnsi"/>
          <w:bCs/>
        </w:rPr>
        <w:t>, and stated that the primary goal of treatment is to improve patient safety, and then to improve function and patient goals. The clinician described the action of Dysport® as providing a window to permit stretching and training of antagonist muscles. In response to the Committee’s questions, the clinician stated that, while patie</w:t>
      </w:r>
      <w:r w:rsidR="00D26716" w:rsidRPr="00D26716">
        <w:rPr>
          <w:rFonts w:asciiTheme="minorHAnsi" w:hAnsiTheme="minorHAnsi"/>
          <w:bCs/>
        </w:rPr>
        <w:t>n</w:t>
      </w:r>
      <w:r w:rsidR="00B84237" w:rsidRPr="00D26716">
        <w:rPr>
          <w:rFonts w:asciiTheme="minorHAnsi" w:hAnsiTheme="minorHAnsi"/>
          <w:bCs/>
        </w:rPr>
        <w:t xml:space="preserve">ts with spasticity following stroke or </w:t>
      </w:r>
      <w:r w:rsidR="00D26716" w:rsidRPr="00D26716">
        <w:rPr>
          <w:rFonts w:asciiTheme="minorHAnsi" w:hAnsiTheme="minorHAnsi"/>
          <w:bCs/>
        </w:rPr>
        <w:t>TBI</w:t>
      </w:r>
      <w:r w:rsidR="00B84237" w:rsidRPr="00D26716">
        <w:rPr>
          <w:rFonts w:asciiTheme="minorHAnsi" w:hAnsiTheme="minorHAnsi"/>
          <w:bCs/>
        </w:rPr>
        <w:t xml:space="preserve"> were easier to recruit </w:t>
      </w:r>
      <w:r w:rsidR="00D25F0E">
        <w:rPr>
          <w:rFonts w:asciiTheme="minorHAnsi" w:hAnsiTheme="minorHAnsi"/>
          <w:bCs/>
        </w:rPr>
        <w:t>in</w:t>
      </w:r>
      <w:r w:rsidR="00B84237" w:rsidRPr="00D26716">
        <w:rPr>
          <w:rFonts w:asciiTheme="minorHAnsi" w:hAnsiTheme="minorHAnsi"/>
          <w:bCs/>
        </w:rPr>
        <w:t xml:space="preserve">to trials, spasticity from other causes manifests similarly. The clinician stated that the goal setting for patients may differ across aetiologies, and the injections are targeted according to patients’ goals. </w:t>
      </w:r>
    </w:p>
    <w:p w:rsidR="00267462" w:rsidRPr="00D26716" w:rsidRDefault="00267462" w:rsidP="00114B88">
      <w:pPr>
        <w:pStyle w:val="Heading2"/>
      </w:pPr>
      <w:r w:rsidRPr="00D26716">
        <w:lastRenderedPageBreak/>
        <w:t>Consumer comments</w:t>
      </w:r>
    </w:p>
    <w:p w:rsidR="00267462" w:rsidRPr="00D26716" w:rsidRDefault="00267462" w:rsidP="00512D47">
      <w:pPr>
        <w:numPr>
          <w:ilvl w:val="1"/>
          <w:numId w:val="3"/>
        </w:numPr>
        <w:spacing w:after="120"/>
        <w:rPr>
          <w:rFonts w:asciiTheme="minorHAnsi" w:hAnsiTheme="minorHAnsi"/>
          <w:bCs/>
        </w:rPr>
      </w:pPr>
      <w:r w:rsidRPr="00D26716">
        <w:rPr>
          <w:rFonts w:asciiTheme="minorHAnsi" w:hAnsiTheme="minorHAnsi"/>
          <w:bCs/>
        </w:rPr>
        <w:t xml:space="preserve">The PBAC noted and welcomed the input from </w:t>
      </w:r>
      <w:r w:rsidR="005521DE" w:rsidRPr="00D26716">
        <w:rPr>
          <w:rFonts w:asciiTheme="minorHAnsi" w:hAnsiTheme="minorHAnsi"/>
          <w:bCs/>
        </w:rPr>
        <w:t xml:space="preserve">four health professionals </w:t>
      </w:r>
      <w:r w:rsidRPr="00D26716">
        <w:rPr>
          <w:rFonts w:asciiTheme="minorHAnsi" w:hAnsiTheme="minorHAnsi"/>
          <w:bCs/>
        </w:rPr>
        <w:t xml:space="preserve">via the Consumer Comments facility on the PBS website.  The comments described a range of benefits of treatment with </w:t>
      </w:r>
      <w:r w:rsidR="00D75CED" w:rsidRPr="00D26716">
        <w:rPr>
          <w:rFonts w:asciiTheme="minorHAnsi" w:hAnsiTheme="minorHAnsi"/>
          <w:bCs/>
        </w:rPr>
        <w:t xml:space="preserve">Clostridium </w:t>
      </w:r>
      <w:r w:rsidR="00D26716" w:rsidRPr="00D26716">
        <w:rPr>
          <w:rFonts w:asciiTheme="minorHAnsi" w:hAnsiTheme="minorHAnsi"/>
          <w:bCs/>
        </w:rPr>
        <w:t>b</w:t>
      </w:r>
      <w:r w:rsidR="00D75CED" w:rsidRPr="00D26716">
        <w:rPr>
          <w:rFonts w:asciiTheme="minorHAnsi" w:hAnsiTheme="minorHAnsi"/>
          <w:bCs/>
        </w:rPr>
        <w:t xml:space="preserve">otulinum </w:t>
      </w:r>
      <w:r w:rsidR="00D26716" w:rsidRPr="00D26716">
        <w:rPr>
          <w:rFonts w:asciiTheme="minorHAnsi" w:hAnsiTheme="minorHAnsi"/>
          <w:bCs/>
        </w:rPr>
        <w:t>t</w:t>
      </w:r>
      <w:r w:rsidR="00D75CED" w:rsidRPr="00D26716">
        <w:rPr>
          <w:rFonts w:asciiTheme="minorHAnsi" w:hAnsiTheme="minorHAnsi"/>
          <w:bCs/>
        </w:rPr>
        <w:t>oxin</w:t>
      </w:r>
      <w:r w:rsidRPr="00D26716">
        <w:rPr>
          <w:rFonts w:asciiTheme="minorHAnsi" w:hAnsiTheme="minorHAnsi"/>
          <w:bCs/>
        </w:rPr>
        <w:t xml:space="preserve"> including </w:t>
      </w:r>
      <w:r w:rsidR="00D75CED" w:rsidRPr="00D26716">
        <w:rPr>
          <w:rFonts w:asciiTheme="minorHAnsi" w:hAnsiTheme="minorHAnsi"/>
          <w:bCs/>
        </w:rPr>
        <w:t>improving mobility, improving quality of life</w:t>
      </w:r>
      <w:r w:rsidR="00512D47" w:rsidRPr="00D26716">
        <w:rPr>
          <w:rFonts w:asciiTheme="minorHAnsi" w:hAnsiTheme="minorHAnsi"/>
          <w:bCs/>
        </w:rPr>
        <w:t>,</w:t>
      </w:r>
      <w:r w:rsidR="00D75CED" w:rsidRPr="00D26716">
        <w:rPr>
          <w:rFonts w:asciiTheme="minorHAnsi" w:hAnsiTheme="minorHAnsi"/>
          <w:bCs/>
        </w:rPr>
        <w:t xml:space="preserve"> reducing pain and the burden of care for carers and family. </w:t>
      </w:r>
    </w:p>
    <w:p w:rsidR="00B60939" w:rsidRPr="00C9624D" w:rsidRDefault="00B60939" w:rsidP="00114B88">
      <w:pPr>
        <w:pStyle w:val="Heading2"/>
      </w:pPr>
      <w:r w:rsidRPr="00C9624D">
        <w:t>Clinical trials</w:t>
      </w:r>
      <w:bookmarkEnd w:id="9"/>
    </w:p>
    <w:p w:rsidR="00D26716" w:rsidRDefault="0023429E" w:rsidP="00D309A1">
      <w:pPr>
        <w:pStyle w:val="ListParagraph"/>
      </w:pPr>
      <w:r>
        <w:t xml:space="preserve">The submission was based on one head-to-head randomised trial comparing </w:t>
      </w:r>
      <w:r w:rsidR="00051CA9">
        <w:t>Dysport®</w:t>
      </w:r>
      <w:r>
        <w:t xml:space="preserve"> to placebo (Study 140) and its associated open label extension (Study 142).</w:t>
      </w:r>
    </w:p>
    <w:p w:rsidR="00E061C5" w:rsidRPr="00B50DB8" w:rsidRDefault="00FA60DA" w:rsidP="00D309A1">
      <w:pPr>
        <w:pStyle w:val="ListParagraph"/>
      </w:pPr>
      <w:r>
        <w:t xml:space="preserve"> </w:t>
      </w:r>
      <w:r w:rsidR="00E061C5">
        <w:t>The submission identified five supportive</w:t>
      </w:r>
      <w:r w:rsidR="0023429E">
        <w:t xml:space="preserve"> randomised </w:t>
      </w:r>
      <w:r w:rsidR="00E061C5">
        <w:t xml:space="preserve">controlled </w:t>
      </w:r>
      <w:r w:rsidR="0023429E">
        <w:t xml:space="preserve">trials </w:t>
      </w:r>
      <w:r w:rsidR="00E061C5">
        <w:t>(</w:t>
      </w:r>
      <w:r w:rsidR="0023429E">
        <w:t>and one open label extension</w:t>
      </w:r>
      <w:r w:rsidR="00E061C5">
        <w:t>)</w:t>
      </w:r>
      <w:r w:rsidR="00D25F0E">
        <w:t xml:space="preserve"> which were</w:t>
      </w:r>
      <w:r w:rsidR="00E061C5">
        <w:t xml:space="preserve"> considered less applicable to the proposed listing than the main trial (Study 140) due to differences in the reported outcomes, data analysis and/or administration of lower doses of </w:t>
      </w:r>
      <w:r w:rsidR="00051CA9">
        <w:t>Dysport®</w:t>
      </w:r>
      <w:r w:rsidR="00E061C5">
        <w:t>.</w:t>
      </w:r>
      <w:r>
        <w:t xml:space="preserve"> </w:t>
      </w:r>
      <w:r w:rsidR="00E061C5" w:rsidRPr="00A0088E">
        <w:rPr>
          <w:iCs/>
        </w:rPr>
        <w:t xml:space="preserve">Evidence reported in the supportive trials </w:t>
      </w:r>
      <w:r w:rsidR="0074549C" w:rsidRPr="00A0088E">
        <w:rPr>
          <w:iCs/>
        </w:rPr>
        <w:t xml:space="preserve">was </w:t>
      </w:r>
      <w:r w:rsidR="00E061C5" w:rsidRPr="00A0088E">
        <w:rPr>
          <w:iCs/>
        </w:rPr>
        <w:t xml:space="preserve">not relied on for the clinical claim </w:t>
      </w:r>
      <w:r w:rsidR="0074549C" w:rsidRPr="00A0088E">
        <w:rPr>
          <w:iCs/>
        </w:rPr>
        <w:t>n</w:t>
      </w:r>
      <w:r w:rsidR="00E061C5" w:rsidRPr="00A0088E">
        <w:rPr>
          <w:iCs/>
        </w:rPr>
        <w:t>or used in the modelled economic evaluation.</w:t>
      </w:r>
      <w:r w:rsidR="00DE1CD1">
        <w:rPr>
          <w:i/>
          <w:iCs/>
        </w:rPr>
        <w:t xml:space="preserve"> </w:t>
      </w:r>
    </w:p>
    <w:p w:rsidR="00862502" w:rsidRPr="00B50DB8" w:rsidRDefault="00A73134" w:rsidP="00D309A1">
      <w:pPr>
        <w:pStyle w:val="ListParagraph"/>
      </w:pPr>
      <w:r>
        <w:rPr>
          <w:snapToGrid/>
          <w:lang w:val="en-US" w:eastAsia="en-AU"/>
        </w:rPr>
        <w:t>Details of the trials presented in the submission ar</w:t>
      </w:r>
      <w:r w:rsidR="00DE1CD1">
        <w:rPr>
          <w:snapToGrid/>
          <w:lang w:val="en-US" w:eastAsia="en-AU"/>
        </w:rPr>
        <w:t xml:space="preserve">e provided in </w:t>
      </w:r>
      <w:r w:rsidR="00AC7D94">
        <w:rPr>
          <w:snapToGrid/>
          <w:lang w:val="en-US" w:eastAsia="en-AU"/>
        </w:rPr>
        <w:t>Table 2</w:t>
      </w:r>
      <w:r w:rsidR="00DE1CD1">
        <w:rPr>
          <w:snapToGrid/>
          <w:lang w:val="en-US" w:eastAsia="en-AU"/>
        </w:rPr>
        <w:t>.</w:t>
      </w:r>
    </w:p>
    <w:p w:rsidR="008E0D3C" w:rsidRPr="008E0D3C" w:rsidRDefault="00DE1CD1" w:rsidP="00D309A1">
      <w:pPr>
        <w:keepNext/>
        <w:widowControl/>
        <w:rPr>
          <w:rStyle w:val="CommentReference"/>
        </w:rPr>
      </w:pPr>
      <w:r>
        <w:rPr>
          <w:rStyle w:val="CommentReference"/>
        </w:rPr>
        <w:lastRenderedPageBreak/>
        <w:t>Table 2</w:t>
      </w:r>
      <w:r w:rsidR="008E0D3C" w:rsidRPr="008E0D3C">
        <w:rPr>
          <w:rStyle w:val="CommentReference"/>
        </w:rPr>
        <w:t>:</w:t>
      </w:r>
      <w:r w:rsidR="00FA60DA">
        <w:rPr>
          <w:rStyle w:val="CommentReference"/>
        </w:rPr>
        <w:t xml:space="preserve"> </w:t>
      </w:r>
      <w:r w:rsidR="008E0D3C" w:rsidRPr="008E0D3C">
        <w:rPr>
          <w:rStyle w:val="CommentReference"/>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88"/>
        <w:gridCol w:w="6379"/>
        <w:gridCol w:w="1650"/>
      </w:tblGrid>
      <w:tr w:rsidR="0023429E" w:rsidRPr="00B41614" w:rsidTr="00E62A0E">
        <w:trPr>
          <w:tblHeader/>
        </w:trPr>
        <w:tc>
          <w:tcPr>
            <w:tcW w:w="548" w:type="pct"/>
            <w:vAlign w:val="center"/>
          </w:tcPr>
          <w:p w:rsidR="0023429E" w:rsidRPr="00B41614" w:rsidRDefault="0023429E" w:rsidP="00D309A1">
            <w:pPr>
              <w:pStyle w:val="Tabletext"/>
              <w:keepNext/>
              <w:rPr>
                <w:b/>
              </w:rPr>
            </w:pPr>
            <w:r w:rsidRPr="00B41614">
              <w:rPr>
                <w:b/>
              </w:rPr>
              <w:t>Trial ID</w:t>
            </w:r>
          </w:p>
        </w:tc>
        <w:tc>
          <w:tcPr>
            <w:tcW w:w="3537" w:type="pct"/>
            <w:vAlign w:val="center"/>
          </w:tcPr>
          <w:p w:rsidR="0023429E" w:rsidRPr="00B41614" w:rsidRDefault="0023429E" w:rsidP="00D309A1">
            <w:pPr>
              <w:pStyle w:val="Tabletext"/>
              <w:keepNext/>
              <w:jc w:val="center"/>
              <w:rPr>
                <w:b/>
              </w:rPr>
            </w:pPr>
            <w:r w:rsidRPr="00B41614">
              <w:rPr>
                <w:b/>
              </w:rPr>
              <w:t>Protocol title/ Publication title</w:t>
            </w:r>
          </w:p>
        </w:tc>
        <w:tc>
          <w:tcPr>
            <w:tcW w:w="915" w:type="pct"/>
            <w:vAlign w:val="center"/>
          </w:tcPr>
          <w:p w:rsidR="0023429E" w:rsidRPr="00B41614" w:rsidRDefault="0023429E" w:rsidP="00D309A1">
            <w:pPr>
              <w:pStyle w:val="Tabletext"/>
              <w:keepNext/>
              <w:jc w:val="center"/>
              <w:rPr>
                <w:b/>
              </w:rPr>
            </w:pPr>
            <w:r w:rsidRPr="00B41614">
              <w:rPr>
                <w:b/>
              </w:rPr>
              <w:t>Publication citation</w:t>
            </w:r>
          </w:p>
        </w:tc>
      </w:tr>
      <w:tr w:rsidR="00E061C5" w:rsidRPr="00CB38A8" w:rsidTr="00E061C5">
        <w:tc>
          <w:tcPr>
            <w:tcW w:w="5000" w:type="pct"/>
            <w:gridSpan w:val="3"/>
            <w:tcBorders>
              <w:bottom w:val="nil"/>
            </w:tcBorders>
          </w:tcPr>
          <w:p w:rsidR="00E061C5" w:rsidRPr="00E061C5" w:rsidRDefault="00E061C5" w:rsidP="00D309A1">
            <w:pPr>
              <w:pStyle w:val="Tabletext"/>
              <w:keepNext/>
              <w:rPr>
                <w:b/>
                <w:bCs/>
              </w:rPr>
            </w:pPr>
            <w:r w:rsidRPr="00E061C5">
              <w:rPr>
                <w:b/>
                <w:bCs/>
              </w:rPr>
              <w:t>Main trial</w:t>
            </w:r>
          </w:p>
        </w:tc>
      </w:tr>
      <w:tr w:rsidR="0023429E" w:rsidRPr="00CB38A8" w:rsidTr="00BD3903">
        <w:tc>
          <w:tcPr>
            <w:tcW w:w="548" w:type="pct"/>
            <w:tcBorders>
              <w:bottom w:val="nil"/>
            </w:tcBorders>
          </w:tcPr>
          <w:p w:rsidR="0023429E" w:rsidRPr="00E47B69" w:rsidRDefault="0023429E" w:rsidP="00D309A1">
            <w:pPr>
              <w:pStyle w:val="Tabletext"/>
              <w:keepNext/>
            </w:pPr>
            <w:r w:rsidRPr="00E47B69">
              <w:t>Study 140</w:t>
            </w:r>
          </w:p>
        </w:tc>
        <w:tc>
          <w:tcPr>
            <w:tcW w:w="3537" w:type="pct"/>
            <w:tcBorders>
              <w:bottom w:val="nil"/>
            </w:tcBorders>
          </w:tcPr>
          <w:p w:rsidR="0023429E" w:rsidRPr="00AB6248" w:rsidRDefault="0023429E" w:rsidP="00D309A1">
            <w:pPr>
              <w:pStyle w:val="Tabletext"/>
              <w:keepNext/>
              <w:rPr>
                <w:szCs w:val="18"/>
              </w:rPr>
            </w:pPr>
            <w:r w:rsidRPr="00571BD3">
              <w:t xml:space="preserve">Clinical study report (CSR) - A Phase III, Multicentre, Double Blind, Prospective, Randomised, Placebo Controlled Study, Assessing the Efficacy and Safety of </w:t>
            </w:r>
            <w:r w:rsidR="00051CA9">
              <w:t>Dysport</w:t>
            </w:r>
            <w:r w:rsidRPr="00571BD3">
              <w:t xml:space="preserve"> Used for the treatment of lower limb spasticity in adult subjects with hemiparesis due to stroke or traumatic bra</w:t>
            </w:r>
            <w:r>
              <w:t>in injury.</w:t>
            </w:r>
          </w:p>
        </w:tc>
        <w:tc>
          <w:tcPr>
            <w:tcW w:w="915" w:type="pct"/>
            <w:tcBorders>
              <w:bottom w:val="nil"/>
            </w:tcBorders>
          </w:tcPr>
          <w:p w:rsidR="0023429E" w:rsidRPr="00CB38A8" w:rsidRDefault="0023429E" w:rsidP="00D309A1">
            <w:pPr>
              <w:pStyle w:val="Tabletext"/>
              <w:keepNext/>
              <w:rPr>
                <w:rFonts w:ascii="Times" w:hAnsi="Times"/>
              </w:rPr>
            </w:pPr>
            <w:r>
              <w:t>CSR Study 140, 2015</w:t>
            </w:r>
          </w:p>
        </w:tc>
      </w:tr>
      <w:tr w:rsidR="0023429E" w:rsidRPr="00CB38A8" w:rsidTr="00BD3903">
        <w:tc>
          <w:tcPr>
            <w:tcW w:w="548" w:type="pct"/>
            <w:tcBorders>
              <w:top w:val="nil"/>
              <w:bottom w:val="nil"/>
            </w:tcBorders>
          </w:tcPr>
          <w:p w:rsidR="0023429E" w:rsidRPr="00CB38A8" w:rsidRDefault="0023429E" w:rsidP="00D309A1">
            <w:pPr>
              <w:pStyle w:val="Tabletext"/>
              <w:keepNext/>
            </w:pPr>
            <w:r>
              <w:t>Study 142</w:t>
            </w:r>
            <w:r w:rsidR="00E061C5">
              <w:t xml:space="preserve"> (extension study)</w:t>
            </w:r>
          </w:p>
        </w:tc>
        <w:tc>
          <w:tcPr>
            <w:tcW w:w="3537" w:type="pct"/>
            <w:tcBorders>
              <w:top w:val="nil"/>
              <w:bottom w:val="nil"/>
            </w:tcBorders>
          </w:tcPr>
          <w:p w:rsidR="0023429E" w:rsidRPr="00E34A35" w:rsidRDefault="0023429E" w:rsidP="00D309A1">
            <w:pPr>
              <w:pStyle w:val="Tabletext"/>
              <w:keepNext/>
              <w:rPr>
                <w:szCs w:val="18"/>
                <w:lang w:eastAsia="en-AU"/>
              </w:rPr>
            </w:pPr>
            <w:r w:rsidRPr="00571BD3">
              <w:t xml:space="preserve">Clinical study report (CSR) – A Phase III, Multicentre, Open Label, Extension Study to Assess the Long Term Safety and Efficacy of Repeated Treatment of </w:t>
            </w:r>
            <w:r w:rsidR="00051CA9">
              <w:t>Dysport</w:t>
            </w:r>
            <w:r w:rsidRPr="00571BD3">
              <w:t xml:space="preserve"> Intramuscular Injection in the Treatment of Lower Limb Spasticity in Adult Subjects with Spastic Hemiparesis Due to S</w:t>
            </w:r>
            <w:r>
              <w:t>troke or Traumatic Brain Injury.</w:t>
            </w:r>
          </w:p>
        </w:tc>
        <w:tc>
          <w:tcPr>
            <w:tcW w:w="915" w:type="pct"/>
            <w:tcBorders>
              <w:top w:val="nil"/>
              <w:bottom w:val="nil"/>
            </w:tcBorders>
          </w:tcPr>
          <w:p w:rsidR="0023429E" w:rsidRPr="00F4290F" w:rsidRDefault="0023429E" w:rsidP="00D309A1">
            <w:pPr>
              <w:pStyle w:val="Tabletext"/>
              <w:keepNext/>
              <w:rPr>
                <w:iCs/>
                <w:szCs w:val="18"/>
                <w:lang w:eastAsia="en-AU"/>
              </w:rPr>
            </w:pPr>
            <w:r w:rsidRPr="00F4290F">
              <w:rPr>
                <w:iCs/>
                <w:szCs w:val="18"/>
                <w:lang w:eastAsia="en-AU"/>
              </w:rPr>
              <w:t>CSR Study 142, 2016</w:t>
            </w:r>
          </w:p>
        </w:tc>
      </w:tr>
      <w:tr w:rsidR="0023429E" w:rsidRPr="00CB38A8" w:rsidTr="00BD3903">
        <w:tc>
          <w:tcPr>
            <w:tcW w:w="548" w:type="pct"/>
            <w:tcBorders>
              <w:top w:val="nil"/>
              <w:bottom w:val="single" w:sz="4" w:space="0" w:color="auto"/>
            </w:tcBorders>
          </w:tcPr>
          <w:p w:rsidR="0023429E" w:rsidRPr="00CB38A8" w:rsidRDefault="0023429E" w:rsidP="00D309A1">
            <w:pPr>
              <w:pStyle w:val="Tabletext"/>
              <w:keepNext/>
            </w:pPr>
          </w:p>
        </w:tc>
        <w:tc>
          <w:tcPr>
            <w:tcW w:w="3537" w:type="pct"/>
            <w:tcBorders>
              <w:top w:val="nil"/>
              <w:bottom w:val="single" w:sz="4" w:space="0" w:color="auto"/>
            </w:tcBorders>
          </w:tcPr>
          <w:p w:rsidR="0023429E" w:rsidRPr="00AB6248" w:rsidRDefault="0023429E" w:rsidP="00D309A1">
            <w:pPr>
              <w:pStyle w:val="Tabletext"/>
              <w:keepNext/>
              <w:rPr>
                <w:szCs w:val="18"/>
                <w:lang w:val="en-US" w:eastAsia="en-AU"/>
              </w:rPr>
            </w:pPr>
            <w:r w:rsidRPr="00571BD3">
              <w:t>Gracies JM, Esquenazi A, Brashear A, Banach M, Kocer S, Jech R, Khatkova S, Benetin J, Vecchio M, McAllister P, Ilkowski J, Ochudlo S, Catus F, Grandoulier AS, Vilain C, Picaut P, On behalf of the International AbobotulinumtoxinA Adult Lower Limb Spasticity Study Group, 2017; “Efficacy and safety of abobotulinumtoxinA in spastic lower limb, R</w:t>
            </w:r>
            <w:r>
              <w:t>andomised trial and extension”.</w:t>
            </w:r>
          </w:p>
        </w:tc>
        <w:tc>
          <w:tcPr>
            <w:tcW w:w="915" w:type="pct"/>
            <w:tcBorders>
              <w:top w:val="nil"/>
              <w:bottom w:val="single" w:sz="4" w:space="0" w:color="auto"/>
            </w:tcBorders>
          </w:tcPr>
          <w:p w:rsidR="0023429E" w:rsidRPr="00F4290F" w:rsidRDefault="0023429E" w:rsidP="00D309A1">
            <w:pPr>
              <w:pStyle w:val="Tabletext"/>
              <w:keepNext/>
              <w:rPr>
                <w:iCs/>
                <w:szCs w:val="18"/>
                <w:lang w:val="en-US" w:eastAsia="en-AU"/>
              </w:rPr>
            </w:pPr>
            <w:r w:rsidRPr="00571BD3">
              <w:t>Neurology</w:t>
            </w:r>
            <w:r>
              <w:t>,</w:t>
            </w:r>
            <w:r w:rsidRPr="00571BD3">
              <w:t xml:space="preserve"> </w:t>
            </w:r>
            <w:r>
              <w:t xml:space="preserve">2017; </w:t>
            </w:r>
            <w:r w:rsidRPr="00571BD3">
              <w:t>86:2245-2253</w:t>
            </w:r>
          </w:p>
        </w:tc>
      </w:tr>
      <w:tr w:rsidR="00E061C5" w:rsidRPr="00CB38A8" w:rsidTr="00E061C5">
        <w:tc>
          <w:tcPr>
            <w:tcW w:w="5000" w:type="pct"/>
            <w:gridSpan w:val="3"/>
            <w:tcBorders>
              <w:top w:val="nil"/>
              <w:bottom w:val="single" w:sz="4" w:space="0" w:color="auto"/>
            </w:tcBorders>
          </w:tcPr>
          <w:p w:rsidR="00E061C5" w:rsidRPr="00E061C5" w:rsidRDefault="00E061C5" w:rsidP="00D309A1">
            <w:pPr>
              <w:pStyle w:val="Tabletext"/>
              <w:keepNext/>
              <w:rPr>
                <w:b/>
                <w:bCs/>
              </w:rPr>
            </w:pPr>
            <w:r w:rsidRPr="00E061C5">
              <w:rPr>
                <w:b/>
                <w:bCs/>
              </w:rPr>
              <w:t>Supportive trials</w:t>
            </w:r>
          </w:p>
        </w:tc>
      </w:tr>
      <w:tr w:rsidR="0023429E" w:rsidRPr="00CB38A8" w:rsidTr="00BD3903">
        <w:tc>
          <w:tcPr>
            <w:tcW w:w="548" w:type="pct"/>
            <w:tcBorders>
              <w:bottom w:val="nil"/>
            </w:tcBorders>
          </w:tcPr>
          <w:p w:rsidR="0023429E" w:rsidRPr="00F4290F" w:rsidRDefault="0023429E" w:rsidP="00D309A1">
            <w:pPr>
              <w:pStyle w:val="Tabletext"/>
              <w:keepNext/>
            </w:pPr>
            <w:r w:rsidRPr="00F4290F">
              <w:t>Study 700</w:t>
            </w:r>
          </w:p>
        </w:tc>
        <w:tc>
          <w:tcPr>
            <w:tcW w:w="3537" w:type="pct"/>
            <w:tcBorders>
              <w:bottom w:val="nil"/>
            </w:tcBorders>
            <w:vAlign w:val="center"/>
          </w:tcPr>
          <w:p w:rsidR="0023429E" w:rsidRPr="00F4290F" w:rsidRDefault="0023429E" w:rsidP="00D309A1">
            <w:pPr>
              <w:pStyle w:val="Tabletext"/>
              <w:keepNext/>
            </w:pPr>
            <w:r w:rsidRPr="00F4290F">
              <w:t>Clinical study report (CSR) – A Phase III Prospective, multicentre, randomised, double-blind, placebo controlled study to assess the efficacy and safety of 1500</w:t>
            </w:r>
            <w:r w:rsidR="00051CA9">
              <w:t xml:space="preserve"> units of Dysport</w:t>
            </w:r>
            <w:r w:rsidRPr="00F4290F">
              <w:t xml:space="preserve"> Intramuscular injection in spastic equinovarus deformity of the foot in post-</w:t>
            </w:r>
            <w:r>
              <w:t>stroke patients.</w:t>
            </w:r>
          </w:p>
        </w:tc>
        <w:tc>
          <w:tcPr>
            <w:tcW w:w="915" w:type="pct"/>
            <w:tcBorders>
              <w:bottom w:val="nil"/>
            </w:tcBorders>
          </w:tcPr>
          <w:p w:rsidR="0023429E" w:rsidRPr="004A2558" w:rsidRDefault="0023429E" w:rsidP="00D309A1">
            <w:pPr>
              <w:pStyle w:val="Tabletext"/>
              <w:keepNext/>
            </w:pPr>
            <w:r>
              <w:t>CSR Report 700, 2004</w:t>
            </w:r>
          </w:p>
        </w:tc>
      </w:tr>
      <w:tr w:rsidR="0023429E" w:rsidRPr="00CB38A8" w:rsidTr="00BD3903">
        <w:tc>
          <w:tcPr>
            <w:tcW w:w="548" w:type="pct"/>
            <w:tcBorders>
              <w:top w:val="nil"/>
              <w:bottom w:val="nil"/>
            </w:tcBorders>
          </w:tcPr>
          <w:p w:rsidR="0023429E" w:rsidRPr="00CB38A8" w:rsidRDefault="0023429E" w:rsidP="00D309A1">
            <w:pPr>
              <w:pStyle w:val="Tabletext"/>
              <w:keepNext/>
            </w:pPr>
            <w:r>
              <w:t>Study 004</w:t>
            </w:r>
            <w:r w:rsidR="00E061C5">
              <w:t xml:space="preserve"> (extension study)</w:t>
            </w:r>
          </w:p>
        </w:tc>
        <w:tc>
          <w:tcPr>
            <w:tcW w:w="3537" w:type="pct"/>
            <w:tcBorders>
              <w:top w:val="nil"/>
              <w:bottom w:val="nil"/>
            </w:tcBorders>
            <w:vAlign w:val="center"/>
          </w:tcPr>
          <w:p w:rsidR="0023429E" w:rsidRPr="00E34A35" w:rsidRDefault="0023429E" w:rsidP="00D309A1">
            <w:pPr>
              <w:pStyle w:val="Tabletext"/>
              <w:keepNext/>
              <w:rPr>
                <w:szCs w:val="18"/>
              </w:rPr>
            </w:pPr>
            <w:r w:rsidRPr="00F4290F">
              <w:t>Clinical study report (CSR) – A Phase III prospective, multicentre, open label study to assess the safety and efficacy of repeat treatment of between 500 units and 1500 units of Dysport intramuscular injection in spastic equinovarus deformity of the foot in post-stro</w:t>
            </w:r>
            <w:r>
              <w:t>ke patients.</w:t>
            </w:r>
          </w:p>
        </w:tc>
        <w:tc>
          <w:tcPr>
            <w:tcW w:w="915" w:type="pct"/>
            <w:tcBorders>
              <w:top w:val="nil"/>
              <w:bottom w:val="nil"/>
            </w:tcBorders>
          </w:tcPr>
          <w:p w:rsidR="0023429E" w:rsidRPr="00F4290F" w:rsidRDefault="0023429E" w:rsidP="00D309A1">
            <w:pPr>
              <w:pStyle w:val="Tabletext"/>
              <w:keepNext/>
              <w:rPr>
                <w:iCs/>
              </w:rPr>
            </w:pPr>
            <w:r>
              <w:rPr>
                <w:iCs/>
              </w:rPr>
              <w:t>CSR Study 004, 2015</w:t>
            </w:r>
          </w:p>
        </w:tc>
      </w:tr>
      <w:tr w:rsidR="0023429E" w:rsidRPr="00CB38A8" w:rsidTr="00BD3903">
        <w:tc>
          <w:tcPr>
            <w:tcW w:w="548" w:type="pct"/>
            <w:tcBorders>
              <w:bottom w:val="single" w:sz="4" w:space="0" w:color="auto"/>
            </w:tcBorders>
          </w:tcPr>
          <w:p w:rsidR="0023429E" w:rsidRPr="00CB38A8" w:rsidRDefault="0023429E" w:rsidP="00D309A1">
            <w:pPr>
              <w:pStyle w:val="Tabletext"/>
              <w:keepNext/>
            </w:pPr>
            <w:r>
              <w:t>Study 002</w:t>
            </w:r>
          </w:p>
        </w:tc>
        <w:tc>
          <w:tcPr>
            <w:tcW w:w="3537" w:type="pct"/>
            <w:tcBorders>
              <w:bottom w:val="single" w:sz="4" w:space="0" w:color="auto"/>
            </w:tcBorders>
            <w:vAlign w:val="center"/>
          </w:tcPr>
          <w:p w:rsidR="0023429E" w:rsidRPr="00CB38A8" w:rsidRDefault="0023429E" w:rsidP="00D309A1">
            <w:pPr>
              <w:pStyle w:val="Tabletext"/>
              <w:keepNext/>
              <w:rPr>
                <w:rFonts w:ascii="Times" w:hAnsi="Times"/>
              </w:rPr>
            </w:pPr>
            <w:r w:rsidRPr="00F4290F">
              <w:t>Clinical study report (CSR) – Study on the efficacy and safety of botulinum toxin type A (Dysport), combined with rehabilitation treatment, in patients with post-stroke spasticity of the lower extremity causing club foot. A multicentre, Phase III, randomised, double-blind parallel-g</w:t>
            </w:r>
            <w:r>
              <w:t>roup, placebo-controlled study.</w:t>
            </w:r>
          </w:p>
        </w:tc>
        <w:tc>
          <w:tcPr>
            <w:tcW w:w="915" w:type="pct"/>
            <w:tcBorders>
              <w:bottom w:val="single" w:sz="4" w:space="0" w:color="auto"/>
            </w:tcBorders>
          </w:tcPr>
          <w:p w:rsidR="0023429E" w:rsidRPr="00CB38A8" w:rsidRDefault="0023429E" w:rsidP="00D309A1">
            <w:pPr>
              <w:pStyle w:val="Tabletext"/>
              <w:keepNext/>
              <w:rPr>
                <w:rFonts w:ascii="Times" w:hAnsi="Times"/>
              </w:rPr>
            </w:pPr>
            <w:r w:rsidRPr="00F4290F">
              <w:t>CSR Study 002</w:t>
            </w:r>
            <w:r>
              <w:t>,</w:t>
            </w:r>
            <w:r w:rsidRPr="00F4290F">
              <w:t xml:space="preserve"> 2006</w:t>
            </w:r>
          </w:p>
        </w:tc>
      </w:tr>
      <w:tr w:rsidR="0023429E" w:rsidRPr="00CB38A8" w:rsidTr="00BD3903">
        <w:tc>
          <w:tcPr>
            <w:tcW w:w="548" w:type="pct"/>
            <w:tcBorders>
              <w:top w:val="single" w:sz="4" w:space="0" w:color="auto"/>
              <w:bottom w:val="single" w:sz="4" w:space="0" w:color="auto"/>
            </w:tcBorders>
          </w:tcPr>
          <w:p w:rsidR="0023429E" w:rsidRPr="00CB38A8" w:rsidRDefault="0023429E" w:rsidP="00D309A1">
            <w:pPr>
              <w:pStyle w:val="Tabletext"/>
              <w:keepNext/>
            </w:pPr>
            <w:r>
              <w:t>Johnson et al 2004</w:t>
            </w:r>
          </w:p>
        </w:tc>
        <w:tc>
          <w:tcPr>
            <w:tcW w:w="3537" w:type="pct"/>
            <w:tcBorders>
              <w:top w:val="single" w:sz="4" w:space="0" w:color="auto"/>
              <w:bottom w:val="single" w:sz="4" w:space="0" w:color="auto"/>
            </w:tcBorders>
            <w:vAlign w:val="center"/>
          </w:tcPr>
          <w:p w:rsidR="0023429E" w:rsidRPr="008C6FFA" w:rsidRDefault="0023429E" w:rsidP="00D309A1">
            <w:pPr>
              <w:pStyle w:val="Tabletext"/>
              <w:keepNext/>
              <w:rPr>
                <w:szCs w:val="18"/>
              </w:rPr>
            </w:pPr>
            <w:r w:rsidRPr="008C6FFA">
              <w:rPr>
                <w:szCs w:val="18"/>
              </w:rPr>
              <w:t>Johnson CA, Burridge JH, Strike PW, Wood DE, Swain ID, 2004; “The Effect of Combined Use of Botulinum Toxin Type A and Functional Electric Stimulation in the Treatment of Spastic Drop Foot After Strok</w:t>
            </w:r>
            <w:r>
              <w:rPr>
                <w:szCs w:val="18"/>
              </w:rPr>
              <w:t>e: A Preliminary Investigation.</w:t>
            </w:r>
          </w:p>
        </w:tc>
        <w:tc>
          <w:tcPr>
            <w:tcW w:w="915" w:type="pct"/>
            <w:tcBorders>
              <w:top w:val="single" w:sz="4" w:space="0" w:color="auto"/>
              <w:bottom w:val="single" w:sz="4" w:space="0" w:color="auto"/>
            </w:tcBorders>
          </w:tcPr>
          <w:p w:rsidR="0023429E" w:rsidRPr="00AC45E8" w:rsidRDefault="0023429E" w:rsidP="00D309A1">
            <w:pPr>
              <w:pStyle w:val="Tabletext"/>
              <w:keepNext/>
            </w:pPr>
            <w:r w:rsidRPr="008C6FFA">
              <w:rPr>
                <w:szCs w:val="18"/>
              </w:rPr>
              <w:t xml:space="preserve">Arch Phys Med Rehabil, </w:t>
            </w:r>
            <w:r>
              <w:rPr>
                <w:szCs w:val="18"/>
              </w:rPr>
              <w:t xml:space="preserve">2004; </w:t>
            </w:r>
            <w:r w:rsidRPr="008C6FFA">
              <w:rPr>
                <w:szCs w:val="18"/>
              </w:rPr>
              <w:t>85</w:t>
            </w:r>
            <w:r>
              <w:rPr>
                <w:szCs w:val="18"/>
              </w:rPr>
              <w:t>:</w:t>
            </w:r>
            <w:r w:rsidRPr="008C6FFA">
              <w:rPr>
                <w:szCs w:val="18"/>
              </w:rPr>
              <w:t>902-909</w:t>
            </w:r>
          </w:p>
        </w:tc>
      </w:tr>
      <w:tr w:rsidR="0023429E" w:rsidRPr="00CB38A8" w:rsidTr="00BD3903">
        <w:tc>
          <w:tcPr>
            <w:tcW w:w="548" w:type="pct"/>
            <w:tcBorders>
              <w:top w:val="single" w:sz="4" w:space="0" w:color="auto"/>
              <w:bottom w:val="nil"/>
            </w:tcBorders>
          </w:tcPr>
          <w:p w:rsidR="0023429E" w:rsidRDefault="0023429E" w:rsidP="00D309A1">
            <w:pPr>
              <w:pStyle w:val="Tabletext"/>
              <w:keepNext/>
            </w:pPr>
            <w:r>
              <w:t>Study 044</w:t>
            </w:r>
          </w:p>
        </w:tc>
        <w:tc>
          <w:tcPr>
            <w:tcW w:w="3537" w:type="pct"/>
            <w:tcBorders>
              <w:top w:val="single" w:sz="4" w:space="0" w:color="auto"/>
              <w:bottom w:val="nil"/>
            </w:tcBorders>
            <w:vAlign w:val="center"/>
          </w:tcPr>
          <w:p w:rsidR="0023429E" w:rsidRPr="008C6FFA" w:rsidRDefault="0023429E" w:rsidP="00D309A1">
            <w:pPr>
              <w:pStyle w:val="Tabletext"/>
              <w:keepNext/>
              <w:rPr>
                <w:szCs w:val="18"/>
              </w:rPr>
            </w:pPr>
            <w:r w:rsidRPr="008C6FFA">
              <w:rPr>
                <w:szCs w:val="18"/>
              </w:rPr>
              <w:t xml:space="preserve">Clinical study report (CSR) – A multicentre, double-blind, prospective, randomised, placebo- controlled, dose-ranging study to compare the efficacy and safety of three doses of </w:t>
            </w:r>
            <w:r w:rsidR="00051CA9">
              <w:rPr>
                <w:szCs w:val="18"/>
              </w:rPr>
              <w:t>Dysport</w:t>
            </w:r>
            <w:r w:rsidRPr="008C6FFA">
              <w:rPr>
                <w:szCs w:val="18"/>
              </w:rPr>
              <w:t xml:space="preserve"> with placebo in spastic equinovarus deformity of the foot in post-stroke patients</w:t>
            </w:r>
            <w:r>
              <w:rPr>
                <w:szCs w:val="18"/>
              </w:rPr>
              <w:t>.</w:t>
            </w:r>
          </w:p>
        </w:tc>
        <w:tc>
          <w:tcPr>
            <w:tcW w:w="915" w:type="pct"/>
            <w:tcBorders>
              <w:top w:val="single" w:sz="4" w:space="0" w:color="auto"/>
              <w:bottom w:val="nil"/>
            </w:tcBorders>
          </w:tcPr>
          <w:p w:rsidR="0023429E" w:rsidRPr="00F74CD9" w:rsidRDefault="0023429E" w:rsidP="00D309A1">
            <w:pPr>
              <w:pStyle w:val="Tabletext"/>
              <w:keepNext/>
              <w:rPr>
                <w:i/>
                <w:szCs w:val="18"/>
              </w:rPr>
            </w:pPr>
            <w:r w:rsidRPr="008C6FFA">
              <w:rPr>
                <w:szCs w:val="18"/>
              </w:rPr>
              <w:t>CSR Study 044</w:t>
            </w:r>
            <w:r>
              <w:rPr>
                <w:szCs w:val="18"/>
              </w:rPr>
              <w:t>,</w:t>
            </w:r>
            <w:r w:rsidRPr="008C6FFA">
              <w:rPr>
                <w:szCs w:val="18"/>
              </w:rPr>
              <w:t xml:space="preserve"> 2000</w:t>
            </w:r>
          </w:p>
        </w:tc>
      </w:tr>
      <w:tr w:rsidR="0023429E" w:rsidRPr="00CB38A8" w:rsidTr="00BD3903">
        <w:tc>
          <w:tcPr>
            <w:tcW w:w="548" w:type="pct"/>
            <w:tcBorders>
              <w:top w:val="nil"/>
              <w:bottom w:val="single" w:sz="4" w:space="0" w:color="auto"/>
            </w:tcBorders>
          </w:tcPr>
          <w:p w:rsidR="0023429E" w:rsidRDefault="0023429E" w:rsidP="00D309A1">
            <w:pPr>
              <w:pStyle w:val="Tabletext"/>
              <w:keepNext/>
            </w:pPr>
          </w:p>
        </w:tc>
        <w:tc>
          <w:tcPr>
            <w:tcW w:w="3537" w:type="pct"/>
            <w:tcBorders>
              <w:top w:val="nil"/>
              <w:bottom w:val="single" w:sz="4" w:space="0" w:color="auto"/>
            </w:tcBorders>
            <w:vAlign w:val="center"/>
          </w:tcPr>
          <w:p w:rsidR="0023429E" w:rsidRPr="008C6FFA" w:rsidRDefault="0023429E" w:rsidP="00D309A1">
            <w:pPr>
              <w:pStyle w:val="Tabletext"/>
              <w:keepNext/>
              <w:rPr>
                <w:szCs w:val="18"/>
              </w:rPr>
            </w:pPr>
            <w:r w:rsidRPr="008C6FFA">
              <w:rPr>
                <w:szCs w:val="18"/>
              </w:rPr>
              <w:t>Pittock SJ, Moore AP, Hardiman O, Ehler E, Kovac M, Bojakowski J, al Khawaja I, Brozman M, Kanovsky P, Skorometz A, Slawek J, Reichel G, Stenner A, Timerbaeva S, Stelmasiak Z, Zifko UA, Bhakta B, Coxon E on behalf of the trial participants; “A double-blind randomised placebo-controlled evaluation of three doses of botulinum toxin type A (Dysport</w:t>
            </w:r>
            <w:r>
              <w:rPr>
                <w:szCs w:val="18"/>
              </w:rPr>
              <w:t>®</w:t>
            </w:r>
            <w:r w:rsidRPr="008C6FFA">
              <w:rPr>
                <w:szCs w:val="18"/>
              </w:rPr>
              <w:t>) in the treatment of spastic equinovarus deformity after stroke</w:t>
            </w:r>
            <w:r>
              <w:rPr>
                <w:szCs w:val="18"/>
              </w:rPr>
              <w:t>.</w:t>
            </w:r>
            <w:r w:rsidRPr="008C6FFA">
              <w:rPr>
                <w:szCs w:val="18"/>
              </w:rPr>
              <w:t xml:space="preserve"> </w:t>
            </w:r>
          </w:p>
        </w:tc>
        <w:tc>
          <w:tcPr>
            <w:tcW w:w="915" w:type="pct"/>
            <w:tcBorders>
              <w:top w:val="nil"/>
              <w:bottom w:val="single" w:sz="4" w:space="0" w:color="auto"/>
            </w:tcBorders>
          </w:tcPr>
          <w:p w:rsidR="0023429E" w:rsidRPr="00F74CD9" w:rsidRDefault="0023429E" w:rsidP="00D309A1">
            <w:pPr>
              <w:pStyle w:val="Tabletext"/>
              <w:keepNext/>
              <w:rPr>
                <w:i/>
                <w:szCs w:val="18"/>
              </w:rPr>
            </w:pPr>
            <w:r w:rsidRPr="008C6FFA">
              <w:rPr>
                <w:szCs w:val="18"/>
              </w:rPr>
              <w:t>Cerebrovasc Dic, 2003; 15:289-300</w:t>
            </w:r>
          </w:p>
        </w:tc>
      </w:tr>
      <w:tr w:rsidR="0023429E" w:rsidRPr="00CB38A8" w:rsidTr="00BD3903">
        <w:tc>
          <w:tcPr>
            <w:tcW w:w="548" w:type="pct"/>
            <w:tcBorders>
              <w:top w:val="single" w:sz="4" w:space="0" w:color="auto"/>
              <w:bottom w:val="single" w:sz="4" w:space="0" w:color="auto"/>
            </w:tcBorders>
          </w:tcPr>
          <w:p w:rsidR="0023429E" w:rsidRDefault="0023429E" w:rsidP="00D309A1">
            <w:pPr>
              <w:pStyle w:val="Tabletext"/>
              <w:keepNext/>
            </w:pPr>
            <w:r>
              <w:t>Burbaud et al 1996</w:t>
            </w:r>
          </w:p>
        </w:tc>
        <w:tc>
          <w:tcPr>
            <w:tcW w:w="3537" w:type="pct"/>
            <w:tcBorders>
              <w:top w:val="single" w:sz="4" w:space="0" w:color="auto"/>
              <w:bottom w:val="single" w:sz="4" w:space="0" w:color="auto"/>
            </w:tcBorders>
          </w:tcPr>
          <w:p w:rsidR="0023429E" w:rsidRPr="008C6FFA" w:rsidRDefault="0023429E" w:rsidP="00D309A1">
            <w:pPr>
              <w:pStyle w:val="Tabletext"/>
              <w:keepNext/>
              <w:rPr>
                <w:szCs w:val="18"/>
              </w:rPr>
            </w:pPr>
            <w:r w:rsidRPr="008C6FFA">
              <w:rPr>
                <w:szCs w:val="18"/>
              </w:rPr>
              <w:t xml:space="preserve">Burbaud P, Wiart L, Dubos LJ, Gaujard E, Debelleix X, Joseph PA, Mazaux JM, Bioulac B, Barat M, Lagueny A 1996; “A randomised, double-blind, placebo controlled trial of botulinum toxin in the treatment of spastic foot in hemiparetic patients”; </w:t>
            </w:r>
          </w:p>
        </w:tc>
        <w:tc>
          <w:tcPr>
            <w:tcW w:w="915" w:type="pct"/>
            <w:tcBorders>
              <w:top w:val="single" w:sz="4" w:space="0" w:color="auto"/>
              <w:bottom w:val="single" w:sz="4" w:space="0" w:color="auto"/>
            </w:tcBorders>
          </w:tcPr>
          <w:p w:rsidR="0023429E" w:rsidRPr="008C6FFA" w:rsidRDefault="0023429E" w:rsidP="00D309A1">
            <w:pPr>
              <w:pStyle w:val="Tabletext"/>
              <w:keepNext/>
              <w:rPr>
                <w:szCs w:val="18"/>
              </w:rPr>
            </w:pPr>
            <w:r w:rsidRPr="008C6FFA">
              <w:rPr>
                <w:szCs w:val="18"/>
              </w:rPr>
              <w:t>Journal of Neurology, Neurosurgery and Psychiatry</w:t>
            </w:r>
            <w:r>
              <w:rPr>
                <w:szCs w:val="18"/>
              </w:rPr>
              <w:t>, 1996</w:t>
            </w:r>
            <w:r w:rsidRPr="008C6FFA">
              <w:rPr>
                <w:szCs w:val="18"/>
              </w:rPr>
              <w:t>; 61:265-269</w:t>
            </w:r>
          </w:p>
        </w:tc>
      </w:tr>
    </w:tbl>
    <w:p w:rsidR="0023429E" w:rsidRDefault="0023429E" w:rsidP="00114B88">
      <w:pPr>
        <w:pStyle w:val="TableFooter"/>
      </w:pPr>
      <w:r>
        <w:t>Source: Table 2.3, p55 of the submission.</w:t>
      </w:r>
    </w:p>
    <w:p w:rsidR="00D3199C" w:rsidRPr="00B1011F" w:rsidRDefault="00D3199C" w:rsidP="00114B88">
      <w:pPr>
        <w:pStyle w:val="TableFooter"/>
      </w:pPr>
    </w:p>
    <w:p w:rsidR="007F1017" w:rsidRDefault="008F120A" w:rsidP="00D309A1">
      <w:pPr>
        <w:pStyle w:val="ListParagraph"/>
      </w:pPr>
      <w:r w:rsidRPr="00B50DB8">
        <w:t xml:space="preserve">The key features of the </w:t>
      </w:r>
      <w:r w:rsidR="005551E8">
        <w:t>main</w:t>
      </w:r>
      <w:r w:rsidRPr="00B50DB8">
        <w:t xml:space="preserve"> trial are </w:t>
      </w:r>
      <w:r w:rsidR="00DE1CD1">
        <w:t xml:space="preserve">summarised in </w:t>
      </w:r>
      <w:r w:rsidR="00AC7D94">
        <w:t>T</w:t>
      </w:r>
      <w:r w:rsidR="00DE1CD1">
        <w:t xml:space="preserve">able </w:t>
      </w:r>
      <w:r w:rsidR="00AC7D94">
        <w:t>3</w:t>
      </w:r>
      <w:r w:rsidR="00DE1CD1">
        <w:t>.</w:t>
      </w:r>
      <w:r w:rsidR="00FA60DA">
        <w:t xml:space="preserve"> </w:t>
      </w:r>
      <w:r w:rsidR="005551E8">
        <w:t>A description of the supportive trials was not presented given data were not relied on by the submission.</w:t>
      </w:r>
    </w:p>
    <w:p w:rsidR="007F1017" w:rsidRPr="00E2771E" w:rsidRDefault="007F1017" w:rsidP="00D309A1">
      <w:pPr>
        <w:keepNext/>
        <w:widowControl/>
        <w:rPr>
          <w:rStyle w:val="CommentReference"/>
        </w:rPr>
      </w:pPr>
      <w:r w:rsidRPr="00E2771E">
        <w:rPr>
          <w:rStyle w:val="CommentReference"/>
        </w:rPr>
        <w:lastRenderedPageBreak/>
        <w:t xml:space="preserve">Table </w:t>
      </w:r>
      <w:r w:rsidR="00DE1CD1">
        <w:rPr>
          <w:rStyle w:val="CommentReference"/>
        </w:rPr>
        <w:t>3</w:t>
      </w:r>
      <w:r w:rsidRPr="00E2771E">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7"/>
        <w:gridCol w:w="427"/>
        <w:gridCol w:w="1702"/>
        <w:gridCol w:w="566"/>
        <w:gridCol w:w="2819"/>
        <w:gridCol w:w="1266"/>
        <w:gridCol w:w="1250"/>
      </w:tblGrid>
      <w:tr w:rsidR="00E62A0E" w:rsidRPr="00B41614" w:rsidTr="00D26716">
        <w:tc>
          <w:tcPr>
            <w:tcW w:w="547" w:type="pct"/>
            <w:shd w:val="clear" w:color="auto" w:fill="auto"/>
            <w:vAlign w:val="center"/>
          </w:tcPr>
          <w:p w:rsidR="007F1017" w:rsidRPr="00B41614" w:rsidRDefault="007F1017" w:rsidP="00D309A1">
            <w:pPr>
              <w:pStyle w:val="Tabletext"/>
              <w:keepNext/>
              <w:rPr>
                <w:b/>
                <w:lang w:val="en-US"/>
              </w:rPr>
            </w:pPr>
            <w:r w:rsidRPr="00B41614">
              <w:rPr>
                <w:b/>
                <w:lang w:val="en-US"/>
              </w:rPr>
              <w:t>Trial</w:t>
            </w:r>
          </w:p>
        </w:tc>
        <w:tc>
          <w:tcPr>
            <w:tcW w:w="237" w:type="pct"/>
            <w:shd w:val="clear" w:color="auto" w:fill="auto"/>
            <w:vAlign w:val="center"/>
          </w:tcPr>
          <w:p w:rsidR="007F1017" w:rsidRPr="00B41614" w:rsidRDefault="007F1017" w:rsidP="00D309A1">
            <w:pPr>
              <w:pStyle w:val="Tabletext"/>
              <w:keepNext/>
              <w:jc w:val="center"/>
              <w:rPr>
                <w:b/>
                <w:lang w:val="en-US"/>
              </w:rPr>
            </w:pPr>
            <w:r w:rsidRPr="00B41614">
              <w:rPr>
                <w:b/>
                <w:lang w:val="en-US"/>
              </w:rPr>
              <w:t>N</w:t>
            </w:r>
          </w:p>
        </w:tc>
        <w:tc>
          <w:tcPr>
            <w:tcW w:w="944" w:type="pct"/>
            <w:shd w:val="clear" w:color="auto" w:fill="auto"/>
            <w:vAlign w:val="center"/>
          </w:tcPr>
          <w:p w:rsidR="007F1017" w:rsidRPr="00B41614" w:rsidRDefault="007F1017" w:rsidP="00D309A1">
            <w:pPr>
              <w:pStyle w:val="Tabletext"/>
              <w:keepNext/>
              <w:jc w:val="center"/>
              <w:rPr>
                <w:b/>
                <w:lang w:val="en-US"/>
              </w:rPr>
            </w:pPr>
            <w:r w:rsidRPr="00B41614">
              <w:rPr>
                <w:b/>
                <w:lang w:val="en-US"/>
              </w:rPr>
              <w:t>Design/duration</w:t>
            </w:r>
          </w:p>
        </w:tc>
        <w:tc>
          <w:tcPr>
            <w:tcW w:w="314" w:type="pct"/>
            <w:shd w:val="clear" w:color="auto" w:fill="auto"/>
            <w:vAlign w:val="center"/>
          </w:tcPr>
          <w:p w:rsidR="007F1017" w:rsidRPr="00B41614" w:rsidRDefault="00DB069F" w:rsidP="00D309A1">
            <w:pPr>
              <w:pStyle w:val="Tabletext"/>
              <w:keepNext/>
              <w:jc w:val="center"/>
              <w:rPr>
                <w:b/>
                <w:lang w:val="en-US"/>
              </w:rPr>
            </w:pPr>
            <w:r>
              <w:rPr>
                <w:b/>
                <w:lang w:val="en-US"/>
              </w:rPr>
              <w:t>B</w:t>
            </w:r>
            <w:r w:rsidR="007F1017" w:rsidRPr="00B41614">
              <w:rPr>
                <w:b/>
                <w:lang w:val="en-US"/>
              </w:rPr>
              <w:t>ias</w:t>
            </w:r>
          </w:p>
        </w:tc>
        <w:tc>
          <w:tcPr>
            <w:tcW w:w="1563" w:type="pct"/>
            <w:shd w:val="clear" w:color="auto" w:fill="auto"/>
            <w:vAlign w:val="center"/>
          </w:tcPr>
          <w:p w:rsidR="007F1017" w:rsidRPr="00B41614" w:rsidRDefault="007F1017" w:rsidP="00D309A1">
            <w:pPr>
              <w:pStyle w:val="Tabletext"/>
              <w:keepNext/>
              <w:jc w:val="center"/>
              <w:rPr>
                <w:b/>
                <w:lang w:val="en-US"/>
              </w:rPr>
            </w:pPr>
            <w:r w:rsidRPr="00B41614">
              <w:rPr>
                <w:b/>
                <w:lang w:val="en-US"/>
              </w:rPr>
              <w:t>Patient population</w:t>
            </w:r>
          </w:p>
        </w:tc>
        <w:tc>
          <w:tcPr>
            <w:tcW w:w="702" w:type="pct"/>
            <w:shd w:val="clear" w:color="auto" w:fill="auto"/>
            <w:vAlign w:val="center"/>
          </w:tcPr>
          <w:p w:rsidR="007F1017" w:rsidRPr="00B41614" w:rsidRDefault="0096229C" w:rsidP="00D309A1">
            <w:pPr>
              <w:pStyle w:val="Tabletext"/>
              <w:keepNext/>
              <w:jc w:val="center"/>
              <w:rPr>
                <w:b/>
                <w:lang w:val="en-US"/>
              </w:rPr>
            </w:pPr>
            <w:r>
              <w:rPr>
                <w:b/>
                <w:lang w:val="en-US"/>
              </w:rPr>
              <w:t>Key o</w:t>
            </w:r>
            <w:r w:rsidR="007F1017" w:rsidRPr="00B41614">
              <w:rPr>
                <w:b/>
                <w:lang w:val="en-US"/>
              </w:rPr>
              <w:t>utcomes</w:t>
            </w:r>
          </w:p>
        </w:tc>
        <w:tc>
          <w:tcPr>
            <w:tcW w:w="693" w:type="pct"/>
            <w:shd w:val="clear" w:color="auto" w:fill="auto"/>
            <w:vAlign w:val="center"/>
          </w:tcPr>
          <w:p w:rsidR="007F1017" w:rsidRPr="00B41614" w:rsidRDefault="007F1017" w:rsidP="00D309A1">
            <w:pPr>
              <w:pStyle w:val="Tabletext"/>
              <w:keepNext/>
              <w:jc w:val="center"/>
              <w:rPr>
                <w:b/>
                <w:lang w:val="en-US"/>
              </w:rPr>
            </w:pPr>
            <w:r w:rsidRPr="00B41614">
              <w:rPr>
                <w:b/>
                <w:lang w:val="en-US"/>
              </w:rPr>
              <w:t xml:space="preserve">Use in </w:t>
            </w:r>
            <w:r w:rsidR="0096229C">
              <w:rPr>
                <w:b/>
                <w:lang w:val="en-US"/>
              </w:rPr>
              <w:t>model</w:t>
            </w:r>
          </w:p>
        </w:tc>
      </w:tr>
      <w:tr w:rsidR="00E62A0E" w:rsidRPr="00E2771E" w:rsidTr="00D26716">
        <w:tc>
          <w:tcPr>
            <w:tcW w:w="547" w:type="pct"/>
            <w:shd w:val="clear" w:color="auto" w:fill="auto"/>
            <w:vAlign w:val="center"/>
          </w:tcPr>
          <w:p w:rsidR="00A91C9B" w:rsidRPr="00E2771E" w:rsidRDefault="00A91C9B" w:rsidP="00D309A1">
            <w:pPr>
              <w:pStyle w:val="Tabletext"/>
              <w:keepNext/>
              <w:rPr>
                <w:lang w:val="en-US"/>
              </w:rPr>
            </w:pPr>
            <w:r>
              <w:rPr>
                <w:lang w:val="en-US"/>
              </w:rPr>
              <w:t>Study 140</w:t>
            </w:r>
          </w:p>
        </w:tc>
        <w:tc>
          <w:tcPr>
            <w:tcW w:w="237" w:type="pct"/>
            <w:shd w:val="clear" w:color="auto" w:fill="auto"/>
            <w:vAlign w:val="center"/>
          </w:tcPr>
          <w:p w:rsidR="00A91C9B" w:rsidRPr="00E2771E" w:rsidRDefault="00A91C9B" w:rsidP="00D309A1">
            <w:pPr>
              <w:pStyle w:val="Tabletext"/>
              <w:keepNext/>
              <w:jc w:val="center"/>
              <w:rPr>
                <w:lang w:val="en-US"/>
              </w:rPr>
            </w:pPr>
            <w:r>
              <w:t>388</w:t>
            </w:r>
          </w:p>
        </w:tc>
        <w:tc>
          <w:tcPr>
            <w:tcW w:w="944" w:type="pct"/>
            <w:shd w:val="clear" w:color="auto" w:fill="auto"/>
            <w:vAlign w:val="center"/>
          </w:tcPr>
          <w:p w:rsidR="00A91C9B" w:rsidRPr="00E2771E" w:rsidRDefault="00A91C9B" w:rsidP="00D26716">
            <w:pPr>
              <w:pStyle w:val="Tabletext"/>
              <w:keepNext/>
              <w:jc w:val="center"/>
              <w:rPr>
                <w:lang w:val="en-US"/>
              </w:rPr>
            </w:pPr>
            <w:r w:rsidRPr="005A4A24">
              <w:t xml:space="preserve">R, DB, </w:t>
            </w:r>
            <w:r>
              <w:t xml:space="preserve">MC, </w:t>
            </w:r>
            <w:r w:rsidRPr="005A4A24">
              <w:t>PC</w:t>
            </w:r>
            <w:r>
              <w:t xml:space="preserve">  </w:t>
            </w:r>
            <w:r w:rsidR="00D26716">
              <w:br/>
            </w:r>
            <w:r>
              <w:t>12</w:t>
            </w:r>
            <w:r w:rsidR="00D26716">
              <w:t xml:space="preserve"> to </w:t>
            </w:r>
            <w:r>
              <w:t>24</w:t>
            </w:r>
            <w:r w:rsidR="00D26716">
              <w:t xml:space="preserve"> </w:t>
            </w:r>
            <w:r>
              <w:t>w</w:t>
            </w:r>
            <w:r w:rsidR="00D26716">
              <w:t>eeks</w:t>
            </w:r>
          </w:p>
        </w:tc>
        <w:tc>
          <w:tcPr>
            <w:tcW w:w="314" w:type="pct"/>
            <w:shd w:val="clear" w:color="auto" w:fill="auto"/>
            <w:vAlign w:val="center"/>
          </w:tcPr>
          <w:p w:rsidR="00A91C9B" w:rsidRPr="00E2771E" w:rsidRDefault="00A91C9B" w:rsidP="00D309A1">
            <w:pPr>
              <w:pStyle w:val="Tabletext"/>
              <w:keepNext/>
              <w:jc w:val="center"/>
              <w:rPr>
                <w:lang w:val="en-US"/>
              </w:rPr>
            </w:pPr>
            <w:r w:rsidRPr="00E2771E">
              <w:rPr>
                <w:lang w:val="en-US"/>
              </w:rPr>
              <w:t>Low</w:t>
            </w:r>
          </w:p>
        </w:tc>
        <w:tc>
          <w:tcPr>
            <w:tcW w:w="1563" w:type="pct"/>
            <w:shd w:val="clear" w:color="auto" w:fill="auto"/>
            <w:vAlign w:val="center"/>
          </w:tcPr>
          <w:p w:rsidR="00A91C9B" w:rsidRPr="00E2771E" w:rsidRDefault="00A91C9B" w:rsidP="00D26716">
            <w:pPr>
              <w:pStyle w:val="Tabletext"/>
              <w:keepNext/>
              <w:jc w:val="center"/>
              <w:rPr>
                <w:lang w:val="en-US"/>
              </w:rPr>
            </w:pPr>
            <w:r w:rsidRPr="00170785">
              <w:rPr>
                <w:snapToGrid w:val="0"/>
                <w:szCs w:val="20"/>
              </w:rPr>
              <w:t>Post-stroke o</w:t>
            </w:r>
            <w:r w:rsidR="00AC2A94">
              <w:rPr>
                <w:snapToGrid w:val="0"/>
                <w:szCs w:val="20"/>
              </w:rPr>
              <w:t>r TBI prior ≥</w:t>
            </w:r>
            <w:r w:rsidR="00D26716">
              <w:rPr>
                <w:snapToGrid w:val="0"/>
                <w:szCs w:val="20"/>
              </w:rPr>
              <w:t xml:space="preserve"> </w:t>
            </w:r>
            <w:r w:rsidR="00AC2A94">
              <w:rPr>
                <w:snapToGrid w:val="0"/>
                <w:szCs w:val="20"/>
              </w:rPr>
              <w:t>6</w:t>
            </w:r>
            <w:r w:rsidR="00D26716">
              <w:rPr>
                <w:snapToGrid w:val="0"/>
                <w:szCs w:val="20"/>
              </w:rPr>
              <w:t xml:space="preserve"> </w:t>
            </w:r>
            <w:r w:rsidR="00AC2A94">
              <w:rPr>
                <w:snapToGrid w:val="0"/>
                <w:szCs w:val="20"/>
              </w:rPr>
              <w:t>m</w:t>
            </w:r>
            <w:r w:rsidR="00D26716">
              <w:rPr>
                <w:snapToGrid w:val="0"/>
                <w:szCs w:val="20"/>
              </w:rPr>
              <w:t>on</w:t>
            </w:r>
            <w:r w:rsidR="00AC2A94">
              <w:rPr>
                <w:snapToGrid w:val="0"/>
                <w:szCs w:val="20"/>
              </w:rPr>
              <w:t>th</w:t>
            </w:r>
            <w:r w:rsidR="00D26716">
              <w:rPr>
                <w:snapToGrid w:val="0"/>
                <w:szCs w:val="20"/>
              </w:rPr>
              <w:t>s</w:t>
            </w:r>
            <w:r w:rsidR="00AC2A94">
              <w:rPr>
                <w:snapToGrid w:val="0"/>
                <w:szCs w:val="20"/>
              </w:rPr>
              <w:t>; hemiparesis; LL spasticity</w:t>
            </w:r>
            <w:r w:rsidRPr="00170785">
              <w:rPr>
                <w:snapToGrid w:val="0"/>
                <w:szCs w:val="20"/>
              </w:rPr>
              <w:t xml:space="preserve">; </w:t>
            </w:r>
            <w:r w:rsidR="00D26716">
              <w:rPr>
                <w:snapToGrid w:val="0"/>
                <w:szCs w:val="20"/>
              </w:rPr>
              <w:br/>
            </w:r>
            <w:r w:rsidRPr="00170785">
              <w:rPr>
                <w:snapToGrid w:val="0"/>
                <w:szCs w:val="20"/>
              </w:rPr>
              <w:t>MAS</w:t>
            </w:r>
            <w:r w:rsidR="00D26716">
              <w:rPr>
                <w:snapToGrid w:val="0"/>
                <w:szCs w:val="20"/>
              </w:rPr>
              <w:t xml:space="preserve"> </w:t>
            </w:r>
            <w:r w:rsidRPr="00170785">
              <w:rPr>
                <w:snapToGrid w:val="0"/>
                <w:szCs w:val="20"/>
              </w:rPr>
              <w:t>≥</w:t>
            </w:r>
            <w:r w:rsidR="00D26716">
              <w:rPr>
                <w:snapToGrid w:val="0"/>
                <w:szCs w:val="20"/>
              </w:rPr>
              <w:t xml:space="preserve"> </w:t>
            </w:r>
            <w:r w:rsidRPr="00170785">
              <w:rPr>
                <w:snapToGrid w:val="0"/>
                <w:szCs w:val="20"/>
              </w:rPr>
              <w:t xml:space="preserve">2 </w:t>
            </w:r>
            <w:r>
              <w:rPr>
                <w:snapToGrid w:val="0"/>
                <w:szCs w:val="20"/>
              </w:rPr>
              <w:t>if toxin naïve,</w:t>
            </w:r>
            <w:r w:rsidRPr="00170785">
              <w:rPr>
                <w:snapToGrid w:val="0"/>
                <w:szCs w:val="20"/>
              </w:rPr>
              <w:t xml:space="preserve"> </w:t>
            </w:r>
            <w:r w:rsidR="00D26716">
              <w:rPr>
                <w:snapToGrid w:val="0"/>
                <w:szCs w:val="20"/>
              </w:rPr>
              <w:br/>
            </w:r>
            <w:r w:rsidRPr="00170785">
              <w:rPr>
                <w:snapToGrid w:val="0"/>
                <w:szCs w:val="20"/>
              </w:rPr>
              <w:t>MAS</w:t>
            </w:r>
            <w:r w:rsidR="00D26716">
              <w:rPr>
                <w:snapToGrid w:val="0"/>
                <w:szCs w:val="20"/>
              </w:rPr>
              <w:t xml:space="preserve"> </w:t>
            </w:r>
            <w:r w:rsidRPr="00170785">
              <w:rPr>
                <w:snapToGrid w:val="0"/>
                <w:szCs w:val="20"/>
              </w:rPr>
              <w:t>≥</w:t>
            </w:r>
            <w:r w:rsidR="00D26716">
              <w:rPr>
                <w:snapToGrid w:val="0"/>
                <w:szCs w:val="20"/>
              </w:rPr>
              <w:t xml:space="preserve"> </w:t>
            </w:r>
            <w:r w:rsidRPr="00170785">
              <w:rPr>
                <w:snapToGrid w:val="0"/>
                <w:szCs w:val="20"/>
              </w:rPr>
              <w:t xml:space="preserve">3 </w:t>
            </w:r>
            <w:r>
              <w:rPr>
                <w:snapToGrid w:val="0"/>
                <w:szCs w:val="20"/>
              </w:rPr>
              <w:t xml:space="preserve">if </w:t>
            </w:r>
            <w:r w:rsidR="00D26716">
              <w:rPr>
                <w:snapToGrid w:val="0"/>
                <w:szCs w:val="20"/>
              </w:rPr>
              <w:t xml:space="preserve">toxin </w:t>
            </w:r>
            <w:r w:rsidRPr="00170785">
              <w:rPr>
                <w:snapToGrid w:val="0"/>
                <w:szCs w:val="20"/>
              </w:rPr>
              <w:t xml:space="preserve">non-naïve; </w:t>
            </w:r>
            <w:r w:rsidR="00D26716">
              <w:rPr>
                <w:snapToGrid w:val="0"/>
                <w:szCs w:val="20"/>
              </w:rPr>
              <w:br/>
            </w:r>
            <w:r w:rsidRPr="00170785">
              <w:rPr>
                <w:snapToGrid w:val="0"/>
                <w:szCs w:val="20"/>
              </w:rPr>
              <w:t>comfortable barefoot WS 0.1-0.8</w:t>
            </w:r>
            <w:r w:rsidR="00D26716">
              <w:rPr>
                <w:snapToGrid w:val="0"/>
                <w:szCs w:val="20"/>
              </w:rPr>
              <w:t xml:space="preserve"> </w:t>
            </w:r>
            <w:r w:rsidRPr="00170785">
              <w:rPr>
                <w:snapToGrid w:val="0"/>
                <w:szCs w:val="20"/>
              </w:rPr>
              <w:t xml:space="preserve">m/s; </w:t>
            </w:r>
            <w:r w:rsidR="00D26716">
              <w:rPr>
                <w:snapToGrid w:val="0"/>
                <w:szCs w:val="20"/>
              </w:rPr>
              <w:br/>
            </w:r>
            <w:r w:rsidRPr="00170785">
              <w:rPr>
                <w:snapToGrid w:val="0"/>
                <w:szCs w:val="20"/>
              </w:rPr>
              <w:t>±</w:t>
            </w:r>
            <w:r>
              <w:rPr>
                <w:snapToGrid w:val="0"/>
                <w:szCs w:val="20"/>
              </w:rPr>
              <w:t xml:space="preserve"> physiotherapy </w:t>
            </w:r>
            <w:r w:rsidRPr="00170785">
              <w:rPr>
                <w:snapToGrid w:val="0"/>
                <w:szCs w:val="20"/>
              </w:rPr>
              <w:t>±</w:t>
            </w:r>
            <w:r>
              <w:rPr>
                <w:snapToGrid w:val="0"/>
                <w:szCs w:val="20"/>
              </w:rPr>
              <w:t xml:space="preserve"> </w:t>
            </w:r>
            <w:r w:rsidRPr="00170785">
              <w:rPr>
                <w:snapToGrid w:val="0"/>
                <w:szCs w:val="20"/>
              </w:rPr>
              <w:t>anti-spasticity drugs</w:t>
            </w:r>
          </w:p>
        </w:tc>
        <w:tc>
          <w:tcPr>
            <w:tcW w:w="702" w:type="pct"/>
            <w:vMerge w:val="restart"/>
            <w:shd w:val="clear" w:color="auto" w:fill="auto"/>
            <w:vAlign w:val="center"/>
          </w:tcPr>
          <w:p w:rsidR="00A91C9B" w:rsidRDefault="00A91C9B" w:rsidP="00D309A1">
            <w:pPr>
              <w:pStyle w:val="Tabletext"/>
              <w:keepNext/>
              <w:jc w:val="center"/>
              <w:rPr>
                <w:lang w:val="en-US"/>
              </w:rPr>
            </w:pPr>
            <w:r>
              <w:rPr>
                <w:lang w:val="en-US"/>
              </w:rPr>
              <w:t>ΔMAS, PGA,</w:t>
            </w:r>
          </w:p>
          <w:p w:rsidR="00A91C9B" w:rsidRPr="00E2771E" w:rsidRDefault="00A91C9B" w:rsidP="00D309A1">
            <w:pPr>
              <w:pStyle w:val="Tabletext"/>
              <w:keepNext/>
              <w:jc w:val="center"/>
              <w:rPr>
                <w:lang w:val="en-US"/>
              </w:rPr>
            </w:pPr>
            <w:r>
              <w:rPr>
                <w:lang w:val="en-US"/>
              </w:rPr>
              <w:t>ΔCB walking speed</w:t>
            </w:r>
            <w:r w:rsidR="008708A0">
              <w:rPr>
                <w:lang w:val="en-US"/>
              </w:rPr>
              <w:t>, EQ-5D</w:t>
            </w:r>
            <w:r>
              <w:rPr>
                <w:lang w:val="en-US"/>
              </w:rPr>
              <w:t>.</w:t>
            </w:r>
          </w:p>
        </w:tc>
        <w:tc>
          <w:tcPr>
            <w:tcW w:w="693" w:type="pct"/>
            <w:vMerge w:val="restart"/>
            <w:shd w:val="clear" w:color="auto" w:fill="auto"/>
            <w:vAlign w:val="center"/>
          </w:tcPr>
          <w:p w:rsidR="00A91C9B" w:rsidRPr="00A91C9B" w:rsidRDefault="00A91C9B" w:rsidP="00D309A1">
            <w:pPr>
              <w:pStyle w:val="Tabletext"/>
              <w:keepNext/>
              <w:jc w:val="center"/>
              <w:rPr>
                <w:u w:val="single"/>
                <w:lang w:val="en-US"/>
              </w:rPr>
            </w:pPr>
            <w:r w:rsidRPr="00A91C9B">
              <w:rPr>
                <w:u w:val="single"/>
                <w:lang w:val="en-US"/>
              </w:rPr>
              <w:t xml:space="preserve">Subgroup: </w:t>
            </w:r>
          </w:p>
          <w:p w:rsidR="00A91C9B" w:rsidRDefault="00A91C9B" w:rsidP="00D309A1">
            <w:pPr>
              <w:pStyle w:val="Tabletext"/>
              <w:keepNext/>
              <w:jc w:val="center"/>
              <w:rPr>
                <w:lang w:val="en-US"/>
              </w:rPr>
            </w:pPr>
            <w:r>
              <w:rPr>
                <w:lang w:val="en-US"/>
              </w:rPr>
              <w:t>Acute event ≤ 2 years.</w:t>
            </w:r>
          </w:p>
          <w:p w:rsidR="00A91C9B" w:rsidRDefault="00A91C9B" w:rsidP="00D309A1">
            <w:pPr>
              <w:pStyle w:val="Tabletext"/>
              <w:keepNext/>
              <w:jc w:val="center"/>
              <w:rPr>
                <w:lang w:val="en-US"/>
              </w:rPr>
            </w:pPr>
          </w:p>
          <w:p w:rsidR="00A91C9B" w:rsidRPr="00A91C9B" w:rsidRDefault="00A91C9B" w:rsidP="00D309A1">
            <w:pPr>
              <w:pStyle w:val="Tabletext"/>
              <w:keepNext/>
              <w:jc w:val="center"/>
              <w:rPr>
                <w:u w:val="single"/>
                <w:lang w:val="en-US"/>
              </w:rPr>
            </w:pPr>
            <w:r w:rsidRPr="00A91C9B">
              <w:rPr>
                <w:u w:val="single"/>
                <w:lang w:val="en-US"/>
              </w:rPr>
              <w:t xml:space="preserve">Outcome: </w:t>
            </w:r>
          </w:p>
          <w:p w:rsidR="00A91C9B" w:rsidRPr="00E2771E" w:rsidRDefault="00A91C9B" w:rsidP="00D309A1">
            <w:pPr>
              <w:pStyle w:val="Tabletext"/>
              <w:keepNext/>
              <w:jc w:val="center"/>
              <w:rPr>
                <w:lang w:val="en-US"/>
              </w:rPr>
            </w:pPr>
            <w:r>
              <w:rPr>
                <w:lang w:val="en-US"/>
              </w:rPr>
              <w:t xml:space="preserve">ΔCB walking speed </w:t>
            </w:r>
            <w:r w:rsidRPr="008708A0">
              <w:rPr>
                <w:i/>
                <w:iCs/>
                <w:lang w:val="en-US"/>
              </w:rPr>
              <w:t>(≈QoL)</w:t>
            </w:r>
          </w:p>
        </w:tc>
      </w:tr>
      <w:tr w:rsidR="00E62A0E" w:rsidRPr="00E2771E" w:rsidTr="00D26716">
        <w:tc>
          <w:tcPr>
            <w:tcW w:w="547" w:type="pct"/>
            <w:shd w:val="clear" w:color="auto" w:fill="auto"/>
            <w:vAlign w:val="center"/>
          </w:tcPr>
          <w:p w:rsidR="00A91C9B" w:rsidRPr="00E2771E" w:rsidRDefault="00A91C9B" w:rsidP="00D309A1">
            <w:pPr>
              <w:pStyle w:val="Tabletext"/>
              <w:keepNext/>
              <w:rPr>
                <w:lang w:val="en-US"/>
              </w:rPr>
            </w:pPr>
            <w:r>
              <w:rPr>
                <w:lang w:val="en-US"/>
              </w:rPr>
              <w:t>Study 142 (extension study)</w:t>
            </w:r>
          </w:p>
        </w:tc>
        <w:tc>
          <w:tcPr>
            <w:tcW w:w="237" w:type="pct"/>
            <w:shd w:val="clear" w:color="auto" w:fill="auto"/>
            <w:vAlign w:val="center"/>
          </w:tcPr>
          <w:p w:rsidR="00A91C9B" w:rsidRPr="00E2771E" w:rsidRDefault="00A91C9B" w:rsidP="00D309A1">
            <w:pPr>
              <w:pStyle w:val="Tabletext"/>
              <w:keepNext/>
              <w:jc w:val="center"/>
              <w:rPr>
                <w:lang w:val="en-US"/>
              </w:rPr>
            </w:pPr>
            <w:r>
              <w:t>345^</w:t>
            </w:r>
          </w:p>
        </w:tc>
        <w:tc>
          <w:tcPr>
            <w:tcW w:w="944" w:type="pct"/>
            <w:shd w:val="clear" w:color="auto" w:fill="auto"/>
            <w:vAlign w:val="center"/>
          </w:tcPr>
          <w:p w:rsidR="00A91C9B" w:rsidRPr="00DE1CD1" w:rsidRDefault="00A91C9B" w:rsidP="00D26716">
            <w:pPr>
              <w:pStyle w:val="Tabletext"/>
              <w:keepNext/>
              <w:jc w:val="center"/>
            </w:pPr>
            <w:r>
              <w:t xml:space="preserve">OL, MC  </w:t>
            </w:r>
            <w:r w:rsidR="00D26716">
              <w:br/>
            </w:r>
            <w:r>
              <w:t>6</w:t>
            </w:r>
            <w:r w:rsidR="00D26716">
              <w:t xml:space="preserve"> to </w:t>
            </w:r>
            <w:r>
              <w:t>18</w:t>
            </w:r>
            <w:r w:rsidR="00D26716">
              <w:t xml:space="preserve"> </w:t>
            </w:r>
            <w:r>
              <w:t>m</w:t>
            </w:r>
            <w:r w:rsidR="00D26716">
              <w:t>on</w:t>
            </w:r>
            <w:r>
              <w:t xml:space="preserve">ths </w:t>
            </w:r>
            <w:r w:rsidR="00D26716">
              <w:br/>
            </w:r>
            <w:r>
              <w:t>(4 treatment cycles</w:t>
            </w:r>
            <w:r w:rsidR="00AC2A94">
              <w:rPr>
                <w:vertAlign w:val="superscript"/>
              </w:rPr>
              <w:t>‡</w:t>
            </w:r>
            <w:r>
              <w:t xml:space="preserve"> of 12</w:t>
            </w:r>
            <w:r w:rsidR="00D26716">
              <w:t xml:space="preserve"> to 2</w:t>
            </w:r>
            <w:r>
              <w:t>4</w:t>
            </w:r>
            <w:r w:rsidR="00D26716">
              <w:t xml:space="preserve"> </w:t>
            </w:r>
            <w:r>
              <w:t>w</w:t>
            </w:r>
            <w:r w:rsidR="00D26716">
              <w:t>eeks</w:t>
            </w:r>
            <w:r>
              <w:t>)</w:t>
            </w:r>
          </w:p>
        </w:tc>
        <w:tc>
          <w:tcPr>
            <w:tcW w:w="314" w:type="pct"/>
            <w:shd w:val="clear" w:color="auto" w:fill="auto"/>
            <w:vAlign w:val="center"/>
          </w:tcPr>
          <w:p w:rsidR="00A91C9B" w:rsidRPr="00E2771E" w:rsidRDefault="00A91C9B" w:rsidP="00D309A1">
            <w:pPr>
              <w:pStyle w:val="Tabletext"/>
              <w:keepNext/>
              <w:jc w:val="center"/>
              <w:rPr>
                <w:lang w:val="en-US"/>
              </w:rPr>
            </w:pPr>
            <w:r w:rsidRPr="00E2771E">
              <w:rPr>
                <w:lang w:val="en-US"/>
              </w:rPr>
              <w:t>High</w:t>
            </w:r>
          </w:p>
        </w:tc>
        <w:tc>
          <w:tcPr>
            <w:tcW w:w="1563" w:type="pct"/>
            <w:shd w:val="clear" w:color="auto" w:fill="auto"/>
            <w:vAlign w:val="center"/>
          </w:tcPr>
          <w:p w:rsidR="00A91C9B" w:rsidRPr="00E2771E" w:rsidRDefault="00A91C9B" w:rsidP="00D309A1">
            <w:pPr>
              <w:pStyle w:val="Tabletext"/>
              <w:keepNext/>
              <w:jc w:val="center"/>
              <w:rPr>
                <w:lang w:val="en-US"/>
              </w:rPr>
            </w:pPr>
            <w:r>
              <w:rPr>
                <w:lang w:val="en-US"/>
              </w:rPr>
              <w:t>Completion of Study 140 without protocol violation and/or AEs.</w:t>
            </w:r>
          </w:p>
        </w:tc>
        <w:tc>
          <w:tcPr>
            <w:tcW w:w="702" w:type="pct"/>
            <w:vMerge/>
            <w:shd w:val="clear" w:color="auto" w:fill="auto"/>
            <w:vAlign w:val="center"/>
          </w:tcPr>
          <w:p w:rsidR="00A91C9B" w:rsidRPr="00E2771E" w:rsidRDefault="00A91C9B" w:rsidP="00D309A1">
            <w:pPr>
              <w:pStyle w:val="Tabletext"/>
              <w:keepNext/>
              <w:jc w:val="center"/>
              <w:rPr>
                <w:lang w:val="en-US"/>
              </w:rPr>
            </w:pPr>
          </w:p>
        </w:tc>
        <w:tc>
          <w:tcPr>
            <w:tcW w:w="693" w:type="pct"/>
            <w:vMerge/>
            <w:shd w:val="clear" w:color="auto" w:fill="auto"/>
            <w:vAlign w:val="center"/>
          </w:tcPr>
          <w:p w:rsidR="00A91C9B" w:rsidRPr="00E2771E" w:rsidRDefault="00A91C9B" w:rsidP="00D309A1">
            <w:pPr>
              <w:pStyle w:val="Tabletext"/>
              <w:keepNext/>
              <w:jc w:val="center"/>
              <w:rPr>
                <w:lang w:val="en-US"/>
              </w:rPr>
            </w:pPr>
          </w:p>
        </w:tc>
      </w:tr>
    </w:tbl>
    <w:p w:rsidR="00DE1CD1" w:rsidRPr="000F6058" w:rsidRDefault="00DE1CD1" w:rsidP="00114B88">
      <w:pPr>
        <w:pStyle w:val="TableFooter"/>
      </w:pPr>
      <w:r w:rsidRPr="000F6058">
        <w:t xml:space="preserve">Abbreviations: </w:t>
      </w:r>
      <w:r w:rsidR="00AC2A94">
        <w:t xml:space="preserve">Δ=change in; </w:t>
      </w:r>
      <w:r w:rsidRPr="000F6058">
        <w:t xml:space="preserve">AE=adverse event; BL=baseline phase; </w:t>
      </w:r>
      <w:r w:rsidR="00AC2A94">
        <w:t xml:space="preserve">CB=comfortable barefoot; </w:t>
      </w:r>
      <w:r w:rsidRPr="000F6058">
        <w:t>DB=double blind</w:t>
      </w:r>
      <w:r w:rsidR="00AC2A94">
        <w:t>;</w:t>
      </w:r>
      <w:r>
        <w:t xml:space="preserve"> </w:t>
      </w:r>
      <w:r w:rsidRPr="000F6058">
        <w:t xml:space="preserve">LL=lower limb; MAS=modified Ashworth Scale; MC=multicentre; OL=open label; PC=placebo controlled; PGA=physician’s global assessment; </w:t>
      </w:r>
      <w:r w:rsidR="008708A0">
        <w:t xml:space="preserve">QoL=quality of life; </w:t>
      </w:r>
      <w:r w:rsidRPr="000F6058">
        <w:t>R=randomised; TBI=traumatic brain injury</w:t>
      </w:r>
      <w:r w:rsidR="00467371">
        <w:t>; WS=walking speed</w:t>
      </w:r>
    </w:p>
    <w:p w:rsidR="00DE1CD1" w:rsidRDefault="00DE1CD1" w:rsidP="00114B88">
      <w:pPr>
        <w:pStyle w:val="TableFooter"/>
      </w:pPr>
      <w:r>
        <w:t xml:space="preserve">^ </w:t>
      </w:r>
      <w:r>
        <w:tab/>
        <w:t>Previously from Study 140</w:t>
      </w:r>
    </w:p>
    <w:p w:rsidR="00AC2A94" w:rsidRDefault="00AC2A94" w:rsidP="00114B88">
      <w:pPr>
        <w:pStyle w:val="TableFooter"/>
      </w:pPr>
      <w:r w:rsidRPr="0036018A">
        <w:rPr>
          <w:vertAlign w:val="superscript"/>
        </w:rPr>
        <w:t>‡</w:t>
      </w:r>
      <w:r>
        <w:tab/>
        <w:t xml:space="preserve">The study allowed patients with co-existing upper limb spasticity to receive injections of </w:t>
      </w:r>
      <w:r w:rsidR="00051CA9">
        <w:t>Dysport®</w:t>
      </w:r>
      <w:r>
        <w:t xml:space="preserve"> 500U into the affected upper limbs (in addition to 1000U in the lower limb) in Cycles 3 and 4.</w:t>
      </w:r>
    </w:p>
    <w:p w:rsidR="00045017" w:rsidRDefault="00DE1CD1" w:rsidP="00114B88">
      <w:pPr>
        <w:pStyle w:val="TableFooter"/>
      </w:pPr>
      <w:r>
        <w:t>Source: Table 2.4, pp60-61 of the submission</w:t>
      </w:r>
      <w:r w:rsidR="00D3199C">
        <w:t>.</w:t>
      </w:r>
    </w:p>
    <w:p w:rsidR="00D3199C" w:rsidRPr="00B1011F" w:rsidRDefault="00D3199C" w:rsidP="00114B88">
      <w:pPr>
        <w:pStyle w:val="TableFooter"/>
      </w:pPr>
    </w:p>
    <w:p w:rsidR="005551E8" w:rsidRDefault="005551E8" w:rsidP="00D309A1">
      <w:pPr>
        <w:pStyle w:val="ListParagraph"/>
      </w:pPr>
      <w:r w:rsidRPr="00937C95">
        <w:t xml:space="preserve">Study 140 was a </w:t>
      </w:r>
      <w:r>
        <w:t xml:space="preserve">multi-centre (53 sites in 11 countries including Australia), </w:t>
      </w:r>
      <w:r w:rsidRPr="00937C95">
        <w:t xml:space="preserve">double-blind, </w:t>
      </w:r>
      <w:r>
        <w:t xml:space="preserve">randomised, </w:t>
      </w:r>
      <w:r w:rsidRPr="00937C95">
        <w:t xml:space="preserve">placebo-controlled </w:t>
      </w:r>
      <w:r>
        <w:t>trial</w:t>
      </w:r>
      <w:r w:rsidRPr="00937C95">
        <w:t xml:space="preserve">, which assessed the efficacy </w:t>
      </w:r>
      <w:r>
        <w:t xml:space="preserve">and safety </w:t>
      </w:r>
      <w:r w:rsidRPr="00937C95">
        <w:t xml:space="preserve">of a single treatment cycle of </w:t>
      </w:r>
      <w:r w:rsidR="00051CA9">
        <w:t>Dysport®</w:t>
      </w:r>
      <w:r>
        <w:t xml:space="preserve"> at two different doses (1000</w:t>
      </w:r>
      <w:r w:rsidRPr="00937C95">
        <w:t xml:space="preserve">U and 1500U) </w:t>
      </w:r>
      <w:r>
        <w:t xml:space="preserve">versus placebo (saline) </w:t>
      </w:r>
      <w:r w:rsidRPr="00937C95">
        <w:t xml:space="preserve">in </w:t>
      </w:r>
      <w:r>
        <w:t>adults with spasticity of the lower limbs</w:t>
      </w:r>
      <w:r w:rsidR="00B07D0E">
        <w:t xml:space="preserve"> </w:t>
      </w:r>
      <w:r w:rsidR="00F14EBE">
        <w:t xml:space="preserve">following </w:t>
      </w:r>
      <w:r w:rsidR="00B07D0E">
        <w:t>stroke</w:t>
      </w:r>
      <w:r w:rsidR="00D25F0E">
        <w:t xml:space="preserve"> (approximately 87% of patients)</w:t>
      </w:r>
      <w:r w:rsidR="00B07D0E">
        <w:t xml:space="preserve"> or </w:t>
      </w:r>
      <w:r w:rsidR="00D25F0E">
        <w:t>TBI (approximately 13% of patients)</w:t>
      </w:r>
      <w:r>
        <w:t>.</w:t>
      </w:r>
      <w:r w:rsidR="00D25F0E">
        <w:t xml:space="preserve"> The PBAC noted that spasticity due to other aetiologies (e.g. spinal cord injury or hypoxia) was not represented in the trial.</w:t>
      </w:r>
    </w:p>
    <w:p w:rsidR="00A23420" w:rsidRPr="00A0088E" w:rsidRDefault="00A23420" w:rsidP="00D309A1">
      <w:pPr>
        <w:pStyle w:val="ListParagraph"/>
      </w:pPr>
      <w:r w:rsidRPr="008A534B">
        <w:t>No physiotherapy</w:t>
      </w:r>
      <w:r>
        <w:t xml:space="preserve"> or muscle relaxants</w:t>
      </w:r>
      <w:r w:rsidRPr="008A534B">
        <w:t xml:space="preserve"> </w:t>
      </w:r>
      <w:r>
        <w:t>were</w:t>
      </w:r>
      <w:r w:rsidRPr="008A534B">
        <w:t xml:space="preserve"> initiated </w:t>
      </w:r>
      <w:r w:rsidR="00B52200">
        <w:t>within four</w:t>
      </w:r>
      <w:r w:rsidRPr="008A534B">
        <w:t xml:space="preserve"> weeks </w:t>
      </w:r>
      <w:r w:rsidR="00B52200">
        <w:t>of</w:t>
      </w:r>
      <w:r w:rsidRPr="008A534B">
        <w:t xml:space="preserve"> </w:t>
      </w:r>
      <w:r>
        <w:t xml:space="preserve">randomisation </w:t>
      </w:r>
      <w:r w:rsidRPr="008A534B">
        <w:t xml:space="preserve">or during the </w:t>
      </w:r>
      <w:r>
        <w:t>double-blind phase</w:t>
      </w:r>
      <w:r w:rsidRPr="008A534B">
        <w:t>.</w:t>
      </w:r>
      <w:r w:rsidR="00FA60DA">
        <w:t xml:space="preserve"> </w:t>
      </w:r>
      <w:r>
        <w:t>P</w:t>
      </w:r>
      <w:r w:rsidRPr="008A534B">
        <w:t>atients who initiated physiotherapy</w:t>
      </w:r>
      <w:r>
        <w:t xml:space="preserve"> or muscle relaxants</w:t>
      </w:r>
      <w:r w:rsidR="00D25F0E">
        <w:t>,</w:t>
      </w:r>
      <w:r w:rsidR="004626C8">
        <w:t xml:space="preserve"> </w:t>
      </w:r>
      <w:r w:rsidR="00B52200">
        <w:t>at least four</w:t>
      </w:r>
      <w:r w:rsidRPr="008A534B">
        <w:t xml:space="preserve"> weeks </w:t>
      </w:r>
      <w:r w:rsidR="00B52200">
        <w:t>prior to</w:t>
      </w:r>
      <w:r w:rsidR="00B52200" w:rsidRPr="008A534B">
        <w:t xml:space="preserve"> </w:t>
      </w:r>
      <w:r>
        <w:t xml:space="preserve">randomisation, continued </w:t>
      </w:r>
      <w:r w:rsidRPr="008A534B">
        <w:t>at the same frequency and intensity up to Week 4 and</w:t>
      </w:r>
      <w:r w:rsidR="00D25F0E">
        <w:t>,</w:t>
      </w:r>
      <w:r w:rsidRPr="008A534B">
        <w:t xml:space="preserve"> whenever possible</w:t>
      </w:r>
      <w:r w:rsidR="00D25F0E">
        <w:t>,</w:t>
      </w:r>
      <w:r w:rsidRPr="008A534B">
        <w:t xml:space="preserve"> until </w:t>
      </w:r>
      <w:r>
        <w:t xml:space="preserve">the </w:t>
      </w:r>
      <w:r w:rsidRPr="008A534B">
        <w:t>end</w:t>
      </w:r>
      <w:r>
        <w:t xml:space="preserve"> of the trial</w:t>
      </w:r>
      <w:r w:rsidRPr="008A534B">
        <w:t>.</w:t>
      </w:r>
      <w:r w:rsidR="00FA60DA">
        <w:t xml:space="preserve"> </w:t>
      </w:r>
      <w:r w:rsidR="00CA01A3" w:rsidRPr="00A0088E">
        <w:rPr>
          <w:iCs/>
        </w:rPr>
        <w:t>Approximately 60% of patients enrolled in Study 140 received concomitant physiotherapy.</w:t>
      </w:r>
      <w:r w:rsidR="00FA60DA">
        <w:rPr>
          <w:iCs/>
        </w:rPr>
        <w:t xml:space="preserve"> </w:t>
      </w:r>
      <w:r w:rsidR="00CA01A3" w:rsidRPr="00A0088E">
        <w:rPr>
          <w:iCs/>
        </w:rPr>
        <w:t xml:space="preserve">Study 140 did not report whether patients received other </w:t>
      </w:r>
      <w:r w:rsidR="00465B51" w:rsidRPr="00A0088E">
        <w:rPr>
          <w:iCs/>
        </w:rPr>
        <w:t xml:space="preserve">concomitant </w:t>
      </w:r>
      <w:r w:rsidR="00CA01A3" w:rsidRPr="00A0088E">
        <w:rPr>
          <w:iCs/>
        </w:rPr>
        <w:t>physical therapies</w:t>
      </w:r>
      <w:r w:rsidR="004F2656" w:rsidRPr="00A0088E">
        <w:rPr>
          <w:iCs/>
        </w:rPr>
        <w:t xml:space="preserve"> recommended in the guidelines (including postural management, casting and splinting and occupational therapy).</w:t>
      </w:r>
      <w:r w:rsidR="00FA60DA">
        <w:rPr>
          <w:iCs/>
        </w:rPr>
        <w:t xml:space="preserve"> </w:t>
      </w:r>
      <w:r w:rsidR="00F35879" w:rsidRPr="00A0088E">
        <w:rPr>
          <w:iCs/>
        </w:rPr>
        <w:t>T</w:t>
      </w:r>
      <w:r w:rsidR="000F5867" w:rsidRPr="00A0088E">
        <w:rPr>
          <w:iCs/>
        </w:rPr>
        <w:t xml:space="preserve">he submission </w:t>
      </w:r>
      <w:r w:rsidR="00B2339C" w:rsidRPr="00A0088E">
        <w:rPr>
          <w:iCs/>
        </w:rPr>
        <w:t>appeared to use the terms “physical therapy” and “physiotherapy” interchangeably</w:t>
      </w:r>
      <w:r w:rsidR="004F2656" w:rsidRPr="00A0088E">
        <w:rPr>
          <w:iCs/>
        </w:rPr>
        <w:t>.</w:t>
      </w:r>
      <w:r w:rsidR="00FA60DA">
        <w:rPr>
          <w:iCs/>
        </w:rPr>
        <w:t xml:space="preserve"> </w:t>
      </w:r>
      <w:r w:rsidR="004F2656" w:rsidRPr="00A0088E">
        <w:rPr>
          <w:iCs/>
        </w:rPr>
        <w:t xml:space="preserve">Given the submission did not </w:t>
      </w:r>
      <w:r w:rsidR="005909BE" w:rsidRPr="00A0088E">
        <w:rPr>
          <w:iCs/>
        </w:rPr>
        <w:t>present data to inform</w:t>
      </w:r>
      <w:r w:rsidR="000F5867" w:rsidRPr="00A0088E">
        <w:rPr>
          <w:iCs/>
        </w:rPr>
        <w:t xml:space="preserve"> the proportional use of physical therapy</w:t>
      </w:r>
      <w:r w:rsidR="00B52200">
        <w:rPr>
          <w:iCs/>
        </w:rPr>
        <w:t>,</w:t>
      </w:r>
      <w:r w:rsidR="000F5867" w:rsidRPr="00A0088E">
        <w:rPr>
          <w:iCs/>
        </w:rPr>
        <w:t xml:space="preserve"> including physiotherapy</w:t>
      </w:r>
      <w:r w:rsidR="00B52200">
        <w:rPr>
          <w:iCs/>
        </w:rPr>
        <w:t>,</w:t>
      </w:r>
      <w:r w:rsidR="000F5867" w:rsidRPr="00A0088E">
        <w:rPr>
          <w:iCs/>
        </w:rPr>
        <w:t xml:space="preserve"> in the Australian </w:t>
      </w:r>
      <w:r w:rsidR="00F35879" w:rsidRPr="00A0088E">
        <w:rPr>
          <w:iCs/>
        </w:rPr>
        <w:t>setting</w:t>
      </w:r>
      <w:r w:rsidR="00B2339C" w:rsidRPr="00A0088E">
        <w:rPr>
          <w:iCs/>
        </w:rPr>
        <w:t xml:space="preserve">, </w:t>
      </w:r>
      <w:r w:rsidR="00F35879" w:rsidRPr="00A0088E">
        <w:rPr>
          <w:iCs/>
        </w:rPr>
        <w:t xml:space="preserve">it was unclear whether the trial population was wholly representative of </w:t>
      </w:r>
      <w:r w:rsidR="004F2656" w:rsidRPr="00A0088E">
        <w:rPr>
          <w:iCs/>
        </w:rPr>
        <w:t xml:space="preserve">patients who would receive </w:t>
      </w:r>
      <w:r w:rsidR="00B52200">
        <w:rPr>
          <w:iCs/>
        </w:rPr>
        <w:t>botulinum toxin</w:t>
      </w:r>
      <w:r w:rsidR="00B52200" w:rsidRPr="00A0088E">
        <w:rPr>
          <w:iCs/>
        </w:rPr>
        <w:t xml:space="preserve"> </w:t>
      </w:r>
      <w:r w:rsidR="004F2656" w:rsidRPr="00A0088E">
        <w:rPr>
          <w:iCs/>
        </w:rPr>
        <w:t>on the PBS.</w:t>
      </w:r>
    </w:p>
    <w:p w:rsidR="00B07D0E" w:rsidRDefault="00B07D0E" w:rsidP="00D309A1">
      <w:pPr>
        <w:pStyle w:val="ListParagraph"/>
      </w:pPr>
      <w:r>
        <w:t xml:space="preserve">Patients who completed Study 140 without protocol violation and/or adverse events entered </w:t>
      </w:r>
      <w:r w:rsidR="001E0100">
        <w:t xml:space="preserve">the extension study, </w:t>
      </w:r>
      <w:r>
        <w:t>Study 142</w:t>
      </w:r>
      <w:r w:rsidR="001E0100">
        <w:t xml:space="preserve">, </w:t>
      </w:r>
      <w:r>
        <w:t xml:space="preserve">and received open label </w:t>
      </w:r>
      <w:r w:rsidR="00051CA9">
        <w:t>Dysport®</w:t>
      </w:r>
      <w:r>
        <w:t xml:space="preserve"> 1500U (or 1000U if patients experienced previous </w:t>
      </w:r>
      <w:r w:rsidR="001E0100">
        <w:t>events</w:t>
      </w:r>
      <w:r>
        <w:t xml:space="preserve"> which posed an unacceptable risk) for a maximum of </w:t>
      </w:r>
      <w:r w:rsidR="00B52200">
        <w:t>four</w:t>
      </w:r>
      <w:r>
        <w:t xml:space="preserve"> additional treatment cycles</w:t>
      </w:r>
      <w:r w:rsidR="001E0100">
        <w:t>,</w:t>
      </w:r>
      <w:r>
        <w:t xml:space="preserve"> at minimum 12 weeks interval</w:t>
      </w:r>
      <w:r w:rsidR="001E0100">
        <w:t>s,</w:t>
      </w:r>
      <w:r>
        <w:t xml:space="preserve"> over </w:t>
      </w:r>
      <w:r w:rsidR="00B52200">
        <w:t xml:space="preserve"> </w:t>
      </w:r>
      <w:r>
        <w:t>18</w:t>
      </w:r>
      <w:r w:rsidR="001E0100">
        <w:t xml:space="preserve"> </w:t>
      </w:r>
      <w:r>
        <w:t>months.</w:t>
      </w:r>
      <w:r w:rsidR="00FA60DA">
        <w:t xml:space="preserve"> </w:t>
      </w:r>
      <w:r>
        <w:t xml:space="preserve">In </w:t>
      </w:r>
      <w:r w:rsidR="00B52200">
        <w:t>C</w:t>
      </w:r>
      <w:r>
        <w:t xml:space="preserve">ycles 3 and 4, </w:t>
      </w:r>
      <w:r w:rsidRPr="00841496">
        <w:t xml:space="preserve">concomitant treatment </w:t>
      </w:r>
      <w:r w:rsidR="00AE0692">
        <w:t>of affected u</w:t>
      </w:r>
      <w:r w:rsidR="001E0100">
        <w:t xml:space="preserve">pper limb </w:t>
      </w:r>
      <w:r w:rsidRPr="00841496">
        <w:t xml:space="preserve">muscles </w:t>
      </w:r>
      <w:r>
        <w:t xml:space="preserve">(maximum 500U) </w:t>
      </w:r>
      <w:r w:rsidRPr="00841496">
        <w:t xml:space="preserve">was </w:t>
      </w:r>
      <w:r>
        <w:t>al</w:t>
      </w:r>
      <w:r w:rsidRPr="00841496">
        <w:t>lowed</w:t>
      </w:r>
      <w:r>
        <w:t>, within the total dose of 1500U</w:t>
      </w:r>
      <w:r w:rsidRPr="00841496">
        <w:t>.</w:t>
      </w:r>
    </w:p>
    <w:p w:rsidR="00B60939" w:rsidRPr="00C9624D" w:rsidRDefault="00B60939" w:rsidP="00114B88">
      <w:pPr>
        <w:pStyle w:val="Heading2"/>
      </w:pPr>
      <w:bookmarkStart w:id="10" w:name="_Toc524505996"/>
      <w:r w:rsidRPr="00C9624D">
        <w:lastRenderedPageBreak/>
        <w:t>Comparative effectiveness</w:t>
      </w:r>
      <w:bookmarkEnd w:id="10"/>
    </w:p>
    <w:p w:rsidR="000B33E1" w:rsidRDefault="000B33E1" w:rsidP="00D309A1">
      <w:pPr>
        <w:pStyle w:val="ListParagraph"/>
        <w:keepNext/>
      </w:pPr>
      <w:r>
        <w:t>The submission’s clinical claim w</w:t>
      </w:r>
      <w:r w:rsidR="00BD3903">
        <w:t>as</w:t>
      </w:r>
      <w:r>
        <w:t xml:space="preserve"> based on </w:t>
      </w:r>
      <w:r w:rsidR="00AE0692">
        <w:t xml:space="preserve">change in </w:t>
      </w:r>
      <w:r>
        <w:t xml:space="preserve">spasticity (measured by change </w:t>
      </w:r>
      <w:r w:rsidR="00B52200">
        <w:t xml:space="preserve">in </w:t>
      </w:r>
      <w:r>
        <w:t xml:space="preserve">MAS </w:t>
      </w:r>
      <w:r w:rsidR="00B52200">
        <w:t xml:space="preserve">score </w:t>
      </w:r>
      <w:r>
        <w:t xml:space="preserve">in the </w:t>
      </w:r>
      <w:r w:rsidR="0091496B">
        <w:t xml:space="preserve">gastrocnemius-soleus complex, </w:t>
      </w:r>
      <w:r>
        <w:t>GSC)</w:t>
      </w:r>
      <w:r w:rsidR="007E13B8">
        <w:t xml:space="preserve">, change in walking speed (measured by the 10 m comfortable barefoot walking test) </w:t>
      </w:r>
      <w:r w:rsidR="00AE0692">
        <w:t xml:space="preserve">and </w:t>
      </w:r>
      <w:r>
        <w:t>treatment response criteria (measured by Physician Global Assessment, PGA).</w:t>
      </w:r>
    </w:p>
    <w:p w:rsidR="000B33E1" w:rsidRDefault="000B33E1" w:rsidP="00D309A1">
      <w:pPr>
        <w:pStyle w:val="ListParagraph"/>
      </w:pPr>
      <w:r w:rsidRPr="00A0088E">
        <w:rPr>
          <w:iCs/>
        </w:rPr>
        <w:t xml:space="preserve">The MAS </w:t>
      </w:r>
      <w:r w:rsidR="00B4695F">
        <w:rPr>
          <w:iCs/>
        </w:rPr>
        <w:t xml:space="preserve">(see </w:t>
      </w:r>
      <w:r w:rsidR="00B4695F" w:rsidRPr="00BE7D28">
        <w:rPr>
          <w:iCs/>
        </w:rPr>
        <w:t>T</w:t>
      </w:r>
      <w:r w:rsidR="0091496B" w:rsidRPr="00BE7D28">
        <w:rPr>
          <w:iCs/>
        </w:rPr>
        <w:t xml:space="preserve">able </w:t>
      </w:r>
      <w:r w:rsidR="00BE7D28">
        <w:rPr>
          <w:iCs/>
        </w:rPr>
        <w:t>4</w:t>
      </w:r>
      <w:r w:rsidR="0091496B">
        <w:rPr>
          <w:iCs/>
        </w:rPr>
        <w:t xml:space="preserve">) </w:t>
      </w:r>
      <w:r w:rsidRPr="00A0088E">
        <w:rPr>
          <w:iCs/>
        </w:rPr>
        <w:t>is a common outcome reported in trials of botulinum toxins</w:t>
      </w:r>
      <w:r w:rsidR="000E5FF9" w:rsidRPr="00A0088E">
        <w:rPr>
          <w:iCs/>
        </w:rPr>
        <w:t xml:space="preserve"> and spasticity</w:t>
      </w:r>
      <w:r w:rsidRPr="00A0088E">
        <w:rPr>
          <w:iCs/>
        </w:rPr>
        <w:t>, and it has been presented in past PBAC submissions.</w:t>
      </w:r>
      <w:r w:rsidR="00FA60DA">
        <w:t xml:space="preserve"> </w:t>
      </w:r>
      <w:r w:rsidRPr="00A0088E">
        <w:t>The MAS measures the level of resistance to passive movement, and evaluates a combination of soft tissue contracture and spastic dystonia, in addition to spasticity itself.</w:t>
      </w:r>
      <w:r w:rsidR="00FA60DA">
        <w:t xml:space="preserve"> </w:t>
      </w:r>
      <w:r w:rsidRPr="00A0088E">
        <w:t>PGA is a subjective functional outcome</w:t>
      </w:r>
      <w:r w:rsidR="000E5FF9" w:rsidRPr="00A0088E">
        <w:t xml:space="preserve">, which </w:t>
      </w:r>
      <w:r w:rsidRPr="00A0088E">
        <w:t>is an investigator rated response to treatment after injection of treatment.</w:t>
      </w:r>
      <w:r w:rsidR="00FA60DA">
        <w:t xml:space="preserve"> </w:t>
      </w:r>
    </w:p>
    <w:p w:rsidR="0091496B" w:rsidRPr="007A5A38" w:rsidRDefault="0091496B" w:rsidP="00D309A1">
      <w:pPr>
        <w:pStyle w:val="TableHeading0"/>
      </w:pPr>
      <w:r w:rsidRPr="007A5A38">
        <w:t>Table</w:t>
      </w:r>
      <w:r w:rsidR="00034ECD">
        <w:t xml:space="preserve"> </w:t>
      </w:r>
      <w:r w:rsidR="00BE7D28">
        <w:t>4</w:t>
      </w:r>
      <w:r w:rsidRPr="007A5A38">
        <w:rPr>
          <w:rStyle w:val="CommentReference"/>
          <w:b/>
          <w:bCs/>
          <w:szCs w:val="20"/>
        </w:rPr>
        <w:t>:</w:t>
      </w:r>
      <w:r w:rsidR="00FA60DA">
        <w:rPr>
          <w:rStyle w:val="CommentReference"/>
          <w:b/>
          <w:bCs/>
          <w:szCs w:val="20"/>
        </w:rPr>
        <w:t xml:space="preserve"> </w:t>
      </w:r>
      <w:r w:rsidRPr="007A5A38">
        <w:rPr>
          <w:rStyle w:val="CommentReference"/>
          <w:b/>
          <w:bCs/>
          <w:szCs w:val="20"/>
        </w:rPr>
        <w:t>Description of the Modified Ashworth Scale (MAS)</w:t>
      </w:r>
    </w:p>
    <w:tbl>
      <w:tblPr>
        <w:tblStyle w:val="TableGrid"/>
        <w:tblW w:w="5000" w:type="pct"/>
        <w:tblLook w:val="04A0" w:firstRow="1" w:lastRow="0" w:firstColumn="1" w:lastColumn="0" w:noHBand="0" w:noVBand="1"/>
        <w:tblCaption w:val="Description of the Modified Ashworth Scale"/>
      </w:tblPr>
      <w:tblGrid>
        <w:gridCol w:w="724"/>
        <w:gridCol w:w="853"/>
        <w:gridCol w:w="702"/>
        <w:gridCol w:w="6738"/>
      </w:tblGrid>
      <w:tr w:rsidR="00884BAA" w:rsidRPr="00267462" w:rsidTr="007C62FB">
        <w:trPr>
          <w:cantSplit/>
          <w:tblHeader/>
        </w:trPr>
        <w:tc>
          <w:tcPr>
            <w:tcW w:w="402" w:type="pct"/>
            <w:tcMar>
              <w:left w:w="28" w:type="dxa"/>
              <w:right w:w="28" w:type="dxa"/>
            </w:tcMar>
          </w:tcPr>
          <w:p w:rsidR="00884BAA" w:rsidRPr="00267462" w:rsidRDefault="00884BAA" w:rsidP="00D309A1">
            <w:pPr>
              <w:widowControl/>
              <w:rPr>
                <w:rFonts w:ascii="Arial Narrow" w:hAnsi="Arial Narrow"/>
                <w:b/>
                <w:bCs/>
                <w:sz w:val="20"/>
                <w:szCs w:val="20"/>
              </w:rPr>
            </w:pPr>
            <w:r w:rsidRPr="00267462">
              <w:rPr>
                <w:rFonts w:ascii="Arial Narrow" w:hAnsi="Arial Narrow"/>
                <w:b/>
                <w:bCs/>
                <w:sz w:val="20"/>
                <w:szCs w:val="20"/>
              </w:rPr>
              <w:t>MAS score</w:t>
            </w:r>
          </w:p>
        </w:tc>
        <w:tc>
          <w:tcPr>
            <w:tcW w:w="473" w:type="pct"/>
            <w:tcMar>
              <w:left w:w="28" w:type="dxa"/>
              <w:right w:w="28" w:type="dxa"/>
            </w:tcMar>
          </w:tcPr>
          <w:p w:rsidR="00884BAA" w:rsidRPr="00267462" w:rsidRDefault="00884BAA" w:rsidP="00D309A1">
            <w:pPr>
              <w:widowControl/>
              <w:rPr>
                <w:rFonts w:ascii="Arial Narrow" w:hAnsi="Arial Narrow"/>
                <w:b/>
                <w:bCs/>
                <w:sz w:val="20"/>
                <w:szCs w:val="20"/>
              </w:rPr>
            </w:pPr>
            <w:r w:rsidRPr="00267462">
              <w:rPr>
                <w:rFonts w:ascii="Arial Narrow" w:hAnsi="Arial Narrow"/>
                <w:b/>
                <w:bCs/>
                <w:sz w:val="20"/>
                <w:szCs w:val="20"/>
              </w:rPr>
              <w:t>Historical code</w:t>
            </w:r>
          </w:p>
        </w:tc>
        <w:tc>
          <w:tcPr>
            <w:tcW w:w="389" w:type="pct"/>
            <w:tcMar>
              <w:left w:w="28" w:type="dxa"/>
              <w:right w:w="28" w:type="dxa"/>
            </w:tcMar>
          </w:tcPr>
          <w:p w:rsidR="00884BAA" w:rsidRPr="00267462" w:rsidRDefault="00884BAA" w:rsidP="00D309A1">
            <w:pPr>
              <w:widowControl/>
              <w:rPr>
                <w:rFonts w:ascii="Arial Narrow" w:hAnsi="Arial Narrow"/>
                <w:b/>
                <w:bCs/>
                <w:sz w:val="20"/>
                <w:szCs w:val="20"/>
              </w:rPr>
            </w:pPr>
            <w:r w:rsidRPr="00267462">
              <w:rPr>
                <w:rFonts w:ascii="Arial Narrow" w:hAnsi="Arial Narrow"/>
                <w:b/>
                <w:bCs/>
                <w:sz w:val="20"/>
                <w:szCs w:val="20"/>
              </w:rPr>
              <w:t>Derived code</w:t>
            </w:r>
          </w:p>
        </w:tc>
        <w:tc>
          <w:tcPr>
            <w:tcW w:w="3736" w:type="pct"/>
            <w:tcMar>
              <w:left w:w="28" w:type="dxa"/>
              <w:right w:w="28" w:type="dxa"/>
            </w:tcMar>
          </w:tcPr>
          <w:p w:rsidR="00884BAA" w:rsidRPr="00267462" w:rsidRDefault="00884BAA" w:rsidP="00D309A1">
            <w:pPr>
              <w:widowControl/>
              <w:rPr>
                <w:rFonts w:ascii="Arial Narrow" w:hAnsi="Arial Narrow"/>
                <w:b/>
                <w:bCs/>
                <w:sz w:val="20"/>
                <w:szCs w:val="20"/>
              </w:rPr>
            </w:pPr>
            <w:r w:rsidRPr="00267462">
              <w:rPr>
                <w:rFonts w:ascii="Arial Narrow" w:hAnsi="Arial Narrow"/>
                <w:b/>
                <w:bCs/>
                <w:sz w:val="20"/>
                <w:szCs w:val="20"/>
              </w:rPr>
              <w:t>Description</w:t>
            </w:r>
          </w:p>
        </w:tc>
      </w:tr>
      <w:tr w:rsidR="00884BAA" w:rsidRPr="00267462" w:rsidTr="00114B88">
        <w:trPr>
          <w:trHeight w:val="95"/>
        </w:trPr>
        <w:tc>
          <w:tcPr>
            <w:tcW w:w="402" w:type="pct"/>
            <w:tcMar>
              <w:left w:w="28" w:type="dxa"/>
              <w:right w:w="28" w:type="dxa"/>
            </w:tcMar>
          </w:tcPr>
          <w:p w:rsidR="00884BAA" w:rsidRPr="00267462" w:rsidRDefault="00884BAA" w:rsidP="00D309A1">
            <w:pPr>
              <w:widowControl/>
              <w:rPr>
                <w:rFonts w:ascii="Arial Narrow" w:hAnsi="Arial Narrow"/>
                <w:sz w:val="20"/>
                <w:szCs w:val="20"/>
              </w:rPr>
            </w:pPr>
            <w:r w:rsidRPr="00267462">
              <w:rPr>
                <w:rFonts w:ascii="Arial Narrow" w:hAnsi="Arial Narrow"/>
                <w:sz w:val="20"/>
                <w:szCs w:val="20"/>
              </w:rPr>
              <w:t>0</w:t>
            </w:r>
          </w:p>
        </w:tc>
        <w:tc>
          <w:tcPr>
            <w:tcW w:w="473" w:type="pct"/>
            <w:tcMar>
              <w:left w:w="28" w:type="dxa"/>
              <w:right w:w="28" w:type="dxa"/>
            </w:tcMar>
          </w:tcPr>
          <w:p w:rsidR="00884BAA" w:rsidRPr="00267462" w:rsidRDefault="00884BAA" w:rsidP="00D309A1">
            <w:pPr>
              <w:widowControl/>
              <w:rPr>
                <w:rFonts w:ascii="Arial Narrow" w:hAnsi="Arial Narrow"/>
                <w:sz w:val="20"/>
                <w:szCs w:val="20"/>
              </w:rPr>
            </w:pPr>
            <w:r w:rsidRPr="00267462">
              <w:rPr>
                <w:rFonts w:ascii="Arial Narrow" w:hAnsi="Arial Narrow"/>
                <w:sz w:val="20"/>
                <w:szCs w:val="20"/>
              </w:rPr>
              <w:t>0</w:t>
            </w:r>
          </w:p>
        </w:tc>
        <w:tc>
          <w:tcPr>
            <w:tcW w:w="389" w:type="pct"/>
            <w:tcMar>
              <w:left w:w="28" w:type="dxa"/>
              <w:right w:w="28" w:type="dxa"/>
            </w:tcMar>
          </w:tcPr>
          <w:p w:rsidR="00884BAA" w:rsidRPr="00267462" w:rsidRDefault="00884BAA" w:rsidP="00D309A1">
            <w:pPr>
              <w:widowControl/>
              <w:rPr>
                <w:rFonts w:ascii="Arial Narrow" w:hAnsi="Arial Narrow"/>
                <w:sz w:val="20"/>
                <w:szCs w:val="20"/>
              </w:rPr>
            </w:pPr>
            <w:r w:rsidRPr="00267462">
              <w:rPr>
                <w:rFonts w:ascii="Arial Narrow" w:hAnsi="Arial Narrow"/>
                <w:sz w:val="20"/>
                <w:szCs w:val="20"/>
              </w:rPr>
              <w:t>0</w:t>
            </w:r>
          </w:p>
        </w:tc>
        <w:tc>
          <w:tcPr>
            <w:tcW w:w="3736" w:type="pct"/>
            <w:tcMar>
              <w:left w:w="28" w:type="dxa"/>
              <w:right w:w="28" w:type="dxa"/>
            </w:tcMar>
          </w:tcPr>
          <w:p w:rsidR="00884BAA" w:rsidRPr="00267462" w:rsidRDefault="00884BAA" w:rsidP="00D309A1">
            <w:pPr>
              <w:widowControl/>
              <w:rPr>
                <w:rFonts w:ascii="Arial Narrow" w:hAnsi="Arial Narrow"/>
                <w:sz w:val="20"/>
                <w:szCs w:val="20"/>
              </w:rPr>
            </w:pPr>
            <w:r w:rsidRPr="00267462">
              <w:rPr>
                <w:rFonts w:ascii="Arial Narrow" w:hAnsi="Arial Narrow"/>
                <w:sz w:val="20"/>
                <w:szCs w:val="20"/>
              </w:rPr>
              <w:t>Normal tone, no increase in muscle tone</w:t>
            </w:r>
          </w:p>
        </w:tc>
      </w:tr>
      <w:tr w:rsidR="00884BAA" w:rsidRPr="00267462" w:rsidTr="00114B88">
        <w:tc>
          <w:tcPr>
            <w:tcW w:w="402" w:type="pct"/>
            <w:tcMar>
              <w:left w:w="28" w:type="dxa"/>
              <w:right w:w="28" w:type="dxa"/>
            </w:tcMar>
          </w:tcPr>
          <w:p w:rsidR="00884BAA" w:rsidRPr="00267462" w:rsidRDefault="00884BAA" w:rsidP="00D309A1">
            <w:pPr>
              <w:widowControl/>
              <w:rPr>
                <w:rFonts w:ascii="Arial Narrow" w:hAnsi="Arial Narrow"/>
                <w:sz w:val="20"/>
                <w:szCs w:val="20"/>
              </w:rPr>
            </w:pPr>
            <w:r w:rsidRPr="00267462">
              <w:rPr>
                <w:rFonts w:ascii="Arial Narrow" w:hAnsi="Arial Narrow"/>
                <w:sz w:val="20"/>
                <w:szCs w:val="20"/>
              </w:rPr>
              <w:t>1</w:t>
            </w:r>
          </w:p>
        </w:tc>
        <w:tc>
          <w:tcPr>
            <w:tcW w:w="473" w:type="pct"/>
            <w:tcMar>
              <w:left w:w="28" w:type="dxa"/>
              <w:right w:w="28" w:type="dxa"/>
            </w:tcMar>
          </w:tcPr>
          <w:p w:rsidR="00884BAA" w:rsidRPr="00267462" w:rsidRDefault="00884BAA" w:rsidP="00D309A1">
            <w:pPr>
              <w:widowControl/>
              <w:rPr>
                <w:rFonts w:ascii="Arial Narrow" w:hAnsi="Arial Narrow"/>
                <w:sz w:val="20"/>
                <w:szCs w:val="20"/>
              </w:rPr>
            </w:pPr>
            <w:r w:rsidRPr="00267462">
              <w:rPr>
                <w:rFonts w:ascii="Arial Narrow" w:hAnsi="Arial Narrow"/>
                <w:sz w:val="20"/>
                <w:szCs w:val="20"/>
              </w:rPr>
              <w:t>1</w:t>
            </w:r>
          </w:p>
        </w:tc>
        <w:tc>
          <w:tcPr>
            <w:tcW w:w="389" w:type="pct"/>
            <w:tcMar>
              <w:left w:w="28" w:type="dxa"/>
              <w:right w:w="28" w:type="dxa"/>
            </w:tcMar>
          </w:tcPr>
          <w:p w:rsidR="00884BAA" w:rsidRPr="00267462" w:rsidRDefault="00884BAA" w:rsidP="00D309A1">
            <w:pPr>
              <w:widowControl/>
              <w:rPr>
                <w:rFonts w:ascii="Arial Narrow" w:hAnsi="Arial Narrow"/>
                <w:sz w:val="20"/>
                <w:szCs w:val="20"/>
              </w:rPr>
            </w:pPr>
            <w:r w:rsidRPr="00267462">
              <w:rPr>
                <w:rFonts w:ascii="Arial Narrow" w:hAnsi="Arial Narrow"/>
                <w:sz w:val="20"/>
                <w:szCs w:val="20"/>
              </w:rPr>
              <w:t>1</w:t>
            </w:r>
          </w:p>
        </w:tc>
        <w:tc>
          <w:tcPr>
            <w:tcW w:w="3736" w:type="pct"/>
            <w:tcMar>
              <w:left w:w="28" w:type="dxa"/>
              <w:right w:w="28" w:type="dxa"/>
            </w:tcMar>
          </w:tcPr>
          <w:p w:rsidR="00884BAA" w:rsidRPr="00267462" w:rsidRDefault="00884BAA" w:rsidP="00D309A1">
            <w:pPr>
              <w:widowControl/>
              <w:rPr>
                <w:rFonts w:ascii="Arial Narrow" w:hAnsi="Arial Narrow"/>
                <w:sz w:val="20"/>
                <w:szCs w:val="20"/>
              </w:rPr>
            </w:pPr>
            <w:r w:rsidRPr="00267462">
              <w:rPr>
                <w:rFonts w:ascii="Arial Narrow" w:hAnsi="Arial Narrow"/>
                <w:sz w:val="20"/>
                <w:szCs w:val="20"/>
              </w:rPr>
              <w:t>Slight increase in muscle tone, manifested by a catch or by minimal resistance at the end of the range of motion (ROM) when the affected part(s) is (are) moved in flexion or extension</w:t>
            </w:r>
          </w:p>
        </w:tc>
      </w:tr>
      <w:tr w:rsidR="00884BAA" w:rsidRPr="00267462" w:rsidTr="00114B88">
        <w:tc>
          <w:tcPr>
            <w:tcW w:w="402" w:type="pct"/>
            <w:tcMar>
              <w:left w:w="28" w:type="dxa"/>
              <w:right w:w="28" w:type="dxa"/>
            </w:tcMar>
          </w:tcPr>
          <w:p w:rsidR="00884BAA" w:rsidRPr="00267462" w:rsidRDefault="00884BAA" w:rsidP="00D309A1">
            <w:pPr>
              <w:widowControl/>
              <w:rPr>
                <w:rFonts w:ascii="Arial Narrow" w:hAnsi="Arial Narrow"/>
                <w:sz w:val="20"/>
                <w:szCs w:val="20"/>
              </w:rPr>
            </w:pPr>
            <w:r w:rsidRPr="00267462">
              <w:rPr>
                <w:rFonts w:ascii="Arial Narrow" w:hAnsi="Arial Narrow"/>
                <w:sz w:val="20"/>
                <w:szCs w:val="20"/>
              </w:rPr>
              <w:t>1+</w:t>
            </w:r>
          </w:p>
        </w:tc>
        <w:tc>
          <w:tcPr>
            <w:tcW w:w="473" w:type="pct"/>
            <w:tcMar>
              <w:left w:w="28" w:type="dxa"/>
              <w:right w:w="28" w:type="dxa"/>
            </w:tcMar>
          </w:tcPr>
          <w:p w:rsidR="00884BAA" w:rsidRPr="00267462" w:rsidRDefault="00884BAA" w:rsidP="00D309A1">
            <w:pPr>
              <w:widowControl/>
              <w:rPr>
                <w:rFonts w:ascii="Arial Narrow" w:hAnsi="Arial Narrow"/>
                <w:sz w:val="20"/>
                <w:szCs w:val="20"/>
              </w:rPr>
            </w:pPr>
            <w:r w:rsidRPr="00267462">
              <w:rPr>
                <w:rFonts w:ascii="Arial Narrow" w:hAnsi="Arial Narrow"/>
                <w:sz w:val="20"/>
                <w:szCs w:val="20"/>
              </w:rPr>
              <w:t>1.5</w:t>
            </w:r>
          </w:p>
        </w:tc>
        <w:tc>
          <w:tcPr>
            <w:tcW w:w="389" w:type="pct"/>
            <w:tcMar>
              <w:left w:w="28" w:type="dxa"/>
              <w:right w:w="28" w:type="dxa"/>
            </w:tcMar>
          </w:tcPr>
          <w:p w:rsidR="00884BAA" w:rsidRPr="00267462" w:rsidRDefault="00884BAA" w:rsidP="00D309A1">
            <w:pPr>
              <w:widowControl/>
              <w:rPr>
                <w:rFonts w:ascii="Arial Narrow" w:hAnsi="Arial Narrow"/>
                <w:sz w:val="20"/>
                <w:szCs w:val="20"/>
              </w:rPr>
            </w:pPr>
            <w:r w:rsidRPr="00267462">
              <w:rPr>
                <w:rFonts w:ascii="Arial Narrow" w:hAnsi="Arial Narrow"/>
                <w:sz w:val="20"/>
                <w:szCs w:val="20"/>
              </w:rPr>
              <w:t>2</w:t>
            </w:r>
          </w:p>
        </w:tc>
        <w:tc>
          <w:tcPr>
            <w:tcW w:w="3736" w:type="pct"/>
            <w:tcMar>
              <w:left w:w="28" w:type="dxa"/>
              <w:right w:w="28" w:type="dxa"/>
            </w:tcMar>
          </w:tcPr>
          <w:p w:rsidR="00884BAA" w:rsidRPr="00267462" w:rsidRDefault="00884BAA" w:rsidP="00D309A1">
            <w:pPr>
              <w:widowControl/>
              <w:rPr>
                <w:rFonts w:ascii="Arial Narrow" w:hAnsi="Arial Narrow"/>
                <w:sz w:val="20"/>
                <w:szCs w:val="20"/>
              </w:rPr>
            </w:pPr>
            <w:r w:rsidRPr="00267462">
              <w:rPr>
                <w:rFonts w:ascii="Arial Narrow" w:hAnsi="Arial Narrow"/>
                <w:sz w:val="20"/>
                <w:szCs w:val="20"/>
              </w:rPr>
              <w:t>Slight increase in muscle tone, manifested by a catch, followed by minimal resistance throughout the remainder (less than half) of the ROM</w:t>
            </w:r>
          </w:p>
        </w:tc>
      </w:tr>
      <w:tr w:rsidR="00884BAA" w:rsidRPr="00267462" w:rsidTr="00114B88">
        <w:tc>
          <w:tcPr>
            <w:tcW w:w="402" w:type="pct"/>
            <w:tcMar>
              <w:left w:w="28" w:type="dxa"/>
              <w:right w:w="28" w:type="dxa"/>
            </w:tcMar>
          </w:tcPr>
          <w:p w:rsidR="00884BAA" w:rsidRPr="00267462" w:rsidRDefault="00884BAA" w:rsidP="00D309A1">
            <w:pPr>
              <w:widowControl/>
              <w:rPr>
                <w:rFonts w:ascii="Arial Narrow" w:hAnsi="Arial Narrow"/>
                <w:sz w:val="20"/>
                <w:szCs w:val="20"/>
              </w:rPr>
            </w:pPr>
            <w:r w:rsidRPr="00267462">
              <w:rPr>
                <w:rFonts w:ascii="Arial Narrow" w:hAnsi="Arial Narrow"/>
                <w:sz w:val="20"/>
                <w:szCs w:val="20"/>
              </w:rPr>
              <w:t>2</w:t>
            </w:r>
          </w:p>
        </w:tc>
        <w:tc>
          <w:tcPr>
            <w:tcW w:w="473" w:type="pct"/>
            <w:tcMar>
              <w:left w:w="28" w:type="dxa"/>
              <w:right w:w="28" w:type="dxa"/>
            </w:tcMar>
          </w:tcPr>
          <w:p w:rsidR="00884BAA" w:rsidRPr="00267462" w:rsidRDefault="00884BAA" w:rsidP="00D309A1">
            <w:pPr>
              <w:widowControl/>
              <w:rPr>
                <w:rFonts w:ascii="Arial Narrow" w:hAnsi="Arial Narrow"/>
                <w:sz w:val="20"/>
                <w:szCs w:val="20"/>
              </w:rPr>
            </w:pPr>
            <w:r w:rsidRPr="00267462">
              <w:rPr>
                <w:rFonts w:ascii="Arial Narrow" w:hAnsi="Arial Narrow"/>
                <w:sz w:val="20"/>
                <w:szCs w:val="20"/>
              </w:rPr>
              <w:t>2</w:t>
            </w:r>
          </w:p>
        </w:tc>
        <w:tc>
          <w:tcPr>
            <w:tcW w:w="389" w:type="pct"/>
            <w:tcMar>
              <w:left w:w="28" w:type="dxa"/>
              <w:right w:w="28" w:type="dxa"/>
            </w:tcMar>
          </w:tcPr>
          <w:p w:rsidR="00884BAA" w:rsidRPr="00267462" w:rsidRDefault="00884BAA" w:rsidP="00D309A1">
            <w:pPr>
              <w:widowControl/>
              <w:rPr>
                <w:rFonts w:ascii="Arial Narrow" w:hAnsi="Arial Narrow"/>
                <w:sz w:val="20"/>
                <w:szCs w:val="20"/>
              </w:rPr>
            </w:pPr>
            <w:r w:rsidRPr="00267462">
              <w:rPr>
                <w:rFonts w:ascii="Arial Narrow" w:hAnsi="Arial Narrow"/>
                <w:sz w:val="20"/>
                <w:szCs w:val="20"/>
              </w:rPr>
              <w:t>3</w:t>
            </w:r>
          </w:p>
        </w:tc>
        <w:tc>
          <w:tcPr>
            <w:tcW w:w="3736" w:type="pct"/>
            <w:tcMar>
              <w:left w:w="28" w:type="dxa"/>
              <w:right w:w="28" w:type="dxa"/>
            </w:tcMar>
          </w:tcPr>
          <w:p w:rsidR="00884BAA" w:rsidRPr="00267462" w:rsidRDefault="00884BAA" w:rsidP="00D309A1">
            <w:pPr>
              <w:widowControl/>
              <w:rPr>
                <w:rFonts w:ascii="Arial Narrow" w:hAnsi="Arial Narrow"/>
                <w:sz w:val="20"/>
                <w:szCs w:val="20"/>
              </w:rPr>
            </w:pPr>
            <w:r w:rsidRPr="00267462">
              <w:rPr>
                <w:rFonts w:ascii="Arial Narrow" w:hAnsi="Arial Narrow"/>
                <w:sz w:val="20"/>
                <w:szCs w:val="20"/>
              </w:rPr>
              <w:t>More marked increase in muscle tone through most of the ROM, but affected part(s) easily moved</w:t>
            </w:r>
          </w:p>
        </w:tc>
      </w:tr>
      <w:tr w:rsidR="00884BAA" w:rsidRPr="00267462" w:rsidTr="00114B88">
        <w:tc>
          <w:tcPr>
            <w:tcW w:w="402" w:type="pct"/>
            <w:tcMar>
              <w:left w:w="28" w:type="dxa"/>
              <w:right w:w="28" w:type="dxa"/>
            </w:tcMar>
          </w:tcPr>
          <w:p w:rsidR="00884BAA" w:rsidRPr="00267462" w:rsidRDefault="00884BAA" w:rsidP="00D309A1">
            <w:pPr>
              <w:widowControl/>
              <w:rPr>
                <w:rFonts w:ascii="Arial Narrow" w:hAnsi="Arial Narrow"/>
                <w:sz w:val="20"/>
                <w:szCs w:val="20"/>
              </w:rPr>
            </w:pPr>
            <w:r w:rsidRPr="00267462">
              <w:rPr>
                <w:rFonts w:ascii="Arial Narrow" w:hAnsi="Arial Narrow"/>
                <w:sz w:val="20"/>
                <w:szCs w:val="20"/>
              </w:rPr>
              <w:t>3</w:t>
            </w:r>
          </w:p>
        </w:tc>
        <w:tc>
          <w:tcPr>
            <w:tcW w:w="473" w:type="pct"/>
            <w:tcMar>
              <w:left w:w="28" w:type="dxa"/>
              <w:right w:w="28" w:type="dxa"/>
            </w:tcMar>
          </w:tcPr>
          <w:p w:rsidR="00884BAA" w:rsidRPr="00267462" w:rsidRDefault="00884BAA" w:rsidP="00D309A1">
            <w:pPr>
              <w:widowControl/>
              <w:rPr>
                <w:rFonts w:ascii="Arial Narrow" w:hAnsi="Arial Narrow"/>
                <w:sz w:val="20"/>
                <w:szCs w:val="20"/>
              </w:rPr>
            </w:pPr>
            <w:r w:rsidRPr="00267462">
              <w:rPr>
                <w:rFonts w:ascii="Arial Narrow" w:hAnsi="Arial Narrow"/>
                <w:sz w:val="20"/>
                <w:szCs w:val="20"/>
              </w:rPr>
              <w:t>3</w:t>
            </w:r>
          </w:p>
        </w:tc>
        <w:tc>
          <w:tcPr>
            <w:tcW w:w="389" w:type="pct"/>
            <w:tcMar>
              <w:left w:w="28" w:type="dxa"/>
              <w:right w:w="28" w:type="dxa"/>
            </w:tcMar>
          </w:tcPr>
          <w:p w:rsidR="00884BAA" w:rsidRPr="00267462" w:rsidRDefault="00884BAA" w:rsidP="00D309A1">
            <w:pPr>
              <w:widowControl/>
              <w:rPr>
                <w:rFonts w:ascii="Arial Narrow" w:hAnsi="Arial Narrow"/>
                <w:sz w:val="20"/>
                <w:szCs w:val="20"/>
              </w:rPr>
            </w:pPr>
            <w:r w:rsidRPr="00267462">
              <w:rPr>
                <w:rFonts w:ascii="Arial Narrow" w:hAnsi="Arial Narrow"/>
                <w:sz w:val="20"/>
                <w:szCs w:val="20"/>
              </w:rPr>
              <w:t>4</w:t>
            </w:r>
          </w:p>
        </w:tc>
        <w:tc>
          <w:tcPr>
            <w:tcW w:w="3736" w:type="pct"/>
            <w:tcMar>
              <w:left w:w="28" w:type="dxa"/>
              <w:right w:w="28" w:type="dxa"/>
            </w:tcMar>
          </w:tcPr>
          <w:p w:rsidR="00884BAA" w:rsidRPr="00267462" w:rsidRDefault="00884BAA" w:rsidP="00D309A1">
            <w:pPr>
              <w:widowControl/>
              <w:rPr>
                <w:rFonts w:ascii="Arial Narrow" w:hAnsi="Arial Narrow"/>
                <w:sz w:val="20"/>
                <w:szCs w:val="20"/>
              </w:rPr>
            </w:pPr>
            <w:r w:rsidRPr="00267462">
              <w:rPr>
                <w:rFonts w:ascii="Arial Narrow" w:hAnsi="Arial Narrow"/>
                <w:sz w:val="20"/>
                <w:szCs w:val="20"/>
              </w:rPr>
              <w:t>Considerable increase in muscle tone, passive movement difficult</w:t>
            </w:r>
          </w:p>
        </w:tc>
      </w:tr>
      <w:tr w:rsidR="00884BAA" w:rsidRPr="00267462" w:rsidTr="00114B88">
        <w:tc>
          <w:tcPr>
            <w:tcW w:w="402" w:type="pct"/>
            <w:tcMar>
              <w:left w:w="28" w:type="dxa"/>
              <w:right w:w="28" w:type="dxa"/>
            </w:tcMar>
          </w:tcPr>
          <w:p w:rsidR="00884BAA" w:rsidRPr="00267462" w:rsidRDefault="00884BAA" w:rsidP="00D309A1">
            <w:pPr>
              <w:widowControl/>
              <w:rPr>
                <w:rFonts w:ascii="Arial Narrow" w:hAnsi="Arial Narrow"/>
                <w:sz w:val="20"/>
                <w:szCs w:val="20"/>
              </w:rPr>
            </w:pPr>
            <w:r w:rsidRPr="00267462">
              <w:rPr>
                <w:rFonts w:ascii="Arial Narrow" w:hAnsi="Arial Narrow"/>
                <w:sz w:val="20"/>
                <w:szCs w:val="20"/>
              </w:rPr>
              <w:t>4</w:t>
            </w:r>
          </w:p>
        </w:tc>
        <w:tc>
          <w:tcPr>
            <w:tcW w:w="473" w:type="pct"/>
            <w:tcMar>
              <w:left w:w="28" w:type="dxa"/>
              <w:right w:w="28" w:type="dxa"/>
            </w:tcMar>
          </w:tcPr>
          <w:p w:rsidR="00884BAA" w:rsidRPr="00267462" w:rsidRDefault="00884BAA" w:rsidP="00D309A1">
            <w:pPr>
              <w:widowControl/>
              <w:rPr>
                <w:rFonts w:ascii="Arial Narrow" w:hAnsi="Arial Narrow"/>
                <w:sz w:val="20"/>
                <w:szCs w:val="20"/>
              </w:rPr>
            </w:pPr>
            <w:r w:rsidRPr="00267462">
              <w:rPr>
                <w:rFonts w:ascii="Arial Narrow" w:hAnsi="Arial Narrow"/>
                <w:sz w:val="20"/>
                <w:szCs w:val="20"/>
              </w:rPr>
              <w:t>4</w:t>
            </w:r>
          </w:p>
        </w:tc>
        <w:tc>
          <w:tcPr>
            <w:tcW w:w="389" w:type="pct"/>
            <w:tcMar>
              <w:left w:w="28" w:type="dxa"/>
              <w:right w:w="28" w:type="dxa"/>
            </w:tcMar>
          </w:tcPr>
          <w:p w:rsidR="00884BAA" w:rsidRPr="00267462" w:rsidRDefault="00884BAA" w:rsidP="00D309A1">
            <w:pPr>
              <w:widowControl/>
              <w:rPr>
                <w:rFonts w:ascii="Arial Narrow" w:hAnsi="Arial Narrow"/>
                <w:sz w:val="20"/>
                <w:szCs w:val="20"/>
              </w:rPr>
            </w:pPr>
            <w:r w:rsidRPr="00267462">
              <w:rPr>
                <w:rFonts w:ascii="Arial Narrow" w:hAnsi="Arial Narrow"/>
                <w:sz w:val="20"/>
                <w:szCs w:val="20"/>
              </w:rPr>
              <w:t>5</w:t>
            </w:r>
          </w:p>
        </w:tc>
        <w:tc>
          <w:tcPr>
            <w:tcW w:w="3736" w:type="pct"/>
            <w:tcMar>
              <w:left w:w="28" w:type="dxa"/>
              <w:right w:w="28" w:type="dxa"/>
            </w:tcMar>
          </w:tcPr>
          <w:p w:rsidR="00884BAA" w:rsidRPr="00267462" w:rsidRDefault="00884BAA" w:rsidP="00D309A1">
            <w:pPr>
              <w:widowControl/>
              <w:rPr>
                <w:rFonts w:ascii="Arial Narrow" w:hAnsi="Arial Narrow"/>
                <w:sz w:val="20"/>
                <w:szCs w:val="20"/>
              </w:rPr>
            </w:pPr>
            <w:r w:rsidRPr="00267462">
              <w:rPr>
                <w:rFonts w:ascii="Arial Narrow" w:hAnsi="Arial Narrow"/>
                <w:sz w:val="20"/>
                <w:szCs w:val="20"/>
              </w:rPr>
              <w:t>Affected part(s) rigid in flexion or extension</w:t>
            </w:r>
          </w:p>
        </w:tc>
      </w:tr>
    </w:tbl>
    <w:p w:rsidR="0091496B" w:rsidRPr="00267462" w:rsidRDefault="0091496B" w:rsidP="00114B88">
      <w:pPr>
        <w:pStyle w:val="TableFooter"/>
      </w:pPr>
      <w:r w:rsidRPr="00267462">
        <w:t xml:space="preserve">Source: </w:t>
      </w:r>
      <w:r w:rsidR="00034ECD" w:rsidRPr="00267462">
        <w:t>Section 2.4.3.1, p76 of the submission</w:t>
      </w:r>
      <w:r w:rsidR="00884BAA" w:rsidRPr="00267462">
        <w:t xml:space="preserve"> and compiled during evaluation</w:t>
      </w:r>
    </w:p>
    <w:p w:rsidR="00034ECD" w:rsidRPr="00267462" w:rsidRDefault="00034ECD" w:rsidP="00114B88">
      <w:pPr>
        <w:pStyle w:val="TableFooter"/>
      </w:pPr>
    </w:p>
    <w:p w:rsidR="00884BAA" w:rsidRPr="00267462" w:rsidRDefault="00884BAA" w:rsidP="00D309A1">
      <w:pPr>
        <w:pStyle w:val="ListParagraph"/>
      </w:pPr>
      <w:r w:rsidRPr="00267462">
        <w:t xml:space="preserve">The historical coding convention for the MAS was used in this submission. The proposed PBS listing for </w:t>
      </w:r>
      <w:r w:rsidR="00B52200">
        <w:t>lower limb</w:t>
      </w:r>
      <w:r w:rsidR="00B52200" w:rsidRPr="00267462">
        <w:t xml:space="preserve"> </w:t>
      </w:r>
      <w:r w:rsidRPr="00267462">
        <w:t>spasticity is based on the historical coding convention. The ESC questioned whether the historical or the more recent ‘derived MAS’ coding convention was most commonly used in clinical practice and the implications of this for the requested restriction.</w:t>
      </w:r>
    </w:p>
    <w:p w:rsidR="000B33E1" w:rsidRPr="00A0088E" w:rsidRDefault="000E5FF9" w:rsidP="00BB0F30">
      <w:pPr>
        <w:pStyle w:val="ListParagraph"/>
      </w:pPr>
      <w:r w:rsidRPr="00A0088E">
        <w:t xml:space="preserve">The submission </w:t>
      </w:r>
      <w:r w:rsidR="00D95F34">
        <w:t xml:space="preserve">nominated a reduction of at least one point (MAS </w:t>
      </w:r>
      <w:r w:rsidR="00D95F34">
        <w:rPr>
          <w:rFonts w:cs="Calibri"/>
        </w:rPr>
        <w:t>≥</w:t>
      </w:r>
      <w:r w:rsidR="00D95F34">
        <w:t xml:space="preserve"> 1) at Week 4 to 6 to be the </w:t>
      </w:r>
      <w:r w:rsidR="000B33E1" w:rsidRPr="00A0088E">
        <w:t>minimal clinical</w:t>
      </w:r>
      <w:r w:rsidR="00BB0F30">
        <w:t>ly</w:t>
      </w:r>
      <w:r w:rsidR="000B33E1" w:rsidRPr="00A0088E">
        <w:t xml:space="preserve"> important difference (MCID)</w:t>
      </w:r>
      <w:r w:rsidR="00D95F34">
        <w:t>.</w:t>
      </w:r>
      <w:r w:rsidR="000B33E1" w:rsidRPr="00A0088E">
        <w:t xml:space="preserve"> </w:t>
      </w:r>
      <w:r w:rsidR="00D95F34">
        <w:rPr>
          <w:snapToGrid/>
          <w:lang w:eastAsia="en-AU"/>
        </w:rPr>
        <w:t>The</w:t>
      </w:r>
      <w:r w:rsidR="00D95F34" w:rsidRPr="00C5513D">
        <w:rPr>
          <w:snapToGrid/>
          <w:lang w:eastAsia="en-AU"/>
        </w:rPr>
        <w:t xml:space="preserve"> PBAC had previously considered the outcome of a decrease in MAS</w:t>
      </w:r>
      <w:r w:rsidR="00D95F34">
        <w:rPr>
          <w:snapToGrid/>
          <w:lang w:eastAsia="en-AU"/>
        </w:rPr>
        <w:t xml:space="preserve"> of </w:t>
      </w:r>
      <w:r w:rsidR="00D95F34" w:rsidRPr="003368CF">
        <w:rPr>
          <w:snapToGrid/>
          <w:lang w:eastAsia="en-AU"/>
        </w:rPr>
        <w:t>at least one</w:t>
      </w:r>
      <w:r w:rsidR="00D95F34" w:rsidRPr="00B66217">
        <w:rPr>
          <w:snapToGrid/>
          <w:lang w:eastAsia="en-AU"/>
        </w:rPr>
        <w:t xml:space="preserve"> </w:t>
      </w:r>
      <w:r w:rsidR="00D95F34">
        <w:rPr>
          <w:snapToGrid/>
          <w:lang w:eastAsia="en-AU"/>
        </w:rPr>
        <w:t>point,</w:t>
      </w:r>
      <w:r w:rsidR="00D95F34" w:rsidRPr="00C5513D">
        <w:rPr>
          <w:snapToGrid/>
          <w:lang w:eastAsia="en-AU"/>
        </w:rPr>
        <w:t xml:space="preserve"> in at least one joint</w:t>
      </w:r>
      <w:r w:rsidR="00D95F34">
        <w:rPr>
          <w:snapToGrid/>
          <w:lang w:eastAsia="en-AU"/>
        </w:rPr>
        <w:t>,</w:t>
      </w:r>
      <w:r w:rsidR="00D95F34" w:rsidRPr="00C5513D">
        <w:rPr>
          <w:snapToGrid/>
          <w:lang w:eastAsia="en-AU"/>
        </w:rPr>
        <w:t xml:space="preserve"> at Week 20 to be clinically significant</w:t>
      </w:r>
      <w:r w:rsidR="00AE0692">
        <w:rPr>
          <w:snapToGrid/>
          <w:lang w:eastAsia="en-AU"/>
        </w:rPr>
        <w:t xml:space="preserve"> when</w:t>
      </w:r>
      <w:r w:rsidR="00D95F34" w:rsidRPr="00C5513D">
        <w:rPr>
          <w:snapToGrid/>
          <w:lang w:eastAsia="en-AU"/>
        </w:rPr>
        <w:t xml:space="preserve"> MAS was supported by improvements in Goal Attainment Scale (GAS) and Global Assessment of Benefit (GAB) scores</w:t>
      </w:r>
      <w:r w:rsidR="00AE0692">
        <w:rPr>
          <w:snapToGrid/>
          <w:lang w:eastAsia="en-AU"/>
        </w:rPr>
        <w:t xml:space="preserve"> </w:t>
      </w:r>
      <w:r w:rsidR="00AE0692" w:rsidRPr="00C5513D">
        <w:rPr>
          <w:snapToGrid/>
          <w:lang w:eastAsia="en-AU"/>
        </w:rPr>
        <w:t>(</w:t>
      </w:r>
      <w:r w:rsidR="00AE0692">
        <w:rPr>
          <w:snapToGrid/>
          <w:lang w:eastAsia="en-AU"/>
        </w:rPr>
        <w:t xml:space="preserve">November 2007, </w:t>
      </w:r>
      <w:r w:rsidR="00AE0692" w:rsidRPr="00C5513D">
        <w:rPr>
          <w:snapToGrid/>
          <w:lang w:eastAsia="en-AU"/>
        </w:rPr>
        <w:t>Dysport® PSD</w:t>
      </w:r>
      <w:r w:rsidR="00AE0692">
        <w:rPr>
          <w:snapToGrid/>
          <w:lang w:eastAsia="en-AU"/>
        </w:rPr>
        <w:t>)</w:t>
      </w:r>
      <w:r w:rsidR="00D95F34" w:rsidRPr="00C5513D">
        <w:rPr>
          <w:snapToGrid/>
          <w:lang w:eastAsia="en-AU"/>
        </w:rPr>
        <w:t>.</w:t>
      </w:r>
      <w:r w:rsidR="00D95F34">
        <w:rPr>
          <w:snapToGrid/>
          <w:lang w:eastAsia="en-AU"/>
        </w:rPr>
        <w:t xml:space="preserve"> </w:t>
      </w:r>
      <w:r w:rsidR="00D95F34" w:rsidRPr="00C5513D">
        <w:rPr>
          <w:snapToGrid/>
          <w:lang w:eastAsia="en-AU"/>
        </w:rPr>
        <w:t>In an</w:t>
      </w:r>
      <w:r w:rsidR="00D95F34" w:rsidRPr="001A57E6">
        <w:rPr>
          <w:snapToGrid/>
          <w:lang w:eastAsia="en-AU"/>
        </w:rPr>
        <w:t xml:space="preserve"> earlier determination for </w:t>
      </w:r>
      <w:r w:rsidR="00D95F34">
        <w:rPr>
          <w:snapToGrid/>
          <w:lang w:eastAsia="en-AU"/>
        </w:rPr>
        <w:t>BOTOX®</w:t>
      </w:r>
      <w:r w:rsidR="00D95F34" w:rsidRPr="001A57E6">
        <w:rPr>
          <w:snapToGrid/>
          <w:lang w:eastAsia="en-AU"/>
        </w:rPr>
        <w:t>, the PBAC had considered a more stringent change from baseline of MAS</w:t>
      </w:r>
      <w:r w:rsidR="00D95F34">
        <w:rPr>
          <w:snapToGrid/>
          <w:lang w:eastAsia="en-AU"/>
        </w:rPr>
        <w:t xml:space="preserve"> </w:t>
      </w:r>
      <w:r w:rsidR="00D95F34" w:rsidRPr="001A57E6">
        <w:rPr>
          <w:snapToGrid/>
          <w:lang w:eastAsia="en-AU"/>
        </w:rPr>
        <w:t>≥2 to be meaningful as that was associated with improvement in limb function and hygiene on the Disability Assessment Scale (DAS) (</w:t>
      </w:r>
      <w:r w:rsidR="00D95F34">
        <w:rPr>
          <w:snapToGrid/>
          <w:lang w:eastAsia="en-AU"/>
        </w:rPr>
        <w:t>July 2006,</w:t>
      </w:r>
      <w:r w:rsidR="00D95F34" w:rsidRPr="001A57E6">
        <w:rPr>
          <w:snapToGrid/>
          <w:lang w:eastAsia="en-AU"/>
        </w:rPr>
        <w:t xml:space="preserve"> </w:t>
      </w:r>
      <w:r w:rsidR="00D95F34">
        <w:rPr>
          <w:snapToGrid/>
          <w:lang w:eastAsia="en-AU"/>
        </w:rPr>
        <w:t>BOTOX®</w:t>
      </w:r>
      <w:r w:rsidR="00D95F34" w:rsidRPr="001A57E6">
        <w:rPr>
          <w:snapToGrid/>
          <w:lang w:eastAsia="en-AU"/>
        </w:rPr>
        <w:t xml:space="preserve"> PSD).</w:t>
      </w:r>
      <w:r w:rsidR="00D95F34">
        <w:rPr>
          <w:snapToGrid/>
          <w:lang w:eastAsia="en-AU"/>
        </w:rPr>
        <w:t xml:space="preserve"> </w:t>
      </w:r>
      <w:r w:rsidR="00BB0F30">
        <w:rPr>
          <w:iCs/>
        </w:rPr>
        <w:t xml:space="preserve">The PBAC </w:t>
      </w:r>
      <w:r w:rsidR="00D95F34">
        <w:rPr>
          <w:iCs/>
        </w:rPr>
        <w:t>considered</w:t>
      </w:r>
      <w:r w:rsidR="00BB0F30">
        <w:rPr>
          <w:iCs/>
        </w:rPr>
        <w:t xml:space="preserve"> that a ≥</w:t>
      </w:r>
      <w:r w:rsidR="00D95F34">
        <w:rPr>
          <w:iCs/>
        </w:rPr>
        <w:t xml:space="preserve"> </w:t>
      </w:r>
      <w:r w:rsidR="00BB0F30">
        <w:rPr>
          <w:iCs/>
        </w:rPr>
        <w:t>1 point improvement in MAS, when accompanied by other functional outcomes such as goal attainment, would likely represent a clinically meaningful response.</w:t>
      </w:r>
    </w:p>
    <w:p w:rsidR="000B33E1" w:rsidRPr="00A0088E" w:rsidRDefault="000B33E1" w:rsidP="00D309A1">
      <w:pPr>
        <w:pStyle w:val="ListParagraph"/>
        <w:rPr>
          <w:iCs/>
        </w:rPr>
      </w:pPr>
      <w:r w:rsidRPr="00A0088E">
        <w:t>The submission nominated the MCID in walking speed (comfortable barefoot, 10</w:t>
      </w:r>
      <w:r w:rsidR="00BD3903" w:rsidRPr="00A0088E">
        <w:t xml:space="preserve"> </w:t>
      </w:r>
      <w:r w:rsidRPr="00A0088E">
        <w:t xml:space="preserve">m) for the PBS population </w:t>
      </w:r>
      <w:r w:rsidR="00D95F34">
        <w:t xml:space="preserve">to be </w:t>
      </w:r>
      <w:r w:rsidRPr="00A0088E">
        <w:t xml:space="preserve">an improvement from baseline of </w:t>
      </w:r>
      <w:r w:rsidR="007E13B8">
        <w:t>at least</w:t>
      </w:r>
      <w:r w:rsidR="00BD3903" w:rsidRPr="00A0088E">
        <w:t xml:space="preserve"> </w:t>
      </w:r>
      <w:r w:rsidRPr="00A0088E">
        <w:t>0.13</w:t>
      </w:r>
      <w:r w:rsidR="00BD3903" w:rsidRPr="00A0088E">
        <w:t xml:space="preserve"> </w:t>
      </w:r>
      <w:r w:rsidRPr="00A0088E">
        <w:t>m/s</w:t>
      </w:r>
      <w:r w:rsidR="007E13B8">
        <w:t xml:space="preserve">. This </w:t>
      </w:r>
      <w:r w:rsidR="007E13B8">
        <w:lastRenderedPageBreak/>
        <w:t>was based</w:t>
      </w:r>
      <w:r w:rsidRPr="00A0088E">
        <w:t xml:space="preserve"> on studies by Van Loo et al 2008, Bohannon et al 2013 and Middleton et al 2015.</w:t>
      </w:r>
      <w:r w:rsidR="00FA60DA">
        <w:t xml:space="preserve"> </w:t>
      </w:r>
      <w:r w:rsidRPr="00A0088E">
        <w:rPr>
          <w:iCs/>
        </w:rPr>
        <w:t xml:space="preserve">The validity of the nominated MCID was unclear given the studies used a variety of </w:t>
      </w:r>
      <w:r w:rsidRPr="00267462">
        <w:rPr>
          <w:iCs/>
        </w:rPr>
        <w:t>walking speed tests over different durations of rehabilitation.</w:t>
      </w:r>
      <w:r w:rsidR="00FA60DA" w:rsidRPr="00267462">
        <w:rPr>
          <w:iCs/>
        </w:rPr>
        <w:t xml:space="preserve"> </w:t>
      </w:r>
      <w:r w:rsidRPr="00267462">
        <w:rPr>
          <w:iCs/>
        </w:rPr>
        <w:t>Bohannon et al 2013 stated that it may be more useful if the MCIDs were determined for specific periods (e.g. acute, subacute, chronic) given the natural course of recovery after stroke.</w:t>
      </w:r>
      <w:r w:rsidR="00A558A4" w:rsidRPr="00267462">
        <w:rPr>
          <w:iCs/>
        </w:rPr>
        <w:t xml:space="preserve"> The PSCR conceded that the type of test used to estimate walking speed did vary between studies, but argued that the tests have been reported to have high reliability (Schivoletto et al 2011), and that the MCID nominated was the second highest from a literature review, with the highest </w:t>
      </w:r>
      <w:r w:rsidR="007E13B8">
        <w:rPr>
          <w:iCs/>
        </w:rPr>
        <w:t xml:space="preserve">being a </w:t>
      </w:r>
      <w:r w:rsidR="00A558A4" w:rsidRPr="00267462">
        <w:rPr>
          <w:iCs/>
        </w:rPr>
        <w:t>MCID of 0.18 m/s in patients with chronic stroke.</w:t>
      </w:r>
      <w:r w:rsidR="00EA764D" w:rsidRPr="00267462">
        <w:rPr>
          <w:iCs/>
        </w:rPr>
        <w:t xml:space="preserve"> The ESC considered that the relevance of the walking test in determining change in overall patient functionality </w:t>
      </w:r>
      <w:r w:rsidR="007E13B8">
        <w:rPr>
          <w:iCs/>
        </w:rPr>
        <w:t>was</w:t>
      </w:r>
      <w:r w:rsidR="00EA764D" w:rsidRPr="00267462">
        <w:rPr>
          <w:iCs/>
        </w:rPr>
        <w:t xml:space="preserve"> uncertain.</w:t>
      </w:r>
    </w:p>
    <w:p w:rsidR="00E46471" w:rsidRPr="00A0088E" w:rsidRDefault="00E46471" w:rsidP="00D309A1">
      <w:pPr>
        <w:pStyle w:val="ListParagraph"/>
      </w:pPr>
      <w:r w:rsidRPr="00A0088E">
        <w:t xml:space="preserve">Table </w:t>
      </w:r>
      <w:r w:rsidR="00BE7D28">
        <w:t>5</w:t>
      </w:r>
      <w:r w:rsidRPr="00A0088E">
        <w:t xml:space="preserve"> </w:t>
      </w:r>
      <w:r w:rsidR="00746B28" w:rsidRPr="00A0088E">
        <w:t xml:space="preserve">presents the </w:t>
      </w:r>
      <w:r w:rsidR="00680583" w:rsidRPr="00A0088E">
        <w:t xml:space="preserve">key efficacy outcomes </w:t>
      </w:r>
      <w:r w:rsidR="00C67A4E" w:rsidRPr="00A0088E">
        <w:t>reported in Study 140 (ITT)</w:t>
      </w:r>
      <w:r w:rsidR="002D36F9" w:rsidRPr="00A0088E">
        <w:t>.</w:t>
      </w:r>
      <w:r w:rsidR="00FA60DA">
        <w:t xml:space="preserve"> </w:t>
      </w:r>
    </w:p>
    <w:p w:rsidR="00746B28" w:rsidRPr="00267462" w:rsidRDefault="00746B28" w:rsidP="00D309A1">
      <w:pPr>
        <w:keepNext/>
        <w:widowControl/>
        <w:rPr>
          <w:rStyle w:val="CommentReference"/>
        </w:rPr>
      </w:pPr>
      <w:r w:rsidRPr="00267462">
        <w:rPr>
          <w:rStyle w:val="CommentReference"/>
        </w:rPr>
        <w:t xml:space="preserve">Table </w:t>
      </w:r>
      <w:r w:rsidR="00BE7D28" w:rsidRPr="00267462">
        <w:rPr>
          <w:rStyle w:val="CommentReference"/>
        </w:rPr>
        <w:t>5</w:t>
      </w:r>
      <w:r w:rsidRPr="00267462">
        <w:rPr>
          <w:rStyle w:val="CommentReference"/>
        </w:rPr>
        <w:t xml:space="preserve">: </w:t>
      </w:r>
      <w:r w:rsidR="00680583" w:rsidRPr="00267462">
        <w:rPr>
          <w:rStyle w:val="CommentReference"/>
        </w:rPr>
        <w:t xml:space="preserve">Key efficacy outcomes reported in Study </w:t>
      </w:r>
      <w:r w:rsidRPr="00267462">
        <w:rPr>
          <w:rStyle w:val="CommentReference"/>
        </w:rPr>
        <w:t>140 (ITT)</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87"/>
        <w:gridCol w:w="1232"/>
        <w:gridCol w:w="1233"/>
        <w:gridCol w:w="1233"/>
        <w:gridCol w:w="1325"/>
        <w:gridCol w:w="1327"/>
      </w:tblGrid>
      <w:tr w:rsidR="002A776B" w:rsidRPr="00267462" w:rsidTr="00680583">
        <w:tc>
          <w:tcPr>
            <w:tcW w:w="1487" w:type="pct"/>
            <w:vMerge w:val="restart"/>
            <w:vAlign w:val="center"/>
          </w:tcPr>
          <w:p w:rsidR="002A776B" w:rsidRPr="00267462" w:rsidRDefault="002A776B" w:rsidP="00D309A1">
            <w:pPr>
              <w:pStyle w:val="Tabletext"/>
              <w:keepNext/>
              <w:rPr>
                <w:b/>
              </w:rPr>
            </w:pPr>
          </w:p>
        </w:tc>
        <w:tc>
          <w:tcPr>
            <w:tcW w:w="682" w:type="pct"/>
            <w:vAlign w:val="center"/>
          </w:tcPr>
          <w:p w:rsidR="002A776B" w:rsidRPr="00267462" w:rsidRDefault="002A776B" w:rsidP="00D309A1">
            <w:pPr>
              <w:pStyle w:val="Tabletext"/>
              <w:keepNext/>
              <w:jc w:val="center"/>
              <w:rPr>
                <w:b/>
              </w:rPr>
            </w:pPr>
            <w:r w:rsidRPr="00267462">
              <w:rPr>
                <w:b/>
              </w:rPr>
              <w:t>Placebo</w:t>
            </w:r>
          </w:p>
        </w:tc>
        <w:tc>
          <w:tcPr>
            <w:tcW w:w="682" w:type="pct"/>
            <w:vAlign w:val="center"/>
          </w:tcPr>
          <w:p w:rsidR="002A776B" w:rsidRPr="00267462" w:rsidRDefault="00051CA9" w:rsidP="00D309A1">
            <w:pPr>
              <w:pStyle w:val="Tabletext"/>
              <w:keepNext/>
              <w:jc w:val="center"/>
              <w:rPr>
                <w:b/>
              </w:rPr>
            </w:pPr>
            <w:r w:rsidRPr="00267462">
              <w:rPr>
                <w:b/>
              </w:rPr>
              <w:t>Dysport</w:t>
            </w:r>
            <w:r w:rsidR="002A776B" w:rsidRPr="00267462">
              <w:rPr>
                <w:b/>
              </w:rPr>
              <w:t xml:space="preserve"> 1000U</w:t>
            </w:r>
          </w:p>
        </w:tc>
        <w:tc>
          <w:tcPr>
            <w:tcW w:w="682" w:type="pct"/>
            <w:vAlign w:val="center"/>
          </w:tcPr>
          <w:p w:rsidR="002A776B" w:rsidRPr="00267462" w:rsidRDefault="00051CA9" w:rsidP="00D309A1">
            <w:pPr>
              <w:pStyle w:val="Tabletext"/>
              <w:keepNext/>
              <w:jc w:val="center"/>
              <w:rPr>
                <w:b/>
              </w:rPr>
            </w:pPr>
            <w:r w:rsidRPr="00267462">
              <w:rPr>
                <w:b/>
              </w:rPr>
              <w:t>Dysport</w:t>
            </w:r>
            <w:r w:rsidR="002A776B" w:rsidRPr="00267462">
              <w:rPr>
                <w:b/>
              </w:rPr>
              <w:t xml:space="preserve"> 1500U</w:t>
            </w:r>
          </w:p>
        </w:tc>
        <w:tc>
          <w:tcPr>
            <w:tcW w:w="1466" w:type="pct"/>
            <w:gridSpan w:val="2"/>
            <w:vAlign w:val="center"/>
          </w:tcPr>
          <w:p w:rsidR="002A776B" w:rsidRPr="00267462" w:rsidRDefault="00051CA9" w:rsidP="00D309A1">
            <w:pPr>
              <w:pStyle w:val="Tabletext"/>
              <w:keepNext/>
              <w:jc w:val="center"/>
              <w:rPr>
                <w:b/>
                <w:bCs/>
              </w:rPr>
            </w:pPr>
            <w:r w:rsidRPr="00267462">
              <w:rPr>
                <w:b/>
                <w:bCs/>
              </w:rPr>
              <w:t>Dysport</w:t>
            </w:r>
            <w:r w:rsidR="002A776B" w:rsidRPr="00267462">
              <w:rPr>
                <w:b/>
                <w:bCs/>
              </w:rPr>
              <w:t xml:space="preserve"> vs placebo</w:t>
            </w:r>
          </w:p>
        </w:tc>
      </w:tr>
      <w:tr w:rsidR="00B4542F" w:rsidRPr="00267462" w:rsidTr="00680583">
        <w:tc>
          <w:tcPr>
            <w:tcW w:w="1487" w:type="pct"/>
            <w:vMerge/>
            <w:vAlign w:val="center"/>
          </w:tcPr>
          <w:p w:rsidR="00AF6950" w:rsidRPr="00267462" w:rsidRDefault="00AF6950" w:rsidP="00D309A1">
            <w:pPr>
              <w:pStyle w:val="Tabletext"/>
              <w:keepNext/>
              <w:rPr>
                <w:b/>
              </w:rPr>
            </w:pPr>
          </w:p>
        </w:tc>
        <w:tc>
          <w:tcPr>
            <w:tcW w:w="682" w:type="pct"/>
            <w:vAlign w:val="center"/>
          </w:tcPr>
          <w:p w:rsidR="00AF6950" w:rsidRPr="00267462" w:rsidRDefault="00AF6950" w:rsidP="00D309A1">
            <w:pPr>
              <w:pStyle w:val="Tabletext"/>
              <w:keepNext/>
              <w:jc w:val="center"/>
              <w:rPr>
                <w:b/>
              </w:rPr>
            </w:pPr>
            <w:r w:rsidRPr="00267462">
              <w:rPr>
                <w:b/>
              </w:rPr>
              <w:t>N=128</w:t>
            </w:r>
          </w:p>
        </w:tc>
        <w:tc>
          <w:tcPr>
            <w:tcW w:w="682" w:type="pct"/>
            <w:vAlign w:val="center"/>
          </w:tcPr>
          <w:p w:rsidR="00AF6950" w:rsidRPr="00267462" w:rsidRDefault="00AF6950" w:rsidP="00D309A1">
            <w:pPr>
              <w:pStyle w:val="Tabletext"/>
              <w:keepNext/>
              <w:jc w:val="center"/>
              <w:rPr>
                <w:b/>
              </w:rPr>
            </w:pPr>
            <w:r w:rsidRPr="00267462">
              <w:rPr>
                <w:b/>
              </w:rPr>
              <w:t>N=125</w:t>
            </w:r>
          </w:p>
        </w:tc>
        <w:tc>
          <w:tcPr>
            <w:tcW w:w="682" w:type="pct"/>
            <w:vAlign w:val="center"/>
          </w:tcPr>
          <w:p w:rsidR="00AF6950" w:rsidRPr="00267462" w:rsidRDefault="00AF6950" w:rsidP="00D309A1">
            <w:pPr>
              <w:pStyle w:val="Tabletext"/>
              <w:keepNext/>
              <w:jc w:val="center"/>
              <w:rPr>
                <w:b/>
              </w:rPr>
            </w:pPr>
            <w:r w:rsidRPr="00267462">
              <w:rPr>
                <w:b/>
              </w:rPr>
              <w:t>N=128</w:t>
            </w:r>
          </w:p>
        </w:tc>
        <w:tc>
          <w:tcPr>
            <w:tcW w:w="733" w:type="pct"/>
            <w:vAlign w:val="center"/>
          </w:tcPr>
          <w:p w:rsidR="00AF6950" w:rsidRPr="00267462" w:rsidRDefault="00AF6950" w:rsidP="00D309A1">
            <w:pPr>
              <w:pStyle w:val="Tabletext"/>
              <w:keepNext/>
              <w:jc w:val="center"/>
              <w:rPr>
                <w:b/>
              </w:rPr>
            </w:pPr>
            <w:r w:rsidRPr="00267462">
              <w:rPr>
                <w:b/>
              </w:rPr>
              <w:t>1000U</w:t>
            </w:r>
          </w:p>
        </w:tc>
        <w:tc>
          <w:tcPr>
            <w:tcW w:w="733" w:type="pct"/>
            <w:vAlign w:val="center"/>
          </w:tcPr>
          <w:p w:rsidR="00AF6950" w:rsidRPr="00267462" w:rsidRDefault="00AF6950" w:rsidP="00D309A1">
            <w:pPr>
              <w:pStyle w:val="Tabletext"/>
              <w:keepNext/>
              <w:jc w:val="center"/>
              <w:rPr>
                <w:b/>
              </w:rPr>
            </w:pPr>
            <w:r w:rsidRPr="00267462">
              <w:rPr>
                <w:b/>
              </w:rPr>
              <w:t>1500U</w:t>
            </w:r>
          </w:p>
        </w:tc>
      </w:tr>
      <w:tr w:rsidR="00AF6950" w:rsidRPr="00267462" w:rsidTr="00AF6950">
        <w:tc>
          <w:tcPr>
            <w:tcW w:w="5000" w:type="pct"/>
            <w:gridSpan w:val="6"/>
            <w:vAlign w:val="center"/>
          </w:tcPr>
          <w:p w:rsidR="00AF6950" w:rsidRPr="00267462" w:rsidRDefault="00AF6950" w:rsidP="00D309A1">
            <w:pPr>
              <w:pStyle w:val="Tabletext"/>
              <w:keepNext/>
              <w:rPr>
                <w:b/>
                <w:bCs/>
              </w:rPr>
            </w:pPr>
            <w:r w:rsidRPr="00267462">
              <w:rPr>
                <w:b/>
                <w:bCs/>
              </w:rPr>
              <w:t>Change in MAS</w:t>
            </w:r>
            <w:r w:rsidR="00680583" w:rsidRPr="00267462">
              <w:rPr>
                <w:b/>
                <w:bCs/>
              </w:rPr>
              <w:t xml:space="preserve"> in the GSC (knee extended)</w:t>
            </w:r>
            <w:r w:rsidRPr="00267462">
              <w:rPr>
                <w:b/>
                <w:bCs/>
              </w:rPr>
              <w:t xml:space="preserve"> from baseline</w:t>
            </w:r>
          </w:p>
        </w:tc>
      </w:tr>
      <w:tr w:rsidR="00B4542F" w:rsidRPr="00267462" w:rsidTr="00680583">
        <w:tc>
          <w:tcPr>
            <w:tcW w:w="1487" w:type="pct"/>
            <w:vAlign w:val="center"/>
          </w:tcPr>
          <w:p w:rsidR="002A776B" w:rsidRPr="00267462" w:rsidRDefault="002A776B" w:rsidP="00D309A1">
            <w:pPr>
              <w:pStyle w:val="Tabletext"/>
              <w:keepNext/>
            </w:pPr>
            <w:r w:rsidRPr="00267462">
              <w:t xml:space="preserve">LS mean </w:t>
            </w:r>
            <w:r w:rsidR="00AF6950" w:rsidRPr="00267462">
              <w:t xml:space="preserve">change </w:t>
            </w:r>
            <w:r w:rsidRPr="00267462">
              <w:t>(95% CI)</w:t>
            </w:r>
            <w:r w:rsidR="00680583" w:rsidRPr="00267462">
              <w:rPr>
                <w:vertAlign w:val="superscript"/>
              </w:rPr>
              <w:t>a</w:t>
            </w:r>
            <w:r w:rsidR="00AF6950" w:rsidRPr="00267462">
              <w:t>, Wk 4</w:t>
            </w:r>
          </w:p>
        </w:tc>
        <w:tc>
          <w:tcPr>
            <w:tcW w:w="682" w:type="pct"/>
            <w:shd w:val="clear" w:color="auto" w:fill="FFFFFF"/>
            <w:vAlign w:val="center"/>
          </w:tcPr>
          <w:p w:rsidR="002A776B" w:rsidRPr="00267462" w:rsidRDefault="002A776B" w:rsidP="00D309A1">
            <w:pPr>
              <w:pStyle w:val="Tabletext"/>
              <w:keepNext/>
              <w:jc w:val="center"/>
            </w:pPr>
            <w:r w:rsidRPr="00267462">
              <w:t>-0.5 (-0.7,-0.4)</w:t>
            </w:r>
          </w:p>
        </w:tc>
        <w:tc>
          <w:tcPr>
            <w:tcW w:w="682" w:type="pct"/>
            <w:shd w:val="clear" w:color="auto" w:fill="FFFFFF"/>
            <w:vAlign w:val="center"/>
          </w:tcPr>
          <w:p w:rsidR="002A776B" w:rsidRPr="00267462" w:rsidRDefault="002A776B" w:rsidP="00D309A1">
            <w:pPr>
              <w:pStyle w:val="Tabletext"/>
              <w:keepNext/>
              <w:jc w:val="center"/>
            </w:pPr>
            <w:r w:rsidRPr="00267462">
              <w:t>-0.6 (-0.8,-0.5)</w:t>
            </w:r>
          </w:p>
        </w:tc>
        <w:tc>
          <w:tcPr>
            <w:tcW w:w="682" w:type="pct"/>
            <w:shd w:val="clear" w:color="auto" w:fill="FFFFFF"/>
            <w:vAlign w:val="center"/>
          </w:tcPr>
          <w:p w:rsidR="002A776B" w:rsidRPr="00267462" w:rsidRDefault="002A776B" w:rsidP="00D309A1">
            <w:pPr>
              <w:pStyle w:val="Tabletext"/>
              <w:keepNext/>
              <w:jc w:val="center"/>
            </w:pPr>
            <w:r w:rsidRPr="00267462">
              <w:t>-0.8 (-0.9,-0.7)</w:t>
            </w:r>
          </w:p>
        </w:tc>
        <w:tc>
          <w:tcPr>
            <w:tcW w:w="733" w:type="pct"/>
            <w:shd w:val="clear" w:color="auto" w:fill="FFFFFF"/>
            <w:vAlign w:val="center"/>
          </w:tcPr>
          <w:p w:rsidR="002A776B" w:rsidRPr="00267462" w:rsidRDefault="002A776B" w:rsidP="00D309A1">
            <w:pPr>
              <w:pStyle w:val="Tabletext"/>
              <w:keepNext/>
              <w:jc w:val="center"/>
            </w:pPr>
            <w:r w:rsidRPr="00267462">
              <w:t>-0.1 (-0.3, 0.1),</w:t>
            </w:r>
          </w:p>
          <w:p w:rsidR="002A776B" w:rsidRPr="00267462" w:rsidRDefault="002A776B" w:rsidP="00D309A1">
            <w:pPr>
              <w:pStyle w:val="Tabletext"/>
              <w:keepNext/>
              <w:jc w:val="center"/>
            </w:pPr>
            <w:r w:rsidRPr="00267462">
              <w:t>p=0.2859</w:t>
            </w:r>
          </w:p>
        </w:tc>
        <w:tc>
          <w:tcPr>
            <w:tcW w:w="733" w:type="pct"/>
            <w:shd w:val="clear" w:color="auto" w:fill="FFFFFF"/>
            <w:vAlign w:val="center"/>
          </w:tcPr>
          <w:p w:rsidR="002A776B" w:rsidRPr="00267462" w:rsidRDefault="002A776B" w:rsidP="00D309A1">
            <w:pPr>
              <w:pStyle w:val="Tabletext"/>
              <w:keepNext/>
              <w:jc w:val="center"/>
              <w:rPr>
                <w:b/>
                <w:bCs/>
              </w:rPr>
            </w:pPr>
            <w:r w:rsidRPr="00267462">
              <w:rPr>
                <w:b/>
                <w:bCs/>
              </w:rPr>
              <w:t>-0.3 (-0.5,-0.1),</w:t>
            </w:r>
          </w:p>
          <w:p w:rsidR="002A776B" w:rsidRPr="00267462" w:rsidRDefault="002A776B" w:rsidP="00D309A1">
            <w:pPr>
              <w:pStyle w:val="Tabletext"/>
              <w:keepNext/>
              <w:jc w:val="center"/>
            </w:pPr>
            <w:r w:rsidRPr="00267462">
              <w:rPr>
                <w:b/>
                <w:bCs/>
              </w:rPr>
              <w:t>p=0.0091</w:t>
            </w:r>
          </w:p>
        </w:tc>
      </w:tr>
      <w:tr w:rsidR="00B4542F" w:rsidRPr="00267462" w:rsidTr="00680583">
        <w:tc>
          <w:tcPr>
            <w:tcW w:w="1487" w:type="pct"/>
            <w:vAlign w:val="center"/>
          </w:tcPr>
          <w:p w:rsidR="00AF6950" w:rsidRPr="00267462" w:rsidRDefault="00AF6950" w:rsidP="00D309A1">
            <w:pPr>
              <w:pStyle w:val="Tabletext"/>
              <w:keepNext/>
            </w:pPr>
            <w:r w:rsidRPr="00267462">
              <w:t>LS mean change (95% CI)</w:t>
            </w:r>
            <w:r w:rsidR="00680583" w:rsidRPr="00267462">
              <w:rPr>
                <w:vertAlign w:val="superscript"/>
              </w:rPr>
              <w:t xml:space="preserve"> a</w:t>
            </w:r>
            <w:r w:rsidRPr="00267462">
              <w:t>, Wk12</w:t>
            </w:r>
          </w:p>
        </w:tc>
        <w:tc>
          <w:tcPr>
            <w:tcW w:w="682" w:type="pct"/>
            <w:vAlign w:val="center"/>
          </w:tcPr>
          <w:p w:rsidR="00AF6950" w:rsidRPr="00267462" w:rsidRDefault="00AF6950" w:rsidP="00D309A1">
            <w:pPr>
              <w:pStyle w:val="Tabletext"/>
              <w:keepNext/>
              <w:jc w:val="center"/>
            </w:pPr>
            <w:r w:rsidRPr="00267462">
              <w:t>-0.4 (-0.5,-0.2)</w:t>
            </w:r>
          </w:p>
        </w:tc>
        <w:tc>
          <w:tcPr>
            <w:tcW w:w="682" w:type="pct"/>
            <w:shd w:val="clear" w:color="auto" w:fill="FFFFFF"/>
            <w:vAlign w:val="center"/>
          </w:tcPr>
          <w:p w:rsidR="00AF6950" w:rsidRPr="00267462" w:rsidRDefault="00AF6950" w:rsidP="00D309A1">
            <w:pPr>
              <w:pStyle w:val="Tabletext"/>
              <w:keepNext/>
              <w:jc w:val="center"/>
            </w:pPr>
            <w:r w:rsidRPr="00267462">
              <w:t>-0.4 (-0.5,-0.2)</w:t>
            </w:r>
          </w:p>
        </w:tc>
        <w:tc>
          <w:tcPr>
            <w:tcW w:w="682" w:type="pct"/>
            <w:shd w:val="clear" w:color="auto" w:fill="auto"/>
            <w:vAlign w:val="center"/>
          </w:tcPr>
          <w:p w:rsidR="00AF6950" w:rsidRPr="00267462" w:rsidRDefault="00AF6950" w:rsidP="00D309A1">
            <w:pPr>
              <w:pStyle w:val="Tabletext"/>
              <w:keepNext/>
              <w:jc w:val="center"/>
            </w:pPr>
            <w:r w:rsidRPr="00267462">
              <w:t>-0.6 (-0.7,-0.4)</w:t>
            </w:r>
          </w:p>
        </w:tc>
        <w:tc>
          <w:tcPr>
            <w:tcW w:w="733" w:type="pct"/>
            <w:shd w:val="clear" w:color="auto" w:fill="FFFFFF"/>
            <w:vAlign w:val="center"/>
          </w:tcPr>
          <w:p w:rsidR="00AF6950" w:rsidRPr="00267462" w:rsidRDefault="00AF6950" w:rsidP="00D309A1">
            <w:pPr>
              <w:pStyle w:val="Tabletext"/>
              <w:keepNext/>
              <w:jc w:val="center"/>
            </w:pPr>
            <w:r w:rsidRPr="00267462">
              <w:t>0.0 (-0.2,0.2), p=0.9536</w:t>
            </w:r>
          </w:p>
        </w:tc>
        <w:tc>
          <w:tcPr>
            <w:tcW w:w="733" w:type="pct"/>
            <w:shd w:val="clear" w:color="auto" w:fill="FFFFFF"/>
            <w:vAlign w:val="center"/>
          </w:tcPr>
          <w:p w:rsidR="00AF6950" w:rsidRPr="00267462" w:rsidRDefault="00AF6950" w:rsidP="00D309A1">
            <w:pPr>
              <w:pStyle w:val="Tabletext"/>
              <w:keepNext/>
              <w:jc w:val="center"/>
            </w:pPr>
            <w:r w:rsidRPr="00267462">
              <w:rPr>
                <w:b/>
                <w:bCs/>
              </w:rPr>
              <w:t>-0.2 (-0.4,0.0), p=0.0324</w:t>
            </w:r>
          </w:p>
        </w:tc>
      </w:tr>
      <w:tr w:rsidR="00B4542F" w:rsidRPr="00267462" w:rsidTr="00B4542F">
        <w:tc>
          <w:tcPr>
            <w:tcW w:w="5000" w:type="pct"/>
            <w:gridSpan w:val="6"/>
            <w:shd w:val="clear" w:color="auto" w:fill="auto"/>
            <w:vAlign w:val="center"/>
          </w:tcPr>
          <w:p w:rsidR="00B4542F" w:rsidRPr="00267462" w:rsidRDefault="00B4542F" w:rsidP="00D309A1">
            <w:pPr>
              <w:pStyle w:val="Tabletext"/>
              <w:keepNext/>
              <w:rPr>
                <w:b/>
                <w:bCs/>
              </w:rPr>
            </w:pPr>
            <w:r w:rsidRPr="00267462">
              <w:rPr>
                <w:b/>
                <w:bCs/>
              </w:rPr>
              <w:t>MAS responder (≥1 grade reduction in MAS</w:t>
            </w:r>
            <w:r w:rsidR="00680583" w:rsidRPr="00267462">
              <w:rPr>
                <w:b/>
                <w:bCs/>
              </w:rPr>
              <w:t xml:space="preserve"> in the GSC, knee extended</w:t>
            </w:r>
            <w:r w:rsidRPr="00267462">
              <w:rPr>
                <w:b/>
                <w:bCs/>
              </w:rPr>
              <w:t>)</w:t>
            </w:r>
          </w:p>
        </w:tc>
      </w:tr>
      <w:tr w:rsidR="00B4542F" w:rsidRPr="00267462" w:rsidTr="00680583">
        <w:tc>
          <w:tcPr>
            <w:tcW w:w="1487" w:type="pct"/>
            <w:vAlign w:val="center"/>
          </w:tcPr>
          <w:p w:rsidR="00AF6950" w:rsidRPr="00267462" w:rsidRDefault="00AF6950" w:rsidP="00D309A1">
            <w:pPr>
              <w:pStyle w:val="Tabletext"/>
              <w:keepNext/>
            </w:pPr>
            <w:r w:rsidRPr="00267462">
              <w:t>Responder n (%)</w:t>
            </w:r>
            <w:r w:rsidR="00680583" w:rsidRPr="00267462">
              <w:rPr>
                <w:vertAlign w:val="superscript"/>
              </w:rPr>
              <w:t>b</w:t>
            </w:r>
            <w:r w:rsidRPr="00267462">
              <w:t xml:space="preserve">, Wk4 </w:t>
            </w:r>
          </w:p>
        </w:tc>
        <w:tc>
          <w:tcPr>
            <w:tcW w:w="682" w:type="pct"/>
            <w:vAlign w:val="center"/>
          </w:tcPr>
          <w:p w:rsidR="00AF6950" w:rsidRPr="00267462" w:rsidRDefault="00AF6950" w:rsidP="00D309A1">
            <w:pPr>
              <w:pStyle w:val="Tabletext"/>
              <w:keepNext/>
              <w:jc w:val="center"/>
            </w:pPr>
            <w:r w:rsidRPr="00267462">
              <w:t>47 (36.7</w:t>
            </w:r>
            <w:r w:rsidR="00D95F34">
              <w:t>%</w:t>
            </w:r>
            <w:r w:rsidRPr="00267462">
              <w:t>)</w:t>
            </w:r>
          </w:p>
        </w:tc>
        <w:tc>
          <w:tcPr>
            <w:tcW w:w="682" w:type="pct"/>
            <w:shd w:val="clear" w:color="auto" w:fill="FFFFFF"/>
            <w:vAlign w:val="center"/>
          </w:tcPr>
          <w:p w:rsidR="00AF6950" w:rsidRPr="00267462" w:rsidRDefault="00AF6950" w:rsidP="00D309A1">
            <w:pPr>
              <w:pStyle w:val="Tabletext"/>
              <w:keepNext/>
              <w:jc w:val="center"/>
            </w:pPr>
            <w:r w:rsidRPr="00267462">
              <w:t>53 (42.4</w:t>
            </w:r>
            <w:r w:rsidR="00D95F34">
              <w:t>%</w:t>
            </w:r>
            <w:r w:rsidRPr="00267462">
              <w:t>)</w:t>
            </w:r>
          </w:p>
        </w:tc>
        <w:tc>
          <w:tcPr>
            <w:tcW w:w="682" w:type="pct"/>
            <w:shd w:val="clear" w:color="auto" w:fill="auto"/>
            <w:vAlign w:val="center"/>
          </w:tcPr>
          <w:p w:rsidR="00AF6950" w:rsidRPr="00267462" w:rsidRDefault="00AF6950" w:rsidP="00D309A1">
            <w:pPr>
              <w:pStyle w:val="Tabletext"/>
              <w:keepNext/>
              <w:jc w:val="center"/>
            </w:pPr>
            <w:r w:rsidRPr="00267462">
              <w:t>60 (46.9</w:t>
            </w:r>
            <w:r w:rsidR="00D95F34">
              <w:t>%</w:t>
            </w:r>
            <w:r w:rsidRPr="00267462">
              <w:t>)</w:t>
            </w:r>
          </w:p>
        </w:tc>
        <w:tc>
          <w:tcPr>
            <w:tcW w:w="733" w:type="pct"/>
            <w:shd w:val="clear" w:color="auto" w:fill="FFFFFF"/>
            <w:vAlign w:val="center"/>
          </w:tcPr>
          <w:p w:rsidR="00AF6950" w:rsidRPr="00267462" w:rsidRDefault="00AF6950" w:rsidP="00D309A1">
            <w:pPr>
              <w:pStyle w:val="Tabletext"/>
              <w:keepNext/>
              <w:jc w:val="center"/>
            </w:pPr>
            <w:r w:rsidRPr="00267462">
              <w:t>p=0.2228</w:t>
            </w:r>
          </w:p>
        </w:tc>
        <w:tc>
          <w:tcPr>
            <w:tcW w:w="733" w:type="pct"/>
            <w:shd w:val="clear" w:color="auto" w:fill="FFFFFF"/>
            <w:vAlign w:val="center"/>
          </w:tcPr>
          <w:p w:rsidR="00AF6950" w:rsidRPr="00267462" w:rsidRDefault="00AF6950" w:rsidP="00D309A1">
            <w:pPr>
              <w:pStyle w:val="Tabletext"/>
              <w:keepNext/>
              <w:jc w:val="center"/>
            </w:pPr>
            <w:r w:rsidRPr="00267462">
              <w:t>p=0.0527</w:t>
            </w:r>
          </w:p>
        </w:tc>
      </w:tr>
      <w:tr w:rsidR="00AF6950" w:rsidRPr="00267462" w:rsidTr="00680583">
        <w:tc>
          <w:tcPr>
            <w:tcW w:w="1487" w:type="pct"/>
            <w:vAlign w:val="center"/>
          </w:tcPr>
          <w:p w:rsidR="00AF6950" w:rsidRPr="00267462" w:rsidRDefault="00AF6950" w:rsidP="00D309A1">
            <w:pPr>
              <w:pStyle w:val="Tabletext"/>
              <w:keepNext/>
            </w:pPr>
            <w:r w:rsidRPr="00267462">
              <w:t>Responder n (%)</w:t>
            </w:r>
            <w:r w:rsidR="00680583" w:rsidRPr="00267462">
              <w:rPr>
                <w:vertAlign w:val="superscript"/>
              </w:rPr>
              <w:t>b</w:t>
            </w:r>
            <w:r w:rsidRPr="00267462">
              <w:t>, Wk12</w:t>
            </w:r>
          </w:p>
        </w:tc>
        <w:tc>
          <w:tcPr>
            <w:tcW w:w="682" w:type="pct"/>
            <w:vAlign w:val="center"/>
          </w:tcPr>
          <w:p w:rsidR="00AF6950" w:rsidRPr="00267462" w:rsidRDefault="00AF6950" w:rsidP="00D309A1">
            <w:pPr>
              <w:pStyle w:val="Tabletext"/>
              <w:keepNext/>
              <w:jc w:val="center"/>
            </w:pPr>
            <w:r w:rsidRPr="00267462">
              <w:t>36 (28.1</w:t>
            </w:r>
            <w:r w:rsidR="00D95F34">
              <w:t>%</w:t>
            </w:r>
            <w:r w:rsidRPr="00267462">
              <w:t>)</w:t>
            </w:r>
          </w:p>
        </w:tc>
        <w:tc>
          <w:tcPr>
            <w:tcW w:w="682" w:type="pct"/>
            <w:shd w:val="clear" w:color="auto" w:fill="FFFFFF"/>
            <w:vAlign w:val="center"/>
          </w:tcPr>
          <w:p w:rsidR="00AF6950" w:rsidRPr="00267462" w:rsidRDefault="00AF6950" w:rsidP="00D309A1">
            <w:pPr>
              <w:pStyle w:val="Tabletext"/>
              <w:keepNext/>
              <w:jc w:val="center"/>
            </w:pPr>
            <w:r w:rsidRPr="00267462">
              <w:t>33 (26.4</w:t>
            </w:r>
            <w:r w:rsidR="00D95F34">
              <w:t>%</w:t>
            </w:r>
            <w:r w:rsidRPr="00267462">
              <w:t>)</w:t>
            </w:r>
          </w:p>
        </w:tc>
        <w:tc>
          <w:tcPr>
            <w:tcW w:w="682" w:type="pct"/>
            <w:shd w:val="clear" w:color="auto" w:fill="auto"/>
            <w:vAlign w:val="center"/>
          </w:tcPr>
          <w:p w:rsidR="00AF6950" w:rsidRPr="00267462" w:rsidRDefault="00AF6950" w:rsidP="00D309A1">
            <w:pPr>
              <w:pStyle w:val="Tabletext"/>
              <w:keepNext/>
              <w:jc w:val="center"/>
            </w:pPr>
            <w:r w:rsidRPr="00267462">
              <w:t>42 (32.8</w:t>
            </w:r>
            <w:r w:rsidR="00D95F34">
              <w:t>%</w:t>
            </w:r>
            <w:r w:rsidRPr="00267462">
              <w:t>)</w:t>
            </w:r>
          </w:p>
        </w:tc>
        <w:tc>
          <w:tcPr>
            <w:tcW w:w="733" w:type="pct"/>
            <w:shd w:val="clear" w:color="auto" w:fill="FFFFFF"/>
            <w:vAlign w:val="center"/>
          </w:tcPr>
          <w:p w:rsidR="00AF6950" w:rsidRPr="00267462" w:rsidRDefault="00AF6950" w:rsidP="00D309A1">
            <w:pPr>
              <w:pStyle w:val="Tabletext"/>
              <w:keepNext/>
              <w:jc w:val="center"/>
            </w:pPr>
            <w:r w:rsidRPr="00267462">
              <w:t>p=0.9761</w:t>
            </w:r>
          </w:p>
        </w:tc>
        <w:tc>
          <w:tcPr>
            <w:tcW w:w="733" w:type="pct"/>
            <w:shd w:val="clear" w:color="auto" w:fill="FFFFFF"/>
            <w:vAlign w:val="center"/>
          </w:tcPr>
          <w:p w:rsidR="00AF6950" w:rsidRPr="00267462" w:rsidRDefault="00AF6950" w:rsidP="00D309A1">
            <w:pPr>
              <w:pStyle w:val="Tabletext"/>
              <w:keepNext/>
              <w:jc w:val="center"/>
            </w:pPr>
            <w:r w:rsidRPr="00267462">
              <w:t>p=0.2459</w:t>
            </w:r>
          </w:p>
        </w:tc>
      </w:tr>
      <w:tr w:rsidR="00B4542F" w:rsidRPr="00267462" w:rsidTr="00B4542F">
        <w:tc>
          <w:tcPr>
            <w:tcW w:w="5000" w:type="pct"/>
            <w:gridSpan w:val="6"/>
            <w:vAlign w:val="center"/>
          </w:tcPr>
          <w:p w:rsidR="00B4542F" w:rsidRPr="00267462" w:rsidRDefault="00B4542F" w:rsidP="00D309A1">
            <w:pPr>
              <w:pStyle w:val="Tabletext"/>
              <w:keepNext/>
              <w:rPr>
                <w:b/>
                <w:bCs/>
              </w:rPr>
            </w:pPr>
            <w:r w:rsidRPr="00267462">
              <w:rPr>
                <w:b/>
                <w:bCs/>
              </w:rPr>
              <w:t>PGA score</w:t>
            </w:r>
          </w:p>
        </w:tc>
      </w:tr>
      <w:tr w:rsidR="00B4542F" w:rsidRPr="00267462" w:rsidTr="00680583">
        <w:tc>
          <w:tcPr>
            <w:tcW w:w="1487" w:type="pct"/>
            <w:vAlign w:val="center"/>
          </w:tcPr>
          <w:p w:rsidR="00B4542F" w:rsidRPr="00267462" w:rsidRDefault="00B4542F" w:rsidP="00D309A1">
            <w:pPr>
              <w:pStyle w:val="Tabletext"/>
              <w:keepNext/>
            </w:pPr>
            <w:r w:rsidRPr="00267462">
              <w:t>n</w:t>
            </w:r>
          </w:p>
        </w:tc>
        <w:tc>
          <w:tcPr>
            <w:tcW w:w="682" w:type="pct"/>
            <w:vAlign w:val="center"/>
          </w:tcPr>
          <w:p w:rsidR="00B4542F" w:rsidRPr="00267462" w:rsidRDefault="00B4542F" w:rsidP="00D309A1">
            <w:pPr>
              <w:pStyle w:val="Tabletext"/>
              <w:keepNext/>
              <w:jc w:val="center"/>
            </w:pPr>
            <w:r w:rsidRPr="00267462">
              <w:t>n=128</w:t>
            </w:r>
          </w:p>
        </w:tc>
        <w:tc>
          <w:tcPr>
            <w:tcW w:w="682" w:type="pct"/>
            <w:shd w:val="clear" w:color="auto" w:fill="FFFFFF"/>
            <w:vAlign w:val="center"/>
          </w:tcPr>
          <w:p w:rsidR="00B4542F" w:rsidRPr="00267462" w:rsidRDefault="00B4542F" w:rsidP="00D309A1">
            <w:pPr>
              <w:pStyle w:val="Tabletext"/>
              <w:keepNext/>
              <w:jc w:val="center"/>
            </w:pPr>
            <w:r w:rsidRPr="00267462">
              <w:t>n=124</w:t>
            </w:r>
          </w:p>
        </w:tc>
        <w:tc>
          <w:tcPr>
            <w:tcW w:w="682" w:type="pct"/>
            <w:shd w:val="clear" w:color="auto" w:fill="FFFFFF"/>
            <w:vAlign w:val="center"/>
          </w:tcPr>
          <w:p w:rsidR="00B4542F" w:rsidRPr="00267462" w:rsidRDefault="00B4542F" w:rsidP="00D309A1">
            <w:pPr>
              <w:pStyle w:val="Tabletext"/>
              <w:keepNext/>
              <w:jc w:val="center"/>
            </w:pPr>
            <w:r w:rsidRPr="00267462">
              <w:t>n=125</w:t>
            </w:r>
          </w:p>
        </w:tc>
        <w:tc>
          <w:tcPr>
            <w:tcW w:w="1466" w:type="pct"/>
            <w:gridSpan w:val="2"/>
            <w:shd w:val="clear" w:color="auto" w:fill="FFFFFF"/>
            <w:vAlign w:val="center"/>
          </w:tcPr>
          <w:p w:rsidR="00B4542F" w:rsidRPr="00267462" w:rsidRDefault="00B4542F" w:rsidP="00D309A1">
            <w:pPr>
              <w:pStyle w:val="Tabletext"/>
              <w:keepNext/>
              <w:jc w:val="center"/>
            </w:pPr>
            <w:r w:rsidRPr="00267462">
              <w:t>-</w:t>
            </w:r>
          </w:p>
        </w:tc>
      </w:tr>
      <w:tr w:rsidR="00B4542F" w:rsidRPr="00267462" w:rsidTr="00680583">
        <w:tc>
          <w:tcPr>
            <w:tcW w:w="1487" w:type="pct"/>
            <w:vAlign w:val="center"/>
          </w:tcPr>
          <w:p w:rsidR="00AF6950" w:rsidRPr="00267462" w:rsidRDefault="00AF6950" w:rsidP="00D309A1">
            <w:pPr>
              <w:pStyle w:val="Tabletext"/>
              <w:keepNext/>
              <w:rPr>
                <w:szCs w:val="20"/>
              </w:rPr>
            </w:pPr>
            <w:r w:rsidRPr="00267462">
              <w:rPr>
                <w:szCs w:val="20"/>
              </w:rPr>
              <w:t>LS mean (95% CI)</w:t>
            </w:r>
            <w:r w:rsidR="00B4542F" w:rsidRPr="00267462">
              <w:rPr>
                <w:szCs w:val="20"/>
                <w:vertAlign w:val="superscript"/>
              </w:rPr>
              <w:t>a</w:t>
            </w:r>
            <w:r w:rsidRPr="00267462">
              <w:rPr>
                <w:szCs w:val="20"/>
              </w:rPr>
              <w:t>, Wk4</w:t>
            </w:r>
          </w:p>
        </w:tc>
        <w:tc>
          <w:tcPr>
            <w:tcW w:w="682" w:type="pct"/>
            <w:vAlign w:val="center"/>
          </w:tcPr>
          <w:p w:rsidR="00AF6950" w:rsidRPr="00267462" w:rsidRDefault="00AF6950" w:rsidP="00D309A1">
            <w:pPr>
              <w:pStyle w:val="Tabletext"/>
              <w:keepNext/>
              <w:jc w:val="center"/>
              <w:rPr>
                <w:szCs w:val="20"/>
              </w:rPr>
            </w:pPr>
            <w:r w:rsidRPr="00267462">
              <w:rPr>
                <w:szCs w:val="20"/>
              </w:rPr>
              <w:t>0.7 (0.5, 0.9)</w:t>
            </w:r>
          </w:p>
        </w:tc>
        <w:tc>
          <w:tcPr>
            <w:tcW w:w="682" w:type="pct"/>
            <w:vAlign w:val="center"/>
          </w:tcPr>
          <w:p w:rsidR="00AF6950" w:rsidRPr="00267462" w:rsidRDefault="00AF6950" w:rsidP="00D309A1">
            <w:pPr>
              <w:pStyle w:val="Tabletext"/>
              <w:keepNext/>
              <w:jc w:val="center"/>
              <w:rPr>
                <w:szCs w:val="20"/>
              </w:rPr>
            </w:pPr>
            <w:r w:rsidRPr="00267462">
              <w:rPr>
                <w:szCs w:val="20"/>
              </w:rPr>
              <w:t>0.9 (0.7, 1.1)</w:t>
            </w:r>
          </w:p>
        </w:tc>
        <w:tc>
          <w:tcPr>
            <w:tcW w:w="682" w:type="pct"/>
            <w:vAlign w:val="center"/>
          </w:tcPr>
          <w:p w:rsidR="00AF6950" w:rsidRPr="00267462" w:rsidRDefault="00AF6950" w:rsidP="00D309A1">
            <w:pPr>
              <w:pStyle w:val="Tabletext"/>
              <w:keepNext/>
              <w:jc w:val="center"/>
              <w:rPr>
                <w:szCs w:val="20"/>
              </w:rPr>
            </w:pPr>
            <w:r w:rsidRPr="00267462">
              <w:rPr>
                <w:szCs w:val="20"/>
              </w:rPr>
              <w:t>0.9 (0.7, 1.1)</w:t>
            </w:r>
          </w:p>
        </w:tc>
        <w:tc>
          <w:tcPr>
            <w:tcW w:w="733" w:type="pct"/>
            <w:vAlign w:val="center"/>
          </w:tcPr>
          <w:p w:rsidR="00AF6950" w:rsidRPr="00267462" w:rsidRDefault="00AF6950" w:rsidP="00D309A1">
            <w:pPr>
              <w:pStyle w:val="Tabletext"/>
              <w:keepNext/>
              <w:jc w:val="center"/>
              <w:rPr>
                <w:szCs w:val="20"/>
              </w:rPr>
            </w:pPr>
            <w:r w:rsidRPr="00267462">
              <w:rPr>
                <w:szCs w:val="20"/>
              </w:rPr>
              <w:t xml:space="preserve">0.3 (0.0, 0.5), </w:t>
            </w:r>
          </w:p>
          <w:p w:rsidR="00AF6950" w:rsidRPr="00267462" w:rsidRDefault="00AF6950" w:rsidP="00D309A1">
            <w:pPr>
              <w:pStyle w:val="Tabletext"/>
              <w:keepNext/>
              <w:jc w:val="center"/>
              <w:rPr>
                <w:szCs w:val="20"/>
              </w:rPr>
            </w:pPr>
            <w:r w:rsidRPr="00267462">
              <w:rPr>
                <w:szCs w:val="20"/>
              </w:rPr>
              <w:t>p=0.0640</w:t>
            </w:r>
          </w:p>
        </w:tc>
        <w:tc>
          <w:tcPr>
            <w:tcW w:w="733" w:type="pct"/>
            <w:vAlign w:val="center"/>
          </w:tcPr>
          <w:p w:rsidR="00AF6950" w:rsidRPr="00267462" w:rsidRDefault="00AF6950" w:rsidP="00D309A1">
            <w:pPr>
              <w:pStyle w:val="Tabletext"/>
              <w:keepNext/>
              <w:jc w:val="center"/>
              <w:rPr>
                <w:szCs w:val="20"/>
              </w:rPr>
            </w:pPr>
            <w:r w:rsidRPr="00267462">
              <w:rPr>
                <w:szCs w:val="20"/>
              </w:rPr>
              <w:t>0.3 (0.0, 0.5),</w:t>
            </w:r>
          </w:p>
          <w:p w:rsidR="00AF6950" w:rsidRPr="00267462" w:rsidRDefault="00AF6950" w:rsidP="00D309A1">
            <w:pPr>
              <w:pStyle w:val="Tabletext"/>
              <w:keepNext/>
              <w:jc w:val="center"/>
              <w:rPr>
                <w:szCs w:val="20"/>
              </w:rPr>
            </w:pPr>
            <w:r w:rsidRPr="00267462">
              <w:rPr>
                <w:szCs w:val="20"/>
              </w:rPr>
              <w:t>p=0.0665</w:t>
            </w:r>
          </w:p>
        </w:tc>
      </w:tr>
      <w:tr w:rsidR="00B4542F" w:rsidRPr="00267462" w:rsidTr="00680583">
        <w:tc>
          <w:tcPr>
            <w:tcW w:w="1487" w:type="pct"/>
            <w:vAlign w:val="center"/>
          </w:tcPr>
          <w:p w:rsidR="00AF6950" w:rsidRPr="00267462" w:rsidRDefault="00AF6950" w:rsidP="00D309A1">
            <w:pPr>
              <w:pStyle w:val="Tabletext"/>
              <w:keepNext/>
              <w:rPr>
                <w:szCs w:val="20"/>
              </w:rPr>
            </w:pPr>
            <w:r w:rsidRPr="00267462">
              <w:rPr>
                <w:szCs w:val="20"/>
              </w:rPr>
              <w:t>LS mean</w:t>
            </w:r>
            <w:r w:rsidR="00680583" w:rsidRPr="00267462">
              <w:rPr>
                <w:szCs w:val="20"/>
                <w:vertAlign w:val="superscript"/>
              </w:rPr>
              <w:t>c</w:t>
            </w:r>
            <w:r w:rsidRPr="00267462">
              <w:rPr>
                <w:szCs w:val="20"/>
              </w:rPr>
              <w:t xml:space="preserve">, ranked values back transformed to </w:t>
            </w:r>
            <w:r w:rsidRPr="00267462">
              <w:t>original</w:t>
            </w:r>
            <w:r w:rsidR="001A0CB2" w:rsidRPr="00267462">
              <w:rPr>
                <w:szCs w:val="20"/>
              </w:rPr>
              <w:t xml:space="preserve"> scale, Wk4</w:t>
            </w:r>
          </w:p>
        </w:tc>
        <w:tc>
          <w:tcPr>
            <w:tcW w:w="682" w:type="pct"/>
            <w:vAlign w:val="center"/>
          </w:tcPr>
          <w:p w:rsidR="00AF6950" w:rsidRPr="00267462" w:rsidRDefault="00AF6950" w:rsidP="00D309A1">
            <w:pPr>
              <w:pStyle w:val="Tabletext"/>
              <w:keepNext/>
              <w:jc w:val="center"/>
              <w:rPr>
                <w:szCs w:val="20"/>
              </w:rPr>
            </w:pPr>
            <w:r w:rsidRPr="00267462">
              <w:rPr>
                <w:szCs w:val="20"/>
              </w:rPr>
              <w:t>0.6 (NR)</w:t>
            </w:r>
          </w:p>
        </w:tc>
        <w:tc>
          <w:tcPr>
            <w:tcW w:w="682" w:type="pct"/>
            <w:vAlign w:val="center"/>
          </w:tcPr>
          <w:p w:rsidR="00AF6950" w:rsidRPr="00267462" w:rsidRDefault="00AF6950" w:rsidP="00D309A1">
            <w:pPr>
              <w:pStyle w:val="Tabletext"/>
              <w:keepNext/>
              <w:jc w:val="center"/>
              <w:rPr>
                <w:szCs w:val="20"/>
              </w:rPr>
            </w:pPr>
            <w:r w:rsidRPr="00267462">
              <w:rPr>
                <w:szCs w:val="20"/>
              </w:rPr>
              <w:t>0.8 (NR)</w:t>
            </w:r>
          </w:p>
        </w:tc>
        <w:tc>
          <w:tcPr>
            <w:tcW w:w="682" w:type="pct"/>
            <w:vAlign w:val="center"/>
          </w:tcPr>
          <w:p w:rsidR="00AF6950" w:rsidRPr="00267462" w:rsidRDefault="00AF6950" w:rsidP="00D309A1">
            <w:pPr>
              <w:pStyle w:val="Tabletext"/>
              <w:keepNext/>
              <w:jc w:val="center"/>
              <w:rPr>
                <w:szCs w:val="20"/>
              </w:rPr>
            </w:pPr>
            <w:r w:rsidRPr="00267462">
              <w:rPr>
                <w:szCs w:val="20"/>
              </w:rPr>
              <w:t>0.8 (NR)</w:t>
            </w:r>
          </w:p>
        </w:tc>
        <w:tc>
          <w:tcPr>
            <w:tcW w:w="733" w:type="pct"/>
            <w:shd w:val="clear" w:color="auto" w:fill="auto"/>
            <w:vAlign w:val="center"/>
          </w:tcPr>
          <w:p w:rsidR="00AF6950" w:rsidRPr="00267462" w:rsidRDefault="00AF6950" w:rsidP="00D309A1">
            <w:pPr>
              <w:pStyle w:val="Tabletext"/>
              <w:keepNext/>
              <w:jc w:val="center"/>
            </w:pPr>
            <w:r w:rsidRPr="00267462">
              <w:rPr>
                <w:b/>
                <w:bCs/>
                <w:szCs w:val="20"/>
              </w:rPr>
              <w:t>p=0.0466</w:t>
            </w:r>
          </w:p>
        </w:tc>
        <w:tc>
          <w:tcPr>
            <w:tcW w:w="733" w:type="pct"/>
            <w:shd w:val="clear" w:color="auto" w:fill="auto"/>
            <w:vAlign w:val="center"/>
          </w:tcPr>
          <w:p w:rsidR="00AF6950" w:rsidRPr="00267462" w:rsidRDefault="00AF6950" w:rsidP="00D309A1">
            <w:pPr>
              <w:pStyle w:val="Tabletext"/>
              <w:keepNext/>
              <w:jc w:val="center"/>
            </w:pPr>
            <w:r w:rsidRPr="00267462">
              <w:rPr>
                <w:b/>
                <w:bCs/>
                <w:szCs w:val="20"/>
              </w:rPr>
              <w:t>p=0.0406</w:t>
            </w:r>
          </w:p>
        </w:tc>
      </w:tr>
      <w:tr w:rsidR="00B4542F" w:rsidRPr="00267462" w:rsidTr="00B4542F">
        <w:tc>
          <w:tcPr>
            <w:tcW w:w="5000" w:type="pct"/>
            <w:gridSpan w:val="6"/>
            <w:vAlign w:val="center"/>
          </w:tcPr>
          <w:p w:rsidR="00B4542F" w:rsidRPr="00267462" w:rsidRDefault="00B4542F" w:rsidP="00D309A1">
            <w:pPr>
              <w:pStyle w:val="Tabletext"/>
              <w:keepNext/>
              <w:rPr>
                <w:b/>
                <w:bCs/>
              </w:rPr>
            </w:pPr>
            <w:r w:rsidRPr="00267462">
              <w:rPr>
                <w:b/>
                <w:bCs/>
                <w:szCs w:val="20"/>
              </w:rPr>
              <w:t>PGA responders (score ≥+1)</w:t>
            </w:r>
          </w:p>
        </w:tc>
      </w:tr>
      <w:tr w:rsidR="00B4542F" w:rsidRPr="00267462" w:rsidTr="00680583">
        <w:tc>
          <w:tcPr>
            <w:tcW w:w="1487" w:type="pct"/>
            <w:vAlign w:val="center"/>
          </w:tcPr>
          <w:p w:rsidR="00B4542F" w:rsidRPr="00267462" w:rsidRDefault="00B4542F" w:rsidP="00D309A1">
            <w:pPr>
              <w:pStyle w:val="Tabletext"/>
              <w:keepNext/>
              <w:rPr>
                <w:szCs w:val="20"/>
              </w:rPr>
            </w:pPr>
            <w:r w:rsidRPr="00267462">
              <w:t>Responders</w:t>
            </w:r>
            <w:r w:rsidRPr="00267462">
              <w:rPr>
                <w:szCs w:val="20"/>
              </w:rPr>
              <w:t xml:space="preserve"> n (%)</w:t>
            </w:r>
            <w:r w:rsidR="00680583" w:rsidRPr="00267462">
              <w:rPr>
                <w:szCs w:val="20"/>
                <w:vertAlign w:val="superscript"/>
              </w:rPr>
              <w:t>b</w:t>
            </w:r>
            <w:r w:rsidRPr="00267462">
              <w:rPr>
                <w:szCs w:val="20"/>
              </w:rPr>
              <w:t>, Wk4</w:t>
            </w:r>
            <w:r w:rsidRPr="00267462">
              <w:rPr>
                <w:szCs w:val="20"/>
                <w:vertAlign w:val="superscript"/>
              </w:rPr>
              <w:t xml:space="preserve"> </w:t>
            </w:r>
          </w:p>
        </w:tc>
        <w:tc>
          <w:tcPr>
            <w:tcW w:w="682" w:type="pct"/>
            <w:vAlign w:val="center"/>
          </w:tcPr>
          <w:p w:rsidR="00B4542F" w:rsidRPr="00267462" w:rsidRDefault="00B4542F" w:rsidP="00D309A1">
            <w:pPr>
              <w:pStyle w:val="Tabletext"/>
              <w:keepNext/>
              <w:jc w:val="center"/>
              <w:rPr>
                <w:szCs w:val="20"/>
              </w:rPr>
            </w:pPr>
            <w:r w:rsidRPr="00267462">
              <w:rPr>
                <w:szCs w:val="20"/>
              </w:rPr>
              <w:t>63 (49.2</w:t>
            </w:r>
            <w:r w:rsidR="00D95F34">
              <w:rPr>
                <w:szCs w:val="20"/>
              </w:rPr>
              <w:t>%</w:t>
            </w:r>
            <w:r w:rsidRPr="00267462">
              <w:rPr>
                <w:szCs w:val="20"/>
              </w:rPr>
              <w:t>)</w:t>
            </w:r>
          </w:p>
        </w:tc>
        <w:tc>
          <w:tcPr>
            <w:tcW w:w="682" w:type="pct"/>
            <w:vAlign w:val="center"/>
          </w:tcPr>
          <w:p w:rsidR="00B4542F" w:rsidRPr="00267462" w:rsidRDefault="00B4542F" w:rsidP="00D309A1">
            <w:pPr>
              <w:pStyle w:val="Tabletext"/>
              <w:keepNext/>
              <w:jc w:val="center"/>
              <w:rPr>
                <w:szCs w:val="20"/>
              </w:rPr>
            </w:pPr>
            <w:r w:rsidRPr="00267462">
              <w:rPr>
                <w:szCs w:val="20"/>
              </w:rPr>
              <w:t>73 (58.4</w:t>
            </w:r>
            <w:r w:rsidR="00D95F34">
              <w:rPr>
                <w:szCs w:val="20"/>
              </w:rPr>
              <w:t>%</w:t>
            </w:r>
            <w:r w:rsidRPr="00267462">
              <w:rPr>
                <w:szCs w:val="20"/>
              </w:rPr>
              <w:t>)</w:t>
            </w:r>
          </w:p>
        </w:tc>
        <w:tc>
          <w:tcPr>
            <w:tcW w:w="682" w:type="pct"/>
            <w:vAlign w:val="center"/>
          </w:tcPr>
          <w:p w:rsidR="00B4542F" w:rsidRPr="00267462" w:rsidRDefault="00B4542F" w:rsidP="00D309A1">
            <w:pPr>
              <w:pStyle w:val="Tabletext"/>
              <w:keepNext/>
              <w:jc w:val="center"/>
              <w:rPr>
                <w:szCs w:val="20"/>
              </w:rPr>
            </w:pPr>
            <w:r w:rsidRPr="00267462">
              <w:rPr>
                <w:szCs w:val="20"/>
              </w:rPr>
              <w:t>76 (59.4</w:t>
            </w:r>
            <w:r w:rsidR="00D95F34">
              <w:rPr>
                <w:szCs w:val="20"/>
              </w:rPr>
              <w:t>%</w:t>
            </w:r>
            <w:r w:rsidRPr="00267462">
              <w:rPr>
                <w:szCs w:val="20"/>
              </w:rPr>
              <w:t>)</w:t>
            </w:r>
          </w:p>
        </w:tc>
        <w:tc>
          <w:tcPr>
            <w:tcW w:w="733" w:type="pct"/>
            <w:shd w:val="clear" w:color="auto" w:fill="auto"/>
            <w:vAlign w:val="center"/>
          </w:tcPr>
          <w:p w:rsidR="00B4542F" w:rsidRPr="00267462" w:rsidRDefault="00B4542F" w:rsidP="00D309A1">
            <w:pPr>
              <w:pStyle w:val="Tabletext"/>
              <w:keepNext/>
              <w:jc w:val="center"/>
            </w:pPr>
            <w:r w:rsidRPr="00267462">
              <w:rPr>
                <w:szCs w:val="20"/>
              </w:rPr>
              <w:t>p=0.0851</w:t>
            </w:r>
          </w:p>
        </w:tc>
        <w:tc>
          <w:tcPr>
            <w:tcW w:w="733" w:type="pct"/>
            <w:shd w:val="clear" w:color="auto" w:fill="auto"/>
            <w:vAlign w:val="center"/>
          </w:tcPr>
          <w:p w:rsidR="00B4542F" w:rsidRPr="00267462" w:rsidRDefault="00B4542F" w:rsidP="00D309A1">
            <w:pPr>
              <w:pStyle w:val="Tabletext"/>
              <w:keepNext/>
              <w:jc w:val="center"/>
            </w:pPr>
            <w:r w:rsidRPr="00267462">
              <w:rPr>
                <w:b/>
                <w:bCs/>
                <w:szCs w:val="20"/>
              </w:rPr>
              <w:t>p=0.0237</w:t>
            </w:r>
          </w:p>
        </w:tc>
      </w:tr>
      <w:tr w:rsidR="00B4542F" w:rsidRPr="00267462" w:rsidTr="00B4542F">
        <w:tc>
          <w:tcPr>
            <w:tcW w:w="5000" w:type="pct"/>
            <w:gridSpan w:val="6"/>
            <w:vAlign w:val="center"/>
          </w:tcPr>
          <w:p w:rsidR="00B4542F" w:rsidRPr="00267462" w:rsidRDefault="00B4542F" w:rsidP="00D309A1">
            <w:pPr>
              <w:pStyle w:val="Tabletext"/>
              <w:keepNext/>
            </w:pPr>
            <w:r w:rsidRPr="00267462">
              <w:rPr>
                <w:b/>
                <w:bCs/>
                <w:szCs w:val="20"/>
              </w:rPr>
              <w:t>Change in comfortable 10</w:t>
            </w:r>
            <w:r w:rsidR="00D95F34">
              <w:rPr>
                <w:b/>
                <w:bCs/>
                <w:szCs w:val="20"/>
              </w:rPr>
              <w:t xml:space="preserve"> </w:t>
            </w:r>
            <w:r w:rsidRPr="00267462">
              <w:rPr>
                <w:b/>
                <w:bCs/>
                <w:szCs w:val="20"/>
              </w:rPr>
              <w:t>m barefoot walking speed (m/s)</w:t>
            </w:r>
          </w:p>
        </w:tc>
      </w:tr>
      <w:tr w:rsidR="00B4542F" w:rsidRPr="00267462" w:rsidTr="00680583">
        <w:tc>
          <w:tcPr>
            <w:tcW w:w="1487" w:type="pct"/>
            <w:vAlign w:val="center"/>
          </w:tcPr>
          <w:p w:rsidR="00B4542F" w:rsidRPr="00267462" w:rsidRDefault="00B4542F" w:rsidP="00D309A1">
            <w:pPr>
              <w:pStyle w:val="Tabletext"/>
              <w:keepNext/>
            </w:pPr>
            <w:r w:rsidRPr="00267462">
              <w:t>LS mean change (95% CI)</w:t>
            </w:r>
            <w:r w:rsidR="00680583" w:rsidRPr="00267462">
              <w:rPr>
                <w:vertAlign w:val="superscript"/>
              </w:rPr>
              <w:t>a</w:t>
            </w:r>
            <w:r w:rsidRPr="00267462">
              <w:t>, Wk4</w:t>
            </w:r>
          </w:p>
        </w:tc>
        <w:tc>
          <w:tcPr>
            <w:tcW w:w="682" w:type="pct"/>
            <w:shd w:val="clear" w:color="auto" w:fill="FFFFFF"/>
            <w:vAlign w:val="center"/>
          </w:tcPr>
          <w:p w:rsidR="00B4542F" w:rsidRPr="00267462" w:rsidRDefault="00B4542F" w:rsidP="00D309A1">
            <w:pPr>
              <w:pStyle w:val="Tabletext"/>
              <w:keepNext/>
              <w:jc w:val="center"/>
            </w:pPr>
            <w:r w:rsidRPr="00267462">
              <w:t>0.05 (0.03,0.07)</w:t>
            </w:r>
          </w:p>
        </w:tc>
        <w:tc>
          <w:tcPr>
            <w:tcW w:w="682" w:type="pct"/>
            <w:shd w:val="clear" w:color="auto" w:fill="FFFFFF"/>
            <w:vAlign w:val="center"/>
          </w:tcPr>
          <w:p w:rsidR="00B4542F" w:rsidRPr="00267462" w:rsidRDefault="00B4542F" w:rsidP="00D309A1">
            <w:pPr>
              <w:pStyle w:val="Tabletext"/>
              <w:keepNext/>
              <w:jc w:val="center"/>
            </w:pPr>
            <w:r w:rsidRPr="00267462">
              <w:t>0.05 (0.03,0.07)</w:t>
            </w:r>
          </w:p>
        </w:tc>
        <w:tc>
          <w:tcPr>
            <w:tcW w:w="682" w:type="pct"/>
            <w:shd w:val="clear" w:color="auto" w:fill="FFFFFF"/>
            <w:vAlign w:val="center"/>
          </w:tcPr>
          <w:p w:rsidR="00B4542F" w:rsidRPr="00267462" w:rsidRDefault="00B4542F" w:rsidP="00D309A1">
            <w:pPr>
              <w:pStyle w:val="Tabletext"/>
              <w:keepNext/>
              <w:jc w:val="center"/>
            </w:pPr>
            <w:r w:rsidRPr="00267462">
              <w:t>0.04 (0.03,0.06)</w:t>
            </w:r>
          </w:p>
        </w:tc>
        <w:tc>
          <w:tcPr>
            <w:tcW w:w="733" w:type="pct"/>
            <w:shd w:val="clear" w:color="auto" w:fill="FFFFFF"/>
            <w:vAlign w:val="center"/>
          </w:tcPr>
          <w:p w:rsidR="00B4542F" w:rsidRPr="00267462" w:rsidRDefault="00B4542F" w:rsidP="00D309A1">
            <w:pPr>
              <w:pStyle w:val="Tabletext"/>
              <w:keepNext/>
              <w:jc w:val="center"/>
              <w:rPr>
                <w:iCs/>
              </w:rPr>
            </w:pPr>
            <w:r w:rsidRPr="00267462">
              <w:rPr>
                <w:iCs/>
                <w:lang w:val="fr-FR"/>
              </w:rPr>
              <w:t>0.01 (0.02,</w:t>
            </w:r>
            <w:r w:rsidR="00F55E1C" w:rsidRPr="00267462">
              <w:rPr>
                <w:iCs/>
                <w:lang w:val="fr-FR"/>
              </w:rPr>
              <w:t xml:space="preserve"> </w:t>
            </w:r>
            <w:r w:rsidRPr="00267462">
              <w:rPr>
                <w:iCs/>
                <w:lang w:val="fr-FR"/>
              </w:rPr>
              <w:t>0.03) p=</w:t>
            </w:r>
            <w:r w:rsidRPr="00267462">
              <w:rPr>
                <w:iCs/>
              </w:rPr>
              <w:t>0.7247</w:t>
            </w:r>
          </w:p>
        </w:tc>
        <w:tc>
          <w:tcPr>
            <w:tcW w:w="733" w:type="pct"/>
            <w:shd w:val="clear" w:color="auto" w:fill="FFFFFF"/>
            <w:vAlign w:val="center"/>
          </w:tcPr>
          <w:p w:rsidR="00B4542F" w:rsidRPr="00267462" w:rsidRDefault="00B4542F" w:rsidP="00D309A1">
            <w:pPr>
              <w:pStyle w:val="Tabletext"/>
              <w:keepNext/>
              <w:jc w:val="center"/>
              <w:rPr>
                <w:iCs/>
              </w:rPr>
            </w:pPr>
            <w:r w:rsidRPr="00267462">
              <w:rPr>
                <w:iCs/>
                <w:lang w:val="fr-FR"/>
              </w:rPr>
              <w:t>-0.01</w:t>
            </w:r>
            <w:r w:rsidR="00F55E1C" w:rsidRPr="00267462">
              <w:rPr>
                <w:iCs/>
                <w:lang w:val="fr-FR"/>
              </w:rPr>
              <w:t xml:space="preserve"> </w:t>
            </w:r>
            <w:r w:rsidRPr="00267462">
              <w:rPr>
                <w:iCs/>
                <w:lang w:val="fr-FR"/>
              </w:rPr>
              <w:t>(-0.03,0.02)</w:t>
            </w:r>
            <w:r w:rsidR="00F55E1C" w:rsidRPr="00267462">
              <w:rPr>
                <w:iCs/>
                <w:lang w:val="fr-FR"/>
              </w:rPr>
              <w:t xml:space="preserve"> </w:t>
            </w:r>
            <w:r w:rsidRPr="00267462">
              <w:rPr>
                <w:iCs/>
                <w:lang w:val="fr-FR"/>
              </w:rPr>
              <w:t>p=</w:t>
            </w:r>
            <w:r w:rsidRPr="00267462">
              <w:rPr>
                <w:iCs/>
              </w:rPr>
              <w:t>0.7266</w:t>
            </w:r>
          </w:p>
        </w:tc>
      </w:tr>
      <w:tr w:rsidR="00B4542F" w:rsidRPr="00267462" w:rsidTr="00680583">
        <w:tc>
          <w:tcPr>
            <w:tcW w:w="1487" w:type="pct"/>
            <w:vAlign w:val="center"/>
          </w:tcPr>
          <w:p w:rsidR="00B4542F" w:rsidRPr="00267462" w:rsidRDefault="00B4542F" w:rsidP="00D309A1">
            <w:pPr>
              <w:pStyle w:val="Tabletext"/>
              <w:keepNext/>
            </w:pPr>
            <w:r w:rsidRPr="00267462">
              <w:t>n</w:t>
            </w:r>
          </w:p>
        </w:tc>
        <w:tc>
          <w:tcPr>
            <w:tcW w:w="682" w:type="pct"/>
            <w:vAlign w:val="center"/>
          </w:tcPr>
          <w:p w:rsidR="00B4542F" w:rsidRPr="00267462" w:rsidRDefault="00B4542F" w:rsidP="00D309A1">
            <w:pPr>
              <w:pStyle w:val="Tabletext"/>
              <w:keepNext/>
              <w:jc w:val="center"/>
              <w:rPr>
                <w:iCs/>
              </w:rPr>
            </w:pPr>
            <w:r w:rsidRPr="00267462">
              <w:rPr>
                <w:iCs/>
              </w:rPr>
              <w:t>n=120</w:t>
            </w:r>
          </w:p>
        </w:tc>
        <w:tc>
          <w:tcPr>
            <w:tcW w:w="682" w:type="pct"/>
            <w:shd w:val="clear" w:color="auto" w:fill="FFFFFF"/>
            <w:vAlign w:val="center"/>
          </w:tcPr>
          <w:p w:rsidR="00B4542F" w:rsidRPr="00267462" w:rsidRDefault="00B4542F" w:rsidP="00D309A1">
            <w:pPr>
              <w:pStyle w:val="Tabletext"/>
              <w:keepNext/>
              <w:jc w:val="center"/>
              <w:rPr>
                <w:iCs/>
              </w:rPr>
            </w:pPr>
            <w:r w:rsidRPr="00267462">
              <w:rPr>
                <w:iCs/>
              </w:rPr>
              <w:t>n=120</w:t>
            </w:r>
          </w:p>
        </w:tc>
        <w:tc>
          <w:tcPr>
            <w:tcW w:w="682" w:type="pct"/>
            <w:shd w:val="clear" w:color="auto" w:fill="FFFFFF"/>
            <w:vAlign w:val="center"/>
          </w:tcPr>
          <w:p w:rsidR="00B4542F" w:rsidRPr="00267462" w:rsidRDefault="00B4542F" w:rsidP="00D309A1">
            <w:pPr>
              <w:pStyle w:val="Tabletext"/>
              <w:keepNext/>
              <w:jc w:val="center"/>
              <w:rPr>
                <w:iCs/>
              </w:rPr>
            </w:pPr>
            <w:r w:rsidRPr="00267462">
              <w:rPr>
                <w:iCs/>
              </w:rPr>
              <w:t>n=120</w:t>
            </w:r>
          </w:p>
        </w:tc>
        <w:tc>
          <w:tcPr>
            <w:tcW w:w="1466" w:type="pct"/>
            <w:gridSpan w:val="2"/>
            <w:shd w:val="clear" w:color="auto" w:fill="FFFFFF"/>
          </w:tcPr>
          <w:p w:rsidR="00B4542F" w:rsidRPr="00267462" w:rsidRDefault="00B4542F" w:rsidP="00D309A1">
            <w:pPr>
              <w:pStyle w:val="Tabletext"/>
              <w:keepNext/>
              <w:jc w:val="center"/>
              <w:rPr>
                <w:iCs/>
              </w:rPr>
            </w:pPr>
            <w:r w:rsidRPr="00267462">
              <w:rPr>
                <w:iCs/>
              </w:rPr>
              <w:t>-</w:t>
            </w:r>
          </w:p>
        </w:tc>
      </w:tr>
      <w:tr w:rsidR="00B4542F" w:rsidRPr="00267462" w:rsidTr="00680583">
        <w:tc>
          <w:tcPr>
            <w:tcW w:w="1487" w:type="pct"/>
            <w:vAlign w:val="center"/>
          </w:tcPr>
          <w:p w:rsidR="00B4542F" w:rsidRPr="00267462" w:rsidRDefault="00B4542F" w:rsidP="00D309A1">
            <w:pPr>
              <w:pStyle w:val="Tabletext"/>
              <w:keepNext/>
            </w:pPr>
            <w:r w:rsidRPr="00267462">
              <w:t>LS mean change (95% CI)</w:t>
            </w:r>
            <w:r w:rsidR="00680583" w:rsidRPr="00267462">
              <w:rPr>
                <w:vertAlign w:val="superscript"/>
              </w:rPr>
              <w:t>a</w:t>
            </w:r>
            <w:r w:rsidRPr="00267462">
              <w:t>, Wk</w:t>
            </w:r>
            <w:r w:rsidR="00680583" w:rsidRPr="00267462">
              <w:t>12</w:t>
            </w:r>
          </w:p>
        </w:tc>
        <w:tc>
          <w:tcPr>
            <w:tcW w:w="682" w:type="pct"/>
            <w:vAlign w:val="center"/>
          </w:tcPr>
          <w:p w:rsidR="00B4542F" w:rsidRPr="00267462" w:rsidRDefault="00B4542F" w:rsidP="00D309A1">
            <w:pPr>
              <w:pStyle w:val="Tabletext"/>
              <w:keepNext/>
              <w:jc w:val="center"/>
              <w:rPr>
                <w:iCs/>
              </w:rPr>
            </w:pPr>
            <w:r w:rsidRPr="00267462">
              <w:rPr>
                <w:iCs/>
              </w:rPr>
              <w:t>0.05 (0.03,0.07)</w:t>
            </w:r>
          </w:p>
        </w:tc>
        <w:tc>
          <w:tcPr>
            <w:tcW w:w="682" w:type="pct"/>
            <w:shd w:val="clear" w:color="auto" w:fill="FFFFFF"/>
            <w:vAlign w:val="center"/>
          </w:tcPr>
          <w:p w:rsidR="00B4542F" w:rsidRPr="00267462" w:rsidRDefault="00B4542F" w:rsidP="00D309A1">
            <w:pPr>
              <w:pStyle w:val="Tabletext"/>
              <w:keepNext/>
              <w:jc w:val="center"/>
              <w:rPr>
                <w:iCs/>
              </w:rPr>
            </w:pPr>
            <w:r w:rsidRPr="00267462">
              <w:rPr>
                <w:iCs/>
              </w:rPr>
              <w:t>0.07 (0.05,0.09)</w:t>
            </w:r>
          </w:p>
        </w:tc>
        <w:tc>
          <w:tcPr>
            <w:tcW w:w="682" w:type="pct"/>
            <w:shd w:val="clear" w:color="auto" w:fill="FFFFFF"/>
            <w:vAlign w:val="center"/>
          </w:tcPr>
          <w:p w:rsidR="00B4542F" w:rsidRPr="00267462" w:rsidRDefault="00B4542F" w:rsidP="00D309A1">
            <w:pPr>
              <w:pStyle w:val="Tabletext"/>
              <w:keepNext/>
              <w:jc w:val="center"/>
              <w:rPr>
                <w:iCs/>
              </w:rPr>
            </w:pPr>
            <w:r w:rsidRPr="00267462">
              <w:rPr>
                <w:iCs/>
              </w:rPr>
              <w:t>0.06 (0.04,0.07)</w:t>
            </w:r>
          </w:p>
        </w:tc>
        <w:tc>
          <w:tcPr>
            <w:tcW w:w="733" w:type="pct"/>
            <w:shd w:val="clear" w:color="auto" w:fill="FFFFFF"/>
            <w:vAlign w:val="center"/>
          </w:tcPr>
          <w:p w:rsidR="00B4542F" w:rsidRPr="00267462" w:rsidRDefault="00F55E1C" w:rsidP="00D309A1">
            <w:pPr>
              <w:pStyle w:val="Tabletext"/>
              <w:keepNext/>
              <w:jc w:val="center"/>
              <w:rPr>
                <w:iCs/>
              </w:rPr>
            </w:pPr>
            <w:r w:rsidRPr="00267462">
              <w:rPr>
                <w:iCs/>
              </w:rPr>
              <w:t>0.02 (-0.01, 0.05)</w:t>
            </w:r>
            <w:r w:rsidR="00B4542F" w:rsidRPr="00267462">
              <w:rPr>
                <w:iCs/>
              </w:rPr>
              <w:t xml:space="preserve"> p=0.2056</w:t>
            </w:r>
          </w:p>
        </w:tc>
        <w:tc>
          <w:tcPr>
            <w:tcW w:w="733" w:type="pct"/>
            <w:shd w:val="clear" w:color="auto" w:fill="FFFFFF"/>
            <w:vAlign w:val="center"/>
          </w:tcPr>
          <w:p w:rsidR="00B4542F" w:rsidRPr="00267462" w:rsidRDefault="00B4542F" w:rsidP="00D309A1">
            <w:pPr>
              <w:pStyle w:val="Tabletext"/>
              <w:keepNext/>
              <w:jc w:val="center"/>
              <w:rPr>
                <w:iCs/>
              </w:rPr>
            </w:pPr>
            <w:r w:rsidRPr="00267462">
              <w:rPr>
                <w:iCs/>
              </w:rPr>
              <w:t>0.0 (-0.02,</w:t>
            </w:r>
            <w:r w:rsidR="00F55E1C" w:rsidRPr="00267462">
              <w:rPr>
                <w:iCs/>
              </w:rPr>
              <w:t xml:space="preserve"> </w:t>
            </w:r>
            <w:r w:rsidRPr="00267462">
              <w:rPr>
                <w:iCs/>
              </w:rPr>
              <w:t>0.03) p=0.7612</w:t>
            </w:r>
          </w:p>
        </w:tc>
      </w:tr>
    </w:tbl>
    <w:p w:rsidR="00746B28" w:rsidRPr="00267462" w:rsidRDefault="00746B28" w:rsidP="00114B88">
      <w:pPr>
        <w:pStyle w:val="TableFooter"/>
        <w:rPr>
          <w:rFonts w:eastAsia="Calibri"/>
        </w:rPr>
      </w:pPr>
      <w:r w:rsidRPr="00267462">
        <w:t xml:space="preserve">Abbreviations: </w:t>
      </w:r>
      <w:r w:rsidR="00051FBD" w:rsidRPr="00267462">
        <w:t xml:space="preserve">BoNT=botulinum toxin; </w:t>
      </w:r>
      <w:r w:rsidRPr="00267462">
        <w:rPr>
          <w:rFonts w:eastAsia="Calibri"/>
        </w:rPr>
        <w:t>CI=confidence interval;</w:t>
      </w:r>
      <w:r w:rsidR="00051CA9" w:rsidRPr="00267462">
        <w:rPr>
          <w:rFonts w:eastAsia="Calibri"/>
        </w:rPr>
        <w:t xml:space="preserve"> GSC=Gastrocnemius soleus complex;</w:t>
      </w:r>
      <w:r w:rsidRPr="00267462">
        <w:rPr>
          <w:rFonts w:eastAsia="Calibri"/>
        </w:rPr>
        <w:t xml:space="preserve"> ITT=intention to treat; LS mean=least square mean; N=total patients in group; MAS=modified Ashworth Scale; </w:t>
      </w:r>
      <w:r w:rsidR="0080065F" w:rsidRPr="00267462">
        <w:rPr>
          <w:rFonts w:eastAsia="Calibri"/>
        </w:rPr>
        <w:t>PGA=physician global assessment; wk=week</w:t>
      </w:r>
    </w:p>
    <w:p w:rsidR="00746B28" w:rsidRPr="00267462" w:rsidRDefault="00746B28" w:rsidP="00114B88">
      <w:pPr>
        <w:pStyle w:val="TableFooter"/>
      </w:pPr>
      <w:r w:rsidRPr="00267462">
        <w:rPr>
          <w:vertAlign w:val="superscript"/>
        </w:rPr>
        <w:t>a</w:t>
      </w:r>
      <w:r w:rsidR="00591EC3">
        <w:t xml:space="preserve"> </w:t>
      </w:r>
      <w:r w:rsidRPr="00267462">
        <w:t>ANCOVA, controlling for the randomisation stratification factor (B</w:t>
      </w:r>
      <w:r w:rsidR="00051FBD" w:rsidRPr="00267462">
        <w:t>oN</w:t>
      </w:r>
      <w:r w:rsidRPr="00267462">
        <w:t xml:space="preserve">T treatment </w:t>
      </w:r>
      <w:r w:rsidR="00E62A0E" w:rsidRPr="00267462">
        <w:t>status at b</w:t>
      </w:r>
      <w:r w:rsidRPr="00267462">
        <w:t>aseline) and the centre, all as fixed effects.</w:t>
      </w:r>
    </w:p>
    <w:p w:rsidR="00680583" w:rsidRPr="00267462" w:rsidRDefault="00680583" w:rsidP="00114B88">
      <w:pPr>
        <w:pStyle w:val="TableFooter"/>
      </w:pPr>
      <w:r w:rsidRPr="00267462">
        <w:rPr>
          <w:vertAlign w:val="superscript"/>
        </w:rPr>
        <w:t>b</w:t>
      </w:r>
      <w:r w:rsidRPr="00267462">
        <w:t xml:space="preserve"> Logistic regression, controlling for the randomisation stratification factor (B</w:t>
      </w:r>
      <w:r w:rsidR="00051FBD" w:rsidRPr="00267462">
        <w:t>oN</w:t>
      </w:r>
      <w:r w:rsidRPr="00267462">
        <w:t xml:space="preserve">T treatment status at </w:t>
      </w:r>
      <w:r w:rsidR="00E62A0E" w:rsidRPr="00267462">
        <w:t>b</w:t>
      </w:r>
      <w:r w:rsidRPr="00267462">
        <w:t>aseline) and the centre, all as fixed effects.</w:t>
      </w:r>
    </w:p>
    <w:p w:rsidR="00746B28" w:rsidRPr="00267462" w:rsidRDefault="00680583" w:rsidP="00114B88">
      <w:pPr>
        <w:pStyle w:val="TableFooter"/>
      </w:pPr>
      <w:r w:rsidRPr="00267462">
        <w:rPr>
          <w:vertAlign w:val="superscript"/>
        </w:rPr>
        <w:t>c</w:t>
      </w:r>
      <w:r w:rsidR="00746B28" w:rsidRPr="00267462">
        <w:t xml:space="preserve"> ANCOVA based on ranked values, controlling for the randomisation stratification factor (B</w:t>
      </w:r>
      <w:r w:rsidR="00051FBD" w:rsidRPr="00267462">
        <w:t>oN</w:t>
      </w:r>
      <w:r w:rsidR="00746B28" w:rsidRPr="00267462">
        <w:t>T treatment status at</w:t>
      </w:r>
      <w:r w:rsidR="00E62A0E" w:rsidRPr="00267462">
        <w:t xml:space="preserve"> b</w:t>
      </w:r>
      <w:r w:rsidR="00746B28" w:rsidRPr="00267462">
        <w:t>aseline) and the centre as explanatory variables.</w:t>
      </w:r>
    </w:p>
    <w:p w:rsidR="00D3199C" w:rsidRPr="00267462" w:rsidRDefault="00746B28" w:rsidP="00114B88">
      <w:pPr>
        <w:pStyle w:val="TableFooter"/>
        <w:rPr>
          <w:rFonts w:eastAsia="Calibri"/>
        </w:rPr>
      </w:pPr>
      <w:r w:rsidRPr="00267462">
        <w:rPr>
          <w:rFonts w:eastAsia="Calibri"/>
        </w:rPr>
        <w:t>Source: Section 2.5.1.3 pp85-86 of the submission</w:t>
      </w:r>
      <w:r w:rsidR="00C67A4E" w:rsidRPr="00267462">
        <w:rPr>
          <w:rFonts w:eastAsia="Calibri"/>
        </w:rPr>
        <w:t>; Tables 2.15 and 2.19, pp83 and 93 of the submission;</w:t>
      </w:r>
      <w:r w:rsidRPr="00267462">
        <w:rPr>
          <w:rFonts w:eastAsia="Calibri"/>
        </w:rPr>
        <w:t xml:space="preserve"> Tables 17, 18</w:t>
      </w:r>
      <w:r w:rsidR="00C67A4E" w:rsidRPr="00267462">
        <w:rPr>
          <w:rFonts w:eastAsia="Calibri"/>
        </w:rPr>
        <w:t>, 21</w:t>
      </w:r>
      <w:r w:rsidRPr="00267462">
        <w:rPr>
          <w:rFonts w:eastAsia="Calibri"/>
        </w:rPr>
        <w:t xml:space="preserve"> and 25</w:t>
      </w:r>
      <w:r w:rsidR="00C67A4E" w:rsidRPr="00267462">
        <w:rPr>
          <w:rFonts w:eastAsia="Calibri"/>
        </w:rPr>
        <w:t>, pp58-63</w:t>
      </w:r>
      <w:r w:rsidRPr="00267462">
        <w:rPr>
          <w:rFonts w:eastAsia="Calibri"/>
        </w:rPr>
        <w:t xml:space="preserve"> and p67 of CSR Study 140</w:t>
      </w:r>
      <w:r w:rsidR="00D3199C" w:rsidRPr="00267462">
        <w:rPr>
          <w:rFonts w:eastAsia="Calibri"/>
        </w:rPr>
        <w:t>.</w:t>
      </w:r>
    </w:p>
    <w:p w:rsidR="00C67A4E" w:rsidRPr="00267462" w:rsidRDefault="00C67A4E" w:rsidP="00114B88">
      <w:pPr>
        <w:pStyle w:val="TableFooter"/>
        <w:rPr>
          <w:rFonts w:eastAsia="Calibri"/>
        </w:rPr>
      </w:pPr>
      <w:r w:rsidRPr="00267462">
        <w:rPr>
          <w:rFonts w:eastAsia="Calibri"/>
        </w:rPr>
        <w:t xml:space="preserve"> </w:t>
      </w:r>
    </w:p>
    <w:p w:rsidR="00B51B28" w:rsidRDefault="00981132" w:rsidP="00D309A1">
      <w:pPr>
        <w:pStyle w:val="ListParagraph"/>
        <w:spacing w:after="0"/>
      </w:pPr>
      <w:r>
        <w:t>The results demonstrated:</w:t>
      </w:r>
    </w:p>
    <w:p w:rsidR="00981132" w:rsidRPr="00981132" w:rsidRDefault="00981132" w:rsidP="00D309A1">
      <w:pPr>
        <w:pStyle w:val="ListParagraph"/>
        <w:numPr>
          <w:ilvl w:val="0"/>
          <w:numId w:val="14"/>
        </w:numPr>
        <w:spacing w:before="40"/>
        <w:ind w:hanging="357"/>
      </w:pPr>
      <w:r>
        <w:t xml:space="preserve">The reduction in MAS score was statistically significantly greater for </w:t>
      </w:r>
      <w:r w:rsidR="00051CA9">
        <w:t>Dysport®</w:t>
      </w:r>
      <w:r>
        <w:t xml:space="preserve"> 1500U compared to placebo at both Week 4 </w:t>
      </w:r>
      <w:r w:rsidR="00AC7D94">
        <w:t>(-0.03, p=0.0091) and Week 12 (</w:t>
      </w:r>
      <w:r w:rsidR="00AC7D94">
        <w:noBreakHyphen/>
      </w:r>
      <w:r>
        <w:t xml:space="preserve">0.2, </w:t>
      </w:r>
      <w:r>
        <w:lastRenderedPageBreak/>
        <w:t>p=0.0324)</w:t>
      </w:r>
      <w:r w:rsidR="00034ECD">
        <w:t>. T</w:t>
      </w:r>
      <w:r w:rsidR="00F1048A">
        <w:t xml:space="preserve">here was </w:t>
      </w:r>
      <w:r w:rsidRPr="00981132">
        <w:t>no differen</w:t>
      </w:r>
      <w:r w:rsidR="00E62A0E">
        <w:t>ce</w:t>
      </w:r>
      <w:r w:rsidRPr="00981132">
        <w:t xml:space="preserve"> between </w:t>
      </w:r>
      <w:r w:rsidR="00051CA9">
        <w:t>Dysport®</w:t>
      </w:r>
      <w:r w:rsidRPr="00981132">
        <w:t xml:space="preserve"> 1000U and placebo at either time point.</w:t>
      </w:r>
    </w:p>
    <w:p w:rsidR="00B51B28" w:rsidRDefault="00981132" w:rsidP="00D309A1">
      <w:pPr>
        <w:pStyle w:val="ListParagraph"/>
        <w:numPr>
          <w:ilvl w:val="0"/>
          <w:numId w:val="14"/>
        </w:numPr>
        <w:spacing w:before="40"/>
        <w:ind w:hanging="357"/>
      </w:pPr>
      <w:r w:rsidRPr="00981132">
        <w:t xml:space="preserve">The proportion of MAS responders was numerically higher for </w:t>
      </w:r>
      <w:r w:rsidR="00051CA9">
        <w:t>Dysport®</w:t>
      </w:r>
      <w:r w:rsidRPr="00981132">
        <w:t xml:space="preserve"> 1500U compared to placebo at both Week 4 (</w:t>
      </w:r>
      <w:r w:rsidR="00034ECD">
        <w:t xml:space="preserve">46.9% versus </w:t>
      </w:r>
      <w:r w:rsidRPr="00981132">
        <w:t>36.7%, p=0.0527) and Week 12 (</w:t>
      </w:r>
      <w:r w:rsidR="00034ECD">
        <w:t xml:space="preserve">32.8% versus </w:t>
      </w:r>
      <w:r w:rsidRPr="00981132">
        <w:t>28.1%, p=0.2459)</w:t>
      </w:r>
      <w:r w:rsidR="00034ECD">
        <w:t>;</w:t>
      </w:r>
      <w:r w:rsidRPr="00981132">
        <w:t xml:space="preserve"> however</w:t>
      </w:r>
      <w:r w:rsidR="00034ECD">
        <w:t>,</w:t>
      </w:r>
      <w:r w:rsidRPr="00981132">
        <w:t xml:space="preserve"> the differences were not statistically significant.</w:t>
      </w:r>
      <w:r w:rsidR="00FA60DA">
        <w:t xml:space="preserve"> </w:t>
      </w:r>
      <w:r w:rsidRPr="00981132">
        <w:t>There w</w:t>
      </w:r>
      <w:r w:rsidR="00F1048A">
        <w:t xml:space="preserve">as </w:t>
      </w:r>
      <w:r w:rsidRPr="00981132">
        <w:t xml:space="preserve">no difference between </w:t>
      </w:r>
      <w:r w:rsidR="00051CA9">
        <w:t>Dysport®</w:t>
      </w:r>
      <w:r w:rsidRPr="00981132">
        <w:t xml:space="preserve"> 1000U and placebo at either time point.</w:t>
      </w:r>
    </w:p>
    <w:p w:rsidR="00746B28" w:rsidRPr="00F55E1C" w:rsidRDefault="00981132" w:rsidP="00D309A1">
      <w:pPr>
        <w:pStyle w:val="ListParagraph"/>
        <w:numPr>
          <w:ilvl w:val="0"/>
          <w:numId w:val="14"/>
        </w:numPr>
        <w:spacing w:before="40"/>
        <w:ind w:hanging="357"/>
      </w:pPr>
      <w:r>
        <w:t xml:space="preserve">The </w:t>
      </w:r>
      <w:r w:rsidR="00F1048A">
        <w:t>average PGA score was numerically higher for Dy</w:t>
      </w:r>
      <w:r w:rsidR="009222EC">
        <w:t>spo</w:t>
      </w:r>
      <w:r w:rsidR="00F1048A">
        <w:t>rt</w:t>
      </w:r>
      <w:r w:rsidR="009222EC">
        <w:t>®</w:t>
      </w:r>
      <w:r w:rsidR="00F1048A">
        <w:t xml:space="preserve"> </w:t>
      </w:r>
      <w:r w:rsidR="00AB633B">
        <w:t>1000U</w:t>
      </w:r>
      <w:r w:rsidR="007E13B8">
        <w:t xml:space="preserve"> (+0.3, p=0.0640)</w:t>
      </w:r>
      <w:r w:rsidR="00AB633B">
        <w:t xml:space="preserve"> </w:t>
      </w:r>
      <w:r w:rsidR="00F1048A">
        <w:t xml:space="preserve">and </w:t>
      </w:r>
      <w:r w:rsidR="00AB633B">
        <w:t xml:space="preserve">1500U </w:t>
      </w:r>
      <w:r w:rsidR="007E13B8">
        <w:t xml:space="preserve">(+0.3, p=0.0665) </w:t>
      </w:r>
      <w:r w:rsidR="00F1048A">
        <w:t>compared to placebo at Week 4</w:t>
      </w:r>
      <w:r w:rsidR="00034ECD">
        <w:t>;</w:t>
      </w:r>
      <w:r w:rsidR="00F1048A">
        <w:t xml:space="preserve"> however</w:t>
      </w:r>
      <w:r w:rsidR="00034ECD">
        <w:t>,</w:t>
      </w:r>
      <w:r w:rsidR="00F1048A">
        <w:t xml:space="preserve"> the differences were not statistically significant </w:t>
      </w:r>
      <w:r>
        <w:t>in the pre-</w:t>
      </w:r>
      <w:r w:rsidRPr="009F54AF">
        <w:t xml:space="preserve">specified </w:t>
      </w:r>
      <w:r>
        <w:t>analysis.</w:t>
      </w:r>
      <w:r w:rsidR="00FA60DA">
        <w:t xml:space="preserve"> </w:t>
      </w:r>
      <w:r>
        <w:t xml:space="preserve">An exploratory </w:t>
      </w:r>
      <w:r w:rsidR="00CA4185" w:rsidRPr="007A397D">
        <w:rPr>
          <w:i/>
          <w:iCs/>
        </w:rPr>
        <w:t xml:space="preserve">post-hoc </w:t>
      </w:r>
      <w:r>
        <w:t xml:space="preserve">analysis on ranked PGA score </w:t>
      </w:r>
      <w:r w:rsidR="00F1048A">
        <w:t xml:space="preserve">reported </w:t>
      </w:r>
      <w:r w:rsidR="00CA4185">
        <w:t xml:space="preserve">a significant improvement for both doses of </w:t>
      </w:r>
      <w:r w:rsidR="00051CA9">
        <w:t>Dysport®</w:t>
      </w:r>
      <w:r w:rsidR="00CA4185">
        <w:t xml:space="preserve"> compared to placebo.</w:t>
      </w:r>
      <w:r w:rsidR="00FA60DA">
        <w:t xml:space="preserve"> </w:t>
      </w:r>
      <w:r w:rsidR="00CA4185" w:rsidRPr="00F55E1C">
        <w:rPr>
          <w:iCs/>
        </w:rPr>
        <w:t>T</w:t>
      </w:r>
      <w:r w:rsidRPr="00F55E1C">
        <w:rPr>
          <w:iCs/>
        </w:rPr>
        <w:t>he TGA clinical evaluat</w:t>
      </w:r>
      <w:r w:rsidR="00CA4185" w:rsidRPr="00F55E1C">
        <w:rPr>
          <w:iCs/>
        </w:rPr>
        <w:t>or</w:t>
      </w:r>
      <w:r w:rsidRPr="00F55E1C">
        <w:rPr>
          <w:iCs/>
        </w:rPr>
        <w:t xml:space="preserve"> </w:t>
      </w:r>
      <w:r w:rsidR="00CA4185" w:rsidRPr="00F55E1C">
        <w:rPr>
          <w:iCs/>
        </w:rPr>
        <w:t xml:space="preserve">questioned the validity of the </w:t>
      </w:r>
      <w:r w:rsidR="00CA4185" w:rsidRPr="00A33507">
        <w:rPr>
          <w:i/>
          <w:iCs/>
        </w:rPr>
        <w:t>post-hoc</w:t>
      </w:r>
      <w:r w:rsidR="00CA4185" w:rsidRPr="00F55E1C">
        <w:rPr>
          <w:iCs/>
        </w:rPr>
        <w:t xml:space="preserve"> analysis</w:t>
      </w:r>
      <w:r w:rsidRPr="00F55E1C">
        <w:rPr>
          <w:iCs/>
        </w:rPr>
        <w:t>.</w:t>
      </w:r>
    </w:p>
    <w:p w:rsidR="00981132" w:rsidRPr="007A397D" w:rsidRDefault="00EB0852" w:rsidP="00D309A1">
      <w:pPr>
        <w:pStyle w:val="ListParagraph"/>
        <w:numPr>
          <w:ilvl w:val="0"/>
          <w:numId w:val="14"/>
        </w:numPr>
        <w:spacing w:before="40"/>
        <w:ind w:hanging="357"/>
        <w:rPr>
          <w:i/>
          <w:iCs/>
        </w:rPr>
      </w:pPr>
      <w:r w:rsidRPr="00F55E1C">
        <w:t>There were</w:t>
      </w:r>
      <w:r>
        <w:t xml:space="preserve"> significantly m</w:t>
      </w:r>
      <w:r w:rsidR="00981132" w:rsidRPr="00981132">
        <w:t>ore</w:t>
      </w:r>
      <w:r w:rsidR="00981132" w:rsidRPr="009F54AF">
        <w:t xml:space="preserve"> </w:t>
      </w:r>
      <w:r>
        <w:t>PGA responders on</w:t>
      </w:r>
      <w:r w:rsidR="00981132" w:rsidRPr="009F54AF">
        <w:t xml:space="preserve"> </w:t>
      </w:r>
      <w:r w:rsidR="00051CA9">
        <w:t>Dysport®</w:t>
      </w:r>
      <w:r w:rsidR="00981132" w:rsidRPr="009F54AF">
        <w:t xml:space="preserve"> 1500U compared to placebo at Week 4</w:t>
      </w:r>
      <w:r w:rsidR="00981132">
        <w:t xml:space="preserve"> (p=0.0237)</w:t>
      </w:r>
      <w:r w:rsidR="00981132" w:rsidRPr="009F54AF">
        <w:t>,</w:t>
      </w:r>
      <w:r w:rsidR="00981132" w:rsidRPr="007A397D">
        <w:rPr>
          <w:i/>
          <w:iCs/>
        </w:rPr>
        <w:t xml:space="preserve"> </w:t>
      </w:r>
      <w:r>
        <w:t>although the difference in response rate was only 10.2%.</w:t>
      </w:r>
    </w:p>
    <w:p w:rsidR="00EB0852" w:rsidRPr="00EB0852" w:rsidRDefault="00EB0852" w:rsidP="00D309A1">
      <w:pPr>
        <w:pStyle w:val="ListParagraph"/>
        <w:numPr>
          <w:ilvl w:val="0"/>
          <w:numId w:val="14"/>
        </w:numPr>
        <w:spacing w:before="40"/>
        <w:ind w:hanging="357"/>
      </w:pPr>
      <w:r>
        <w:t xml:space="preserve">There was no improvement in </w:t>
      </w:r>
      <w:r w:rsidRPr="00724F4E">
        <w:t>comfortable 10</w:t>
      </w:r>
      <w:r w:rsidR="00D95F34">
        <w:t xml:space="preserve"> </w:t>
      </w:r>
      <w:r w:rsidRPr="00724F4E">
        <w:t>m barefoot walking speed</w:t>
      </w:r>
      <w:r>
        <w:t xml:space="preserve"> for either dose of </w:t>
      </w:r>
      <w:r w:rsidR="00051CA9">
        <w:t>Dysport®</w:t>
      </w:r>
      <w:r>
        <w:t xml:space="preserve"> compared to placebo.</w:t>
      </w:r>
    </w:p>
    <w:p w:rsidR="00EB0852" w:rsidRPr="006C2ADA" w:rsidRDefault="00EB0852" w:rsidP="00D309A1">
      <w:pPr>
        <w:pStyle w:val="ListParagraph"/>
      </w:pPr>
      <w:r w:rsidRPr="00EB0852">
        <w:rPr>
          <w:snapToGrid/>
          <w:lang w:val="en-US" w:eastAsia="en-AU"/>
        </w:rPr>
        <w:t>Figure 1</w:t>
      </w:r>
      <w:r w:rsidR="00607CED">
        <w:rPr>
          <w:snapToGrid/>
          <w:lang w:val="en-US" w:eastAsia="en-AU"/>
        </w:rPr>
        <w:t xml:space="preserve"> </w:t>
      </w:r>
      <w:r w:rsidRPr="00EB0852">
        <w:rPr>
          <w:snapToGrid/>
          <w:lang w:val="en-US" w:eastAsia="en-AU"/>
        </w:rPr>
        <w:t>present</w:t>
      </w:r>
      <w:r w:rsidR="00607CED">
        <w:rPr>
          <w:snapToGrid/>
          <w:lang w:val="en-US" w:eastAsia="en-AU"/>
        </w:rPr>
        <w:t>s</w:t>
      </w:r>
      <w:r w:rsidRPr="00EB0852">
        <w:rPr>
          <w:snapToGrid/>
          <w:lang w:val="en-US" w:eastAsia="en-AU"/>
        </w:rPr>
        <w:t xml:space="preserve"> the mean MAS</w:t>
      </w:r>
      <w:r w:rsidR="00916078">
        <w:rPr>
          <w:snapToGrid/>
          <w:lang w:val="en-US" w:eastAsia="en-AU"/>
        </w:rPr>
        <w:t xml:space="preserve"> scores, mean</w:t>
      </w:r>
      <w:r w:rsidR="006C2ADA">
        <w:rPr>
          <w:snapToGrid/>
          <w:lang w:val="en-US" w:eastAsia="en-AU"/>
        </w:rPr>
        <w:t xml:space="preserve"> PGA scores and mean change </w:t>
      </w:r>
      <w:r w:rsidRPr="00EB0852">
        <w:rPr>
          <w:snapToGrid/>
          <w:lang w:val="en-US" w:eastAsia="en-AU"/>
        </w:rPr>
        <w:t xml:space="preserve">in walking speed reported </w:t>
      </w:r>
      <w:r>
        <w:rPr>
          <w:snapToGrid/>
          <w:lang w:val="en-US" w:eastAsia="en-AU"/>
        </w:rPr>
        <w:t>in the open-label extension Study 142</w:t>
      </w:r>
      <w:r w:rsidR="006C2ADA">
        <w:rPr>
          <w:snapToGrid/>
          <w:lang w:val="en-US" w:eastAsia="en-AU"/>
        </w:rPr>
        <w:t xml:space="preserve"> from baseline (Study 140), for combined </w:t>
      </w:r>
      <w:r w:rsidR="00051CA9">
        <w:rPr>
          <w:snapToGrid/>
          <w:lang w:val="en-US" w:eastAsia="en-AU"/>
        </w:rPr>
        <w:t>Dysport®</w:t>
      </w:r>
      <w:r w:rsidR="006C2ADA">
        <w:rPr>
          <w:snapToGrid/>
          <w:lang w:val="en-US" w:eastAsia="en-AU"/>
        </w:rPr>
        <w:t xml:space="preserve"> 1500U and 1000U doses.</w:t>
      </w:r>
    </w:p>
    <w:p w:rsidR="00607CED" w:rsidRDefault="006C2ADA" w:rsidP="00D309A1">
      <w:pPr>
        <w:keepNext/>
        <w:widowControl/>
        <w:rPr>
          <w:rStyle w:val="CommentReference"/>
        </w:rPr>
      </w:pPr>
      <w:r w:rsidRPr="00AA3D1B">
        <w:rPr>
          <w:rStyle w:val="CommentReference"/>
        </w:rPr>
        <w:lastRenderedPageBreak/>
        <w:t>Figure</w:t>
      </w:r>
      <w:r>
        <w:rPr>
          <w:rStyle w:val="CommentReference"/>
        </w:rPr>
        <w:t xml:space="preserve"> 1</w:t>
      </w:r>
      <w:r w:rsidRPr="00AA3D1B">
        <w:rPr>
          <w:rStyle w:val="CommentReference"/>
        </w:rPr>
        <w:t xml:space="preserve">: </w:t>
      </w:r>
      <w:r w:rsidR="00607CED">
        <w:rPr>
          <w:rStyle w:val="CommentReference"/>
        </w:rPr>
        <w:t xml:space="preserve">Mean </w:t>
      </w:r>
      <w:r w:rsidRPr="00AA3D1B">
        <w:rPr>
          <w:rStyle w:val="CommentReference"/>
        </w:rPr>
        <w:t>MAS</w:t>
      </w:r>
      <w:r>
        <w:rPr>
          <w:rStyle w:val="CommentReference"/>
        </w:rPr>
        <w:t xml:space="preserve"> </w:t>
      </w:r>
      <w:r w:rsidR="00607CED">
        <w:rPr>
          <w:rStyle w:val="CommentReference"/>
        </w:rPr>
        <w:t xml:space="preserve">score </w:t>
      </w:r>
      <w:r>
        <w:rPr>
          <w:rStyle w:val="CommentReference"/>
        </w:rPr>
        <w:t>in the GSC (knee extended),</w:t>
      </w:r>
      <w:r w:rsidRPr="00AA3D1B">
        <w:rPr>
          <w:rStyle w:val="CommentReference"/>
        </w:rPr>
        <w:t xml:space="preserve"> </w:t>
      </w:r>
      <w:r w:rsidR="00607CED">
        <w:rPr>
          <w:rStyle w:val="CommentReference"/>
        </w:rPr>
        <w:t xml:space="preserve">mean PGA score and mean change in comfortable 10m barefoot walking speed in the open label extension Study 142 from baseline (Study 140), for combined </w:t>
      </w:r>
      <w:r w:rsidR="00051CA9">
        <w:rPr>
          <w:rStyle w:val="CommentReference"/>
        </w:rPr>
        <w:t>Dysport</w:t>
      </w:r>
      <w:r w:rsidR="00607CED">
        <w:rPr>
          <w:rStyle w:val="CommentReference"/>
        </w:rPr>
        <w:t xml:space="preserve"> 1500U and 1000U </w:t>
      </w:r>
    </w:p>
    <w:p w:rsidR="00F15A6E" w:rsidRDefault="006C2ADA" w:rsidP="00D309A1">
      <w:pPr>
        <w:keepNext/>
        <w:widowControl/>
        <w:rPr>
          <w:rFonts w:ascii="Arial Narrow" w:hAnsi="Arial Narrow"/>
          <w:sz w:val="18"/>
        </w:rPr>
      </w:pPr>
      <w:r w:rsidRPr="004742BF">
        <w:rPr>
          <w:noProof/>
          <w:lang w:eastAsia="en-AU"/>
        </w:rPr>
        <w:drawing>
          <wp:inline distT="0" distB="0" distL="0" distR="0" wp14:anchorId="561B44C8" wp14:editId="5E902B6E">
            <wp:extent cx="2800350" cy="189974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6093" cy="1930777"/>
                    </a:xfrm>
                    <a:prstGeom prst="rect">
                      <a:avLst/>
                    </a:prstGeom>
                    <a:noFill/>
                    <a:ln>
                      <a:noFill/>
                    </a:ln>
                  </pic:spPr>
                </pic:pic>
              </a:graphicData>
            </a:graphic>
          </wp:inline>
        </w:drawing>
      </w:r>
      <w:r w:rsidR="00F15A6E" w:rsidRPr="00AC3FE9">
        <w:rPr>
          <w:noProof/>
          <w:lang w:eastAsia="en-AU"/>
        </w:rPr>
        <w:drawing>
          <wp:inline distT="0" distB="0" distL="0" distR="0" wp14:anchorId="01B5B0E3" wp14:editId="37B47CC7">
            <wp:extent cx="2651008" cy="1897731"/>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5470" cy="1922401"/>
                    </a:xfrm>
                    <a:prstGeom prst="rect">
                      <a:avLst/>
                    </a:prstGeom>
                    <a:noFill/>
                    <a:ln>
                      <a:noFill/>
                    </a:ln>
                  </pic:spPr>
                </pic:pic>
              </a:graphicData>
            </a:graphic>
          </wp:inline>
        </w:drawing>
      </w:r>
    </w:p>
    <w:p w:rsidR="00F15A6E" w:rsidRDefault="00F15A6E" w:rsidP="00D309A1">
      <w:pPr>
        <w:pStyle w:val="CaptionFootnote"/>
        <w:widowControl/>
        <w:rPr>
          <w:rFonts w:ascii="Arial Narrow" w:hAnsi="Arial Narrow"/>
          <w:sz w:val="18"/>
        </w:rPr>
      </w:pPr>
      <w:r w:rsidRPr="002C3015">
        <w:rPr>
          <w:noProof/>
        </w:rPr>
        <w:drawing>
          <wp:inline distT="0" distB="0" distL="0" distR="0" wp14:anchorId="2258D7BB" wp14:editId="2B2DD96F">
            <wp:extent cx="2865814" cy="223801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2544" cy="2243275"/>
                    </a:xfrm>
                    <a:prstGeom prst="rect">
                      <a:avLst/>
                    </a:prstGeom>
                    <a:noFill/>
                    <a:ln>
                      <a:noFill/>
                    </a:ln>
                  </pic:spPr>
                </pic:pic>
              </a:graphicData>
            </a:graphic>
          </wp:inline>
        </w:drawing>
      </w:r>
    </w:p>
    <w:p w:rsidR="006C2ADA" w:rsidRPr="00AA3D1B" w:rsidRDefault="006C2ADA" w:rsidP="00D309A1">
      <w:pPr>
        <w:pStyle w:val="CaptionFootnote"/>
        <w:widowControl/>
        <w:rPr>
          <w:rFonts w:ascii="Arial Narrow" w:hAnsi="Arial Narrow"/>
          <w:sz w:val="18"/>
        </w:rPr>
      </w:pPr>
      <w:r w:rsidRPr="00AA3D1B">
        <w:rPr>
          <w:rFonts w:ascii="Arial Narrow" w:hAnsi="Arial Narrow"/>
          <w:sz w:val="18"/>
        </w:rPr>
        <w:t xml:space="preserve">Abbreviations: </w:t>
      </w:r>
      <w:r>
        <w:rPr>
          <w:rFonts w:ascii="Arial Narrow" w:hAnsi="Arial Narrow"/>
          <w:sz w:val="18"/>
        </w:rPr>
        <w:t>ABO=</w:t>
      </w:r>
      <w:r w:rsidRPr="00AA3D1B">
        <w:rPr>
          <w:rFonts w:ascii="Arial Narrow" w:hAnsi="Arial Narrow"/>
          <w:sz w:val="18"/>
        </w:rPr>
        <w:t>Abobotulinumtoxin A</w:t>
      </w:r>
      <w:r>
        <w:rPr>
          <w:rFonts w:ascii="Arial Narrow" w:hAnsi="Arial Narrow"/>
          <w:sz w:val="18"/>
        </w:rPr>
        <w:t xml:space="preserve"> (</w:t>
      </w:r>
      <w:r w:rsidR="00051CA9">
        <w:rPr>
          <w:rFonts w:ascii="Arial Narrow" w:hAnsi="Arial Narrow"/>
          <w:sz w:val="18"/>
        </w:rPr>
        <w:t>Dysport</w:t>
      </w:r>
      <w:r>
        <w:rPr>
          <w:rFonts w:ascii="Arial Narrow" w:hAnsi="Arial Narrow"/>
          <w:sz w:val="18"/>
        </w:rPr>
        <w:t xml:space="preserve">); </w:t>
      </w:r>
      <w:r w:rsidRPr="00AA3D1B">
        <w:rPr>
          <w:rFonts w:ascii="Arial Narrow" w:hAnsi="Arial Narrow"/>
          <w:sz w:val="18"/>
        </w:rPr>
        <w:t>DB=do</w:t>
      </w:r>
      <w:r>
        <w:rPr>
          <w:rFonts w:ascii="Arial Narrow" w:hAnsi="Arial Narrow"/>
          <w:sz w:val="18"/>
        </w:rPr>
        <w:t xml:space="preserve">uble-blind study; </w:t>
      </w:r>
      <w:r w:rsidR="0080065F" w:rsidRPr="00AA3D1B">
        <w:rPr>
          <w:rFonts w:ascii="Arial Narrow" w:hAnsi="Arial Narrow" w:cs="Arial"/>
          <w:sz w:val="18"/>
        </w:rPr>
        <w:t xml:space="preserve">LS=least-squared; </w:t>
      </w:r>
      <w:r>
        <w:rPr>
          <w:rFonts w:ascii="Arial Narrow" w:hAnsi="Arial Narrow"/>
          <w:sz w:val="18"/>
        </w:rPr>
        <w:t>PBO=</w:t>
      </w:r>
      <w:r w:rsidRPr="00AA3D1B">
        <w:rPr>
          <w:rFonts w:ascii="Arial Narrow" w:hAnsi="Arial Narrow"/>
          <w:sz w:val="18"/>
        </w:rPr>
        <w:t>placebo.</w:t>
      </w:r>
    </w:p>
    <w:p w:rsidR="006C2ADA" w:rsidRPr="00AA3D1B" w:rsidRDefault="006C2ADA" w:rsidP="00D309A1">
      <w:pPr>
        <w:pStyle w:val="CaptionFootnote"/>
        <w:widowControl/>
        <w:rPr>
          <w:rFonts w:ascii="Arial Narrow" w:hAnsi="Arial Narrow"/>
          <w:sz w:val="18"/>
        </w:rPr>
      </w:pPr>
      <w:r w:rsidRPr="00AA3D1B">
        <w:rPr>
          <w:rFonts w:ascii="Arial Narrow" w:hAnsi="Arial Narrow"/>
          <w:sz w:val="18"/>
        </w:rPr>
        <w:t xml:space="preserve">Baseline refers to baseline of double-blind study, prior to first injection. Error bars show SD. </w:t>
      </w:r>
    </w:p>
    <w:p w:rsidR="0080065F" w:rsidRDefault="0080065F" w:rsidP="00114B88">
      <w:pPr>
        <w:pStyle w:val="TableFooter"/>
      </w:pPr>
      <w:r w:rsidRPr="00AA3D1B">
        <w:rPr>
          <w:vertAlign w:val="superscript"/>
        </w:rPr>
        <w:t>a</w:t>
      </w:r>
      <w:r w:rsidR="00591EC3">
        <w:t xml:space="preserve"> </w:t>
      </w:r>
      <w:r w:rsidRPr="00AA3D1B">
        <w:rPr>
          <w:rFonts w:eastAsia="Calibri"/>
        </w:rPr>
        <w:t>Percentage</w:t>
      </w:r>
      <w:r w:rsidRPr="00A606FC">
        <w:t xml:space="preserve"> improvement from baseline. </w:t>
      </w:r>
    </w:p>
    <w:p w:rsidR="0080065F" w:rsidRDefault="0080065F" w:rsidP="00114B88">
      <w:pPr>
        <w:pStyle w:val="TableFooter"/>
      </w:pPr>
      <w:r w:rsidRPr="00AA3D1B">
        <w:rPr>
          <w:vertAlign w:val="superscript"/>
        </w:rPr>
        <w:t>b</w:t>
      </w:r>
      <w:r w:rsidR="00591EC3">
        <w:t xml:space="preserve"> </w:t>
      </w:r>
      <w:r w:rsidRPr="00A606FC">
        <w:t xml:space="preserve">A </w:t>
      </w:r>
      <w:r w:rsidRPr="00A33507">
        <w:rPr>
          <w:rFonts w:eastAsia="Calibri"/>
          <w:i/>
        </w:rPr>
        <w:t>post-</w:t>
      </w:r>
      <w:r w:rsidRPr="00A33507">
        <w:rPr>
          <w:i/>
        </w:rPr>
        <w:t>hoc</w:t>
      </w:r>
      <w:r w:rsidRPr="00A606FC">
        <w:t xml:space="preserve"> analysis compared change from baseline in 10m walking speed at </w:t>
      </w:r>
      <w:r>
        <w:t>Week 4 vs W</w:t>
      </w:r>
      <w:r w:rsidRPr="00A606FC">
        <w:t>eek 12 across cycles using a model for repeated measures; great</w:t>
      </w:r>
      <w:r>
        <w:t>er improvement was observed at Week 12 compared with W</w:t>
      </w:r>
      <w:r w:rsidRPr="00A606FC">
        <w:t xml:space="preserve">eek 4 across cycles. </w:t>
      </w:r>
    </w:p>
    <w:p w:rsidR="006C2ADA" w:rsidRDefault="006C2ADA" w:rsidP="00D309A1">
      <w:pPr>
        <w:pStyle w:val="CaptionFootnote"/>
        <w:widowControl/>
        <w:rPr>
          <w:rFonts w:ascii="Arial Narrow" w:hAnsi="Arial Narrow"/>
          <w:sz w:val="18"/>
        </w:rPr>
      </w:pPr>
      <w:r w:rsidRPr="002F6518">
        <w:rPr>
          <w:rFonts w:ascii="Arial Narrow" w:hAnsi="Arial Narrow"/>
          <w:sz w:val="18"/>
        </w:rPr>
        <w:t>Source:</w:t>
      </w:r>
      <w:r>
        <w:rPr>
          <w:rFonts w:ascii="Arial Narrow" w:hAnsi="Arial Narrow"/>
          <w:sz w:val="18"/>
        </w:rPr>
        <w:t xml:space="preserve"> Fi</w:t>
      </w:r>
      <w:r w:rsidR="00F15A6E">
        <w:rPr>
          <w:rFonts w:ascii="Arial Narrow" w:hAnsi="Arial Narrow"/>
          <w:sz w:val="18"/>
        </w:rPr>
        <w:t>gure 2.8, p92</w:t>
      </w:r>
      <w:r w:rsidR="0080065F">
        <w:rPr>
          <w:rFonts w:ascii="Arial Narrow" w:hAnsi="Arial Narrow"/>
          <w:sz w:val="18"/>
        </w:rPr>
        <w:t>, Figure 2.9, p94 and Figure 10, p97</w:t>
      </w:r>
      <w:r w:rsidR="00F15A6E">
        <w:rPr>
          <w:rFonts w:ascii="Arial Narrow" w:hAnsi="Arial Narrow"/>
          <w:sz w:val="18"/>
        </w:rPr>
        <w:t xml:space="preserve"> of the submission</w:t>
      </w:r>
      <w:r w:rsidR="00D3199C">
        <w:rPr>
          <w:rFonts w:ascii="Arial Narrow" w:hAnsi="Arial Narrow"/>
          <w:sz w:val="18"/>
        </w:rPr>
        <w:t>.</w:t>
      </w:r>
    </w:p>
    <w:p w:rsidR="00D3199C" w:rsidRPr="002F6518" w:rsidRDefault="00D3199C" w:rsidP="00D309A1">
      <w:pPr>
        <w:pStyle w:val="CaptionFootnote"/>
        <w:widowControl/>
        <w:rPr>
          <w:rFonts w:ascii="Arial Narrow" w:hAnsi="Arial Narrow"/>
          <w:sz w:val="18"/>
        </w:rPr>
      </w:pPr>
    </w:p>
    <w:p w:rsidR="00F15A6E" w:rsidRPr="00F55E1C" w:rsidRDefault="002F7E4E" w:rsidP="00D309A1">
      <w:pPr>
        <w:pStyle w:val="ListParagraph"/>
      </w:pPr>
      <w:r>
        <w:t>The results from the open label extension</w:t>
      </w:r>
      <w:r w:rsidR="007E13B8">
        <w:t>,</w:t>
      </w:r>
      <w:r>
        <w:t xml:space="preserve"> Study 142</w:t>
      </w:r>
      <w:r w:rsidR="007E13B8">
        <w:t>,</w:t>
      </w:r>
      <w:r>
        <w:t xml:space="preserve"> indicated an improvement in mean MAS score, mean PGA score and change in walking speed compared to baseline (Study 140) over time.</w:t>
      </w:r>
      <w:r w:rsidR="00FA60DA">
        <w:t xml:space="preserve"> </w:t>
      </w:r>
      <w:r w:rsidR="00034ECD">
        <w:rPr>
          <w:szCs w:val="20"/>
        </w:rPr>
        <w:t>It should be noted that t</w:t>
      </w:r>
      <w:r w:rsidR="00D82400" w:rsidRPr="00F55E1C">
        <w:rPr>
          <w:iCs/>
          <w:szCs w:val="20"/>
        </w:rPr>
        <w:t xml:space="preserve">he evidence presented in </w:t>
      </w:r>
      <w:r w:rsidR="00D82400" w:rsidRPr="00267462">
        <w:rPr>
          <w:iCs/>
          <w:szCs w:val="20"/>
        </w:rPr>
        <w:t xml:space="preserve">Study 142 did not provide comparative efficacy data versus placebo given </w:t>
      </w:r>
      <w:r w:rsidR="003700BC" w:rsidRPr="00267462">
        <w:rPr>
          <w:iCs/>
        </w:rPr>
        <w:t>all patients in the open label extension phase received active treatment</w:t>
      </w:r>
      <w:r w:rsidR="00034ECD" w:rsidRPr="00267462">
        <w:rPr>
          <w:iCs/>
        </w:rPr>
        <w:t xml:space="preserve">, and the number of patients decreased over time, suggesting that </w:t>
      </w:r>
      <w:r w:rsidR="00E8662C" w:rsidRPr="00267462">
        <w:rPr>
          <w:iCs/>
        </w:rPr>
        <w:t>those remaining in the study were responders</w:t>
      </w:r>
      <w:r w:rsidR="003700BC" w:rsidRPr="00267462">
        <w:rPr>
          <w:iCs/>
        </w:rPr>
        <w:t>.</w:t>
      </w:r>
    </w:p>
    <w:p w:rsidR="006C2ADA" w:rsidRPr="00287AB9" w:rsidRDefault="00287AB9" w:rsidP="00D309A1">
      <w:pPr>
        <w:pStyle w:val="ListParagraph"/>
      </w:pPr>
      <w:r>
        <w:t>Efficacy d</w:t>
      </w:r>
      <w:r w:rsidR="00400EC9">
        <w:t xml:space="preserve">ata from the supportive trials was </w:t>
      </w:r>
      <w:r>
        <w:t>inconsistent.</w:t>
      </w:r>
      <w:r w:rsidR="00FA60DA">
        <w:t xml:space="preserve"> </w:t>
      </w:r>
      <w:r w:rsidR="00400EC9">
        <w:t xml:space="preserve">For example, two trials (Study 044, Burbaud et al 1996) demonstrated a significant improvement in MAS associated with </w:t>
      </w:r>
      <w:r w:rsidR="00051CA9">
        <w:t>Dysport®</w:t>
      </w:r>
      <w:r w:rsidR="00400EC9">
        <w:t>, whereas three trials (Study 700, Study 002, Johnson et al 2004) reported no difference in</w:t>
      </w:r>
      <w:r w:rsidR="0054284B">
        <w:t xml:space="preserve"> </w:t>
      </w:r>
      <w:r w:rsidR="0054284B" w:rsidRPr="0054284B">
        <w:t>proportion of</w:t>
      </w:r>
      <w:r w:rsidR="00400EC9">
        <w:t xml:space="preserve"> MAS responders (</w:t>
      </w:r>
      <w:r w:rsidR="00400EC9">
        <w:rPr>
          <w:rFonts w:cs="Calibri"/>
        </w:rPr>
        <w:t>≥</w:t>
      </w:r>
      <w:r w:rsidR="0097047B">
        <w:rPr>
          <w:rFonts w:cs="Calibri"/>
        </w:rPr>
        <w:t xml:space="preserve"> </w:t>
      </w:r>
      <w:r w:rsidR="00400EC9">
        <w:t>1 grade), proportion with any improvement in MAS</w:t>
      </w:r>
      <w:r w:rsidR="0054284B">
        <w:t>,</w:t>
      </w:r>
      <w:r w:rsidR="00400EC9">
        <w:t xml:space="preserve"> or median MAS compared with placebo/control.</w:t>
      </w:r>
      <w:r w:rsidR="00FA60DA">
        <w:t xml:space="preserve"> </w:t>
      </w:r>
      <w:r>
        <w:t xml:space="preserve">Although </w:t>
      </w:r>
      <w:r w:rsidR="00400EC9">
        <w:t>o</w:t>
      </w:r>
      <w:r w:rsidR="00400EC9" w:rsidRPr="0060606E">
        <w:t>ne trial (Johnson et al 2004) demonstrated a significant improvement in walking speed (10</w:t>
      </w:r>
      <w:r w:rsidR="0097047B">
        <w:t xml:space="preserve"> </w:t>
      </w:r>
      <w:r w:rsidR="00400EC9" w:rsidRPr="0060606E">
        <w:t xml:space="preserve">m walk test), </w:t>
      </w:r>
      <w:r w:rsidR="00400EC9">
        <w:t>four</w:t>
      </w:r>
      <w:r w:rsidR="00400EC9" w:rsidRPr="0060606E">
        <w:t xml:space="preserve"> trials (Study 044, Study 700, Study 002 and </w:t>
      </w:r>
      <w:r w:rsidR="00400EC9" w:rsidRPr="0060606E">
        <w:lastRenderedPageBreak/>
        <w:t>Burbaud et al 1996) reported no difference in walking speed (10</w:t>
      </w:r>
      <w:r w:rsidR="0097047B">
        <w:t xml:space="preserve"> </w:t>
      </w:r>
      <w:r w:rsidR="00400EC9" w:rsidRPr="0060606E">
        <w:t>m walk test), walking distance (2 minute walk test) or walking speed response (≥</w:t>
      </w:r>
      <w:r w:rsidR="0097047B">
        <w:t xml:space="preserve"> </w:t>
      </w:r>
      <w:r w:rsidR="00400EC9" w:rsidRPr="0060606E">
        <w:t>10% improvement from baseline in time taken to walk 10</w:t>
      </w:r>
      <w:r w:rsidR="0097047B">
        <w:t xml:space="preserve"> </w:t>
      </w:r>
      <w:r w:rsidR="00400EC9" w:rsidRPr="0060606E">
        <w:t>m).</w:t>
      </w:r>
    </w:p>
    <w:p w:rsidR="00E5416C" w:rsidRPr="00F55E1C" w:rsidRDefault="00D84CC1" w:rsidP="00D309A1">
      <w:pPr>
        <w:pStyle w:val="ListParagraph"/>
      </w:pPr>
      <w:r w:rsidRPr="00D84CC1">
        <w:t xml:space="preserve">A </w:t>
      </w:r>
      <w:r w:rsidRPr="00D84CC1">
        <w:rPr>
          <w:i/>
          <w:iCs/>
        </w:rPr>
        <w:t>post-hoc</w:t>
      </w:r>
      <w:r w:rsidRPr="00D84CC1">
        <w:t xml:space="preserve"> analysis of change in walking speed </w:t>
      </w:r>
      <w:r w:rsidR="00982E6D">
        <w:t xml:space="preserve">from baseline (Study 140) </w:t>
      </w:r>
      <w:r w:rsidRPr="00D84CC1">
        <w:t xml:space="preserve">in the open-label extension </w:t>
      </w:r>
      <w:r>
        <w:t>Study 142</w:t>
      </w:r>
      <w:r w:rsidR="00982E6D">
        <w:t>,</w:t>
      </w:r>
      <w:r>
        <w:t xml:space="preserve"> by time since acute event at </w:t>
      </w:r>
      <w:r w:rsidR="00982E6D">
        <w:t>randomisation,</w:t>
      </w:r>
      <w:r w:rsidRPr="00D84CC1">
        <w:t xml:space="preserve"> indicated</w:t>
      </w:r>
      <w:r>
        <w:t xml:space="preserve"> a </w:t>
      </w:r>
      <w:r w:rsidR="00982E6D">
        <w:t xml:space="preserve">larger absolute change </w:t>
      </w:r>
      <w:r>
        <w:t>in walking speed over time for the subgroup ≤</w:t>
      </w:r>
      <w:r w:rsidR="0097047B">
        <w:t xml:space="preserve"> </w:t>
      </w:r>
      <w:r>
        <w:t xml:space="preserve">2 years post-acute </w:t>
      </w:r>
      <w:r w:rsidRPr="00C72C5B">
        <w:t>event</w:t>
      </w:r>
      <w:r>
        <w:t xml:space="preserve">. </w:t>
      </w:r>
      <w:r w:rsidRPr="00F55E1C">
        <w:rPr>
          <w:iCs/>
          <w:szCs w:val="20"/>
        </w:rPr>
        <w:t xml:space="preserve">While the mean change in walking speed appeared to be higher for patients with more recent events, a much higher proportion of patients in the subgroup </w:t>
      </w:r>
      <w:r w:rsidRPr="00F55E1C">
        <w:rPr>
          <w:rFonts w:cs="Calibri"/>
          <w:iCs/>
          <w:szCs w:val="20"/>
        </w:rPr>
        <w:t>≤</w:t>
      </w:r>
      <w:r w:rsidR="0097047B">
        <w:rPr>
          <w:rFonts w:cs="Calibri"/>
          <w:iCs/>
          <w:szCs w:val="20"/>
        </w:rPr>
        <w:t xml:space="preserve"> </w:t>
      </w:r>
      <w:r w:rsidRPr="00F55E1C">
        <w:rPr>
          <w:iCs/>
          <w:szCs w:val="20"/>
        </w:rPr>
        <w:t>2 years post</w:t>
      </w:r>
      <w:r w:rsidR="00AA00FB" w:rsidRPr="00F55E1C">
        <w:rPr>
          <w:iCs/>
          <w:szCs w:val="20"/>
        </w:rPr>
        <w:t>-</w:t>
      </w:r>
      <w:r w:rsidRPr="00F55E1C">
        <w:rPr>
          <w:iCs/>
          <w:szCs w:val="20"/>
        </w:rPr>
        <w:t>event had walking speed</w:t>
      </w:r>
      <w:r w:rsidR="00AA00FB" w:rsidRPr="00F55E1C">
        <w:rPr>
          <w:iCs/>
          <w:szCs w:val="20"/>
        </w:rPr>
        <w:t>s</w:t>
      </w:r>
      <w:r w:rsidRPr="00F55E1C">
        <w:rPr>
          <w:iCs/>
          <w:szCs w:val="20"/>
        </w:rPr>
        <w:t xml:space="preserve"> &lt;</w:t>
      </w:r>
      <w:r w:rsidR="0097047B">
        <w:rPr>
          <w:iCs/>
          <w:szCs w:val="20"/>
        </w:rPr>
        <w:t xml:space="preserve"> </w:t>
      </w:r>
      <w:r w:rsidRPr="00F55E1C">
        <w:rPr>
          <w:iCs/>
          <w:szCs w:val="20"/>
        </w:rPr>
        <w:t>0.4m/s, were treatment</w:t>
      </w:r>
      <w:r w:rsidR="00AA00FB" w:rsidRPr="00F55E1C">
        <w:rPr>
          <w:iCs/>
          <w:szCs w:val="20"/>
        </w:rPr>
        <w:t>-</w:t>
      </w:r>
      <w:r w:rsidRPr="00F55E1C">
        <w:rPr>
          <w:iCs/>
          <w:szCs w:val="20"/>
        </w:rPr>
        <w:t>naïve</w:t>
      </w:r>
      <w:r w:rsidR="00AA00FB" w:rsidRPr="00F55E1C">
        <w:rPr>
          <w:iCs/>
          <w:szCs w:val="20"/>
        </w:rPr>
        <w:t>,</w:t>
      </w:r>
      <w:r w:rsidRPr="00F55E1C">
        <w:rPr>
          <w:iCs/>
          <w:szCs w:val="20"/>
        </w:rPr>
        <w:t xml:space="preserve"> and </w:t>
      </w:r>
      <w:r w:rsidR="00AA00FB" w:rsidRPr="00F55E1C">
        <w:rPr>
          <w:iCs/>
          <w:szCs w:val="20"/>
        </w:rPr>
        <w:t xml:space="preserve">were </w:t>
      </w:r>
      <w:r w:rsidRPr="00F55E1C">
        <w:rPr>
          <w:iCs/>
          <w:szCs w:val="20"/>
        </w:rPr>
        <w:t>younger at baseline compared to the ITT population.</w:t>
      </w:r>
      <w:r w:rsidR="00FA60DA">
        <w:rPr>
          <w:iCs/>
          <w:szCs w:val="20"/>
        </w:rPr>
        <w:t xml:space="preserve"> </w:t>
      </w:r>
      <w:r w:rsidRPr="00F55E1C">
        <w:rPr>
          <w:iCs/>
          <w:szCs w:val="20"/>
        </w:rPr>
        <w:t xml:space="preserve">Hence, patients with more recent events </w:t>
      </w:r>
      <w:r w:rsidR="00982E6D" w:rsidRPr="00F55E1C">
        <w:rPr>
          <w:iCs/>
          <w:szCs w:val="20"/>
        </w:rPr>
        <w:t xml:space="preserve">may </w:t>
      </w:r>
      <w:r w:rsidRPr="00F55E1C">
        <w:rPr>
          <w:iCs/>
          <w:szCs w:val="20"/>
        </w:rPr>
        <w:t>have more opportunity to demonstrate a larger change in walking speed over time compared to patients who have already impr</w:t>
      </w:r>
      <w:r w:rsidR="00E5416C" w:rsidRPr="00F55E1C">
        <w:rPr>
          <w:iCs/>
          <w:szCs w:val="20"/>
        </w:rPr>
        <w:t>oved from previous treatments.</w:t>
      </w:r>
    </w:p>
    <w:p w:rsidR="00952B26" w:rsidRPr="00952B26" w:rsidRDefault="00952B26" w:rsidP="00D309A1">
      <w:pPr>
        <w:pStyle w:val="ListParagraph"/>
      </w:pPr>
      <w:r w:rsidRPr="00952B26">
        <w:t xml:space="preserve">A </w:t>
      </w:r>
      <w:r w:rsidRPr="00952B26">
        <w:rPr>
          <w:i/>
          <w:iCs/>
        </w:rPr>
        <w:t>post-hoc</w:t>
      </w:r>
      <w:r w:rsidRPr="00952B26">
        <w:t xml:space="preserve"> analysis of walking speed responder (</w:t>
      </w:r>
      <w:r w:rsidRPr="00952B26">
        <w:rPr>
          <w:i/>
          <w:iCs/>
        </w:rPr>
        <w:t>post-hoc</w:t>
      </w:r>
      <w:r w:rsidRPr="00952B26">
        <w:t xml:space="preserve"> outcome, defined as ≥</w:t>
      </w:r>
      <w:r w:rsidR="0097047B">
        <w:t xml:space="preserve"> </w:t>
      </w:r>
      <w:r w:rsidRPr="00952B26">
        <w:t>0.13m/s improvement in walking speed from baseline in Study 140)</w:t>
      </w:r>
      <w:r w:rsidRPr="00952B26">
        <w:rPr>
          <w:szCs w:val="20"/>
        </w:rPr>
        <w:t xml:space="preserve"> in the open-label extension Study 142 demonstrated patients initially treated with placebo (standard of care alone) experienced a lagged response.</w:t>
      </w:r>
    </w:p>
    <w:p w:rsidR="00B10C23" w:rsidRPr="00267462" w:rsidRDefault="00B10C23" w:rsidP="00B64C2D">
      <w:pPr>
        <w:pStyle w:val="ListParagraph"/>
      </w:pPr>
      <w:r w:rsidRPr="00267462">
        <w:t xml:space="preserve">For the modelled economic analysis, the submission proposed that the </w:t>
      </w:r>
      <w:r w:rsidRPr="007E13B8">
        <w:rPr>
          <w:i/>
          <w:iCs/>
        </w:rPr>
        <w:t>post-hoc</w:t>
      </w:r>
      <w:r w:rsidRPr="007E13B8">
        <w:rPr>
          <w:i/>
        </w:rPr>
        <w:t xml:space="preserve"> </w:t>
      </w:r>
      <w:r w:rsidRPr="00267462">
        <w:t>subgroup ≤</w:t>
      </w:r>
      <w:r w:rsidR="0097047B">
        <w:t xml:space="preserve"> </w:t>
      </w:r>
      <w:r w:rsidRPr="00267462">
        <w:t>2 years post-acute event in Study 140 was more applicable to the PBS population than the ITT population.</w:t>
      </w:r>
      <w:r w:rsidR="00FA60DA" w:rsidRPr="00267462">
        <w:t xml:space="preserve"> </w:t>
      </w:r>
      <w:r w:rsidRPr="00267462">
        <w:rPr>
          <w:iCs/>
        </w:rPr>
        <w:t xml:space="preserve">The submission inappropriately did not provide any pharmacological, biological or clinical rationale for restricting access to patients within the nominated </w:t>
      </w:r>
      <w:r w:rsidRPr="0097047B">
        <w:rPr>
          <w:i/>
          <w:iCs/>
        </w:rPr>
        <w:t>post-hoc</w:t>
      </w:r>
      <w:r w:rsidRPr="00267462">
        <w:rPr>
          <w:iCs/>
        </w:rPr>
        <w:t xml:space="preserve"> trial subgroup.</w:t>
      </w:r>
      <w:r w:rsidR="00AC396E" w:rsidRPr="00267462">
        <w:rPr>
          <w:iCs/>
        </w:rPr>
        <w:t xml:space="preserve"> The PSCR argued that the biological rationale for the subgroup analyses is that once spasticity is established, the chronically shortened muscle may develop physical changes that </w:t>
      </w:r>
      <w:r w:rsidR="00B81ED7" w:rsidRPr="00267462">
        <w:rPr>
          <w:iCs/>
        </w:rPr>
        <w:t>lead to deformities</w:t>
      </w:r>
      <w:r w:rsidR="00D0154C" w:rsidRPr="00267462">
        <w:rPr>
          <w:iCs/>
        </w:rPr>
        <w:t>,</w:t>
      </w:r>
      <w:r w:rsidR="00B81ED7" w:rsidRPr="00267462">
        <w:rPr>
          <w:iCs/>
        </w:rPr>
        <w:t xml:space="preserve"> impair</w:t>
      </w:r>
      <w:r w:rsidR="00D0154C" w:rsidRPr="00267462">
        <w:rPr>
          <w:iCs/>
        </w:rPr>
        <w:t>ing</w:t>
      </w:r>
      <w:r w:rsidR="00B81ED7" w:rsidRPr="00267462">
        <w:rPr>
          <w:iCs/>
        </w:rPr>
        <w:t xml:space="preserve"> capacity for </w:t>
      </w:r>
      <w:r w:rsidR="00D0154C" w:rsidRPr="00267462">
        <w:rPr>
          <w:iCs/>
        </w:rPr>
        <w:t xml:space="preserve">activities required in </w:t>
      </w:r>
      <w:r w:rsidR="00B81ED7" w:rsidRPr="00267462">
        <w:rPr>
          <w:iCs/>
        </w:rPr>
        <w:t xml:space="preserve">daily </w:t>
      </w:r>
      <w:r w:rsidR="00D0154C" w:rsidRPr="00267462">
        <w:rPr>
          <w:iCs/>
        </w:rPr>
        <w:t>life</w:t>
      </w:r>
      <w:r w:rsidR="00B81ED7" w:rsidRPr="00267462">
        <w:rPr>
          <w:iCs/>
        </w:rPr>
        <w:t xml:space="preserve">. </w:t>
      </w:r>
      <w:r w:rsidR="00D0154C" w:rsidRPr="00267462">
        <w:rPr>
          <w:iCs/>
        </w:rPr>
        <w:t>The PSCR claimed that in patients with these characteristics the intent of treatment might be most appropriately focused on improving passive functioning rather than active functioning such as walking speed, and t</w:t>
      </w:r>
      <w:r w:rsidR="00AC396E" w:rsidRPr="00267462">
        <w:rPr>
          <w:iCs/>
        </w:rPr>
        <w:t>he</w:t>
      </w:r>
      <w:r w:rsidR="00B81ED7" w:rsidRPr="00267462">
        <w:rPr>
          <w:iCs/>
        </w:rPr>
        <w:t xml:space="preserve"> </w:t>
      </w:r>
      <w:r w:rsidR="00B81ED7" w:rsidRPr="0097047B">
        <w:rPr>
          <w:i/>
          <w:iCs/>
        </w:rPr>
        <w:t>post-hoc</w:t>
      </w:r>
      <w:r w:rsidR="00AC396E" w:rsidRPr="0097047B">
        <w:rPr>
          <w:i/>
          <w:iCs/>
        </w:rPr>
        <w:t xml:space="preserve"> </w:t>
      </w:r>
      <w:r w:rsidR="00AC396E" w:rsidRPr="00267462">
        <w:rPr>
          <w:iCs/>
        </w:rPr>
        <w:t xml:space="preserve">subgroup is representative of a patient population who </w:t>
      </w:r>
      <w:r w:rsidR="00D0154C" w:rsidRPr="00267462">
        <w:rPr>
          <w:iCs/>
        </w:rPr>
        <w:t>have the muscle plasticity to potentially obtain active functional improvements.</w:t>
      </w:r>
      <w:r w:rsidR="00AC396E" w:rsidRPr="00267462">
        <w:rPr>
          <w:iCs/>
        </w:rPr>
        <w:t xml:space="preserve"> </w:t>
      </w:r>
    </w:p>
    <w:p w:rsidR="00952B26" w:rsidRPr="00F55E1C" w:rsidRDefault="00952B26" w:rsidP="002812FB">
      <w:pPr>
        <w:pStyle w:val="ListParagraph"/>
        <w:spacing w:after="160"/>
        <w:rPr>
          <w:iCs/>
        </w:rPr>
      </w:pPr>
      <w:r w:rsidRPr="00267462">
        <w:rPr>
          <w:iCs/>
        </w:rPr>
        <w:t>The submission inappropriately did not present the relative or absolute treatment effects for any pre-specified outcomes in the double blind Study 140 for the nominated subgroup or its complement.</w:t>
      </w:r>
      <w:r w:rsidR="00193023" w:rsidRPr="00267462">
        <w:rPr>
          <w:iCs/>
        </w:rPr>
        <w:t xml:space="preserve"> The PSCR provided additional data </w:t>
      </w:r>
      <w:r w:rsidR="002E476B" w:rsidRPr="00267462">
        <w:rPr>
          <w:iCs/>
        </w:rPr>
        <w:t xml:space="preserve">for the </w:t>
      </w:r>
      <w:r w:rsidR="006A0105" w:rsidRPr="00267462">
        <w:rPr>
          <w:iCs/>
        </w:rPr>
        <w:t>subgroup</w:t>
      </w:r>
      <w:r w:rsidR="00193023" w:rsidRPr="00267462">
        <w:rPr>
          <w:iCs/>
        </w:rPr>
        <w:t xml:space="preserve"> </w:t>
      </w:r>
      <w:r w:rsidR="006A0105" w:rsidRPr="00267462">
        <w:rPr>
          <w:rFonts w:cs="Calibri"/>
          <w:iCs/>
        </w:rPr>
        <w:t>≤</w:t>
      </w:r>
      <w:r w:rsidR="0097047B">
        <w:rPr>
          <w:rFonts w:cs="Calibri"/>
          <w:iCs/>
        </w:rPr>
        <w:t xml:space="preserve"> </w:t>
      </w:r>
      <w:r w:rsidR="006A0105" w:rsidRPr="00267462">
        <w:rPr>
          <w:iCs/>
        </w:rPr>
        <w:t xml:space="preserve">2 years </w:t>
      </w:r>
      <w:r w:rsidR="00C87905" w:rsidRPr="00267462">
        <w:rPr>
          <w:iCs/>
        </w:rPr>
        <w:t xml:space="preserve">post-event </w:t>
      </w:r>
      <w:r w:rsidR="006A0105" w:rsidRPr="00267462">
        <w:rPr>
          <w:iCs/>
        </w:rPr>
        <w:t>and its complement (</w:t>
      </w:r>
      <w:r w:rsidR="00C87905" w:rsidRPr="00267462">
        <w:rPr>
          <w:iCs/>
        </w:rPr>
        <w:t>&gt;</w:t>
      </w:r>
      <w:r w:rsidR="0097047B">
        <w:rPr>
          <w:iCs/>
        </w:rPr>
        <w:t xml:space="preserve"> </w:t>
      </w:r>
      <w:r w:rsidR="006A0105" w:rsidRPr="00267462">
        <w:rPr>
          <w:iCs/>
        </w:rPr>
        <w:t>2</w:t>
      </w:r>
      <w:r w:rsidR="00C87905" w:rsidRPr="00267462">
        <w:rPr>
          <w:iCs/>
        </w:rPr>
        <w:t xml:space="preserve"> </w:t>
      </w:r>
      <w:r w:rsidR="006A0105" w:rsidRPr="00267462">
        <w:rPr>
          <w:iCs/>
        </w:rPr>
        <w:t>years) across some pre-specified outcomes (</w:t>
      </w:r>
      <w:r w:rsidR="00B4695F" w:rsidRPr="00267462">
        <w:rPr>
          <w:iCs/>
        </w:rPr>
        <w:t xml:space="preserve">see Table </w:t>
      </w:r>
      <w:r w:rsidR="00BE7D28" w:rsidRPr="00267462">
        <w:rPr>
          <w:iCs/>
        </w:rPr>
        <w:t>6</w:t>
      </w:r>
      <w:r w:rsidR="006A0105" w:rsidRPr="00267462">
        <w:rPr>
          <w:iCs/>
        </w:rPr>
        <w:t xml:space="preserve">). </w:t>
      </w:r>
      <w:r w:rsidR="002E476B" w:rsidRPr="00267462">
        <w:rPr>
          <w:iCs/>
        </w:rPr>
        <w:t>The PSCR argued that</w:t>
      </w:r>
      <w:r w:rsidR="002E476B">
        <w:rPr>
          <w:i/>
          <w:iCs/>
        </w:rPr>
        <w:t xml:space="preserve"> </w:t>
      </w:r>
      <w:r w:rsidR="002E476B" w:rsidRPr="00267462">
        <w:rPr>
          <w:iCs/>
        </w:rPr>
        <w:t xml:space="preserve">the main findings from these analyses supported the rationale that outcomes in the </w:t>
      </w:r>
      <w:r w:rsidR="002E476B" w:rsidRPr="00267462">
        <w:rPr>
          <w:rFonts w:cs="Calibri"/>
          <w:iCs/>
        </w:rPr>
        <w:t>≤</w:t>
      </w:r>
      <w:r w:rsidR="0097047B">
        <w:rPr>
          <w:rFonts w:cs="Calibri"/>
          <w:iCs/>
        </w:rPr>
        <w:t xml:space="preserve"> </w:t>
      </w:r>
      <w:r w:rsidR="002E476B" w:rsidRPr="00267462">
        <w:rPr>
          <w:iCs/>
        </w:rPr>
        <w:t>2 years subgroup were superior to the outcomes in the complementary sub-population.</w:t>
      </w:r>
      <w:r w:rsidR="001B3E0D" w:rsidRPr="00267462">
        <w:rPr>
          <w:iCs/>
        </w:rPr>
        <w:t xml:space="preserve"> </w:t>
      </w:r>
      <w:r w:rsidR="00E30E99" w:rsidRPr="00267462">
        <w:rPr>
          <w:iCs/>
        </w:rPr>
        <w:t xml:space="preserve">No formal comparison of the subgroups was provided. </w:t>
      </w:r>
      <w:r w:rsidR="001B3E0D" w:rsidRPr="00267462">
        <w:rPr>
          <w:iCs/>
        </w:rPr>
        <w:t xml:space="preserve">The </w:t>
      </w:r>
      <w:r w:rsidR="00E8662C" w:rsidRPr="00267462">
        <w:rPr>
          <w:iCs/>
        </w:rPr>
        <w:t xml:space="preserve">ESC considered that the </w:t>
      </w:r>
      <w:r w:rsidR="001B3E0D" w:rsidRPr="00267462">
        <w:rPr>
          <w:iCs/>
        </w:rPr>
        <w:t>superiority of outcomes in the ≤</w:t>
      </w:r>
      <w:r w:rsidR="0097047B">
        <w:rPr>
          <w:iCs/>
        </w:rPr>
        <w:t xml:space="preserve"> </w:t>
      </w:r>
      <w:r w:rsidR="001B3E0D" w:rsidRPr="00267462">
        <w:rPr>
          <w:iCs/>
        </w:rPr>
        <w:t>2 years post-event subgroup compared with the &gt;</w:t>
      </w:r>
      <w:r w:rsidR="0097047B">
        <w:rPr>
          <w:iCs/>
        </w:rPr>
        <w:t xml:space="preserve"> </w:t>
      </w:r>
      <w:r w:rsidR="001B3E0D" w:rsidRPr="00267462">
        <w:rPr>
          <w:iCs/>
        </w:rPr>
        <w:t xml:space="preserve">2 years subgroup </w:t>
      </w:r>
      <w:r w:rsidR="00E8662C" w:rsidRPr="00267462">
        <w:rPr>
          <w:iCs/>
        </w:rPr>
        <w:t>wa</w:t>
      </w:r>
      <w:r w:rsidR="001B3E0D" w:rsidRPr="00267462">
        <w:rPr>
          <w:iCs/>
        </w:rPr>
        <w:t>s not apparent from data provided in the PSCR</w:t>
      </w:r>
      <w:r w:rsidR="00E30E99" w:rsidRPr="00267462">
        <w:rPr>
          <w:iCs/>
        </w:rPr>
        <w:t>.</w:t>
      </w:r>
      <w:r w:rsidR="00927414" w:rsidRPr="00267462">
        <w:rPr>
          <w:iCs/>
        </w:rPr>
        <w:t xml:space="preserve"> The ESC noted that </w:t>
      </w:r>
      <w:r w:rsidR="001B3E0D" w:rsidRPr="00267462">
        <w:rPr>
          <w:iCs/>
        </w:rPr>
        <w:t xml:space="preserve">none of the outcomes (mean change in MAS from baseline, MAS responder, mean change in walking speed or walking speed responder) </w:t>
      </w:r>
      <w:r w:rsidR="00E30E99" w:rsidRPr="00267462">
        <w:rPr>
          <w:iCs/>
        </w:rPr>
        <w:t>were</w:t>
      </w:r>
      <w:r w:rsidR="001B3E0D" w:rsidRPr="00267462">
        <w:rPr>
          <w:iCs/>
        </w:rPr>
        <w:t xml:space="preserve"> statistically different to placebo </w:t>
      </w:r>
      <w:r w:rsidR="00E30E99" w:rsidRPr="00267462">
        <w:rPr>
          <w:iCs/>
        </w:rPr>
        <w:t>in</w:t>
      </w:r>
      <w:r w:rsidR="001B3E0D" w:rsidRPr="00267462">
        <w:rPr>
          <w:iCs/>
        </w:rPr>
        <w:t xml:space="preserve"> either of the subgroups at the 4 week or 12 week time points. </w:t>
      </w:r>
    </w:p>
    <w:p w:rsidR="00963FA6" w:rsidRPr="00484887" w:rsidRDefault="00963FA6" w:rsidP="002812FB">
      <w:pPr>
        <w:pStyle w:val="Caption"/>
        <w:keepNext/>
        <w:widowControl/>
        <w:spacing w:after="0"/>
        <w:rPr>
          <w:rStyle w:val="CommentReference"/>
          <w:b/>
          <w:bCs w:val="0"/>
          <w:color w:val="auto"/>
          <w:szCs w:val="20"/>
        </w:rPr>
      </w:pPr>
      <w:bookmarkStart w:id="11" w:name="_Toc524505997"/>
      <w:r w:rsidRPr="00BE7D28">
        <w:rPr>
          <w:rStyle w:val="CommentReference"/>
          <w:b/>
          <w:color w:val="auto"/>
          <w:szCs w:val="20"/>
        </w:rPr>
        <w:lastRenderedPageBreak/>
        <w:t xml:space="preserve">Table </w:t>
      </w:r>
      <w:r w:rsidR="00BE7D28" w:rsidRPr="00BE7D28">
        <w:rPr>
          <w:rStyle w:val="CommentReference"/>
          <w:b/>
          <w:color w:val="auto"/>
          <w:szCs w:val="20"/>
        </w:rPr>
        <w:t>6</w:t>
      </w:r>
      <w:r w:rsidRPr="00BE7D28">
        <w:rPr>
          <w:rStyle w:val="CommentReference"/>
          <w:b/>
          <w:color w:val="auto"/>
          <w:szCs w:val="20"/>
        </w:rPr>
        <w:t>:</w:t>
      </w:r>
      <w:r w:rsidR="00FA60DA">
        <w:rPr>
          <w:rStyle w:val="CommentReference"/>
          <w:b/>
          <w:color w:val="auto"/>
          <w:szCs w:val="20"/>
        </w:rPr>
        <w:t xml:space="preserve"> </w:t>
      </w:r>
      <w:r w:rsidRPr="00484887">
        <w:rPr>
          <w:rStyle w:val="CommentReference"/>
          <w:b/>
          <w:color w:val="auto"/>
          <w:szCs w:val="20"/>
        </w:rPr>
        <w:t>Key efficacy</w:t>
      </w:r>
      <w:r w:rsidRPr="00484887">
        <w:rPr>
          <w:rStyle w:val="CommentReference"/>
          <w:b/>
          <w:bCs w:val="0"/>
          <w:color w:val="auto"/>
          <w:szCs w:val="20"/>
        </w:rPr>
        <w:t xml:space="preserve"> outcomes reported in Study 140 (≤2 years and &gt;2 years since onset)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9"/>
        <w:gridCol w:w="985"/>
        <w:gridCol w:w="985"/>
        <w:gridCol w:w="1408"/>
        <w:gridCol w:w="985"/>
        <w:gridCol w:w="986"/>
        <w:gridCol w:w="1529"/>
      </w:tblGrid>
      <w:tr w:rsidR="00585E4E" w:rsidRPr="00E56120" w:rsidTr="00E30E99">
        <w:tc>
          <w:tcPr>
            <w:tcW w:w="1186" w:type="pct"/>
            <w:vMerge w:val="restart"/>
            <w:vAlign w:val="center"/>
          </w:tcPr>
          <w:p w:rsidR="00585E4E" w:rsidRPr="00E56120" w:rsidRDefault="00585E4E" w:rsidP="00D309A1">
            <w:pPr>
              <w:pStyle w:val="Tabletext"/>
              <w:keepNext/>
              <w:rPr>
                <w:b/>
              </w:rPr>
            </w:pPr>
          </w:p>
        </w:tc>
        <w:tc>
          <w:tcPr>
            <w:tcW w:w="1873" w:type="pct"/>
            <w:gridSpan w:val="3"/>
            <w:vAlign w:val="center"/>
          </w:tcPr>
          <w:p w:rsidR="00585E4E" w:rsidRDefault="00585E4E" w:rsidP="00D309A1">
            <w:pPr>
              <w:pStyle w:val="Tabletext"/>
              <w:keepNext/>
              <w:jc w:val="center"/>
              <w:rPr>
                <w:b/>
                <w:bCs/>
              </w:rPr>
            </w:pPr>
            <w:r>
              <w:rPr>
                <w:b/>
                <w:bCs/>
              </w:rPr>
              <w:t>≤2 years</w:t>
            </w:r>
          </w:p>
        </w:tc>
        <w:tc>
          <w:tcPr>
            <w:tcW w:w="1941" w:type="pct"/>
            <w:gridSpan w:val="3"/>
          </w:tcPr>
          <w:p w:rsidR="00585E4E" w:rsidRDefault="00585E4E" w:rsidP="00D309A1">
            <w:pPr>
              <w:pStyle w:val="Tabletext"/>
              <w:keepNext/>
              <w:jc w:val="center"/>
              <w:rPr>
                <w:b/>
                <w:bCs/>
              </w:rPr>
            </w:pPr>
            <w:r>
              <w:rPr>
                <w:b/>
                <w:bCs/>
              </w:rPr>
              <w:t>&gt;2 years</w:t>
            </w:r>
          </w:p>
        </w:tc>
      </w:tr>
      <w:tr w:rsidR="00585E4E" w:rsidRPr="00E56120" w:rsidTr="00E30E99">
        <w:tc>
          <w:tcPr>
            <w:tcW w:w="1186" w:type="pct"/>
            <w:vMerge/>
            <w:vAlign w:val="center"/>
          </w:tcPr>
          <w:p w:rsidR="00585E4E" w:rsidRPr="00E56120" w:rsidRDefault="00585E4E" w:rsidP="00D309A1">
            <w:pPr>
              <w:pStyle w:val="Tabletext"/>
              <w:keepNext/>
              <w:rPr>
                <w:b/>
              </w:rPr>
            </w:pPr>
          </w:p>
        </w:tc>
        <w:tc>
          <w:tcPr>
            <w:tcW w:w="546" w:type="pct"/>
            <w:vAlign w:val="center"/>
          </w:tcPr>
          <w:p w:rsidR="00585E4E" w:rsidRPr="00E56120" w:rsidRDefault="00585E4E" w:rsidP="00D309A1">
            <w:pPr>
              <w:pStyle w:val="Tabletext"/>
              <w:keepNext/>
              <w:jc w:val="center"/>
              <w:rPr>
                <w:b/>
              </w:rPr>
            </w:pPr>
            <w:r w:rsidRPr="00E56120">
              <w:rPr>
                <w:b/>
              </w:rPr>
              <w:t>Placebo</w:t>
            </w:r>
          </w:p>
        </w:tc>
        <w:tc>
          <w:tcPr>
            <w:tcW w:w="546" w:type="pct"/>
            <w:vAlign w:val="center"/>
          </w:tcPr>
          <w:p w:rsidR="00585E4E" w:rsidRPr="00E56120" w:rsidRDefault="00585E4E" w:rsidP="00D309A1">
            <w:pPr>
              <w:pStyle w:val="Tabletext"/>
              <w:keepNext/>
              <w:jc w:val="center"/>
              <w:rPr>
                <w:b/>
              </w:rPr>
            </w:pPr>
            <w:r>
              <w:rPr>
                <w:b/>
              </w:rPr>
              <w:t>Dysport</w:t>
            </w:r>
            <w:r w:rsidRPr="00E56120">
              <w:rPr>
                <w:b/>
              </w:rPr>
              <w:t xml:space="preserve"> 1500U</w:t>
            </w:r>
          </w:p>
        </w:tc>
        <w:tc>
          <w:tcPr>
            <w:tcW w:w="781" w:type="pct"/>
            <w:vMerge w:val="restart"/>
            <w:vAlign w:val="center"/>
          </w:tcPr>
          <w:p w:rsidR="00585E4E" w:rsidRPr="00AF6950" w:rsidRDefault="00585E4E" w:rsidP="00D309A1">
            <w:pPr>
              <w:pStyle w:val="Tabletext"/>
              <w:keepNext/>
              <w:jc w:val="center"/>
              <w:rPr>
                <w:b/>
                <w:bCs/>
              </w:rPr>
            </w:pPr>
            <w:r>
              <w:rPr>
                <w:b/>
                <w:bCs/>
              </w:rPr>
              <w:t>Dysport vs Placebo</w:t>
            </w:r>
          </w:p>
        </w:tc>
        <w:tc>
          <w:tcPr>
            <w:tcW w:w="546" w:type="pct"/>
            <w:vAlign w:val="center"/>
          </w:tcPr>
          <w:p w:rsidR="00585E4E" w:rsidRPr="00E56120" w:rsidRDefault="00585E4E" w:rsidP="00D309A1">
            <w:pPr>
              <w:pStyle w:val="Tabletext"/>
              <w:keepNext/>
              <w:jc w:val="center"/>
              <w:rPr>
                <w:b/>
              </w:rPr>
            </w:pPr>
            <w:r w:rsidRPr="00E56120">
              <w:rPr>
                <w:b/>
              </w:rPr>
              <w:t>Placebo</w:t>
            </w:r>
          </w:p>
        </w:tc>
        <w:tc>
          <w:tcPr>
            <w:tcW w:w="547" w:type="pct"/>
            <w:vAlign w:val="center"/>
          </w:tcPr>
          <w:p w:rsidR="00585E4E" w:rsidRPr="00E56120" w:rsidRDefault="00585E4E" w:rsidP="00D309A1">
            <w:pPr>
              <w:pStyle w:val="Tabletext"/>
              <w:keepNext/>
              <w:jc w:val="center"/>
              <w:rPr>
                <w:b/>
              </w:rPr>
            </w:pPr>
            <w:r>
              <w:rPr>
                <w:b/>
              </w:rPr>
              <w:t>Dysport</w:t>
            </w:r>
            <w:r w:rsidRPr="00E56120">
              <w:rPr>
                <w:b/>
              </w:rPr>
              <w:t xml:space="preserve"> 1500U</w:t>
            </w:r>
          </w:p>
        </w:tc>
        <w:tc>
          <w:tcPr>
            <w:tcW w:w="848" w:type="pct"/>
            <w:vMerge w:val="restart"/>
            <w:vAlign w:val="center"/>
          </w:tcPr>
          <w:p w:rsidR="00585E4E" w:rsidRPr="00AF6950" w:rsidRDefault="00585E4E" w:rsidP="00D309A1">
            <w:pPr>
              <w:pStyle w:val="Tabletext"/>
              <w:keepNext/>
              <w:jc w:val="center"/>
              <w:rPr>
                <w:b/>
                <w:bCs/>
              </w:rPr>
            </w:pPr>
            <w:r>
              <w:rPr>
                <w:b/>
                <w:bCs/>
              </w:rPr>
              <w:t>Dysport vs Placebo</w:t>
            </w:r>
          </w:p>
        </w:tc>
      </w:tr>
      <w:tr w:rsidR="00585E4E" w:rsidRPr="00E56120" w:rsidTr="00E30E99">
        <w:tc>
          <w:tcPr>
            <w:tcW w:w="1186" w:type="pct"/>
            <w:vMerge/>
            <w:vAlign w:val="center"/>
          </w:tcPr>
          <w:p w:rsidR="00585E4E" w:rsidRPr="00E56120" w:rsidRDefault="00585E4E" w:rsidP="00D309A1">
            <w:pPr>
              <w:pStyle w:val="Tabletext"/>
              <w:keepNext/>
              <w:rPr>
                <w:b/>
              </w:rPr>
            </w:pPr>
          </w:p>
        </w:tc>
        <w:tc>
          <w:tcPr>
            <w:tcW w:w="546" w:type="pct"/>
            <w:vAlign w:val="center"/>
          </w:tcPr>
          <w:p w:rsidR="00585E4E" w:rsidRPr="00E56120" w:rsidRDefault="00585E4E" w:rsidP="00D309A1">
            <w:pPr>
              <w:pStyle w:val="Tabletext"/>
              <w:keepNext/>
              <w:jc w:val="center"/>
              <w:rPr>
                <w:b/>
              </w:rPr>
            </w:pPr>
            <w:r w:rsidRPr="00E56120">
              <w:rPr>
                <w:b/>
              </w:rPr>
              <w:t>N=</w:t>
            </w:r>
            <w:r>
              <w:rPr>
                <w:b/>
              </w:rPr>
              <w:t>43</w:t>
            </w:r>
          </w:p>
        </w:tc>
        <w:tc>
          <w:tcPr>
            <w:tcW w:w="546" w:type="pct"/>
            <w:vAlign w:val="center"/>
          </w:tcPr>
          <w:p w:rsidR="00585E4E" w:rsidRPr="00E56120" w:rsidRDefault="00585E4E" w:rsidP="00D309A1">
            <w:pPr>
              <w:pStyle w:val="Tabletext"/>
              <w:keepNext/>
              <w:jc w:val="center"/>
              <w:rPr>
                <w:b/>
              </w:rPr>
            </w:pPr>
            <w:r w:rsidRPr="00E56120">
              <w:rPr>
                <w:b/>
              </w:rPr>
              <w:t>N=</w:t>
            </w:r>
            <w:r>
              <w:rPr>
                <w:b/>
              </w:rPr>
              <w:t>44</w:t>
            </w:r>
          </w:p>
        </w:tc>
        <w:tc>
          <w:tcPr>
            <w:tcW w:w="781" w:type="pct"/>
            <w:vMerge/>
            <w:vAlign w:val="center"/>
          </w:tcPr>
          <w:p w:rsidR="00585E4E" w:rsidRPr="00E56120" w:rsidRDefault="00585E4E" w:rsidP="00D309A1">
            <w:pPr>
              <w:pStyle w:val="Tabletext"/>
              <w:keepNext/>
              <w:jc w:val="center"/>
              <w:rPr>
                <w:b/>
              </w:rPr>
            </w:pPr>
          </w:p>
        </w:tc>
        <w:tc>
          <w:tcPr>
            <w:tcW w:w="546" w:type="pct"/>
          </w:tcPr>
          <w:p w:rsidR="00585E4E" w:rsidRPr="00E56120" w:rsidRDefault="00585E4E" w:rsidP="00D309A1">
            <w:pPr>
              <w:pStyle w:val="Tabletext"/>
              <w:keepNext/>
              <w:jc w:val="center"/>
              <w:rPr>
                <w:b/>
              </w:rPr>
            </w:pPr>
            <w:r>
              <w:rPr>
                <w:b/>
              </w:rPr>
              <w:t>N=85</w:t>
            </w:r>
          </w:p>
        </w:tc>
        <w:tc>
          <w:tcPr>
            <w:tcW w:w="547" w:type="pct"/>
          </w:tcPr>
          <w:p w:rsidR="00585E4E" w:rsidRPr="00E56120" w:rsidRDefault="00585E4E" w:rsidP="00D309A1">
            <w:pPr>
              <w:pStyle w:val="Tabletext"/>
              <w:keepNext/>
              <w:jc w:val="center"/>
              <w:rPr>
                <w:b/>
              </w:rPr>
            </w:pPr>
            <w:r>
              <w:rPr>
                <w:b/>
              </w:rPr>
              <w:t>N=84</w:t>
            </w:r>
          </w:p>
        </w:tc>
        <w:tc>
          <w:tcPr>
            <w:tcW w:w="848" w:type="pct"/>
            <w:vMerge/>
            <w:vAlign w:val="center"/>
          </w:tcPr>
          <w:p w:rsidR="00585E4E" w:rsidRPr="00E56120" w:rsidRDefault="00585E4E" w:rsidP="00D309A1">
            <w:pPr>
              <w:pStyle w:val="Tabletext"/>
              <w:keepNext/>
              <w:jc w:val="center"/>
              <w:rPr>
                <w:b/>
              </w:rPr>
            </w:pPr>
          </w:p>
        </w:tc>
      </w:tr>
      <w:tr w:rsidR="00585E4E" w:rsidRPr="00E56120" w:rsidTr="00585E4E">
        <w:tc>
          <w:tcPr>
            <w:tcW w:w="5000" w:type="pct"/>
            <w:gridSpan w:val="7"/>
          </w:tcPr>
          <w:p w:rsidR="00585E4E" w:rsidRPr="00E56120" w:rsidRDefault="00585E4E" w:rsidP="00D309A1">
            <w:pPr>
              <w:pStyle w:val="Tabletext"/>
              <w:keepNext/>
              <w:rPr>
                <w:b/>
                <w:bCs/>
              </w:rPr>
            </w:pPr>
            <w:r w:rsidRPr="00E56120">
              <w:rPr>
                <w:b/>
                <w:bCs/>
              </w:rPr>
              <w:t>Change in MAS</w:t>
            </w:r>
            <w:r>
              <w:rPr>
                <w:b/>
                <w:bCs/>
              </w:rPr>
              <w:t xml:space="preserve"> in the GSC (knee extended)</w:t>
            </w:r>
            <w:r w:rsidRPr="00E56120">
              <w:rPr>
                <w:b/>
                <w:bCs/>
              </w:rPr>
              <w:t xml:space="preserve"> from baseline</w:t>
            </w:r>
          </w:p>
        </w:tc>
      </w:tr>
      <w:tr w:rsidR="00E30E99" w:rsidRPr="00E56120" w:rsidTr="00E30E99">
        <w:tc>
          <w:tcPr>
            <w:tcW w:w="1186" w:type="pct"/>
            <w:vAlign w:val="center"/>
          </w:tcPr>
          <w:p w:rsidR="00963FA6" w:rsidRPr="00E56120" w:rsidRDefault="00963FA6" w:rsidP="00D309A1">
            <w:pPr>
              <w:pStyle w:val="Tabletext"/>
              <w:keepNext/>
            </w:pPr>
            <w:r w:rsidRPr="00E56120">
              <w:t xml:space="preserve">LS mean </w:t>
            </w:r>
            <w:r>
              <w:t xml:space="preserve">change </w:t>
            </w:r>
            <w:r w:rsidRPr="00E56120">
              <w:t>(95% CI)</w:t>
            </w:r>
            <w:r>
              <w:t>, Wk 4</w:t>
            </w:r>
          </w:p>
        </w:tc>
        <w:tc>
          <w:tcPr>
            <w:tcW w:w="546" w:type="pct"/>
            <w:shd w:val="clear" w:color="auto" w:fill="FFFFFF"/>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xml:space="preserve">'''''''''' </w:t>
            </w:r>
            <w:r>
              <w:rPr>
                <w:rFonts w:ascii="Arial Narrow" w:hAnsi="Arial Narrow"/>
                <w:noProof/>
                <w:color w:val="000000"/>
                <w:sz w:val="20"/>
                <w:szCs w:val="14"/>
                <w:highlight w:val="black"/>
              </w:rPr>
              <w:br/>
              <w:t>'''''''''''' ''''''''''</w:t>
            </w:r>
          </w:p>
        </w:tc>
        <w:tc>
          <w:tcPr>
            <w:tcW w:w="546" w:type="pct"/>
            <w:shd w:val="clear" w:color="auto" w:fill="FFFFFF"/>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xml:space="preserve">''''''''' </w:t>
            </w:r>
            <w:r>
              <w:rPr>
                <w:rFonts w:ascii="Arial Narrow" w:hAnsi="Arial Narrow"/>
                <w:noProof/>
                <w:color w:val="000000"/>
                <w:sz w:val="20"/>
                <w:szCs w:val="14"/>
                <w:highlight w:val="black"/>
              </w:rPr>
              <w:br/>
              <w:t>''''''''''''' '''''''''''</w:t>
            </w:r>
          </w:p>
        </w:tc>
        <w:tc>
          <w:tcPr>
            <w:tcW w:w="781" w:type="pct"/>
            <w:shd w:val="clear" w:color="auto" w:fill="FFFFFF"/>
            <w:vAlign w:val="center"/>
          </w:tcPr>
          <w:p w:rsidR="00963FA6" w:rsidRPr="00EA7891" w:rsidRDefault="00EA7891" w:rsidP="00D309A1">
            <w:pPr>
              <w:pStyle w:val="Tabletext"/>
              <w:keepNext/>
              <w:jc w:val="center"/>
              <w:rPr>
                <w:highlight w:val="black"/>
              </w:rPr>
            </w:pPr>
            <w:r>
              <w:rPr>
                <w:noProof/>
                <w:color w:val="000000"/>
                <w:highlight w:val="black"/>
              </w:rPr>
              <w:t>'''''''''' '''''''''''' ''''''''</w:t>
            </w:r>
          </w:p>
          <w:p w:rsidR="00963FA6" w:rsidRPr="00EA7891" w:rsidRDefault="00EA7891" w:rsidP="00D309A1">
            <w:pPr>
              <w:pStyle w:val="Tabletext"/>
              <w:keepNext/>
              <w:jc w:val="center"/>
              <w:rPr>
                <w:highlight w:val="black"/>
              </w:rPr>
            </w:pPr>
            <w:r>
              <w:rPr>
                <w:noProof/>
                <w:color w:val="000000"/>
                <w:highlight w:val="black"/>
              </w:rPr>
              <w:t>''''''''''''''''''</w:t>
            </w:r>
          </w:p>
        </w:tc>
        <w:tc>
          <w:tcPr>
            <w:tcW w:w="546" w:type="pct"/>
            <w:shd w:val="clear" w:color="auto" w:fill="FFFFFF"/>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xml:space="preserve">'''''''' </w:t>
            </w:r>
            <w:r>
              <w:rPr>
                <w:rFonts w:ascii="Arial Narrow" w:hAnsi="Arial Narrow"/>
                <w:noProof/>
                <w:color w:val="000000"/>
                <w:sz w:val="20"/>
                <w:szCs w:val="14"/>
                <w:highlight w:val="black"/>
              </w:rPr>
              <w:br/>
              <w:t>'''''''''''' ''''''''''''</w:t>
            </w:r>
          </w:p>
        </w:tc>
        <w:tc>
          <w:tcPr>
            <w:tcW w:w="547" w:type="pct"/>
            <w:shd w:val="clear" w:color="auto" w:fill="FFFFFF"/>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xml:space="preserve">''''''''' </w:t>
            </w:r>
            <w:r>
              <w:rPr>
                <w:rFonts w:ascii="Arial Narrow" w:hAnsi="Arial Narrow"/>
                <w:noProof/>
                <w:color w:val="000000"/>
                <w:sz w:val="20"/>
                <w:szCs w:val="14"/>
                <w:highlight w:val="black"/>
              </w:rPr>
              <w:br/>
              <w:t>'''''''''''''' '''''''''''</w:t>
            </w:r>
          </w:p>
        </w:tc>
        <w:tc>
          <w:tcPr>
            <w:tcW w:w="848"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 ''''''''''</w:t>
            </w:r>
          </w:p>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w:t>
            </w:r>
          </w:p>
        </w:tc>
      </w:tr>
      <w:tr w:rsidR="00E30E99" w:rsidRPr="00E56120" w:rsidTr="00E30E99">
        <w:tc>
          <w:tcPr>
            <w:tcW w:w="1186" w:type="pct"/>
            <w:vAlign w:val="center"/>
          </w:tcPr>
          <w:p w:rsidR="00963FA6" w:rsidRPr="00E56120" w:rsidRDefault="00963FA6" w:rsidP="00D309A1">
            <w:pPr>
              <w:pStyle w:val="Tabletext"/>
              <w:keepNext/>
            </w:pPr>
            <w:r w:rsidRPr="00E56120">
              <w:t xml:space="preserve">LS mean </w:t>
            </w:r>
            <w:r>
              <w:t xml:space="preserve">change </w:t>
            </w:r>
            <w:r w:rsidRPr="00E56120">
              <w:t>(95% CI)</w:t>
            </w:r>
            <w:r>
              <w:t>, Wk12</w:t>
            </w:r>
          </w:p>
        </w:tc>
        <w:tc>
          <w:tcPr>
            <w:tcW w:w="546" w:type="pct"/>
            <w:vAlign w:val="center"/>
          </w:tcPr>
          <w:p w:rsidR="00E30E99"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xml:space="preserve">''''''''' </w:t>
            </w:r>
          </w:p>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w:t>
            </w:r>
          </w:p>
        </w:tc>
        <w:tc>
          <w:tcPr>
            <w:tcW w:w="546" w:type="pct"/>
            <w:shd w:val="clear" w:color="auto" w:fill="auto"/>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xml:space="preserve">'''''''' </w:t>
            </w:r>
            <w:r>
              <w:rPr>
                <w:rFonts w:ascii="Arial Narrow" w:hAnsi="Arial Narrow"/>
                <w:noProof/>
                <w:color w:val="000000"/>
                <w:sz w:val="20"/>
                <w:szCs w:val="14"/>
                <w:highlight w:val="black"/>
              </w:rPr>
              <w:br/>
              <w:t>'''''''''''' ''''''''''</w:t>
            </w:r>
          </w:p>
        </w:tc>
        <w:tc>
          <w:tcPr>
            <w:tcW w:w="781" w:type="pct"/>
            <w:shd w:val="clear" w:color="auto" w:fill="FFFFFF"/>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 '''''''''</w:t>
            </w:r>
          </w:p>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w:t>
            </w:r>
          </w:p>
        </w:tc>
        <w:tc>
          <w:tcPr>
            <w:tcW w:w="546" w:type="pct"/>
            <w:shd w:val="clear" w:color="auto" w:fill="FFFFFF"/>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xml:space="preserve">''''''''' </w:t>
            </w:r>
            <w:r>
              <w:rPr>
                <w:rFonts w:ascii="Arial Narrow" w:hAnsi="Arial Narrow"/>
                <w:noProof/>
                <w:color w:val="000000"/>
                <w:sz w:val="20"/>
                <w:szCs w:val="14"/>
                <w:highlight w:val="black"/>
              </w:rPr>
              <w:br/>
              <w:t>''''''''''''' ''''''''''''</w:t>
            </w:r>
          </w:p>
        </w:tc>
        <w:tc>
          <w:tcPr>
            <w:tcW w:w="547" w:type="pct"/>
            <w:shd w:val="clear" w:color="auto" w:fill="FFFFFF"/>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xml:space="preserve">''''''''' </w:t>
            </w:r>
            <w:r>
              <w:rPr>
                <w:rFonts w:ascii="Arial Narrow" w:hAnsi="Arial Narrow"/>
                <w:noProof/>
                <w:color w:val="000000"/>
                <w:sz w:val="20"/>
                <w:szCs w:val="14"/>
                <w:highlight w:val="black"/>
              </w:rPr>
              <w:br/>
              <w:t>''''''''''' '''''''''''</w:t>
            </w:r>
          </w:p>
        </w:tc>
        <w:tc>
          <w:tcPr>
            <w:tcW w:w="848"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 '''''''''''''</w:t>
            </w:r>
          </w:p>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w:t>
            </w:r>
          </w:p>
        </w:tc>
      </w:tr>
      <w:tr w:rsidR="004626C8" w:rsidRPr="00E56120" w:rsidTr="004626C8">
        <w:tc>
          <w:tcPr>
            <w:tcW w:w="5000" w:type="pct"/>
            <w:gridSpan w:val="7"/>
          </w:tcPr>
          <w:p w:rsidR="004626C8" w:rsidRPr="00E56120" w:rsidRDefault="004626C8" w:rsidP="00D309A1">
            <w:pPr>
              <w:pStyle w:val="Tabletext"/>
              <w:keepNext/>
              <w:rPr>
                <w:b/>
                <w:bCs/>
              </w:rPr>
            </w:pPr>
            <w:r w:rsidRPr="00E56120">
              <w:rPr>
                <w:b/>
                <w:bCs/>
              </w:rPr>
              <w:t>MAS respond</w:t>
            </w:r>
            <w:r>
              <w:rPr>
                <w:b/>
                <w:bCs/>
              </w:rPr>
              <w:t>er (≥1 grade reduction in MAS in the GSC, knee extended)</w:t>
            </w:r>
          </w:p>
        </w:tc>
      </w:tr>
      <w:tr w:rsidR="00E30E99" w:rsidRPr="00E56120" w:rsidTr="00E30E99">
        <w:tc>
          <w:tcPr>
            <w:tcW w:w="1186" w:type="pct"/>
            <w:vAlign w:val="center"/>
          </w:tcPr>
          <w:p w:rsidR="00963FA6" w:rsidRPr="00E56120" w:rsidRDefault="00963FA6" w:rsidP="00D309A1">
            <w:pPr>
              <w:pStyle w:val="Tabletext"/>
              <w:keepNext/>
            </w:pPr>
            <w:r w:rsidRPr="00E56120">
              <w:t>Responder n (%)</w:t>
            </w:r>
            <w:r>
              <w:t xml:space="preserve">, Wk4 </w:t>
            </w:r>
          </w:p>
        </w:tc>
        <w:tc>
          <w:tcPr>
            <w:tcW w:w="546"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w:t>
            </w:r>
          </w:p>
        </w:tc>
        <w:tc>
          <w:tcPr>
            <w:tcW w:w="546"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w:t>
            </w:r>
          </w:p>
        </w:tc>
        <w:tc>
          <w:tcPr>
            <w:tcW w:w="781" w:type="pct"/>
            <w:shd w:val="clear" w:color="auto" w:fill="FFFFFF"/>
            <w:vAlign w:val="center"/>
          </w:tcPr>
          <w:p w:rsidR="00963FA6" w:rsidRPr="00EA7891" w:rsidRDefault="00EA7891" w:rsidP="00D309A1">
            <w:pPr>
              <w:pStyle w:val="Tabletext"/>
              <w:keepNext/>
              <w:jc w:val="center"/>
              <w:rPr>
                <w:szCs w:val="14"/>
                <w:highlight w:val="black"/>
                <w:lang w:eastAsia="en-AU"/>
              </w:rPr>
            </w:pPr>
            <w:r>
              <w:rPr>
                <w:noProof/>
                <w:color w:val="000000"/>
                <w:szCs w:val="14"/>
                <w:highlight w:val="black"/>
                <w:lang w:eastAsia="en-AU"/>
              </w:rPr>
              <w:t>'''''''''''''''''''''</w:t>
            </w:r>
          </w:p>
        </w:tc>
        <w:tc>
          <w:tcPr>
            <w:tcW w:w="546"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w:t>
            </w:r>
          </w:p>
        </w:tc>
        <w:tc>
          <w:tcPr>
            <w:tcW w:w="547"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w:t>
            </w:r>
          </w:p>
        </w:tc>
        <w:tc>
          <w:tcPr>
            <w:tcW w:w="848" w:type="pct"/>
            <w:vAlign w:val="center"/>
          </w:tcPr>
          <w:p w:rsidR="00963FA6" w:rsidRPr="00EA7891" w:rsidRDefault="00EA7891" w:rsidP="00D309A1">
            <w:pPr>
              <w:pStyle w:val="Tabletext"/>
              <w:keepNext/>
              <w:jc w:val="center"/>
              <w:rPr>
                <w:szCs w:val="14"/>
                <w:highlight w:val="black"/>
                <w:lang w:eastAsia="en-AU"/>
              </w:rPr>
            </w:pPr>
            <w:r>
              <w:rPr>
                <w:noProof/>
                <w:color w:val="000000"/>
                <w:szCs w:val="14"/>
                <w:highlight w:val="black"/>
                <w:lang w:eastAsia="en-AU"/>
              </w:rPr>
              <w:t>''''''''''''''''''''</w:t>
            </w:r>
          </w:p>
        </w:tc>
      </w:tr>
      <w:tr w:rsidR="00E30E99" w:rsidRPr="00E56120" w:rsidTr="00E30E99">
        <w:tc>
          <w:tcPr>
            <w:tcW w:w="1186" w:type="pct"/>
            <w:vAlign w:val="center"/>
          </w:tcPr>
          <w:p w:rsidR="00963FA6" w:rsidRPr="00E56120" w:rsidRDefault="00963FA6" w:rsidP="00D309A1">
            <w:pPr>
              <w:pStyle w:val="Tabletext"/>
              <w:keepNext/>
            </w:pPr>
            <w:r w:rsidRPr="00E56120">
              <w:t>Responder n (%)</w:t>
            </w:r>
            <w:r>
              <w:t>, Wk12</w:t>
            </w:r>
          </w:p>
        </w:tc>
        <w:tc>
          <w:tcPr>
            <w:tcW w:w="546"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w:t>
            </w:r>
          </w:p>
        </w:tc>
        <w:tc>
          <w:tcPr>
            <w:tcW w:w="546" w:type="pct"/>
            <w:shd w:val="clear" w:color="auto" w:fill="auto"/>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w:t>
            </w:r>
          </w:p>
        </w:tc>
        <w:tc>
          <w:tcPr>
            <w:tcW w:w="781" w:type="pct"/>
            <w:shd w:val="clear" w:color="auto" w:fill="FFFFFF"/>
            <w:vAlign w:val="center"/>
          </w:tcPr>
          <w:p w:rsidR="00963FA6" w:rsidRPr="00EA7891" w:rsidRDefault="00EA7891" w:rsidP="00D309A1">
            <w:pPr>
              <w:pStyle w:val="Tabletext"/>
              <w:keepNext/>
              <w:jc w:val="center"/>
              <w:rPr>
                <w:szCs w:val="14"/>
                <w:highlight w:val="black"/>
                <w:lang w:eastAsia="en-AU"/>
              </w:rPr>
            </w:pPr>
            <w:r>
              <w:rPr>
                <w:noProof/>
                <w:color w:val="000000"/>
                <w:szCs w:val="14"/>
                <w:highlight w:val="black"/>
                <w:lang w:eastAsia="en-AU"/>
              </w:rPr>
              <w:t>'''''''''''''''''''''''</w:t>
            </w:r>
          </w:p>
        </w:tc>
        <w:tc>
          <w:tcPr>
            <w:tcW w:w="546"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w:t>
            </w:r>
          </w:p>
        </w:tc>
        <w:tc>
          <w:tcPr>
            <w:tcW w:w="547"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w:t>
            </w:r>
          </w:p>
        </w:tc>
        <w:tc>
          <w:tcPr>
            <w:tcW w:w="848" w:type="pct"/>
            <w:vAlign w:val="center"/>
          </w:tcPr>
          <w:p w:rsidR="00963FA6" w:rsidRPr="00EA7891" w:rsidRDefault="00EA7891" w:rsidP="00D309A1">
            <w:pPr>
              <w:pStyle w:val="Tabletext"/>
              <w:keepNext/>
              <w:jc w:val="center"/>
              <w:rPr>
                <w:szCs w:val="14"/>
                <w:highlight w:val="black"/>
                <w:lang w:eastAsia="en-AU"/>
              </w:rPr>
            </w:pPr>
            <w:r>
              <w:rPr>
                <w:noProof/>
                <w:color w:val="000000"/>
                <w:szCs w:val="14"/>
                <w:highlight w:val="black"/>
                <w:lang w:eastAsia="en-AU"/>
              </w:rPr>
              <w:t>''''''''''''''''''''''''</w:t>
            </w:r>
          </w:p>
        </w:tc>
      </w:tr>
      <w:tr w:rsidR="004626C8" w:rsidRPr="00B1011F" w:rsidTr="004626C8">
        <w:tc>
          <w:tcPr>
            <w:tcW w:w="5000" w:type="pct"/>
            <w:gridSpan w:val="7"/>
          </w:tcPr>
          <w:p w:rsidR="004626C8" w:rsidRPr="003865E6" w:rsidRDefault="004626C8" w:rsidP="00D309A1">
            <w:pPr>
              <w:pStyle w:val="Tabletext"/>
              <w:keepNext/>
              <w:rPr>
                <w:b/>
                <w:bCs/>
                <w:szCs w:val="20"/>
              </w:rPr>
            </w:pPr>
            <w:r w:rsidRPr="003865E6">
              <w:rPr>
                <w:b/>
                <w:bCs/>
                <w:szCs w:val="20"/>
              </w:rPr>
              <w:t>PGA responders (score ≥+1</w:t>
            </w:r>
            <w:r>
              <w:rPr>
                <w:b/>
                <w:bCs/>
                <w:szCs w:val="20"/>
              </w:rPr>
              <w:t>)</w:t>
            </w:r>
          </w:p>
        </w:tc>
      </w:tr>
      <w:tr w:rsidR="00E30E99" w:rsidRPr="00B1011F" w:rsidTr="00E30E99">
        <w:tc>
          <w:tcPr>
            <w:tcW w:w="1186" w:type="pct"/>
            <w:vAlign w:val="center"/>
          </w:tcPr>
          <w:p w:rsidR="00963FA6" w:rsidRPr="003B3314" w:rsidRDefault="00963FA6" w:rsidP="00D309A1">
            <w:pPr>
              <w:pStyle w:val="Tabletext"/>
              <w:keepNext/>
              <w:rPr>
                <w:szCs w:val="20"/>
              </w:rPr>
            </w:pPr>
            <w:r w:rsidRPr="00AC7EA9">
              <w:t>Responders</w:t>
            </w:r>
            <w:r w:rsidRPr="003B3314">
              <w:rPr>
                <w:szCs w:val="20"/>
              </w:rPr>
              <w:t xml:space="preserve"> n (%)</w:t>
            </w:r>
            <w:r>
              <w:rPr>
                <w:szCs w:val="20"/>
              </w:rPr>
              <w:t>, Wk4</w:t>
            </w:r>
            <w:r w:rsidRPr="003B3314">
              <w:rPr>
                <w:szCs w:val="20"/>
                <w:vertAlign w:val="superscript"/>
              </w:rPr>
              <w:t xml:space="preserve"> </w:t>
            </w:r>
          </w:p>
        </w:tc>
        <w:tc>
          <w:tcPr>
            <w:tcW w:w="546"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w:t>
            </w:r>
          </w:p>
        </w:tc>
        <w:tc>
          <w:tcPr>
            <w:tcW w:w="546"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w:t>
            </w:r>
          </w:p>
        </w:tc>
        <w:tc>
          <w:tcPr>
            <w:tcW w:w="781" w:type="pct"/>
            <w:shd w:val="clear" w:color="auto" w:fill="auto"/>
            <w:vAlign w:val="center"/>
          </w:tcPr>
          <w:p w:rsidR="00963FA6" w:rsidRPr="00EA7891" w:rsidRDefault="00EA7891" w:rsidP="00D309A1">
            <w:pPr>
              <w:widowControl/>
              <w:jc w:val="center"/>
              <w:rPr>
                <w:rFonts w:ascii="Arial Narrow" w:hAnsi="Arial Narrow"/>
                <w:b/>
                <w:bCs/>
                <w:sz w:val="20"/>
                <w:highlight w:val="black"/>
              </w:rPr>
            </w:pPr>
            <w:r>
              <w:rPr>
                <w:rFonts w:ascii="Arial Narrow" w:hAnsi="Arial Narrow"/>
                <w:b/>
                <w:bCs/>
                <w:noProof/>
                <w:color w:val="000000"/>
                <w:sz w:val="20"/>
                <w:highlight w:val="black"/>
              </w:rPr>
              <w:t>''''''''''''''''''</w:t>
            </w:r>
          </w:p>
        </w:tc>
        <w:tc>
          <w:tcPr>
            <w:tcW w:w="546"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w:t>
            </w:r>
          </w:p>
        </w:tc>
        <w:tc>
          <w:tcPr>
            <w:tcW w:w="547"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w:t>
            </w:r>
          </w:p>
        </w:tc>
        <w:tc>
          <w:tcPr>
            <w:tcW w:w="848"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w:t>
            </w:r>
          </w:p>
        </w:tc>
      </w:tr>
      <w:tr w:rsidR="00585E4E" w:rsidRPr="00B1011F" w:rsidTr="00585E4E">
        <w:tc>
          <w:tcPr>
            <w:tcW w:w="5000" w:type="pct"/>
            <w:gridSpan w:val="7"/>
          </w:tcPr>
          <w:p w:rsidR="00585E4E" w:rsidRDefault="00585E4E" w:rsidP="00D309A1">
            <w:pPr>
              <w:pStyle w:val="Tabletext"/>
              <w:keepNext/>
              <w:rPr>
                <w:b/>
                <w:bCs/>
                <w:szCs w:val="20"/>
              </w:rPr>
            </w:pPr>
            <w:r>
              <w:rPr>
                <w:b/>
                <w:bCs/>
                <w:szCs w:val="20"/>
              </w:rPr>
              <w:t>Change in comfortable 10 m barefoot walking speed (m/s)</w:t>
            </w:r>
            <w:r>
              <w:rPr>
                <w:b/>
                <w:bCs/>
                <w:szCs w:val="14"/>
              </w:rPr>
              <w:t xml:space="preserve"> from baseline</w:t>
            </w:r>
          </w:p>
        </w:tc>
      </w:tr>
      <w:tr w:rsidR="00E30E99" w:rsidRPr="00242089" w:rsidTr="00E30E99">
        <w:tc>
          <w:tcPr>
            <w:tcW w:w="1186" w:type="pct"/>
            <w:vAlign w:val="center"/>
          </w:tcPr>
          <w:p w:rsidR="00E30E99" w:rsidRPr="00242089" w:rsidRDefault="00E30E99" w:rsidP="00D309A1">
            <w:pPr>
              <w:pStyle w:val="Tabletext"/>
              <w:keepNext/>
            </w:pPr>
          </w:p>
        </w:tc>
        <w:tc>
          <w:tcPr>
            <w:tcW w:w="546" w:type="pct"/>
            <w:vAlign w:val="center"/>
          </w:tcPr>
          <w:p w:rsidR="00E30E99" w:rsidRPr="00927414" w:rsidRDefault="00E30E99" w:rsidP="00D309A1">
            <w:pPr>
              <w:pStyle w:val="Tabletext"/>
              <w:keepNext/>
              <w:jc w:val="center"/>
              <w:rPr>
                <w:b/>
              </w:rPr>
            </w:pPr>
            <w:r w:rsidRPr="00927414">
              <w:rPr>
                <w:b/>
              </w:rPr>
              <w:t>N=38</w:t>
            </w:r>
          </w:p>
        </w:tc>
        <w:tc>
          <w:tcPr>
            <w:tcW w:w="546" w:type="pct"/>
            <w:shd w:val="clear" w:color="auto" w:fill="FFFFFF"/>
            <w:vAlign w:val="center"/>
          </w:tcPr>
          <w:p w:rsidR="00E30E99" w:rsidRPr="00927414" w:rsidRDefault="00E30E99" w:rsidP="00D309A1">
            <w:pPr>
              <w:pStyle w:val="Tabletext"/>
              <w:keepNext/>
              <w:jc w:val="center"/>
              <w:rPr>
                <w:b/>
              </w:rPr>
            </w:pPr>
            <w:r w:rsidRPr="00927414">
              <w:rPr>
                <w:b/>
              </w:rPr>
              <w:t>N=43</w:t>
            </w:r>
          </w:p>
        </w:tc>
        <w:tc>
          <w:tcPr>
            <w:tcW w:w="781" w:type="pct"/>
            <w:shd w:val="clear" w:color="auto" w:fill="FFFFFF"/>
            <w:vAlign w:val="center"/>
          </w:tcPr>
          <w:p w:rsidR="00E30E99" w:rsidRPr="00927414" w:rsidRDefault="00E30E99" w:rsidP="00D309A1">
            <w:pPr>
              <w:pStyle w:val="Tabletext"/>
              <w:keepNext/>
              <w:jc w:val="center"/>
              <w:rPr>
                <w:b/>
              </w:rPr>
            </w:pPr>
            <w:r w:rsidRPr="00927414">
              <w:rPr>
                <w:b/>
              </w:rPr>
              <w:t>-</w:t>
            </w:r>
          </w:p>
        </w:tc>
        <w:tc>
          <w:tcPr>
            <w:tcW w:w="546" w:type="pct"/>
            <w:vAlign w:val="center"/>
          </w:tcPr>
          <w:p w:rsidR="00E30E99" w:rsidRPr="00927414" w:rsidRDefault="00E30E99" w:rsidP="00D309A1">
            <w:pPr>
              <w:pStyle w:val="Tabletext"/>
              <w:keepNext/>
              <w:jc w:val="center"/>
              <w:rPr>
                <w:b/>
              </w:rPr>
            </w:pPr>
            <w:r w:rsidRPr="00927414">
              <w:rPr>
                <w:b/>
              </w:rPr>
              <w:t>N=85</w:t>
            </w:r>
          </w:p>
        </w:tc>
        <w:tc>
          <w:tcPr>
            <w:tcW w:w="547" w:type="pct"/>
            <w:vAlign w:val="center"/>
          </w:tcPr>
          <w:p w:rsidR="00E30E99" w:rsidRPr="00927414" w:rsidRDefault="00E30E99" w:rsidP="00D309A1">
            <w:pPr>
              <w:pStyle w:val="Tabletext"/>
              <w:keepNext/>
              <w:jc w:val="center"/>
              <w:rPr>
                <w:b/>
              </w:rPr>
            </w:pPr>
            <w:r w:rsidRPr="00927414">
              <w:rPr>
                <w:b/>
              </w:rPr>
              <w:t>N=84</w:t>
            </w:r>
          </w:p>
        </w:tc>
        <w:tc>
          <w:tcPr>
            <w:tcW w:w="848" w:type="pct"/>
            <w:vAlign w:val="center"/>
          </w:tcPr>
          <w:p w:rsidR="00E30E99" w:rsidRPr="00990765" w:rsidRDefault="00E30E99" w:rsidP="00D309A1">
            <w:pPr>
              <w:pStyle w:val="Tabletext"/>
              <w:keepNext/>
              <w:jc w:val="center"/>
            </w:pPr>
            <w:r>
              <w:t>-</w:t>
            </w:r>
          </w:p>
        </w:tc>
      </w:tr>
      <w:tr w:rsidR="00E30E99" w:rsidRPr="00B1011F" w:rsidTr="00E30E99">
        <w:tc>
          <w:tcPr>
            <w:tcW w:w="1186" w:type="pct"/>
            <w:vAlign w:val="center"/>
          </w:tcPr>
          <w:p w:rsidR="00963FA6" w:rsidRDefault="00963FA6" w:rsidP="00D309A1">
            <w:pPr>
              <w:pStyle w:val="Tabletext"/>
              <w:keepNext/>
            </w:pPr>
            <w:r>
              <w:t>LS mean change (95% CI), Wk4</w:t>
            </w:r>
          </w:p>
        </w:tc>
        <w:tc>
          <w:tcPr>
            <w:tcW w:w="546" w:type="pct"/>
            <w:shd w:val="clear" w:color="auto" w:fill="FFFFFF"/>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xml:space="preserve">'''''''''''' </w:t>
            </w:r>
            <w:r>
              <w:rPr>
                <w:rFonts w:ascii="Arial Narrow" w:hAnsi="Arial Narrow"/>
                <w:noProof/>
                <w:color w:val="000000"/>
                <w:sz w:val="20"/>
                <w:szCs w:val="14"/>
                <w:highlight w:val="black"/>
              </w:rPr>
              <w:br/>
              <w:t>''''''''''''' ''''''''''''''</w:t>
            </w:r>
          </w:p>
        </w:tc>
        <w:tc>
          <w:tcPr>
            <w:tcW w:w="546" w:type="pct"/>
            <w:shd w:val="clear" w:color="auto" w:fill="FFFFFF"/>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xml:space="preserve">'''''''''' </w:t>
            </w:r>
            <w:r>
              <w:rPr>
                <w:rFonts w:ascii="Arial Narrow" w:hAnsi="Arial Narrow"/>
                <w:noProof/>
                <w:color w:val="000000"/>
                <w:sz w:val="20"/>
                <w:szCs w:val="14"/>
                <w:highlight w:val="black"/>
              </w:rPr>
              <w:br/>
              <w:t>''''''''''''''' '''''''''''</w:t>
            </w:r>
          </w:p>
        </w:tc>
        <w:tc>
          <w:tcPr>
            <w:tcW w:w="781" w:type="pct"/>
            <w:shd w:val="clear" w:color="auto" w:fill="FFFFFF"/>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 '''''''''''''</w:t>
            </w:r>
          </w:p>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w:t>
            </w:r>
          </w:p>
        </w:tc>
        <w:tc>
          <w:tcPr>
            <w:tcW w:w="546"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xml:space="preserve">'''''''''' </w:t>
            </w:r>
            <w:r>
              <w:rPr>
                <w:rFonts w:ascii="Arial Narrow" w:hAnsi="Arial Narrow"/>
                <w:noProof/>
                <w:color w:val="000000"/>
                <w:sz w:val="20"/>
                <w:szCs w:val="14"/>
                <w:highlight w:val="black"/>
              </w:rPr>
              <w:br/>
              <w:t>'''''''''''' '''''''''''''</w:t>
            </w:r>
          </w:p>
        </w:tc>
        <w:tc>
          <w:tcPr>
            <w:tcW w:w="547"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xml:space="preserve">'''''''''' </w:t>
            </w:r>
            <w:r>
              <w:rPr>
                <w:rFonts w:ascii="Arial Narrow" w:hAnsi="Arial Narrow"/>
                <w:noProof/>
                <w:color w:val="000000"/>
                <w:sz w:val="20"/>
                <w:szCs w:val="14"/>
                <w:highlight w:val="black"/>
              </w:rPr>
              <w:br/>
              <w:t>''''''''''''''' '''''''''''</w:t>
            </w:r>
          </w:p>
        </w:tc>
        <w:tc>
          <w:tcPr>
            <w:tcW w:w="848"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 '''''''''''''</w:t>
            </w:r>
          </w:p>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w:t>
            </w:r>
          </w:p>
        </w:tc>
      </w:tr>
      <w:tr w:rsidR="00E30E99" w:rsidRPr="00242089" w:rsidTr="00E30E99">
        <w:tc>
          <w:tcPr>
            <w:tcW w:w="1186" w:type="pct"/>
            <w:vAlign w:val="center"/>
          </w:tcPr>
          <w:p w:rsidR="00963FA6" w:rsidRPr="00242089" w:rsidRDefault="00963FA6" w:rsidP="00D309A1">
            <w:pPr>
              <w:pStyle w:val="Tabletext"/>
              <w:keepNext/>
            </w:pPr>
            <w:r w:rsidRPr="00242089">
              <w:t xml:space="preserve">LS mean </w:t>
            </w:r>
            <w:r>
              <w:t xml:space="preserve">change </w:t>
            </w:r>
            <w:r w:rsidRPr="00242089">
              <w:t>(95% CI)</w:t>
            </w:r>
            <w:r>
              <w:t>, Wk12</w:t>
            </w:r>
          </w:p>
        </w:tc>
        <w:tc>
          <w:tcPr>
            <w:tcW w:w="546"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xml:space="preserve">''''''''''' </w:t>
            </w:r>
            <w:r>
              <w:rPr>
                <w:rFonts w:ascii="Arial Narrow" w:hAnsi="Arial Narrow"/>
                <w:noProof/>
                <w:color w:val="000000"/>
                <w:sz w:val="20"/>
                <w:szCs w:val="14"/>
                <w:highlight w:val="black"/>
              </w:rPr>
              <w:br/>
              <w:t>''''''''''''' ''''''''''''''</w:t>
            </w:r>
          </w:p>
        </w:tc>
        <w:tc>
          <w:tcPr>
            <w:tcW w:w="546" w:type="pct"/>
            <w:shd w:val="clear" w:color="auto" w:fill="FFFFFF"/>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xml:space="preserve">'''''''''''' </w:t>
            </w:r>
            <w:r>
              <w:rPr>
                <w:rFonts w:ascii="Arial Narrow" w:hAnsi="Arial Narrow"/>
                <w:noProof/>
                <w:color w:val="000000"/>
                <w:sz w:val="20"/>
                <w:szCs w:val="14"/>
                <w:highlight w:val="black"/>
              </w:rPr>
              <w:br/>
              <w:t>''''''''''''' ''''''''''''</w:t>
            </w:r>
          </w:p>
        </w:tc>
        <w:tc>
          <w:tcPr>
            <w:tcW w:w="781" w:type="pct"/>
            <w:shd w:val="clear" w:color="auto" w:fill="FFFFFF"/>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 ''''''''''''''</w:t>
            </w:r>
          </w:p>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w:t>
            </w:r>
          </w:p>
        </w:tc>
        <w:tc>
          <w:tcPr>
            <w:tcW w:w="546"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xml:space="preserve">'''''''''' </w:t>
            </w:r>
            <w:r>
              <w:rPr>
                <w:rFonts w:ascii="Arial Narrow" w:hAnsi="Arial Narrow"/>
                <w:noProof/>
                <w:color w:val="000000"/>
                <w:sz w:val="20"/>
                <w:szCs w:val="14"/>
                <w:highlight w:val="black"/>
              </w:rPr>
              <w:br/>
              <w:t>''''''''''''''' ''''''''''''''</w:t>
            </w:r>
          </w:p>
        </w:tc>
        <w:tc>
          <w:tcPr>
            <w:tcW w:w="547"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xml:space="preserve">''''''''''' </w:t>
            </w:r>
            <w:r>
              <w:rPr>
                <w:rFonts w:ascii="Arial Narrow" w:hAnsi="Arial Narrow"/>
                <w:noProof/>
                <w:color w:val="000000"/>
                <w:sz w:val="20"/>
                <w:szCs w:val="14"/>
                <w:highlight w:val="black"/>
              </w:rPr>
              <w:br/>
              <w:t>'''''''''''''' ''''''''''''''</w:t>
            </w:r>
          </w:p>
        </w:tc>
        <w:tc>
          <w:tcPr>
            <w:tcW w:w="848"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 '''''''''''''</w:t>
            </w:r>
          </w:p>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w:t>
            </w:r>
          </w:p>
        </w:tc>
      </w:tr>
      <w:tr w:rsidR="00585E4E" w:rsidRPr="00242089" w:rsidTr="00585E4E">
        <w:tc>
          <w:tcPr>
            <w:tcW w:w="5000" w:type="pct"/>
            <w:gridSpan w:val="7"/>
          </w:tcPr>
          <w:p w:rsidR="00585E4E" w:rsidRPr="00304A2E" w:rsidRDefault="00585E4E" w:rsidP="00D309A1">
            <w:pPr>
              <w:widowControl/>
              <w:rPr>
                <w:rFonts w:ascii="Arial Narrow" w:hAnsi="Arial Narrow"/>
                <w:b/>
                <w:bCs/>
                <w:sz w:val="20"/>
                <w:szCs w:val="14"/>
              </w:rPr>
            </w:pPr>
            <w:r>
              <w:rPr>
                <w:rFonts w:ascii="Arial Narrow" w:hAnsi="Arial Narrow"/>
                <w:b/>
                <w:bCs/>
                <w:sz w:val="20"/>
                <w:szCs w:val="14"/>
              </w:rPr>
              <w:t>Walking speed responder (≥0.13 m/s improvement)</w:t>
            </w:r>
          </w:p>
        </w:tc>
      </w:tr>
      <w:tr w:rsidR="00E30E99" w:rsidRPr="00242089" w:rsidTr="00E30E99">
        <w:tc>
          <w:tcPr>
            <w:tcW w:w="1186" w:type="pct"/>
            <w:vAlign w:val="center"/>
          </w:tcPr>
          <w:p w:rsidR="00963FA6" w:rsidRPr="00E56120" w:rsidRDefault="00963FA6" w:rsidP="00D309A1">
            <w:pPr>
              <w:pStyle w:val="Tabletext"/>
              <w:keepNext/>
            </w:pPr>
            <w:r w:rsidRPr="00E56120">
              <w:t>Responder n (%)</w:t>
            </w:r>
            <w:r>
              <w:t xml:space="preserve">, Wk4 </w:t>
            </w:r>
          </w:p>
        </w:tc>
        <w:tc>
          <w:tcPr>
            <w:tcW w:w="546"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w:t>
            </w:r>
          </w:p>
        </w:tc>
        <w:tc>
          <w:tcPr>
            <w:tcW w:w="546"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w:t>
            </w:r>
          </w:p>
        </w:tc>
        <w:tc>
          <w:tcPr>
            <w:tcW w:w="781" w:type="pct"/>
            <w:shd w:val="clear" w:color="auto" w:fill="FFFFFF"/>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w:t>
            </w:r>
          </w:p>
        </w:tc>
        <w:tc>
          <w:tcPr>
            <w:tcW w:w="546"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w:t>
            </w:r>
          </w:p>
        </w:tc>
        <w:tc>
          <w:tcPr>
            <w:tcW w:w="547"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w:t>
            </w:r>
          </w:p>
        </w:tc>
        <w:tc>
          <w:tcPr>
            <w:tcW w:w="848"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w:t>
            </w:r>
          </w:p>
        </w:tc>
      </w:tr>
      <w:tr w:rsidR="00E30E99" w:rsidRPr="00242089" w:rsidTr="00E30E99">
        <w:tc>
          <w:tcPr>
            <w:tcW w:w="1186" w:type="pct"/>
            <w:vAlign w:val="center"/>
          </w:tcPr>
          <w:p w:rsidR="00963FA6" w:rsidRPr="00E56120" w:rsidRDefault="00963FA6" w:rsidP="00D309A1">
            <w:pPr>
              <w:pStyle w:val="Tabletext"/>
              <w:keepNext/>
            </w:pPr>
            <w:r w:rsidRPr="00E56120">
              <w:t>Responder n (%)</w:t>
            </w:r>
            <w:r>
              <w:t>, Wk12</w:t>
            </w:r>
          </w:p>
        </w:tc>
        <w:tc>
          <w:tcPr>
            <w:tcW w:w="546"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w:t>
            </w:r>
          </w:p>
        </w:tc>
        <w:tc>
          <w:tcPr>
            <w:tcW w:w="546"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w:t>
            </w:r>
          </w:p>
        </w:tc>
        <w:tc>
          <w:tcPr>
            <w:tcW w:w="781"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w:t>
            </w:r>
          </w:p>
        </w:tc>
        <w:tc>
          <w:tcPr>
            <w:tcW w:w="546"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w:t>
            </w:r>
          </w:p>
        </w:tc>
        <w:tc>
          <w:tcPr>
            <w:tcW w:w="547"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 ''''''''''''''''''''</w:t>
            </w:r>
          </w:p>
        </w:tc>
        <w:tc>
          <w:tcPr>
            <w:tcW w:w="848" w:type="pct"/>
            <w:vAlign w:val="center"/>
          </w:tcPr>
          <w:p w:rsidR="00963FA6" w:rsidRPr="00EA7891" w:rsidRDefault="00EA7891" w:rsidP="00D309A1">
            <w:pPr>
              <w:widowControl/>
              <w:jc w:val="center"/>
              <w:rPr>
                <w:rFonts w:ascii="Arial Narrow" w:hAnsi="Arial Narrow"/>
                <w:sz w:val="20"/>
                <w:szCs w:val="14"/>
                <w:highlight w:val="black"/>
              </w:rPr>
            </w:pPr>
            <w:r>
              <w:rPr>
                <w:rFonts w:ascii="Arial Narrow" w:hAnsi="Arial Narrow"/>
                <w:noProof/>
                <w:color w:val="000000"/>
                <w:sz w:val="20"/>
                <w:szCs w:val="14"/>
                <w:highlight w:val="black"/>
              </w:rPr>
              <w:t>'''''''''''''''''''''''</w:t>
            </w:r>
          </w:p>
        </w:tc>
      </w:tr>
    </w:tbl>
    <w:p w:rsidR="00963FA6" w:rsidRPr="00242089" w:rsidRDefault="00963FA6" w:rsidP="00114B88">
      <w:pPr>
        <w:pStyle w:val="TableFooter"/>
        <w:rPr>
          <w:rFonts w:eastAsia="Calibri"/>
        </w:rPr>
      </w:pPr>
      <w:r w:rsidRPr="00242089">
        <w:t xml:space="preserve">Abbreviations: </w:t>
      </w:r>
      <w:r>
        <w:t xml:space="preserve">BoNT=botulinum toxin; </w:t>
      </w:r>
      <w:r w:rsidRPr="00242089">
        <w:rPr>
          <w:rFonts w:eastAsia="Calibri"/>
        </w:rPr>
        <w:t>CI=confidence interval;</w:t>
      </w:r>
      <w:r>
        <w:rPr>
          <w:rFonts w:eastAsia="Calibri"/>
        </w:rPr>
        <w:t xml:space="preserve"> GSC=Gastrocnemius soleus complex;</w:t>
      </w:r>
      <w:r w:rsidRPr="00242089">
        <w:rPr>
          <w:rFonts w:eastAsia="Calibri"/>
        </w:rPr>
        <w:t xml:space="preserve"> ITT=intention to treat; LS mean=least square mean; N=total patients in group; MAS=modified Ashworth Scale; </w:t>
      </w:r>
      <w:r>
        <w:rPr>
          <w:rFonts w:eastAsia="Calibri"/>
        </w:rPr>
        <w:t>PGA=physician global assessment; wk=week</w:t>
      </w:r>
    </w:p>
    <w:p w:rsidR="00963FA6" w:rsidRDefault="00963FA6" w:rsidP="009355A7">
      <w:pPr>
        <w:pStyle w:val="TableFooter"/>
        <w:spacing w:after="240"/>
        <w:rPr>
          <w:rFonts w:eastAsia="Calibri"/>
        </w:rPr>
      </w:pPr>
      <w:r w:rsidRPr="00242089">
        <w:rPr>
          <w:rFonts w:eastAsia="Calibri"/>
        </w:rPr>
        <w:t>Source:</w:t>
      </w:r>
      <w:r w:rsidR="00FA60DA">
        <w:rPr>
          <w:rFonts w:eastAsia="Calibri"/>
        </w:rPr>
        <w:t xml:space="preserve"> </w:t>
      </w:r>
      <w:r>
        <w:rPr>
          <w:rFonts w:eastAsia="Calibri"/>
        </w:rPr>
        <w:t>Dysport® PSCR</w:t>
      </w:r>
    </w:p>
    <w:p w:rsidR="002812FB" w:rsidRDefault="002812FB" w:rsidP="002812FB">
      <w:pPr>
        <w:pStyle w:val="ListParagraph"/>
        <w:rPr>
          <w:iCs/>
        </w:rPr>
      </w:pPr>
      <w:r w:rsidRPr="00267462">
        <w:rPr>
          <w:iCs/>
        </w:rPr>
        <w:t xml:space="preserve">The </w:t>
      </w:r>
      <w:r w:rsidRPr="0097047B">
        <w:rPr>
          <w:i/>
          <w:iCs/>
        </w:rPr>
        <w:t>post-hoc</w:t>
      </w:r>
      <w:r w:rsidRPr="00267462">
        <w:rPr>
          <w:iCs/>
        </w:rPr>
        <w:t xml:space="preserve"> analyses in the open-label extension study </w:t>
      </w:r>
      <w:r>
        <w:rPr>
          <w:iCs/>
        </w:rPr>
        <w:t>could</w:t>
      </w:r>
      <w:r w:rsidRPr="00267462">
        <w:rPr>
          <w:iCs/>
        </w:rPr>
        <w:t xml:space="preserve"> not demonstrate that Dysport® was more effective compared to placebo in patients receiving treatment </w:t>
      </w:r>
      <w:r w:rsidRPr="00267462">
        <w:rPr>
          <w:rFonts w:cs="Calibri"/>
          <w:iCs/>
        </w:rPr>
        <w:t>≤</w:t>
      </w:r>
      <w:r w:rsidR="00460404">
        <w:rPr>
          <w:rFonts w:cs="Calibri"/>
          <w:iCs/>
        </w:rPr>
        <w:t> </w:t>
      </w:r>
      <w:r w:rsidRPr="00267462">
        <w:rPr>
          <w:iCs/>
        </w:rPr>
        <w:t xml:space="preserve">2 years post-event as all patients in the open label phase received active treatment. </w:t>
      </w:r>
    </w:p>
    <w:p w:rsidR="00B60939" w:rsidRPr="00114B88" w:rsidRDefault="00B60939" w:rsidP="00114B88">
      <w:pPr>
        <w:pStyle w:val="Heading2"/>
      </w:pPr>
      <w:r w:rsidRPr="00114B88">
        <w:t>Comparative harms</w:t>
      </w:r>
      <w:bookmarkEnd w:id="11"/>
    </w:p>
    <w:p w:rsidR="00B465DE" w:rsidRDefault="00B465DE" w:rsidP="00D309A1">
      <w:pPr>
        <w:pStyle w:val="ListParagraph"/>
      </w:pPr>
      <w:r w:rsidRPr="00B465DE">
        <w:t xml:space="preserve">Table </w:t>
      </w:r>
      <w:r w:rsidR="00BE7D28">
        <w:t>7</w:t>
      </w:r>
      <w:r w:rsidRPr="00B465DE">
        <w:t xml:space="preserve"> summarises the </w:t>
      </w:r>
      <w:r w:rsidR="002812FB">
        <w:t>adverse events reported</w:t>
      </w:r>
      <w:r>
        <w:t xml:space="preserve"> in Study 140</w:t>
      </w:r>
      <w:r w:rsidRPr="00B465DE">
        <w:t>.</w:t>
      </w:r>
      <w:r w:rsidR="00FA60DA">
        <w:t xml:space="preserve"> </w:t>
      </w:r>
      <w:r>
        <w:t xml:space="preserve">A significantly </w:t>
      </w:r>
      <w:r w:rsidRPr="00B465DE">
        <w:t xml:space="preserve">higher proportion of patients on </w:t>
      </w:r>
      <w:r w:rsidR="00051CA9">
        <w:t>Dysport®</w:t>
      </w:r>
      <w:r w:rsidRPr="00B465DE">
        <w:t xml:space="preserve"> (</w:t>
      </w:r>
      <w:r w:rsidR="002E3A44">
        <w:t>both 1000U and 1500U doses</w:t>
      </w:r>
      <w:r w:rsidRPr="00B465DE">
        <w:t xml:space="preserve">) compared to placebo experienced at least one treatment emergent </w:t>
      </w:r>
      <w:r w:rsidR="002812FB">
        <w:t>adverse event</w:t>
      </w:r>
      <w:r>
        <w:t>.</w:t>
      </w:r>
      <w:r w:rsidR="00FA60DA">
        <w:t xml:space="preserve"> </w:t>
      </w:r>
      <w:r w:rsidRPr="00B465DE">
        <w:t xml:space="preserve">The proportion of patients experiencing </w:t>
      </w:r>
      <w:r w:rsidR="002812FB">
        <w:t>adverse event</w:t>
      </w:r>
      <w:r>
        <w:t xml:space="preserve">s </w:t>
      </w:r>
      <w:r w:rsidRPr="00B465DE">
        <w:t>w</w:t>
      </w:r>
      <w:r w:rsidR="00FB744C">
        <w:t>as</w:t>
      </w:r>
      <w:r w:rsidRPr="00B465DE">
        <w:t xml:space="preserve"> generally similar between the two </w:t>
      </w:r>
      <w:r w:rsidR="00051CA9">
        <w:t>Dysport®</w:t>
      </w:r>
      <w:r w:rsidRPr="00B465DE">
        <w:t xml:space="preserve"> doses.</w:t>
      </w:r>
      <w:r w:rsidR="00FA60DA">
        <w:t xml:space="preserve"> </w:t>
      </w:r>
    </w:p>
    <w:p w:rsidR="00E72E9C" w:rsidRDefault="00B465DE" w:rsidP="00D309A1">
      <w:pPr>
        <w:pStyle w:val="ListParagraph"/>
      </w:pPr>
      <w:r w:rsidRPr="00B465DE">
        <w:t xml:space="preserve">The most common </w:t>
      </w:r>
      <w:r w:rsidR="002812FB">
        <w:t>adverse event</w:t>
      </w:r>
      <w:r w:rsidR="00CC6C47">
        <w:t xml:space="preserve">s </w:t>
      </w:r>
      <w:r w:rsidRPr="00B465DE">
        <w:t xml:space="preserve">for </w:t>
      </w:r>
      <w:r w:rsidR="00051CA9">
        <w:t>Dysport®</w:t>
      </w:r>
      <w:r w:rsidRPr="00B465DE">
        <w:t xml:space="preserve"> listed in the P</w:t>
      </w:r>
      <w:r w:rsidR="002812FB">
        <w:t>roduct Information</w:t>
      </w:r>
      <w:r w:rsidRPr="00B465DE">
        <w:t xml:space="preserve"> included spread of effects of the toxin to sites remote from the injection site, muscle weakness, aspiration and falls.</w:t>
      </w:r>
      <w:r w:rsidR="00FA60DA">
        <w:t xml:space="preserve"> </w:t>
      </w:r>
      <w:r w:rsidRPr="00B465DE">
        <w:t xml:space="preserve">There </w:t>
      </w:r>
      <w:r w:rsidR="00927414">
        <w:t>were also</w:t>
      </w:r>
      <w:r w:rsidRPr="00B465DE">
        <w:t xml:space="preserve"> injection related reactions, which included locali</w:t>
      </w:r>
      <w:r w:rsidR="00CC6C47">
        <w:t>s</w:t>
      </w:r>
      <w:r w:rsidRPr="00B465DE">
        <w:t>ed infection, pain, inflammation, paraesthesia, hypesthesia, tenderness, swelling, erythema and/or bleeding/bruising.</w:t>
      </w:r>
    </w:p>
    <w:p w:rsidR="00E72E9C" w:rsidRDefault="00E72E9C" w:rsidP="00D309A1">
      <w:pPr>
        <w:keepNext/>
        <w:widowControl/>
      </w:pPr>
      <w:r>
        <w:rPr>
          <w:rStyle w:val="CommentReference"/>
        </w:rPr>
        <w:lastRenderedPageBreak/>
        <w:t xml:space="preserve">Table </w:t>
      </w:r>
      <w:r w:rsidR="00BE7D28">
        <w:rPr>
          <w:rStyle w:val="CommentReference"/>
        </w:rPr>
        <w:t>7:</w:t>
      </w:r>
      <w:r w:rsidR="00FA60DA">
        <w:rPr>
          <w:rStyle w:val="CommentReference"/>
        </w:rPr>
        <w:t xml:space="preserve"> </w:t>
      </w:r>
      <w:r w:rsidRPr="005D26B4">
        <w:rPr>
          <w:rStyle w:val="CommentReference"/>
        </w:rPr>
        <w:t>Summary of key adverse events in the trials</w:t>
      </w:r>
    </w:p>
    <w:tbl>
      <w:tblPr>
        <w:tblStyle w:val="TableGrid"/>
        <w:tblW w:w="9100" w:type="dxa"/>
        <w:tblCellMar>
          <w:left w:w="28" w:type="dxa"/>
          <w:right w:w="28" w:type="dxa"/>
        </w:tblCellMar>
        <w:tblLook w:val="04A0" w:firstRow="1" w:lastRow="0" w:firstColumn="1" w:lastColumn="0" w:noHBand="0" w:noVBand="1"/>
        <w:tblCaption w:val="Summary of Key adverse events in trials"/>
      </w:tblPr>
      <w:tblGrid>
        <w:gridCol w:w="2263"/>
        <w:gridCol w:w="1276"/>
        <w:gridCol w:w="1276"/>
        <w:gridCol w:w="1276"/>
        <w:gridCol w:w="1450"/>
        <w:gridCol w:w="1559"/>
      </w:tblGrid>
      <w:tr w:rsidR="00E72E9C" w:rsidRPr="00E72E9C" w:rsidTr="007C62FB">
        <w:trPr>
          <w:cantSplit/>
          <w:tblHeader/>
        </w:trPr>
        <w:tc>
          <w:tcPr>
            <w:tcW w:w="2263" w:type="dxa"/>
            <w:vMerge w:val="restart"/>
            <w:vAlign w:val="center"/>
          </w:tcPr>
          <w:p w:rsidR="00E72E9C" w:rsidRPr="00E72E9C" w:rsidRDefault="00E72E9C" w:rsidP="00D309A1">
            <w:pPr>
              <w:keepNext/>
              <w:widowControl/>
              <w:rPr>
                <w:rFonts w:ascii="Arial Narrow" w:hAnsi="Arial Narrow"/>
                <w:sz w:val="20"/>
                <w:szCs w:val="20"/>
              </w:rPr>
            </w:pPr>
            <w:r w:rsidRPr="00E72E9C">
              <w:rPr>
                <w:rFonts w:ascii="Arial Narrow" w:hAnsi="Arial Narrow"/>
                <w:b/>
                <w:sz w:val="20"/>
                <w:szCs w:val="20"/>
              </w:rPr>
              <w:t>Adverse event, n (%)</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b/>
                <w:sz w:val="20"/>
                <w:szCs w:val="20"/>
                <w:lang w:val="pt-PT"/>
              </w:rPr>
              <w:t>Placebo</w:t>
            </w:r>
          </w:p>
        </w:tc>
        <w:tc>
          <w:tcPr>
            <w:tcW w:w="1276" w:type="dxa"/>
            <w:vAlign w:val="center"/>
          </w:tcPr>
          <w:p w:rsidR="00E72E9C" w:rsidRPr="00E72E9C" w:rsidRDefault="00051CA9" w:rsidP="00D309A1">
            <w:pPr>
              <w:keepNext/>
              <w:widowControl/>
              <w:jc w:val="center"/>
              <w:rPr>
                <w:rFonts w:ascii="Arial Narrow" w:hAnsi="Arial Narrow"/>
                <w:sz w:val="20"/>
                <w:szCs w:val="20"/>
              </w:rPr>
            </w:pPr>
            <w:r>
              <w:rPr>
                <w:rFonts w:ascii="Arial Narrow" w:hAnsi="Arial Narrow"/>
                <w:b/>
                <w:sz w:val="20"/>
                <w:szCs w:val="20"/>
              </w:rPr>
              <w:t>Dysport</w:t>
            </w:r>
            <w:r w:rsidR="00E72E9C" w:rsidRPr="00E72E9C">
              <w:rPr>
                <w:rFonts w:ascii="Arial Narrow" w:hAnsi="Arial Narrow"/>
                <w:b/>
                <w:sz w:val="20"/>
                <w:szCs w:val="20"/>
              </w:rPr>
              <w:t xml:space="preserve"> 1500U</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b/>
                <w:sz w:val="20"/>
                <w:szCs w:val="20"/>
              </w:rPr>
              <w:t xml:space="preserve">Total </w:t>
            </w:r>
            <w:r w:rsidR="00051CA9">
              <w:rPr>
                <w:rFonts w:ascii="Arial Narrow" w:hAnsi="Arial Narrow"/>
                <w:b/>
                <w:sz w:val="20"/>
                <w:szCs w:val="20"/>
              </w:rPr>
              <w:t>Dysport</w:t>
            </w:r>
          </w:p>
        </w:tc>
        <w:tc>
          <w:tcPr>
            <w:tcW w:w="3009" w:type="dxa"/>
            <w:gridSpan w:val="2"/>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b/>
                <w:sz w:val="20"/>
                <w:szCs w:val="20"/>
              </w:rPr>
              <w:t>Total Dysport vs placebo</w:t>
            </w:r>
          </w:p>
        </w:tc>
      </w:tr>
      <w:tr w:rsidR="00E72E9C" w:rsidRPr="00E72E9C" w:rsidTr="00916078">
        <w:tc>
          <w:tcPr>
            <w:tcW w:w="2263" w:type="dxa"/>
            <w:vMerge/>
          </w:tcPr>
          <w:p w:rsidR="00E72E9C" w:rsidRPr="00E72E9C" w:rsidRDefault="00E72E9C" w:rsidP="00D309A1">
            <w:pPr>
              <w:keepNext/>
              <w:widowControl/>
              <w:rPr>
                <w:rFonts w:ascii="Arial Narrow" w:hAnsi="Arial Narrow"/>
                <w:sz w:val="20"/>
                <w:szCs w:val="20"/>
              </w:rPr>
            </w:pP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b/>
                <w:sz w:val="20"/>
                <w:szCs w:val="20"/>
                <w:lang w:val="pt-PT"/>
              </w:rPr>
              <w:t>N=130</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b/>
                <w:sz w:val="20"/>
                <w:szCs w:val="20"/>
              </w:rPr>
              <w:t>N=128</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b/>
                <w:sz w:val="20"/>
                <w:szCs w:val="20"/>
              </w:rPr>
              <w:t>N=255</w:t>
            </w:r>
          </w:p>
        </w:tc>
        <w:tc>
          <w:tcPr>
            <w:tcW w:w="1450"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b/>
                <w:sz w:val="20"/>
                <w:szCs w:val="20"/>
              </w:rPr>
              <w:t>RD (95% CI)</w:t>
            </w:r>
          </w:p>
        </w:tc>
        <w:tc>
          <w:tcPr>
            <w:tcW w:w="1559" w:type="dxa"/>
            <w:vAlign w:val="center"/>
          </w:tcPr>
          <w:p w:rsidR="00E72E9C" w:rsidRPr="00E72E9C" w:rsidRDefault="0034520F" w:rsidP="00D309A1">
            <w:pPr>
              <w:keepNext/>
              <w:widowControl/>
              <w:jc w:val="center"/>
              <w:rPr>
                <w:rFonts w:ascii="Arial Narrow" w:hAnsi="Arial Narrow"/>
                <w:sz w:val="20"/>
                <w:szCs w:val="20"/>
              </w:rPr>
            </w:pPr>
            <w:r>
              <w:rPr>
                <w:rFonts w:ascii="Arial Narrow" w:hAnsi="Arial Narrow"/>
                <w:b/>
                <w:sz w:val="20"/>
                <w:szCs w:val="20"/>
                <w:lang w:val="pt-PT"/>
              </w:rPr>
              <w:t>RR (95% CI)</w:t>
            </w:r>
          </w:p>
        </w:tc>
      </w:tr>
      <w:tr w:rsidR="00E72E9C" w:rsidRPr="00E72E9C" w:rsidTr="00916078">
        <w:tc>
          <w:tcPr>
            <w:tcW w:w="2263" w:type="dxa"/>
          </w:tcPr>
          <w:p w:rsidR="00E72E9C" w:rsidRPr="00E72E9C" w:rsidRDefault="00E72E9C" w:rsidP="00D309A1">
            <w:pPr>
              <w:keepNext/>
              <w:widowControl/>
              <w:rPr>
                <w:rFonts w:ascii="Arial Narrow" w:hAnsi="Arial Narrow"/>
                <w:sz w:val="20"/>
                <w:szCs w:val="20"/>
              </w:rPr>
            </w:pPr>
            <w:r w:rsidRPr="00E72E9C">
              <w:rPr>
                <w:rFonts w:ascii="Arial Narrow" w:hAnsi="Arial Narrow"/>
                <w:sz w:val="20"/>
                <w:szCs w:val="20"/>
              </w:rPr>
              <w:t>At least one AE</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41 (31.5</w:t>
            </w:r>
            <w:r w:rsidR="002E3A44">
              <w:rPr>
                <w:rFonts w:ascii="Arial Narrow" w:hAnsi="Arial Narrow"/>
                <w:sz w:val="20"/>
                <w:szCs w:val="20"/>
              </w:rPr>
              <w:t>%</w:t>
            </w:r>
            <w:r w:rsidRPr="00E72E9C">
              <w:rPr>
                <w:rFonts w:ascii="Arial Narrow" w:hAnsi="Arial Narrow"/>
                <w:sz w:val="20"/>
                <w:szCs w:val="20"/>
              </w:rPr>
              <w:t>)</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54 (42.2</w:t>
            </w:r>
            <w:r w:rsidR="002E3A44">
              <w:rPr>
                <w:rFonts w:ascii="Arial Narrow" w:hAnsi="Arial Narrow"/>
                <w:sz w:val="20"/>
                <w:szCs w:val="20"/>
              </w:rPr>
              <w:t>%</w:t>
            </w:r>
            <w:r w:rsidRPr="00E72E9C">
              <w:rPr>
                <w:rFonts w:ascii="Arial Narrow" w:hAnsi="Arial Narrow"/>
                <w:sz w:val="20"/>
                <w:szCs w:val="20"/>
              </w:rPr>
              <w:t>)</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111 (43.5</w:t>
            </w:r>
            <w:r w:rsidR="002E3A44">
              <w:rPr>
                <w:rFonts w:ascii="Arial Narrow" w:hAnsi="Arial Narrow"/>
                <w:sz w:val="20"/>
                <w:szCs w:val="20"/>
              </w:rPr>
              <w:t>%</w:t>
            </w:r>
            <w:r w:rsidRPr="00E72E9C">
              <w:rPr>
                <w:rFonts w:ascii="Arial Narrow" w:hAnsi="Arial Narrow"/>
                <w:sz w:val="20"/>
                <w:szCs w:val="20"/>
              </w:rPr>
              <w:t>)</w:t>
            </w:r>
          </w:p>
        </w:tc>
        <w:tc>
          <w:tcPr>
            <w:tcW w:w="1450" w:type="dxa"/>
            <w:vAlign w:val="center"/>
          </w:tcPr>
          <w:p w:rsidR="00E72E9C" w:rsidRPr="004A73B9" w:rsidRDefault="00E72E9C" w:rsidP="00D309A1">
            <w:pPr>
              <w:keepNext/>
              <w:widowControl/>
              <w:jc w:val="center"/>
              <w:rPr>
                <w:rFonts w:ascii="Arial Narrow" w:hAnsi="Arial Narrow"/>
                <w:sz w:val="20"/>
                <w:szCs w:val="20"/>
              </w:rPr>
            </w:pPr>
            <w:r w:rsidRPr="004A73B9">
              <w:rPr>
                <w:rFonts w:ascii="Arial Narrow" w:hAnsi="Arial Narrow"/>
                <w:b/>
                <w:bCs/>
                <w:iCs/>
                <w:sz w:val="20"/>
                <w:szCs w:val="20"/>
              </w:rPr>
              <w:t>0.12 (0.02, 0.22)</w:t>
            </w:r>
          </w:p>
        </w:tc>
        <w:tc>
          <w:tcPr>
            <w:tcW w:w="1559" w:type="dxa"/>
            <w:vAlign w:val="center"/>
          </w:tcPr>
          <w:p w:rsidR="00E72E9C" w:rsidRPr="004A73B9" w:rsidRDefault="00E72E9C" w:rsidP="00D309A1">
            <w:pPr>
              <w:keepNext/>
              <w:widowControl/>
              <w:jc w:val="center"/>
              <w:rPr>
                <w:rFonts w:ascii="Arial Narrow" w:hAnsi="Arial Narrow"/>
                <w:sz w:val="20"/>
                <w:szCs w:val="20"/>
              </w:rPr>
            </w:pPr>
            <w:r w:rsidRPr="004A73B9">
              <w:rPr>
                <w:rFonts w:ascii="Arial Narrow" w:hAnsi="Arial Narrow"/>
                <w:b/>
                <w:bCs/>
                <w:iCs/>
                <w:sz w:val="20"/>
                <w:szCs w:val="20"/>
              </w:rPr>
              <w:t>1.38 (1.03, 1.84)</w:t>
            </w:r>
          </w:p>
        </w:tc>
      </w:tr>
      <w:tr w:rsidR="00E72E9C" w:rsidRPr="00E72E9C" w:rsidTr="00916078">
        <w:tc>
          <w:tcPr>
            <w:tcW w:w="2263" w:type="dxa"/>
          </w:tcPr>
          <w:p w:rsidR="00E72E9C" w:rsidRPr="00E72E9C" w:rsidRDefault="00E72E9C" w:rsidP="00D309A1">
            <w:pPr>
              <w:keepNext/>
              <w:widowControl/>
              <w:rPr>
                <w:rFonts w:ascii="Arial Narrow" w:hAnsi="Arial Narrow"/>
                <w:sz w:val="20"/>
                <w:szCs w:val="20"/>
              </w:rPr>
            </w:pPr>
            <w:r w:rsidRPr="00E72E9C">
              <w:rPr>
                <w:rFonts w:ascii="Arial Narrow" w:hAnsi="Arial Narrow"/>
                <w:sz w:val="20"/>
                <w:szCs w:val="20"/>
              </w:rPr>
              <w:t>At least one TEAE</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41 (31.5</w:t>
            </w:r>
            <w:r w:rsidR="002E3A44">
              <w:rPr>
                <w:rFonts w:ascii="Arial Narrow" w:hAnsi="Arial Narrow"/>
                <w:sz w:val="20"/>
                <w:szCs w:val="20"/>
              </w:rPr>
              <w:t>%</w:t>
            </w:r>
            <w:r w:rsidRPr="00E72E9C">
              <w:rPr>
                <w:rFonts w:ascii="Arial Narrow" w:hAnsi="Arial Narrow"/>
                <w:sz w:val="20"/>
                <w:szCs w:val="20"/>
              </w:rPr>
              <w:t>)</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52 (40.6</w:t>
            </w:r>
            <w:r w:rsidR="002E3A44">
              <w:rPr>
                <w:rFonts w:ascii="Arial Narrow" w:hAnsi="Arial Narrow"/>
                <w:sz w:val="20"/>
                <w:szCs w:val="20"/>
              </w:rPr>
              <w:t>%</w:t>
            </w:r>
            <w:r w:rsidRPr="00E72E9C">
              <w:rPr>
                <w:rFonts w:ascii="Arial Narrow" w:hAnsi="Arial Narrow"/>
                <w:sz w:val="20"/>
                <w:szCs w:val="20"/>
              </w:rPr>
              <w:t>)</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107 (42.0</w:t>
            </w:r>
            <w:r w:rsidR="002E3A44">
              <w:rPr>
                <w:rFonts w:ascii="Arial Narrow" w:hAnsi="Arial Narrow"/>
                <w:sz w:val="20"/>
                <w:szCs w:val="20"/>
              </w:rPr>
              <w:t>%</w:t>
            </w:r>
            <w:r w:rsidRPr="00E72E9C">
              <w:rPr>
                <w:rFonts w:ascii="Arial Narrow" w:hAnsi="Arial Narrow"/>
                <w:sz w:val="20"/>
                <w:szCs w:val="20"/>
              </w:rPr>
              <w:t>)</w:t>
            </w:r>
          </w:p>
        </w:tc>
        <w:tc>
          <w:tcPr>
            <w:tcW w:w="1450" w:type="dxa"/>
            <w:vAlign w:val="center"/>
          </w:tcPr>
          <w:p w:rsidR="00E72E9C" w:rsidRPr="004A73B9" w:rsidRDefault="00E72E9C" w:rsidP="00D309A1">
            <w:pPr>
              <w:keepNext/>
              <w:widowControl/>
              <w:jc w:val="center"/>
              <w:rPr>
                <w:rFonts w:ascii="Arial Narrow" w:hAnsi="Arial Narrow"/>
                <w:sz w:val="20"/>
                <w:szCs w:val="20"/>
              </w:rPr>
            </w:pPr>
            <w:r w:rsidRPr="004A73B9">
              <w:rPr>
                <w:rFonts w:ascii="Arial Narrow" w:hAnsi="Arial Narrow"/>
                <w:b/>
                <w:bCs/>
                <w:iCs/>
                <w:sz w:val="20"/>
                <w:szCs w:val="20"/>
              </w:rPr>
              <w:t>0.10 (0.00, 0.20)</w:t>
            </w:r>
          </w:p>
        </w:tc>
        <w:tc>
          <w:tcPr>
            <w:tcW w:w="1559" w:type="dxa"/>
            <w:vAlign w:val="center"/>
          </w:tcPr>
          <w:p w:rsidR="00E72E9C" w:rsidRPr="004A73B9" w:rsidRDefault="00E72E9C" w:rsidP="00D309A1">
            <w:pPr>
              <w:keepNext/>
              <w:widowControl/>
              <w:jc w:val="center"/>
              <w:rPr>
                <w:rFonts w:ascii="Arial Narrow" w:hAnsi="Arial Narrow"/>
                <w:sz w:val="20"/>
                <w:szCs w:val="20"/>
              </w:rPr>
            </w:pPr>
            <w:r w:rsidRPr="004A73B9">
              <w:rPr>
                <w:rFonts w:ascii="Arial Narrow" w:hAnsi="Arial Narrow"/>
                <w:iCs/>
                <w:sz w:val="20"/>
                <w:szCs w:val="20"/>
              </w:rPr>
              <w:t>1.33 (0.99, 1.78)</w:t>
            </w:r>
          </w:p>
        </w:tc>
      </w:tr>
      <w:tr w:rsidR="00E72E9C" w:rsidRPr="00E72E9C" w:rsidTr="00916078">
        <w:tc>
          <w:tcPr>
            <w:tcW w:w="2263" w:type="dxa"/>
          </w:tcPr>
          <w:p w:rsidR="00E72E9C" w:rsidRPr="00E72E9C" w:rsidRDefault="00E72E9C" w:rsidP="00D309A1">
            <w:pPr>
              <w:keepNext/>
              <w:widowControl/>
              <w:rPr>
                <w:rFonts w:ascii="Arial Narrow" w:hAnsi="Arial Narrow"/>
                <w:sz w:val="20"/>
                <w:szCs w:val="20"/>
              </w:rPr>
            </w:pPr>
            <w:r w:rsidRPr="00E72E9C">
              <w:rPr>
                <w:rFonts w:ascii="Arial Narrow" w:hAnsi="Arial Narrow"/>
                <w:sz w:val="20"/>
                <w:szCs w:val="20"/>
              </w:rPr>
              <w:t>Any TEAE of Special Interest</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7 (5.4</w:t>
            </w:r>
            <w:r w:rsidR="002E3A44">
              <w:rPr>
                <w:rFonts w:ascii="Arial Narrow" w:hAnsi="Arial Narrow"/>
                <w:sz w:val="20"/>
                <w:szCs w:val="20"/>
              </w:rPr>
              <w:t>%</w:t>
            </w:r>
            <w:r w:rsidRPr="00E72E9C">
              <w:rPr>
                <w:rFonts w:ascii="Arial Narrow" w:hAnsi="Arial Narrow"/>
                <w:sz w:val="20"/>
                <w:szCs w:val="20"/>
              </w:rPr>
              <w:t>)</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13 (10.2</w:t>
            </w:r>
            <w:r w:rsidR="002E3A44">
              <w:rPr>
                <w:rFonts w:ascii="Arial Narrow" w:hAnsi="Arial Narrow"/>
                <w:sz w:val="20"/>
                <w:szCs w:val="20"/>
              </w:rPr>
              <w:t>%</w:t>
            </w:r>
            <w:r w:rsidRPr="00E72E9C">
              <w:rPr>
                <w:rFonts w:ascii="Arial Narrow" w:hAnsi="Arial Narrow"/>
                <w:sz w:val="20"/>
                <w:szCs w:val="20"/>
              </w:rPr>
              <w:t>)</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19 (7.5</w:t>
            </w:r>
            <w:r w:rsidR="002E3A44">
              <w:rPr>
                <w:rFonts w:ascii="Arial Narrow" w:hAnsi="Arial Narrow"/>
                <w:sz w:val="20"/>
                <w:szCs w:val="20"/>
              </w:rPr>
              <w:t>%</w:t>
            </w:r>
            <w:r w:rsidRPr="00E72E9C">
              <w:rPr>
                <w:rFonts w:ascii="Arial Narrow" w:hAnsi="Arial Narrow"/>
                <w:sz w:val="20"/>
                <w:szCs w:val="20"/>
              </w:rPr>
              <w:t>)</w:t>
            </w:r>
          </w:p>
        </w:tc>
        <w:tc>
          <w:tcPr>
            <w:tcW w:w="1450" w:type="dxa"/>
            <w:vAlign w:val="center"/>
          </w:tcPr>
          <w:p w:rsidR="00E72E9C" w:rsidRPr="004A73B9" w:rsidRDefault="00E72E9C" w:rsidP="00D309A1">
            <w:pPr>
              <w:keepNext/>
              <w:widowControl/>
              <w:jc w:val="center"/>
              <w:rPr>
                <w:rFonts w:ascii="Arial Narrow" w:hAnsi="Arial Narrow"/>
                <w:sz w:val="20"/>
                <w:szCs w:val="20"/>
              </w:rPr>
            </w:pPr>
            <w:r w:rsidRPr="004A73B9">
              <w:rPr>
                <w:rFonts w:ascii="Arial Narrow" w:hAnsi="Arial Narrow"/>
                <w:iCs/>
                <w:sz w:val="20"/>
                <w:szCs w:val="20"/>
              </w:rPr>
              <w:t>0.02 (-0.03, 0.07)</w:t>
            </w:r>
          </w:p>
        </w:tc>
        <w:tc>
          <w:tcPr>
            <w:tcW w:w="1559" w:type="dxa"/>
            <w:vAlign w:val="center"/>
          </w:tcPr>
          <w:p w:rsidR="00E72E9C" w:rsidRPr="004A73B9" w:rsidRDefault="00E72E9C" w:rsidP="00D309A1">
            <w:pPr>
              <w:keepNext/>
              <w:widowControl/>
              <w:jc w:val="center"/>
              <w:rPr>
                <w:rFonts w:ascii="Arial Narrow" w:hAnsi="Arial Narrow"/>
                <w:sz w:val="20"/>
                <w:szCs w:val="20"/>
              </w:rPr>
            </w:pPr>
            <w:r w:rsidRPr="004A73B9">
              <w:rPr>
                <w:rFonts w:ascii="Arial Narrow" w:hAnsi="Arial Narrow"/>
                <w:iCs/>
                <w:sz w:val="20"/>
                <w:szCs w:val="20"/>
              </w:rPr>
              <w:t>1.38 (0.60, 3.21)</w:t>
            </w:r>
          </w:p>
        </w:tc>
      </w:tr>
      <w:tr w:rsidR="00E72E9C" w:rsidRPr="00E72E9C" w:rsidTr="00916078">
        <w:tc>
          <w:tcPr>
            <w:tcW w:w="2263" w:type="dxa"/>
          </w:tcPr>
          <w:p w:rsidR="00E72E9C" w:rsidRPr="00E72E9C" w:rsidRDefault="00E72E9C" w:rsidP="00D309A1">
            <w:pPr>
              <w:pStyle w:val="Tabletext"/>
              <w:keepNext/>
              <w:ind w:left="104"/>
            </w:pPr>
            <w:r w:rsidRPr="00E72E9C">
              <w:t>Remote spread effects</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6 (4.7</w:t>
            </w:r>
            <w:r w:rsidR="002E3A44">
              <w:rPr>
                <w:rFonts w:ascii="Arial Narrow" w:hAnsi="Arial Narrow"/>
                <w:sz w:val="20"/>
                <w:szCs w:val="20"/>
              </w:rPr>
              <w:t>%</w:t>
            </w:r>
            <w:r w:rsidRPr="00E72E9C">
              <w:rPr>
                <w:rFonts w:ascii="Arial Narrow" w:hAnsi="Arial Narrow"/>
                <w:sz w:val="20"/>
                <w:szCs w:val="20"/>
              </w:rPr>
              <w:t>)</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12 (9.4</w:t>
            </w:r>
            <w:r w:rsidR="002E3A44">
              <w:rPr>
                <w:rFonts w:ascii="Arial Narrow" w:hAnsi="Arial Narrow"/>
                <w:sz w:val="20"/>
                <w:szCs w:val="20"/>
              </w:rPr>
              <w:t>%</w:t>
            </w:r>
            <w:r w:rsidRPr="00E72E9C">
              <w:rPr>
                <w:rFonts w:ascii="Arial Narrow" w:hAnsi="Arial Narrow"/>
                <w:sz w:val="20"/>
                <w:szCs w:val="20"/>
              </w:rPr>
              <w:t>)</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18 (7.1</w:t>
            </w:r>
            <w:r w:rsidR="002E3A44">
              <w:rPr>
                <w:rFonts w:ascii="Arial Narrow" w:hAnsi="Arial Narrow"/>
                <w:sz w:val="20"/>
                <w:szCs w:val="20"/>
              </w:rPr>
              <w:t>%</w:t>
            </w:r>
            <w:r w:rsidRPr="00E72E9C">
              <w:rPr>
                <w:rFonts w:ascii="Arial Narrow" w:hAnsi="Arial Narrow"/>
                <w:sz w:val="20"/>
                <w:szCs w:val="20"/>
              </w:rPr>
              <w:t>)</w:t>
            </w:r>
          </w:p>
        </w:tc>
        <w:tc>
          <w:tcPr>
            <w:tcW w:w="1450" w:type="dxa"/>
            <w:vAlign w:val="center"/>
          </w:tcPr>
          <w:p w:rsidR="00E72E9C" w:rsidRPr="004A73B9" w:rsidRDefault="00E72E9C" w:rsidP="00D309A1">
            <w:pPr>
              <w:keepNext/>
              <w:widowControl/>
              <w:jc w:val="center"/>
              <w:rPr>
                <w:rFonts w:ascii="Arial Narrow" w:hAnsi="Arial Narrow"/>
                <w:sz w:val="20"/>
                <w:szCs w:val="20"/>
              </w:rPr>
            </w:pPr>
            <w:r w:rsidRPr="004A73B9">
              <w:rPr>
                <w:rFonts w:ascii="Arial Narrow" w:hAnsi="Arial Narrow"/>
                <w:iCs/>
                <w:sz w:val="20"/>
                <w:szCs w:val="20"/>
              </w:rPr>
              <w:t>0.02 (-0.02, 0.07)</w:t>
            </w:r>
          </w:p>
        </w:tc>
        <w:tc>
          <w:tcPr>
            <w:tcW w:w="1559" w:type="dxa"/>
            <w:vAlign w:val="center"/>
          </w:tcPr>
          <w:p w:rsidR="00E72E9C" w:rsidRPr="004A73B9" w:rsidRDefault="00E72E9C" w:rsidP="00D309A1">
            <w:pPr>
              <w:keepNext/>
              <w:widowControl/>
              <w:jc w:val="center"/>
              <w:rPr>
                <w:rFonts w:ascii="Arial Narrow" w:hAnsi="Arial Narrow"/>
                <w:sz w:val="20"/>
                <w:szCs w:val="20"/>
              </w:rPr>
            </w:pPr>
            <w:r w:rsidRPr="004A73B9">
              <w:rPr>
                <w:rFonts w:ascii="Arial Narrow" w:hAnsi="Arial Narrow"/>
                <w:iCs/>
                <w:sz w:val="20"/>
                <w:szCs w:val="20"/>
              </w:rPr>
              <w:t>1.53 (0.62, 3.76)</w:t>
            </w:r>
          </w:p>
        </w:tc>
      </w:tr>
      <w:tr w:rsidR="00E72E9C" w:rsidRPr="00E72E9C" w:rsidTr="00916078">
        <w:tc>
          <w:tcPr>
            <w:tcW w:w="2263" w:type="dxa"/>
          </w:tcPr>
          <w:p w:rsidR="00E72E9C" w:rsidRPr="00E72E9C" w:rsidRDefault="00E72E9C" w:rsidP="00D309A1">
            <w:pPr>
              <w:pStyle w:val="Tabletext"/>
              <w:keepNext/>
              <w:ind w:left="104"/>
            </w:pPr>
            <w:r w:rsidRPr="00E72E9C">
              <w:t>Muscular weakness</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4 (3.1</w:t>
            </w:r>
            <w:r w:rsidR="002E3A44">
              <w:rPr>
                <w:rFonts w:ascii="Arial Narrow" w:hAnsi="Arial Narrow"/>
                <w:sz w:val="20"/>
                <w:szCs w:val="20"/>
              </w:rPr>
              <w:t>%</w:t>
            </w:r>
            <w:r w:rsidRPr="00E72E9C">
              <w:rPr>
                <w:rFonts w:ascii="Arial Narrow" w:hAnsi="Arial Narrow"/>
                <w:sz w:val="20"/>
                <w:szCs w:val="20"/>
              </w:rPr>
              <w:t>)</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8 (6.3</w:t>
            </w:r>
            <w:r w:rsidR="002E3A44">
              <w:rPr>
                <w:rFonts w:ascii="Arial Narrow" w:hAnsi="Arial Narrow"/>
                <w:sz w:val="20"/>
                <w:szCs w:val="20"/>
              </w:rPr>
              <w:t>%</w:t>
            </w:r>
            <w:r w:rsidRPr="00E72E9C">
              <w:rPr>
                <w:rFonts w:ascii="Arial Narrow" w:hAnsi="Arial Narrow"/>
                <w:sz w:val="20"/>
                <w:szCs w:val="20"/>
              </w:rPr>
              <w:t>)</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11 (4.3</w:t>
            </w:r>
            <w:r w:rsidR="002E3A44">
              <w:rPr>
                <w:rFonts w:ascii="Arial Narrow" w:hAnsi="Arial Narrow"/>
                <w:sz w:val="20"/>
                <w:szCs w:val="20"/>
              </w:rPr>
              <w:t>%</w:t>
            </w:r>
            <w:r w:rsidRPr="00E72E9C">
              <w:rPr>
                <w:rFonts w:ascii="Arial Narrow" w:hAnsi="Arial Narrow"/>
                <w:sz w:val="20"/>
                <w:szCs w:val="20"/>
              </w:rPr>
              <w:t>)</w:t>
            </w:r>
          </w:p>
        </w:tc>
        <w:tc>
          <w:tcPr>
            <w:tcW w:w="1450" w:type="dxa"/>
            <w:vAlign w:val="center"/>
          </w:tcPr>
          <w:p w:rsidR="00E72E9C" w:rsidRPr="004A73B9" w:rsidRDefault="00E72E9C" w:rsidP="00D309A1">
            <w:pPr>
              <w:keepNext/>
              <w:widowControl/>
              <w:jc w:val="center"/>
              <w:rPr>
                <w:rFonts w:ascii="Arial Narrow" w:hAnsi="Arial Narrow"/>
                <w:sz w:val="20"/>
                <w:szCs w:val="20"/>
              </w:rPr>
            </w:pPr>
            <w:r w:rsidRPr="004A73B9">
              <w:rPr>
                <w:rFonts w:ascii="Arial Narrow" w:hAnsi="Arial Narrow"/>
                <w:iCs/>
                <w:sz w:val="20"/>
                <w:szCs w:val="20"/>
              </w:rPr>
              <w:t>0.01 (-0.03, 0.05)</w:t>
            </w:r>
          </w:p>
        </w:tc>
        <w:tc>
          <w:tcPr>
            <w:tcW w:w="1559" w:type="dxa"/>
            <w:vAlign w:val="center"/>
          </w:tcPr>
          <w:p w:rsidR="00E72E9C" w:rsidRPr="004A73B9" w:rsidRDefault="00E72E9C" w:rsidP="00D309A1">
            <w:pPr>
              <w:keepNext/>
              <w:widowControl/>
              <w:jc w:val="center"/>
              <w:rPr>
                <w:rFonts w:ascii="Arial Narrow" w:hAnsi="Arial Narrow"/>
                <w:sz w:val="20"/>
                <w:szCs w:val="20"/>
              </w:rPr>
            </w:pPr>
            <w:r w:rsidRPr="004A73B9">
              <w:rPr>
                <w:rFonts w:ascii="Arial Narrow" w:hAnsi="Arial Narrow"/>
                <w:iCs/>
                <w:sz w:val="20"/>
                <w:szCs w:val="20"/>
              </w:rPr>
              <w:t>1.40 (0.46, 4.32)</w:t>
            </w:r>
          </w:p>
        </w:tc>
      </w:tr>
      <w:tr w:rsidR="00E72E9C" w:rsidRPr="00E72E9C" w:rsidTr="00916078">
        <w:tc>
          <w:tcPr>
            <w:tcW w:w="2263" w:type="dxa"/>
          </w:tcPr>
          <w:p w:rsidR="00E72E9C" w:rsidRPr="00E72E9C" w:rsidRDefault="00E72E9C" w:rsidP="00D309A1">
            <w:pPr>
              <w:pStyle w:val="Tabletext"/>
              <w:keepNext/>
              <w:ind w:left="104"/>
            </w:pPr>
            <w:r w:rsidRPr="00E72E9C">
              <w:t>Dysphagia</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1 (0.8</w:t>
            </w:r>
            <w:r w:rsidR="002E3A44">
              <w:rPr>
                <w:rFonts w:ascii="Arial Narrow" w:hAnsi="Arial Narrow"/>
                <w:sz w:val="20"/>
                <w:szCs w:val="20"/>
              </w:rPr>
              <w:t>%</w:t>
            </w:r>
            <w:r w:rsidRPr="00E72E9C">
              <w:rPr>
                <w:rFonts w:ascii="Arial Narrow" w:hAnsi="Arial Narrow"/>
                <w:sz w:val="20"/>
                <w:szCs w:val="20"/>
              </w:rPr>
              <w:t>)</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1 (0.8</w:t>
            </w:r>
            <w:r w:rsidR="002E3A44">
              <w:rPr>
                <w:rFonts w:ascii="Arial Narrow" w:hAnsi="Arial Narrow"/>
                <w:sz w:val="20"/>
                <w:szCs w:val="20"/>
              </w:rPr>
              <w:t>%</w:t>
            </w:r>
            <w:r w:rsidRPr="00E72E9C">
              <w:rPr>
                <w:rFonts w:ascii="Arial Narrow" w:hAnsi="Arial Narrow"/>
                <w:sz w:val="20"/>
                <w:szCs w:val="20"/>
              </w:rPr>
              <w:t>)</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3 (1.2</w:t>
            </w:r>
            <w:r w:rsidR="002E3A44">
              <w:rPr>
                <w:rFonts w:ascii="Arial Narrow" w:hAnsi="Arial Narrow"/>
                <w:sz w:val="20"/>
                <w:szCs w:val="20"/>
              </w:rPr>
              <w:t>%</w:t>
            </w:r>
            <w:r w:rsidRPr="00E72E9C">
              <w:rPr>
                <w:rFonts w:ascii="Arial Narrow" w:hAnsi="Arial Narrow"/>
                <w:sz w:val="20"/>
                <w:szCs w:val="20"/>
              </w:rPr>
              <w:t>)</w:t>
            </w:r>
          </w:p>
        </w:tc>
        <w:tc>
          <w:tcPr>
            <w:tcW w:w="1450" w:type="dxa"/>
            <w:vAlign w:val="center"/>
          </w:tcPr>
          <w:p w:rsidR="00E72E9C" w:rsidRPr="004A73B9" w:rsidRDefault="00E72E9C" w:rsidP="00D309A1">
            <w:pPr>
              <w:keepNext/>
              <w:widowControl/>
              <w:jc w:val="center"/>
              <w:rPr>
                <w:rFonts w:ascii="Arial Narrow" w:hAnsi="Arial Narrow"/>
                <w:sz w:val="20"/>
                <w:szCs w:val="20"/>
              </w:rPr>
            </w:pPr>
            <w:r w:rsidRPr="004A73B9">
              <w:rPr>
                <w:rFonts w:ascii="Arial Narrow" w:hAnsi="Arial Narrow"/>
                <w:iCs/>
                <w:sz w:val="20"/>
                <w:szCs w:val="20"/>
              </w:rPr>
              <w:t>0.00 (-0.02, 0.02)</w:t>
            </w:r>
          </w:p>
        </w:tc>
        <w:tc>
          <w:tcPr>
            <w:tcW w:w="1559" w:type="dxa"/>
            <w:vAlign w:val="center"/>
          </w:tcPr>
          <w:p w:rsidR="00E72E9C" w:rsidRPr="004A73B9" w:rsidRDefault="00E72E9C" w:rsidP="00D309A1">
            <w:pPr>
              <w:keepNext/>
              <w:widowControl/>
              <w:jc w:val="center"/>
              <w:rPr>
                <w:rFonts w:ascii="Arial Narrow" w:hAnsi="Arial Narrow"/>
                <w:sz w:val="20"/>
                <w:szCs w:val="20"/>
              </w:rPr>
            </w:pPr>
            <w:r w:rsidRPr="004A73B9">
              <w:rPr>
                <w:rFonts w:ascii="Arial Narrow" w:hAnsi="Arial Narrow"/>
                <w:iCs/>
                <w:sz w:val="20"/>
                <w:szCs w:val="20"/>
              </w:rPr>
              <w:t>1.53 (0.16, 14.6)</w:t>
            </w:r>
          </w:p>
        </w:tc>
      </w:tr>
      <w:tr w:rsidR="00E72E9C" w:rsidRPr="00E72E9C" w:rsidTr="00916078">
        <w:tc>
          <w:tcPr>
            <w:tcW w:w="2263" w:type="dxa"/>
          </w:tcPr>
          <w:p w:rsidR="00E72E9C" w:rsidRPr="00E72E9C" w:rsidRDefault="00E72E9C" w:rsidP="00D309A1">
            <w:pPr>
              <w:pStyle w:val="Tabletext"/>
              <w:keepNext/>
              <w:ind w:left="104"/>
            </w:pPr>
            <w:r w:rsidRPr="00E72E9C">
              <w:t>Hypersensitivity</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1 (0.8</w:t>
            </w:r>
            <w:r w:rsidR="002E3A44">
              <w:rPr>
                <w:rFonts w:ascii="Arial Narrow" w:hAnsi="Arial Narrow"/>
                <w:sz w:val="20"/>
                <w:szCs w:val="20"/>
              </w:rPr>
              <w:t>%</w:t>
            </w:r>
            <w:r w:rsidRPr="00E72E9C">
              <w:rPr>
                <w:rFonts w:ascii="Arial Narrow" w:hAnsi="Arial Narrow"/>
                <w:sz w:val="20"/>
                <w:szCs w:val="20"/>
              </w:rPr>
              <w:t>)</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1 (0.8</w:t>
            </w:r>
            <w:r w:rsidR="002E3A44">
              <w:rPr>
                <w:rFonts w:ascii="Arial Narrow" w:hAnsi="Arial Narrow"/>
                <w:sz w:val="20"/>
                <w:szCs w:val="20"/>
              </w:rPr>
              <w:t>%</w:t>
            </w:r>
            <w:r w:rsidRPr="00E72E9C">
              <w:rPr>
                <w:rFonts w:ascii="Arial Narrow" w:hAnsi="Arial Narrow"/>
                <w:sz w:val="20"/>
                <w:szCs w:val="20"/>
              </w:rPr>
              <w:t>)</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1 (0.4</w:t>
            </w:r>
            <w:r w:rsidR="002E3A44">
              <w:rPr>
                <w:rFonts w:ascii="Arial Narrow" w:hAnsi="Arial Narrow"/>
                <w:sz w:val="20"/>
                <w:szCs w:val="20"/>
              </w:rPr>
              <w:t>%</w:t>
            </w:r>
            <w:r w:rsidRPr="00E72E9C">
              <w:rPr>
                <w:rFonts w:ascii="Arial Narrow" w:hAnsi="Arial Narrow"/>
                <w:sz w:val="20"/>
                <w:szCs w:val="20"/>
              </w:rPr>
              <w:t>)</w:t>
            </w:r>
          </w:p>
        </w:tc>
        <w:tc>
          <w:tcPr>
            <w:tcW w:w="1450" w:type="dxa"/>
            <w:vAlign w:val="center"/>
          </w:tcPr>
          <w:p w:rsidR="00E72E9C" w:rsidRPr="004A73B9" w:rsidRDefault="00E72E9C" w:rsidP="00D309A1">
            <w:pPr>
              <w:keepNext/>
              <w:widowControl/>
              <w:jc w:val="center"/>
              <w:rPr>
                <w:rFonts w:ascii="Arial Narrow" w:hAnsi="Arial Narrow"/>
                <w:sz w:val="20"/>
                <w:szCs w:val="20"/>
              </w:rPr>
            </w:pPr>
            <w:r w:rsidRPr="004A73B9">
              <w:rPr>
                <w:rFonts w:ascii="Arial Narrow" w:hAnsi="Arial Narrow"/>
                <w:iCs/>
                <w:sz w:val="20"/>
                <w:szCs w:val="20"/>
              </w:rPr>
              <w:t>-0.00 (-0.02, 0.01)</w:t>
            </w:r>
          </w:p>
        </w:tc>
        <w:tc>
          <w:tcPr>
            <w:tcW w:w="1559" w:type="dxa"/>
            <w:vAlign w:val="center"/>
          </w:tcPr>
          <w:p w:rsidR="00E72E9C" w:rsidRPr="004A73B9" w:rsidRDefault="00E72E9C" w:rsidP="00D309A1">
            <w:pPr>
              <w:keepNext/>
              <w:widowControl/>
              <w:jc w:val="center"/>
              <w:rPr>
                <w:rFonts w:ascii="Arial Narrow" w:hAnsi="Arial Narrow"/>
                <w:sz w:val="20"/>
                <w:szCs w:val="20"/>
              </w:rPr>
            </w:pPr>
            <w:r w:rsidRPr="004A73B9">
              <w:rPr>
                <w:rFonts w:ascii="Arial Narrow" w:hAnsi="Arial Narrow"/>
                <w:iCs/>
                <w:sz w:val="20"/>
                <w:szCs w:val="20"/>
              </w:rPr>
              <w:t>0.51 (0.03, 8.09)</w:t>
            </w:r>
          </w:p>
        </w:tc>
      </w:tr>
      <w:tr w:rsidR="00E72E9C" w:rsidRPr="00E72E9C" w:rsidTr="00916078">
        <w:tc>
          <w:tcPr>
            <w:tcW w:w="2263" w:type="dxa"/>
          </w:tcPr>
          <w:p w:rsidR="00E72E9C" w:rsidRPr="00E72E9C" w:rsidRDefault="00E72E9C" w:rsidP="00D309A1">
            <w:pPr>
              <w:pStyle w:val="Tabletext"/>
              <w:keepNext/>
              <w:ind w:left="104"/>
            </w:pPr>
            <w:r w:rsidRPr="00E72E9C">
              <w:t>Multiple allergies</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0</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1 (0.8</w:t>
            </w:r>
            <w:r w:rsidR="002E3A44">
              <w:rPr>
                <w:rFonts w:ascii="Arial Narrow" w:hAnsi="Arial Narrow"/>
                <w:sz w:val="20"/>
                <w:szCs w:val="20"/>
              </w:rPr>
              <w:t>%</w:t>
            </w:r>
            <w:r w:rsidRPr="00E72E9C">
              <w:rPr>
                <w:rFonts w:ascii="Arial Narrow" w:hAnsi="Arial Narrow"/>
                <w:sz w:val="20"/>
                <w:szCs w:val="20"/>
              </w:rPr>
              <w:t>)</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1 (0.4</w:t>
            </w:r>
            <w:r w:rsidR="002E3A44">
              <w:rPr>
                <w:rFonts w:ascii="Arial Narrow" w:hAnsi="Arial Narrow"/>
                <w:sz w:val="20"/>
                <w:szCs w:val="20"/>
              </w:rPr>
              <w:t>%</w:t>
            </w:r>
            <w:r w:rsidRPr="00E72E9C">
              <w:rPr>
                <w:rFonts w:ascii="Arial Narrow" w:hAnsi="Arial Narrow"/>
                <w:sz w:val="20"/>
                <w:szCs w:val="20"/>
              </w:rPr>
              <w:t>)</w:t>
            </w:r>
          </w:p>
        </w:tc>
        <w:tc>
          <w:tcPr>
            <w:tcW w:w="1450" w:type="dxa"/>
            <w:vAlign w:val="center"/>
          </w:tcPr>
          <w:p w:rsidR="00E72E9C" w:rsidRPr="004A73B9" w:rsidRDefault="00E72E9C" w:rsidP="00D309A1">
            <w:pPr>
              <w:keepNext/>
              <w:widowControl/>
              <w:jc w:val="center"/>
              <w:rPr>
                <w:rFonts w:ascii="Arial Narrow" w:hAnsi="Arial Narrow"/>
                <w:sz w:val="20"/>
                <w:szCs w:val="20"/>
              </w:rPr>
            </w:pPr>
            <w:r w:rsidRPr="004A73B9">
              <w:rPr>
                <w:rFonts w:ascii="Arial Narrow" w:hAnsi="Arial Narrow"/>
                <w:iCs/>
                <w:sz w:val="20"/>
                <w:szCs w:val="20"/>
              </w:rPr>
              <w:t>0.00 (-0.00, 0.01)</w:t>
            </w:r>
          </w:p>
        </w:tc>
        <w:tc>
          <w:tcPr>
            <w:tcW w:w="1559" w:type="dxa"/>
            <w:vAlign w:val="center"/>
          </w:tcPr>
          <w:p w:rsidR="00E72E9C" w:rsidRPr="004A73B9" w:rsidRDefault="00E72E9C" w:rsidP="00D309A1">
            <w:pPr>
              <w:keepNext/>
              <w:widowControl/>
              <w:jc w:val="center"/>
              <w:rPr>
                <w:rFonts w:ascii="Arial Narrow" w:hAnsi="Arial Narrow"/>
                <w:sz w:val="20"/>
                <w:szCs w:val="20"/>
              </w:rPr>
            </w:pPr>
            <w:r w:rsidRPr="004A73B9">
              <w:rPr>
                <w:rFonts w:ascii="Arial Narrow" w:hAnsi="Arial Narrow"/>
                <w:iCs/>
                <w:sz w:val="20"/>
                <w:szCs w:val="20"/>
              </w:rPr>
              <w:t>2.51 (0.06, 100.9)</w:t>
            </w:r>
          </w:p>
        </w:tc>
      </w:tr>
      <w:tr w:rsidR="00E72E9C" w:rsidRPr="00E72E9C" w:rsidTr="00916078">
        <w:tc>
          <w:tcPr>
            <w:tcW w:w="2263" w:type="dxa"/>
          </w:tcPr>
          <w:p w:rsidR="00E72E9C" w:rsidRPr="00E72E9C" w:rsidRDefault="00E72E9C" w:rsidP="00D309A1">
            <w:pPr>
              <w:pStyle w:val="Tabletext"/>
              <w:keepNext/>
              <w:ind w:left="104"/>
            </w:pPr>
            <w:r w:rsidRPr="00E72E9C">
              <w:t>Rash</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1 (0.8</w:t>
            </w:r>
            <w:r w:rsidR="002E3A44">
              <w:rPr>
                <w:rFonts w:ascii="Arial Narrow" w:hAnsi="Arial Narrow"/>
                <w:sz w:val="20"/>
                <w:szCs w:val="20"/>
              </w:rPr>
              <w:t>%</w:t>
            </w:r>
            <w:r w:rsidRPr="00E72E9C">
              <w:rPr>
                <w:rFonts w:ascii="Arial Narrow" w:hAnsi="Arial Narrow"/>
                <w:sz w:val="20"/>
                <w:szCs w:val="20"/>
              </w:rPr>
              <w:t>)</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0</w:t>
            </w:r>
          </w:p>
        </w:tc>
        <w:tc>
          <w:tcPr>
            <w:tcW w:w="1276" w:type="dxa"/>
            <w:vAlign w:val="center"/>
          </w:tcPr>
          <w:p w:rsidR="00E72E9C" w:rsidRPr="00E72E9C" w:rsidRDefault="00E72E9C" w:rsidP="00D309A1">
            <w:pPr>
              <w:keepNext/>
              <w:widowControl/>
              <w:jc w:val="center"/>
              <w:rPr>
                <w:rFonts w:ascii="Arial Narrow" w:hAnsi="Arial Narrow"/>
                <w:sz w:val="20"/>
                <w:szCs w:val="20"/>
              </w:rPr>
            </w:pPr>
            <w:r w:rsidRPr="00E72E9C">
              <w:rPr>
                <w:rFonts w:ascii="Arial Narrow" w:hAnsi="Arial Narrow"/>
                <w:sz w:val="20"/>
                <w:szCs w:val="20"/>
              </w:rPr>
              <w:t>0</w:t>
            </w:r>
          </w:p>
        </w:tc>
        <w:tc>
          <w:tcPr>
            <w:tcW w:w="1450" w:type="dxa"/>
            <w:vAlign w:val="center"/>
          </w:tcPr>
          <w:p w:rsidR="00E72E9C" w:rsidRPr="004A73B9" w:rsidRDefault="00E72E9C" w:rsidP="00D309A1">
            <w:pPr>
              <w:keepNext/>
              <w:widowControl/>
              <w:jc w:val="center"/>
              <w:rPr>
                <w:rFonts w:ascii="Arial Narrow" w:hAnsi="Arial Narrow"/>
                <w:sz w:val="20"/>
                <w:szCs w:val="20"/>
              </w:rPr>
            </w:pPr>
            <w:r w:rsidRPr="004A73B9">
              <w:rPr>
                <w:rFonts w:ascii="Arial Narrow" w:hAnsi="Arial Narrow"/>
                <w:iCs/>
                <w:sz w:val="20"/>
                <w:szCs w:val="20"/>
              </w:rPr>
              <w:t>-0.01 (-0.02, 0.01)</w:t>
            </w:r>
          </w:p>
        </w:tc>
        <w:tc>
          <w:tcPr>
            <w:tcW w:w="1559" w:type="dxa"/>
            <w:vAlign w:val="center"/>
          </w:tcPr>
          <w:p w:rsidR="00E72E9C" w:rsidRPr="004A73B9" w:rsidRDefault="00E72E9C" w:rsidP="00D309A1">
            <w:pPr>
              <w:keepNext/>
              <w:widowControl/>
              <w:jc w:val="center"/>
              <w:rPr>
                <w:rFonts w:ascii="Arial Narrow" w:hAnsi="Arial Narrow"/>
                <w:sz w:val="20"/>
                <w:szCs w:val="20"/>
              </w:rPr>
            </w:pPr>
            <w:r w:rsidRPr="004A73B9">
              <w:rPr>
                <w:rFonts w:ascii="Arial Narrow" w:hAnsi="Arial Narrow"/>
                <w:iCs/>
                <w:sz w:val="20"/>
                <w:szCs w:val="20"/>
              </w:rPr>
              <w:t>0.25 (0.01, 4.76)</w:t>
            </w:r>
          </w:p>
        </w:tc>
      </w:tr>
    </w:tbl>
    <w:p w:rsidR="00B465DE" w:rsidRDefault="00B465DE" w:rsidP="00114B88">
      <w:pPr>
        <w:pStyle w:val="TableFooter"/>
      </w:pPr>
      <w:r>
        <w:rPr>
          <w:rFonts w:eastAsia="Calibri"/>
        </w:rPr>
        <w:t>Abbreviations: AE=adverse event; CI=</w:t>
      </w:r>
      <w:r w:rsidRPr="00B40358">
        <w:rPr>
          <w:rFonts w:eastAsia="Calibri"/>
        </w:rPr>
        <w:t>confidence interval; n=number of pa</w:t>
      </w:r>
      <w:r>
        <w:rPr>
          <w:rFonts w:eastAsia="Calibri"/>
        </w:rPr>
        <w:t>tients</w:t>
      </w:r>
      <w:r w:rsidRPr="00B40358">
        <w:rPr>
          <w:rFonts w:eastAsia="Calibri"/>
        </w:rPr>
        <w:t xml:space="preserve"> reporting data; N=total </w:t>
      </w:r>
      <w:r>
        <w:rPr>
          <w:rFonts w:eastAsia="Calibri"/>
        </w:rPr>
        <w:t>patients</w:t>
      </w:r>
      <w:r w:rsidRPr="00B40358">
        <w:rPr>
          <w:rFonts w:eastAsia="Calibri"/>
        </w:rPr>
        <w:t xml:space="preserve"> in group</w:t>
      </w:r>
      <w:r>
        <w:rPr>
          <w:rFonts w:eastAsia="Calibri"/>
        </w:rPr>
        <w:t>; RD=risk difference; RR=relative risk; TEAE=</w:t>
      </w:r>
      <w:r w:rsidRPr="00486F68">
        <w:rPr>
          <w:rFonts w:eastAsia="Calibri"/>
        </w:rPr>
        <w:t>treatment emergent adverse event</w:t>
      </w:r>
      <w:r>
        <w:rPr>
          <w:rFonts w:eastAsia="Calibri"/>
        </w:rPr>
        <w:t>;</w:t>
      </w:r>
    </w:p>
    <w:p w:rsidR="00B465DE" w:rsidRDefault="00B465DE" w:rsidP="00114B88">
      <w:pPr>
        <w:pStyle w:val="TableFooter"/>
      </w:pPr>
      <w:r>
        <w:t>Note: patients may be recorded in more than one category</w:t>
      </w:r>
      <w:r w:rsidR="003E3DD1">
        <w:t>.</w:t>
      </w:r>
      <w:r w:rsidR="00FA60DA">
        <w:t xml:space="preserve"> </w:t>
      </w:r>
      <w:r>
        <w:t>TEAEs of special interest</w:t>
      </w:r>
      <w:r w:rsidRPr="00503F27">
        <w:t xml:space="preserve"> were sorted by descending frequency of </w:t>
      </w:r>
      <w:r>
        <w:t>system organ class</w:t>
      </w:r>
      <w:r w:rsidRPr="00503F27">
        <w:t xml:space="preserve"> and descending frequency of preferred term </w:t>
      </w:r>
      <w:r>
        <w:t xml:space="preserve">within the organ class for </w:t>
      </w:r>
      <w:r w:rsidR="00051CA9">
        <w:t>Dysport</w:t>
      </w:r>
      <w:r>
        <w:t xml:space="preserve"> 1500</w:t>
      </w:r>
      <w:r w:rsidRPr="00503F27">
        <w:t xml:space="preserve">U. </w:t>
      </w:r>
    </w:p>
    <w:p w:rsidR="001C183F" w:rsidRDefault="00B465DE" w:rsidP="00114B88">
      <w:pPr>
        <w:pStyle w:val="TableFooter"/>
      </w:pPr>
      <w:r>
        <w:t>Source: Tables 2.26 and 2.27, pp103-104 of the submission and Table 50, p102 and Table 53, p106 of CSR Study 140.</w:t>
      </w:r>
    </w:p>
    <w:p w:rsidR="007F1017" w:rsidRPr="00C9624D" w:rsidRDefault="007F1017" w:rsidP="00114B88">
      <w:pPr>
        <w:pStyle w:val="Heading2"/>
      </w:pPr>
      <w:bookmarkStart w:id="12" w:name="_Toc524505998"/>
      <w:r w:rsidRPr="00C9624D">
        <w:t>Benefits/harms</w:t>
      </w:r>
      <w:bookmarkEnd w:id="12"/>
    </w:p>
    <w:p w:rsidR="008325D5" w:rsidRDefault="008325D5" w:rsidP="00D309A1">
      <w:pPr>
        <w:pStyle w:val="ListParagraph"/>
      </w:pPr>
      <w:r w:rsidRPr="00357657">
        <w:t xml:space="preserve">A summary of the comparative benefits and harms for </w:t>
      </w:r>
      <w:r w:rsidR="00051CA9">
        <w:t>Dysport®</w:t>
      </w:r>
      <w:r w:rsidRPr="00357657">
        <w:t xml:space="preserve"> </w:t>
      </w:r>
      <w:r w:rsidR="002E3A44">
        <w:t xml:space="preserve">1500U </w:t>
      </w:r>
      <w:r w:rsidRPr="00357657">
        <w:t xml:space="preserve">versus </w:t>
      </w:r>
      <w:r>
        <w:t>placebo</w:t>
      </w:r>
      <w:r w:rsidRPr="00357657">
        <w:t xml:space="preserve"> is presented in </w:t>
      </w:r>
      <w:r>
        <w:t xml:space="preserve">Table </w:t>
      </w:r>
      <w:r w:rsidR="00BE7D28">
        <w:t>8</w:t>
      </w:r>
      <w:r w:rsidRPr="00357657">
        <w:t xml:space="preserve">. </w:t>
      </w:r>
    </w:p>
    <w:p w:rsidR="00215FA0" w:rsidRPr="00A578DC" w:rsidRDefault="00215FA0" w:rsidP="00D309A1">
      <w:pPr>
        <w:keepNext/>
        <w:widowControl/>
        <w:rPr>
          <w:rStyle w:val="CommentReference"/>
        </w:rPr>
      </w:pPr>
      <w:r w:rsidRPr="00A578DC">
        <w:rPr>
          <w:rStyle w:val="CommentReference"/>
        </w:rPr>
        <w:t>Table</w:t>
      </w:r>
      <w:r w:rsidR="00B465DE">
        <w:rPr>
          <w:rStyle w:val="CommentReference"/>
        </w:rPr>
        <w:t xml:space="preserve"> </w:t>
      </w:r>
      <w:r w:rsidR="00BE7D28">
        <w:rPr>
          <w:rStyle w:val="CommentReference"/>
        </w:rPr>
        <w:t>8</w:t>
      </w:r>
      <w:r w:rsidRPr="00A578DC">
        <w:rPr>
          <w:rStyle w:val="CommentReference"/>
        </w:rPr>
        <w:t xml:space="preserve">: Summary of comparative benefits and harms for </w:t>
      </w:r>
      <w:r w:rsidR="00051CA9">
        <w:rPr>
          <w:rStyle w:val="CommentReference"/>
        </w:rPr>
        <w:t>Dysport</w:t>
      </w:r>
      <w:r>
        <w:rPr>
          <w:rStyle w:val="CommentReference"/>
        </w:rPr>
        <w:t xml:space="preserve"> </w:t>
      </w:r>
      <w:r w:rsidR="002E3A44">
        <w:rPr>
          <w:rStyle w:val="CommentReference"/>
        </w:rPr>
        <w:t xml:space="preserve">1500U </w:t>
      </w:r>
      <w:r>
        <w:rPr>
          <w:rStyle w:val="CommentReference"/>
        </w:rPr>
        <w:t xml:space="preserve">and placebo </w:t>
      </w:r>
      <w:r w:rsidR="002E3A44">
        <w:rPr>
          <w:rStyle w:val="CommentReference"/>
        </w:rPr>
        <w:t>from</w:t>
      </w:r>
      <w:r>
        <w:rPr>
          <w:rStyle w:val="CommentReference"/>
        </w:rPr>
        <w:t xml:space="preserve"> Study 140 (ITT)</w:t>
      </w:r>
    </w:p>
    <w:tbl>
      <w:tblPr>
        <w:tblW w:w="5000" w:type="pct"/>
        <w:tblLayout w:type="fixed"/>
        <w:tblCellMar>
          <w:left w:w="28" w:type="dxa"/>
          <w:right w:w="28" w:type="dxa"/>
        </w:tblCellMar>
        <w:tblLook w:val="04A0" w:firstRow="1" w:lastRow="0" w:firstColumn="1" w:lastColumn="0" w:noHBand="0" w:noVBand="1"/>
      </w:tblPr>
      <w:tblGrid>
        <w:gridCol w:w="1141"/>
        <w:gridCol w:w="16"/>
        <w:gridCol w:w="1389"/>
        <w:gridCol w:w="1024"/>
        <w:gridCol w:w="1387"/>
        <w:gridCol w:w="1273"/>
        <w:gridCol w:w="1279"/>
        <w:gridCol w:w="1508"/>
      </w:tblGrid>
      <w:tr w:rsidR="00215FA0" w:rsidRPr="00E2771E" w:rsidTr="00B465DE">
        <w:tc>
          <w:tcPr>
            <w:tcW w:w="5000" w:type="pct"/>
            <w:gridSpan w:val="8"/>
            <w:tcBorders>
              <w:top w:val="single" w:sz="4" w:space="0" w:color="auto"/>
              <w:left w:val="single" w:sz="4" w:space="0" w:color="auto"/>
              <w:bottom w:val="double" w:sz="4" w:space="0" w:color="auto"/>
              <w:right w:val="single" w:sz="4" w:space="0" w:color="auto"/>
            </w:tcBorders>
            <w:shd w:val="clear" w:color="auto" w:fill="auto"/>
            <w:vAlign w:val="center"/>
          </w:tcPr>
          <w:p w:rsidR="00215FA0" w:rsidRPr="00E2771E" w:rsidRDefault="00215FA0" w:rsidP="00D309A1">
            <w:pPr>
              <w:keepNext/>
              <w:widowControl/>
              <w:rPr>
                <w:rFonts w:ascii="Arial Narrow" w:hAnsi="Arial Narrow"/>
                <w:b/>
                <w:color w:val="000000"/>
                <w:sz w:val="20"/>
                <w:szCs w:val="18"/>
              </w:rPr>
            </w:pPr>
            <w:r w:rsidRPr="00E2771E">
              <w:rPr>
                <w:rFonts w:ascii="Arial Narrow" w:hAnsi="Arial Narrow"/>
                <w:b/>
                <w:color w:val="000000"/>
                <w:sz w:val="20"/>
                <w:szCs w:val="18"/>
              </w:rPr>
              <w:t>Benefits</w:t>
            </w:r>
          </w:p>
        </w:tc>
      </w:tr>
      <w:tr w:rsidR="00215FA0" w:rsidRPr="00E2771E" w:rsidTr="00336E1E">
        <w:trPr>
          <w:trHeight w:val="150"/>
        </w:trPr>
        <w:tc>
          <w:tcPr>
            <w:tcW w:w="6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5FA0" w:rsidRPr="00E2771E" w:rsidRDefault="00215FA0" w:rsidP="00D309A1">
            <w:pPr>
              <w:keepNext/>
              <w:widowControl/>
              <w:rPr>
                <w:rFonts w:ascii="Arial Narrow" w:hAnsi="Arial Narrow"/>
                <w:b/>
                <w:color w:val="000000"/>
                <w:sz w:val="20"/>
                <w:szCs w:val="18"/>
              </w:rPr>
            </w:pPr>
            <w:r>
              <w:rPr>
                <w:rFonts w:ascii="Arial Narrow" w:hAnsi="Arial Narrow"/>
                <w:b/>
                <w:color w:val="000000"/>
                <w:sz w:val="20"/>
                <w:szCs w:val="18"/>
              </w:rPr>
              <w:t>Study 140</w:t>
            </w:r>
          </w:p>
        </w:tc>
        <w:tc>
          <w:tcPr>
            <w:tcW w:w="779" w:type="pct"/>
            <w:gridSpan w:val="2"/>
            <w:vMerge w:val="restart"/>
            <w:tcBorders>
              <w:top w:val="single" w:sz="4" w:space="0" w:color="auto"/>
              <w:left w:val="single" w:sz="4" w:space="0" w:color="auto"/>
              <w:bottom w:val="single" w:sz="4" w:space="0" w:color="auto"/>
              <w:right w:val="single" w:sz="4" w:space="0" w:color="auto"/>
            </w:tcBorders>
            <w:vAlign w:val="center"/>
          </w:tcPr>
          <w:p w:rsidR="00215FA0" w:rsidRDefault="00215FA0" w:rsidP="00D309A1">
            <w:pPr>
              <w:keepNext/>
              <w:widowControl/>
              <w:jc w:val="center"/>
              <w:rPr>
                <w:rFonts w:ascii="Arial Narrow" w:hAnsi="Arial Narrow"/>
                <w:b/>
                <w:color w:val="000000"/>
                <w:sz w:val="20"/>
                <w:szCs w:val="18"/>
              </w:rPr>
            </w:pPr>
            <w:r>
              <w:rPr>
                <w:rFonts w:ascii="Arial Narrow" w:hAnsi="Arial Narrow"/>
                <w:b/>
                <w:color w:val="000000"/>
                <w:sz w:val="20"/>
                <w:szCs w:val="18"/>
              </w:rPr>
              <w:t>Dysport 1500U</w:t>
            </w:r>
          </w:p>
          <w:p w:rsidR="00215FA0" w:rsidRPr="00E2771E" w:rsidRDefault="00215FA0" w:rsidP="00D309A1">
            <w:pPr>
              <w:keepNext/>
              <w:widowControl/>
              <w:jc w:val="center"/>
              <w:rPr>
                <w:rFonts w:ascii="Arial Narrow" w:hAnsi="Arial Narrow"/>
                <w:b/>
                <w:color w:val="000000"/>
                <w:sz w:val="20"/>
                <w:szCs w:val="18"/>
              </w:rPr>
            </w:pPr>
            <w:r>
              <w:rPr>
                <w:rFonts w:ascii="Arial Narrow" w:hAnsi="Arial Narrow"/>
                <w:b/>
                <w:color w:val="000000"/>
                <w:sz w:val="20"/>
                <w:szCs w:val="18"/>
              </w:rPr>
              <w:t>n/N</w:t>
            </w:r>
          </w:p>
        </w:tc>
        <w:tc>
          <w:tcPr>
            <w:tcW w:w="568" w:type="pct"/>
            <w:vMerge w:val="restart"/>
            <w:tcBorders>
              <w:top w:val="single" w:sz="4" w:space="0" w:color="auto"/>
              <w:left w:val="single" w:sz="4" w:space="0" w:color="auto"/>
              <w:bottom w:val="single" w:sz="4" w:space="0" w:color="auto"/>
              <w:right w:val="single" w:sz="4" w:space="0" w:color="auto"/>
            </w:tcBorders>
            <w:vAlign w:val="center"/>
          </w:tcPr>
          <w:p w:rsidR="00215FA0" w:rsidRDefault="00215FA0" w:rsidP="00D309A1">
            <w:pPr>
              <w:keepNext/>
              <w:widowControl/>
              <w:jc w:val="center"/>
              <w:rPr>
                <w:rFonts w:ascii="Arial Narrow" w:hAnsi="Arial Narrow"/>
                <w:b/>
                <w:color w:val="000000"/>
                <w:sz w:val="20"/>
                <w:szCs w:val="18"/>
              </w:rPr>
            </w:pPr>
            <w:r>
              <w:rPr>
                <w:rFonts w:ascii="Arial Narrow" w:hAnsi="Arial Narrow"/>
                <w:b/>
                <w:color w:val="000000"/>
                <w:sz w:val="20"/>
                <w:szCs w:val="18"/>
              </w:rPr>
              <w:t>Placebo</w:t>
            </w:r>
          </w:p>
          <w:p w:rsidR="00215FA0" w:rsidRPr="00E2771E" w:rsidRDefault="00215FA0" w:rsidP="00D309A1">
            <w:pPr>
              <w:keepNext/>
              <w:widowControl/>
              <w:jc w:val="center"/>
              <w:rPr>
                <w:rFonts w:ascii="Arial Narrow" w:hAnsi="Arial Narrow"/>
                <w:b/>
                <w:color w:val="000000"/>
                <w:sz w:val="20"/>
                <w:szCs w:val="18"/>
              </w:rPr>
            </w:pPr>
            <w:r>
              <w:rPr>
                <w:rFonts w:ascii="Arial Narrow" w:hAnsi="Arial Narrow"/>
                <w:b/>
                <w:color w:val="000000"/>
                <w:sz w:val="20"/>
                <w:szCs w:val="18"/>
              </w:rPr>
              <w:t>n/N</w:t>
            </w:r>
          </w:p>
        </w:tc>
        <w:tc>
          <w:tcPr>
            <w:tcW w:w="769" w:type="pct"/>
            <w:vMerge w:val="restart"/>
            <w:tcBorders>
              <w:top w:val="single" w:sz="4" w:space="0" w:color="auto"/>
              <w:left w:val="single" w:sz="4" w:space="0" w:color="auto"/>
              <w:bottom w:val="single" w:sz="4" w:space="0" w:color="auto"/>
              <w:right w:val="single" w:sz="4" w:space="0" w:color="auto"/>
            </w:tcBorders>
            <w:vAlign w:val="center"/>
          </w:tcPr>
          <w:p w:rsidR="00215FA0" w:rsidRPr="002E3A44" w:rsidRDefault="00215FA0" w:rsidP="00D309A1">
            <w:pPr>
              <w:keepNext/>
              <w:widowControl/>
              <w:jc w:val="center"/>
              <w:rPr>
                <w:rFonts w:ascii="Arial Narrow" w:hAnsi="Arial Narrow"/>
                <w:b/>
                <w:iCs/>
                <w:color w:val="000000"/>
                <w:sz w:val="20"/>
                <w:szCs w:val="18"/>
              </w:rPr>
            </w:pPr>
            <w:r w:rsidRPr="002E3A44">
              <w:rPr>
                <w:rFonts w:ascii="Arial Narrow" w:hAnsi="Arial Narrow"/>
                <w:b/>
                <w:iCs/>
                <w:color w:val="000000"/>
                <w:sz w:val="20"/>
                <w:szCs w:val="18"/>
              </w:rPr>
              <w:t>RR (95% CI)</w:t>
            </w:r>
          </w:p>
        </w:tc>
        <w:tc>
          <w:tcPr>
            <w:tcW w:w="1415" w:type="pct"/>
            <w:gridSpan w:val="2"/>
            <w:tcBorders>
              <w:top w:val="single" w:sz="4" w:space="0" w:color="auto"/>
              <w:left w:val="single" w:sz="4" w:space="0" w:color="auto"/>
              <w:bottom w:val="single" w:sz="4" w:space="0" w:color="auto"/>
              <w:right w:val="single" w:sz="4" w:space="0" w:color="auto"/>
            </w:tcBorders>
            <w:vAlign w:val="center"/>
          </w:tcPr>
          <w:p w:rsidR="00215FA0" w:rsidRPr="00E2771E" w:rsidRDefault="00215FA0" w:rsidP="00D309A1">
            <w:pPr>
              <w:keepNext/>
              <w:widowControl/>
              <w:jc w:val="center"/>
              <w:rPr>
                <w:rFonts w:ascii="Arial Narrow" w:hAnsi="Arial Narrow"/>
                <w:b/>
                <w:color w:val="000000"/>
                <w:sz w:val="20"/>
                <w:szCs w:val="18"/>
              </w:rPr>
            </w:pPr>
            <w:r>
              <w:rPr>
                <w:rFonts w:ascii="Arial Narrow" w:hAnsi="Arial Narrow"/>
                <w:b/>
                <w:color w:val="000000"/>
                <w:sz w:val="20"/>
                <w:szCs w:val="18"/>
              </w:rPr>
              <w:t>Event rate/100 patients</w:t>
            </w:r>
          </w:p>
        </w:tc>
        <w:tc>
          <w:tcPr>
            <w:tcW w:w="836" w:type="pct"/>
            <w:vMerge w:val="restart"/>
            <w:tcBorders>
              <w:top w:val="single" w:sz="4" w:space="0" w:color="auto"/>
              <w:left w:val="single" w:sz="4" w:space="0" w:color="auto"/>
              <w:bottom w:val="single" w:sz="4" w:space="0" w:color="auto"/>
              <w:right w:val="single" w:sz="4" w:space="0" w:color="auto"/>
            </w:tcBorders>
            <w:vAlign w:val="center"/>
          </w:tcPr>
          <w:p w:rsidR="00215FA0" w:rsidRPr="002E3A44" w:rsidRDefault="00215FA0" w:rsidP="00D309A1">
            <w:pPr>
              <w:keepNext/>
              <w:widowControl/>
              <w:jc w:val="center"/>
              <w:rPr>
                <w:rFonts w:ascii="Arial Narrow" w:hAnsi="Arial Narrow"/>
                <w:b/>
                <w:iCs/>
                <w:color w:val="000000"/>
                <w:sz w:val="20"/>
                <w:szCs w:val="18"/>
              </w:rPr>
            </w:pPr>
            <w:r w:rsidRPr="002E3A44">
              <w:rPr>
                <w:rFonts w:ascii="Arial Narrow" w:hAnsi="Arial Narrow"/>
                <w:b/>
                <w:iCs/>
                <w:color w:val="000000"/>
                <w:sz w:val="20"/>
                <w:szCs w:val="18"/>
              </w:rPr>
              <w:t>RD (95% CI)</w:t>
            </w:r>
          </w:p>
        </w:tc>
      </w:tr>
      <w:tr w:rsidR="00215FA0" w:rsidRPr="00E2771E" w:rsidTr="00336E1E">
        <w:trPr>
          <w:trHeight w:val="315"/>
        </w:trPr>
        <w:tc>
          <w:tcPr>
            <w:tcW w:w="633" w:type="pct"/>
            <w:vMerge/>
            <w:tcBorders>
              <w:top w:val="single" w:sz="4" w:space="0" w:color="auto"/>
              <w:left w:val="single" w:sz="4" w:space="0" w:color="auto"/>
              <w:bottom w:val="single" w:sz="4" w:space="0" w:color="auto"/>
              <w:right w:val="single" w:sz="4" w:space="0" w:color="auto"/>
            </w:tcBorders>
            <w:shd w:val="clear" w:color="auto" w:fill="auto"/>
            <w:vAlign w:val="center"/>
          </w:tcPr>
          <w:p w:rsidR="00215FA0" w:rsidRPr="00E2771E" w:rsidRDefault="00215FA0" w:rsidP="00D309A1">
            <w:pPr>
              <w:keepNext/>
              <w:widowControl/>
              <w:rPr>
                <w:rFonts w:ascii="Arial Narrow" w:hAnsi="Arial Narrow"/>
                <w:b/>
                <w:color w:val="000000"/>
                <w:sz w:val="20"/>
                <w:szCs w:val="18"/>
              </w:rPr>
            </w:pPr>
          </w:p>
        </w:tc>
        <w:tc>
          <w:tcPr>
            <w:tcW w:w="779" w:type="pct"/>
            <w:gridSpan w:val="2"/>
            <w:vMerge/>
            <w:tcBorders>
              <w:top w:val="single" w:sz="4" w:space="0" w:color="auto"/>
              <w:left w:val="single" w:sz="4" w:space="0" w:color="auto"/>
              <w:bottom w:val="single" w:sz="4" w:space="0" w:color="auto"/>
              <w:right w:val="single" w:sz="4" w:space="0" w:color="auto"/>
            </w:tcBorders>
            <w:vAlign w:val="center"/>
          </w:tcPr>
          <w:p w:rsidR="00215FA0" w:rsidRPr="00E2771E" w:rsidRDefault="00215FA0" w:rsidP="00D309A1">
            <w:pPr>
              <w:keepNext/>
              <w:widowControl/>
              <w:jc w:val="center"/>
              <w:rPr>
                <w:rFonts w:ascii="Arial Narrow" w:hAnsi="Arial Narrow"/>
                <w:b/>
                <w:color w:val="000000"/>
                <w:sz w:val="20"/>
                <w:szCs w:val="18"/>
              </w:rPr>
            </w:pPr>
          </w:p>
        </w:tc>
        <w:tc>
          <w:tcPr>
            <w:tcW w:w="568" w:type="pct"/>
            <w:vMerge/>
            <w:tcBorders>
              <w:top w:val="single" w:sz="4" w:space="0" w:color="auto"/>
              <w:left w:val="single" w:sz="4" w:space="0" w:color="auto"/>
              <w:bottom w:val="single" w:sz="4" w:space="0" w:color="auto"/>
              <w:right w:val="single" w:sz="4" w:space="0" w:color="auto"/>
            </w:tcBorders>
            <w:vAlign w:val="center"/>
          </w:tcPr>
          <w:p w:rsidR="00215FA0" w:rsidRPr="00E2771E" w:rsidRDefault="00215FA0" w:rsidP="00D309A1">
            <w:pPr>
              <w:keepNext/>
              <w:widowControl/>
              <w:jc w:val="center"/>
              <w:rPr>
                <w:rFonts w:ascii="Arial Narrow" w:hAnsi="Arial Narrow"/>
                <w:b/>
                <w:color w:val="000000"/>
                <w:sz w:val="20"/>
                <w:szCs w:val="18"/>
              </w:rPr>
            </w:pPr>
          </w:p>
        </w:tc>
        <w:tc>
          <w:tcPr>
            <w:tcW w:w="769" w:type="pct"/>
            <w:vMerge/>
            <w:tcBorders>
              <w:top w:val="single" w:sz="4" w:space="0" w:color="auto"/>
              <w:left w:val="single" w:sz="4" w:space="0" w:color="auto"/>
              <w:bottom w:val="single" w:sz="4" w:space="0" w:color="auto"/>
              <w:right w:val="single" w:sz="4" w:space="0" w:color="auto"/>
            </w:tcBorders>
            <w:vAlign w:val="center"/>
          </w:tcPr>
          <w:p w:rsidR="00215FA0" w:rsidRPr="00E2771E" w:rsidRDefault="00215FA0" w:rsidP="00D309A1">
            <w:pPr>
              <w:keepNext/>
              <w:widowControl/>
              <w:jc w:val="center"/>
              <w:rPr>
                <w:rFonts w:ascii="Arial Narrow" w:hAnsi="Arial Narrow"/>
                <w:b/>
                <w:color w:val="000000"/>
                <w:sz w:val="20"/>
                <w:szCs w:val="18"/>
              </w:rPr>
            </w:pPr>
          </w:p>
        </w:tc>
        <w:tc>
          <w:tcPr>
            <w:tcW w:w="706" w:type="pct"/>
            <w:tcBorders>
              <w:top w:val="single" w:sz="4" w:space="0" w:color="auto"/>
              <w:left w:val="single" w:sz="4" w:space="0" w:color="auto"/>
              <w:bottom w:val="single" w:sz="4" w:space="0" w:color="auto"/>
              <w:right w:val="single" w:sz="4" w:space="0" w:color="auto"/>
            </w:tcBorders>
            <w:vAlign w:val="center"/>
          </w:tcPr>
          <w:p w:rsidR="00215FA0" w:rsidRPr="00E2771E" w:rsidRDefault="00215FA0" w:rsidP="00D309A1">
            <w:pPr>
              <w:keepNext/>
              <w:widowControl/>
              <w:jc w:val="center"/>
              <w:rPr>
                <w:rFonts w:ascii="Arial Narrow" w:hAnsi="Arial Narrow"/>
                <w:b/>
                <w:color w:val="000000"/>
                <w:sz w:val="20"/>
                <w:szCs w:val="18"/>
              </w:rPr>
            </w:pPr>
            <w:r>
              <w:rPr>
                <w:rFonts w:ascii="Arial Narrow" w:hAnsi="Arial Narrow"/>
                <w:b/>
                <w:color w:val="000000"/>
                <w:sz w:val="20"/>
                <w:szCs w:val="18"/>
              </w:rPr>
              <w:t>Dysport 1500U</w:t>
            </w:r>
          </w:p>
        </w:tc>
        <w:tc>
          <w:tcPr>
            <w:tcW w:w="709" w:type="pct"/>
            <w:tcBorders>
              <w:top w:val="single" w:sz="4" w:space="0" w:color="auto"/>
              <w:left w:val="single" w:sz="4" w:space="0" w:color="auto"/>
              <w:bottom w:val="single" w:sz="4" w:space="0" w:color="auto"/>
              <w:right w:val="single" w:sz="4" w:space="0" w:color="auto"/>
            </w:tcBorders>
            <w:vAlign w:val="center"/>
          </w:tcPr>
          <w:p w:rsidR="00215FA0" w:rsidRPr="00E2771E" w:rsidRDefault="00215FA0" w:rsidP="00D309A1">
            <w:pPr>
              <w:keepNext/>
              <w:widowControl/>
              <w:jc w:val="center"/>
              <w:rPr>
                <w:rFonts w:ascii="Arial Narrow" w:hAnsi="Arial Narrow"/>
                <w:b/>
                <w:color w:val="000000"/>
                <w:sz w:val="20"/>
                <w:szCs w:val="18"/>
              </w:rPr>
            </w:pPr>
            <w:r w:rsidRPr="00E2771E">
              <w:rPr>
                <w:rFonts w:ascii="Arial Narrow" w:hAnsi="Arial Narrow"/>
                <w:b/>
                <w:color w:val="000000"/>
                <w:sz w:val="20"/>
                <w:szCs w:val="18"/>
              </w:rPr>
              <w:t>P</w:t>
            </w:r>
            <w:r>
              <w:rPr>
                <w:rFonts w:ascii="Arial Narrow" w:hAnsi="Arial Narrow"/>
                <w:b/>
                <w:color w:val="000000"/>
                <w:sz w:val="20"/>
                <w:szCs w:val="18"/>
              </w:rPr>
              <w:t>lacebo</w:t>
            </w:r>
          </w:p>
        </w:tc>
        <w:tc>
          <w:tcPr>
            <w:tcW w:w="836" w:type="pct"/>
            <w:vMerge/>
            <w:tcBorders>
              <w:top w:val="single" w:sz="4" w:space="0" w:color="auto"/>
              <w:left w:val="single" w:sz="4" w:space="0" w:color="auto"/>
              <w:bottom w:val="single" w:sz="4" w:space="0" w:color="auto"/>
              <w:right w:val="single" w:sz="4" w:space="0" w:color="auto"/>
            </w:tcBorders>
            <w:vAlign w:val="center"/>
          </w:tcPr>
          <w:p w:rsidR="00215FA0" w:rsidRPr="00E2771E" w:rsidRDefault="00215FA0" w:rsidP="00D309A1">
            <w:pPr>
              <w:keepNext/>
              <w:widowControl/>
              <w:jc w:val="center"/>
              <w:rPr>
                <w:rFonts w:ascii="Arial Narrow" w:hAnsi="Arial Narrow"/>
                <w:b/>
                <w:color w:val="000000"/>
                <w:sz w:val="20"/>
                <w:szCs w:val="18"/>
              </w:rPr>
            </w:pPr>
          </w:p>
        </w:tc>
      </w:tr>
      <w:tr w:rsidR="00215FA0" w:rsidRPr="00E2771E" w:rsidTr="00B465DE">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215FA0" w:rsidRPr="00E2771E" w:rsidRDefault="00215FA0" w:rsidP="00D309A1">
            <w:pPr>
              <w:keepNext/>
              <w:widowControl/>
              <w:rPr>
                <w:rFonts w:ascii="Arial Narrow" w:hAnsi="Arial Narrow"/>
                <w:b/>
                <w:color w:val="000000"/>
                <w:sz w:val="20"/>
                <w:szCs w:val="18"/>
              </w:rPr>
            </w:pPr>
            <w:r>
              <w:rPr>
                <w:rFonts w:ascii="Arial Narrow" w:hAnsi="Arial Narrow"/>
                <w:b/>
                <w:color w:val="000000"/>
                <w:sz w:val="20"/>
                <w:szCs w:val="18"/>
              </w:rPr>
              <w:t xml:space="preserve">MAS responder </w:t>
            </w:r>
            <w:r w:rsidRPr="00F654DB">
              <w:rPr>
                <w:rFonts w:ascii="Arial Narrow" w:hAnsi="Arial Narrow"/>
                <w:b/>
                <w:color w:val="000000"/>
                <w:sz w:val="20"/>
                <w:szCs w:val="18"/>
              </w:rPr>
              <w:t>(≥1 grade reduction in MAS in the GSC, knee extended)</w:t>
            </w:r>
          </w:p>
        </w:tc>
      </w:tr>
      <w:tr w:rsidR="00215FA0" w:rsidRPr="00E2771E" w:rsidTr="00336E1E">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215FA0" w:rsidRPr="00E2771E" w:rsidRDefault="00215FA0" w:rsidP="00D309A1">
            <w:pPr>
              <w:keepNext/>
              <w:widowControl/>
              <w:rPr>
                <w:rFonts w:ascii="Arial Narrow" w:hAnsi="Arial Narrow"/>
                <w:color w:val="000000"/>
                <w:sz w:val="20"/>
                <w:szCs w:val="18"/>
              </w:rPr>
            </w:pPr>
            <w:r>
              <w:rPr>
                <w:rFonts w:ascii="Arial Narrow" w:hAnsi="Arial Narrow"/>
                <w:color w:val="000000"/>
                <w:sz w:val="20"/>
                <w:szCs w:val="18"/>
              </w:rPr>
              <w:t>Week 4</w:t>
            </w:r>
          </w:p>
        </w:tc>
        <w:tc>
          <w:tcPr>
            <w:tcW w:w="779" w:type="pct"/>
            <w:gridSpan w:val="2"/>
            <w:tcBorders>
              <w:top w:val="single" w:sz="4" w:space="0" w:color="auto"/>
              <w:left w:val="single" w:sz="4" w:space="0" w:color="auto"/>
              <w:bottom w:val="single" w:sz="4" w:space="0" w:color="auto"/>
              <w:right w:val="single" w:sz="4" w:space="0" w:color="auto"/>
            </w:tcBorders>
            <w:vAlign w:val="center"/>
          </w:tcPr>
          <w:p w:rsidR="00215FA0" w:rsidRPr="00E2771E" w:rsidRDefault="00215FA0" w:rsidP="00D309A1">
            <w:pPr>
              <w:keepNext/>
              <w:widowControl/>
              <w:jc w:val="center"/>
              <w:rPr>
                <w:rFonts w:ascii="Arial Narrow" w:hAnsi="Arial Narrow"/>
                <w:color w:val="000000"/>
                <w:sz w:val="20"/>
                <w:szCs w:val="18"/>
              </w:rPr>
            </w:pPr>
            <w:r>
              <w:rPr>
                <w:rFonts w:ascii="Arial Narrow" w:hAnsi="Arial Narrow"/>
                <w:color w:val="000000"/>
                <w:sz w:val="20"/>
                <w:szCs w:val="18"/>
              </w:rPr>
              <w:t>60/128</w:t>
            </w:r>
          </w:p>
        </w:tc>
        <w:tc>
          <w:tcPr>
            <w:tcW w:w="568" w:type="pct"/>
            <w:tcBorders>
              <w:top w:val="single" w:sz="4" w:space="0" w:color="auto"/>
              <w:left w:val="single" w:sz="4" w:space="0" w:color="auto"/>
              <w:bottom w:val="single" w:sz="4" w:space="0" w:color="auto"/>
              <w:right w:val="single" w:sz="4" w:space="0" w:color="auto"/>
            </w:tcBorders>
            <w:vAlign w:val="center"/>
          </w:tcPr>
          <w:p w:rsidR="00215FA0" w:rsidRPr="00E2771E" w:rsidRDefault="00215FA0" w:rsidP="00D309A1">
            <w:pPr>
              <w:keepNext/>
              <w:widowControl/>
              <w:jc w:val="center"/>
              <w:rPr>
                <w:rFonts w:ascii="Arial Narrow" w:hAnsi="Arial Narrow"/>
                <w:color w:val="000000"/>
                <w:sz w:val="20"/>
                <w:szCs w:val="18"/>
              </w:rPr>
            </w:pPr>
            <w:r>
              <w:rPr>
                <w:rFonts w:ascii="Arial Narrow" w:hAnsi="Arial Narrow"/>
                <w:color w:val="000000"/>
                <w:sz w:val="20"/>
                <w:szCs w:val="18"/>
              </w:rPr>
              <w:t>47/128</w:t>
            </w:r>
          </w:p>
        </w:tc>
        <w:tc>
          <w:tcPr>
            <w:tcW w:w="769" w:type="pct"/>
            <w:tcBorders>
              <w:top w:val="single" w:sz="4" w:space="0" w:color="auto"/>
              <w:left w:val="single" w:sz="4" w:space="0" w:color="auto"/>
              <w:bottom w:val="single" w:sz="4" w:space="0" w:color="auto"/>
              <w:right w:val="single" w:sz="4" w:space="0" w:color="auto"/>
            </w:tcBorders>
            <w:vAlign w:val="center"/>
          </w:tcPr>
          <w:p w:rsidR="00215FA0" w:rsidRPr="004A73B9" w:rsidRDefault="00336E1E" w:rsidP="00D309A1">
            <w:pPr>
              <w:keepNext/>
              <w:widowControl/>
              <w:jc w:val="center"/>
              <w:rPr>
                <w:rFonts w:ascii="Arial Narrow" w:hAnsi="Arial Narrow"/>
                <w:iCs/>
                <w:color w:val="000000"/>
                <w:sz w:val="20"/>
                <w:szCs w:val="18"/>
              </w:rPr>
            </w:pPr>
            <w:r w:rsidRPr="004A73B9">
              <w:rPr>
                <w:rFonts w:ascii="Arial Narrow" w:hAnsi="Arial Narrow"/>
                <w:iCs/>
                <w:color w:val="000000"/>
                <w:sz w:val="20"/>
                <w:szCs w:val="18"/>
              </w:rPr>
              <w:t>N</w:t>
            </w:r>
            <w:r w:rsidR="0079707A" w:rsidRPr="004A73B9">
              <w:rPr>
                <w:rFonts w:ascii="Arial Narrow" w:hAnsi="Arial Narrow"/>
                <w:iCs/>
                <w:color w:val="000000"/>
                <w:sz w:val="20"/>
                <w:szCs w:val="18"/>
              </w:rPr>
              <w:t>S</w:t>
            </w:r>
            <w:r w:rsidRPr="004A73B9">
              <w:rPr>
                <w:rFonts w:ascii="Arial Narrow" w:hAnsi="Arial Narrow"/>
                <w:iCs/>
                <w:color w:val="000000"/>
                <w:sz w:val="20"/>
                <w:szCs w:val="18"/>
                <w:vertAlign w:val="superscript"/>
              </w:rPr>
              <w:t>#</w:t>
            </w:r>
          </w:p>
        </w:tc>
        <w:tc>
          <w:tcPr>
            <w:tcW w:w="706" w:type="pct"/>
            <w:tcBorders>
              <w:top w:val="single" w:sz="4" w:space="0" w:color="auto"/>
              <w:left w:val="single" w:sz="4" w:space="0" w:color="auto"/>
              <w:bottom w:val="single" w:sz="4" w:space="0" w:color="auto"/>
              <w:right w:val="single" w:sz="4" w:space="0" w:color="auto"/>
            </w:tcBorders>
            <w:vAlign w:val="center"/>
          </w:tcPr>
          <w:p w:rsidR="00215FA0" w:rsidRPr="004A73B9" w:rsidRDefault="00215FA0" w:rsidP="00D309A1">
            <w:pPr>
              <w:keepNext/>
              <w:widowControl/>
              <w:jc w:val="center"/>
              <w:rPr>
                <w:rFonts w:ascii="Arial Narrow" w:hAnsi="Arial Narrow"/>
                <w:color w:val="000000"/>
                <w:sz w:val="20"/>
                <w:szCs w:val="18"/>
              </w:rPr>
            </w:pPr>
            <w:r w:rsidRPr="004A73B9">
              <w:rPr>
                <w:rFonts w:ascii="Arial Narrow" w:hAnsi="Arial Narrow"/>
                <w:color w:val="000000"/>
                <w:sz w:val="20"/>
                <w:szCs w:val="18"/>
              </w:rPr>
              <w:t>46.9</w:t>
            </w:r>
          </w:p>
        </w:tc>
        <w:tc>
          <w:tcPr>
            <w:tcW w:w="709" w:type="pct"/>
            <w:tcBorders>
              <w:top w:val="single" w:sz="4" w:space="0" w:color="auto"/>
              <w:left w:val="single" w:sz="4" w:space="0" w:color="auto"/>
              <w:bottom w:val="single" w:sz="4" w:space="0" w:color="auto"/>
              <w:right w:val="single" w:sz="4" w:space="0" w:color="auto"/>
            </w:tcBorders>
            <w:vAlign w:val="center"/>
          </w:tcPr>
          <w:p w:rsidR="00215FA0" w:rsidRPr="004A73B9" w:rsidRDefault="00215FA0" w:rsidP="00D309A1">
            <w:pPr>
              <w:keepNext/>
              <w:widowControl/>
              <w:jc w:val="center"/>
              <w:rPr>
                <w:rFonts w:ascii="Arial Narrow" w:hAnsi="Arial Narrow"/>
                <w:color w:val="000000"/>
                <w:sz w:val="20"/>
                <w:szCs w:val="18"/>
              </w:rPr>
            </w:pPr>
            <w:r w:rsidRPr="004A73B9">
              <w:rPr>
                <w:rFonts w:ascii="Arial Narrow" w:hAnsi="Arial Narrow"/>
                <w:color w:val="000000"/>
                <w:sz w:val="20"/>
                <w:szCs w:val="18"/>
              </w:rPr>
              <w:t>36.7</w:t>
            </w:r>
          </w:p>
        </w:tc>
        <w:tc>
          <w:tcPr>
            <w:tcW w:w="836" w:type="pct"/>
            <w:tcBorders>
              <w:top w:val="single" w:sz="4" w:space="0" w:color="auto"/>
              <w:left w:val="single" w:sz="4" w:space="0" w:color="auto"/>
              <w:bottom w:val="single" w:sz="4" w:space="0" w:color="auto"/>
              <w:right w:val="single" w:sz="4" w:space="0" w:color="auto"/>
            </w:tcBorders>
            <w:vAlign w:val="center"/>
          </w:tcPr>
          <w:p w:rsidR="00215FA0" w:rsidRPr="004A73B9" w:rsidRDefault="00336E1E" w:rsidP="00D309A1">
            <w:pPr>
              <w:keepNext/>
              <w:widowControl/>
              <w:jc w:val="center"/>
              <w:rPr>
                <w:rFonts w:ascii="Arial Narrow" w:hAnsi="Arial Narrow"/>
                <w:iCs/>
                <w:color w:val="000000"/>
                <w:sz w:val="20"/>
                <w:szCs w:val="18"/>
              </w:rPr>
            </w:pPr>
            <w:r w:rsidRPr="004A73B9">
              <w:rPr>
                <w:rFonts w:ascii="Arial Narrow" w:hAnsi="Arial Narrow"/>
                <w:iCs/>
                <w:color w:val="000000"/>
                <w:sz w:val="20"/>
                <w:szCs w:val="18"/>
              </w:rPr>
              <w:t>N</w:t>
            </w:r>
            <w:r w:rsidR="0079707A" w:rsidRPr="004A73B9">
              <w:rPr>
                <w:rFonts w:ascii="Arial Narrow" w:hAnsi="Arial Narrow"/>
                <w:iCs/>
                <w:color w:val="000000"/>
                <w:sz w:val="20"/>
                <w:szCs w:val="18"/>
              </w:rPr>
              <w:t>S</w:t>
            </w:r>
            <w:r w:rsidRPr="004A73B9">
              <w:rPr>
                <w:rFonts w:ascii="Arial Narrow" w:hAnsi="Arial Narrow"/>
                <w:iCs/>
                <w:color w:val="000000"/>
                <w:sz w:val="20"/>
                <w:szCs w:val="18"/>
                <w:vertAlign w:val="superscript"/>
              </w:rPr>
              <w:t>#</w:t>
            </w:r>
          </w:p>
        </w:tc>
      </w:tr>
      <w:tr w:rsidR="00215FA0" w:rsidRPr="00E2771E" w:rsidTr="00336E1E">
        <w:tc>
          <w:tcPr>
            <w:tcW w:w="633" w:type="pct"/>
            <w:tcBorders>
              <w:top w:val="single" w:sz="4" w:space="0" w:color="auto"/>
              <w:left w:val="single" w:sz="4" w:space="0" w:color="auto"/>
              <w:bottom w:val="double" w:sz="4" w:space="0" w:color="auto"/>
              <w:right w:val="single" w:sz="4" w:space="0" w:color="auto"/>
            </w:tcBorders>
            <w:shd w:val="clear" w:color="auto" w:fill="auto"/>
            <w:vAlign w:val="center"/>
          </w:tcPr>
          <w:p w:rsidR="00215FA0" w:rsidRPr="00E2771E" w:rsidRDefault="00215FA0" w:rsidP="00D309A1">
            <w:pPr>
              <w:keepNext/>
              <w:widowControl/>
              <w:rPr>
                <w:rFonts w:ascii="Arial Narrow" w:hAnsi="Arial Narrow"/>
                <w:color w:val="000000"/>
                <w:sz w:val="20"/>
                <w:szCs w:val="18"/>
              </w:rPr>
            </w:pPr>
            <w:r>
              <w:rPr>
                <w:rFonts w:ascii="Arial Narrow" w:hAnsi="Arial Narrow"/>
                <w:color w:val="000000"/>
                <w:sz w:val="20"/>
                <w:szCs w:val="18"/>
              </w:rPr>
              <w:t>Week 12</w:t>
            </w:r>
          </w:p>
        </w:tc>
        <w:tc>
          <w:tcPr>
            <w:tcW w:w="779" w:type="pct"/>
            <w:gridSpan w:val="2"/>
            <w:tcBorders>
              <w:top w:val="single" w:sz="4" w:space="0" w:color="auto"/>
              <w:left w:val="single" w:sz="4" w:space="0" w:color="auto"/>
              <w:bottom w:val="double" w:sz="4" w:space="0" w:color="auto"/>
              <w:right w:val="single" w:sz="4" w:space="0" w:color="auto"/>
            </w:tcBorders>
            <w:vAlign w:val="center"/>
          </w:tcPr>
          <w:p w:rsidR="00215FA0" w:rsidRPr="00E2771E" w:rsidRDefault="00215FA0" w:rsidP="00D309A1">
            <w:pPr>
              <w:keepNext/>
              <w:widowControl/>
              <w:jc w:val="center"/>
              <w:rPr>
                <w:rFonts w:ascii="Arial Narrow" w:hAnsi="Arial Narrow"/>
                <w:color w:val="000000"/>
                <w:sz w:val="20"/>
                <w:szCs w:val="18"/>
              </w:rPr>
            </w:pPr>
            <w:r>
              <w:rPr>
                <w:rFonts w:ascii="Arial Narrow" w:hAnsi="Arial Narrow"/>
                <w:color w:val="000000"/>
                <w:sz w:val="20"/>
                <w:szCs w:val="18"/>
              </w:rPr>
              <w:t>42/128</w:t>
            </w:r>
          </w:p>
        </w:tc>
        <w:tc>
          <w:tcPr>
            <w:tcW w:w="568" w:type="pct"/>
            <w:tcBorders>
              <w:top w:val="single" w:sz="4" w:space="0" w:color="auto"/>
              <w:left w:val="single" w:sz="4" w:space="0" w:color="auto"/>
              <w:bottom w:val="double" w:sz="4" w:space="0" w:color="auto"/>
              <w:right w:val="single" w:sz="4" w:space="0" w:color="auto"/>
            </w:tcBorders>
            <w:vAlign w:val="center"/>
          </w:tcPr>
          <w:p w:rsidR="00215FA0" w:rsidRPr="00E2771E" w:rsidRDefault="00215FA0" w:rsidP="00D309A1">
            <w:pPr>
              <w:keepNext/>
              <w:widowControl/>
              <w:jc w:val="center"/>
              <w:rPr>
                <w:rFonts w:ascii="Arial Narrow" w:hAnsi="Arial Narrow"/>
                <w:color w:val="000000"/>
                <w:sz w:val="20"/>
                <w:szCs w:val="18"/>
              </w:rPr>
            </w:pPr>
            <w:r>
              <w:rPr>
                <w:rFonts w:ascii="Arial Narrow" w:hAnsi="Arial Narrow"/>
                <w:color w:val="000000"/>
                <w:sz w:val="20"/>
                <w:szCs w:val="18"/>
              </w:rPr>
              <w:t>36/128</w:t>
            </w:r>
          </w:p>
        </w:tc>
        <w:tc>
          <w:tcPr>
            <w:tcW w:w="769" w:type="pct"/>
            <w:tcBorders>
              <w:top w:val="single" w:sz="4" w:space="0" w:color="auto"/>
              <w:left w:val="single" w:sz="4" w:space="0" w:color="auto"/>
              <w:bottom w:val="double" w:sz="4" w:space="0" w:color="auto"/>
              <w:right w:val="single" w:sz="4" w:space="0" w:color="auto"/>
            </w:tcBorders>
            <w:vAlign w:val="center"/>
          </w:tcPr>
          <w:p w:rsidR="00215FA0" w:rsidRPr="004A73B9" w:rsidRDefault="00336E1E" w:rsidP="00D309A1">
            <w:pPr>
              <w:keepNext/>
              <w:widowControl/>
              <w:jc w:val="center"/>
              <w:rPr>
                <w:rFonts w:ascii="Arial Narrow" w:hAnsi="Arial Narrow"/>
                <w:iCs/>
                <w:color w:val="000000"/>
                <w:sz w:val="20"/>
                <w:szCs w:val="18"/>
              </w:rPr>
            </w:pPr>
            <w:r w:rsidRPr="004A73B9">
              <w:rPr>
                <w:rFonts w:ascii="Arial Narrow" w:hAnsi="Arial Narrow"/>
                <w:iCs/>
                <w:color w:val="000000"/>
                <w:sz w:val="20"/>
                <w:szCs w:val="18"/>
              </w:rPr>
              <w:t>N</w:t>
            </w:r>
            <w:r w:rsidR="0079707A" w:rsidRPr="004A73B9">
              <w:rPr>
                <w:rFonts w:ascii="Arial Narrow" w:hAnsi="Arial Narrow"/>
                <w:iCs/>
                <w:color w:val="000000"/>
                <w:sz w:val="20"/>
                <w:szCs w:val="18"/>
              </w:rPr>
              <w:t>S</w:t>
            </w:r>
            <w:r w:rsidRPr="004A73B9">
              <w:rPr>
                <w:rFonts w:ascii="Arial Narrow" w:hAnsi="Arial Narrow"/>
                <w:iCs/>
                <w:color w:val="000000"/>
                <w:sz w:val="20"/>
                <w:szCs w:val="18"/>
                <w:vertAlign w:val="superscript"/>
              </w:rPr>
              <w:t>#</w:t>
            </w:r>
          </w:p>
        </w:tc>
        <w:tc>
          <w:tcPr>
            <w:tcW w:w="706" w:type="pct"/>
            <w:tcBorders>
              <w:top w:val="single" w:sz="4" w:space="0" w:color="auto"/>
              <w:left w:val="single" w:sz="4" w:space="0" w:color="auto"/>
              <w:bottom w:val="double" w:sz="4" w:space="0" w:color="auto"/>
              <w:right w:val="single" w:sz="4" w:space="0" w:color="auto"/>
            </w:tcBorders>
            <w:vAlign w:val="center"/>
          </w:tcPr>
          <w:p w:rsidR="00215FA0" w:rsidRPr="004A73B9" w:rsidRDefault="00215FA0" w:rsidP="00D309A1">
            <w:pPr>
              <w:keepNext/>
              <w:widowControl/>
              <w:jc w:val="center"/>
              <w:rPr>
                <w:rFonts w:ascii="Arial Narrow" w:hAnsi="Arial Narrow"/>
                <w:color w:val="000000"/>
                <w:sz w:val="20"/>
                <w:szCs w:val="18"/>
              </w:rPr>
            </w:pPr>
            <w:r w:rsidRPr="004A73B9">
              <w:rPr>
                <w:rFonts w:ascii="Arial Narrow" w:hAnsi="Arial Narrow"/>
                <w:color w:val="000000"/>
                <w:sz w:val="20"/>
                <w:szCs w:val="18"/>
              </w:rPr>
              <w:t>32.8</w:t>
            </w:r>
          </w:p>
        </w:tc>
        <w:tc>
          <w:tcPr>
            <w:tcW w:w="709" w:type="pct"/>
            <w:tcBorders>
              <w:top w:val="single" w:sz="4" w:space="0" w:color="auto"/>
              <w:left w:val="single" w:sz="4" w:space="0" w:color="auto"/>
              <w:bottom w:val="double" w:sz="4" w:space="0" w:color="auto"/>
              <w:right w:val="single" w:sz="4" w:space="0" w:color="auto"/>
            </w:tcBorders>
            <w:vAlign w:val="center"/>
          </w:tcPr>
          <w:p w:rsidR="00215FA0" w:rsidRPr="004A73B9" w:rsidRDefault="00215FA0" w:rsidP="00D309A1">
            <w:pPr>
              <w:keepNext/>
              <w:widowControl/>
              <w:jc w:val="center"/>
              <w:rPr>
                <w:rFonts w:ascii="Arial Narrow" w:hAnsi="Arial Narrow"/>
                <w:color w:val="000000"/>
                <w:sz w:val="20"/>
                <w:szCs w:val="18"/>
              </w:rPr>
            </w:pPr>
            <w:r w:rsidRPr="004A73B9">
              <w:rPr>
                <w:rFonts w:ascii="Arial Narrow" w:hAnsi="Arial Narrow"/>
                <w:color w:val="000000"/>
                <w:sz w:val="20"/>
                <w:szCs w:val="18"/>
              </w:rPr>
              <w:t>28.1</w:t>
            </w:r>
          </w:p>
        </w:tc>
        <w:tc>
          <w:tcPr>
            <w:tcW w:w="836" w:type="pct"/>
            <w:tcBorders>
              <w:top w:val="single" w:sz="4" w:space="0" w:color="auto"/>
              <w:left w:val="single" w:sz="4" w:space="0" w:color="auto"/>
              <w:bottom w:val="double" w:sz="4" w:space="0" w:color="auto"/>
              <w:right w:val="single" w:sz="4" w:space="0" w:color="auto"/>
            </w:tcBorders>
            <w:vAlign w:val="center"/>
          </w:tcPr>
          <w:p w:rsidR="00215FA0" w:rsidRPr="004A73B9" w:rsidRDefault="00336E1E" w:rsidP="00D309A1">
            <w:pPr>
              <w:keepNext/>
              <w:widowControl/>
              <w:jc w:val="center"/>
              <w:rPr>
                <w:rFonts w:ascii="Arial Narrow" w:hAnsi="Arial Narrow"/>
                <w:iCs/>
                <w:color w:val="000000"/>
                <w:sz w:val="20"/>
                <w:szCs w:val="18"/>
              </w:rPr>
            </w:pPr>
            <w:r w:rsidRPr="004A73B9">
              <w:rPr>
                <w:rFonts w:ascii="Arial Narrow" w:hAnsi="Arial Narrow"/>
                <w:iCs/>
                <w:color w:val="000000"/>
                <w:sz w:val="20"/>
                <w:szCs w:val="18"/>
              </w:rPr>
              <w:t>N</w:t>
            </w:r>
            <w:r w:rsidR="0079707A" w:rsidRPr="004A73B9">
              <w:rPr>
                <w:rFonts w:ascii="Arial Narrow" w:hAnsi="Arial Narrow"/>
                <w:iCs/>
                <w:color w:val="000000"/>
                <w:sz w:val="20"/>
                <w:szCs w:val="18"/>
              </w:rPr>
              <w:t>S</w:t>
            </w:r>
            <w:r w:rsidRPr="004A73B9">
              <w:rPr>
                <w:rFonts w:ascii="Arial Narrow" w:hAnsi="Arial Narrow"/>
                <w:iCs/>
                <w:color w:val="000000"/>
                <w:sz w:val="20"/>
                <w:szCs w:val="18"/>
                <w:vertAlign w:val="superscript"/>
              </w:rPr>
              <w:t>#</w:t>
            </w:r>
          </w:p>
        </w:tc>
      </w:tr>
      <w:tr w:rsidR="00215FA0" w:rsidRPr="00E2771E" w:rsidTr="00B465DE">
        <w:tc>
          <w:tcPr>
            <w:tcW w:w="5000" w:type="pct"/>
            <w:gridSpan w:val="8"/>
            <w:tcBorders>
              <w:top w:val="double" w:sz="4" w:space="0" w:color="auto"/>
              <w:left w:val="single" w:sz="4" w:space="0" w:color="auto"/>
              <w:bottom w:val="single" w:sz="4" w:space="0" w:color="auto"/>
              <w:right w:val="single" w:sz="4" w:space="0" w:color="auto"/>
            </w:tcBorders>
            <w:shd w:val="clear" w:color="auto" w:fill="auto"/>
            <w:vAlign w:val="center"/>
          </w:tcPr>
          <w:p w:rsidR="00215FA0" w:rsidRPr="00E2771E" w:rsidRDefault="00215FA0" w:rsidP="00D309A1">
            <w:pPr>
              <w:keepNext/>
              <w:widowControl/>
              <w:rPr>
                <w:rFonts w:ascii="Arial Narrow" w:hAnsi="Arial Narrow"/>
                <w:b/>
                <w:color w:val="000000"/>
                <w:sz w:val="20"/>
                <w:szCs w:val="18"/>
              </w:rPr>
            </w:pPr>
            <w:r w:rsidRPr="00E2771E">
              <w:rPr>
                <w:rFonts w:ascii="Arial Narrow" w:hAnsi="Arial Narrow"/>
                <w:b/>
                <w:color w:val="000000"/>
                <w:sz w:val="20"/>
                <w:szCs w:val="18"/>
              </w:rPr>
              <w:t xml:space="preserve">Harms </w:t>
            </w:r>
          </w:p>
        </w:tc>
      </w:tr>
      <w:tr w:rsidR="00215FA0" w:rsidRPr="00E2771E" w:rsidTr="00336E1E">
        <w:tc>
          <w:tcPr>
            <w:tcW w:w="6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15FA0" w:rsidRPr="00E2771E" w:rsidRDefault="00215FA0" w:rsidP="00D309A1">
            <w:pPr>
              <w:keepNext/>
              <w:widowControl/>
              <w:rPr>
                <w:rFonts w:ascii="Arial Narrow" w:hAnsi="Arial Narrow"/>
                <w:color w:val="000000"/>
                <w:sz w:val="20"/>
                <w:szCs w:val="18"/>
              </w:rPr>
            </w:pPr>
            <w:r>
              <w:rPr>
                <w:rFonts w:ascii="Arial Narrow" w:hAnsi="Arial Narrow"/>
                <w:color w:val="000000"/>
                <w:sz w:val="20"/>
                <w:szCs w:val="18"/>
              </w:rPr>
              <w:t>≥ 1 AE</w:t>
            </w:r>
          </w:p>
        </w:tc>
        <w:tc>
          <w:tcPr>
            <w:tcW w:w="770" w:type="pct"/>
            <w:tcBorders>
              <w:top w:val="single" w:sz="4" w:space="0" w:color="auto"/>
              <w:left w:val="single" w:sz="4" w:space="0" w:color="auto"/>
              <w:bottom w:val="single" w:sz="4" w:space="0" w:color="auto"/>
              <w:right w:val="single" w:sz="4" w:space="0" w:color="auto"/>
            </w:tcBorders>
            <w:vAlign w:val="center"/>
          </w:tcPr>
          <w:p w:rsidR="00215FA0" w:rsidRPr="00E2771E" w:rsidRDefault="00215FA0" w:rsidP="00D309A1">
            <w:pPr>
              <w:keepNext/>
              <w:widowControl/>
              <w:jc w:val="center"/>
              <w:rPr>
                <w:rFonts w:ascii="Arial Narrow" w:hAnsi="Arial Narrow"/>
                <w:color w:val="000000"/>
                <w:sz w:val="20"/>
                <w:szCs w:val="18"/>
              </w:rPr>
            </w:pPr>
            <w:r>
              <w:rPr>
                <w:rFonts w:ascii="Arial Narrow" w:hAnsi="Arial Narrow"/>
                <w:color w:val="000000"/>
                <w:sz w:val="20"/>
                <w:szCs w:val="18"/>
              </w:rPr>
              <w:t>54/128</w:t>
            </w:r>
          </w:p>
        </w:tc>
        <w:tc>
          <w:tcPr>
            <w:tcW w:w="568" w:type="pct"/>
            <w:tcBorders>
              <w:top w:val="single" w:sz="4" w:space="0" w:color="auto"/>
              <w:left w:val="single" w:sz="4" w:space="0" w:color="auto"/>
              <w:bottom w:val="single" w:sz="4" w:space="0" w:color="auto"/>
              <w:right w:val="single" w:sz="4" w:space="0" w:color="auto"/>
            </w:tcBorders>
            <w:vAlign w:val="center"/>
          </w:tcPr>
          <w:p w:rsidR="00215FA0" w:rsidRPr="00E2771E" w:rsidRDefault="00215FA0" w:rsidP="00D309A1">
            <w:pPr>
              <w:keepNext/>
              <w:widowControl/>
              <w:jc w:val="center"/>
              <w:rPr>
                <w:rFonts w:ascii="Arial Narrow" w:hAnsi="Arial Narrow"/>
                <w:color w:val="000000"/>
                <w:sz w:val="20"/>
                <w:szCs w:val="18"/>
              </w:rPr>
            </w:pPr>
            <w:r>
              <w:rPr>
                <w:rFonts w:ascii="Arial Narrow" w:hAnsi="Arial Narrow"/>
                <w:color w:val="000000"/>
                <w:sz w:val="20"/>
                <w:szCs w:val="18"/>
              </w:rPr>
              <w:t>41/130</w:t>
            </w:r>
          </w:p>
        </w:tc>
        <w:tc>
          <w:tcPr>
            <w:tcW w:w="769" w:type="pct"/>
            <w:tcBorders>
              <w:top w:val="single" w:sz="4" w:space="0" w:color="auto"/>
              <w:left w:val="single" w:sz="4" w:space="0" w:color="auto"/>
              <w:bottom w:val="single" w:sz="4" w:space="0" w:color="auto"/>
              <w:right w:val="single" w:sz="4" w:space="0" w:color="auto"/>
            </w:tcBorders>
            <w:vAlign w:val="center"/>
          </w:tcPr>
          <w:p w:rsidR="00215FA0" w:rsidRPr="004A73B9" w:rsidRDefault="00215FA0" w:rsidP="00D309A1">
            <w:pPr>
              <w:keepNext/>
              <w:widowControl/>
              <w:jc w:val="center"/>
              <w:rPr>
                <w:rFonts w:ascii="Arial Narrow" w:hAnsi="Arial Narrow"/>
                <w:b/>
                <w:bCs/>
                <w:iCs/>
                <w:color w:val="000000"/>
                <w:sz w:val="20"/>
                <w:szCs w:val="18"/>
              </w:rPr>
            </w:pPr>
            <w:r w:rsidRPr="004A73B9">
              <w:rPr>
                <w:rFonts w:ascii="Arial Narrow" w:hAnsi="Arial Narrow"/>
                <w:b/>
                <w:bCs/>
                <w:iCs/>
                <w:color w:val="000000"/>
                <w:sz w:val="20"/>
                <w:szCs w:val="18"/>
              </w:rPr>
              <w:t>1.34 (0.97, 1.85)</w:t>
            </w:r>
          </w:p>
        </w:tc>
        <w:tc>
          <w:tcPr>
            <w:tcW w:w="706" w:type="pct"/>
            <w:tcBorders>
              <w:top w:val="single" w:sz="4" w:space="0" w:color="auto"/>
              <w:left w:val="single" w:sz="4" w:space="0" w:color="auto"/>
              <w:bottom w:val="single" w:sz="4" w:space="0" w:color="auto"/>
              <w:right w:val="single" w:sz="4" w:space="0" w:color="auto"/>
            </w:tcBorders>
            <w:vAlign w:val="center"/>
          </w:tcPr>
          <w:p w:rsidR="00215FA0" w:rsidRPr="00E2771E" w:rsidRDefault="00215FA0" w:rsidP="00D309A1">
            <w:pPr>
              <w:keepNext/>
              <w:widowControl/>
              <w:jc w:val="center"/>
              <w:rPr>
                <w:rFonts w:ascii="Arial Narrow" w:hAnsi="Arial Narrow"/>
                <w:color w:val="000000"/>
                <w:sz w:val="20"/>
                <w:szCs w:val="18"/>
              </w:rPr>
            </w:pPr>
            <w:r>
              <w:rPr>
                <w:rFonts w:ascii="Arial Narrow" w:hAnsi="Arial Narrow"/>
                <w:color w:val="000000"/>
                <w:sz w:val="20"/>
                <w:szCs w:val="18"/>
              </w:rPr>
              <w:t>42.2</w:t>
            </w:r>
          </w:p>
        </w:tc>
        <w:tc>
          <w:tcPr>
            <w:tcW w:w="709" w:type="pct"/>
            <w:tcBorders>
              <w:top w:val="single" w:sz="4" w:space="0" w:color="auto"/>
              <w:left w:val="single" w:sz="4" w:space="0" w:color="auto"/>
              <w:bottom w:val="single" w:sz="4" w:space="0" w:color="auto"/>
              <w:right w:val="single" w:sz="4" w:space="0" w:color="auto"/>
            </w:tcBorders>
            <w:vAlign w:val="center"/>
          </w:tcPr>
          <w:p w:rsidR="00215FA0" w:rsidRPr="00E2771E" w:rsidRDefault="00215FA0" w:rsidP="00D309A1">
            <w:pPr>
              <w:keepNext/>
              <w:widowControl/>
              <w:jc w:val="center"/>
              <w:rPr>
                <w:rFonts w:ascii="Arial Narrow" w:hAnsi="Arial Narrow"/>
                <w:color w:val="000000"/>
                <w:sz w:val="20"/>
                <w:szCs w:val="18"/>
              </w:rPr>
            </w:pPr>
            <w:r>
              <w:rPr>
                <w:rFonts w:ascii="Arial Narrow" w:hAnsi="Arial Narrow"/>
                <w:color w:val="000000"/>
                <w:sz w:val="20"/>
                <w:szCs w:val="18"/>
              </w:rPr>
              <w:t>31.5</w:t>
            </w:r>
          </w:p>
        </w:tc>
        <w:tc>
          <w:tcPr>
            <w:tcW w:w="836" w:type="pct"/>
            <w:tcBorders>
              <w:top w:val="single" w:sz="4" w:space="0" w:color="auto"/>
              <w:left w:val="single" w:sz="4" w:space="0" w:color="auto"/>
              <w:bottom w:val="single" w:sz="4" w:space="0" w:color="auto"/>
              <w:right w:val="single" w:sz="4" w:space="0" w:color="auto"/>
            </w:tcBorders>
            <w:vAlign w:val="center"/>
          </w:tcPr>
          <w:p w:rsidR="00215FA0" w:rsidRPr="004A73B9" w:rsidRDefault="00215FA0" w:rsidP="00D309A1">
            <w:pPr>
              <w:keepNext/>
              <w:widowControl/>
              <w:jc w:val="center"/>
              <w:rPr>
                <w:rFonts w:ascii="Arial Narrow" w:hAnsi="Arial Narrow"/>
                <w:b/>
                <w:bCs/>
                <w:iCs/>
                <w:color w:val="000000"/>
                <w:sz w:val="20"/>
                <w:szCs w:val="18"/>
              </w:rPr>
            </w:pPr>
            <w:r w:rsidRPr="004A73B9">
              <w:rPr>
                <w:rFonts w:ascii="Arial Narrow" w:hAnsi="Arial Narrow"/>
                <w:b/>
                <w:bCs/>
                <w:iCs/>
                <w:color w:val="000000"/>
                <w:sz w:val="20"/>
                <w:szCs w:val="18"/>
              </w:rPr>
              <w:t>0.11 (-0.01, 0.22)</w:t>
            </w:r>
          </w:p>
        </w:tc>
      </w:tr>
      <w:tr w:rsidR="00215FA0" w:rsidRPr="00E2771E" w:rsidTr="00336E1E">
        <w:tc>
          <w:tcPr>
            <w:tcW w:w="6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15FA0" w:rsidRPr="00E2771E" w:rsidRDefault="00215FA0" w:rsidP="00D309A1">
            <w:pPr>
              <w:keepNext/>
              <w:widowControl/>
              <w:rPr>
                <w:rFonts w:ascii="Arial Narrow" w:hAnsi="Arial Narrow"/>
                <w:color w:val="000000"/>
                <w:sz w:val="20"/>
                <w:szCs w:val="18"/>
              </w:rPr>
            </w:pPr>
            <w:r>
              <w:rPr>
                <w:rFonts w:ascii="Arial Narrow" w:hAnsi="Arial Narrow"/>
                <w:color w:val="000000"/>
                <w:sz w:val="20"/>
                <w:szCs w:val="18"/>
              </w:rPr>
              <w:t>≥ 1 TEAE</w:t>
            </w:r>
          </w:p>
        </w:tc>
        <w:tc>
          <w:tcPr>
            <w:tcW w:w="770" w:type="pct"/>
            <w:tcBorders>
              <w:top w:val="single" w:sz="4" w:space="0" w:color="auto"/>
              <w:left w:val="single" w:sz="4" w:space="0" w:color="auto"/>
              <w:bottom w:val="single" w:sz="4" w:space="0" w:color="auto"/>
              <w:right w:val="single" w:sz="4" w:space="0" w:color="auto"/>
            </w:tcBorders>
            <w:vAlign w:val="center"/>
          </w:tcPr>
          <w:p w:rsidR="00215FA0" w:rsidRPr="00E2771E" w:rsidRDefault="00215FA0" w:rsidP="00D309A1">
            <w:pPr>
              <w:keepNext/>
              <w:widowControl/>
              <w:jc w:val="center"/>
              <w:rPr>
                <w:rFonts w:ascii="Arial Narrow" w:hAnsi="Arial Narrow"/>
                <w:color w:val="000000"/>
                <w:sz w:val="20"/>
                <w:szCs w:val="18"/>
              </w:rPr>
            </w:pPr>
            <w:r>
              <w:rPr>
                <w:rFonts w:ascii="Arial Narrow" w:hAnsi="Arial Narrow"/>
                <w:color w:val="000000"/>
                <w:sz w:val="20"/>
                <w:szCs w:val="18"/>
              </w:rPr>
              <w:t>52/128</w:t>
            </w:r>
          </w:p>
        </w:tc>
        <w:tc>
          <w:tcPr>
            <w:tcW w:w="568" w:type="pct"/>
            <w:tcBorders>
              <w:top w:val="single" w:sz="4" w:space="0" w:color="auto"/>
              <w:left w:val="single" w:sz="4" w:space="0" w:color="auto"/>
              <w:bottom w:val="single" w:sz="4" w:space="0" w:color="auto"/>
              <w:right w:val="single" w:sz="4" w:space="0" w:color="auto"/>
            </w:tcBorders>
            <w:vAlign w:val="center"/>
          </w:tcPr>
          <w:p w:rsidR="00215FA0" w:rsidRPr="00E2771E" w:rsidRDefault="00215FA0" w:rsidP="00D309A1">
            <w:pPr>
              <w:keepNext/>
              <w:widowControl/>
              <w:jc w:val="center"/>
              <w:rPr>
                <w:rFonts w:ascii="Arial Narrow" w:hAnsi="Arial Narrow"/>
                <w:color w:val="000000"/>
                <w:sz w:val="20"/>
                <w:szCs w:val="18"/>
              </w:rPr>
            </w:pPr>
            <w:r>
              <w:rPr>
                <w:rFonts w:ascii="Arial Narrow" w:hAnsi="Arial Narrow"/>
                <w:color w:val="000000"/>
                <w:sz w:val="20"/>
                <w:szCs w:val="18"/>
              </w:rPr>
              <w:t>41/130</w:t>
            </w:r>
          </w:p>
        </w:tc>
        <w:tc>
          <w:tcPr>
            <w:tcW w:w="769" w:type="pct"/>
            <w:tcBorders>
              <w:top w:val="single" w:sz="4" w:space="0" w:color="auto"/>
              <w:left w:val="single" w:sz="4" w:space="0" w:color="auto"/>
              <w:bottom w:val="single" w:sz="4" w:space="0" w:color="auto"/>
              <w:right w:val="single" w:sz="4" w:space="0" w:color="auto"/>
            </w:tcBorders>
            <w:vAlign w:val="center"/>
          </w:tcPr>
          <w:p w:rsidR="00215FA0" w:rsidRPr="004A73B9" w:rsidRDefault="00215FA0" w:rsidP="00D309A1">
            <w:pPr>
              <w:keepNext/>
              <w:widowControl/>
              <w:jc w:val="center"/>
              <w:rPr>
                <w:rFonts w:ascii="Arial Narrow" w:hAnsi="Arial Narrow"/>
                <w:iCs/>
                <w:color w:val="000000"/>
                <w:sz w:val="20"/>
                <w:szCs w:val="18"/>
              </w:rPr>
            </w:pPr>
            <w:r w:rsidRPr="004A73B9">
              <w:rPr>
                <w:rFonts w:ascii="Arial Narrow" w:hAnsi="Arial Narrow"/>
                <w:iCs/>
                <w:color w:val="000000"/>
                <w:sz w:val="20"/>
                <w:szCs w:val="18"/>
              </w:rPr>
              <w:t>1.29 (0.93, 1.79)</w:t>
            </w:r>
          </w:p>
        </w:tc>
        <w:tc>
          <w:tcPr>
            <w:tcW w:w="706" w:type="pct"/>
            <w:tcBorders>
              <w:top w:val="single" w:sz="4" w:space="0" w:color="auto"/>
              <w:left w:val="single" w:sz="4" w:space="0" w:color="auto"/>
              <w:bottom w:val="single" w:sz="4" w:space="0" w:color="auto"/>
              <w:right w:val="single" w:sz="4" w:space="0" w:color="auto"/>
            </w:tcBorders>
            <w:vAlign w:val="center"/>
          </w:tcPr>
          <w:p w:rsidR="00215FA0" w:rsidRPr="00E2771E" w:rsidRDefault="00215FA0" w:rsidP="00D309A1">
            <w:pPr>
              <w:keepNext/>
              <w:widowControl/>
              <w:jc w:val="center"/>
              <w:rPr>
                <w:rFonts w:ascii="Arial Narrow" w:hAnsi="Arial Narrow"/>
                <w:color w:val="000000"/>
                <w:sz w:val="20"/>
                <w:szCs w:val="18"/>
              </w:rPr>
            </w:pPr>
            <w:r>
              <w:rPr>
                <w:rFonts w:ascii="Arial Narrow" w:hAnsi="Arial Narrow"/>
                <w:color w:val="000000"/>
                <w:sz w:val="20"/>
                <w:szCs w:val="18"/>
              </w:rPr>
              <w:t>40.6</w:t>
            </w:r>
          </w:p>
        </w:tc>
        <w:tc>
          <w:tcPr>
            <w:tcW w:w="709" w:type="pct"/>
            <w:tcBorders>
              <w:top w:val="single" w:sz="4" w:space="0" w:color="auto"/>
              <w:left w:val="single" w:sz="4" w:space="0" w:color="auto"/>
              <w:bottom w:val="single" w:sz="4" w:space="0" w:color="auto"/>
              <w:right w:val="single" w:sz="4" w:space="0" w:color="auto"/>
            </w:tcBorders>
            <w:vAlign w:val="center"/>
          </w:tcPr>
          <w:p w:rsidR="00215FA0" w:rsidRPr="00E2771E" w:rsidRDefault="00215FA0" w:rsidP="00D309A1">
            <w:pPr>
              <w:keepNext/>
              <w:widowControl/>
              <w:jc w:val="center"/>
              <w:rPr>
                <w:rFonts w:ascii="Arial Narrow" w:hAnsi="Arial Narrow"/>
                <w:color w:val="000000"/>
                <w:sz w:val="20"/>
                <w:szCs w:val="18"/>
              </w:rPr>
            </w:pPr>
            <w:r>
              <w:rPr>
                <w:rFonts w:ascii="Arial Narrow" w:hAnsi="Arial Narrow"/>
                <w:color w:val="000000"/>
                <w:sz w:val="20"/>
                <w:szCs w:val="18"/>
              </w:rPr>
              <w:t>31.5</w:t>
            </w:r>
          </w:p>
        </w:tc>
        <w:tc>
          <w:tcPr>
            <w:tcW w:w="836" w:type="pct"/>
            <w:tcBorders>
              <w:top w:val="single" w:sz="4" w:space="0" w:color="auto"/>
              <w:left w:val="single" w:sz="4" w:space="0" w:color="auto"/>
              <w:bottom w:val="single" w:sz="4" w:space="0" w:color="auto"/>
              <w:right w:val="single" w:sz="4" w:space="0" w:color="auto"/>
            </w:tcBorders>
            <w:vAlign w:val="center"/>
          </w:tcPr>
          <w:p w:rsidR="00215FA0" w:rsidRPr="004A73B9" w:rsidRDefault="00215FA0" w:rsidP="00D309A1">
            <w:pPr>
              <w:keepNext/>
              <w:widowControl/>
              <w:jc w:val="center"/>
              <w:rPr>
                <w:rFonts w:ascii="Arial Narrow" w:hAnsi="Arial Narrow"/>
                <w:iCs/>
                <w:color w:val="000000"/>
                <w:sz w:val="20"/>
                <w:szCs w:val="18"/>
              </w:rPr>
            </w:pPr>
            <w:r w:rsidRPr="004A73B9">
              <w:rPr>
                <w:rFonts w:ascii="Arial Narrow" w:hAnsi="Arial Narrow"/>
                <w:iCs/>
                <w:color w:val="000000"/>
                <w:sz w:val="20"/>
                <w:szCs w:val="18"/>
              </w:rPr>
              <w:t>0.09 (-0.03, 0.21)</w:t>
            </w:r>
          </w:p>
        </w:tc>
      </w:tr>
    </w:tbl>
    <w:p w:rsidR="00215FA0" w:rsidRDefault="00215FA0" w:rsidP="00114B88">
      <w:pPr>
        <w:pStyle w:val="TableFooter"/>
        <w:rPr>
          <w:rFonts w:eastAsia="Calibri"/>
        </w:rPr>
      </w:pPr>
      <w:r>
        <w:t>Abbreviation: AE=adverse event;</w:t>
      </w:r>
      <w:r w:rsidRPr="00281F8E">
        <w:rPr>
          <w:rFonts w:eastAsia="Calibri"/>
        </w:rPr>
        <w:t xml:space="preserve"> </w:t>
      </w:r>
      <w:r w:rsidR="00051FBD">
        <w:rPr>
          <w:rFonts w:eastAsia="Calibri"/>
        </w:rPr>
        <w:t xml:space="preserve">BoNT=botulinum toxin; </w:t>
      </w:r>
      <w:r>
        <w:rPr>
          <w:rFonts w:eastAsia="Calibri"/>
        </w:rPr>
        <w:t>CI=confidence interval;</w:t>
      </w:r>
      <w:r>
        <w:t xml:space="preserve"> GSC=Gastrocnemius soleus complex;</w:t>
      </w:r>
      <w:r w:rsidRPr="0072416F">
        <w:t xml:space="preserve"> </w:t>
      </w:r>
      <w:r>
        <w:t>MAS=modified Ashworth scale; RD</w:t>
      </w:r>
      <w:r w:rsidRPr="0072416F">
        <w:t>=</w:t>
      </w:r>
      <w:r>
        <w:t>risk difference; RR</w:t>
      </w:r>
      <w:r w:rsidRPr="0072416F">
        <w:t>=risk ratio</w:t>
      </w:r>
      <w:r>
        <w:t>;</w:t>
      </w:r>
      <w:r w:rsidRPr="00281F8E">
        <w:rPr>
          <w:rFonts w:eastAsia="Calibri"/>
        </w:rPr>
        <w:t xml:space="preserve"> </w:t>
      </w:r>
      <w:r>
        <w:rPr>
          <w:rFonts w:eastAsia="Calibri"/>
        </w:rPr>
        <w:t>TEAE=</w:t>
      </w:r>
      <w:r w:rsidRPr="00486F68">
        <w:rPr>
          <w:rFonts w:eastAsia="Calibri"/>
        </w:rPr>
        <w:t>treatment emergent adverse event</w:t>
      </w:r>
      <w:r>
        <w:rPr>
          <w:rFonts w:eastAsia="Calibri"/>
        </w:rPr>
        <w:t>;</w:t>
      </w:r>
    </w:p>
    <w:p w:rsidR="00336E1E" w:rsidRPr="0072416F" w:rsidRDefault="00336E1E" w:rsidP="00114B88">
      <w:pPr>
        <w:pStyle w:val="TableFooter"/>
      </w:pPr>
      <w:r>
        <w:rPr>
          <w:i/>
          <w:iCs/>
          <w:color w:val="000000"/>
          <w:sz w:val="20"/>
          <w:vertAlign w:val="superscript"/>
        </w:rPr>
        <w:t>#</w:t>
      </w:r>
      <w:r w:rsidRPr="00336E1E">
        <w:tab/>
        <w:t xml:space="preserve">The pre-specified </w:t>
      </w:r>
      <w:r w:rsidR="0079707A">
        <w:t xml:space="preserve">analysis, </w:t>
      </w:r>
      <w:r>
        <w:t>logistic regression controlled for prior BoNT</w:t>
      </w:r>
      <w:r w:rsidRPr="00242089">
        <w:t xml:space="preserve"> </w:t>
      </w:r>
      <w:r>
        <w:t xml:space="preserve">experience </w:t>
      </w:r>
      <w:r w:rsidR="00051FBD">
        <w:t>at b</w:t>
      </w:r>
      <w:r w:rsidRPr="00242089">
        <w:t>aseline and the centre</w:t>
      </w:r>
      <w:r>
        <w:t xml:space="preserve"> (</w:t>
      </w:r>
      <w:r w:rsidRPr="00242089">
        <w:t>all as fixed effects</w:t>
      </w:r>
      <w:r>
        <w:t>)</w:t>
      </w:r>
      <w:r w:rsidR="0079707A">
        <w:t>, reported no statistically significant differences.</w:t>
      </w:r>
    </w:p>
    <w:p w:rsidR="00D3199C" w:rsidRPr="00B1011F" w:rsidRDefault="00215FA0" w:rsidP="009355A7">
      <w:pPr>
        <w:pStyle w:val="TableFooter"/>
        <w:spacing w:after="240"/>
      </w:pPr>
      <w:r>
        <w:t xml:space="preserve">Source: </w:t>
      </w:r>
      <w:r w:rsidRPr="00DF36A9">
        <w:t xml:space="preserve">Tables 2.15, p83 </w:t>
      </w:r>
      <w:r>
        <w:t xml:space="preserve">and Table 2.25, p102 of the submission and </w:t>
      </w:r>
      <w:r w:rsidRPr="00DF36A9">
        <w:t>Table 21, p63</w:t>
      </w:r>
      <w:r>
        <w:t xml:space="preserve"> and Table 49, p101 of CSR Study 140.</w:t>
      </w:r>
    </w:p>
    <w:p w:rsidR="00215FA0" w:rsidRPr="00B50DB8" w:rsidRDefault="00215FA0" w:rsidP="00D309A1">
      <w:pPr>
        <w:pStyle w:val="ListParagraph"/>
        <w:spacing w:after="0"/>
      </w:pPr>
      <w:r>
        <w:t xml:space="preserve">On the basis of </w:t>
      </w:r>
      <w:r w:rsidRPr="00CF6EE4">
        <w:t>direct</w:t>
      </w:r>
      <w:r>
        <w:t xml:space="preserve"> </w:t>
      </w:r>
      <w:r w:rsidRPr="00CF6EE4">
        <w:t xml:space="preserve">evidence presented by the submission, for every 100 patients treated with </w:t>
      </w:r>
      <w:r w:rsidR="00051CA9">
        <w:t>Dysport®</w:t>
      </w:r>
      <w:r>
        <w:t xml:space="preserve"> </w:t>
      </w:r>
      <w:r w:rsidR="00927414">
        <w:t xml:space="preserve">1500U </w:t>
      </w:r>
      <w:r>
        <w:t>versus placebo:</w:t>
      </w:r>
    </w:p>
    <w:p w:rsidR="00CC6C47" w:rsidRDefault="00484887" w:rsidP="00D309A1">
      <w:pPr>
        <w:pStyle w:val="ListParagraph"/>
        <w:numPr>
          <w:ilvl w:val="0"/>
          <w:numId w:val="2"/>
        </w:numPr>
        <w:spacing w:before="40" w:after="0"/>
        <w:ind w:left="1077" w:hanging="357"/>
      </w:pPr>
      <w:r>
        <w:t>There was n</w:t>
      </w:r>
      <w:r w:rsidR="00CC6C47">
        <w:t xml:space="preserve">o difference in </w:t>
      </w:r>
      <w:r>
        <w:t xml:space="preserve">the proportion of </w:t>
      </w:r>
      <w:r w:rsidR="00CC6C47">
        <w:t>MAS responder</w:t>
      </w:r>
      <w:r>
        <w:t>s</w:t>
      </w:r>
      <w:r w:rsidR="00CC6C47">
        <w:t xml:space="preserve"> at Week 4 and 12</w:t>
      </w:r>
      <w:r>
        <w:t>,</w:t>
      </w:r>
      <w:r w:rsidR="00CC6C47">
        <w:t xml:space="preserve"> once adjusted for baseline.</w:t>
      </w:r>
    </w:p>
    <w:p w:rsidR="00215FA0" w:rsidRDefault="00215FA0" w:rsidP="00D309A1">
      <w:pPr>
        <w:pStyle w:val="ListParagraph"/>
        <w:numPr>
          <w:ilvl w:val="0"/>
          <w:numId w:val="2"/>
        </w:numPr>
        <w:spacing w:before="40"/>
        <w:ind w:left="1077" w:hanging="357"/>
      </w:pPr>
      <w:r w:rsidRPr="00CF6EE4">
        <w:t>Approximately 1</w:t>
      </w:r>
      <w:r>
        <w:t>1</w:t>
      </w:r>
      <w:r w:rsidRPr="00CF6EE4">
        <w:t xml:space="preserve"> </w:t>
      </w:r>
      <w:r>
        <w:t>more</w:t>
      </w:r>
      <w:r w:rsidRPr="00CF6EE4">
        <w:t xml:space="preserve"> </w:t>
      </w:r>
      <w:r>
        <w:t xml:space="preserve">patients would experience an </w:t>
      </w:r>
      <w:r w:rsidR="006E3776">
        <w:t>AE</w:t>
      </w:r>
      <w:r>
        <w:t>.</w:t>
      </w:r>
    </w:p>
    <w:p w:rsidR="00B60939" w:rsidRPr="00C9624D" w:rsidRDefault="00B60939" w:rsidP="00114B88">
      <w:pPr>
        <w:pStyle w:val="Heading2"/>
      </w:pPr>
      <w:bookmarkStart w:id="13" w:name="_Toc524505999"/>
      <w:r w:rsidRPr="00C9624D">
        <w:t>Clinical claim</w:t>
      </w:r>
      <w:bookmarkEnd w:id="13"/>
    </w:p>
    <w:p w:rsidR="00927414" w:rsidRDefault="00A22B37" w:rsidP="00DA6EDA">
      <w:pPr>
        <w:pStyle w:val="ListParagraph"/>
      </w:pPr>
      <w:r w:rsidRPr="00F55E1C">
        <w:t xml:space="preserve">The submission described </w:t>
      </w:r>
      <w:r w:rsidR="00051CA9" w:rsidRPr="00F55E1C">
        <w:t>Dysport®</w:t>
      </w:r>
      <w:r w:rsidRPr="00F55E1C">
        <w:t xml:space="preserve"> </w:t>
      </w:r>
      <w:r w:rsidR="00FB15F1" w:rsidRPr="00F55E1C">
        <w:t>(</w:t>
      </w:r>
      <w:r w:rsidRPr="00F55E1C">
        <w:t xml:space="preserve">as adjuvant to standard of care) as superior in terms of comparative effectiveness (spasticity, </w:t>
      </w:r>
      <w:r w:rsidR="00FB15F1" w:rsidRPr="00F55E1C">
        <w:t>active functioning and subjective</w:t>
      </w:r>
      <w:r w:rsidRPr="00F55E1C">
        <w:t xml:space="preserve"> treatment response)</w:t>
      </w:r>
      <w:r w:rsidR="00FB15F1" w:rsidRPr="00F55E1C">
        <w:t xml:space="preserve"> and non-inferior in terms of comparative safety compared to standard of care alone (placebo).</w:t>
      </w:r>
      <w:r w:rsidR="00FA60DA">
        <w:t xml:space="preserve"> </w:t>
      </w:r>
    </w:p>
    <w:p w:rsidR="00435F3C" w:rsidRPr="00267462" w:rsidRDefault="00FF5404" w:rsidP="00D309A1">
      <w:pPr>
        <w:pStyle w:val="ListParagraph"/>
        <w:spacing w:after="0"/>
      </w:pPr>
      <w:r w:rsidRPr="00267462">
        <w:rPr>
          <w:iCs/>
        </w:rPr>
        <w:lastRenderedPageBreak/>
        <w:t xml:space="preserve">The </w:t>
      </w:r>
      <w:r w:rsidR="00435F3C" w:rsidRPr="00267462">
        <w:rPr>
          <w:iCs/>
        </w:rPr>
        <w:t xml:space="preserve">claim of superior effectiveness </w:t>
      </w:r>
      <w:r w:rsidRPr="00267462">
        <w:rPr>
          <w:iCs/>
        </w:rPr>
        <w:t>comp</w:t>
      </w:r>
      <w:r w:rsidR="00484887" w:rsidRPr="00267462">
        <w:rPr>
          <w:iCs/>
        </w:rPr>
        <w:t>a</w:t>
      </w:r>
      <w:r w:rsidRPr="00267462">
        <w:rPr>
          <w:iCs/>
        </w:rPr>
        <w:t>red to standar</w:t>
      </w:r>
      <w:r w:rsidR="00484887" w:rsidRPr="00267462">
        <w:rPr>
          <w:iCs/>
        </w:rPr>
        <w:t>d</w:t>
      </w:r>
      <w:r w:rsidRPr="00267462">
        <w:rPr>
          <w:iCs/>
        </w:rPr>
        <w:t xml:space="preserve"> of care</w:t>
      </w:r>
      <w:r w:rsidR="00484887" w:rsidRPr="00267462">
        <w:rPr>
          <w:iCs/>
        </w:rPr>
        <w:t xml:space="preserve"> </w:t>
      </w:r>
      <w:r w:rsidRPr="00267462">
        <w:rPr>
          <w:iCs/>
        </w:rPr>
        <w:t>wa</w:t>
      </w:r>
      <w:r w:rsidR="0034520F" w:rsidRPr="00267462">
        <w:rPr>
          <w:iCs/>
        </w:rPr>
        <w:t xml:space="preserve">s </w:t>
      </w:r>
      <w:r w:rsidR="002812FB">
        <w:rPr>
          <w:iCs/>
        </w:rPr>
        <w:t>not supported by ESC</w:t>
      </w:r>
      <w:r w:rsidRPr="00267462">
        <w:rPr>
          <w:iCs/>
        </w:rPr>
        <w:t xml:space="preserve"> as</w:t>
      </w:r>
      <w:r w:rsidR="00435F3C" w:rsidRPr="00267462">
        <w:rPr>
          <w:iCs/>
        </w:rPr>
        <w:t>:</w:t>
      </w:r>
    </w:p>
    <w:p w:rsidR="002812FB" w:rsidRDefault="002812FB" w:rsidP="00D309A1">
      <w:pPr>
        <w:pStyle w:val="ListParagraph"/>
        <w:numPr>
          <w:ilvl w:val="0"/>
          <w:numId w:val="9"/>
        </w:numPr>
        <w:spacing w:before="40"/>
        <w:ind w:left="1077" w:hanging="357"/>
      </w:pPr>
      <w:r>
        <w:t>There was minimal evidence to support the effectiveness of Dysport</w:t>
      </w:r>
      <w:r>
        <w:rPr>
          <w:rFonts w:cs="Calibri"/>
        </w:rPr>
        <w:t>®</w:t>
      </w:r>
      <w:r>
        <w:t xml:space="preserve"> in the treatment of focal spasticity due to acute events other than stroke.</w:t>
      </w:r>
    </w:p>
    <w:p w:rsidR="00FB15F1" w:rsidRPr="00F55E1C" w:rsidRDefault="000C2CF9" w:rsidP="00D309A1">
      <w:pPr>
        <w:pStyle w:val="ListParagraph"/>
        <w:numPr>
          <w:ilvl w:val="0"/>
          <w:numId w:val="9"/>
        </w:numPr>
        <w:spacing w:before="40"/>
        <w:ind w:left="1077" w:hanging="357"/>
      </w:pPr>
      <w:r w:rsidRPr="00F55E1C">
        <w:t xml:space="preserve">Although </w:t>
      </w:r>
      <w:r w:rsidR="00154143" w:rsidRPr="00F55E1C">
        <w:t>the mean reduction</w:t>
      </w:r>
      <w:r w:rsidR="003105AA" w:rsidRPr="00F55E1C">
        <w:t>s</w:t>
      </w:r>
      <w:r w:rsidR="00154143" w:rsidRPr="00F55E1C">
        <w:t xml:space="preserve"> in the MAS </w:t>
      </w:r>
      <w:r w:rsidRPr="00F55E1C">
        <w:t xml:space="preserve">score at Week 4 and 12 </w:t>
      </w:r>
      <w:r w:rsidR="003105AA" w:rsidRPr="00F55E1C">
        <w:t>were</w:t>
      </w:r>
      <w:r w:rsidR="00154143" w:rsidRPr="00F55E1C">
        <w:t xml:space="preserve"> statistically significant </w:t>
      </w:r>
      <w:r w:rsidRPr="00F55E1C">
        <w:t xml:space="preserve">for </w:t>
      </w:r>
      <w:r w:rsidR="00051CA9" w:rsidRPr="00F55E1C">
        <w:t>Dysport®</w:t>
      </w:r>
      <w:r w:rsidR="00154143" w:rsidRPr="00F55E1C">
        <w:t xml:space="preserve"> 1500U compared to placebo, the difference</w:t>
      </w:r>
      <w:r w:rsidR="003105AA" w:rsidRPr="00F55E1C">
        <w:t>s</w:t>
      </w:r>
      <w:r w:rsidR="00154143" w:rsidRPr="00F55E1C">
        <w:t xml:space="preserve"> </w:t>
      </w:r>
      <w:r w:rsidR="003105AA" w:rsidRPr="00F55E1C">
        <w:t>were</w:t>
      </w:r>
      <w:r w:rsidR="00154143" w:rsidRPr="00F55E1C">
        <w:t xml:space="preserve"> not clinically </w:t>
      </w:r>
      <w:r w:rsidR="002812FB">
        <w:t>significant</w:t>
      </w:r>
      <w:r w:rsidRPr="00F55E1C">
        <w:t xml:space="preserve"> given</w:t>
      </w:r>
      <w:r w:rsidR="003105AA" w:rsidRPr="00F55E1C">
        <w:t xml:space="preserve"> they</w:t>
      </w:r>
      <w:r w:rsidR="00154143" w:rsidRPr="00F55E1C">
        <w:t xml:space="preserve"> did not meet the submission’s nominated MCID of ≥</w:t>
      </w:r>
      <w:r w:rsidR="002812FB">
        <w:t xml:space="preserve"> 1</w:t>
      </w:r>
      <w:r w:rsidR="002E3A44">
        <w:t xml:space="preserve"> </w:t>
      </w:r>
      <w:r w:rsidR="002E3A44" w:rsidRPr="00F55E1C">
        <w:t xml:space="preserve"> </w:t>
      </w:r>
      <w:r w:rsidR="002812FB">
        <w:t>point</w:t>
      </w:r>
      <w:r w:rsidR="00154143" w:rsidRPr="00F55E1C">
        <w:t xml:space="preserve"> reduction in the MAS</w:t>
      </w:r>
      <w:r w:rsidR="002812FB">
        <w:t xml:space="preserve"> score</w:t>
      </w:r>
      <w:r w:rsidR="00154143" w:rsidRPr="00F55E1C">
        <w:t>.</w:t>
      </w:r>
      <w:r w:rsidR="00FA60DA">
        <w:t xml:space="preserve"> </w:t>
      </w:r>
      <w:r w:rsidRPr="00F55E1C">
        <w:t>The</w:t>
      </w:r>
      <w:r w:rsidR="001E417B" w:rsidRPr="00F55E1C">
        <w:t xml:space="preserve"> </w:t>
      </w:r>
      <w:r w:rsidRPr="00F55E1C">
        <w:t>proportion of MAS responders (defined as ≥</w:t>
      </w:r>
      <w:r w:rsidR="002E3A44">
        <w:t xml:space="preserve"> </w:t>
      </w:r>
      <w:r w:rsidR="002812FB">
        <w:t>1 point</w:t>
      </w:r>
      <w:r w:rsidRPr="00F55E1C">
        <w:t xml:space="preserve"> reduction in MAS) </w:t>
      </w:r>
      <w:r w:rsidR="001E417B" w:rsidRPr="00F55E1C">
        <w:t>was not significantly different</w:t>
      </w:r>
      <w:r w:rsidR="00C7789A" w:rsidRPr="00F55E1C">
        <w:t xml:space="preserve"> </w:t>
      </w:r>
      <w:r w:rsidR="0034520F">
        <w:t xml:space="preserve">between the Dysport® and placebo </w:t>
      </w:r>
      <w:r w:rsidR="002812FB">
        <w:t>patient</w:t>
      </w:r>
      <w:r w:rsidR="0034520F">
        <w:t>s</w:t>
      </w:r>
      <w:r w:rsidR="00FF5404">
        <w:t xml:space="preserve"> </w:t>
      </w:r>
      <w:r w:rsidR="00FF5404" w:rsidRPr="00F55E1C">
        <w:t>(p=0.0527 at Week 4, p=0.2459 at Week 12)</w:t>
      </w:r>
      <w:r w:rsidR="00C7789A" w:rsidRPr="00F55E1C">
        <w:t>.</w:t>
      </w:r>
    </w:p>
    <w:p w:rsidR="001E417B" w:rsidRPr="00F55E1C" w:rsidRDefault="00FF5404" w:rsidP="00D309A1">
      <w:pPr>
        <w:pStyle w:val="ListParagraph"/>
        <w:numPr>
          <w:ilvl w:val="0"/>
          <w:numId w:val="9"/>
        </w:numPr>
        <w:spacing w:before="40"/>
        <w:ind w:left="1077" w:hanging="357"/>
      </w:pPr>
      <w:r>
        <w:t>Although t</w:t>
      </w:r>
      <w:r w:rsidR="00C7789A" w:rsidRPr="00F55E1C">
        <w:t>he</w:t>
      </w:r>
      <w:r w:rsidR="003105AA" w:rsidRPr="00F55E1C">
        <w:t>re were</w:t>
      </w:r>
      <w:r w:rsidR="00C7789A" w:rsidRPr="00F55E1C">
        <w:t xml:space="preserve"> significant improvement</w:t>
      </w:r>
      <w:r w:rsidR="003105AA" w:rsidRPr="00F55E1C">
        <w:t>s</w:t>
      </w:r>
      <w:r w:rsidR="00C7789A" w:rsidRPr="00F55E1C">
        <w:t xml:space="preserve"> in ranked PGA score at Week 4 for </w:t>
      </w:r>
      <w:r w:rsidR="00051CA9" w:rsidRPr="00F55E1C">
        <w:t>Dysport®</w:t>
      </w:r>
      <w:r w:rsidR="00C7789A" w:rsidRPr="00F55E1C">
        <w:t xml:space="preserve"> 1500U and 1000U compared to placebo in an exploratory </w:t>
      </w:r>
      <w:r w:rsidR="00C7789A" w:rsidRPr="002E3A44">
        <w:rPr>
          <w:i/>
        </w:rPr>
        <w:t>post-hoc</w:t>
      </w:r>
      <w:r w:rsidR="00C7789A" w:rsidRPr="00F55E1C">
        <w:t xml:space="preserve"> analysis, there </w:t>
      </w:r>
      <w:r w:rsidR="003105AA" w:rsidRPr="00F55E1C">
        <w:t>were</w:t>
      </w:r>
      <w:r w:rsidR="001E417B" w:rsidRPr="00F55E1C">
        <w:t xml:space="preserve"> no significant difference</w:t>
      </w:r>
      <w:r w:rsidR="003105AA" w:rsidRPr="00F55E1C">
        <w:t>s</w:t>
      </w:r>
      <w:r w:rsidR="001E417B" w:rsidRPr="00F55E1C">
        <w:t xml:space="preserve"> </w:t>
      </w:r>
      <w:r>
        <w:t>between</w:t>
      </w:r>
      <w:r w:rsidRPr="00F55E1C">
        <w:t xml:space="preserve"> </w:t>
      </w:r>
      <w:r w:rsidR="00C7789A" w:rsidRPr="00F55E1C">
        <w:t xml:space="preserve">mean </w:t>
      </w:r>
      <w:r w:rsidR="001E417B" w:rsidRPr="00F55E1C">
        <w:t>PGA score</w:t>
      </w:r>
      <w:r>
        <w:t>s</w:t>
      </w:r>
      <w:r w:rsidR="001E417B" w:rsidRPr="00F55E1C">
        <w:t xml:space="preserve"> in the pre-specified analysis</w:t>
      </w:r>
      <w:r w:rsidR="00C7789A" w:rsidRPr="00F55E1C">
        <w:t xml:space="preserve"> (p=0.0640 and p=0.0665, respectively).</w:t>
      </w:r>
    </w:p>
    <w:p w:rsidR="00484887" w:rsidRDefault="00755C03" w:rsidP="00D309A1">
      <w:pPr>
        <w:pStyle w:val="ListParagraph"/>
        <w:numPr>
          <w:ilvl w:val="0"/>
          <w:numId w:val="9"/>
        </w:numPr>
        <w:spacing w:before="40"/>
        <w:ind w:left="1077" w:hanging="357"/>
      </w:pPr>
      <w:r w:rsidRPr="00F55E1C">
        <w:t>There were</w:t>
      </w:r>
      <w:r w:rsidR="00E876DA" w:rsidRPr="00F55E1C">
        <w:t xml:space="preserve"> no</w:t>
      </w:r>
      <w:r w:rsidRPr="00F55E1C">
        <w:t xml:space="preserve"> significant difference</w:t>
      </w:r>
      <w:r w:rsidR="003105AA" w:rsidRPr="00F55E1C">
        <w:t>s</w:t>
      </w:r>
      <w:r w:rsidRPr="00F55E1C">
        <w:t xml:space="preserve"> in change in walking speed (any test, comfortable or maximal, barefoot or with shoes) at Week 4 or Week 12 for either</w:t>
      </w:r>
      <w:r w:rsidR="00B10C23" w:rsidRPr="00F55E1C">
        <w:t xml:space="preserve"> </w:t>
      </w:r>
      <w:r w:rsidRPr="00F55E1C">
        <w:t xml:space="preserve">dose of </w:t>
      </w:r>
      <w:r w:rsidR="00051CA9" w:rsidRPr="00F55E1C">
        <w:t>Dysport®</w:t>
      </w:r>
      <w:r w:rsidRPr="00F55E1C">
        <w:t xml:space="preserve"> compared to placebo</w:t>
      </w:r>
      <w:r w:rsidR="00FF5404">
        <w:t>;</w:t>
      </w:r>
      <w:r w:rsidRPr="00F55E1C">
        <w:t xml:space="preserve"> hence</w:t>
      </w:r>
      <w:r w:rsidR="00FF5404">
        <w:t>,</w:t>
      </w:r>
      <w:r w:rsidRPr="00F55E1C">
        <w:t xml:space="preserve"> the outcome did not reach the nominated MCID ≥</w:t>
      </w:r>
      <w:r w:rsidR="002E3A44">
        <w:t xml:space="preserve"> </w:t>
      </w:r>
      <w:r w:rsidRPr="00F55E1C">
        <w:t>0.13</w:t>
      </w:r>
      <w:r w:rsidR="002E3A44">
        <w:t xml:space="preserve"> </w:t>
      </w:r>
      <w:r w:rsidRPr="00F55E1C">
        <w:t>m/s.</w:t>
      </w:r>
      <w:r w:rsidR="00484887">
        <w:t xml:space="preserve"> </w:t>
      </w:r>
    </w:p>
    <w:p w:rsidR="00D508FE" w:rsidRDefault="00D508FE" w:rsidP="0034158B">
      <w:pPr>
        <w:pStyle w:val="ListParagraph"/>
        <w:numPr>
          <w:ilvl w:val="0"/>
          <w:numId w:val="9"/>
        </w:numPr>
        <w:spacing w:before="40"/>
        <w:ind w:left="1077" w:hanging="357"/>
      </w:pPr>
      <w:r w:rsidRPr="00267462">
        <w:t xml:space="preserve">The PSCR presented additional evidence of comparative effectiveness from Study 140 for the subgroup </w:t>
      </w:r>
      <w:r w:rsidR="00FF5404" w:rsidRPr="00267462">
        <w:t>of patient</w:t>
      </w:r>
      <w:r w:rsidR="00FB744C">
        <w:t>’</w:t>
      </w:r>
      <w:r w:rsidR="00FF5404" w:rsidRPr="00267462">
        <w:t xml:space="preserve">s </w:t>
      </w:r>
      <w:r w:rsidR="00484887" w:rsidRPr="00267462">
        <w:rPr>
          <w:rFonts w:cs="Calibri"/>
          <w:iCs/>
        </w:rPr>
        <w:t>≤</w:t>
      </w:r>
      <w:r w:rsidR="002E3A44">
        <w:rPr>
          <w:rFonts w:cs="Calibri"/>
          <w:iCs/>
        </w:rPr>
        <w:t xml:space="preserve"> </w:t>
      </w:r>
      <w:r w:rsidR="00484887" w:rsidRPr="00267462">
        <w:rPr>
          <w:iCs/>
        </w:rPr>
        <w:t>2 years post-event and its complement (&gt;</w:t>
      </w:r>
      <w:r w:rsidR="002E3A44">
        <w:rPr>
          <w:iCs/>
        </w:rPr>
        <w:t xml:space="preserve"> </w:t>
      </w:r>
      <w:r w:rsidR="00484887" w:rsidRPr="00267462">
        <w:rPr>
          <w:iCs/>
        </w:rPr>
        <w:t>2 years) across some pre-specified outcomes</w:t>
      </w:r>
      <w:r w:rsidR="00484887" w:rsidRPr="00267462">
        <w:t>, which w</w:t>
      </w:r>
      <w:r w:rsidR="002E3A44">
        <w:t>ere</w:t>
      </w:r>
      <w:r w:rsidR="00484887" w:rsidRPr="00267462">
        <w:t xml:space="preserve"> consistent with the population in the requested restriction.</w:t>
      </w:r>
      <w:r w:rsidRPr="00267462">
        <w:t xml:space="preserve"> Despite representing a population that the PSCR contend</w:t>
      </w:r>
      <w:r w:rsidR="00FF5404" w:rsidRPr="00267462">
        <w:t xml:space="preserve">ed </w:t>
      </w:r>
      <w:r w:rsidRPr="00267462">
        <w:t>ha</w:t>
      </w:r>
      <w:r w:rsidR="00FF5404" w:rsidRPr="00267462">
        <w:t>d</w:t>
      </w:r>
      <w:r w:rsidRPr="00267462">
        <w:t xml:space="preserve"> a greater capacity to respond to Dysport®, there were no statistically significant differences for mean change in MAS, MAS responders, mean change in walking speed or walking speed responders between the Dysport® and placebo arms</w:t>
      </w:r>
      <w:r w:rsidR="00484887" w:rsidRPr="00267462">
        <w:t xml:space="preserve"> at Weeks 4 or 12</w:t>
      </w:r>
      <w:r w:rsidRPr="00267462">
        <w:t xml:space="preserve">. </w:t>
      </w:r>
    </w:p>
    <w:p w:rsidR="0052355D" w:rsidRDefault="00BA7B20" w:rsidP="00BA7B20">
      <w:pPr>
        <w:pStyle w:val="ListParagraph"/>
        <w:spacing w:before="40"/>
      </w:pPr>
      <w:r>
        <w:t xml:space="preserve">The Pre-PBAC </w:t>
      </w:r>
      <w:r w:rsidR="002E3A44">
        <w:t>R</w:t>
      </w:r>
      <w:r>
        <w:t xml:space="preserve">esponse </w:t>
      </w:r>
      <w:r w:rsidR="0052355D">
        <w:t xml:space="preserve">stated </w:t>
      </w:r>
      <w:r>
        <w:t xml:space="preserve">that the clinical claim of superiority of Dysport® over placebo </w:t>
      </w:r>
      <w:r w:rsidR="0052355D">
        <w:t>was</w:t>
      </w:r>
      <w:r>
        <w:t xml:space="preserve"> based on the </w:t>
      </w:r>
      <w:r w:rsidR="0052355D">
        <w:t xml:space="preserve">change in </w:t>
      </w:r>
      <w:r>
        <w:t xml:space="preserve">MAS score in the gastrocnemius-soleus complex and outcomes for PGA score at </w:t>
      </w:r>
      <w:r w:rsidR="0052355D">
        <w:t>W</w:t>
      </w:r>
      <w:r>
        <w:t>eek 4</w:t>
      </w:r>
      <w:r w:rsidR="002812FB">
        <w:t>, not on walking speed</w:t>
      </w:r>
      <w:r>
        <w:t>.</w:t>
      </w:r>
      <w:r w:rsidRPr="00BA7B20">
        <w:t xml:space="preserve"> </w:t>
      </w:r>
    </w:p>
    <w:p w:rsidR="0052355D" w:rsidRPr="00CC740C" w:rsidRDefault="0052355D" w:rsidP="00CC740C">
      <w:pPr>
        <w:numPr>
          <w:ilvl w:val="1"/>
          <w:numId w:val="3"/>
        </w:numPr>
        <w:spacing w:after="120"/>
        <w:rPr>
          <w:rFonts w:asciiTheme="minorHAnsi" w:hAnsiTheme="minorHAnsi"/>
          <w:bCs/>
          <w:lang w:val="en-GB"/>
        </w:rPr>
      </w:pPr>
      <w:r>
        <w:rPr>
          <w:rFonts w:asciiTheme="minorHAnsi" w:hAnsiTheme="minorHAnsi"/>
          <w:bCs/>
          <w:lang w:val="en-GB"/>
        </w:rPr>
        <w:t xml:space="preserve">In considering the comparative evidence following the first injection cycle, the PBAC </w:t>
      </w:r>
      <w:r w:rsidR="005C0975">
        <w:rPr>
          <w:rFonts w:asciiTheme="minorHAnsi" w:hAnsiTheme="minorHAnsi"/>
          <w:bCs/>
          <w:lang w:val="en-GB"/>
        </w:rPr>
        <w:t>considered</w:t>
      </w:r>
      <w:r>
        <w:rPr>
          <w:rFonts w:asciiTheme="minorHAnsi" w:hAnsiTheme="minorHAnsi"/>
          <w:bCs/>
          <w:lang w:val="en-GB"/>
        </w:rPr>
        <w:t xml:space="preserve"> that Dysport</w:t>
      </w:r>
      <w:r>
        <w:rPr>
          <w:rFonts w:asciiTheme="minorHAnsi" w:hAnsiTheme="minorHAnsi" w:cstheme="minorHAnsi"/>
          <w:bCs/>
          <w:lang w:val="en-GB"/>
        </w:rPr>
        <w:t xml:space="preserve">® </w:t>
      </w:r>
      <w:r>
        <w:rPr>
          <w:rFonts w:asciiTheme="minorHAnsi" w:hAnsiTheme="minorHAnsi"/>
          <w:bCs/>
          <w:lang w:val="en-GB"/>
        </w:rPr>
        <w:t>treatment</w:t>
      </w:r>
      <w:r w:rsidR="005107F7">
        <w:rPr>
          <w:rFonts w:asciiTheme="minorHAnsi" w:hAnsiTheme="minorHAnsi"/>
          <w:bCs/>
          <w:lang w:val="en-GB"/>
        </w:rPr>
        <w:t>,</w:t>
      </w:r>
      <w:r>
        <w:rPr>
          <w:rFonts w:asciiTheme="minorHAnsi" w:hAnsiTheme="minorHAnsi"/>
          <w:bCs/>
          <w:lang w:val="en-GB"/>
        </w:rPr>
        <w:t xml:space="preserve"> </w:t>
      </w:r>
      <w:r w:rsidR="005107F7">
        <w:rPr>
          <w:rFonts w:asciiTheme="minorHAnsi" w:hAnsiTheme="minorHAnsi"/>
          <w:bCs/>
          <w:lang w:val="en-GB"/>
        </w:rPr>
        <w:t xml:space="preserve">at a dose of 1500U, </w:t>
      </w:r>
      <w:r w:rsidR="002812FB">
        <w:rPr>
          <w:rFonts w:asciiTheme="minorHAnsi" w:hAnsiTheme="minorHAnsi"/>
          <w:bCs/>
          <w:lang w:val="en-GB"/>
        </w:rPr>
        <w:t xml:space="preserve">was not superior to </w:t>
      </w:r>
      <w:r w:rsidR="00CC740C">
        <w:rPr>
          <w:rFonts w:asciiTheme="minorHAnsi" w:hAnsiTheme="minorHAnsi"/>
          <w:bCs/>
          <w:lang w:val="en-GB"/>
        </w:rPr>
        <w:t>placebo. Although treatment resulted in a</w:t>
      </w:r>
      <w:r w:rsidRPr="00CC740C">
        <w:rPr>
          <w:rFonts w:asciiTheme="minorHAnsi" w:hAnsiTheme="minorHAnsi"/>
          <w:bCs/>
          <w:lang w:val="en-GB"/>
        </w:rPr>
        <w:t xml:space="preserve"> </w:t>
      </w:r>
      <w:r w:rsidR="002C61EB" w:rsidRPr="00CC740C">
        <w:rPr>
          <w:rFonts w:asciiTheme="minorHAnsi" w:hAnsiTheme="minorHAnsi"/>
          <w:bCs/>
          <w:lang w:val="en-GB"/>
        </w:rPr>
        <w:t>small improvement</w:t>
      </w:r>
      <w:r w:rsidRPr="00CC740C">
        <w:rPr>
          <w:rFonts w:asciiTheme="minorHAnsi" w:hAnsiTheme="minorHAnsi"/>
          <w:bCs/>
          <w:lang w:val="en-GB"/>
        </w:rPr>
        <w:t xml:space="preserve"> in MAS from baseline </w:t>
      </w:r>
      <w:r w:rsidR="002C61EB" w:rsidRPr="00CC740C">
        <w:rPr>
          <w:rFonts w:asciiTheme="minorHAnsi" w:hAnsiTheme="minorHAnsi"/>
          <w:bCs/>
          <w:lang w:val="en-GB"/>
        </w:rPr>
        <w:t xml:space="preserve">at Weeks 4 and 12 </w:t>
      </w:r>
      <w:r w:rsidRPr="00CC740C">
        <w:rPr>
          <w:rFonts w:asciiTheme="minorHAnsi" w:hAnsiTheme="minorHAnsi"/>
          <w:bCs/>
          <w:lang w:val="en-GB"/>
        </w:rPr>
        <w:t>compared to placebo</w:t>
      </w:r>
      <w:r w:rsidR="00CC740C">
        <w:rPr>
          <w:rFonts w:asciiTheme="minorHAnsi" w:hAnsiTheme="minorHAnsi"/>
          <w:bCs/>
          <w:lang w:val="en-GB"/>
        </w:rPr>
        <w:t xml:space="preserve">, which was </w:t>
      </w:r>
      <w:r w:rsidR="002C61EB" w:rsidRPr="00CC740C">
        <w:rPr>
          <w:rFonts w:asciiTheme="minorHAnsi" w:hAnsiTheme="minorHAnsi"/>
          <w:bCs/>
          <w:lang w:val="en-GB"/>
        </w:rPr>
        <w:t xml:space="preserve">statistically significant, </w:t>
      </w:r>
      <w:r w:rsidR="00CC740C">
        <w:rPr>
          <w:rFonts w:asciiTheme="minorHAnsi" w:hAnsiTheme="minorHAnsi"/>
          <w:bCs/>
          <w:lang w:val="en-GB"/>
        </w:rPr>
        <w:t xml:space="preserve">the improvement was </w:t>
      </w:r>
      <w:r w:rsidR="002C61EB" w:rsidRPr="00CC740C">
        <w:rPr>
          <w:rFonts w:asciiTheme="minorHAnsi" w:hAnsiTheme="minorHAnsi"/>
          <w:bCs/>
          <w:lang w:val="en-GB"/>
        </w:rPr>
        <w:t>not clinically significant as it</w:t>
      </w:r>
      <w:r w:rsidRPr="00CC740C">
        <w:rPr>
          <w:rFonts w:asciiTheme="minorHAnsi" w:hAnsiTheme="minorHAnsi"/>
          <w:bCs/>
          <w:lang w:val="en-GB"/>
        </w:rPr>
        <w:t xml:space="preserve"> did not exceed the predefined minimal clinically important difference (MCID) of at least a one point reduction in MAS score; and</w:t>
      </w:r>
    </w:p>
    <w:p w:rsidR="005107F7" w:rsidRPr="005107F7" w:rsidRDefault="005107F7" w:rsidP="00D309A1">
      <w:pPr>
        <w:pStyle w:val="ListParagraph"/>
        <w:spacing w:before="40"/>
      </w:pPr>
      <w:r>
        <w:t>The PBAC considered that Dysport</w:t>
      </w:r>
      <w:r>
        <w:rPr>
          <w:rFonts w:cs="Calibri"/>
        </w:rPr>
        <w:t>®,</w:t>
      </w:r>
      <w:r>
        <w:t xml:space="preserve"> at a dose of 1000U, was not superior to placebo in terms of effectiveness.</w:t>
      </w:r>
    </w:p>
    <w:p w:rsidR="0027502F" w:rsidRPr="00267462" w:rsidRDefault="0027502F" w:rsidP="00D309A1">
      <w:pPr>
        <w:pStyle w:val="ListParagraph"/>
        <w:spacing w:before="40"/>
      </w:pPr>
      <w:r w:rsidRPr="00267462">
        <w:rPr>
          <w:iCs/>
        </w:rPr>
        <w:t xml:space="preserve">With respect </w:t>
      </w:r>
      <w:r w:rsidR="00FF5404" w:rsidRPr="00267462">
        <w:rPr>
          <w:iCs/>
        </w:rPr>
        <w:t xml:space="preserve">to </w:t>
      </w:r>
      <w:r w:rsidRPr="00267462">
        <w:rPr>
          <w:iCs/>
        </w:rPr>
        <w:t xml:space="preserve">safety, the </w:t>
      </w:r>
      <w:r w:rsidR="0052355D">
        <w:rPr>
          <w:iCs/>
        </w:rPr>
        <w:t>PBAC</w:t>
      </w:r>
      <w:r w:rsidR="0052355D" w:rsidRPr="00267462">
        <w:rPr>
          <w:iCs/>
        </w:rPr>
        <w:t xml:space="preserve"> </w:t>
      </w:r>
      <w:r w:rsidRPr="00267462">
        <w:rPr>
          <w:iCs/>
        </w:rPr>
        <w:t>considered that the submissions claim of non-inferiority compared to standard of care alone was not appropriate as the comparison w</w:t>
      </w:r>
      <w:r w:rsidR="00FF5404" w:rsidRPr="00267462">
        <w:rPr>
          <w:iCs/>
        </w:rPr>
        <w:t>ould be</w:t>
      </w:r>
      <w:r w:rsidRPr="00267462">
        <w:rPr>
          <w:iCs/>
        </w:rPr>
        <w:t xml:space="preserve">, in practice, between </w:t>
      </w:r>
      <w:r w:rsidR="00FF5404" w:rsidRPr="00267462">
        <w:rPr>
          <w:iCs/>
        </w:rPr>
        <w:t xml:space="preserve">an </w:t>
      </w:r>
      <w:r w:rsidRPr="00267462">
        <w:rPr>
          <w:iCs/>
        </w:rPr>
        <w:t xml:space="preserve">injection </w:t>
      </w:r>
      <w:r w:rsidR="00FF5404" w:rsidRPr="00267462">
        <w:rPr>
          <w:iCs/>
        </w:rPr>
        <w:t xml:space="preserve">and </w:t>
      </w:r>
      <w:r w:rsidRPr="00267462">
        <w:rPr>
          <w:iCs/>
        </w:rPr>
        <w:t>no injection</w:t>
      </w:r>
      <w:r w:rsidR="00FF5404" w:rsidRPr="00267462">
        <w:rPr>
          <w:iCs/>
        </w:rPr>
        <w:t xml:space="preserve">. In </w:t>
      </w:r>
      <w:r w:rsidRPr="00267462">
        <w:rPr>
          <w:iCs/>
        </w:rPr>
        <w:t xml:space="preserve">addition significantly </w:t>
      </w:r>
      <w:r w:rsidRPr="00267462">
        <w:rPr>
          <w:iCs/>
        </w:rPr>
        <w:lastRenderedPageBreak/>
        <w:t xml:space="preserve">more patients treated with Dysport® experienced </w:t>
      </w:r>
      <w:r w:rsidR="005107F7">
        <w:rPr>
          <w:iCs/>
        </w:rPr>
        <w:t>at least one</w:t>
      </w:r>
      <w:r w:rsidRPr="00267462">
        <w:rPr>
          <w:iCs/>
        </w:rPr>
        <w:t xml:space="preserve"> AE versus placebo injection.</w:t>
      </w:r>
    </w:p>
    <w:p w:rsidR="00B60939" w:rsidRPr="00C9624D" w:rsidRDefault="00B60939" w:rsidP="00114B88">
      <w:pPr>
        <w:pStyle w:val="Heading2"/>
      </w:pPr>
      <w:bookmarkStart w:id="14" w:name="_Toc524506000"/>
      <w:r w:rsidRPr="00C9624D">
        <w:t>Economic analysis</w:t>
      </w:r>
      <w:bookmarkEnd w:id="14"/>
      <w:r w:rsidR="00491B3A" w:rsidRPr="00C9624D">
        <w:t xml:space="preserve"> </w:t>
      </w:r>
    </w:p>
    <w:p w:rsidR="000A16CE" w:rsidRPr="00267462" w:rsidRDefault="00952B26" w:rsidP="00D309A1">
      <w:pPr>
        <w:pStyle w:val="ListParagraph"/>
        <w:spacing w:after="40"/>
      </w:pPr>
      <w:r w:rsidRPr="00F55E1C">
        <w:t xml:space="preserve">The submission presented a cost-utility analysis based on patients enrolled in Study 140, summarised in Table </w:t>
      </w:r>
      <w:r w:rsidR="00BE7D28">
        <w:t>9</w:t>
      </w:r>
      <w:r w:rsidRPr="00F55E1C">
        <w:t>.</w:t>
      </w:r>
      <w:r w:rsidR="00FA60DA">
        <w:t xml:space="preserve"> </w:t>
      </w:r>
      <w:r w:rsidRPr="00F55E1C">
        <w:t>The submission assumed that walking speed alone (measured by the 10</w:t>
      </w:r>
      <w:r w:rsidR="00777E38">
        <w:t xml:space="preserve"> </w:t>
      </w:r>
      <w:r w:rsidRPr="00F55E1C">
        <w:t xml:space="preserve">m comfortable barefoot walk test) </w:t>
      </w:r>
      <w:r w:rsidR="00777E38">
        <w:t>was</w:t>
      </w:r>
      <w:r w:rsidR="00777E38" w:rsidRPr="00F55E1C">
        <w:t xml:space="preserve"> </w:t>
      </w:r>
      <w:r w:rsidRPr="00F55E1C">
        <w:t>a reasonable surrogate for meaningful change to patient functioning and quality of life.</w:t>
      </w:r>
      <w:r w:rsidR="00FA60DA">
        <w:t xml:space="preserve"> </w:t>
      </w:r>
      <w:r w:rsidR="00CC740C">
        <w:rPr>
          <w:iCs/>
        </w:rPr>
        <w:t>T</w:t>
      </w:r>
      <w:r w:rsidRPr="00BD0FBD">
        <w:rPr>
          <w:iCs/>
        </w:rPr>
        <w:t xml:space="preserve">he </w:t>
      </w:r>
      <w:r w:rsidR="000A16CE" w:rsidRPr="00BD0FBD">
        <w:rPr>
          <w:iCs/>
        </w:rPr>
        <w:t xml:space="preserve">ESC considered the </w:t>
      </w:r>
      <w:r w:rsidRPr="00BD0FBD">
        <w:rPr>
          <w:iCs/>
        </w:rPr>
        <w:t>link between walking speed and patient functioning was not adequately justified in the submission, and poorly supported in the literatur</w:t>
      </w:r>
      <w:r w:rsidRPr="00F55E1C">
        <w:rPr>
          <w:iCs/>
        </w:rPr>
        <w:t>e.</w:t>
      </w:r>
      <w:r w:rsidR="00FA60DA">
        <w:rPr>
          <w:iCs/>
        </w:rPr>
        <w:t xml:space="preserve"> </w:t>
      </w:r>
      <w:r w:rsidR="00CC740C">
        <w:rPr>
          <w:iCs/>
        </w:rPr>
        <w:t xml:space="preserve">In addition to </w:t>
      </w:r>
      <w:r w:rsidRPr="00F55E1C">
        <w:rPr>
          <w:iCs/>
        </w:rPr>
        <w:t xml:space="preserve">concerns </w:t>
      </w:r>
      <w:r w:rsidR="00CC740C">
        <w:rPr>
          <w:iCs/>
        </w:rPr>
        <w:t>that</w:t>
      </w:r>
      <w:r w:rsidRPr="00F55E1C">
        <w:rPr>
          <w:iCs/>
        </w:rPr>
        <w:t xml:space="preserve"> walking speed </w:t>
      </w:r>
      <w:r w:rsidR="00CC740C">
        <w:rPr>
          <w:iCs/>
        </w:rPr>
        <w:t>w</w:t>
      </w:r>
      <w:r w:rsidRPr="00F55E1C">
        <w:rPr>
          <w:iCs/>
        </w:rPr>
        <w:t xml:space="preserve">as </w:t>
      </w:r>
      <w:r w:rsidR="00CC740C">
        <w:rPr>
          <w:iCs/>
        </w:rPr>
        <w:t xml:space="preserve">not </w:t>
      </w:r>
      <w:r w:rsidR="00F84ADF" w:rsidRPr="00F55E1C">
        <w:rPr>
          <w:iCs/>
        </w:rPr>
        <w:t>a</w:t>
      </w:r>
      <w:r w:rsidR="00CC740C">
        <w:rPr>
          <w:iCs/>
        </w:rPr>
        <w:t xml:space="preserve"> suitable</w:t>
      </w:r>
      <w:r w:rsidR="00F84ADF" w:rsidRPr="00F55E1C">
        <w:rPr>
          <w:iCs/>
        </w:rPr>
        <w:t xml:space="preserve"> </w:t>
      </w:r>
      <w:r w:rsidRPr="00F55E1C">
        <w:rPr>
          <w:iCs/>
        </w:rPr>
        <w:t xml:space="preserve">proxy for overall patient functioning, there </w:t>
      </w:r>
      <w:r w:rsidRPr="00267462">
        <w:rPr>
          <w:iCs/>
        </w:rPr>
        <w:t xml:space="preserve">were no significant differences in change in walking speed (any test, comfortable or maximal, barefoot or with shoes) at Week 4 or Week 12 for either dose of </w:t>
      </w:r>
      <w:r w:rsidR="00051CA9" w:rsidRPr="00267462">
        <w:rPr>
          <w:iCs/>
        </w:rPr>
        <w:t>Dysport®</w:t>
      </w:r>
      <w:r w:rsidRPr="00267462">
        <w:rPr>
          <w:iCs/>
        </w:rPr>
        <w:t xml:space="preserve"> compared to placebo in the trial evidence.</w:t>
      </w:r>
      <w:r w:rsidR="00FA60DA" w:rsidRPr="00267462">
        <w:rPr>
          <w:iCs/>
        </w:rPr>
        <w:t xml:space="preserve"> </w:t>
      </w:r>
      <w:r w:rsidRPr="00267462">
        <w:rPr>
          <w:iCs/>
        </w:rPr>
        <w:t xml:space="preserve">Hence, </w:t>
      </w:r>
      <w:r w:rsidR="000A16CE" w:rsidRPr="00267462">
        <w:rPr>
          <w:iCs/>
        </w:rPr>
        <w:t xml:space="preserve">the ESC considered that </w:t>
      </w:r>
      <w:r w:rsidRPr="00267462">
        <w:rPr>
          <w:iCs/>
        </w:rPr>
        <w:t>the fundamental justification for conducting a cost-utility analysi</w:t>
      </w:r>
      <w:r w:rsidR="003105AA" w:rsidRPr="00267462">
        <w:rPr>
          <w:iCs/>
        </w:rPr>
        <w:t>s based on walking speed alone wa</w:t>
      </w:r>
      <w:r w:rsidRPr="00267462">
        <w:rPr>
          <w:iCs/>
        </w:rPr>
        <w:t>s not valid.</w:t>
      </w:r>
      <w:r w:rsidR="00EB5117" w:rsidRPr="00267462">
        <w:rPr>
          <w:iCs/>
        </w:rPr>
        <w:t xml:space="preserve"> </w:t>
      </w:r>
    </w:p>
    <w:p w:rsidR="00EB5117" w:rsidRPr="00267462" w:rsidRDefault="00EB5117" w:rsidP="00BD0FBD">
      <w:pPr>
        <w:pStyle w:val="ListParagraph"/>
        <w:spacing w:after="40"/>
      </w:pPr>
      <w:r w:rsidRPr="00267462">
        <w:rPr>
          <w:iCs/>
        </w:rPr>
        <w:t>The PSCR argued that:</w:t>
      </w:r>
    </w:p>
    <w:p w:rsidR="00EB5117" w:rsidRPr="00267462" w:rsidRDefault="00EB5117" w:rsidP="00D309A1">
      <w:pPr>
        <w:pStyle w:val="ListParagraph"/>
        <w:numPr>
          <w:ilvl w:val="0"/>
          <w:numId w:val="15"/>
        </w:numPr>
        <w:ind w:left="1077" w:hanging="357"/>
      </w:pPr>
      <w:r w:rsidRPr="00267462">
        <w:rPr>
          <w:iCs/>
        </w:rPr>
        <w:t xml:space="preserve">In the literature, changes in walking speed were assessed as an indicator of function and prognosis following stroke, with the same definitions for health states used as applied in the submitted economic model; </w:t>
      </w:r>
    </w:p>
    <w:p w:rsidR="00EB5117" w:rsidRPr="00267462" w:rsidRDefault="00EB5117" w:rsidP="00D309A1">
      <w:pPr>
        <w:pStyle w:val="ListParagraph"/>
        <w:numPr>
          <w:ilvl w:val="0"/>
          <w:numId w:val="15"/>
        </w:numPr>
        <w:ind w:left="1077" w:hanging="357"/>
      </w:pPr>
      <w:r w:rsidRPr="00267462">
        <w:rPr>
          <w:iCs/>
        </w:rPr>
        <w:t xml:space="preserve">Australian utilities estimated using EQ-5D-5L </w:t>
      </w:r>
      <w:r w:rsidR="008522CC" w:rsidRPr="00267462">
        <w:rPr>
          <w:iCs/>
        </w:rPr>
        <w:t xml:space="preserve">instrument </w:t>
      </w:r>
      <w:r w:rsidRPr="00267462">
        <w:rPr>
          <w:iCs/>
        </w:rPr>
        <w:t xml:space="preserve">demonstrated that there were statistically significant differences between the quality of life in patients </w:t>
      </w:r>
      <w:r w:rsidR="009B3794" w:rsidRPr="00267462">
        <w:rPr>
          <w:iCs/>
        </w:rPr>
        <w:t>across the proposed health states</w:t>
      </w:r>
      <w:r w:rsidRPr="00267462">
        <w:rPr>
          <w:iCs/>
        </w:rPr>
        <w:t>; and</w:t>
      </w:r>
    </w:p>
    <w:p w:rsidR="00952B26" w:rsidRPr="00BD0FBD" w:rsidRDefault="00EB5117" w:rsidP="00D309A1">
      <w:pPr>
        <w:pStyle w:val="ListParagraph"/>
        <w:numPr>
          <w:ilvl w:val="0"/>
          <w:numId w:val="15"/>
        </w:numPr>
        <w:ind w:left="1077" w:hanging="357"/>
      </w:pPr>
      <w:r w:rsidRPr="00267462">
        <w:rPr>
          <w:iCs/>
        </w:rPr>
        <w:t xml:space="preserve">In the absence of more robust clinical trial data for estimating changes in walking speed, the walking speed responder analyses </w:t>
      </w:r>
      <w:r w:rsidR="000A16CE" w:rsidRPr="00267462">
        <w:rPr>
          <w:iCs/>
        </w:rPr>
        <w:t xml:space="preserve">from Study 142 </w:t>
      </w:r>
      <w:r w:rsidRPr="00267462">
        <w:rPr>
          <w:iCs/>
        </w:rPr>
        <w:t xml:space="preserve">demonstrated </w:t>
      </w:r>
      <w:r w:rsidR="005B2494" w:rsidRPr="00267462">
        <w:rPr>
          <w:iCs/>
        </w:rPr>
        <w:t>that patients initiated on Dysport</w:t>
      </w:r>
      <w:r w:rsidR="008522CC" w:rsidRPr="00267462">
        <w:rPr>
          <w:rFonts w:cs="Calibri"/>
          <w:iCs/>
        </w:rPr>
        <w:t>®</w:t>
      </w:r>
      <w:r w:rsidR="005B2494" w:rsidRPr="00267462">
        <w:rPr>
          <w:iCs/>
        </w:rPr>
        <w:t xml:space="preserve"> experienced clinically meaningful gains in walking speed after two to three treatment cycles, whilst those who initiated on placebo but subsequently received active treatment in the open label extension, achieved a similar response rate </w:t>
      </w:r>
      <w:r w:rsidR="00CC740C">
        <w:rPr>
          <w:iCs/>
        </w:rPr>
        <w:t xml:space="preserve">which </w:t>
      </w:r>
      <w:r w:rsidR="005B2494" w:rsidRPr="00267462">
        <w:rPr>
          <w:iCs/>
        </w:rPr>
        <w:t>lagged the Dysport</w:t>
      </w:r>
      <w:r w:rsidR="00777E38">
        <w:rPr>
          <w:rFonts w:cs="Calibri"/>
          <w:iCs/>
        </w:rPr>
        <w:t>®</w:t>
      </w:r>
      <w:r w:rsidR="005B2494" w:rsidRPr="00267462">
        <w:rPr>
          <w:iCs/>
        </w:rPr>
        <w:t xml:space="preserve"> arm by one treatment cycle. </w:t>
      </w:r>
      <w:r w:rsidR="000A16CE" w:rsidRPr="00267462">
        <w:rPr>
          <w:iCs/>
        </w:rPr>
        <w:t xml:space="preserve">The ESC noted that the number of patients in Study 142 decreased significantly from </w:t>
      </w:r>
      <w:r w:rsidR="00777E38">
        <w:rPr>
          <w:iCs/>
        </w:rPr>
        <w:t>C</w:t>
      </w:r>
      <w:r w:rsidR="000A16CE" w:rsidRPr="00267462">
        <w:rPr>
          <w:iCs/>
        </w:rPr>
        <w:t xml:space="preserve">ycle 1 (N = 335/316) to </w:t>
      </w:r>
      <w:r w:rsidR="00777E38">
        <w:rPr>
          <w:iCs/>
        </w:rPr>
        <w:t>C</w:t>
      </w:r>
      <w:r w:rsidR="000A16CE" w:rsidRPr="00267462">
        <w:rPr>
          <w:iCs/>
        </w:rPr>
        <w:t>ycle 4 (N = 134/138), suggesting that those who continued were responders only.</w:t>
      </w:r>
    </w:p>
    <w:p w:rsidR="00BD0FBD" w:rsidRPr="00267462" w:rsidRDefault="00BD0FBD" w:rsidP="00BD0FBD">
      <w:pPr>
        <w:pStyle w:val="ListParagraph"/>
        <w:spacing w:after="40"/>
      </w:pPr>
      <w:r>
        <w:rPr>
          <w:iCs/>
        </w:rPr>
        <w:t xml:space="preserve">The PBAC agreed with the ESC that the premise for the model </w:t>
      </w:r>
      <w:r w:rsidR="00777E38">
        <w:rPr>
          <w:iCs/>
        </w:rPr>
        <w:t>wa</w:t>
      </w:r>
      <w:r>
        <w:rPr>
          <w:iCs/>
        </w:rPr>
        <w:t xml:space="preserve">s flawed as </w:t>
      </w:r>
      <w:r w:rsidR="00777E38">
        <w:rPr>
          <w:iCs/>
        </w:rPr>
        <w:t>it was</w:t>
      </w:r>
      <w:r>
        <w:rPr>
          <w:iCs/>
        </w:rPr>
        <w:t xml:space="preserve"> based on a </w:t>
      </w:r>
      <w:r w:rsidRPr="00777E38">
        <w:rPr>
          <w:i/>
          <w:iCs/>
        </w:rPr>
        <w:t>post hoc</w:t>
      </w:r>
      <w:r>
        <w:rPr>
          <w:iCs/>
        </w:rPr>
        <w:t xml:space="preserve"> subgroup analysis of a secondary outcome, which </w:t>
      </w:r>
      <w:r w:rsidR="00777E38">
        <w:rPr>
          <w:iCs/>
        </w:rPr>
        <w:t>was</w:t>
      </w:r>
      <w:r>
        <w:rPr>
          <w:iCs/>
        </w:rPr>
        <w:t xml:space="preserve"> not statistically different from placebo.</w:t>
      </w:r>
    </w:p>
    <w:p w:rsidR="00952B26" w:rsidRDefault="00952B26" w:rsidP="00D309A1">
      <w:pPr>
        <w:keepNext/>
        <w:widowControl/>
        <w:rPr>
          <w:rStyle w:val="CommentReference"/>
        </w:rPr>
      </w:pPr>
      <w:r w:rsidRPr="00A56B6A">
        <w:rPr>
          <w:rStyle w:val="CommentReference"/>
        </w:rPr>
        <w:lastRenderedPageBreak/>
        <w:t>Table</w:t>
      </w:r>
      <w:r>
        <w:rPr>
          <w:rStyle w:val="CommentReference"/>
        </w:rPr>
        <w:t xml:space="preserve"> </w:t>
      </w:r>
      <w:r w:rsidR="00BE7D28">
        <w:rPr>
          <w:rStyle w:val="CommentReference"/>
        </w:rPr>
        <w:t>9</w:t>
      </w:r>
      <w:r>
        <w:rPr>
          <w:rStyle w:val="CommentReference"/>
        </w:rPr>
        <w:t>: Summary of model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5"/>
        <w:gridCol w:w="7722"/>
      </w:tblGrid>
      <w:tr w:rsidR="00952B26" w:rsidRPr="003D1DE4" w:rsidTr="00777E38">
        <w:trPr>
          <w:tblHeader/>
        </w:trPr>
        <w:tc>
          <w:tcPr>
            <w:tcW w:w="718" w:type="pct"/>
            <w:shd w:val="clear" w:color="auto" w:fill="auto"/>
            <w:vAlign w:val="center"/>
          </w:tcPr>
          <w:p w:rsidR="00952B26" w:rsidRPr="003D1DE4" w:rsidRDefault="00952B26" w:rsidP="00D309A1">
            <w:pPr>
              <w:pStyle w:val="Tabletext"/>
              <w:keepNext/>
              <w:rPr>
                <w:b/>
              </w:rPr>
            </w:pPr>
            <w:r w:rsidRPr="003D1DE4">
              <w:rPr>
                <w:b/>
              </w:rPr>
              <w:t>Component</w:t>
            </w:r>
          </w:p>
        </w:tc>
        <w:tc>
          <w:tcPr>
            <w:tcW w:w="4282" w:type="pct"/>
            <w:shd w:val="clear" w:color="auto" w:fill="auto"/>
            <w:vAlign w:val="center"/>
          </w:tcPr>
          <w:p w:rsidR="00952B26" w:rsidRPr="003D1DE4" w:rsidRDefault="00952B26" w:rsidP="00D309A1">
            <w:pPr>
              <w:pStyle w:val="Tabletext"/>
              <w:keepNext/>
              <w:jc w:val="center"/>
              <w:rPr>
                <w:b/>
              </w:rPr>
            </w:pPr>
            <w:r w:rsidRPr="003D1DE4">
              <w:rPr>
                <w:b/>
              </w:rPr>
              <w:t>Summary</w:t>
            </w:r>
          </w:p>
        </w:tc>
      </w:tr>
      <w:tr w:rsidR="008E3C9A" w:rsidRPr="00E2771E" w:rsidTr="00777E38">
        <w:tc>
          <w:tcPr>
            <w:tcW w:w="718" w:type="pct"/>
            <w:shd w:val="clear" w:color="auto" w:fill="auto"/>
            <w:vAlign w:val="center"/>
          </w:tcPr>
          <w:p w:rsidR="008E3C9A" w:rsidRPr="00E2771E" w:rsidRDefault="008E3C9A" w:rsidP="00D309A1">
            <w:pPr>
              <w:pStyle w:val="Tabletext"/>
              <w:keepNext/>
            </w:pPr>
            <w:r>
              <w:t>Population</w:t>
            </w:r>
          </w:p>
        </w:tc>
        <w:tc>
          <w:tcPr>
            <w:tcW w:w="4282" w:type="pct"/>
            <w:shd w:val="clear" w:color="auto" w:fill="auto"/>
            <w:vAlign w:val="center"/>
          </w:tcPr>
          <w:p w:rsidR="008E3C9A" w:rsidRDefault="008E3C9A" w:rsidP="00D309A1">
            <w:pPr>
              <w:pStyle w:val="Tabletext"/>
              <w:keepNext/>
            </w:pPr>
            <w:r>
              <w:t xml:space="preserve">Study 140 </w:t>
            </w:r>
            <w:r>
              <w:rPr>
                <w:i/>
                <w:iCs/>
              </w:rPr>
              <w:t xml:space="preserve">post-hoc </w:t>
            </w:r>
            <w:r>
              <w:t>subgroup ≤</w:t>
            </w:r>
            <w:r w:rsidR="00777E38">
              <w:t xml:space="preserve"> </w:t>
            </w:r>
            <w:r>
              <w:t>2 years post-acute event (base case).</w:t>
            </w:r>
          </w:p>
        </w:tc>
      </w:tr>
      <w:tr w:rsidR="00952B26" w:rsidRPr="00E2771E" w:rsidTr="00777E38">
        <w:tc>
          <w:tcPr>
            <w:tcW w:w="718" w:type="pct"/>
            <w:shd w:val="clear" w:color="auto" w:fill="auto"/>
            <w:vAlign w:val="center"/>
          </w:tcPr>
          <w:p w:rsidR="00952B26" w:rsidRPr="00E2771E" w:rsidRDefault="00952B26" w:rsidP="00D309A1">
            <w:pPr>
              <w:pStyle w:val="Tabletext"/>
              <w:keepNext/>
            </w:pPr>
            <w:r w:rsidRPr="00E2771E">
              <w:t>Time horizon</w:t>
            </w:r>
          </w:p>
        </w:tc>
        <w:tc>
          <w:tcPr>
            <w:tcW w:w="4282" w:type="pct"/>
            <w:shd w:val="clear" w:color="auto" w:fill="auto"/>
            <w:vAlign w:val="center"/>
          </w:tcPr>
          <w:p w:rsidR="00952B26" w:rsidRPr="00E2771E" w:rsidRDefault="00952B26" w:rsidP="00777E38">
            <w:pPr>
              <w:pStyle w:val="Tabletext"/>
              <w:keepNext/>
            </w:pPr>
            <w:r>
              <w:t>10</w:t>
            </w:r>
            <w:r w:rsidRPr="00E2771E">
              <w:t xml:space="preserve"> years in the model base case versus </w:t>
            </w:r>
            <w:r>
              <w:t>12</w:t>
            </w:r>
            <w:r w:rsidR="00777E38">
              <w:t xml:space="preserve"> to </w:t>
            </w:r>
            <w:r>
              <w:t>24 weeks in the double-blind phase (Study 140) and 53.9 weeks including the open-label extension</w:t>
            </w:r>
            <w:r w:rsidRPr="00E2771E">
              <w:t xml:space="preserve"> </w:t>
            </w:r>
            <w:r>
              <w:t>phase (Study 142).</w:t>
            </w:r>
          </w:p>
        </w:tc>
      </w:tr>
      <w:tr w:rsidR="00952B26" w:rsidRPr="00E2771E" w:rsidTr="00777E38">
        <w:tc>
          <w:tcPr>
            <w:tcW w:w="718" w:type="pct"/>
            <w:shd w:val="clear" w:color="auto" w:fill="auto"/>
            <w:vAlign w:val="center"/>
          </w:tcPr>
          <w:p w:rsidR="00952B26" w:rsidRPr="00E2771E" w:rsidRDefault="00952B26" w:rsidP="00D309A1">
            <w:pPr>
              <w:pStyle w:val="Tabletext"/>
              <w:keepNext/>
            </w:pPr>
            <w:r w:rsidRPr="00E2771E">
              <w:t>Outcomes</w:t>
            </w:r>
          </w:p>
        </w:tc>
        <w:tc>
          <w:tcPr>
            <w:tcW w:w="4282" w:type="pct"/>
            <w:shd w:val="clear" w:color="auto" w:fill="auto"/>
            <w:vAlign w:val="center"/>
          </w:tcPr>
          <w:p w:rsidR="00952B26" w:rsidRPr="00E2771E" w:rsidRDefault="00952B26" w:rsidP="00D309A1">
            <w:pPr>
              <w:pStyle w:val="Tabletext"/>
              <w:keepNext/>
            </w:pPr>
            <w:r w:rsidRPr="00E2771E">
              <w:t>QALYs</w:t>
            </w:r>
          </w:p>
        </w:tc>
      </w:tr>
      <w:tr w:rsidR="00952B26" w:rsidRPr="00E2771E" w:rsidTr="00777E38">
        <w:tc>
          <w:tcPr>
            <w:tcW w:w="718" w:type="pct"/>
            <w:shd w:val="clear" w:color="auto" w:fill="auto"/>
            <w:vAlign w:val="center"/>
          </w:tcPr>
          <w:p w:rsidR="00952B26" w:rsidRPr="00E2771E" w:rsidRDefault="00952B26" w:rsidP="00D309A1">
            <w:pPr>
              <w:pStyle w:val="Tabletext"/>
              <w:keepNext/>
            </w:pPr>
            <w:r w:rsidRPr="00E2771E">
              <w:t>Methods used to generate results</w:t>
            </w:r>
          </w:p>
        </w:tc>
        <w:tc>
          <w:tcPr>
            <w:tcW w:w="4282" w:type="pct"/>
            <w:shd w:val="clear" w:color="auto" w:fill="auto"/>
            <w:vAlign w:val="center"/>
          </w:tcPr>
          <w:p w:rsidR="00952B26" w:rsidRPr="00E2771E" w:rsidRDefault="00952B26" w:rsidP="00D309A1">
            <w:pPr>
              <w:pStyle w:val="Tabletext"/>
              <w:keepNext/>
            </w:pPr>
            <w:r>
              <w:t>Markov model, c</w:t>
            </w:r>
            <w:r w:rsidRPr="00E2771E">
              <w:t>ohort expected value analysis</w:t>
            </w:r>
            <w:r>
              <w:t>.</w:t>
            </w:r>
          </w:p>
        </w:tc>
      </w:tr>
      <w:tr w:rsidR="00952B26" w:rsidRPr="00E2771E" w:rsidTr="00777E38">
        <w:tc>
          <w:tcPr>
            <w:tcW w:w="718" w:type="pct"/>
            <w:shd w:val="clear" w:color="auto" w:fill="auto"/>
            <w:vAlign w:val="center"/>
          </w:tcPr>
          <w:p w:rsidR="00952B26" w:rsidRPr="00E2771E" w:rsidRDefault="00952B26" w:rsidP="00D309A1">
            <w:pPr>
              <w:pStyle w:val="Tabletext"/>
              <w:keepNext/>
            </w:pPr>
            <w:r w:rsidRPr="00E2771E">
              <w:t>Health states</w:t>
            </w:r>
          </w:p>
        </w:tc>
        <w:tc>
          <w:tcPr>
            <w:tcW w:w="4282" w:type="pct"/>
            <w:shd w:val="clear" w:color="auto" w:fill="auto"/>
            <w:vAlign w:val="center"/>
          </w:tcPr>
          <w:p w:rsidR="00952B26" w:rsidRDefault="00952B26" w:rsidP="00D309A1">
            <w:pPr>
              <w:pStyle w:val="Tabletext"/>
              <w:keepNext/>
            </w:pPr>
            <w:r>
              <w:t>Defined by absolute walking speed:</w:t>
            </w:r>
          </w:p>
          <w:p w:rsidR="00952B26" w:rsidRDefault="00952B26" w:rsidP="00D309A1">
            <w:pPr>
              <w:pStyle w:val="Tabletext"/>
              <w:keepNext/>
              <w:numPr>
                <w:ilvl w:val="0"/>
                <w:numId w:val="1"/>
              </w:numPr>
              <w:ind w:left="286" w:hanging="283"/>
            </w:pPr>
            <w:r>
              <w:t>HS1: Household Walker (&lt;</w:t>
            </w:r>
            <w:r w:rsidR="00777E38">
              <w:t xml:space="preserve"> </w:t>
            </w:r>
            <w:r>
              <w:t>0.4</w:t>
            </w:r>
            <w:r w:rsidR="00777E38">
              <w:t xml:space="preserve"> </w:t>
            </w:r>
            <w:r>
              <w:t>m/s)</w:t>
            </w:r>
          </w:p>
          <w:p w:rsidR="00952B26" w:rsidRDefault="00952B26" w:rsidP="00D309A1">
            <w:pPr>
              <w:pStyle w:val="Tabletext"/>
              <w:keepNext/>
              <w:numPr>
                <w:ilvl w:val="0"/>
                <w:numId w:val="1"/>
              </w:numPr>
              <w:ind w:left="286" w:hanging="283"/>
            </w:pPr>
            <w:r>
              <w:t>HS2: Limited Community Ambulator (≥</w:t>
            </w:r>
            <w:r w:rsidR="00777E38">
              <w:t xml:space="preserve"> </w:t>
            </w:r>
            <w:r>
              <w:t>0.4</w:t>
            </w:r>
            <w:r w:rsidR="00777E38">
              <w:t xml:space="preserve"> </w:t>
            </w:r>
            <w:r>
              <w:t>m/s to &lt;</w:t>
            </w:r>
            <w:r w:rsidR="00777E38">
              <w:t xml:space="preserve"> </w:t>
            </w:r>
            <w:r>
              <w:t>0.8</w:t>
            </w:r>
            <w:r w:rsidR="00777E38">
              <w:t xml:space="preserve"> </w:t>
            </w:r>
            <w:r>
              <w:t>m/s)</w:t>
            </w:r>
          </w:p>
          <w:p w:rsidR="00952B26" w:rsidRPr="00E2771E" w:rsidRDefault="00952B26" w:rsidP="00D309A1">
            <w:pPr>
              <w:pStyle w:val="Tabletext"/>
              <w:keepNext/>
              <w:numPr>
                <w:ilvl w:val="0"/>
                <w:numId w:val="1"/>
              </w:numPr>
              <w:ind w:left="286" w:hanging="283"/>
            </w:pPr>
            <w:r>
              <w:t>HS3: Community Ambulator (≥</w:t>
            </w:r>
            <w:r w:rsidR="00777E38">
              <w:t xml:space="preserve"> </w:t>
            </w:r>
            <w:r>
              <w:t>0.8</w:t>
            </w:r>
            <w:r w:rsidR="00777E38">
              <w:t xml:space="preserve"> </w:t>
            </w:r>
            <w:r>
              <w:t>m/s)</w:t>
            </w:r>
          </w:p>
        </w:tc>
      </w:tr>
      <w:tr w:rsidR="00952B26" w:rsidRPr="00E2771E" w:rsidTr="00777E38">
        <w:tc>
          <w:tcPr>
            <w:tcW w:w="718" w:type="pct"/>
            <w:shd w:val="clear" w:color="auto" w:fill="auto"/>
            <w:vAlign w:val="center"/>
          </w:tcPr>
          <w:p w:rsidR="00952B26" w:rsidRPr="00E2771E" w:rsidRDefault="00952B26" w:rsidP="00D309A1">
            <w:pPr>
              <w:pStyle w:val="Tabletext"/>
              <w:keepNext/>
            </w:pPr>
            <w:r w:rsidRPr="00E2771E">
              <w:t>Cycle length</w:t>
            </w:r>
          </w:p>
        </w:tc>
        <w:tc>
          <w:tcPr>
            <w:tcW w:w="4282" w:type="pct"/>
            <w:shd w:val="clear" w:color="auto" w:fill="auto"/>
            <w:vAlign w:val="center"/>
          </w:tcPr>
          <w:p w:rsidR="00952B26" w:rsidRPr="00E2771E" w:rsidRDefault="00952B26" w:rsidP="00D309A1">
            <w:pPr>
              <w:pStyle w:val="Tabletext"/>
              <w:keepNext/>
            </w:pPr>
            <w:r>
              <w:t>28</w:t>
            </w:r>
            <w:r w:rsidRPr="00E2771E">
              <w:t xml:space="preserve"> </w:t>
            </w:r>
            <w:r>
              <w:t>days</w:t>
            </w:r>
          </w:p>
        </w:tc>
      </w:tr>
      <w:tr w:rsidR="00952B26" w:rsidRPr="00E2771E" w:rsidTr="00777E38">
        <w:tc>
          <w:tcPr>
            <w:tcW w:w="718" w:type="pct"/>
            <w:shd w:val="clear" w:color="auto" w:fill="auto"/>
            <w:vAlign w:val="center"/>
          </w:tcPr>
          <w:p w:rsidR="00952B26" w:rsidRPr="00E2771E" w:rsidRDefault="00952B26" w:rsidP="00D309A1">
            <w:pPr>
              <w:pStyle w:val="Tabletext"/>
              <w:keepNext/>
            </w:pPr>
            <w:r w:rsidRPr="00E2771E">
              <w:t>Transition probabilities</w:t>
            </w:r>
          </w:p>
        </w:tc>
        <w:tc>
          <w:tcPr>
            <w:tcW w:w="4282" w:type="pct"/>
            <w:shd w:val="clear" w:color="auto" w:fill="auto"/>
            <w:vAlign w:val="center"/>
          </w:tcPr>
          <w:p w:rsidR="00952B26" w:rsidRDefault="00952B26" w:rsidP="00D309A1">
            <w:pPr>
              <w:pStyle w:val="Tabletext"/>
              <w:keepNext/>
              <w:numPr>
                <w:ilvl w:val="0"/>
                <w:numId w:val="1"/>
              </w:numPr>
              <w:ind w:left="286" w:hanging="283"/>
            </w:pPr>
            <w:r>
              <w:t xml:space="preserve">Transition between health states </w:t>
            </w:r>
            <w:r w:rsidR="00777E38">
              <w:t xml:space="preserve">was </w:t>
            </w:r>
            <w:r>
              <w:t>estimated</w:t>
            </w:r>
            <w:r w:rsidRPr="006D238B">
              <w:t xml:space="preserve"> </w:t>
            </w:r>
            <w:r>
              <w:t>from</w:t>
            </w:r>
            <w:r w:rsidRPr="006D238B">
              <w:t xml:space="preserve"> </w:t>
            </w:r>
            <w:r>
              <w:t>two</w:t>
            </w:r>
            <w:r w:rsidRPr="006D238B">
              <w:t xml:space="preserve"> ordered logit model</w:t>
            </w:r>
            <w:r>
              <w:t xml:space="preserve">s (change in walking speed category, up or down) from IPD </w:t>
            </w:r>
            <w:r w:rsidR="00777E38">
              <w:t xml:space="preserve">from </w:t>
            </w:r>
            <w:r>
              <w:t xml:space="preserve">Study </w:t>
            </w:r>
            <w:r w:rsidRPr="006D238B">
              <w:t>140 and 142</w:t>
            </w:r>
            <w:r>
              <w:t>.</w:t>
            </w:r>
          </w:p>
          <w:p w:rsidR="00952B26" w:rsidRDefault="00952B26" w:rsidP="00D309A1">
            <w:pPr>
              <w:pStyle w:val="Tabletext"/>
              <w:keepNext/>
              <w:numPr>
                <w:ilvl w:val="0"/>
                <w:numId w:val="1"/>
              </w:numPr>
              <w:ind w:left="286" w:hanging="283"/>
            </w:pPr>
            <w:r>
              <w:t>Assumed no change in health state after discontinuation of Dysport.</w:t>
            </w:r>
          </w:p>
          <w:p w:rsidR="00952B26" w:rsidRPr="00E2771E" w:rsidRDefault="00952B26" w:rsidP="00D309A1">
            <w:pPr>
              <w:pStyle w:val="Tabletext"/>
              <w:keepNext/>
              <w:numPr>
                <w:ilvl w:val="0"/>
                <w:numId w:val="1"/>
              </w:numPr>
              <w:ind w:left="286" w:hanging="283"/>
            </w:pPr>
            <w:r>
              <w:t>Discontinuation of Dysport due to AEs and failed response criteria estimated from IPD in Study 140 and 142.</w:t>
            </w:r>
          </w:p>
        </w:tc>
      </w:tr>
      <w:tr w:rsidR="00952B26" w:rsidRPr="00E2771E" w:rsidTr="00777E38">
        <w:tc>
          <w:tcPr>
            <w:tcW w:w="718" w:type="pct"/>
            <w:shd w:val="clear" w:color="auto" w:fill="auto"/>
            <w:vAlign w:val="center"/>
          </w:tcPr>
          <w:p w:rsidR="00952B26" w:rsidRPr="00E2771E" w:rsidRDefault="00952B26" w:rsidP="00D309A1">
            <w:pPr>
              <w:pStyle w:val="Tabletext"/>
              <w:keepNext/>
            </w:pPr>
            <w:r>
              <w:t>Utility values</w:t>
            </w:r>
          </w:p>
        </w:tc>
        <w:tc>
          <w:tcPr>
            <w:tcW w:w="4282" w:type="pct"/>
            <w:shd w:val="clear" w:color="auto" w:fill="auto"/>
            <w:vAlign w:val="center"/>
          </w:tcPr>
          <w:p w:rsidR="00952B26" w:rsidRDefault="00952B26" w:rsidP="00D309A1">
            <w:pPr>
              <w:pStyle w:val="Tabletext"/>
              <w:keepNext/>
            </w:pPr>
            <w:r>
              <w:t>Estimated from IPD in Study 140 and 142 (random effects model).</w:t>
            </w:r>
          </w:p>
          <w:p w:rsidR="00952B26" w:rsidRDefault="00952B26" w:rsidP="00D309A1">
            <w:pPr>
              <w:pStyle w:val="Tabletext"/>
              <w:keepNext/>
              <w:numPr>
                <w:ilvl w:val="0"/>
                <w:numId w:val="1"/>
              </w:numPr>
              <w:ind w:left="286" w:hanging="283"/>
            </w:pPr>
            <w:r>
              <w:t>HS1, Household Walker (&lt;</w:t>
            </w:r>
            <w:r w:rsidR="00777E38">
              <w:t xml:space="preserve"> </w:t>
            </w:r>
            <w:r>
              <w:t>0.4</w:t>
            </w:r>
            <w:r w:rsidR="00777E38">
              <w:t xml:space="preserve"> </w:t>
            </w:r>
            <w:r>
              <w:t>m/s) = 0.4049</w:t>
            </w:r>
          </w:p>
          <w:p w:rsidR="00952B26" w:rsidRDefault="00952B26" w:rsidP="00D309A1">
            <w:pPr>
              <w:pStyle w:val="Tabletext"/>
              <w:keepNext/>
              <w:numPr>
                <w:ilvl w:val="0"/>
                <w:numId w:val="1"/>
              </w:numPr>
              <w:ind w:left="286" w:hanging="283"/>
            </w:pPr>
            <w:r>
              <w:t>HS2, Limited Community Ambulator (≥</w:t>
            </w:r>
            <w:r w:rsidR="00777E38">
              <w:t xml:space="preserve"> </w:t>
            </w:r>
            <w:r>
              <w:t>0.4</w:t>
            </w:r>
            <w:r w:rsidR="00777E38">
              <w:t xml:space="preserve"> </w:t>
            </w:r>
            <w:r>
              <w:t>m/s to &lt;</w:t>
            </w:r>
            <w:r w:rsidR="00777E38">
              <w:t xml:space="preserve"> </w:t>
            </w:r>
            <w:r>
              <w:t>0.8</w:t>
            </w:r>
            <w:r w:rsidR="00777E38">
              <w:t xml:space="preserve"> </w:t>
            </w:r>
            <w:r>
              <w:t>m/s) = 0.4918</w:t>
            </w:r>
          </w:p>
          <w:p w:rsidR="00952B26" w:rsidRDefault="00952B26" w:rsidP="00D309A1">
            <w:pPr>
              <w:pStyle w:val="Tabletext"/>
              <w:keepNext/>
              <w:numPr>
                <w:ilvl w:val="0"/>
                <w:numId w:val="1"/>
              </w:numPr>
              <w:ind w:left="286" w:hanging="283"/>
            </w:pPr>
            <w:r>
              <w:t>HS3, Community Ambulator (≥</w:t>
            </w:r>
            <w:r w:rsidR="00777E38">
              <w:t xml:space="preserve"> </w:t>
            </w:r>
            <w:r>
              <w:t>0.8</w:t>
            </w:r>
            <w:r w:rsidR="00777E38">
              <w:t xml:space="preserve"> </w:t>
            </w:r>
            <w:r>
              <w:t>m/s) = 0.5400</w:t>
            </w:r>
          </w:p>
        </w:tc>
      </w:tr>
      <w:tr w:rsidR="003105AA" w:rsidRPr="00E2771E" w:rsidTr="00777E38">
        <w:tc>
          <w:tcPr>
            <w:tcW w:w="718" w:type="pct"/>
            <w:shd w:val="clear" w:color="auto" w:fill="auto"/>
            <w:vAlign w:val="center"/>
          </w:tcPr>
          <w:p w:rsidR="003105AA" w:rsidRDefault="003105AA" w:rsidP="00D309A1">
            <w:pPr>
              <w:pStyle w:val="Tabletext"/>
              <w:keepNext/>
            </w:pPr>
            <w:r>
              <w:t>Costs</w:t>
            </w:r>
          </w:p>
        </w:tc>
        <w:tc>
          <w:tcPr>
            <w:tcW w:w="4282" w:type="pct"/>
            <w:shd w:val="clear" w:color="auto" w:fill="auto"/>
            <w:vAlign w:val="center"/>
          </w:tcPr>
          <w:p w:rsidR="003105AA" w:rsidRDefault="0086095C" w:rsidP="00D309A1">
            <w:pPr>
              <w:pStyle w:val="Tabletext"/>
              <w:keepNext/>
            </w:pPr>
            <w:r>
              <w:t>Dru</w:t>
            </w:r>
            <w:r w:rsidR="00D95966">
              <w:t>g and administration costs only</w:t>
            </w:r>
          </w:p>
        </w:tc>
      </w:tr>
    </w:tbl>
    <w:p w:rsidR="00952B26" w:rsidRDefault="00952B26" w:rsidP="00114B88">
      <w:pPr>
        <w:pStyle w:val="TableFooter"/>
      </w:pPr>
      <w:r>
        <w:t>Abbreviation: AE=adverse event; HS=health state; IPD=individual patient data; QALY=quality adjusted life year</w:t>
      </w:r>
    </w:p>
    <w:p w:rsidR="00D3199C" w:rsidRPr="0072416F" w:rsidRDefault="00952B26" w:rsidP="009355A7">
      <w:pPr>
        <w:pStyle w:val="TableFooter"/>
        <w:spacing w:after="240"/>
      </w:pPr>
      <w:r>
        <w:t>Source: Table 3.1, p123 of the submission.</w:t>
      </w:r>
    </w:p>
    <w:p w:rsidR="00952B26" w:rsidRDefault="00952B26" w:rsidP="00D309A1">
      <w:pPr>
        <w:pStyle w:val="ListParagraph"/>
      </w:pPr>
      <w:r>
        <w:t>All patients commenced in one of three walking speed health states (informed by baseline distribution in Study 140): “Household walker (&lt;</w:t>
      </w:r>
      <w:r w:rsidR="00C513FE">
        <w:t xml:space="preserve"> </w:t>
      </w:r>
      <w:r>
        <w:t>0.4</w:t>
      </w:r>
      <w:r w:rsidR="00C513FE">
        <w:t xml:space="preserve"> </w:t>
      </w:r>
      <w:r>
        <w:t>m/s)” (HS1), “Limited community ambulator (≥</w:t>
      </w:r>
      <w:r w:rsidR="00C513FE">
        <w:t xml:space="preserve"> </w:t>
      </w:r>
      <w:r>
        <w:t>0.4</w:t>
      </w:r>
      <w:r w:rsidR="00C513FE">
        <w:t xml:space="preserve"> </w:t>
      </w:r>
      <w:r>
        <w:t>m/s to &lt;</w:t>
      </w:r>
      <w:r w:rsidR="00C513FE">
        <w:t xml:space="preserve"> </w:t>
      </w:r>
      <w:r>
        <w:t>0.8</w:t>
      </w:r>
      <w:r w:rsidR="00C513FE">
        <w:t xml:space="preserve"> </w:t>
      </w:r>
      <w:r>
        <w:t>m/s)” (HS2) and “Community ambulator (≥</w:t>
      </w:r>
      <w:r w:rsidR="00C513FE">
        <w:t xml:space="preserve"> </w:t>
      </w:r>
      <w:r>
        <w:t>0.8</w:t>
      </w:r>
      <w:r w:rsidR="00C513FE">
        <w:t xml:space="preserve"> </w:t>
      </w:r>
      <w:r>
        <w:t>m/s)” (HS3).</w:t>
      </w:r>
      <w:r w:rsidR="00FA60DA">
        <w:t xml:space="preserve"> </w:t>
      </w:r>
      <w:r>
        <w:t xml:space="preserve">In the </w:t>
      </w:r>
      <w:r w:rsidR="00051CA9">
        <w:t>Dysport®</w:t>
      </w:r>
      <w:r>
        <w:t xml:space="preserve"> arm, all patients start on treatment and </w:t>
      </w:r>
      <w:r w:rsidR="00C513FE">
        <w:t xml:space="preserve">could </w:t>
      </w:r>
      <w:r>
        <w:t>transition between the health states while remaining on treatment.</w:t>
      </w:r>
      <w:r w:rsidR="00FA60DA">
        <w:t xml:space="preserve"> </w:t>
      </w:r>
      <w:r>
        <w:t>After treatment discontinuation (</w:t>
      </w:r>
      <w:r w:rsidR="00CC740C">
        <w:t>due to adverse event</w:t>
      </w:r>
      <w:r>
        <w:t>s or lack of response), patients remain</w:t>
      </w:r>
      <w:r w:rsidR="00C513FE">
        <w:t>ed</w:t>
      </w:r>
      <w:r>
        <w:t xml:space="preserve"> in the same health state </w:t>
      </w:r>
      <w:r w:rsidR="00CC740C">
        <w:t>for the remainder of the 10-year time horizon</w:t>
      </w:r>
      <w:r>
        <w:t>.</w:t>
      </w:r>
      <w:r w:rsidR="00FA60DA">
        <w:t xml:space="preserve"> </w:t>
      </w:r>
      <w:r>
        <w:t xml:space="preserve">In the placebo arm, patients </w:t>
      </w:r>
      <w:r w:rsidR="00C513FE">
        <w:t xml:space="preserve">could </w:t>
      </w:r>
      <w:r>
        <w:t>transition between the health states indefinitely.</w:t>
      </w:r>
    </w:p>
    <w:p w:rsidR="00952B26" w:rsidRPr="00F55E1C" w:rsidRDefault="00952B26" w:rsidP="00D309A1">
      <w:pPr>
        <w:pStyle w:val="ListParagraph"/>
      </w:pPr>
      <w:r w:rsidRPr="00F55E1C">
        <w:t xml:space="preserve">To estimate transition probabilities between health states, the submission estimated ordered logit </w:t>
      </w:r>
      <w:r w:rsidR="00B64FB5" w:rsidRPr="00F55E1C">
        <w:t>regression</w:t>
      </w:r>
      <w:r w:rsidRPr="00F55E1C">
        <w:t xml:space="preserve">s to predict ‘change’ in walking speed (up </w:t>
      </w:r>
      <w:r w:rsidR="00351889" w:rsidRPr="00F55E1C">
        <w:t xml:space="preserve">or </w:t>
      </w:r>
      <w:r w:rsidRPr="00F55E1C">
        <w:t xml:space="preserve">down) based on </w:t>
      </w:r>
      <w:r w:rsidR="009E0BD1" w:rsidRPr="00F55E1C">
        <w:t>individual patient data (</w:t>
      </w:r>
      <w:r w:rsidRPr="00F55E1C">
        <w:t>IPD</w:t>
      </w:r>
      <w:r w:rsidR="009E0BD1" w:rsidRPr="00F55E1C">
        <w:t>)</w:t>
      </w:r>
      <w:r w:rsidRPr="00F55E1C">
        <w:t>.</w:t>
      </w:r>
      <w:r w:rsidR="00FA60DA">
        <w:t xml:space="preserve"> </w:t>
      </w:r>
      <w:r w:rsidRPr="00F55E1C">
        <w:t>Patients in the trial were classified by model health states, and the change in walking speed category over study visits (every 28 days) was calculated as either no change (0), a movement up or down one health state (+1 and -1, respectively), or a movement up or down two health states (+2 and -2, respectively).</w:t>
      </w:r>
      <w:r w:rsidR="00FA60DA">
        <w:t xml:space="preserve"> </w:t>
      </w:r>
      <w:r w:rsidRPr="00F55E1C">
        <w:rPr>
          <w:iCs/>
        </w:rPr>
        <w:t>The submission’s approach for estimating ‘change’ in walking</w:t>
      </w:r>
      <w:r w:rsidR="009E0BD1" w:rsidRPr="00F55E1C">
        <w:rPr>
          <w:iCs/>
        </w:rPr>
        <w:t xml:space="preserve"> speed wa</w:t>
      </w:r>
      <w:r w:rsidRPr="00F55E1C">
        <w:rPr>
          <w:iCs/>
        </w:rPr>
        <w:t xml:space="preserve">s difficult to interpret and, despite inclusion of a log transformed time variable, </w:t>
      </w:r>
      <w:r w:rsidR="009E0BD1" w:rsidRPr="00F55E1C">
        <w:rPr>
          <w:iCs/>
        </w:rPr>
        <w:t xml:space="preserve">was </w:t>
      </w:r>
      <w:r w:rsidRPr="00F55E1C">
        <w:rPr>
          <w:iCs/>
        </w:rPr>
        <w:t>likely to exaggerate early trends in the trial data over time in the model.</w:t>
      </w:r>
    </w:p>
    <w:p w:rsidR="00952B26" w:rsidRDefault="00E73D9B" w:rsidP="00B64676">
      <w:pPr>
        <w:pStyle w:val="ListParagraph"/>
      </w:pPr>
      <w:r w:rsidRPr="00390EEC">
        <w:rPr>
          <w:iCs/>
        </w:rPr>
        <w:t>There were a number of discrepancies in the baseline characteristics between the model and trial populations</w:t>
      </w:r>
      <w:r w:rsidRPr="00390EEC">
        <w:rPr>
          <w:rFonts w:cs="Calibri"/>
          <w:iCs/>
        </w:rPr>
        <w:t xml:space="preserve">. The </w:t>
      </w:r>
      <w:r w:rsidRPr="00390EEC">
        <w:rPr>
          <w:iCs/>
        </w:rPr>
        <w:t xml:space="preserve">model overestimated the proportion of </w:t>
      </w:r>
      <w:r>
        <w:rPr>
          <w:iCs/>
        </w:rPr>
        <w:t>standard of care</w:t>
      </w:r>
      <w:r w:rsidRPr="00390EEC">
        <w:rPr>
          <w:iCs/>
        </w:rPr>
        <w:t xml:space="preserve"> patients in the worst health state, </w:t>
      </w:r>
      <w:r w:rsidRPr="00267462">
        <w:t>HS1</w:t>
      </w:r>
      <w:r w:rsidR="00CC740C">
        <w:t>,</w:t>
      </w:r>
      <w:r>
        <w:t xml:space="preserve"> and </w:t>
      </w:r>
      <w:r w:rsidRPr="00267462">
        <w:t>overestimated the number of Dysport®</w:t>
      </w:r>
      <w:r>
        <w:t xml:space="preserve"> </w:t>
      </w:r>
      <w:r w:rsidRPr="00267462">
        <w:t xml:space="preserve">patients in </w:t>
      </w:r>
      <w:r>
        <w:t>best health state, HS3</w:t>
      </w:r>
      <w:r w:rsidR="00CC740C">
        <w:t>. In the Dysport</w:t>
      </w:r>
      <w:r w:rsidR="00CC740C">
        <w:rPr>
          <w:rFonts w:cs="Calibri"/>
        </w:rPr>
        <w:t>®</w:t>
      </w:r>
      <w:r w:rsidR="00CC740C">
        <w:t xml:space="preserve"> arm 22% of patients at </w:t>
      </w:r>
      <w:r w:rsidR="00CC740C">
        <w:lastRenderedPageBreak/>
        <w:t xml:space="preserve">baseline were in the HS3 </w:t>
      </w:r>
      <w:r>
        <w:t xml:space="preserve">state compared </w:t>
      </w:r>
      <w:r w:rsidR="00CC740C">
        <w:t xml:space="preserve">to </w:t>
      </w:r>
      <w:r>
        <w:t>2.3% of patients in the standard of care arm. The PSCR conceded that the baseline distributions favoured Dysport</w:t>
      </w:r>
      <w:r>
        <w:rPr>
          <w:rFonts w:cs="Calibri"/>
        </w:rPr>
        <w:t>®</w:t>
      </w:r>
      <w:r>
        <w:t xml:space="preserve"> </w:t>
      </w:r>
      <w:r w:rsidR="00430F85">
        <w:t>and presented new cost-effectiveness estimates using the baseline distributions from Study 14</w:t>
      </w:r>
      <w:r w:rsidR="0010505C">
        <w:t>0</w:t>
      </w:r>
      <w:r w:rsidR="00430F85">
        <w:t xml:space="preserve"> and Study 14</w:t>
      </w:r>
      <w:r w:rsidR="0010505C">
        <w:t>2</w:t>
      </w:r>
      <w:r w:rsidR="00430F85">
        <w:t xml:space="preserve">- see </w:t>
      </w:r>
      <w:r w:rsidR="00430F85" w:rsidRPr="00FB744C">
        <w:t xml:space="preserve">Table </w:t>
      </w:r>
      <w:r w:rsidR="00533138" w:rsidRPr="00FB744C">
        <w:t>13</w:t>
      </w:r>
      <w:r w:rsidR="00430F85">
        <w:t>. The p</w:t>
      </w:r>
      <w:r>
        <w:t>re-PBAC response acknowledged that errors occurred in the extraction of trial data</w:t>
      </w:r>
      <w:r w:rsidR="00430F85">
        <w:t xml:space="preserve"> and presented corrected distributions</w:t>
      </w:r>
      <w:r w:rsidR="007C1543">
        <w:t xml:space="preserve"> (Table 10);</w:t>
      </w:r>
      <w:r w:rsidR="00430F85">
        <w:t xml:space="preserve"> </w:t>
      </w:r>
      <w:r w:rsidR="00961064">
        <w:t>however,</w:t>
      </w:r>
      <w:r w:rsidR="00430F85">
        <w:t xml:space="preserve"> no updated cost-effectiveness results were presented</w:t>
      </w:r>
      <w:r>
        <w:t>.</w:t>
      </w:r>
    </w:p>
    <w:p w:rsidR="00B64676" w:rsidRPr="00267462" w:rsidRDefault="00B64676" w:rsidP="00B64676">
      <w:pPr>
        <w:pStyle w:val="ListParagraph"/>
      </w:pPr>
      <w:r>
        <w:t>In addition, the evaluation identified the following issues with the model</w:t>
      </w:r>
      <w:r w:rsidR="00390EEC">
        <w:t xml:space="preserve">: </w:t>
      </w:r>
    </w:p>
    <w:p w:rsidR="00952B26" w:rsidRPr="00F55E1C" w:rsidRDefault="00952B26" w:rsidP="00D309A1">
      <w:pPr>
        <w:pStyle w:val="ListParagraph"/>
        <w:numPr>
          <w:ilvl w:val="0"/>
          <w:numId w:val="10"/>
        </w:numPr>
        <w:ind w:left="1077" w:hanging="357"/>
      </w:pPr>
      <w:r w:rsidRPr="00F55E1C">
        <w:t xml:space="preserve">The </w:t>
      </w:r>
      <w:r w:rsidR="009E0BD1" w:rsidRPr="00F55E1C">
        <w:t>regressions</w:t>
      </w:r>
      <w:r w:rsidRPr="00F55E1C">
        <w:t xml:space="preserve"> predicted patients treated with standard of care were much more likely to transition from </w:t>
      </w:r>
      <w:r w:rsidR="00430F85">
        <w:t>better health states to worse health states</w:t>
      </w:r>
      <w:r w:rsidRPr="00F55E1C">
        <w:t xml:space="preserve"> over time</w:t>
      </w:r>
      <w:r w:rsidR="00E73D9B">
        <w:t>;</w:t>
      </w:r>
      <w:r w:rsidRPr="00F55E1C">
        <w:t xml:space="preserve"> whereas</w:t>
      </w:r>
      <w:r w:rsidR="00E73D9B">
        <w:t>,</w:t>
      </w:r>
      <w:r w:rsidRPr="00F55E1C">
        <w:t xml:space="preserve"> patients treated with </w:t>
      </w:r>
      <w:r w:rsidR="00051CA9" w:rsidRPr="00F55E1C">
        <w:t>Dysport®</w:t>
      </w:r>
      <w:r w:rsidRPr="00F55E1C">
        <w:t xml:space="preserve"> were likely to transition into </w:t>
      </w:r>
      <w:r w:rsidR="00E73D9B">
        <w:t xml:space="preserve">the </w:t>
      </w:r>
      <w:r w:rsidR="00430F85">
        <w:t xml:space="preserve">better </w:t>
      </w:r>
      <w:r w:rsidRPr="00F55E1C">
        <w:t>HS3 health state early</w:t>
      </w:r>
      <w:r w:rsidR="00430F85">
        <w:t xml:space="preserve"> – see Table </w:t>
      </w:r>
      <w:r w:rsidR="00961064">
        <w:t>10</w:t>
      </w:r>
      <w:r w:rsidRPr="00F55E1C">
        <w:t>.</w:t>
      </w:r>
      <w:r w:rsidR="004308D5">
        <w:t xml:space="preserve"> </w:t>
      </w:r>
    </w:p>
    <w:p w:rsidR="00952B26" w:rsidRDefault="00952B26" w:rsidP="00D309A1">
      <w:pPr>
        <w:pStyle w:val="ListParagraph"/>
        <w:numPr>
          <w:ilvl w:val="0"/>
          <w:numId w:val="10"/>
        </w:numPr>
        <w:ind w:left="1077" w:hanging="357"/>
      </w:pPr>
      <w:r w:rsidRPr="00F55E1C">
        <w:t xml:space="preserve">The </w:t>
      </w:r>
      <w:r w:rsidR="00E73D9B">
        <w:t xml:space="preserve">model also </w:t>
      </w:r>
      <w:r w:rsidRPr="00F55E1C">
        <w:t>assum</w:t>
      </w:r>
      <w:r w:rsidR="00E73D9B">
        <w:t>ed</w:t>
      </w:r>
      <w:r w:rsidRPr="00F55E1C">
        <w:t xml:space="preserve"> that patients remained in the same health state after discontinuation with </w:t>
      </w:r>
      <w:r w:rsidR="00051CA9" w:rsidRPr="00F55E1C">
        <w:t>Dysport®</w:t>
      </w:r>
      <w:r w:rsidR="00E73D9B">
        <w:t>. This</w:t>
      </w:r>
      <w:r w:rsidRPr="00F55E1C">
        <w:t xml:space="preserve"> </w:t>
      </w:r>
      <w:r w:rsidR="004E51E7" w:rsidRPr="00F55E1C">
        <w:t>meant fewer patients transition</w:t>
      </w:r>
      <w:r w:rsidR="00E73D9B">
        <w:t>ed</w:t>
      </w:r>
      <w:r w:rsidR="004E51E7" w:rsidRPr="00F55E1C">
        <w:t xml:space="preserve"> to </w:t>
      </w:r>
      <w:r w:rsidRPr="00F55E1C">
        <w:t xml:space="preserve">worse health states in the </w:t>
      </w:r>
      <w:r w:rsidR="00051CA9" w:rsidRPr="00F55E1C">
        <w:t>Dysport®</w:t>
      </w:r>
      <w:r w:rsidRPr="00F55E1C">
        <w:t xml:space="preserve"> arm</w:t>
      </w:r>
      <w:r w:rsidR="004E51E7" w:rsidRPr="00F55E1C">
        <w:t xml:space="preserve"> over </w:t>
      </w:r>
      <w:r w:rsidR="00083653" w:rsidRPr="00F55E1C">
        <w:t>time</w:t>
      </w:r>
      <w:r w:rsidR="00FC3C1B">
        <w:t xml:space="preserve"> – see </w:t>
      </w:r>
      <w:r w:rsidR="00430F85">
        <w:t xml:space="preserve">Table </w:t>
      </w:r>
      <w:r w:rsidR="00961064">
        <w:t>10</w:t>
      </w:r>
      <w:r w:rsidR="00430F85">
        <w:t xml:space="preserve"> and </w:t>
      </w:r>
      <w:r w:rsidR="00FC3C1B">
        <w:t xml:space="preserve">Figure </w:t>
      </w:r>
      <w:r w:rsidR="00961064">
        <w:t>2.</w:t>
      </w:r>
    </w:p>
    <w:p w:rsidR="00952B26" w:rsidRPr="00F55E1C" w:rsidRDefault="00952B26" w:rsidP="00D309A1">
      <w:pPr>
        <w:keepNext/>
        <w:widowControl/>
        <w:rPr>
          <w:rFonts w:ascii="Arial Narrow" w:hAnsi="Arial Narrow"/>
          <w:b/>
          <w:bCs/>
          <w:iCs/>
          <w:sz w:val="20"/>
          <w:szCs w:val="18"/>
        </w:rPr>
      </w:pPr>
      <w:r w:rsidRPr="00F55E1C">
        <w:rPr>
          <w:rFonts w:ascii="Arial Narrow" w:hAnsi="Arial Narrow"/>
          <w:b/>
          <w:bCs/>
          <w:iCs/>
          <w:sz w:val="20"/>
          <w:szCs w:val="18"/>
        </w:rPr>
        <w:lastRenderedPageBreak/>
        <w:t>Table</w:t>
      </w:r>
      <w:r w:rsidR="00E72E9C" w:rsidRPr="00F55E1C">
        <w:rPr>
          <w:rFonts w:ascii="Arial Narrow" w:hAnsi="Arial Narrow"/>
          <w:b/>
          <w:bCs/>
          <w:iCs/>
          <w:sz w:val="20"/>
          <w:szCs w:val="18"/>
        </w:rPr>
        <w:t xml:space="preserve"> </w:t>
      </w:r>
      <w:r w:rsidR="00BE7D28">
        <w:rPr>
          <w:rFonts w:ascii="Arial Narrow" w:hAnsi="Arial Narrow"/>
          <w:b/>
          <w:bCs/>
          <w:iCs/>
          <w:sz w:val="20"/>
          <w:szCs w:val="18"/>
        </w:rPr>
        <w:t>1</w:t>
      </w:r>
      <w:r w:rsidR="00961064">
        <w:rPr>
          <w:rFonts w:ascii="Arial Narrow" w:hAnsi="Arial Narrow"/>
          <w:b/>
          <w:bCs/>
          <w:iCs/>
          <w:sz w:val="20"/>
          <w:szCs w:val="18"/>
        </w:rPr>
        <w:t>0</w:t>
      </w:r>
      <w:r w:rsidRPr="00F55E1C">
        <w:rPr>
          <w:rFonts w:ascii="Arial Narrow" w:hAnsi="Arial Narrow"/>
          <w:b/>
          <w:bCs/>
          <w:iCs/>
          <w:sz w:val="20"/>
          <w:szCs w:val="18"/>
        </w:rPr>
        <w:t>: Comparison of health state distribution in trial data and predicted in the model (base case)</w:t>
      </w:r>
    </w:p>
    <w:tbl>
      <w:tblPr>
        <w:tblStyle w:val="TableGrid"/>
        <w:tblW w:w="0" w:type="auto"/>
        <w:tblCellMar>
          <w:left w:w="28" w:type="dxa"/>
          <w:right w:w="28" w:type="dxa"/>
        </w:tblCellMar>
        <w:tblLook w:val="04A0" w:firstRow="1" w:lastRow="0" w:firstColumn="1" w:lastColumn="0" w:noHBand="0" w:noVBand="1"/>
        <w:tblCaption w:val="Comparison of health state distribution in trial data and predicted in the model (base case)"/>
      </w:tblPr>
      <w:tblGrid>
        <w:gridCol w:w="1446"/>
        <w:gridCol w:w="850"/>
        <w:gridCol w:w="851"/>
        <w:gridCol w:w="850"/>
        <w:gridCol w:w="851"/>
        <w:gridCol w:w="850"/>
        <w:gridCol w:w="851"/>
        <w:gridCol w:w="850"/>
        <w:gridCol w:w="851"/>
        <w:gridCol w:w="767"/>
      </w:tblGrid>
      <w:tr w:rsidR="00952B26" w:rsidRPr="00F55E1C" w:rsidTr="007C62FB">
        <w:trPr>
          <w:cantSplit/>
          <w:tblHeader/>
        </w:trPr>
        <w:tc>
          <w:tcPr>
            <w:tcW w:w="1446" w:type="dxa"/>
            <w:vAlign w:val="center"/>
          </w:tcPr>
          <w:p w:rsidR="00952B26" w:rsidRPr="00F55E1C" w:rsidRDefault="00952B26" w:rsidP="00D309A1">
            <w:pPr>
              <w:keepNext/>
              <w:widowControl/>
              <w:jc w:val="left"/>
              <w:rPr>
                <w:rFonts w:ascii="Arial Narrow" w:hAnsi="Arial Narrow"/>
                <w:iCs/>
                <w:sz w:val="20"/>
                <w:szCs w:val="20"/>
              </w:rPr>
            </w:pPr>
          </w:p>
        </w:tc>
        <w:tc>
          <w:tcPr>
            <w:tcW w:w="2551" w:type="dxa"/>
            <w:gridSpan w:val="3"/>
            <w:vAlign w:val="center"/>
          </w:tcPr>
          <w:p w:rsidR="00952B26" w:rsidRPr="00F55E1C" w:rsidRDefault="00952B26" w:rsidP="00D309A1">
            <w:pPr>
              <w:keepNext/>
              <w:widowControl/>
              <w:jc w:val="center"/>
              <w:rPr>
                <w:rFonts w:ascii="Arial Narrow" w:hAnsi="Arial Narrow"/>
                <w:iCs/>
                <w:sz w:val="20"/>
                <w:szCs w:val="20"/>
              </w:rPr>
            </w:pPr>
            <w:r w:rsidRPr="00F55E1C">
              <w:rPr>
                <w:rFonts w:ascii="Arial Narrow" w:hAnsi="Arial Narrow"/>
                <w:iCs/>
                <w:sz w:val="20"/>
                <w:szCs w:val="20"/>
              </w:rPr>
              <w:t>HS1</w:t>
            </w:r>
          </w:p>
        </w:tc>
        <w:tc>
          <w:tcPr>
            <w:tcW w:w="2552" w:type="dxa"/>
            <w:gridSpan w:val="3"/>
            <w:vAlign w:val="center"/>
          </w:tcPr>
          <w:p w:rsidR="00952B26" w:rsidRPr="00F55E1C" w:rsidRDefault="00952B26" w:rsidP="00D309A1">
            <w:pPr>
              <w:keepNext/>
              <w:widowControl/>
              <w:jc w:val="center"/>
              <w:rPr>
                <w:rFonts w:ascii="Arial Narrow" w:hAnsi="Arial Narrow"/>
                <w:iCs/>
                <w:sz w:val="20"/>
                <w:szCs w:val="20"/>
              </w:rPr>
            </w:pPr>
            <w:r w:rsidRPr="00F55E1C">
              <w:rPr>
                <w:rFonts w:ascii="Arial Narrow" w:hAnsi="Arial Narrow"/>
                <w:iCs/>
                <w:sz w:val="20"/>
                <w:szCs w:val="20"/>
              </w:rPr>
              <w:t>HS2</w:t>
            </w:r>
          </w:p>
        </w:tc>
        <w:tc>
          <w:tcPr>
            <w:tcW w:w="2468" w:type="dxa"/>
            <w:gridSpan w:val="3"/>
            <w:vAlign w:val="center"/>
          </w:tcPr>
          <w:p w:rsidR="00952B26" w:rsidRPr="00F55E1C" w:rsidRDefault="00952B26" w:rsidP="00D309A1">
            <w:pPr>
              <w:keepNext/>
              <w:widowControl/>
              <w:jc w:val="center"/>
              <w:rPr>
                <w:rFonts w:ascii="Arial Narrow" w:hAnsi="Arial Narrow"/>
                <w:iCs/>
                <w:sz w:val="20"/>
                <w:szCs w:val="20"/>
              </w:rPr>
            </w:pPr>
            <w:r w:rsidRPr="00F55E1C">
              <w:rPr>
                <w:rFonts w:ascii="Arial Narrow" w:hAnsi="Arial Narrow"/>
                <w:iCs/>
                <w:sz w:val="20"/>
                <w:szCs w:val="20"/>
              </w:rPr>
              <w:t>HS3</w:t>
            </w:r>
          </w:p>
        </w:tc>
      </w:tr>
      <w:tr w:rsidR="00952B26" w:rsidRPr="00F55E1C" w:rsidTr="0062749A">
        <w:tc>
          <w:tcPr>
            <w:tcW w:w="1446" w:type="dxa"/>
            <w:vAlign w:val="center"/>
          </w:tcPr>
          <w:p w:rsidR="00952B26" w:rsidRPr="00F55E1C" w:rsidRDefault="00952B26" w:rsidP="00D309A1">
            <w:pPr>
              <w:keepNext/>
              <w:widowControl/>
              <w:jc w:val="left"/>
              <w:rPr>
                <w:rFonts w:ascii="Arial Narrow" w:hAnsi="Arial Narrow"/>
                <w:iCs/>
                <w:sz w:val="20"/>
                <w:szCs w:val="20"/>
              </w:rPr>
            </w:pPr>
            <w:r w:rsidRPr="00F55E1C">
              <w:rPr>
                <w:rFonts w:ascii="Arial Narrow" w:hAnsi="Arial Narrow"/>
                <w:iCs/>
                <w:sz w:val="20"/>
                <w:szCs w:val="20"/>
              </w:rPr>
              <w:t>Day</w:t>
            </w:r>
          </w:p>
        </w:tc>
        <w:tc>
          <w:tcPr>
            <w:tcW w:w="850" w:type="dxa"/>
            <w:vAlign w:val="center"/>
          </w:tcPr>
          <w:p w:rsidR="00952B26" w:rsidRPr="00F55E1C" w:rsidRDefault="00952B26" w:rsidP="00D309A1">
            <w:pPr>
              <w:keepNext/>
              <w:widowControl/>
              <w:jc w:val="center"/>
              <w:rPr>
                <w:rFonts w:ascii="Arial Narrow" w:hAnsi="Arial Narrow"/>
                <w:iCs/>
                <w:sz w:val="20"/>
                <w:szCs w:val="20"/>
              </w:rPr>
            </w:pPr>
            <w:r w:rsidRPr="00F55E1C">
              <w:rPr>
                <w:rFonts w:ascii="Arial Narrow" w:hAnsi="Arial Narrow"/>
                <w:iCs/>
                <w:sz w:val="20"/>
                <w:szCs w:val="20"/>
              </w:rPr>
              <w:t>Model</w:t>
            </w:r>
          </w:p>
        </w:tc>
        <w:tc>
          <w:tcPr>
            <w:tcW w:w="851" w:type="dxa"/>
            <w:vAlign w:val="center"/>
          </w:tcPr>
          <w:p w:rsidR="00952B26" w:rsidRPr="00F55E1C" w:rsidRDefault="00952B26" w:rsidP="00D309A1">
            <w:pPr>
              <w:keepNext/>
              <w:widowControl/>
              <w:jc w:val="center"/>
              <w:rPr>
                <w:rFonts w:ascii="Arial Narrow" w:hAnsi="Arial Narrow"/>
                <w:iCs/>
                <w:sz w:val="20"/>
                <w:szCs w:val="20"/>
              </w:rPr>
            </w:pPr>
            <w:r w:rsidRPr="00F55E1C">
              <w:rPr>
                <w:rFonts w:ascii="Arial Narrow" w:hAnsi="Arial Narrow"/>
                <w:iCs/>
                <w:sz w:val="20"/>
                <w:szCs w:val="20"/>
              </w:rPr>
              <w:t>Trial</w:t>
            </w:r>
          </w:p>
        </w:tc>
        <w:tc>
          <w:tcPr>
            <w:tcW w:w="850" w:type="dxa"/>
            <w:vAlign w:val="center"/>
          </w:tcPr>
          <w:p w:rsidR="00952B26" w:rsidRPr="00F55E1C" w:rsidRDefault="00952B26" w:rsidP="00D309A1">
            <w:pPr>
              <w:keepNext/>
              <w:widowControl/>
              <w:jc w:val="center"/>
              <w:rPr>
                <w:rFonts w:ascii="Arial Narrow" w:hAnsi="Arial Narrow"/>
                <w:iCs/>
                <w:sz w:val="20"/>
                <w:szCs w:val="20"/>
              </w:rPr>
            </w:pPr>
            <w:r w:rsidRPr="00F55E1C">
              <w:rPr>
                <w:rFonts w:ascii="Arial Narrow" w:hAnsi="Arial Narrow"/>
                <w:iCs/>
                <w:sz w:val="20"/>
                <w:szCs w:val="20"/>
              </w:rPr>
              <w:t>Diff</w:t>
            </w:r>
          </w:p>
        </w:tc>
        <w:tc>
          <w:tcPr>
            <w:tcW w:w="851" w:type="dxa"/>
            <w:vAlign w:val="center"/>
          </w:tcPr>
          <w:p w:rsidR="00952B26" w:rsidRPr="00F55E1C" w:rsidRDefault="00952B26" w:rsidP="00D309A1">
            <w:pPr>
              <w:keepNext/>
              <w:widowControl/>
              <w:jc w:val="center"/>
              <w:rPr>
                <w:rFonts w:ascii="Arial Narrow" w:hAnsi="Arial Narrow"/>
                <w:iCs/>
                <w:sz w:val="20"/>
                <w:szCs w:val="20"/>
              </w:rPr>
            </w:pPr>
            <w:r w:rsidRPr="00F55E1C">
              <w:rPr>
                <w:rFonts w:ascii="Arial Narrow" w:hAnsi="Arial Narrow"/>
                <w:iCs/>
                <w:sz w:val="20"/>
                <w:szCs w:val="20"/>
              </w:rPr>
              <w:t>Model</w:t>
            </w:r>
          </w:p>
        </w:tc>
        <w:tc>
          <w:tcPr>
            <w:tcW w:w="850" w:type="dxa"/>
            <w:vAlign w:val="center"/>
          </w:tcPr>
          <w:p w:rsidR="00952B26" w:rsidRPr="00F55E1C" w:rsidRDefault="00952B26" w:rsidP="00D309A1">
            <w:pPr>
              <w:keepNext/>
              <w:widowControl/>
              <w:jc w:val="center"/>
              <w:rPr>
                <w:rFonts w:ascii="Arial Narrow" w:hAnsi="Arial Narrow"/>
                <w:iCs/>
                <w:sz w:val="20"/>
                <w:szCs w:val="20"/>
              </w:rPr>
            </w:pPr>
            <w:r w:rsidRPr="00F55E1C">
              <w:rPr>
                <w:rFonts w:ascii="Arial Narrow" w:hAnsi="Arial Narrow"/>
                <w:iCs/>
                <w:sz w:val="20"/>
                <w:szCs w:val="20"/>
              </w:rPr>
              <w:t>Trial</w:t>
            </w:r>
          </w:p>
        </w:tc>
        <w:tc>
          <w:tcPr>
            <w:tcW w:w="851" w:type="dxa"/>
            <w:vAlign w:val="center"/>
          </w:tcPr>
          <w:p w:rsidR="00952B26" w:rsidRPr="00F55E1C" w:rsidRDefault="00952B26" w:rsidP="00D309A1">
            <w:pPr>
              <w:keepNext/>
              <w:widowControl/>
              <w:jc w:val="center"/>
              <w:rPr>
                <w:rFonts w:ascii="Arial Narrow" w:hAnsi="Arial Narrow"/>
                <w:iCs/>
                <w:sz w:val="20"/>
                <w:szCs w:val="20"/>
              </w:rPr>
            </w:pPr>
            <w:r w:rsidRPr="00F55E1C">
              <w:rPr>
                <w:rFonts w:ascii="Arial Narrow" w:hAnsi="Arial Narrow"/>
                <w:iCs/>
                <w:sz w:val="20"/>
                <w:szCs w:val="20"/>
              </w:rPr>
              <w:t>Diff</w:t>
            </w:r>
          </w:p>
        </w:tc>
        <w:tc>
          <w:tcPr>
            <w:tcW w:w="850" w:type="dxa"/>
            <w:vAlign w:val="center"/>
          </w:tcPr>
          <w:p w:rsidR="00952B26" w:rsidRPr="00F55E1C" w:rsidRDefault="00952B26" w:rsidP="00D309A1">
            <w:pPr>
              <w:keepNext/>
              <w:widowControl/>
              <w:jc w:val="center"/>
              <w:rPr>
                <w:rFonts w:ascii="Arial Narrow" w:hAnsi="Arial Narrow"/>
                <w:iCs/>
                <w:sz w:val="20"/>
                <w:szCs w:val="20"/>
              </w:rPr>
            </w:pPr>
            <w:r w:rsidRPr="00F55E1C">
              <w:rPr>
                <w:rFonts w:ascii="Arial Narrow" w:hAnsi="Arial Narrow"/>
                <w:iCs/>
                <w:sz w:val="20"/>
                <w:szCs w:val="20"/>
              </w:rPr>
              <w:t>Model</w:t>
            </w:r>
          </w:p>
        </w:tc>
        <w:tc>
          <w:tcPr>
            <w:tcW w:w="851" w:type="dxa"/>
            <w:vAlign w:val="center"/>
          </w:tcPr>
          <w:p w:rsidR="00952B26" w:rsidRPr="00F55E1C" w:rsidRDefault="00952B26" w:rsidP="00D309A1">
            <w:pPr>
              <w:keepNext/>
              <w:widowControl/>
              <w:jc w:val="center"/>
              <w:rPr>
                <w:rFonts w:ascii="Arial Narrow" w:hAnsi="Arial Narrow"/>
                <w:iCs/>
                <w:sz w:val="20"/>
                <w:szCs w:val="20"/>
              </w:rPr>
            </w:pPr>
            <w:r w:rsidRPr="00F55E1C">
              <w:rPr>
                <w:rFonts w:ascii="Arial Narrow" w:hAnsi="Arial Narrow"/>
                <w:iCs/>
                <w:sz w:val="20"/>
                <w:szCs w:val="20"/>
              </w:rPr>
              <w:t>Trial</w:t>
            </w:r>
          </w:p>
        </w:tc>
        <w:tc>
          <w:tcPr>
            <w:tcW w:w="767" w:type="dxa"/>
            <w:vAlign w:val="center"/>
          </w:tcPr>
          <w:p w:rsidR="00952B26" w:rsidRPr="00F55E1C" w:rsidRDefault="00952B26" w:rsidP="00D309A1">
            <w:pPr>
              <w:keepNext/>
              <w:widowControl/>
              <w:jc w:val="center"/>
              <w:rPr>
                <w:rFonts w:ascii="Arial Narrow" w:hAnsi="Arial Narrow"/>
                <w:iCs/>
                <w:sz w:val="20"/>
                <w:szCs w:val="20"/>
              </w:rPr>
            </w:pPr>
            <w:r w:rsidRPr="00F55E1C">
              <w:rPr>
                <w:rFonts w:ascii="Arial Narrow" w:hAnsi="Arial Narrow"/>
                <w:iCs/>
                <w:sz w:val="20"/>
                <w:szCs w:val="20"/>
              </w:rPr>
              <w:t>Diff</w:t>
            </w:r>
          </w:p>
        </w:tc>
      </w:tr>
      <w:tr w:rsidR="00952B26" w:rsidRPr="00F55E1C" w:rsidTr="00952B26">
        <w:tc>
          <w:tcPr>
            <w:tcW w:w="9017" w:type="dxa"/>
            <w:gridSpan w:val="10"/>
            <w:vAlign w:val="center"/>
          </w:tcPr>
          <w:p w:rsidR="00952B26" w:rsidRPr="00F55E1C" w:rsidRDefault="00952B26" w:rsidP="00D309A1">
            <w:pPr>
              <w:keepNext/>
              <w:widowControl/>
              <w:jc w:val="left"/>
              <w:rPr>
                <w:rFonts w:ascii="Arial Narrow" w:hAnsi="Arial Narrow"/>
                <w:b/>
                <w:bCs/>
                <w:iCs/>
                <w:sz w:val="20"/>
                <w:szCs w:val="20"/>
              </w:rPr>
            </w:pPr>
            <w:r w:rsidRPr="00F55E1C">
              <w:rPr>
                <w:rFonts w:ascii="Arial Narrow" w:hAnsi="Arial Narrow"/>
                <w:b/>
                <w:bCs/>
                <w:iCs/>
                <w:sz w:val="20"/>
                <w:szCs w:val="20"/>
              </w:rPr>
              <w:t>Placebo</w:t>
            </w:r>
          </w:p>
        </w:tc>
      </w:tr>
      <w:tr w:rsidR="00952B26" w:rsidRPr="00F55E1C" w:rsidTr="0062749A">
        <w:tc>
          <w:tcPr>
            <w:tcW w:w="1446" w:type="dxa"/>
            <w:vAlign w:val="center"/>
          </w:tcPr>
          <w:p w:rsidR="00952B26" w:rsidRPr="00F55E1C" w:rsidRDefault="00952B26" w:rsidP="00D309A1">
            <w:pPr>
              <w:keepNext/>
              <w:widowControl/>
              <w:jc w:val="left"/>
              <w:rPr>
                <w:rFonts w:ascii="Arial Narrow" w:hAnsi="Arial Narrow"/>
                <w:iCs/>
                <w:sz w:val="20"/>
                <w:szCs w:val="20"/>
              </w:rPr>
            </w:pPr>
            <w:r w:rsidRPr="00F55E1C">
              <w:rPr>
                <w:rFonts w:ascii="Arial Narrow" w:hAnsi="Arial Narrow"/>
                <w:iCs/>
                <w:sz w:val="20"/>
                <w:szCs w:val="20"/>
              </w:rPr>
              <w:t>0</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767"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r>
      <w:tr w:rsidR="00952B26" w:rsidRPr="00F55E1C" w:rsidTr="0062749A">
        <w:tc>
          <w:tcPr>
            <w:tcW w:w="1446" w:type="dxa"/>
            <w:vAlign w:val="center"/>
          </w:tcPr>
          <w:p w:rsidR="00952B26" w:rsidRPr="00F55E1C" w:rsidRDefault="00952B26" w:rsidP="00D309A1">
            <w:pPr>
              <w:keepNext/>
              <w:widowControl/>
              <w:jc w:val="left"/>
              <w:rPr>
                <w:rFonts w:ascii="Arial Narrow" w:hAnsi="Arial Narrow"/>
                <w:iCs/>
                <w:sz w:val="20"/>
                <w:szCs w:val="20"/>
              </w:rPr>
            </w:pPr>
            <w:r w:rsidRPr="00F55E1C">
              <w:rPr>
                <w:rFonts w:ascii="Arial Narrow" w:hAnsi="Arial Narrow"/>
                <w:iCs/>
                <w:sz w:val="20"/>
                <w:szCs w:val="20"/>
              </w:rPr>
              <w:t>28</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767"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r>
      <w:tr w:rsidR="00952B26" w:rsidRPr="00F55E1C" w:rsidTr="0062749A">
        <w:tc>
          <w:tcPr>
            <w:tcW w:w="1446" w:type="dxa"/>
            <w:vAlign w:val="center"/>
          </w:tcPr>
          <w:p w:rsidR="00952B26" w:rsidRPr="00F55E1C" w:rsidRDefault="00952B26" w:rsidP="00D309A1">
            <w:pPr>
              <w:keepNext/>
              <w:widowControl/>
              <w:jc w:val="left"/>
              <w:rPr>
                <w:rFonts w:ascii="Arial Narrow" w:hAnsi="Arial Narrow"/>
                <w:iCs/>
                <w:sz w:val="20"/>
                <w:szCs w:val="20"/>
              </w:rPr>
            </w:pPr>
            <w:r w:rsidRPr="00F55E1C">
              <w:rPr>
                <w:rFonts w:ascii="Arial Narrow" w:hAnsi="Arial Narrow"/>
                <w:iCs/>
                <w:sz w:val="20"/>
                <w:szCs w:val="20"/>
              </w:rPr>
              <w:t>56</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767"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r>
      <w:tr w:rsidR="00952B26" w:rsidRPr="00F55E1C" w:rsidTr="0062749A">
        <w:tc>
          <w:tcPr>
            <w:tcW w:w="1446" w:type="dxa"/>
            <w:vAlign w:val="center"/>
          </w:tcPr>
          <w:p w:rsidR="00952B26" w:rsidRPr="00F55E1C" w:rsidRDefault="00952B26" w:rsidP="00D309A1">
            <w:pPr>
              <w:keepNext/>
              <w:widowControl/>
              <w:jc w:val="left"/>
              <w:rPr>
                <w:rFonts w:ascii="Arial Narrow" w:hAnsi="Arial Narrow"/>
                <w:iCs/>
                <w:sz w:val="20"/>
                <w:szCs w:val="20"/>
              </w:rPr>
            </w:pPr>
            <w:r w:rsidRPr="00F55E1C">
              <w:rPr>
                <w:rFonts w:ascii="Arial Narrow" w:hAnsi="Arial Narrow"/>
                <w:iCs/>
                <w:sz w:val="20"/>
                <w:szCs w:val="20"/>
              </w:rPr>
              <w:t>84</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767"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r>
      <w:tr w:rsidR="00952B26" w:rsidRPr="00F55E1C" w:rsidTr="0062749A">
        <w:tc>
          <w:tcPr>
            <w:tcW w:w="1446" w:type="dxa"/>
            <w:vAlign w:val="center"/>
          </w:tcPr>
          <w:p w:rsidR="00952B26" w:rsidRPr="00F55E1C" w:rsidRDefault="00952B26" w:rsidP="00D309A1">
            <w:pPr>
              <w:keepNext/>
              <w:widowControl/>
              <w:jc w:val="left"/>
              <w:rPr>
                <w:rFonts w:ascii="Arial Narrow" w:hAnsi="Arial Narrow"/>
                <w:iCs/>
                <w:sz w:val="20"/>
                <w:szCs w:val="20"/>
              </w:rPr>
            </w:pPr>
            <w:r w:rsidRPr="00F55E1C">
              <w:rPr>
                <w:rFonts w:ascii="Arial Narrow" w:hAnsi="Arial Narrow"/>
                <w:iCs/>
                <w:sz w:val="20"/>
                <w:szCs w:val="20"/>
              </w:rPr>
              <w:t>112</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767"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r>
      <w:tr w:rsidR="00952B26" w:rsidRPr="00F55E1C" w:rsidTr="0062749A">
        <w:tc>
          <w:tcPr>
            <w:tcW w:w="1446" w:type="dxa"/>
            <w:vAlign w:val="center"/>
          </w:tcPr>
          <w:p w:rsidR="00952B26" w:rsidRPr="00F55E1C" w:rsidRDefault="00952B26" w:rsidP="00D309A1">
            <w:pPr>
              <w:keepNext/>
              <w:widowControl/>
              <w:jc w:val="left"/>
              <w:rPr>
                <w:rFonts w:ascii="Arial Narrow" w:hAnsi="Arial Narrow"/>
                <w:iCs/>
                <w:sz w:val="20"/>
                <w:szCs w:val="20"/>
              </w:rPr>
            </w:pPr>
            <w:r w:rsidRPr="00F55E1C">
              <w:rPr>
                <w:rFonts w:ascii="Arial Narrow" w:hAnsi="Arial Narrow"/>
                <w:iCs/>
                <w:sz w:val="20"/>
                <w:szCs w:val="20"/>
              </w:rPr>
              <w:t>140</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767"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r>
      <w:tr w:rsidR="00952B26" w:rsidRPr="00F55E1C" w:rsidTr="0062749A">
        <w:tc>
          <w:tcPr>
            <w:tcW w:w="1446" w:type="dxa"/>
            <w:vAlign w:val="center"/>
          </w:tcPr>
          <w:p w:rsidR="00952B26" w:rsidRPr="00F55E1C" w:rsidRDefault="00952B26" w:rsidP="00D309A1">
            <w:pPr>
              <w:keepNext/>
              <w:widowControl/>
              <w:jc w:val="left"/>
              <w:rPr>
                <w:rFonts w:ascii="Arial Narrow" w:hAnsi="Arial Narrow"/>
                <w:iCs/>
                <w:sz w:val="20"/>
                <w:szCs w:val="20"/>
              </w:rPr>
            </w:pPr>
            <w:r w:rsidRPr="00F55E1C">
              <w:rPr>
                <w:rFonts w:ascii="Arial Narrow" w:hAnsi="Arial Narrow"/>
                <w:iCs/>
                <w:sz w:val="20"/>
                <w:szCs w:val="20"/>
              </w:rPr>
              <w:t>168</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767"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r>
      <w:tr w:rsidR="00952B26" w:rsidRPr="00F55E1C" w:rsidTr="00952B26">
        <w:tc>
          <w:tcPr>
            <w:tcW w:w="9017" w:type="dxa"/>
            <w:gridSpan w:val="10"/>
            <w:vAlign w:val="center"/>
          </w:tcPr>
          <w:p w:rsidR="00952B26" w:rsidRPr="00F55E1C" w:rsidRDefault="00952B26" w:rsidP="00D309A1">
            <w:pPr>
              <w:keepNext/>
              <w:widowControl/>
              <w:jc w:val="left"/>
              <w:rPr>
                <w:rFonts w:ascii="Arial Narrow" w:hAnsi="Arial Narrow"/>
                <w:b/>
                <w:bCs/>
                <w:iCs/>
                <w:sz w:val="20"/>
                <w:szCs w:val="20"/>
              </w:rPr>
            </w:pPr>
            <w:r w:rsidRPr="00F55E1C">
              <w:rPr>
                <w:rFonts w:ascii="Arial Narrow" w:hAnsi="Arial Narrow"/>
                <w:b/>
                <w:bCs/>
                <w:iCs/>
                <w:sz w:val="20"/>
                <w:szCs w:val="20"/>
              </w:rPr>
              <w:t>Dysport</w:t>
            </w:r>
          </w:p>
        </w:tc>
      </w:tr>
      <w:tr w:rsidR="00952B26" w:rsidRPr="00F55E1C" w:rsidTr="0062749A">
        <w:tc>
          <w:tcPr>
            <w:tcW w:w="1446" w:type="dxa"/>
            <w:vAlign w:val="center"/>
          </w:tcPr>
          <w:p w:rsidR="00952B26" w:rsidRDefault="00952B26" w:rsidP="00D309A1">
            <w:pPr>
              <w:keepNext/>
              <w:widowControl/>
              <w:jc w:val="left"/>
              <w:rPr>
                <w:rFonts w:ascii="Arial Narrow" w:hAnsi="Arial Narrow"/>
                <w:iCs/>
                <w:sz w:val="20"/>
                <w:szCs w:val="20"/>
              </w:rPr>
            </w:pPr>
            <w:r w:rsidRPr="00F55E1C">
              <w:rPr>
                <w:rFonts w:ascii="Arial Narrow" w:hAnsi="Arial Narrow"/>
                <w:iCs/>
                <w:sz w:val="20"/>
                <w:szCs w:val="20"/>
              </w:rPr>
              <w:t>0</w:t>
            </w:r>
            <w:r w:rsidR="0062749A">
              <w:rPr>
                <w:rFonts w:ascii="Arial Narrow" w:hAnsi="Arial Narrow"/>
                <w:iCs/>
                <w:sz w:val="20"/>
                <w:szCs w:val="20"/>
              </w:rPr>
              <w:t>: submission</w:t>
            </w:r>
          </w:p>
          <w:p w:rsidR="0062749A" w:rsidRPr="00F55E1C" w:rsidRDefault="0062749A" w:rsidP="00D309A1">
            <w:pPr>
              <w:keepNext/>
              <w:widowControl/>
              <w:jc w:val="left"/>
              <w:rPr>
                <w:rFonts w:ascii="Arial Narrow" w:hAnsi="Arial Narrow"/>
                <w:iCs/>
                <w:sz w:val="20"/>
                <w:szCs w:val="20"/>
              </w:rPr>
            </w:pPr>
            <w:r>
              <w:rPr>
                <w:rFonts w:ascii="Arial Narrow" w:hAnsi="Arial Narrow"/>
                <w:iCs/>
                <w:sz w:val="20"/>
                <w:szCs w:val="20"/>
              </w:rPr>
              <w:t xml:space="preserve">    Pre-PBAC</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 ''''''''''''''</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767"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r>
      <w:tr w:rsidR="00952B26" w:rsidRPr="00F55E1C" w:rsidTr="0062749A">
        <w:tc>
          <w:tcPr>
            <w:tcW w:w="1446" w:type="dxa"/>
            <w:vAlign w:val="center"/>
          </w:tcPr>
          <w:p w:rsidR="00952B26" w:rsidRDefault="00952B26" w:rsidP="00D309A1">
            <w:pPr>
              <w:keepNext/>
              <w:widowControl/>
              <w:jc w:val="left"/>
              <w:rPr>
                <w:rFonts w:ascii="Arial Narrow" w:hAnsi="Arial Narrow"/>
                <w:iCs/>
                <w:sz w:val="20"/>
                <w:szCs w:val="20"/>
              </w:rPr>
            </w:pPr>
            <w:r w:rsidRPr="00F55E1C">
              <w:rPr>
                <w:rFonts w:ascii="Arial Narrow" w:hAnsi="Arial Narrow"/>
                <w:iCs/>
                <w:sz w:val="20"/>
                <w:szCs w:val="20"/>
              </w:rPr>
              <w:t>28</w:t>
            </w:r>
            <w:r w:rsidR="0062749A">
              <w:rPr>
                <w:rFonts w:ascii="Arial Narrow" w:hAnsi="Arial Narrow"/>
                <w:iCs/>
                <w:sz w:val="20"/>
                <w:szCs w:val="20"/>
              </w:rPr>
              <w:t>: submission</w:t>
            </w:r>
          </w:p>
          <w:p w:rsidR="0062749A" w:rsidRPr="00F55E1C" w:rsidRDefault="0062749A" w:rsidP="00D309A1">
            <w:pPr>
              <w:keepNext/>
              <w:widowControl/>
              <w:jc w:val="left"/>
              <w:rPr>
                <w:rFonts w:ascii="Arial Narrow" w:hAnsi="Arial Narrow"/>
                <w:iCs/>
                <w:sz w:val="20"/>
                <w:szCs w:val="20"/>
              </w:rPr>
            </w:pPr>
            <w:r>
              <w:rPr>
                <w:rFonts w:ascii="Arial Narrow" w:hAnsi="Arial Narrow"/>
                <w:iCs/>
                <w:sz w:val="20"/>
                <w:szCs w:val="20"/>
              </w:rPr>
              <w:t xml:space="preserve">      Pre-PBAC</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 '''''''''''''''</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767"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r>
      <w:tr w:rsidR="00952B26" w:rsidRPr="00F55E1C" w:rsidTr="0062749A">
        <w:tc>
          <w:tcPr>
            <w:tcW w:w="1446" w:type="dxa"/>
            <w:vAlign w:val="center"/>
          </w:tcPr>
          <w:p w:rsidR="00952B26" w:rsidRDefault="00952B26" w:rsidP="00D309A1">
            <w:pPr>
              <w:keepNext/>
              <w:widowControl/>
              <w:jc w:val="left"/>
              <w:rPr>
                <w:rFonts w:ascii="Arial Narrow" w:hAnsi="Arial Narrow"/>
                <w:iCs/>
                <w:sz w:val="20"/>
                <w:szCs w:val="20"/>
              </w:rPr>
            </w:pPr>
            <w:r w:rsidRPr="00F55E1C">
              <w:rPr>
                <w:rFonts w:ascii="Arial Narrow" w:hAnsi="Arial Narrow"/>
                <w:iCs/>
                <w:sz w:val="20"/>
                <w:szCs w:val="20"/>
              </w:rPr>
              <w:t>56</w:t>
            </w:r>
            <w:r w:rsidR="0062749A">
              <w:rPr>
                <w:rFonts w:ascii="Arial Narrow" w:hAnsi="Arial Narrow"/>
                <w:iCs/>
                <w:sz w:val="20"/>
                <w:szCs w:val="20"/>
              </w:rPr>
              <w:t>: submission</w:t>
            </w:r>
          </w:p>
          <w:p w:rsidR="0062749A" w:rsidRPr="00F55E1C" w:rsidRDefault="0062749A" w:rsidP="00D309A1">
            <w:pPr>
              <w:keepNext/>
              <w:widowControl/>
              <w:jc w:val="left"/>
              <w:rPr>
                <w:rFonts w:ascii="Arial Narrow" w:hAnsi="Arial Narrow"/>
                <w:iCs/>
                <w:sz w:val="20"/>
                <w:szCs w:val="20"/>
              </w:rPr>
            </w:pPr>
            <w:r>
              <w:rPr>
                <w:rFonts w:ascii="Arial Narrow" w:hAnsi="Arial Narrow"/>
                <w:iCs/>
                <w:sz w:val="20"/>
                <w:szCs w:val="20"/>
              </w:rPr>
              <w:t xml:space="preserve">      Pre-PBAC</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767"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r>
      <w:tr w:rsidR="00952B26" w:rsidRPr="00F55E1C" w:rsidTr="0062749A">
        <w:tc>
          <w:tcPr>
            <w:tcW w:w="1446" w:type="dxa"/>
            <w:vAlign w:val="center"/>
          </w:tcPr>
          <w:p w:rsidR="00952B26" w:rsidRDefault="00952B26" w:rsidP="00D309A1">
            <w:pPr>
              <w:keepNext/>
              <w:widowControl/>
              <w:jc w:val="left"/>
              <w:rPr>
                <w:rFonts w:ascii="Arial Narrow" w:hAnsi="Arial Narrow"/>
                <w:iCs/>
                <w:sz w:val="20"/>
                <w:szCs w:val="20"/>
              </w:rPr>
            </w:pPr>
            <w:r w:rsidRPr="00F55E1C">
              <w:rPr>
                <w:rFonts w:ascii="Arial Narrow" w:hAnsi="Arial Narrow"/>
                <w:iCs/>
                <w:sz w:val="20"/>
                <w:szCs w:val="20"/>
              </w:rPr>
              <w:t>84</w:t>
            </w:r>
            <w:r w:rsidR="0062749A">
              <w:rPr>
                <w:rFonts w:ascii="Arial Narrow" w:hAnsi="Arial Narrow"/>
                <w:iCs/>
                <w:sz w:val="20"/>
                <w:szCs w:val="20"/>
              </w:rPr>
              <w:t>: submission</w:t>
            </w:r>
          </w:p>
          <w:p w:rsidR="0062749A" w:rsidRPr="00F55E1C" w:rsidRDefault="0062749A" w:rsidP="00D309A1">
            <w:pPr>
              <w:keepNext/>
              <w:widowControl/>
              <w:jc w:val="left"/>
              <w:rPr>
                <w:rFonts w:ascii="Arial Narrow" w:hAnsi="Arial Narrow"/>
                <w:iCs/>
                <w:sz w:val="20"/>
                <w:szCs w:val="20"/>
              </w:rPr>
            </w:pPr>
            <w:r>
              <w:rPr>
                <w:rFonts w:ascii="Arial Narrow" w:hAnsi="Arial Narrow"/>
                <w:iCs/>
                <w:sz w:val="20"/>
                <w:szCs w:val="20"/>
              </w:rPr>
              <w:t xml:space="preserve">      Pre-PBAC</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767"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r>
      <w:tr w:rsidR="00952B26" w:rsidRPr="00F55E1C" w:rsidTr="0062749A">
        <w:tc>
          <w:tcPr>
            <w:tcW w:w="1446" w:type="dxa"/>
            <w:vAlign w:val="center"/>
          </w:tcPr>
          <w:p w:rsidR="00952B26" w:rsidRDefault="00952B26" w:rsidP="00D309A1">
            <w:pPr>
              <w:keepNext/>
              <w:widowControl/>
              <w:jc w:val="left"/>
              <w:rPr>
                <w:rFonts w:ascii="Arial Narrow" w:hAnsi="Arial Narrow"/>
                <w:iCs/>
                <w:sz w:val="20"/>
                <w:szCs w:val="20"/>
              </w:rPr>
            </w:pPr>
            <w:r w:rsidRPr="00F55E1C">
              <w:rPr>
                <w:rFonts w:ascii="Arial Narrow" w:hAnsi="Arial Narrow"/>
                <w:iCs/>
                <w:sz w:val="20"/>
                <w:szCs w:val="20"/>
              </w:rPr>
              <w:t>112</w:t>
            </w:r>
            <w:r w:rsidR="0062749A">
              <w:rPr>
                <w:rFonts w:ascii="Arial Narrow" w:hAnsi="Arial Narrow"/>
                <w:iCs/>
                <w:sz w:val="20"/>
                <w:szCs w:val="20"/>
              </w:rPr>
              <w:t>: submission</w:t>
            </w:r>
          </w:p>
          <w:p w:rsidR="0062749A" w:rsidRPr="00F55E1C" w:rsidRDefault="0062749A" w:rsidP="00D309A1">
            <w:pPr>
              <w:keepNext/>
              <w:widowControl/>
              <w:jc w:val="left"/>
              <w:rPr>
                <w:rFonts w:ascii="Arial Narrow" w:hAnsi="Arial Narrow"/>
                <w:iCs/>
                <w:sz w:val="20"/>
                <w:szCs w:val="20"/>
              </w:rPr>
            </w:pPr>
            <w:r>
              <w:rPr>
                <w:rFonts w:ascii="Arial Narrow" w:hAnsi="Arial Narrow"/>
                <w:iCs/>
                <w:sz w:val="20"/>
                <w:szCs w:val="20"/>
              </w:rPr>
              <w:t xml:space="preserve">        Pre-PBAC</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767"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r>
      <w:tr w:rsidR="00952B26" w:rsidRPr="00F55E1C" w:rsidTr="0062749A">
        <w:tc>
          <w:tcPr>
            <w:tcW w:w="1446" w:type="dxa"/>
            <w:vAlign w:val="center"/>
          </w:tcPr>
          <w:p w:rsidR="00952B26" w:rsidRDefault="00952B26" w:rsidP="00D309A1">
            <w:pPr>
              <w:keepNext/>
              <w:widowControl/>
              <w:jc w:val="left"/>
              <w:rPr>
                <w:rFonts w:ascii="Arial Narrow" w:hAnsi="Arial Narrow"/>
                <w:iCs/>
                <w:sz w:val="20"/>
                <w:szCs w:val="20"/>
              </w:rPr>
            </w:pPr>
            <w:r w:rsidRPr="00F55E1C">
              <w:rPr>
                <w:rFonts w:ascii="Arial Narrow" w:hAnsi="Arial Narrow"/>
                <w:iCs/>
                <w:sz w:val="20"/>
                <w:szCs w:val="20"/>
              </w:rPr>
              <w:t>140</w:t>
            </w:r>
            <w:r w:rsidR="0062749A">
              <w:rPr>
                <w:rFonts w:ascii="Arial Narrow" w:hAnsi="Arial Narrow"/>
                <w:iCs/>
                <w:sz w:val="20"/>
                <w:szCs w:val="20"/>
              </w:rPr>
              <w:t>: submission</w:t>
            </w:r>
          </w:p>
          <w:p w:rsidR="0062749A" w:rsidRPr="00F55E1C" w:rsidRDefault="0062749A" w:rsidP="00D309A1">
            <w:pPr>
              <w:keepNext/>
              <w:widowControl/>
              <w:jc w:val="left"/>
              <w:rPr>
                <w:rFonts w:ascii="Arial Narrow" w:hAnsi="Arial Narrow"/>
                <w:iCs/>
                <w:sz w:val="20"/>
                <w:szCs w:val="20"/>
              </w:rPr>
            </w:pPr>
            <w:r>
              <w:rPr>
                <w:rFonts w:ascii="Arial Narrow" w:hAnsi="Arial Narrow"/>
                <w:iCs/>
                <w:sz w:val="20"/>
                <w:szCs w:val="20"/>
              </w:rPr>
              <w:t xml:space="preserve">        Pre-PBAC</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767"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r>
      <w:tr w:rsidR="00952B26" w:rsidRPr="00F55E1C" w:rsidTr="0062749A">
        <w:tc>
          <w:tcPr>
            <w:tcW w:w="1446" w:type="dxa"/>
            <w:vAlign w:val="center"/>
          </w:tcPr>
          <w:p w:rsidR="00952B26" w:rsidRDefault="00952B26" w:rsidP="00D309A1">
            <w:pPr>
              <w:keepNext/>
              <w:widowControl/>
              <w:jc w:val="left"/>
              <w:rPr>
                <w:rFonts w:ascii="Arial Narrow" w:hAnsi="Arial Narrow"/>
                <w:iCs/>
                <w:sz w:val="20"/>
                <w:szCs w:val="20"/>
              </w:rPr>
            </w:pPr>
            <w:r w:rsidRPr="00F55E1C">
              <w:rPr>
                <w:rFonts w:ascii="Arial Narrow" w:hAnsi="Arial Narrow"/>
                <w:iCs/>
                <w:sz w:val="20"/>
                <w:szCs w:val="20"/>
              </w:rPr>
              <w:t>168</w:t>
            </w:r>
            <w:r w:rsidR="0062749A">
              <w:rPr>
                <w:rFonts w:ascii="Arial Narrow" w:hAnsi="Arial Narrow"/>
                <w:iCs/>
                <w:sz w:val="20"/>
                <w:szCs w:val="20"/>
              </w:rPr>
              <w:t>: submission</w:t>
            </w:r>
          </w:p>
          <w:p w:rsidR="0062749A" w:rsidRPr="00F55E1C" w:rsidRDefault="0062749A" w:rsidP="00D309A1">
            <w:pPr>
              <w:keepNext/>
              <w:widowControl/>
              <w:jc w:val="left"/>
              <w:rPr>
                <w:rFonts w:ascii="Arial Narrow" w:hAnsi="Arial Narrow"/>
                <w:iCs/>
                <w:sz w:val="20"/>
                <w:szCs w:val="20"/>
              </w:rPr>
            </w:pPr>
            <w:r>
              <w:rPr>
                <w:rFonts w:ascii="Arial Narrow" w:hAnsi="Arial Narrow"/>
                <w:iCs/>
                <w:sz w:val="20"/>
                <w:szCs w:val="20"/>
              </w:rPr>
              <w:t xml:space="preserve">        Pre-PBAC</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767"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r>
      <w:tr w:rsidR="00952B26" w:rsidRPr="00F55E1C" w:rsidTr="0062749A">
        <w:tc>
          <w:tcPr>
            <w:tcW w:w="1446" w:type="dxa"/>
            <w:vAlign w:val="bottom"/>
          </w:tcPr>
          <w:p w:rsidR="00952B26" w:rsidRDefault="00952B26" w:rsidP="00D309A1">
            <w:pPr>
              <w:keepNext/>
              <w:widowControl/>
              <w:jc w:val="left"/>
              <w:rPr>
                <w:rFonts w:ascii="Arial Narrow" w:hAnsi="Arial Narrow"/>
                <w:iCs/>
                <w:sz w:val="20"/>
                <w:szCs w:val="20"/>
              </w:rPr>
            </w:pPr>
            <w:r w:rsidRPr="00F55E1C">
              <w:rPr>
                <w:rFonts w:ascii="Arial Narrow" w:hAnsi="Arial Narrow"/>
                <w:iCs/>
                <w:sz w:val="20"/>
                <w:szCs w:val="20"/>
              </w:rPr>
              <w:t>196</w:t>
            </w:r>
            <w:r w:rsidR="0062749A">
              <w:rPr>
                <w:rFonts w:ascii="Arial Narrow" w:hAnsi="Arial Narrow"/>
                <w:iCs/>
                <w:sz w:val="20"/>
                <w:szCs w:val="20"/>
              </w:rPr>
              <w:t>: submission</w:t>
            </w:r>
          </w:p>
          <w:p w:rsidR="0062749A" w:rsidRPr="00F55E1C" w:rsidRDefault="0062749A" w:rsidP="00D309A1">
            <w:pPr>
              <w:keepNext/>
              <w:widowControl/>
              <w:jc w:val="left"/>
              <w:rPr>
                <w:rFonts w:ascii="Arial Narrow" w:hAnsi="Arial Narrow"/>
                <w:iCs/>
                <w:sz w:val="20"/>
                <w:szCs w:val="20"/>
              </w:rPr>
            </w:pPr>
            <w:r>
              <w:rPr>
                <w:rFonts w:ascii="Arial Narrow" w:hAnsi="Arial Narrow"/>
                <w:iCs/>
                <w:sz w:val="20"/>
                <w:szCs w:val="20"/>
              </w:rPr>
              <w:t xml:space="preserve">        Pre-PBAC</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767"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r>
      <w:tr w:rsidR="00952B26" w:rsidRPr="00F55E1C" w:rsidTr="0062749A">
        <w:tc>
          <w:tcPr>
            <w:tcW w:w="1446" w:type="dxa"/>
            <w:vAlign w:val="bottom"/>
          </w:tcPr>
          <w:p w:rsidR="00952B26" w:rsidRDefault="00952B26" w:rsidP="00D309A1">
            <w:pPr>
              <w:keepNext/>
              <w:widowControl/>
              <w:jc w:val="left"/>
              <w:rPr>
                <w:rFonts w:ascii="Arial Narrow" w:hAnsi="Arial Narrow"/>
                <w:iCs/>
                <w:sz w:val="20"/>
                <w:szCs w:val="20"/>
              </w:rPr>
            </w:pPr>
            <w:r w:rsidRPr="00F55E1C">
              <w:rPr>
                <w:rFonts w:ascii="Arial Narrow" w:hAnsi="Arial Narrow"/>
                <w:iCs/>
                <w:sz w:val="20"/>
                <w:szCs w:val="20"/>
              </w:rPr>
              <w:t>224</w:t>
            </w:r>
            <w:r w:rsidR="0062749A">
              <w:rPr>
                <w:rFonts w:ascii="Arial Narrow" w:hAnsi="Arial Narrow"/>
                <w:iCs/>
                <w:sz w:val="20"/>
                <w:szCs w:val="20"/>
              </w:rPr>
              <w:t>: submission</w:t>
            </w:r>
          </w:p>
          <w:p w:rsidR="0062749A" w:rsidRPr="00F55E1C" w:rsidRDefault="0062749A" w:rsidP="00D309A1">
            <w:pPr>
              <w:keepNext/>
              <w:widowControl/>
              <w:jc w:val="left"/>
              <w:rPr>
                <w:rFonts w:ascii="Arial Narrow" w:hAnsi="Arial Narrow"/>
                <w:iCs/>
                <w:sz w:val="20"/>
                <w:szCs w:val="20"/>
              </w:rPr>
            </w:pPr>
            <w:r>
              <w:rPr>
                <w:rFonts w:ascii="Arial Narrow" w:hAnsi="Arial Narrow"/>
                <w:iCs/>
                <w:sz w:val="20"/>
                <w:szCs w:val="20"/>
              </w:rPr>
              <w:t xml:space="preserve">        Pre-PBAC</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p w:rsidR="00D5529E" w:rsidRPr="00EA7891" w:rsidRDefault="00EA7891" w:rsidP="00D5529E">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767"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p w:rsidR="0062749A"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r>
      <w:tr w:rsidR="00952B26" w:rsidRPr="00F55E1C" w:rsidTr="0062749A">
        <w:tc>
          <w:tcPr>
            <w:tcW w:w="1446" w:type="dxa"/>
            <w:vAlign w:val="bottom"/>
          </w:tcPr>
          <w:p w:rsidR="00952B26" w:rsidRDefault="00952B26" w:rsidP="00D309A1">
            <w:pPr>
              <w:keepNext/>
              <w:widowControl/>
              <w:jc w:val="left"/>
              <w:rPr>
                <w:rFonts w:ascii="Arial Narrow" w:hAnsi="Arial Narrow"/>
                <w:iCs/>
                <w:sz w:val="20"/>
                <w:szCs w:val="20"/>
              </w:rPr>
            </w:pPr>
            <w:r w:rsidRPr="00F55E1C">
              <w:rPr>
                <w:rFonts w:ascii="Arial Narrow" w:hAnsi="Arial Narrow"/>
                <w:iCs/>
                <w:sz w:val="20"/>
                <w:szCs w:val="20"/>
              </w:rPr>
              <w:t>252</w:t>
            </w:r>
            <w:r w:rsidR="0062749A">
              <w:rPr>
                <w:rFonts w:ascii="Arial Narrow" w:hAnsi="Arial Narrow"/>
                <w:iCs/>
                <w:sz w:val="20"/>
                <w:szCs w:val="20"/>
              </w:rPr>
              <w:t>: submission</w:t>
            </w:r>
          </w:p>
          <w:p w:rsidR="0062749A" w:rsidRPr="00F55E1C" w:rsidRDefault="0062749A" w:rsidP="00D309A1">
            <w:pPr>
              <w:keepNext/>
              <w:widowControl/>
              <w:jc w:val="left"/>
              <w:rPr>
                <w:rFonts w:ascii="Arial Narrow" w:hAnsi="Arial Narrow"/>
                <w:iCs/>
                <w:sz w:val="20"/>
                <w:szCs w:val="20"/>
              </w:rPr>
            </w:pPr>
            <w:r>
              <w:rPr>
                <w:rFonts w:ascii="Arial Narrow" w:hAnsi="Arial Narrow"/>
                <w:iCs/>
                <w:sz w:val="20"/>
                <w:szCs w:val="20"/>
              </w:rPr>
              <w:t xml:space="preserve">        Pre-PBAC</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767"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p w:rsidR="0062749A"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r>
      <w:tr w:rsidR="00952B26" w:rsidRPr="00F55E1C" w:rsidTr="0062749A">
        <w:tc>
          <w:tcPr>
            <w:tcW w:w="1446" w:type="dxa"/>
            <w:vAlign w:val="bottom"/>
          </w:tcPr>
          <w:p w:rsidR="00952B26" w:rsidRDefault="00952B26" w:rsidP="00D309A1">
            <w:pPr>
              <w:keepNext/>
              <w:widowControl/>
              <w:jc w:val="left"/>
              <w:rPr>
                <w:rFonts w:ascii="Arial Narrow" w:hAnsi="Arial Narrow"/>
                <w:iCs/>
                <w:sz w:val="20"/>
                <w:szCs w:val="20"/>
              </w:rPr>
            </w:pPr>
            <w:r w:rsidRPr="00F55E1C">
              <w:rPr>
                <w:rFonts w:ascii="Arial Narrow" w:hAnsi="Arial Narrow"/>
                <w:iCs/>
                <w:sz w:val="20"/>
                <w:szCs w:val="20"/>
              </w:rPr>
              <w:t>280</w:t>
            </w:r>
            <w:r w:rsidR="0062749A">
              <w:rPr>
                <w:rFonts w:ascii="Arial Narrow" w:hAnsi="Arial Narrow"/>
                <w:iCs/>
                <w:sz w:val="20"/>
                <w:szCs w:val="20"/>
              </w:rPr>
              <w:t>: submission</w:t>
            </w:r>
          </w:p>
          <w:p w:rsidR="0062749A" w:rsidRPr="00F55E1C" w:rsidRDefault="0062749A" w:rsidP="00D309A1">
            <w:pPr>
              <w:keepNext/>
              <w:widowControl/>
              <w:jc w:val="left"/>
              <w:rPr>
                <w:rFonts w:ascii="Arial Narrow" w:hAnsi="Arial Narrow"/>
                <w:iCs/>
                <w:sz w:val="20"/>
                <w:szCs w:val="20"/>
              </w:rPr>
            </w:pPr>
            <w:r>
              <w:rPr>
                <w:rFonts w:ascii="Arial Narrow" w:hAnsi="Arial Narrow"/>
                <w:iCs/>
                <w:sz w:val="20"/>
                <w:szCs w:val="20"/>
              </w:rPr>
              <w:t xml:space="preserve">        Pre-PBAC</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5529E">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767"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p w:rsidR="0062749A"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r>
      <w:tr w:rsidR="00952B26" w:rsidRPr="00F55E1C" w:rsidTr="0062749A">
        <w:tc>
          <w:tcPr>
            <w:tcW w:w="1446" w:type="dxa"/>
            <w:vAlign w:val="center"/>
          </w:tcPr>
          <w:p w:rsidR="00952B26" w:rsidRDefault="00952B26" w:rsidP="00D309A1">
            <w:pPr>
              <w:keepNext/>
              <w:widowControl/>
              <w:jc w:val="left"/>
              <w:rPr>
                <w:rFonts w:ascii="Arial Narrow" w:hAnsi="Arial Narrow"/>
                <w:iCs/>
                <w:sz w:val="20"/>
                <w:szCs w:val="20"/>
              </w:rPr>
            </w:pPr>
            <w:r w:rsidRPr="00F55E1C">
              <w:rPr>
                <w:rFonts w:ascii="Arial Narrow" w:hAnsi="Arial Narrow"/>
                <w:iCs/>
                <w:sz w:val="20"/>
                <w:szCs w:val="20"/>
              </w:rPr>
              <w:t>308</w:t>
            </w:r>
            <w:r w:rsidR="0062749A">
              <w:rPr>
                <w:rFonts w:ascii="Arial Narrow" w:hAnsi="Arial Narrow"/>
                <w:iCs/>
                <w:sz w:val="20"/>
                <w:szCs w:val="20"/>
              </w:rPr>
              <w:t>: submission</w:t>
            </w:r>
          </w:p>
          <w:p w:rsidR="0062749A" w:rsidRPr="00F55E1C" w:rsidRDefault="0062749A" w:rsidP="00D309A1">
            <w:pPr>
              <w:keepNext/>
              <w:widowControl/>
              <w:jc w:val="left"/>
              <w:rPr>
                <w:rFonts w:ascii="Arial Narrow" w:hAnsi="Arial Narrow"/>
                <w:iCs/>
                <w:sz w:val="20"/>
                <w:szCs w:val="20"/>
              </w:rPr>
            </w:pPr>
            <w:r>
              <w:rPr>
                <w:rFonts w:ascii="Arial Narrow" w:hAnsi="Arial Narrow"/>
                <w:iCs/>
                <w:sz w:val="20"/>
                <w:szCs w:val="20"/>
              </w:rPr>
              <w:t xml:space="preserve">        Pre-PBAC</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color w:val="FF0000"/>
                <w:sz w:val="20"/>
                <w:szCs w:val="20"/>
                <w:highlight w:val="black"/>
              </w:rPr>
            </w:pPr>
            <w:r>
              <w:rPr>
                <w:rFonts w:ascii="Arial Narrow" w:hAnsi="Arial Narrow"/>
                <w:iCs/>
                <w:noProof/>
                <w:color w:val="000000"/>
                <w:sz w:val="20"/>
                <w:szCs w:val="20"/>
                <w:highlight w:val="black"/>
              </w:rPr>
              <w:t>''''''''''''''</w:t>
            </w:r>
          </w:p>
        </w:tc>
        <w:tc>
          <w:tcPr>
            <w:tcW w:w="850"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1" w:type="dxa"/>
            <w:vAlign w:val="bottom"/>
          </w:tcPr>
          <w:p w:rsidR="00952B26"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p w:rsidR="00D5529E" w:rsidRPr="00EA7891" w:rsidRDefault="00EA7891" w:rsidP="00D309A1">
            <w:pPr>
              <w:keepNext/>
              <w:widowControl/>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767" w:type="dxa"/>
            <w:vAlign w:val="bottom"/>
          </w:tcPr>
          <w:p w:rsidR="00952B26"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p w:rsidR="0062749A" w:rsidRPr="00EA7891" w:rsidRDefault="00EA7891" w:rsidP="00D309A1">
            <w:pPr>
              <w:keepNext/>
              <w:widowControl/>
              <w:jc w:val="center"/>
              <w:rPr>
                <w:rFonts w:ascii="Arial Narrow" w:hAnsi="Arial Narrow"/>
                <w:iCs/>
                <w:color w:val="4F81BD" w:themeColor="accent1"/>
                <w:sz w:val="20"/>
                <w:szCs w:val="20"/>
                <w:highlight w:val="black"/>
              </w:rPr>
            </w:pPr>
            <w:r>
              <w:rPr>
                <w:rFonts w:ascii="Arial Narrow" w:hAnsi="Arial Narrow"/>
                <w:iCs/>
                <w:noProof/>
                <w:color w:val="000000"/>
                <w:sz w:val="20"/>
                <w:szCs w:val="20"/>
                <w:highlight w:val="black"/>
              </w:rPr>
              <w:t>'''''''''''''''</w:t>
            </w:r>
          </w:p>
        </w:tc>
      </w:tr>
    </w:tbl>
    <w:p w:rsidR="00952B26" w:rsidRPr="00F55E1C" w:rsidRDefault="00952B26" w:rsidP="00D309A1">
      <w:pPr>
        <w:widowControl/>
        <w:rPr>
          <w:rFonts w:ascii="Arial Narrow" w:hAnsi="Arial Narrow"/>
          <w:iCs/>
          <w:sz w:val="18"/>
          <w:szCs w:val="16"/>
        </w:rPr>
      </w:pPr>
      <w:r w:rsidRPr="00F55E1C">
        <w:rPr>
          <w:rFonts w:ascii="Arial Narrow" w:hAnsi="Arial Narrow"/>
          <w:iCs/>
          <w:sz w:val="18"/>
          <w:szCs w:val="16"/>
        </w:rPr>
        <w:t>Source: compiled during the evaluation from “Section 3 Economic analysis workbook.xlsx”</w:t>
      </w:r>
      <w:r w:rsidR="0062749A">
        <w:rPr>
          <w:rFonts w:ascii="Arial Narrow" w:hAnsi="Arial Narrow"/>
          <w:iCs/>
          <w:sz w:val="18"/>
          <w:szCs w:val="16"/>
        </w:rPr>
        <w:t xml:space="preserve"> and Table 1, p2 of the Pre-PBAC Response</w:t>
      </w:r>
    </w:p>
    <w:p w:rsidR="00D3199C" w:rsidRPr="00761ECE" w:rsidRDefault="00D3199C" w:rsidP="00D309A1">
      <w:pPr>
        <w:widowControl/>
        <w:rPr>
          <w:rFonts w:ascii="Arial Narrow" w:hAnsi="Arial Narrow"/>
          <w:i/>
          <w:iCs/>
          <w:sz w:val="18"/>
          <w:szCs w:val="16"/>
        </w:rPr>
      </w:pPr>
    </w:p>
    <w:p w:rsidR="00952B26" w:rsidRPr="00F55E1C" w:rsidRDefault="00952B26" w:rsidP="00D309A1">
      <w:pPr>
        <w:keepNext/>
        <w:widowControl/>
        <w:rPr>
          <w:rFonts w:ascii="Arial Narrow" w:hAnsi="Arial Narrow"/>
          <w:b/>
          <w:bCs/>
          <w:iCs/>
          <w:sz w:val="20"/>
          <w:szCs w:val="18"/>
        </w:rPr>
      </w:pPr>
      <w:r w:rsidRPr="00F55E1C">
        <w:rPr>
          <w:rFonts w:ascii="Arial Narrow" w:hAnsi="Arial Narrow"/>
          <w:b/>
          <w:bCs/>
          <w:iCs/>
          <w:sz w:val="20"/>
          <w:szCs w:val="18"/>
        </w:rPr>
        <w:lastRenderedPageBreak/>
        <w:t>Figure</w:t>
      </w:r>
      <w:r w:rsidR="00E72E9C" w:rsidRPr="00F55E1C">
        <w:rPr>
          <w:rFonts w:ascii="Arial Narrow" w:hAnsi="Arial Narrow"/>
          <w:b/>
          <w:bCs/>
          <w:iCs/>
          <w:sz w:val="20"/>
          <w:szCs w:val="18"/>
        </w:rPr>
        <w:t xml:space="preserve"> </w:t>
      </w:r>
      <w:r w:rsidR="00E72E9C" w:rsidRPr="00533138">
        <w:rPr>
          <w:rFonts w:ascii="Arial Narrow" w:hAnsi="Arial Narrow"/>
          <w:b/>
          <w:bCs/>
          <w:iCs/>
          <w:sz w:val="20"/>
          <w:szCs w:val="18"/>
        </w:rPr>
        <w:t>2</w:t>
      </w:r>
      <w:r w:rsidRPr="00F55E1C">
        <w:rPr>
          <w:rFonts w:ascii="Arial Narrow" w:hAnsi="Arial Narrow"/>
          <w:b/>
          <w:bCs/>
          <w:iCs/>
          <w:sz w:val="20"/>
          <w:szCs w:val="18"/>
        </w:rPr>
        <w:t>: Markov trace of mode</w:t>
      </w:r>
      <w:r w:rsidR="003F7270" w:rsidRPr="00F55E1C">
        <w:rPr>
          <w:rFonts w:ascii="Arial Narrow" w:hAnsi="Arial Narrow"/>
          <w:b/>
          <w:bCs/>
          <w:iCs/>
          <w:sz w:val="20"/>
          <w:szCs w:val="18"/>
        </w:rPr>
        <w:t>l</w:t>
      </w:r>
      <w:r w:rsidRPr="00F55E1C">
        <w:rPr>
          <w:rFonts w:ascii="Arial Narrow" w:hAnsi="Arial Narrow"/>
          <w:b/>
          <w:bCs/>
          <w:iCs/>
          <w:sz w:val="20"/>
          <w:szCs w:val="18"/>
        </w:rPr>
        <w:t xml:space="preserve"> health states and the proportion on treatment, by arm and cycle (base case)</w:t>
      </w:r>
    </w:p>
    <w:p w:rsidR="00952B26" w:rsidRDefault="00952B26" w:rsidP="00D309A1">
      <w:pPr>
        <w:keepNext/>
        <w:widowControl/>
      </w:pPr>
      <w:r>
        <w:rPr>
          <w:noProof/>
          <w:lang w:eastAsia="en-AU"/>
        </w:rPr>
        <w:drawing>
          <wp:inline distT="0" distB="0" distL="0" distR="0" wp14:anchorId="6F46F90C" wp14:editId="274DDF62">
            <wp:extent cx="5759450" cy="31495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6687" cy="3164465"/>
                    </a:xfrm>
                    <a:prstGeom prst="rect">
                      <a:avLst/>
                    </a:prstGeom>
                    <a:noFill/>
                  </pic:spPr>
                </pic:pic>
              </a:graphicData>
            </a:graphic>
          </wp:inline>
        </w:drawing>
      </w:r>
    </w:p>
    <w:p w:rsidR="00D3199C" w:rsidRPr="009355A7" w:rsidRDefault="00952B26" w:rsidP="009355A7">
      <w:pPr>
        <w:keepNext/>
        <w:widowControl/>
        <w:spacing w:after="240"/>
        <w:rPr>
          <w:rFonts w:ascii="Arial Narrow" w:hAnsi="Arial Narrow"/>
          <w:iCs/>
          <w:sz w:val="18"/>
          <w:szCs w:val="16"/>
        </w:rPr>
      </w:pPr>
      <w:r w:rsidRPr="00F55E1C">
        <w:rPr>
          <w:rFonts w:ascii="Arial Narrow" w:hAnsi="Arial Narrow"/>
          <w:iCs/>
          <w:sz w:val="18"/>
          <w:szCs w:val="16"/>
        </w:rPr>
        <w:t>Source: compiled during the evaluation from “Section 3 Economic analysis workbook.xlsx”.</w:t>
      </w:r>
    </w:p>
    <w:p w:rsidR="00952B26" w:rsidRPr="0033768F" w:rsidRDefault="00952B26" w:rsidP="00620759">
      <w:pPr>
        <w:pStyle w:val="ListParagraph"/>
        <w:rPr>
          <w:i/>
        </w:rPr>
      </w:pPr>
      <w:r w:rsidRPr="00D06A96">
        <w:t>The</w:t>
      </w:r>
      <w:r w:rsidRPr="006A6190">
        <w:t xml:space="preserve"> decline in walking speed and associated </w:t>
      </w:r>
      <w:r w:rsidR="00C32A55">
        <w:t>reduction</w:t>
      </w:r>
      <w:r w:rsidR="00AD45C8">
        <w:t xml:space="preserve"> in</w:t>
      </w:r>
      <w:r>
        <w:t xml:space="preserve"> </w:t>
      </w:r>
      <w:r w:rsidRPr="006A6190">
        <w:t xml:space="preserve">quality of life predicted for </w:t>
      </w:r>
      <w:r>
        <w:t>standard of care</w:t>
      </w:r>
      <w:r w:rsidR="00FC3C1B">
        <w:t xml:space="preserve"> compared to </w:t>
      </w:r>
      <w:r w:rsidR="00051CA9">
        <w:t>Dysport®</w:t>
      </w:r>
      <w:r w:rsidRPr="006A6190">
        <w:t xml:space="preserve"> </w:t>
      </w:r>
      <w:r>
        <w:t xml:space="preserve">in combination with the nominated 10 year time horizon </w:t>
      </w:r>
      <w:r w:rsidR="000A06CE">
        <w:t>we</w:t>
      </w:r>
      <w:r>
        <w:t>re</w:t>
      </w:r>
      <w:r w:rsidRPr="006A6190">
        <w:t xml:space="preserve"> </w:t>
      </w:r>
      <w:r>
        <w:t>the</w:t>
      </w:r>
      <w:r w:rsidRPr="006A6190">
        <w:t xml:space="preserve"> key driver</w:t>
      </w:r>
      <w:r>
        <w:t>s</w:t>
      </w:r>
      <w:r w:rsidRPr="006A6190">
        <w:t xml:space="preserve"> of</w:t>
      </w:r>
      <w:r>
        <w:t xml:space="preserve"> the model</w:t>
      </w:r>
      <w:r w:rsidR="00217A90">
        <w:t xml:space="preserve"> – see </w:t>
      </w:r>
      <w:r w:rsidR="00217A90" w:rsidRPr="00BE7D28">
        <w:t xml:space="preserve">Table </w:t>
      </w:r>
      <w:r w:rsidR="00961064">
        <w:t>11</w:t>
      </w:r>
      <w:r>
        <w:t>.</w:t>
      </w:r>
      <w:r w:rsidR="00FA60DA">
        <w:t xml:space="preserve"> </w:t>
      </w:r>
    </w:p>
    <w:p w:rsidR="00FC3C1B" w:rsidRPr="00E72E9C" w:rsidRDefault="00FC3C1B" w:rsidP="00FC3C1B">
      <w:pPr>
        <w:keepNext/>
        <w:widowControl/>
        <w:rPr>
          <w:rStyle w:val="CommentReference"/>
        </w:rPr>
      </w:pPr>
      <w:r w:rsidRPr="00E72E9C">
        <w:rPr>
          <w:rStyle w:val="CommentReference"/>
        </w:rPr>
        <w:t xml:space="preserve">Table </w:t>
      </w:r>
      <w:r>
        <w:rPr>
          <w:rStyle w:val="CommentReference"/>
        </w:rPr>
        <w:t>1</w:t>
      </w:r>
      <w:r w:rsidR="00961064">
        <w:rPr>
          <w:rStyle w:val="CommentReference"/>
        </w:rPr>
        <w:t>1</w:t>
      </w:r>
      <w:r w:rsidRPr="00E72E9C">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13"/>
        <w:gridCol w:w="5351"/>
        <w:gridCol w:w="1953"/>
      </w:tblGrid>
      <w:tr w:rsidR="00FC3C1B" w:rsidRPr="00907BB7" w:rsidTr="00D5529E">
        <w:trPr>
          <w:tblHeader/>
        </w:trPr>
        <w:tc>
          <w:tcPr>
            <w:tcW w:w="950" w:type="pct"/>
            <w:shd w:val="clear" w:color="auto" w:fill="auto"/>
            <w:vAlign w:val="center"/>
          </w:tcPr>
          <w:p w:rsidR="00FC3C1B" w:rsidRPr="00907BB7" w:rsidRDefault="00FC3C1B" w:rsidP="00D5529E">
            <w:pPr>
              <w:pStyle w:val="Tabletext"/>
              <w:keepNext/>
              <w:rPr>
                <w:b/>
              </w:rPr>
            </w:pPr>
            <w:r w:rsidRPr="00907BB7">
              <w:rPr>
                <w:b/>
              </w:rPr>
              <w:t>Description</w:t>
            </w:r>
          </w:p>
        </w:tc>
        <w:tc>
          <w:tcPr>
            <w:tcW w:w="2967" w:type="pct"/>
            <w:shd w:val="clear" w:color="auto" w:fill="auto"/>
            <w:vAlign w:val="center"/>
          </w:tcPr>
          <w:p w:rsidR="00FC3C1B" w:rsidRPr="00907BB7" w:rsidRDefault="00FC3C1B" w:rsidP="00D5529E">
            <w:pPr>
              <w:pStyle w:val="Tabletext"/>
              <w:keepNext/>
              <w:jc w:val="center"/>
              <w:rPr>
                <w:b/>
              </w:rPr>
            </w:pPr>
            <w:r w:rsidRPr="00907BB7">
              <w:rPr>
                <w:b/>
              </w:rPr>
              <w:t>Method/Value</w:t>
            </w:r>
          </w:p>
        </w:tc>
        <w:tc>
          <w:tcPr>
            <w:tcW w:w="1083" w:type="pct"/>
            <w:shd w:val="clear" w:color="auto" w:fill="auto"/>
            <w:vAlign w:val="center"/>
          </w:tcPr>
          <w:p w:rsidR="00FC3C1B" w:rsidRPr="00907BB7" w:rsidRDefault="00FC3C1B" w:rsidP="00D5529E">
            <w:pPr>
              <w:pStyle w:val="Tabletext"/>
              <w:keepNext/>
              <w:jc w:val="center"/>
              <w:rPr>
                <w:b/>
              </w:rPr>
            </w:pPr>
            <w:r w:rsidRPr="00907BB7">
              <w:rPr>
                <w:b/>
              </w:rPr>
              <w:t>Impact</w:t>
            </w:r>
          </w:p>
        </w:tc>
      </w:tr>
      <w:tr w:rsidR="00FC3C1B" w:rsidRPr="00907BB7" w:rsidTr="00D5529E">
        <w:tc>
          <w:tcPr>
            <w:tcW w:w="950" w:type="pct"/>
            <w:shd w:val="clear" w:color="auto" w:fill="auto"/>
            <w:vAlign w:val="center"/>
          </w:tcPr>
          <w:p w:rsidR="00FC3C1B" w:rsidRPr="00907BB7" w:rsidRDefault="00FC3C1B" w:rsidP="00D5529E">
            <w:pPr>
              <w:pStyle w:val="Tabletext"/>
              <w:keepNext/>
            </w:pPr>
            <w:r w:rsidRPr="00907BB7">
              <w:t>Extrapolation</w:t>
            </w:r>
          </w:p>
        </w:tc>
        <w:tc>
          <w:tcPr>
            <w:tcW w:w="2967" w:type="pct"/>
            <w:shd w:val="clear" w:color="auto" w:fill="auto"/>
            <w:vAlign w:val="center"/>
          </w:tcPr>
          <w:p w:rsidR="00FC3C1B" w:rsidRPr="00F55E1C" w:rsidRDefault="00FC3C1B" w:rsidP="00D5529E">
            <w:pPr>
              <w:pStyle w:val="Tabletext"/>
              <w:keepNext/>
              <w:rPr>
                <w:iCs/>
              </w:rPr>
            </w:pPr>
            <w:r w:rsidRPr="00F55E1C">
              <w:t>Ordered logit regressions fit</w:t>
            </w:r>
            <w:r>
              <w:t>ted</w:t>
            </w:r>
            <w:r w:rsidRPr="00F55E1C">
              <w:t xml:space="preserve"> to ‘change’ in health states (up or down) in trial data </w:t>
            </w:r>
            <w:r>
              <w:t xml:space="preserve">to </w:t>
            </w:r>
            <w:r w:rsidRPr="00F55E1C">
              <w:t>predict change in health states over 10 years.</w:t>
            </w:r>
            <w:r>
              <w:t xml:space="preserve"> </w:t>
            </w:r>
            <w:r w:rsidRPr="00F55E1C">
              <w:rPr>
                <w:iCs/>
              </w:rPr>
              <w:t>The regressions predict</w:t>
            </w:r>
            <w:r>
              <w:rPr>
                <w:iCs/>
              </w:rPr>
              <w:t>ed</w:t>
            </w:r>
            <w:r w:rsidRPr="00F55E1C">
              <w:rPr>
                <w:iCs/>
              </w:rPr>
              <w:t xml:space="preserve"> walking speed </w:t>
            </w:r>
            <w:r>
              <w:rPr>
                <w:iCs/>
              </w:rPr>
              <w:t>would</w:t>
            </w:r>
            <w:r w:rsidRPr="00F55E1C">
              <w:rPr>
                <w:iCs/>
              </w:rPr>
              <w:t xml:space="preserve"> decline over time for patients treated with standard of care, but improve and stabilise for patients treated with Dysport plus standard of care.</w:t>
            </w:r>
          </w:p>
        </w:tc>
        <w:tc>
          <w:tcPr>
            <w:tcW w:w="1083" w:type="pct"/>
            <w:shd w:val="clear" w:color="auto" w:fill="auto"/>
            <w:vAlign w:val="center"/>
          </w:tcPr>
          <w:p w:rsidR="00FC3C1B" w:rsidRPr="00907BB7" w:rsidRDefault="00FC3C1B" w:rsidP="00D5529E">
            <w:pPr>
              <w:pStyle w:val="Tabletext"/>
              <w:keepNext/>
              <w:jc w:val="center"/>
            </w:pPr>
            <w:r w:rsidRPr="00907BB7">
              <w:t>High, favours Dysport</w:t>
            </w:r>
          </w:p>
        </w:tc>
      </w:tr>
      <w:tr w:rsidR="00FC3C1B" w:rsidRPr="00907BB7" w:rsidTr="00D5529E">
        <w:tc>
          <w:tcPr>
            <w:tcW w:w="950" w:type="pct"/>
            <w:shd w:val="clear" w:color="auto" w:fill="auto"/>
            <w:vAlign w:val="center"/>
          </w:tcPr>
          <w:p w:rsidR="00FC3C1B" w:rsidRPr="00907BB7" w:rsidRDefault="00FC3C1B" w:rsidP="00D5529E">
            <w:pPr>
              <w:pStyle w:val="Tabletext"/>
              <w:keepNext/>
            </w:pPr>
            <w:r w:rsidRPr="00907BB7">
              <w:t>Time horizon</w:t>
            </w:r>
          </w:p>
        </w:tc>
        <w:tc>
          <w:tcPr>
            <w:tcW w:w="2967" w:type="pct"/>
            <w:shd w:val="clear" w:color="auto" w:fill="auto"/>
            <w:vAlign w:val="center"/>
          </w:tcPr>
          <w:p w:rsidR="00FC3C1B" w:rsidRPr="00F55E1C" w:rsidRDefault="00FC3C1B" w:rsidP="00D5529E">
            <w:pPr>
              <w:pStyle w:val="Tabletext"/>
              <w:keepNext/>
            </w:pPr>
            <w:r w:rsidRPr="00F55E1C">
              <w:t>Assumed 10-year time horizon.</w:t>
            </w:r>
            <w:r>
              <w:t xml:space="preserve"> </w:t>
            </w:r>
            <w:r w:rsidRPr="00F55E1C">
              <w:rPr>
                <w:iCs/>
              </w:rPr>
              <w:t xml:space="preserve">Given the model predicted walking speed declined over time for patients treated with standard of care alone but </w:t>
            </w:r>
            <w:r>
              <w:rPr>
                <w:iCs/>
              </w:rPr>
              <w:t>did</w:t>
            </w:r>
            <w:r w:rsidRPr="00F55E1C">
              <w:rPr>
                <w:iCs/>
              </w:rPr>
              <w:t xml:space="preserve"> not decline for Dysport, incremental benefits continually accrue</w:t>
            </w:r>
            <w:r>
              <w:rPr>
                <w:iCs/>
              </w:rPr>
              <w:t>d</w:t>
            </w:r>
            <w:r w:rsidRPr="00F55E1C">
              <w:rPr>
                <w:iCs/>
              </w:rPr>
              <w:t xml:space="preserve"> and increase</w:t>
            </w:r>
            <w:r>
              <w:rPr>
                <w:iCs/>
              </w:rPr>
              <w:t>d</w:t>
            </w:r>
            <w:r w:rsidRPr="00F55E1C">
              <w:rPr>
                <w:iCs/>
              </w:rPr>
              <w:t xml:space="preserve"> over time. </w:t>
            </w:r>
          </w:p>
        </w:tc>
        <w:tc>
          <w:tcPr>
            <w:tcW w:w="1083" w:type="pct"/>
            <w:shd w:val="clear" w:color="auto" w:fill="auto"/>
            <w:vAlign w:val="center"/>
          </w:tcPr>
          <w:p w:rsidR="00FC3C1B" w:rsidRPr="00907BB7" w:rsidRDefault="00FC3C1B" w:rsidP="00D5529E">
            <w:pPr>
              <w:pStyle w:val="Tabletext"/>
              <w:keepNext/>
              <w:jc w:val="center"/>
            </w:pPr>
            <w:r w:rsidRPr="00907BB7">
              <w:t>High, favours Dysport</w:t>
            </w:r>
          </w:p>
        </w:tc>
      </w:tr>
    </w:tbl>
    <w:p w:rsidR="00FC3C1B" w:rsidRPr="00FC3C1B" w:rsidRDefault="00FC3C1B" w:rsidP="009355A7">
      <w:pPr>
        <w:pStyle w:val="TableFooter"/>
        <w:spacing w:after="240"/>
      </w:pPr>
      <w:r w:rsidRPr="006540FF">
        <w:t xml:space="preserve">Source: </w:t>
      </w:r>
      <w:r>
        <w:t>compiled</w:t>
      </w:r>
      <w:r w:rsidRPr="006540FF">
        <w:t xml:space="preserve"> during the evaluation</w:t>
      </w:r>
      <w:r>
        <w:t>.</w:t>
      </w:r>
    </w:p>
    <w:p w:rsidR="00336803" w:rsidRDefault="00336803" w:rsidP="00620759">
      <w:pPr>
        <w:pStyle w:val="ListParagraph"/>
      </w:pPr>
      <w:r>
        <w:t>The PBAC noted that given the substantial uncertainty surrounding the long term impact of Dysport</w:t>
      </w:r>
      <w:r>
        <w:rPr>
          <w:rFonts w:cs="Calibri"/>
        </w:rPr>
        <w:t>®</w:t>
      </w:r>
      <w:r>
        <w:t xml:space="preserve"> treatment, a five year time horizon wo</w:t>
      </w:r>
      <w:r w:rsidR="000E1058">
        <w:t>u</w:t>
      </w:r>
      <w:r>
        <w:t>ld be more appropriate.</w:t>
      </w:r>
    </w:p>
    <w:p w:rsidR="00952B26" w:rsidRDefault="00952B26" w:rsidP="00620759">
      <w:pPr>
        <w:pStyle w:val="ListParagraph"/>
      </w:pPr>
      <w:r w:rsidRPr="00533138">
        <w:t xml:space="preserve">Table </w:t>
      </w:r>
      <w:r w:rsidR="00BE7D28" w:rsidRPr="00533138">
        <w:t>1</w:t>
      </w:r>
      <w:r w:rsidR="00961064" w:rsidRPr="00533138">
        <w:t>2</w:t>
      </w:r>
      <w:r w:rsidRPr="00533138">
        <w:t xml:space="preserve"> </w:t>
      </w:r>
      <w:r>
        <w:t>provides the results of th</w:t>
      </w:r>
      <w:r w:rsidR="00E72E9C">
        <w:t>e stepped economic evaluation</w:t>
      </w:r>
      <w:r w:rsidR="00430F85">
        <w:t xml:space="preserve">, as </w:t>
      </w:r>
      <w:r w:rsidR="00FB744C">
        <w:t>presented in the</w:t>
      </w:r>
      <w:r w:rsidR="00430F85">
        <w:t xml:space="preserve"> submission</w:t>
      </w:r>
      <w:r w:rsidR="00620759">
        <w:t xml:space="preserve">. </w:t>
      </w:r>
    </w:p>
    <w:p w:rsidR="00952B26" w:rsidRPr="00B41614" w:rsidRDefault="00952B26" w:rsidP="00D309A1">
      <w:pPr>
        <w:keepNext/>
        <w:widowControl/>
        <w:rPr>
          <w:rStyle w:val="CommentReference"/>
        </w:rPr>
      </w:pPr>
      <w:r w:rsidRPr="00B41614">
        <w:rPr>
          <w:rStyle w:val="CommentReference"/>
        </w:rPr>
        <w:lastRenderedPageBreak/>
        <w:t xml:space="preserve">Table </w:t>
      </w:r>
      <w:r w:rsidR="00E72E9C">
        <w:rPr>
          <w:rStyle w:val="CommentReference"/>
        </w:rPr>
        <w:t>1</w:t>
      </w:r>
      <w:r w:rsidR="00961064">
        <w:rPr>
          <w:rStyle w:val="CommentReference"/>
        </w:rPr>
        <w:t>2</w:t>
      </w:r>
      <w:r w:rsidRPr="00B41614">
        <w:rPr>
          <w:rStyle w:val="CommentReference"/>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952B26" w:rsidRPr="00267462" w:rsidTr="003F7270">
        <w:trPr>
          <w:tblHeader/>
        </w:trPr>
        <w:tc>
          <w:tcPr>
            <w:tcW w:w="1529" w:type="pct"/>
            <w:vAlign w:val="center"/>
          </w:tcPr>
          <w:p w:rsidR="00952B26" w:rsidRPr="00267462" w:rsidRDefault="00952B26" w:rsidP="00D309A1">
            <w:pPr>
              <w:pStyle w:val="Tabletext"/>
              <w:keepNext/>
              <w:rPr>
                <w:b/>
              </w:rPr>
            </w:pPr>
            <w:r w:rsidRPr="00267462">
              <w:rPr>
                <w:b/>
              </w:rPr>
              <w:t>Step and component</w:t>
            </w:r>
          </w:p>
        </w:tc>
        <w:tc>
          <w:tcPr>
            <w:tcW w:w="1359" w:type="pct"/>
            <w:vAlign w:val="center"/>
          </w:tcPr>
          <w:p w:rsidR="00952B26" w:rsidRPr="00267462" w:rsidRDefault="00952B26" w:rsidP="00D309A1">
            <w:pPr>
              <w:pStyle w:val="Tabletext"/>
              <w:keepNext/>
              <w:jc w:val="center"/>
              <w:rPr>
                <w:b/>
              </w:rPr>
            </w:pPr>
            <w:r w:rsidRPr="00267462">
              <w:rPr>
                <w:b/>
              </w:rPr>
              <w:t>Proposed medicine</w:t>
            </w:r>
          </w:p>
        </w:tc>
        <w:tc>
          <w:tcPr>
            <w:tcW w:w="1274" w:type="pct"/>
            <w:vAlign w:val="center"/>
          </w:tcPr>
          <w:p w:rsidR="00952B26" w:rsidRPr="00267462" w:rsidRDefault="00952B26" w:rsidP="00D309A1">
            <w:pPr>
              <w:pStyle w:val="Tabletext"/>
              <w:keepNext/>
              <w:jc w:val="center"/>
              <w:rPr>
                <w:b/>
              </w:rPr>
            </w:pPr>
            <w:r w:rsidRPr="00267462">
              <w:rPr>
                <w:b/>
              </w:rPr>
              <w:t>Comparator</w:t>
            </w:r>
          </w:p>
        </w:tc>
        <w:tc>
          <w:tcPr>
            <w:tcW w:w="838" w:type="pct"/>
            <w:vAlign w:val="center"/>
          </w:tcPr>
          <w:p w:rsidR="00952B26" w:rsidRPr="00267462" w:rsidRDefault="00952B26" w:rsidP="00D309A1">
            <w:pPr>
              <w:pStyle w:val="Tabletext"/>
              <w:keepNext/>
              <w:jc w:val="center"/>
              <w:rPr>
                <w:b/>
              </w:rPr>
            </w:pPr>
            <w:r w:rsidRPr="00267462">
              <w:rPr>
                <w:b/>
              </w:rPr>
              <w:t>Increment</w:t>
            </w:r>
          </w:p>
        </w:tc>
      </w:tr>
      <w:tr w:rsidR="00952B26" w:rsidRPr="00267462" w:rsidTr="003F7270">
        <w:tc>
          <w:tcPr>
            <w:tcW w:w="5000" w:type="pct"/>
            <w:gridSpan w:val="4"/>
            <w:vAlign w:val="center"/>
          </w:tcPr>
          <w:p w:rsidR="00952B26" w:rsidRPr="00267462" w:rsidRDefault="00952B26" w:rsidP="00D309A1">
            <w:pPr>
              <w:pStyle w:val="Tabletext"/>
              <w:keepNext/>
              <w:rPr>
                <w:b/>
                <w:snapToGrid w:val="0"/>
              </w:rPr>
            </w:pPr>
            <w:r w:rsidRPr="00267462">
              <w:rPr>
                <w:b/>
                <w:snapToGrid w:val="0"/>
              </w:rPr>
              <w:t>Step 1: ‘trial-based’ costs and outcomes</w:t>
            </w:r>
            <w:r w:rsidRPr="00267462">
              <w:rPr>
                <w:b/>
                <w:snapToGrid w:val="0"/>
                <w:vertAlign w:val="superscript"/>
              </w:rPr>
              <w:t>#</w:t>
            </w:r>
          </w:p>
          <w:p w:rsidR="00952B26" w:rsidRPr="00267462" w:rsidRDefault="00952B26" w:rsidP="00D309A1">
            <w:pPr>
              <w:pStyle w:val="Tabletext"/>
              <w:keepNext/>
              <w:numPr>
                <w:ilvl w:val="0"/>
                <w:numId w:val="5"/>
              </w:numPr>
              <w:ind w:left="254" w:hanging="142"/>
              <w:rPr>
                <w:bCs/>
                <w:snapToGrid w:val="0"/>
              </w:rPr>
            </w:pPr>
            <w:r w:rsidRPr="00267462">
              <w:rPr>
                <w:bCs/>
                <w:snapToGrid w:val="0"/>
              </w:rPr>
              <w:t xml:space="preserve">ITT population; time horizon 0.25 of a year; observed distribution across health states in Study 140/142; observed discontinuation in </w:t>
            </w:r>
            <w:r w:rsidR="006641EB" w:rsidRPr="00267462">
              <w:rPr>
                <w:bCs/>
                <w:snapToGrid w:val="0"/>
              </w:rPr>
              <w:t xml:space="preserve">Study </w:t>
            </w:r>
            <w:r w:rsidRPr="00267462">
              <w:rPr>
                <w:bCs/>
                <w:snapToGrid w:val="0"/>
              </w:rPr>
              <w:t>140/142</w:t>
            </w:r>
          </w:p>
        </w:tc>
      </w:tr>
      <w:tr w:rsidR="00952B26" w:rsidRPr="00267462" w:rsidTr="003F7270">
        <w:tc>
          <w:tcPr>
            <w:tcW w:w="1529" w:type="pct"/>
            <w:vAlign w:val="center"/>
          </w:tcPr>
          <w:p w:rsidR="00952B26" w:rsidRPr="00267462" w:rsidRDefault="00952B26" w:rsidP="00D309A1">
            <w:pPr>
              <w:pStyle w:val="Tabletext"/>
              <w:keepNext/>
              <w:rPr>
                <w:rFonts w:ascii="Times" w:hAnsi="Times"/>
              </w:rPr>
            </w:pPr>
            <w:r w:rsidRPr="00267462">
              <w:t>Costs</w:t>
            </w:r>
          </w:p>
        </w:tc>
        <w:tc>
          <w:tcPr>
            <w:tcW w:w="1359" w:type="pct"/>
            <w:vAlign w:val="bottom"/>
          </w:tcPr>
          <w:p w:rsidR="00952B26" w:rsidRPr="00267462" w:rsidRDefault="00952B26" w:rsidP="00D309A1">
            <w:pPr>
              <w:pStyle w:val="Tabletext"/>
              <w:keepNext/>
              <w:jc w:val="center"/>
            </w:pPr>
            <w:r w:rsidRPr="00267462">
              <w:t>$</w:t>
            </w:r>
            <w:r w:rsidR="00EA7891">
              <w:rPr>
                <w:noProof/>
                <w:color w:val="000000"/>
                <w:highlight w:val="black"/>
              </w:rPr>
              <w:t>''''''''''''''</w:t>
            </w:r>
          </w:p>
        </w:tc>
        <w:tc>
          <w:tcPr>
            <w:tcW w:w="1274" w:type="pct"/>
            <w:vAlign w:val="bottom"/>
          </w:tcPr>
          <w:p w:rsidR="00952B26" w:rsidRPr="00267462" w:rsidRDefault="00952B26" w:rsidP="00D309A1">
            <w:pPr>
              <w:pStyle w:val="Tabletext"/>
              <w:keepNext/>
              <w:jc w:val="center"/>
            </w:pPr>
            <w:r w:rsidRPr="00267462">
              <w:t>-</w:t>
            </w:r>
          </w:p>
        </w:tc>
        <w:tc>
          <w:tcPr>
            <w:tcW w:w="838" w:type="pct"/>
            <w:vAlign w:val="bottom"/>
          </w:tcPr>
          <w:p w:rsidR="00952B26" w:rsidRPr="00267462" w:rsidRDefault="00952B26" w:rsidP="00D309A1">
            <w:pPr>
              <w:pStyle w:val="Tabletext"/>
              <w:keepNext/>
              <w:jc w:val="center"/>
            </w:pPr>
            <w:r w:rsidRPr="00267462">
              <w:t>$</w:t>
            </w:r>
            <w:r w:rsidR="00EA7891">
              <w:rPr>
                <w:noProof/>
                <w:color w:val="000000"/>
                <w:highlight w:val="black"/>
              </w:rPr>
              <w:t>'''''''''''''</w:t>
            </w:r>
          </w:p>
        </w:tc>
      </w:tr>
      <w:tr w:rsidR="00952B26" w:rsidRPr="00267462" w:rsidTr="003F7270">
        <w:tc>
          <w:tcPr>
            <w:tcW w:w="1529" w:type="pct"/>
            <w:vAlign w:val="center"/>
          </w:tcPr>
          <w:p w:rsidR="00952B26" w:rsidRPr="00267462" w:rsidRDefault="00952B26" w:rsidP="00D309A1">
            <w:pPr>
              <w:pStyle w:val="Tabletext"/>
              <w:keepNext/>
              <w:rPr>
                <w:rFonts w:ascii="Times" w:hAnsi="Times"/>
              </w:rPr>
            </w:pPr>
            <w:r w:rsidRPr="00267462">
              <w:t>QALYs</w:t>
            </w:r>
          </w:p>
        </w:tc>
        <w:tc>
          <w:tcPr>
            <w:tcW w:w="1359" w:type="pct"/>
            <w:vAlign w:val="bottom"/>
          </w:tcPr>
          <w:p w:rsidR="00952B26" w:rsidRPr="00267462" w:rsidRDefault="00952B26" w:rsidP="00D309A1">
            <w:pPr>
              <w:pStyle w:val="Tabletext"/>
              <w:keepNext/>
              <w:jc w:val="center"/>
            </w:pPr>
            <w:r w:rsidRPr="00267462">
              <w:t>0.144</w:t>
            </w:r>
            <w:r w:rsidRPr="00267462">
              <w:rPr>
                <w:iCs/>
              </w:rPr>
              <w:t>9</w:t>
            </w:r>
          </w:p>
        </w:tc>
        <w:tc>
          <w:tcPr>
            <w:tcW w:w="1274" w:type="pct"/>
            <w:vAlign w:val="bottom"/>
          </w:tcPr>
          <w:p w:rsidR="00952B26" w:rsidRPr="00267462" w:rsidRDefault="00952B26" w:rsidP="00D309A1">
            <w:pPr>
              <w:pStyle w:val="Tabletext"/>
              <w:keepNext/>
              <w:jc w:val="center"/>
            </w:pPr>
            <w:r w:rsidRPr="00267462">
              <w:t>0.14</w:t>
            </w:r>
            <w:r w:rsidRPr="00267462">
              <w:rPr>
                <w:iCs/>
              </w:rPr>
              <w:t>12</w:t>
            </w:r>
          </w:p>
        </w:tc>
        <w:tc>
          <w:tcPr>
            <w:tcW w:w="838" w:type="pct"/>
            <w:vAlign w:val="center"/>
          </w:tcPr>
          <w:p w:rsidR="00952B26" w:rsidRPr="00267462" w:rsidRDefault="00952B26" w:rsidP="00D309A1">
            <w:pPr>
              <w:pStyle w:val="Tabletext"/>
              <w:keepNext/>
              <w:jc w:val="center"/>
              <w:rPr>
                <w:iCs/>
              </w:rPr>
            </w:pPr>
            <w:r w:rsidRPr="00267462">
              <w:rPr>
                <w:iCs/>
              </w:rPr>
              <w:t>0.0037</w:t>
            </w:r>
          </w:p>
        </w:tc>
      </w:tr>
      <w:tr w:rsidR="00952B26" w:rsidRPr="00267462" w:rsidTr="003F7270">
        <w:tc>
          <w:tcPr>
            <w:tcW w:w="4162" w:type="pct"/>
            <w:gridSpan w:val="3"/>
            <w:vAlign w:val="center"/>
          </w:tcPr>
          <w:p w:rsidR="00952B26" w:rsidRPr="00267462" w:rsidRDefault="00952B26" w:rsidP="00D309A1">
            <w:pPr>
              <w:pStyle w:val="Tabletext"/>
              <w:keepNext/>
              <w:rPr>
                <w:rFonts w:ascii="Times" w:hAnsi="Times"/>
                <w:snapToGrid w:val="0"/>
              </w:rPr>
            </w:pPr>
            <w:r w:rsidRPr="00267462">
              <w:t>Incremental cost/extra QALY gained</w:t>
            </w:r>
          </w:p>
        </w:tc>
        <w:tc>
          <w:tcPr>
            <w:tcW w:w="838" w:type="pct"/>
            <w:vAlign w:val="center"/>
          </w:tcPr>
          <w:p w:rsidR="00952B26" w:rsidRPr="00267462" w:rsidRDefault="00952B26" w:rsidP="00D309A1">
            <w:pPr>
              <w:pStyle w:val="Tabletext"/>
              <w:keepNext/>
              <w:jc w:val="center"/>
              <w:rPr>
                <w:iCs/>
              </w:rPr>
            </w:pPr>
            <w:r w:rsidRPr="00267462">
              <w:rPr>
                <w:iCs/>
              </w:rPr>
              <w:t>$</w:t>
            </w:r>
            <w:r w:rsidR="00EA7891">
              <w:rPr>
                <w:iCs/>
                <w:noProof/>
                <w:color w:val="000000"/>
                <w:highlight w:val="black"/>
              </w:rPr>
              <w:t>'''''''''''''''''''</w:t>
            </w:r>
            <w:r w:rsidRPr="00267462">
              <w:rPr>
                <w:iCs/>
                <w:vertAlign w:val="superscript"/>
              </w:rPr>
              <w:t>#</w:t>
            </w:r>
          </w:p>
        </w:tc>
      </w:tr>
      <w:tr w:rsidR="00952B26" w:rsidRPr="00267462" w:rsidTr="003F7270">
        <w:tc>
          <w:tcPr>
            <w:tcW w:w="5000" w:type="pct"/>
            <w:gridSpan w:val="4"/>
            <w:vAlign w:val="center"/>
          </w:tcPr>
          <w:p w:rsidR="00952B26" w:rsidRPr="00267462" w:rsidRDefault="00952B26" w:rsidP="00D309A1">
            <w:pPr>
              <w:pStyle w:val="Tabletext"/>
              <w:keepNext/>
              <w:rPr>
                <w:b/>
                <w:vertAlign w:val="superscript"/>
              </w:rPr>
            </w:pPr>
            <w:r w:rsidRPr="00267462">
              <w:rPr>
                <w:b/>
                <w:snapToGrid w:val="0"/>
              </w:rPr>
              <w:t xml:space="preserve">Step 2: </w:t>
            </w:r>
            <w:r w:rsidRPr="00267462">
              <w:rPr>
                <w:b/>
              </w:rPr>
              <w:t>time horizon extended to 1 year</w:t>
            </w:r>
            <w:r w:rsidRPr="00267462">
              <w:rPr>
                <w:b/>
                <w:vertAlign w:val="superscript"/>
              </w:rPr>
              <w:t>#</w:t>
            </w:r>
          </w:p>
          <w:p w:rsidR="00952B26" w:rsidRPr="00267462" w:rsidRDefault="00952B26" w:rsidP="00D309A1">
            <w:pPr>
              <w:pStyle w:val="Tabletext"/>
              <w:keepNext/>
              <w:numPr>
                <w:ilvl w:val="0"/>
                <w:numId w:val="5"/>
              </w:numPr>
              <w:ind w:left="254" w:hanging="142"/>
              <w:rPr>
                <w:bCs/>
                <w:snapToGrid w:val="0"/>
              </w:rPr>
            </w:pPr>
            <w:r w:rsidRPr="00267462">
              <w:rPr>
                <w:bCs/>
                <w:snapToGrid w:val="0"/>
              </w:rPr>
              <w:t xml:space="preserve">ITT population; time horizon 1 year; observed distribution across health states in Study 140/142; observed discontinuation in </w:t>
            </w:r>
            <w:r w:rsidR="006641EB" w:rsidRPr="00267462">
              <w:rPr>
                <w:bCs/>
                <w:snapToGrid w:val="0"/>
              </w:rPr>
              <w:t xml:space="preserve">Study </w:t>
            </w:r>
            <w:r w:rsidRPr="00267462">
              <w:rPr>
                <w:bCs/>
                <w:snapToGrid w:val="0"/>
              </w:rPr>
              <w:t>140/142</w:t>
            </w:r>
          </w:p>
        </w:tc>
      </w:tr>
      <w:tr w:rsidR="00952B26" w:rsidRPr="00267462" w:rsidTr="003F7270">
        <w:tc>
          <w:tcPr>
            <w:tcW w:w="1529" w:type="pct"/>
            <w:vAlign w:val="center"/>
          </w:tcPr>
          <w:p w:rsidR="00952B26" w:rsidRPr="00267462" w:rsidRDefault="00952B26" w:rsidP="00D309A1">
            <w:pPr>
              <w:pStyle w:val="Tabletext"/>
              <w:keepNext/>
              <w:rPr>
                <w:rFonts w:ascii="Times" w:hAnsi="Times"/>
              </w:rPr>
            </w:pPr>
            <w:r w:rsidRPr="00267462">
              <w:t>Costs</w:t>
            </w:r>
          </w:p>
        </w:tc>
        <w:tc>
          <w:tcPr>
            <w:tcW w:w="1359" w:type="pct"/>
            <w:vAlign w:val="bottom"/>
          </w:tcPr>
          <w:p w:rsidR="00952B26" w:rsidRPr="00267462" w:rsidRDefault="00952B26" w:rsidP="00D309A1">
            <w:pPr>
              <w:pStyle w:val="Tabletext"/>
              <w:keepNext/>
              <w:jc w:val="center"/>
            </w:pPr>
            <w:r w:rsidRPr="00267462">
              <w:t>$</w:t>
            </w:r>
            <w:r w:rsidR="00EA7891">
              <w:rPr>
                <w:noProof/>
                <w:color w:val="000000"/>
                <w:highlight w:val="black"/>
              </w:rPr>
              <w:t>'''''''''''''''</w:t>
            </w:r>
          </w:p>
        </w:tc>
        <w:tc>
          <w:tcPr>
            <w:tcW w:w="1274" w:type="pct"/>
            <w:vAlign w:val="bottom"/>
          </w:tcPr>
          <w:p w:rsidR="00952B26" w:rsidRPr="00267462" w:rsidRDefault="00952B26" w:rsidP="00D309A1">
            <w:pPr>
              <w:pStyle w:val="Tabletext"/>
              <w:keepNext/>
              <w:jc w:val="center"/>
            </w:pPr>
            <w:r w:rsidRPr="00267462">
              <w:t>-</w:t>
            </w:r>
          </w:p>
        </w:tc>
        <w:tc>
          <w:tcPr>
            <w:tcW w:w="838" w:type="pct"/>
            <w:vAlign w:val="bottom"/>
          </w:tcPr>
          <w:p w:rsidR="00952B26" w:rsidRPr="00267462" w:rsidRDefault="00952B26" w:rsidP="00D309A1">
            <w:pPr>
              <w:pStyle w:val="Tabletext"/>
              <w:keepNext/>
              <w:jc w:val="center"/>
            </w:pPr>
            <w:r w:rsidRPr="00267462">
              <w:t>$</w:t>
            </w:r>
            <w:r w:rsidR="00EA7891">
              <w:rPr>
                <w:noProof/>
                <w:color w:val="000000"/>
                <w:highlight w:val="black"/>
              </w:rPr>
              <w:t>''''''''''''</w:t>
            </w:r>
          </w:p>
        </w:tc>
      </w:tr>
      <w:tr w:rsidR="00952B26" w:rsidRPr="00267462" w:rsidTr="003F7270">
        <w:tc>
          <w:tcPr>
            <w:tcW w:w="1529" w:type="pct"/>
            <w:vAlign w:val="center"/>
          </w:tcPr>
          <w:p w:rsidR="00952B26" w:rsidRPr="00267462" w:rsidRDefault="00952B26" w:rsidP="00D309A1">
            <w:pPr>
              <w:pStyle w:val="Tabletext"/>
              <w:keepNext/>
              <w:rPr>
                <w:rFonts w:ascii="Times" w:hAnsi="Times"/>
              </w:rPr>
            </w:pPr>
            <w:r w:rsidRPr="00267462">
              <w:t>QALYs</w:t>
            </w:r>
          </w:p>
        </w:tc>
        <w:tc>
          <w:tcPr>
            <w:tcW w:w="1359" w:type="pct"/>
            <w:vAlign w:val="bottom"/>
          </w:tcPr>
          <w:p w:rsidR="00952B26" w:rsidRPr="00267462" w:rsidRDefault="00952B26" w:rsidP="00D309A1">
            <w:pPr>
              <w:pStyle w:val="Tabletext"/>
              <w:keepNext/>
              <w:jc w:val="center"/>
            </w:pPr>
            <w:r w:rsidRPr="00267462">
              <w:t>0.4990</w:t>
            </w:r>
          </w:p>
        </w:tc>
        <w:tc>
          <w:tcPr>
            <w:tcW w:w="1274" w:type="pct"/>
            <w:vAlign w:val="bottom"/>
          </w:tcPr>
          <w:p w:rsidR="00952B26" w:rsidRPr="00267462" w:rsidRDefault="00952B26" w:rsidP="00D309A1">
            <w:pPr>
              <w:pStyle w:val="Tabletext"/>
              <w:keepNext/>
              <w:jc w:val="center"/>
            </w:pPr>
            <w:r w:rsidRPr="00267462">
              <w:t>0.4906</w:t>
            </w:r>
          </w:p>
        </w:tc>
        <w:tc>
          <w:tcPr>
            <w:tcW w:w="838" w:type="pct"/>
            <w:vAlign w:val="bottom"/>
          </w:tcPr>
          <w:p w:rsidR="00952B26" w:rsidRPr="00267462" w:rsidRDefault="00952B26" w:rsidP="00D309A1">
            <w:pPr>
              <w:pStyle w:val="Tabletext"/>
              <w:keepNext/>
              <w:jc w:val="center"/>
            </w:pPr>
            <w:r w:rsidRPr="00267462">
              <w:t>0.0085</w:t>
            </w:r>
          </w:p>
        </w:tc>
      </w:tr>
      <w:tr w:rsidR="00952B26" w:rsidRPr="00267462" w:rsidTr="003F7270">
        <w:tc>
          <w:tcPr>
            <w:tcW w:w="4162" w:type="pct"/>
            <w:gridSpan w:val="3"/>
            <w:vAlign w:val="center"/>
          </w:tcPr>
          <w:p w:rsidR="00952B26" w:rsidRPr="00267462" w:rsidRDefault="00952B26" w:rsidP="00D309A1">
            <w:pPr>
              <w:pStyle w:val="Tabletext"/>
              <w:keepNext/>
              <w:rPr>
                <w:rFonts w:ascii="Times" w:hAnsi="Times"/>
                <w:snapToGrid w:val="0"/>
              </w:rPr>
            </w:pPr>
            <w:r w:rsidRPr="00267462">
              <w:t>Incremental cost/extra QALY gained</w:t>
            </w:r>
          </w:p>
        </w:tc>
        <w:tc>
          <w:tcPr>
            <w:tcW w:w="838" w:type="pct"/>
            <w:vAlign w:val="center"/>
          </w:tcPr>
          <w:p w:rsidR="00952B26" w:rsidRPr="00267462" w:rsidRDefault="00952B26" w:rsidP="00D309A1">
            <w:pPr>
              <w:pStyle w:val="Tabletext"/>
              <w:keepNext/>
              <w:jc w:val="center"/>
            </w:pPr>
            <w:r w:rsidRPr="00267462">
              <w:t>$</w:t>
            </w:r>
            <w:r w:rsidR="00EA7891">
              <w:rPr>
                <w:noProof/>
                <w:color w:val="000000"/>
                <w:highlight w:val="black"/>
              </w:rPr>
              <w:t>''''''''''''''''''</w:t>
            </w:r>
          </w:p>
        </w:tc>
      </w:tr>
      <w:tr w:rsidR="00952B26" w:rsidRPr="00267462" w:rsidTr="003F7270">
        <w:tc>
          <w:tcPr>
            <w:tcW w:w="5000" w:type="pct"/>
            <w:gridSpan w:val="4"/>
            <w:vAlign w:val="center"/>
          </w:tcPr>
          <w:p w:rsidR="00952B26" w:rsidRPr="00267462" w:rsidRDefault="00952B26" w:rsidP="00D309A1">
            <w:pPr>
              <w:pStyle w:val="Tabletext"/>
              <w:keepNext/>
              <w:rPr>
                <w:b/>
                <w:snapToGrid w:val="0"/>
              </w:rPr>
            </w:pPr>
            <w:r w:rsidRPr="00267462">
              <w:rPr>
                <w:b/>
                <w:snapToGrid w:val="0"/>
              </w:rPr>
              <w:t>Step 3: subgroup</w:t>
            </w:r>
          </w:p>
          <w:p w:rsidR="00952B26" w:rsidRPr="00267462" w:rsidRDefault="00952B26" w:rsidP="00D309A1">
            <w:pPr>
              <w:pStyle w:val="Tabletext"/>
              <w:keepNext/>
              <w:numPr>
                <w:ilvl w:val="0"/>
                <w:numId w:val="5"/>
              </w:numPr>
              <w:ind w:left="254" w:hanging="142"/>
              <w:rPr>
                <w:b/>
                <w:snapToGrid w:val="0"/>
              </w:rPr>
            </w:pPr>
            <w:r w:rsidRPr="00267462">
              <w:rPr>
                <w:bCs/>
                <w:snapToGrid w:val="0"/>
              </w:rPr>
              <w:t xml:space="preserve">Subgroup (event ≤2 years); time horizon 1 year; observed distribution across health states in Study 140/142 observed discontinuation in </w:t>
            </w:r>
            <w:r w:rsidR="006641EB" w:rsidRPr="00267462">
              <w:rPr>
                <w:bCs/>
                <w:snapToGrid w:val="0"/>
              </w:rPr>
              <w:t xml:space="preserve">Study </w:t>
            </w:r>
            <w:r w:rsidRPr="00267462">
              <w:rPr>
                <w:bCs/>
                <w:snapToGrid w:val="0"/>
              </w:rPr>
              <w:t>140/142</w:t>
            </w:r>
            <w:r w:rsidR="00DD5908" w:rsidRPr="00267462">
              <w:rPr>
                <w:bCs/>
                <w:snapToGrid w:val="0"/>
              </w:rPr>
              <w:t>*</w:t>
            </w:r>
          </w:p>
        </w:tc>
      </w:tr>
      <w:tr w:rsidR="00952B26" w:rsidRPr="00267462" w:rsidTr="003F7270">
        <w:tc>
          <w:tcPr>
            <w:tcW w:w="1529" w:type="pct"/>
            <w:vAlign w:val="center"/>
          </w:tcPr>
          <w:p w:rsidR="00952B26" w:rsidRPr="00267462" w:rsidRDefault="00952B26" w:rsidP="00D309A1">
            <w:pPr>
              <w:pStyle w:val="Tabletext"/>
              <w:keepNext/>
              <w:rPr>
                <w:rFonts w:ascii="Times" w:hAnsi="Times"/>
              </w:rPr>
            </w:pPr>
            <w:r w:rsidRPr="00267462">
              <w:t>Costs</w:t>
            </w:r>
          </w:p>
        </w:tc>
        <w:tc>
          <w:tcPr>
            <w:tcW w:w="1359" w:type="pct"/>
            <w:vAlign w:val="bottom"/>
          </w:tcPr>
          <w:p w:rsidR="00952B26" w:rsidRPr="00267462" w:rsidRDefault="00952B26" w:rsidP="00D309A1">
            <w:pPr>
              <w:pStyle w:val="Tabletext"/>
              <w:keepNext/>
              <w:jc w:val="center"/>
            </w:pPr>
            <w:r w:rsidRPr="00267462">
              <w:t>$</w:t>
            </w:r>
            <w:r w:rsidR="00EA7891">
              <w:rPr>
                <w:noProof/>
                <w:color w:val="000000"/>
                <w:highlight w:val="black"/>
              </w:rPr>
              <w:t>'''''''''''''</w:t>
            </w:r>
          </w:p>
        </w:tc>
        <w:tc>
          <w:tcPr>
            <w:tcW w:w="1274" w:type="pct"/>
            <w:vAlign w:val="bottom"/>
          </w:tcPr>
          <w:p w:rsidR="00952B26" w:rsidRPr="00267462" w:rsidRDefault="00952B26" w:rsidP="00D309A1">
            <w:pPr>
              <w:pStyle w:val="Tabletext"/>
              <w:keepNext/>
              <w:jc w:val="center"/>
            </w:pPr>
            <w:r w:rsidRPr="00267462">
              <w:t>-</w:t>
            </w:r>
          </w:p>
        </w:tc>
        <w:tc>
          <w:tcPr>
            <w:tcW w:w="838" w:type="pct"/>
            <w:vAlign w:val="bottom"/>
          </w:tcPr>
          <w:p w:rsidR="00952B26" w:rsidRPr="00267462" w:rsidRDefault="00952B26" w:rsidP="00D309A1">
            <w:pPr>
              <w:pStyle w:val="Tabletext"/>
              <w:keepNext/>
              <w:jc w:val="center"/>
            </w:pPr>
            <w:r w:rsidRPr="00267462">
              <w:t>$</w:t>
            </w:r>
            <w:r w:rsidR="00EA7891">
              <w:rPr>
                <w:noProof/>
                <w:color w:val="000000"/>
                <w:highlight w:val="black"/>
              </w:rPr>
              <w:t>''''''''''''</w:t>
            </w:r>
          </w:p>
        </w:tc>
      </w:tr>
      <w:tr w:rsidR="00952B26" w:rsidRPr="00267462" w:rsidTr="003F7270">
        <w:tc>
          <w:tcPr>
            <w:tcW w:w="1529" w:type="pct"/>
            <w:vAlign w:val="center"/>
          </w:tcPr>
          <w:p w:rsidR="00952B26" w:rsidRPr="00267462" w:rsidRDefault="00952B26" w:rsidP="00D309A1">
            <w:pPr>
              <w:pStyle w:val="Tabletext"/>
              <w:keepNext/>
              <w:rPr>
                <w:rFonts w:ascii="Times" w:hAnsi="Times"/>
              </w:rPr>
            </w:pPr>
            <w:r w:rsidRPr="00267462">
              <w:t>QALYs</w:t>
            </w:r>
          </w:p>
        </w:tc>
        <w:tc>
          <w:tcPr>
            <w:tcW w:w="1359" w:type="pct"/>
            <w:vAlign w:val="bottom"/>
          </w:tcPr>
          <w:p w:rsidR="00952B26" w:rsidRPr="00267462" w:rsidRDefault="00952B26" w:rsidP="00D309A1">
            <w:pPr>
              <w:pStyle w:val="Tabletext"/>
              <w:keepNext/>
              <w:jc w:val="center"/>
            </w:pPr>
            <w:r w:rsidRPr="00267462">
              <w:t>0.4974</w:t>
            </w:r>
          </w:p>
        </w:tc>
        <w:tc>
          <w:tcPr>
            <w:tcW w:w="1274" w:type="pct"/>
            <w:vAlign w:val="bottom"/>
          </w:tcPr>
          <w:p w:rsidR="00952B26" w:rsidRPr="00267462" w:rsidRDefault="00952B26" w:rsidP="00D309A1">
            <w:pPr>
              <w:pStyle w:val="Tabletext"/>
              <w:keepNext/>
              <w:jc w:val="center"/>
            </w:pPr>
            <w:r w:rsidRPr="00267462">
              <w:t>0.4805</w:t>
            </w:r>
          </w:p>
        </w:tc>
        <w:tc>
          <w:tcPr>
            <w:tcW w:w="838" w:type="pct"/>
            <w:vAlign w:val="bottom"/>
          </w:tcPr>
          <w:p w:rsidR="00952B26" w:rsidRPr="00267462" w:rsidRDefault="00952B26" w:rsidP="00D309A1">
            <w:pPr>
              <w:pStyle w:val="Tabletext"/>
              <w:keepNext/>
              <w:jc w:val="center"/>
            </w:pPr>
            <w:r w:rsidRPr="00267462">
              <w:t>0.0169</w:t>
            </w:r>
          </w:p>
        </w:tc>
      </w:tr>
      <w:tr w:rsidR="00952B26" w:rsidRPr="00267462" w:rsidTr="003F7270">
        <w:tc>
          <w:tcPr>
            <w:tcW w:w="4162" w:type="pct"/>
            <w:gridSpan w:val="3"/>
            <w:vAlign w:val="center"/>
          </w:tcPr>
          <w:p w:rsidR="00952B26" w:rsidRPr="00267462" w:rsidRDefault="00952B26" w:rsidP="00D309A1">
            <w:pPr>
              <w:pStyle w:val="Tabletext"/>
              <w:keepNext/>
              <w:rPr>
                <w:rFonts w:ascii="Times" w:hAnsi="Times"/>
              </w:rPr>
            </w:pPr>
            <w:r w:rsidRPr="00267462">
              <w:t>Incremental cost/extra QALY gained</w:t>
            </w:r>
          </w:p>
        </w:tc>
        <w:tc>
          <w:tcPr>
            <w:tcW w:w="838" w:type="pct"/>
            <w:vAlign w:val="center"/>
          </w:tcPr>
          <w:p w:rsidR="00952B26" w:rsidRPr="00267462" w:rsidRDefault="00952B26" w:rsidP="00D309A1">
            <w:pPr>
              <w:pStyle w:val="Tabletext"/>
              <w:keepNext/>
              <w:jc w:val="center"/>
            </w:pPr>
            <w:r w:rsidRPr="00267462">
              <w:t>$</w:t>
            </w:r>
            <w:r w:rsidR="00EA7891">
              <w:rPr>
                <w:noProof/>
                <w:color w:val="000000"/>
                <w:highlight w:val="black"/>
              </w:rPr>
              <w:t>''''''''''''''''''</w:t>
            </w:r>
          </w:p>
        </w:tc>
      </w:tr>
      <w:tr w:rsidR="00952B26" w:rsidRPr="00267462" w:rsidTr="003F7270">
        <w:tc>
          <w:tcPr>
            <w:tcW w:w="5000" w:type="pct"/>
            <w:gridSpan w:val="4"/>
            <w:vAlign w:val="center"/>
          </w:tcPr>
          <w:p w:rsidR="00952B26" w:rsidRPr="00267462" w:rsidRDefault="00952B26" w:rsidP="00D309A1">
            <w:pPr>
              <w:pStyle w:val="Tabletext"/>
              <w:keepNext/>
              <w:rPr>
                <w:b/>
                <w:snapToGrid w:val="0"/>
              </w:rPr>
            </w:pPr>
            <w:r w:rsidRPr="00267462">
              <w:rPr>
                <w:b/>
                <w:snapToGrid w:val="0"/>
              </w:rPr>
              <w:t>Step 4: time horizon extended to 10 years (5% discounting)</w:t>
            </w:r>
          </w:p>
          <w:p w:rsidR="00952B26" w:rsidRPr="00267462" w:rsidRDefault="00952B26" w:rsidP="00D309A1">
            <w:pPr>
              <w:pStyle w:val="Tabletext"/>
              <w:keepNext/>
              <w:numPr>
                <w:ilvl w:val="0"/>
                <w:numId w:val="5"/>
              </w:numPr>
              <w:ind w:left="254" w:hanging="142"/>
              <w:rPr>
                <w:b/>
                <w:snapToGrid w:val="0"/>
              </w:rPr>
            </w:pPr>
            <w:r w:rsidRPr="00267462">
              <w:rPr>
                <w:bCs/>
                <w:snapToGrid w:val="0"/>
              </w:rPr>
              <w:t>Subgroup (event ≤2 years)</w:t>
            </w:r>
            <w:r w:rsidR="000A06CE" w:rsidRPr="00267462">
              <w:rPr>
                <w:bCs/>
                <w:snapToGrid w:val="0"/>
              </w:rPr>
              <w:t>; t</w:t>
            </w:r>
            <w:r w:rsidRPr="00267462">
              <w:rPr>
                <w:bCs/>
                <w:snapToGrid w:val="0"/>
              </w:rPr>
              <w:t xml:space="preserve">ime horizon 10 year (5% discounting); observed (Study 140/142) then parametric distribution across health states in </w:t>
            </w:r>
            <w:r w:rsidR="006641EB" w:rsidRPr="00267462">
              <w:rPr>
                <w:bCs/>
                <w:snapToGrid w:val="0"/>
              </w:rPr>
              <w:t xml:space="preserve">Study </w:t>
            </w:r>
            <w:r w:rsidRPr="00267462">
              <w:rPr>
                <w:bCs/>
                <w:snapToGrid w:val="0"/>
              </w:rPr>
              <w:t xml:space="preserve">140/142; observed (Study 140/142) then parametric discontinuation in </w:t>
            </w:r>
            <w:r w:rsidR="006641EB" w:rsidRPr="00267462">
              <w:rPr>
                <w:bCs/>
                <w:snapToGrid w:val="0"/>
              </w:rPr>
              <w:t xml:space="preserve">Study </w:t>
            </w:r>
            <w:r w:rsidRPr="00267462">
              <w:rPr>
                <w:bCs/>
                <w:snapToGrid w:val="0"/>
              </w:rPr>
              <w:t>140/142</w:t>
            </w:r>
          </w:p>
        </w:tc>
      </w:tr>
      <w:tr w:rsidR="00952B26" w:rsidRPr="00267462" w:rsidTr="003F7270">
        <w:tc>
          <w:tcPr>
            <w:tcW w:w="1529" w:type="pct"/>
            <w:vAlign w:val="center"/>
          </w:tcPr>
          <w:p w:rsidR="00952B26" w:rsidRPr="00267462" w:rsidRDefault="00952B26" w:rsidP="00D309A1">
            <w:pPr>
              <w:pStyle w:val="Tabletext"/>
              <w:keepNext/>
              <w:rPr>
                <w:rFonts w:ascii="Times" w:hAnsi="Times"/>
              </w:rPr>
            </w:pPr>
            <w:r w:rsidRPr="00267462">
              <w:t>Costs</w:t>
            </w:r>
          </w:p>
        </w:tc>
        <w:tc>
          <w:tcPr>
            <w:tcW w:w="1359" w:type="pct"/>
            <w:vAlign w:val="bottom"/>
          </w:tcPr>
          <w:p w:rsidR="00952B26" w:rsidRPr="00267462" w:rsidRDefault="00952B26" w:rsidP="00D309A1">
            <w:pPr>
              <w:pStyle w:val="Tabletext"/>
              <w:keepNext/>
              <w:jc w:val="center"/>
            </w:pPr>
            <w:r w:rsidRPr="00267462">
              <w:t>$</w:t>
            </w:r>
            <w:r w:rsidR="00EA7891">
              <w:rPr>
                <w:noProof/>
                <w:color w:val="000000"/>
                <w:highlight w:val="black"/>
              </w:rPr>
              <w:t>'''''''''''''''''</w:t>
            </w:r>
          </w:p>
        </w:tc>
        <w:tc>
          <w:tcPr>
            <w:tcW w:w="1274" w:type="pct"/>
            <w:vAlign w:val="bottom"/>
          </w:tcPr>
          <w:p w:rsidR="00952B26" w:rsidRPr="00267462" w:rsidRDefault="00952B26" w:rsidP="00D309A1">
            <w:pPr>
              <w:pStyle w:val="Tabletext"/>
              <w:keepNext/>
              <w:jc w:val="center"/>
            </w:pPr>
            <w:r w:rsidRPr="00267462">
              <w:t>-</w:t>
            </w:r>
          </w:p>
        </w:tc>
        <w:tc>
          <w:tcPr>
            <w:tcW w:w="838" w:type="pct"/>
            <w:vAlign w:val="bottom"/>
          </w:tcPr>
          <w:p w:rsidR="00952B26" w:rsidRPr="00267462" w:rsidRDefault="00952B26" w:rsidP="00D309A1">
            <w:pPr>
              <w:pStyle w:val="Tabletext"/>
              <w:keepNext/>
              <w:jc w:val="center"/>
            </w:pPr>
            <w:r w:rsidRPr="00267462">
              <w:t>$</w:t>
            </w:r>
            <w:r w:rsidR="00EA7891">
              <w:rPr>
                <w:noProof/>
                <w:color w:val="000000"/>
                <w:highlight w:val="black"/>
              </w:rPr>
              <w:t>''''''''''''''''</w:t>
            </w:r>
          </w:p>
        </w:tc>
      </w:tr>
      <w:tr w:rsidR="00952B26" w:rsidRPr="00267462" w:rsidTr="003F7270">
        <w:tc>
          <w:tcPr>
            <w:tcW w:w="1529" w:type="pct"/>
            <w:vAlign w:val="center"/>
          </w:tcPr>
          <w:p w:rsidR="00952B26" w:rsidRPr="00267462" w:rsidRDefault="00952B26" w:rsidP="00D309A1">
            <w:pPr>
              <w:pStyle w:val="Tabletext"/>
              <w:keepNext/>
              <w:rPr>
                <w:rFonts w:ascii="Times" w:hAnsi="Times"/>
              </w:rPr>
            </w:pPr>
            <w:r w:rsidRPr="00267462">
              <w:t>QALYs</w:t>
            </w:r>
          </w:p>
        </w:tc>
        <w:tc>
          <w:tcPr>
            <w:tcW w:w="1359" w:type="pct"/>
            <w:vAlign w:val="bottom"/>
          </w:tcPr>
          <w:p w:rsidR="00952B26" w:rsidRPr="00267462" w:rsidRDefault="00952B26" w:rsidP="00D309A1">
            <w:pPr>
              <w:pStyle w:val="Tabletext"/>
              <w:keepNext/>
              <w:jc w:val="center"/>
            </w:pPr>
            <w:r w:rsidRPr="00267462">
              <w:t>3.7921</w:t>
            </w:r>
          </w:p>
        </w:tc>
        <w:tc>
          <w:tcPr>
            <w:tcW w:w="1274" w:type="pct"/>
            <w:vAlign w:val="bottom"/>
          </w:tcPr>
          <w:p w:rsidR="00952B26" w:rsidRPr="00267462" w:rsidRDefault="00952B26" w:rsidP="00D309A1">
            <w:pPr>
              <w:pStyle w:val="Tabletext"/>
              <w:keepNext/>
              <w:jc w:val="center"/>
            </w:pPr>
            <w:r w:rsidRPr="00267462">
              <w:t>3.4001</w:t>
            </w:r>
          </w:p>
        </w:tc>
        <w:tc>
          <w:tcPr>
            <w:tcW w:w="838" w:type="pct"/>
            <w:vAlign w:val="bottom"/>
          </w:tcPr>
          <w:p w:rsidR="00952B26" w:rsidRPr="00267462" w:rsidRDefault="00952B26" w:rsidP="00D309A1">
            <w:pPr>
              <w:pStyle w:val="Tabletext"/>
              <w:keepNext/>
              <w:jc w:val="center"/>
            </w:pPr>
            <w:r w:rsidRPr="00267462">
              <w:t>0.3920</w:t>
            </w:r>
          </w:p>
        </w:tc>
      </w:tr>
      <w:tr w:rsidR="00952B26" w:rsidRPr="00267462" w:rsidTr="003F7270">
        <w:tc>
          <w:tcPr>
            <w:tcW w:w="4162" w:type="pct"/>
            <w:gridSpan w:val="3"/>
            <w:vAlign w:val="center"/>
          </w:tcPr>
          <w:p w:rsidR="00952B26" w:rsidRPr="00267462" w:rsidRDefault="00952B26" w:rsidP="00D309A1">
            <w:pPr>
              <w:pStyle w:val="Tabletext"/>
              <w:keepNext/>
              <w:rPr>
                <w:rFonts w:ascii="Times" w:hAnsi="Times"/>
              </w:rPr>
            </w:pPr>
            <w:r w:rsidRPr="00267462">
              <w:t>Incremental cost/extra LYG gained</w:t>
            </w:r>
          </w:p>
        </w:tc>
        <w:tc>
          <w:tcPr>
            <w:tcW w:w="838" w:type="pct"/>
            <w:vAlign w:val="center"/>
          </w:tcPr>
          <w:p w:rsidR="00952B26" w:rsidRPr="00267462" w:rsidRDefault="00952B26" w:rsidP="00D309A1">
            <w:pPr>
              <w:pStyle w:val="Tabletext"/>
              <w:keepNext/>
              <w:jc w:val="center"/>
            </w:pPr>
            <w:r w:rsidRPr="00267462">
              <w:t>$</w:t>
            </w:r>
            <w:r w:rsidR="00EA7891">
              <w:rPr>
                <w:noProof/>
                <w:color w:val="000000"/>
                <w:highlight w:val="black"/>
              </w:rPr>
              <w:t>'''''''''''''''''</w:t>
            </w:r>
          </w:p>
        </w:tc>
      </w:tr>
      <w:tr w:rsidR="00952B26" w:rsidRPr="00267462" w:rsidTr="003F7270">
        <w:tc>
          <w:tcPr>
            <w:tcW w:w="5000" w:type="pct"/>
            <w:gridSpan w:val="4"/>
            <w:vAlign w:val="center"/>
          </w:tcPr>
          <w:p w:rsidR="00952B26" w:rsidRPr="00267462" w:rsidRDefault="00952B26" w:rsidP="00D309A1">
            <w:pPr>
              <w:pStyle w:val="Tabletext"/>
              <w:keepNext/>
              <w:rPr>
                <w:b/>
                <w:snapToGrid w:val="0"/>
              </w:rPr>
            </w:pPr>
            <w:r w:rsidRPr="00267462">
              <w:rPr>
                <w:b/>
                <w:snapToGrid w:val="0"/>
              </w:rPr>
              <w:t>Step 5: complete parametric analysis</w:t>
            </w:r>
          </w:p>
          <w:p w:rsidR="00952B26" w:rsidRPr="00267462" w:rsidRDefault="00952B26" w:rsidP="00D309A1">
            <w:pPr>
              <w:pStyle w:val="Tabletext"/>
              <w:keepNext/>
              <w:numPr>
                <w:ilvl w:val="0"/>
                <w:numId w:val="5"/>
              </w:numPr>
              <w:ind w:left="254" w:hanging="142"/>
              <w:rPr>
                <w:b/>
                <w:snapToGrid w:val="0"/>
              </w:rPr>
            </w:pPr>
            <w:r w:rsidRPr="00267462">
              <w:rPr>
                <w:bCs/>
                <w:snapToGrid w:val="0"/>
              </w:rPr>
              <w:t>Subgroup (event ≤2 years); time horizon 10 year; parametric distribution across health states; parametric discontinuation</w:t>
            </w:r>
          </w:p>
        </w:tc>
      </w:tr>
      <w:tr w:rsidR="00952B26" w:rsidRPr="00267462" w:rsidTr="003F7270">
        <w:tc>
          <w:tcPr>
            <w:tcW w:w="1529" w:type="pct"/>
            <w:vAlign w:val="center"/>
          </w:tcPr>
          <w:p w:rsidR="00952B26" w:rsidRPr="00267462" w:rsidRDefault="00952B26" w:rsidP="00D309A1">
            <w:pPr>
              <w:pStyle w:val="Tabletext"/>
              <w:keepNext/>
              <w:rPr>
                <w:rFonts w:ascii="Times" w:hAnsi="Times"/>
              </w:rPr>
            </w:pPr>
            <w:r w:rsidRPr="00267462">
              <w:t>Costs</w:t>
            </w:r>
          </w:p>
        </w:tc>
        <w:tc>
          <w:tcPr>
            <w:tcW w:w="1359" w:type="pct"/>
            <w:vAlign w:val="bottom"/>
          </w:tcPr>
          <w:p w:rsidR="00952B26" w:rsidRPr="00267462" w:rsidRDefault="00952B26" w:rsidP="00D309A1">
            <w:pPr>
              <w:pStyle w:val="Tabletext"/>
              <w:keepNext/>
              <w:jc w:val="center"/>
            </w:pPr>
            <w:r w:rsidRPr="00267462">
              <w:t>$</w:t>
            </w:r>
            <w:r w:rsidR="00EA7891">
              <w:rPr>
                <w:noProof/>
                <w:color w:val="000000"/>
                <w:highlight w:val="black"/>
              </w:rPr>
              <w:t>'''''''''''''''''</w:t>
            </w:r>
          </w:p>
        </w:tc>
        <w:tc>
          <w:tcPr>
            <w:tcW w:w="1274" w:type="pct"/>
            <w:vAlign w:val="bottom"/>
          </w:tcPr>
          <w:p w:rsidR="00952B26" w:rsidRPr="00267462" w:rsidRDefault="00952B26" w:rsidP="00D309A1">
            <w:pPr>
              <w:pStyle w:val="Tabletext"/>
              <w:keepNext/>
              <w:jc w:val="center"/>
            </w:pPr>
            <w:r w:rsidRPr="00267462">
              <w:t>-</w:t>
            </w:r>
          </w:p>
        </w:tc>
        <w:tc>
          <w:tcPr>
            <w:tcW w:w="838" w:type="pct"/>
            <w:vAlign w:val="bottom"/>
          </w:tcPr>
          <w:p w:rsidR="00952B26" w:rsidRPr="00267462" w:rsidRDefault="00952B26" w:rsidP="00D309A1">
            <w:pPr>
              <w:pStyle w:val="Tabletext"/>
              <w:keepNext/>
              <w:jc w:val="center"/>
            </w:pPr>
            <w:r w:rsidRPr="00267462">
              <w:t>$</w:t>
            </w:r>
            <w:r w:rsidR="00EA7891">
              <w:rPr>
                <w:noProof/>
                <w:color w:val="000000"/>
                <w:highlight w:val="black"/>
              </w:rPr>
              <w:t>''''''''''''''''''</w:t>
            </w:r>
          </w:p>
        </w:tc>
      </w:tr>
      <w:tr w:rsidR="00952B26" w:rsidRPr="00267462" w:rsidTr="003F7270">
        <w:tc>
          <w:tcPr>
            <w:tcW w:w="1529" w:type="pct"/>
            <w:vAlign w:val="center"/>
          </w:tcPr>
          <w:p w:rsidR="00952B26" w:rsidRPr="00267462" w:rsidRDefault="00952B26" w:rsidP="00D309A1">
            <w:pPr>
              <w:pStyle w:val="Tabletext"/>
              <w:keepNext/>
              <w:rPr>
                <w:rFonts w:ascii="Times" w:hAnsi="Times"/>
              </w:rPr>
            </w:pPr>
            <w:r w:rsidRPr="00267462">
              <w:t>QALYs</w:t>
            </w:r>
          </w:p>
        </w:tc>
        <w:tc>
          <w:tcPr>
            <w:tcW w:w="1359" w:type="pct"/>
            <w:vAlign w:val="bottom"/>
          </w:tcPr>
          <w:p w:rsidR="00952B26" w:rsidRPr="00267462" w:rsidRDefault="00952B26" w:rsidP="00D309A1">
            <w:pPr>
              <w:pStyle w:val="Tabletext"/>
              <w:keepNext/>
              <w:jc w:val="center"/>
            </w:pPr>
            <w:r w:rsidRPr="00267462">
              <w:t>3.8313</w:t>
            </w:r>
          </w:p>
        </w:tc>
        <w:tc>
          <w:tcPr>
            <w:tcW w:w="1274" w:type="pct"/>
            <w:vAlign w:val="bottom"/>
          </w:tcPr>
          <w:p w:rsidR="00952B26" w:rsidRPr="00267462" w:rsidRDefault="00952B26" w:rsidP="00D309A1">
            <w:pPr>
              <w:pStyle w:val="Tabletext"/>
              <w:keepNext/>
              <w:jc w:val="center"/>
            </w:pPr>
            <w:r w:rsidRPr="00267462">
              <w:t>3.4002</w:t>
            </w:r>
          </w:p>
        </w:tc>
        <w:tc>
          <w:tcPr>
            <w:tcW w:w="838" w:type="pct"/>
            <w:vAlign w:val="bottom"/>
          </w:tcPr>
          <w:p w:rsidR="00952B26" w:rsidRPr="00267462" w:rsidRDefault="00952B26" w:rsidP="00D309A1">
            <w:pPr>
              <w:pStyle w:val="Tabletext"/>
              <w:keepNext/>
              <w:jc w:val="center"/>
            </w:pPr>
            <w:r w:rsidRPr="00267462">
              <w:t>0.4311</w:t>
            </w:r>
          </w:p>
        </w:tc>
      </w:tr>
      <w:tr w:rsidR="00952B26" w:rsidRPr="00267462" w:rsidTr="003F7270">
        <w:tc>
          <w:tcPr>
            <w:tcW w:w="4162" w:type="pct"/>
            <w:gridSpan w:val="3"/>
            <w:vAlign w:val="center"/>
          </w:tcPr>
          <w:p w:rsidR="00952B26" w:rsidRPr="00267462" w:rsidRDefault="00952B26" w:rsidP="00D309A1">
            <w:pPr>
              <w:pStyle w:val="Tabletext"/>
              <w:keepNext/>
              <w:rPr>
                <w:rFonts w:ascii="Times" w:hAnsi="Times"/>
                <w:b/>
              </w:rPr>
            </w:pPr>
            <w:r w:rsidRPr="00267462">
              <w:rPr>
                <w:b/>
              </w:rPr>
              <w:t>Incremental cost/extra QALY gained (base case)</w:t>
            </w:r>
          </w:p>
        </w:tc>
        <w:tc>
          <w:tcPr>
            <w:tcW w:w="838" w:type="pct"/>
            <w:vAlign w:val="center"/>
          </w:tcPr>
          <w:p w:rsidR="00952B26" w:rsidRPr="00267462" w:rsidRDefault="00952B26" w:rsidP="00D309A1">
            <w:pPr>
              <w:pStyle w:val="Tabletext"/>
              <w:keepNext/>
              <w:jc w:val="center"/>
            </w:pPr>
            <w:r w:rsidRPr="00267462">
              <w:t>$</w:t>
            </w:r>
            <w:r w:rsidR="00EA7891">
              <w:rPr>
                <w:noProof/>
                <w:color w:val="000000"/>
                <w:highlight w:val="black"/>
              </w:rPr>
              <w:t>''''''''''''''''</w:t>
            </w:r>
          </w:p>
        </w:tc>
      </w:tr>
    </w:tbl>
    <w:p w:rsidR="00952B26" w:rsidRPr="00267462" w:rsidRDefault="00952B26" w:rsidP="00114B88">
      <w:pPr>
        <w:pStyle w:val="TableFooter"/>
      </w:pPr>
      <w:r w:rsidRPr="00267462">
        <w:t>#</w:t>
      </w:r>
      <w:r w:rsidRPr="00267462">
        <w:tab/>
        <w:t>Error in starting distributions corrected during the evaluation. Cells L29:N29 and T29:V29 corrected to reflect health state distributions at baseline in the ITT population, rather than the subgroup.</w:t>
      </w:r>
    </w:p>
    <w:p w:rsidR="00DD5908" w:rsidRPr="00267462" w:rsidRDefault="00DD5908" w:rsidP="00114B88">
      <w:pPr>
        <w:pStyle w:val="TableFooter"/>
      </w:pPr>
      <w:r w:rsidRPr="00267462">
        <w:t>* Different discontinuation rates between ITT and subgroup populations</w:t>
      </w:r>
      <w:r w:rsidR="00916078" w:rsidRPr="00267462">
        <w:t xml:space="preserve"> resulted in differences in costs and QALYs.</w:t>
      </w:r>
    </w:p>
    <w:p w:rsidR="00952B26" w:rsidRDefault="00952B26" w:rsidP="00114B88">
      <w:pPr>
        <w:pStyle w:val="TableFooter"/>
      </w:pPr>
      <w:r>
        <w:t xml:space="preserve">Source: Table 3.18, p152 </w:t>
      </w:r>
      <w:r w:rsidRPr="00D13A3E">
        <w:t xml:space="preserve">of the </w:t>
      </w:r>
      <w:r>
        <w:t>submission.</w:t>
      </w:r>
    </w:p>
    <w:p w:rsidR="00D3199C" w:rsidRPr="00E737DB" w:rsidRDefault="00E737DB" w:rsidP="00E737DB">
      <w:pPr>
        <w:pStyle w:val="TableFooter"/>
        <w:spacing w:before="120" w:after="120"/>
        <w:rPr>
          <w:rFonts w:asciiTheme="minorHAnsi" w:hAnsiTheme="minorHAnsi" w:cstheme="minorHAnsi"/>
          <w:sz w:val="24"/>
          <w:szCs w:val="24"/>
        </w:rPr>
      </w:pPr>
      <w:r w:rsidRPr="00E737DB">
        <w:rPr>
          <w:rFonts w:asciiTheme="minorHAnsi" w:hAnsiTheme="minorHAnsi" w:cstheme="minorHAnsi"/>
          <w:sz w:val="24"/>
          <w:szCs w:val="24"/>
        </w:rPr>
        <w:t>The redacted table shows ICERs in the range of $45,000/QALY - $75,000/QALY to more than $200,000/QALY.</w:t>
      </w:r>
    </w:p>
    <w:p w:rsidR="001A3F51" w:rsidRDefault="00430F85" w:rsidP="001A3F51">
      <w:pPr>
        <w:pStyle w:val="ListParagraph"/>
      </w:pPr>
      <w:r w:rsidRPr="00267462">
        <w:t xml:space="preserve">The ESC </w:t>
      </w:r>
      <w:r w:rsidR="001A3F51">
        <w:t>considered</w:t>
      </w:r>
      <w:r w:rsidRPr="00267462">
        <w:t xml:space="preserve"> that the model results</w:t>
      </w:r>
      <w:r w:rsidR="001A3F51">
        <w:t xml:space="preserve"> were not supported by evidence presented in the submission</w:t>
      </w:r>
      <w:r w:rsidRPr="00267462">
        <w:t xml:space="preserve">, particularly </w:t>
      </w:r>
      <w:r w:rsidR="001A3F51">
        <w:t xml:space="preserve">in terms of </w:t>
      </w:r>
      <w:r w:rsidRPr="00267462">
        <w:t xml:space="preserve">the persistent decline in active functioning and quality of life from baseline predicted for standard of care </w:t>
      </w:r>
      <w:r w:rsidR="001A3F51">
        <w:t>patients</w:t>
      </w:r>
      <w:r w:rsidRPr="00267462">
        <w:t>.</w:t>
      </w:r>
      <w:r w:rsidRPr="00F55E1C">
        <w:t xml:space="preserve"> </w:t>
      </w:r>
      <w:r w:rsidR="001A3F51">
        <w:t>P</w:t>
      </w:r>
      <w:r w:rsidRPr="00F55E1C">
        <w:t>atients who received placebo in Study 140 demonstrated improved MAS score and walking speed relative to baseline</w:t>
      </w:r>
      <w:r w:rsidR="001A3F51">
        <w:t>,</w:t>
      </w:r>
      <w:r w:rsidRPr="00F55E1C">
        <w:t xml:space="preserve"> and mean PGA score at Week 4 was positive (indicating improvement from baseline).</w:t>
      </w:r>
      <w:r>
        <w:t xml:space="preserve"> </w:t>
      </w:r>
      <w:r w:rsidRPr="00F55E1C">
        <w:t>There w</w:t>
      </w:r>
      <w:r w:rsidR="001A3F51">
        <w:t>ere</w:t>
      </w:r>
      <w:r w:rsidRPr="00F55E1C">
        <w:t xml:space="preserve"> no difference</w:t>
      </w:r>
      <w:r w:rsidR="001A3F51">
        <w:t>s</w:t>
      </w:r>
      <w:r w:rsidRPr="00F55E1C">
        <w:t xml:space="preserve"> in short-term quality of life in any of the trials presented in the submission (Study 140, Johnson et al 2004).</w:t>
      </w:r>
      <w:r>
        <w:t xml:space="preserve"> </w:t>
      </w:r>
      <w:r w:rsidRPr="00F55E1C">
        <w:t xml:space="preserve">Longitudinal data in Gillard et al 2015 </w:t>
      </w:r>
      <w:r w:rsidR="001A3F51">
        <w:t>indicated</w:t>
      </w:r>
      <w:r w:rsidRPr="00F55E1C">
        <w:t xml:space="preserve"> average quality of life improved over time (0.59 to 0.64 over two years) with standard of care (although it was not </w:t>
      </w:r>
      <w:r w:rsidRPr="00267462">
        <w:t xml:space="preserve">reported whether standard of care included </w:t>
      </w:r>
      <w:r w:rsidR="001A3F51">
        <w:t>botulinum toxin</w:t>
      </w:r>
      <w:r w:rsidRPr="00267462">
        <w:t xml:space="preserve">). The PSCR acknowledged the discrepancy between walking speeds observed in the trials for placebo patients and </w:t>
      </w:r>
      <w:r w:rsidRPr="00267462">
        <w:lastRenderedPageBreak/>
        <w:t>the predicted decline in the economic model, and provided results for sensitivity analyses assuming (i) matched initial distribution of walking speeds in the Dysport</w:t>
      </w:r>
      <w:r w:rsidRPr="00267462">
        <w:rPr>
          <w:rFonts w:cs="Calibri"/>
        </w:rPr>
        <w:t>®</w:t>
      </w:r>
      <w:r w:rsidRPr="00267462">
        <w:t xml:space="preserve"> and placebo arms using Study 140 and Study 142 (ICER</w:t>
      </w:r>
      <w:r w:rsidR="00E737DB">
        <w:t xml:space="preserve"> range</w:t>
      </w:r>
      <w:r w:rsidRPr="00267462">
        <w:t>:</w:t>
      </w:r>
      <w:r w:rsidR="00DB373E">
        <w:t xml:space="preserve"> </w:t>
      </w:r>
      <w:r w:rsidR="00E737DB">
        <w:t>$45,000 - $75,000</w:t>
      </w:r>
      <w:r w:rsidRPr="00267462">
        <w:t>); and (ii) no placebo transitions (Study 140</w:t>
      </w:r>
      <w:r w:rsidR="00E737DB">
        <w:t xml:space="preserve"> and Study 142</w:t>
      </w:r>
      <w:r w:rsidRPr="00267462">
        <w:t>, ICER</w:t>
      </w:r>
      <w:r w:rsidR="00E737DB">
        <w:t xml:space="preserve"> range</w:t>
      </w:r>
      <w:r w:rsidRPr="00267462">
        <w:t xml:space="preserve">: </w:t>
      </w:r>
      <w:r w:rsidR="00E737DB">
        <w:t>$75,000 - $105,000</w:t>
      </w:r>
      <w:r w:rsidRPr="00267462">
        <w:t>).</w:t>
      </w:r>
      <w:r w:rsidR="001A3F51">
        <w:t xml:space="preserve"> The ESC considered that the sensitivity analyses which matched initial distributions provided a reasonable proxy for the base case ICER.</w:t>
      </w:r>
    </w:p>
    <w:p w:rsidR="00217A90" w:rsidRPr="00F022D2" w:rsidRDefault="00217A90" w:rsidP="001B2C5F">
      <w:pPr>
        <w:pStyle w:val="ListParagraph"/>
      </w:pPr>
      <w:r w:rsidRPr="00F022D2">
        <w:t xml:space="preserve">The ESC considered that modelling a waning of the effect of Dysport® would be appropriate and that utilisation data show greater discontinuation than </w:t>
      </w:r>
      <w:r w:rsidR="00810FA9">
        <w:t>was</w:t>
      </w:r>
      <w:r w:rsidR="00810FA9" w:rsidRPr="00F022D2">
        <w:t xml:space="preserve"> </w:t>
      </w:r>
      <w:r w:rsidRPr="00F022D2">
        <w:t>estimated in the model.</w:t>
      </w:r>
      <w:r w:rsidR="001B2C5F">
        <w:t xml:space="preserve"> The pre-PBAC response stated that the model incorporated a waning effect for Dysport®</w:t>
      </w:r>
      <w:r w:rsidR="00810FA9">
        <w:t xml:space="preserve"> through the inclusion of a time dependent variable</w:t>
      </w:r>
      <w:r w:rsidR="001B2C5F">
        <w:t xml:space="preserve">. </w:t>
      </w:r>
    </w:p>
    <w:p w:rsidR="007C65EF" w:rsidRPr="00F022D2" w:rsidRDefault="007C65EF" w:rsidP="00D309A1">
      <w:pPr>
        <w:pStyle w:val="ListParagraph"/>
      </w:pPr>
      <w:r w:rsidRPr="00F022D2">
        <w:rPr>
          <w:iCs/>
        </w:rPr>
        <w:t>The ESC noted also that the model structure d</w:t>
      </w:r>
      <w:r w:rsidR="007C1543">
        <w:rPr>
          <w:iCs/>
        </w:rPr>
        <w:t>id</w:t>
      </w:r>
      <w:r w:rsidRPr="00F022D2">
        <w:rPr>
          <w:iCs/>
        </w:rPr>
        <w:t xml:space="preserve"> not account for the natural history of stroke, which may in</w:t>
      </w:r>
      <w:r w:rsidR="007C1543">
        <w:rPr>
          <w:iCs/>
        </w:rPr>
        <w:t>clude</w:t>
      </w:r>
      <w:r w:rsidRPr="00F022D2">
        <w:rPr>
          <w:iCs/>
        </w:rPr>
        <w:t xml:space="preserve"> subsequent strokes not resulting in death, but that may lead to discontinuation of treatments</w:t>
      </w:r>
      <w:r w:rsidR="00F022D2">
        <w:rPr>
          <w:iCs/>
        </w:rPr>
        <w:t>.</w:t>
      </w:r>
      <w:r w:rsidR="001B2C5F">
        <w:rPr>
          <w:iCs/>
        </w:rPr>
        <w:t xml:space="preserve"> The pre-PBAC response contented that as patients were withdrawn from the study if they experienced a subsequent stroke or </w:t>
      </w:r>
      <w:r w:rsidR="00810FA9">
        <w:rPr>
          <w:iCs/>
        </w:rPr>
        <w:t>TBI</w:t>
      </w:r>
      <w:r w:rsidR="001B2C5F">
        <w:rPr>
          <w:iCs/>
        </w:rPr>
        <w:t>, the resulting discontinuation of treatment was intrinsically included in the discontinuation rates in the model.</w:t>
      </w:r>
    </w:p>
    <w:p w:rsidR="00952B26" w:rsidRDefault="00460404" w:rsidP="001B2C5F">
      <w:pPr>
        <w:pStyle w:val="ListParagraph"/>
      </w:pPr>
      <w:r>
        <w:t>A range of s</w:t>
      </w:r>
      <w:r w:rsidR="00E72E9C">
        <w:t>ensitivity analyses</w:t>
      </w:r>
      <w:r>
        <w:t xml:space="preserve"> were conducted as part of the evaluation</w:t>
      </w:r>
      <w:r w:rsidR="00E72E9C">
        <w:t>.</w:t>
      </w:r>
      <w:r w:rsidR="00FA60DA">
        <w:t xml:space="preserve"> </w:t>
      </w:r>
      <w:r w:rsidR="00952B26">
        <w:t>The results indicated that the model was sensitive to the ordered logit regressions, time horizon, and discontinuation rates/stopping rule.</w:t>
      </w:r>
      <w:r w:rsidR="001B2C5F">
        <w:t xml:space="preserve"> The </w:t>
      </w:r>
      <w:r w:rsidR="007C1543">
        <w:t xml:space="preserve">PBAC noted that the </w:t>
      </w:r>
      <w:r w:rsidR="001B2C5F">
        <w:t>sensitivity analyses d</w:t>
      </w:r>
      <w:r w:rsidR="00810FA9">
        <w:t>o</w:t>
      </w:r>
      <w:r w:rsidR="001B2C5F">
        <w:t xml:space="preserve"> not account for the correction of the initial distribution of patients across health states</w:t>
      </w:r>
      <w:r w:rsidR="00810FA9">
        <w:t>, as provided in the pre-PBAC response</w:t>
      </w:r>
      <w:r w:rsidR="007C1543">
        <w:t>,</w:t>
      </w:r>
      <w:r w:rsidR="001B2C5F">
        <w:t xml:space="preserve"> and </w:t>
      </w:r>
      <w:r w:rsidR="00810FA9">
        <w:t>therefore</w:t>
      </w:r>
      <w:r w:rsidR="001B2C5F">
        <w:t xml:space="preserve"> underestimate the ICER</w:t>
      </w:r>
      <w:r w:rsidR="00FB744C">
        <w:t>.</w:t>
      </w:r>
    </w:p>
    <w:p w:rsidR="00952B26" w:rsidRPr="00F55E1C" w:rsidRDefault="00952B26" w:rsidP="00F05C93">
      <w:pPr>
        <w:pStyle w:val="ListParagraph"/>
      </w:pPr>
      <w:r w:rsidRPr="00F55E1C">
        <w:t>As discussed above, the model predicted that walking speed for patients treated with standard of care (placebo) continually decline</w:t>
      </w:r>
      <w:r w:rsidR="00810FA9">
        <w:t>d</w:t>
      </w:r>
      <w:r w:rsidRPr="00F55E1C">
        <w:t xml:space="preserve"> over time</w:t>
      </w:r>
      <w:r w:rsidR="00810FA9">
        <w:t xml:space="preserve">; however, </w:t>
      </w:r>
      <w:r w:rsidRPr="00F55E1C">
        <w:t xml:space="preserve">patients treated with </w:t>
      </w:r>
      <w:r w:rsidR="00051CA9" w:rsidRPr="00F55E1C">
        <w:t>Dysport®</w:t>
      </w:r>
      <w:r w:rsidRPr="00F55E1C">
        <w:t xml:space="preserve"> accrue</w:t>
      </w:r>
      <w:r w:rsidR="00810FA9">
        <w:t>d</w:t>
      </w:r>
      <w:r w:rsidRPr="00F55E1C">
        <w:t xml:space="preserve"> early gains </w:t>
      </w:r>
      <w:r w:rsidR="00810FA9">
        <w:t xml:space="preserve">which were </w:t>
      </w:r>
      <w:r w:rsidRPr="00F55E1C">
        <w:t>maintained for the duration of the model.</w:t>
      </w:r>
      <w:r w:rsidR="00FA60DA">
        <w:t xml:space="preserve"> </w:t>
      </w:r>
      <w:r w:rsidR="00F05C93">
        <w:t>As there was</w:t>
      </w:r>
      <w:r w:rsidRPr="00F55E1C">
        <w:t xml:space="preserve"> no explicit relationship between response and continued treatment in the model, and </w:t>
      </w:r>
      <w:r w:rsidR="00F05C93">
        <w:t>patients were assumed</w:t>
      </w:r>
      <w:r w:rsidR="00F05C93" w:rsidRPr="00F55E1C">
        <w:t xml:space="preserve"> </w:t>
      </w:r>
      <w:r w:rsidR="00F05C93">
        <w:t>to</w:t>
      </w:r>
      <w:r w:rsidRPr="00F55E1C">
        <w:t xml:space="preserve"> maintain their response after stopping </w:t>
      </w:r>
      <w:r w:rsidR="00051CA9" w:rsidRPr="00F55E1C">
        <w:t>Dysport®</w:t>
      </w:r>
      <w:r w:rsidRPr="00F55E1C">
        <w:t xml:space="preserve">, the </w:t>
      </w:r>
      <w:r w:rsidR="00F05C93">
        <w:t>optimal strategy was to limit treatment of Dysport®</w:t>
      </w:r>
      <w:r w:rsidR="00FB744C">
        <w:t xml:space="preserve"> to one</w:t>
      </w:r>
      <w:r w:rsidR="00F05C93">
        <w:t xml:space="preserve"> cycle (ICER =</w:t>
      </w:r>
      <w:r w:rsidR="00E737DB">
        <w:t xml:space="preserve"> less than $15,000/QALY</w:t>
      </w:r>
      <w:r w:rsidR="00F05C93">
        <w:t>)</w:t>
      </w:r>
      <w:r w:rsidR="00810FA9">
        <w:t>. Th</w:t>
      </w:r>
      <w:r w:rsidR="00533138">
        <w:t>e PBAC considered that th</w:t>
      </w:r>
      <w:r w:rsidR="00810FA9">
        <w:t xml:space="preserve">is highlighted the </w:t>
      </w:r>
      <w:r w:rsidR="00F05C93">
        <w:t xml:space="preserve">substantial uncertainty within the model and </w:t>
      </w:r>
      <w:r w:rsidR="00810FA9">
        <w:t xml:space="preserve">the </w:t>
      </w:r>
      <w:r w:rsidR="00F05C93">
        <w:t xml:space="preserve">concerns </w:t>
      </w:r>
      <w:r w:rsidR="00810FA9">
        <w:t xml:space="preserve">regarding </w:t>
      </w:r>
      <w:r w:rsidR="00F05C93">
        <w:t xml:space="preserve">whether the model </w:t>
      </w:r>
      <w:r w:rsidR="00961064">
        <w:t>wa</w:t>
      </w:r>
      <w:r w:rsidR="00F05C93">
        <w:t>s appropriate</w:t>
      </w:r>
      <w:r w:rsidR="00961064">
        <w:t>ly</w:t>
      </w:r>
      <w:r w:rsidR="00F05C93">
        <w:t xml:space="preserve"> structured to estimate the cost-effectiveness of Dysport®.</w:t>
      </w:r>
      <w:r w:rsidR="00F05C93" w:rsidRPr="00F55E1C" w:rsidDel="00F05C93">
        <w:t xml:space="preserve"> </w:t>
      </w:r>
    </w:p>
    <w:p w:rsidR="00C25D9C" w:rsidRPr="002C2775" w:rsidRDefault="00C25D9C" w:rsidP="00114B88">
      <w:pPr>
        <w:pStyle w:val="Heading2"/>
      </w:pPr>
      <w:bookmarkStart w:id="15" w:name="_Toc524506001"/>
      <w:r w:rsidRPr="002C2775">
        <w:t>Drug cost/patient/</w:t>
      </w:r>
      <w:r w:rsidR="00952B26">
        <w:t>year</w:t>
      </w:r>
      <w:r w:rsidR="009953D6">
        <w:t xml:space="preserve">: </w:t>
      </w:r>
      <w:r w:rsidR="009953D6" w:rsidRPr="00470BC7">
        <w:t>$</w:t>
      </w:r>
      <w:r w:rsidR="009953D6" w:rsidRPr="009355A7">
        <w:t>5,028.13</w:t>
      </w:r>
      <w:r w:rsidR="009953D6" w:rsidRPr="00470BC7">
        <w:t xml:space="preserve"> </w:t>
      </w:r>
      <w:r w:rsidR="009953D6">
        <w:t>(</w:t>
      </w:r>
      <w:r w:rsidR="00051CA9">
        <w:t>Dysport®</w:t>
      </w:r>
      <w:r w:rsidR="009953D6">
        <w:t xml:space="preserve"> 1500U</w:t>
      </w:r>
      <w:r w:rsidR="009953D6" w:rsidRPr="00470BC7">
        <w:t>)</w:t>
      </w:r>
      <w:bookmarkEnd w:id="15"/>
    </w:p>
    <w:p w:rsidR="00470BC7" w:rsidRPr="00F55E1C" w:rsidRDefault="00952B26" w:rsidP="00D309A1">
      <w:pPr>
        <w:pStyle w:val="ListParagraph"/>
      </w:pPr>
      <w:r w:rsidRPr="00F55E1C">
        <w:t>In the modelled economic evaluation, t</w:t>
      </w:r>
      <w:r w:rsidR="00470BC7" w:rsidRPr="00F55E1C">
        <w:t>he average cost of treatment (</w:t>
      </w:r>
      <w:r w:rsidR="00051CA9" w:rsidRPr="00F55E1C">
        <w:t>Dysport®</w:t>
      </w:r>
      <w:r w:rsidR="00470BC7" w:rsidRPr="00F55E1C">
        <w:t xml:space="preserve"> plus administration) per patient per year</w:t>
      </w:r>
      <w:r w:rsidRPr="00F55E1C">
        <w:t xml:space="preserve"> (364 days)</w:t>
      </w:r>
      <w:r w:rsidR="00470BC7" w:rsidRPr="00F55E1C">
        <w:t xml:space="preserve">, was </w:t>
      </w:r>
      <w:r w:rsidRPr="00F55E1C">
        <w:t>$</w:t>
      </w:r>
      <w:r w:rsidRPr="009355A7">
        <w:t>5,027.76</w:t>
      </w:r>
      <w:r w:rsidRPr="00F55E1C">
        <w:t xml:space="preserve"> (</w:t>
      </w:r>
      <w:r w:rsidRPr="00F55E1C">
        <w:rPr>
          <w:iCs/>
        </w:rPr>
        <w:t xml:space="preserve">or </w:t>
      </w:r>
      <w:r w:rsidR="00470BC7" w:rsidRPr="00F55E1C">
        <w:rPr>
          <w:iCs/>
        </w:rPr>
        <w:t>$</w:t>
      </w:r>
      <w:r w:rsidR="00470BC7" w:rsidRPr="009355A7">
        <w:rPr>
          <w:iCs/>
        </w:rPr>
        <w:t>5,028.13</w:t>
      </w:r>
      <w:r w:rsidR="00470BC7" w:rsidRPr="00F55E1C">
        <w:rPr>
          <w:iCs/>
        </w:rPr>
        <w:t xml:space="preserve"> </w:t>
      </w:r>
      <w:r w:rsidRPr="00F55E1C">
        <w:rPr>
          <w:iCs/>
        </w:rPr>
        <w:t>with updated DPMQ</w:t>
      </w:r>
      <w:r w:rsidRPr="00F55E1C">
        <w:t>)</w:t>
      </w:r>
      <w:r w:rsidR="00961064">
        <w:t>. This</w:t>
      </w:r>
      <w:r w:rsidRPr="00F55E1C">
        <w:t xml:space="preserve"> </w:t>
      </w:r>
      <w:r w:rsidR="00470BC7" w:rsidRPr="00F55E1C">
        <w:t>assum</w:t>
      </w:r>
      <w:r w:rsidR="00961064">
        <w:t>ed that</w:t>
      </w:r>
      <w:r w:rsidR="00470BC7" w:rsidRPr="00F55E1C">
        <w:t xml:space="preserve"> the patient remained on therapy and received 2.66 vials </w:t>
      </w:r>
      <w:r w:rsidR="006641EB" w:rsidRPr="00F55E1C">
        <w:t xml:space="preserve">of 500U </w:t>
      </w:r>
      <w:r w:rsidR="00470BC7" w:rsidRPr="00F55E1C">
        <w:t>every 16.13 weeks.</w:t>
      </w:r>
      <w:r w:rsidR="00FA60DA">
        <w:t xml:space="preserve"> </w:t>
      </w:r>
      <w:r w:rsidR="00470BC7" w:rsidRPr="00F55E1C">
        <w:rPr>
          <w:iCs/>
        </w:rPr>
        <w:t xml:space="preserve">The cost </w:t>
      </w:r>
      <w:r w:rsidR="000A06CE" w:rsidRPr="00F55E1C">
        <w:rPr>
          <w:iCs/>
        </w:rPr>
        <w:t>in the first year of the model wa</w:t>
      </w:r>
      <w:r w:rsidR="00470BC7" w:rsidRPr="00F55E1C">
        <w:rPr>
          <w:iCs/>
        </w:rPr>
        <w:t>s slightly higher ($</w:t>
      </w:r>
      <w:r w:rsidR="00470BC7" w:rsidRPr="009355A7">
        <w:rPr>
          <w:iCs/>
        </w:rPr>
        <w:t>5,427.</w:t>
      </w:r>
      <w:r w:rsidRPr="009355A7">
        <w:rPr>
          <w:iCs/>
        </w:rPr>
        <w:t>3</w:t>
      </w:r>
      <w:r w:rsidR="00470BC7" w:rsidRPr="009355A7">
        <w:rPr>
          <w:iCs/>
        </w:rPr>
        <w:t>8</w:t>
      </w:r>
      <w:r w:rsidR="00470BC7" w:rsidRPr="00F55E1C">
        <w:rPr>
          <w:iCs/>
        </w:rPr>
        <w:t>) given re-treatment could occur from Week 12.</w:t>
      </w:r>
      <w:r w:rsidR="00FA60DA">
        <w:rPr>
          <w:iCs/>
        </w:rPr>
        <w:t xml:space="preserve"> </w:t>
      </w:r>
      <w:r w:rsidRPr="00F55E1C">
        <w:rPr>
          <w:iCs/>
        </w:rPr>
        <w:t xml:space="preserve">The median duration of treatment for focal spasticity cited in the DUSC review was </w:t>
      </w:r>
      <w:r w:rsidR="007C1543">
        <w:rPr>
          <w:iCs/>
        </w:rPr>
        <w:t>one</w:t>
      </w:r>
      <w:r w:rsidRPr="00F55E1C">
        <w:rPr>
          <w:iCs/>
        </w:rPr>
        <w:t xml:space="preserve"> year.</w:t>
      </w:r>
    </w:p>
    <w:p w:rsidR="00B60939" w:rsidRPr="00C9624D" w:rsidRDefault="00B60939" w:rsidP="00114B88">
      <w:pPr>
        <w:pStyle w:val="Heading2"/>
      </w:pPr>
      <w:bookmarkStart w:id="16" w:name="_Toc524506002"/>
      <w:r w:rsidRPr="00C9624D">
        <w:t>Estimated PBS usage &amp; financial implications</w:t>
      </w:r>
      <w:bookmarkEnd w:id="16"/>
    </w:p>
    <w:p w:rsidR="00355519" w:rsidRPr="007C1543" w:rsidRDefault="007C1543" w:rsidP="00D309A1">
      <w:pPr>
        <w:pStyle w:val="ListParagraph"/>
        <w:rPr>
          <w:iCs/>
        </w:rPr>
      </w:pPr>
      <w:r>
        <w:rPr>
          <w:iCs/>
        </w:rPr>
        <w:t>The e</w:t>
      </w:r>
      <w:r w:rsidR="00F55E1C" w:rsidRPr="007C1543">
        <w:rPr>
          <w:iCs/>
        </w:rPr>
        <w:t xml:space="preserve">stimated extent of use and financial implications </w:t>
      </w:r>
      <w:r w:rsidR="00961064" w:rsidRPr="007C1543">
        <w:rPr>
          <w:iCs/>
        </w:rPr>
        <w:t>were considered by the DUSC</w:t>
      </w:r>
      <w:r w:rsidR="00F55E1C" w:rsidRPr="007C1543">
        <w:rPr>
          <w:iCs/>
        </w:rPr>
        <w:t>.</w:t>
      </w:r>
    </w:p>
    <w:p w:rsidR="00F022D2" w:rsidRDefault="00F022D2" w:rsidP="00F022D2">
      <w:pPr>
        <w:pStyle w:val="ListParagraph"/>
      </w:pPr>
      <w:r w:rsidRPr="000A06CE">
        <w:lastRenderedPageBreak/>
        <w:t xml:space="preserve">The submission </w:t>
      </w:r>
      <w:r w:rsidR="007C1543">
        <w:t>used</w:t>
      </w:r>
      <w:r w:rsidRPr="000A06CE">
        <w:t xml:space="preserve"> an</w:t>
      </w:r>
      <w:r w:rsidRPr="00FD3B3A">
        <w:t xml:space="preserve"> epidemiological approach to estimate the</w:t>
      </w:r>
      <w:r>
        <w:t xml:space="preserve"> prevalent and future incident </w:t>
      </w:r>
      <w:r w:rsidR="007C1543">
        <w:t>populations</w:t>
      </w:r>
      <w:r>
        <w:t xml:space="preserve"> </w:t>
      </w:r>
      <w:r w:rsidR="007C1543">
        <w:t xml:space="preserve">for patients </w:t>
      </w:r>
      <w:r>
        <w:t>with lower limb spasticity following an acute event (</w:t>
      </w:r>
      <w:r w:rsidR="007C1543">
        <w:t>e.g.</w:t>
      </w:r>
      <w:r>
        <w:t xml:space="preserve"> stroke, TBI, spinal cord injury)</w:t>
      </w:r>
      <w:r w:rsidR="00301B76">
        <w:t>.</w:t>
      </w:r>
      <w:r>
        <w:t xml:space="preserve">  Eligible patients were calculated from </w:t>
      </w:r>
      <w:r w:rsidRPr="005F2B1A">
        <w:t xml:space="preserve">AIHW hospital </w:t>
      </w:r>
      <w:r>
        <w:t xml:space="preserve">data, </w:t>
      </w:r>
      <w:r w:rsidRPr="005F2B1A">
        <w:t>the Australian Spinal Cord Injury Register</w:t>
      </w:r>
      <w:r>
        <w:t xml:space="preserve">, and a Sponsor </w:t>
      </w:r>
      <w:r w:rsidRPr="005F2B1A">
        <w:t>advisory board meeting.</w:t>
      </w:r>
    </w:p>
    <w:p w:rsidR="00F022D2" w:rsidRPr="005D0B2B" w:rsidRDefault="00F022D2" w:rsidP="00F022D2">
      <w:pPr>
        <w:pStyle w:val="ListParagraph"/>
      </w:pPr>
      <w:r>
        <w:t>Table 1</w:t>
      </w:r>
      <w:r w:rsidR="00533138">
        <w:t>4</w:t>
      </w:r>
      <w:r>
        <w:t xml:space="preserve"> summarises the estimated use and </w:t>
      </w:r>
      <w:r w:rsidR="00301B76">
        <w:t xml:space="preserve">associated </w:t>
      </w:r>
      <w:r>
        <w:t xml:space="preserve">financial implications </w:t>
      </w:r>
      <w:r w:rsidR="00301B76">
        <w:t>of listing</w:t>
      </w:r>
      <w:r>
        <w:t xml:space="preserve"> Dysport® </w:t>
      </w:r>
      <w:r w:rsidR="00301B76">
        <w:t xml:space="preserve">on the </w:t>
      </w:r>
      <w:r>
        <w:t>PBS</w:t>
      </w:r>
      <w:r w:rsidRPr="00C8719B">
        <w:t xml:space="preserve">.  The net cost to the PBS over the first </w:t>
      </w:r>
      <w:r w:rsidR="00533138">
        <w:t>six</w:t>
      </w:r>
      <w:r w:rsidR="00533138" w:rsidRPr="00C8719B">
        <w:t xml:space="preserve"> </w:t>
      </w:r>
      <w:r w:rsidRPr="00C8719B">
        <w:t xml:space="preserve">years was </w:t>
      </w:r>
      <w:r w:rsidR="00301B76">
        <w:t xml:space="preserve">estimated to be </w:t>
      </w:r>
      <w:r w:rsidR="00E737DB">
        <w:t xml:space="preserve">more than $100 million </w:t>
      </w:r>
      <w:r w:rsidRPr="00C8719B">
        <w:t>(updated DPMQ)</w:t>
      </w:r>
      <w:r>
        <w:t xml:space="preserve">; the net cost to the MBS for administration over the first </w:t>
      </w:r>
      <w:r w:rsidR="00533138">
        <w:t xml:space="preserve">six </w:t>
      </w:r>
      <w:r>
        <w:t xml:space="preserve">years was </w:t>
      </w:r>
      <w:r w:rsidR="00333C6C">
        <w:t xml:space="preserve">estimated to be </w:t>
      </w:r>
      <w:r w:rsidR="00E737DB">
        <w:t xml:space="preserve">less than $10 </w:t>
      </w:r>
      <w:r w:rsidR="00301B76">
        <w:t>million</w:t>
      </w:r>
      <w:r>
        <w:t>.</w:t>
      </w:r>
    </w:p>
    <w:p w:rsidR="00F022D2" w:rsidRDefault="00F022D2" w:rsidP="00F022D2">
      <w:pPr>
        <w:keepNext/>
        <w:rPr>
          <w:rStyle w:val="CommentReference"/>
        </w:rPr>
      </w:pPr>
      <w:r w:rsidRPr="001222FC">
        <w:rPr>
          <w:rStyle w:val="CommentReference"/>
        </w:rPr>
        <w:t xml:space="preserve">Table </w:t>
      </w:r>
      <w:r>
        <w:rPr>
          <w:rStyle w:val="CommentReference"/>
        </w:rPr>
        <w:t>1</w:t>
      </w:r>
      <w:r w:rsidR="00533138">
        <w:rPr>
          <w:rStyle w:val="CommentReference"/>
        </w:rPr>
        <w:t>4</w:t>
      </w:r>
      <w:r w:rsidRPr="001222FC">
        <w:rPr>
          <w:rStyle w:val="CommentReference"/>
        </w:rPr>
        <w:t>: Estimated use and financial implications</w:t>
      </w:r>
    </w:p>
    <w:tbl>
      <w:tblPr>
        <w:tblStyle w:val="TableGrid"/>
        <w:tblW w:w="9100" w:type="dxa"/>
        <w:tblCellMar>
          <w:left w:w="28" w:type="dxa"/>
          <w:right w:w="28" w:type="dxa"/>
        </w:tblCellMar>
        <w:tblLook w:val="04A0" w:firstRow="1" w:lastRow="0" w:firstColumn="1" w:lastColumn="0" w:noHBand="0" w:noVBand="1"/>
        <w:tblCaption w:val="Estimated use and financial implications"/>
      </w:tblPr>
      <w:tblGrid>
        <w:gridCol w:w="211"/>
        <w:gridCol w:w="2714"/>
        <w:gridCol w:w="1049"/>
        <w:gridCol w:w="1005"/>
        <w:gridCol w:w="1028"/>
        <w:gridCol w:w="1060"/>
        <w:gridCol w:w="1044"/>
        <w:gridCol w:w="989"/>
      </w:tblGrid>
      <w:tr w:rsidR="00961064" w:rsidRPr="00FC4842" w:rsidTr="007C62FB">
        <w:trPr>
          <w:cantSplit/>
          <w:tblHeader/>
        </w:trPr>
        <w:tc>
          <w:tcPr>
            <w:tcW w:w="3114" w:type="dxa"/>
            <w:gridSpan w:val="2"/>
          </w:tcPr>
          <w:p w:rsidR="00961064" w:rsidRPr="00F022D2" w:rsidRDefault="00961064" w:rsidP="00F022D2">
            <w:pPr>
              <w:keepNext/>
              <w:widowControl/>
              <w:rPr>
                <w:rFonts w:ascii="Arial Narrow" w:hAnsi="Arial Narrow"/>
                <w:sz w:val="20"/>
                <w:szCs w:val="20"/>
              </w:rPr>
            </w:pPr>
            <w:bookmarkStart w:id="17" w:name="_GoBack" w:colFirst="0" w:colLast="7"/>
          </w:p>
        </w:tc>
        <w:tc>
          <w:tcPr>
            <w:tcW w:w="1058" w:type="dxa"/>
            <w:vAlign w:val="center"/>
          </w:tcPr>
          <w:p w:rsidR="00961064" w:rsidRPr="00F022D2" w:rsidRDefault="00961064" w:rsidP="00F022D2">
            <w:pPr>
              <w:keepNext/>
              <w:widowControl/>
              <w:jc w:val="center"/>
              <w:rPr>
                <w:rFonts w:ascii="Arial Narrow" w:hAnsi="Arial Narrow"/>
                <w:sz w:val="20"/>
                <w:szCs w:val="20"/>
              </w:rPr>
            </w:pPr>
            <w:r w:rsidRPr="00F022D2">
              <w:rPr>
                <w:rFonts w:ascii="Arial Narrow" w:hAnsi="Arial Narrow"/>
                <w:b/>
                <w:noProof/>
                <w:sz w:val="20"/>
                <w:szCs w:val="20"/>
              </w:rPr>
              <w:t>Year 1</w:t>
            </w:r>
          </w:p>
        </w:tc>
        <w:tc>
          <w:tcPr>
            <w:tcW w:w="969" w:type="dxa"/>
            <w:vAlign w:val="center"/>
          </w:tcPr>
          <w:p w:rsidR="00961064" w:rsidRPr="00F022D2" w:rsidRDefault="00961064" w:rsidP="00F022D2">
            <w:pPr>
              <w:keepNext/>
              <w:widowControl/>
              <w:jc w:val="center"/>
              <w:rPr>
                <w:rFonts w:ascii="Arial Narrow" w:hAnsi="Arial Narrow"/>
                <w:sz w:val="20"/>
                <w:szCs w:val="20"/>
              </w:rPr>
            </w:pPr>
            <w:r w:rsidRPr="00F022D2">
              <w:rPr>
                <w:rFonts w:ascii="Arial Narrow" w:hAnsi="Arial Narrow"/>
                <w:b/>
                <w:noProof/>
                <w:sz w:val="20"/>
                <w:szCs w:val="20"/>
              </w:rPr>
              <w:t>Year 2</w:t>
            </w:r>
          </w:p>
        </w:tc>
        <w:tc>
          <w:tcPr>
            <w:tcW w:w="969" w:type="dxa"/>
            <w:vAlign w:val="center"/>
          </w:tcPr>
          <w:p w:rsidR="00961064" w:rsidRPr="00F022D2" w:rsidRDefault="00961064" w:rsidP="00F022D2">
            <w:pPr>
              <w:keepNext/>
              <w:widowControl/>
              <w:jc w:val="center"/>
              <w:rPr>
                <w:rFonts w:ascii="Arial Narrow" w:hAnsi="Arial Narrow"/>
                <w:sz w:val="20"/>
                <w:szCs w:val="20"/>
              </w:rPr>
            </w:pPr>
            <w:r w:rsidRPr="00F022D2">
              <w:rPr>
                <w:rFonts w:ascii="Arial Narrow" w:hAnsi="Arial Narrow"/>
                <w:b/>
                <w:noProof/>
                <w:sz w:val="20"/>
                <w:szCs w:val="20"/>
              </w:rPr>
              <w:t>Year 3</w:t>
            </w:r>
          </w:p>
        </w:tc>
        <w:tc>
          <w:tcPr>
            <w:tcW w:w="969" w:type="dxa"/>
            <w:vAlign w:val="center"/>
          </w:tcPr>
          <w:p w:rsidR="00961064" w:rsidRPr="00F022D2" w:rsidRDefault="00961064" w:rsidP="00F022D2">
            <w:pPr>
              <w:keepNext/>
              <w:widowControl/>
              <w:jc w:val="center"/>
              <w:rPr>
                <w:rFonts w:ascii="Arial Narrow" w:hAnsi="Arial Narrow"/>
                <w:sz w:val="20"/>
                <w:szCs w:val="20"/>
              </w:rPr>
            </w:pPr>
            <w:r w:rsidRPr="00F022D2">
              <w:rPr>
                <w:rFonts w:ascii="Arial Narrow" w:hAnsi="Arial Narrow"/>
                <w:b/>
                <w:noProof/>
                <w:sz w:val="20"/>
                <w:szCs w:val="20"/>
              </w:rPr>
              <w:t>Year 4</w:t>
            </w:r>
          </w:p>
        </w:tc>
        <w:tc>
          <w:tcPr>
            <w:tcW w:w="1029" w:type="dxa"/>
            <w:vAlign w:val="center"/>
          </w:tcPr>
          <w:p w:rsidR="00961064" w:rsidRPr="00F022D2" w:rsidRDefault="00961064" w:rsidP="00F022D2">
            <w:pPr>
              <w:keepNext/>
              <w:widowControl/>
              <w:jc w:val="center"/>
              <w:rPr>
                <w:rFonts w:ascii="Arial Narrow" w:hAnsi="Arial Narrow"/>
                <w:sz w:val="20"/>
                <w:szCs w:val="20"/>
              </w:rPr>
            </w:pPr>
            <w:r w:rsidRPr="00F022D2">
              <w:rPr>
                <w:rFonts w:ascii="Arial Narrow" w:hAnsi="Arial Narrow"/>
                <w:b/>
                <w:noProof/>
                <w:sz w:val="20"/>
                <w:szCs w:val="20"/>
              </w:rPr>
              <w:t>Year 5</w:t>
            </w:r>
          </w:p>
        </w:tc>
        <w:tc>
          <w:tcPr>
            <w:tcW w:w="992" w:type="dxa"/>
            <w:vAlign w:val="center"/>
          </w:tcPr>
          <w:p w:rsidR="00961064" w:rsidRPr="00F022D2" w:rsidRDefault="00961064" w:rsidP="00F022D2">
            <w:pPr>
              <w:keepNext/>
              <w:widowControl/>
              <w:jc w:val="center"/>
              <w:rPr>
                <w:rFonts w:ascii="Arial Narrow" w:hAnsi="Arial Narrow"/>
                <w:sz w:val="20"/>
                <w:szCs w:val="20"/>
              </w:rPr>
            </w:pPr>
            <w:r w:rsidRPr="00F022D2">
              <w:rPr>
                <w:rFonts w:ascii="Arial Narrow" w:hAnsi="Arial Narrow"/>
                <w:b/>
                <w:noProof/>
                <w:sz w:val="20"/>
                <w:szCs w:val="20"/>
              </w:rPr>
              <w:t>Year 6</w:t>
            </w:r>
          </w:p>
        </w:tc>
      </w:tr>
      <w:bookmarkEnd w:id="17"/>
      <w:tr w:rsidR="00F022D2" w:rsidRPr="00FC4842" w:rsidTr="00961064">
        <w:tc>
          <w:tcPr>
            <w:tcW w:w="213" w:type="dxa"/>
            <w:vAlign w:val="center"/>
          </w:tcPr>
          <w:p w:rsidR="00F022D2" w:rsidRPr="00FC4842" w:rsidRDefault="00F022D2" w:rsidP="00F022D2">
            <w:pPr>
              <w:keepNext/>
              <w:widowControl/>
              <w:jc w:val="left"/>
              <w:rPr>
                <w:rFonts w:ascii="Arial Narrow" w:hAnsi="Arial Narrow"/>
                <w:sz w:val="20"/>
                <w:szCs w:val="20"/>
              </w:rPr>
            </w:pPr>
            <w:r w:rsidRPr="00FC4842">
              <w:rPr>
                <w:rFonts w:ascii="Arial Narrow" w:hAnsi="Arial Narrow"/>
                <w:bCs/>
                <w:noProof/>
                <w:sz w:val="20"/>
                <w:szCs w:val="20"/>
              </w:rPr>
              <w:t>A</w:t>
            </w:r>
          </w:p>
        </w:tc>
        <w:tc>
          <w:tcPr>
            <w:tcW w:w="2901" w:type="dxa"/>
            <w:vAlign w:val="center"/>
          </w:tcPr>
          <w:p w:rsidR="00F022D2" w:rsidRPr="00F022D2" w:rsidRDefault="00F022D2" w:rsidP="00F022D2">
            <w:pPr>
              <w:keepNext/>
              <w:widowControl/>
              <w:rPr>
                <w:rFonts w:ascii="Arial Narrow" w:hAnsi="Arial Narrow"/>
                <w:sz w:val="20"/>
                <w:szCs w:val="20"/>
              </w:rPr>
            </w:pPr>
            <w:r w:rsidRPr="00F022D2">
              <w:rPr>
                <w:rFonts w:ascii="Arial Narrow" w:hAnsi="Arial Narrow"/>
                <w:bCs/>
                <w:noProof/>
                <w:sz w:val="20"/>
                <w:szCs w:val="20"/>
              </w:rPr>
              <w:t>Australian aged 18+</w:t>
            </w:r>
          </w:p>
        </w:tc>
        <w:tc>
          <w:tcPr>
            <w:tcW w:w="1058" w:type="dxa"/>
            <w:vAlign w:val="center"/>
          </w:tcPr>
          <w:p w:rsidR="00F022D2" w:rsidRPr="00F022D2" w:rsidRDefault="00F022D2" w:rsidP="00F022D2">
            <w:pPr>
              <w:keepNext/>
              <w:widowControl/>
              <w:jc w:val="center"/>
              <w:rPr>
                <w:rFonts w:ascii="Arial Narrow" w:hAnsi="Arial Narrow"/>
                <w:sz w:val="20"/>
                <w:szCs w:val="20"/>
              </w:rPr>
            </w:pPr>
            <w:r w:rsidRPr="00F022D2">
              <w:rPr>
                <w:rFonts w:ascii="Arial Narrow" w:hAnsi="Arial Narrow"/>
                <w:noProof/>
                <w:color w:val="000000"/>
                <w:sz w:val="20"/>
                <w:szCs w:val="20"/>
              </w:rPr>
              <w:t>19,853,831</w:t>
            </w:r>
          </w:p>
        </w:tc>
        <w:tc>
          <w:tcPr>
            <w:tcW w:w="969" w:type="dxa"/>
            <w:vAlign w:val="center"/>
          </w:tcPr>
          <w:p w:rsidR="00F022D2" w:rsidRPr="00F022D2" w:rsidRDefault="00F022D2" w:rsidP="00F022D2">
            <w:pPr>
              <w:keepNext/>
              <w:widowControl/>
              <w:jc w:val="center"/>
              <w:rPr>
                <w:rFonts w:ascii="Arial Narrow" w:hAnsi="Arial Narrow"/>
                <w:sz w:val="20"/>
                <w:szCs w:val="20"/>
              </w:rPr>
            </w:pPr>
            <w:r w:rsidRPr="00F022D2">
              <w:rPr>
                <w:rFonts w:ascii="Arial Narrow" w:hAnsi="Arial Narrow"/>
                <w:noProof/>
                <w:color w:val="000000"/>
                <w:sz w:val="20"/>
                <w:szCs w:val="20"/>
              </w:rPr>
              <w:t>20,173,593</w:t>
            </w:r>
          </w:p>
        </w:tc>
        <w:tc>
          <w:tcPr>
            <w:tcW w:w="969" w:type="dxa"/>
            <w:vAlign w:val="center"/>
          </w:tcPr>
          <w:p w:rsidR="00F022D2" w:rsidRPr="00F022D2" w:rsidRDefault="00F022D2" w:rsidP="00F022D2">
            <w:pPr>
              <w:keepNext/>
              <w:widowControl/>
              <w:jc w:val="center"/>
              <w:rPr>
                <w:rFonts w:ascii="Arial Narrow" w:hAnsi="Arial Narrow"/>
                <w:sz w:val="20"/>
                <w:szCs w:val="20"/>
              </w:rPr>
            </w:pPr>
            <w:r w:rsidRPr="00F022D2">
              <w:rPr>
                <w:rFonts w:ascii="Arial Narrow" w:hAnsi="Arial Narrow"/>
                <w:noProof/>
                <w:color w:val="000000"/>
                <w:sz w:val="20"/>
                <w:szCs w:val="20"/>
              </w:rPr>
              <w:t>20,492,073</w:t>
            </w:r>
          </w:p>
        </w:tc>
        <w:tc>
          <w:tcPr>
            <w:tcW w:w="969" w:type="dxa"/>
            <w:vAlign w:val="center"/>
          </w:tcPr>
          <w:p w:rsidR="00F022D2" w:rsidRPr="00F022D2" w:rsidRDefault="00F022D2" w:rsidP="00F022D2">
            <w:pPr>
              <w:keepNext/>
              <w:widowControl/>
              <w:jc w:val="center"/>
              <w:rPr>
                <w:rFonts w:ascii="Arial Narrow" w:hAnsi="Arial Narrow"/>
                <w:sz w:val="20"/>
                <w:szCs w:val="20"/>
              </w:rPr>
            </w:pPr>
            <w:r w:rsidRPr="00F022D2">
              <w:rPr>
                <w:rFonts w:ascii="Arial Narrow" w:hAnsi="Arial Narrow"/>
                <w:noProof/>
                <w:color w:val="000000"/>
                <w:sz w:val="20"/>
                <w:szCs w:val="20"/>
              </w:rPr>
              <w:t>20,813,398</w:t>
            </w:r>
          </w:p>
        </w:tc>
        <w:tc>
          <w:tcPr>
            <w:tcW w:w="1029" w:type="dxa"/>
            <w:vAlign w:val="center"/>
          </w:tcPr>
          <w:p w:rsidR="00F022D2" w:rsidRPr="00F022D2" w:rsidRDefault="00F022D2" w:rsidP="00F022D2">
            <w:pPr>
              <w:keepNext/>
              <w:widowControl/>
              <w:jc w:val="center"/>
              <w:rPr>
                <w:rFonts w:ascii="Arial Narrow" w:hAnsi="Arial Narrow"/>
                <w:sz w:val="20"/>
                <w:szCs w:val="20"/>
              </w:rPr>
            </w:pPr>
            <w:r w:rsidRPr="00F022D2">
              <w:rPr>
                <w:rFonts w:ascii="Arial Narrow" w:hAnsi="Arial Narrow"/>
                <w:noProof/>
                <w:color w:val="000000"/>
                <w:sz w:val="20"/>
                <w:szCs w:val="20"/>
              </w:rPr>
              <w:t>21,139,340</w:t>
            </w:r>
          </w:p>
        </w:tc>
        <w:tc>
          <w:tcPr>
            <w:tcW w:w="992" w:type="dxa"/>
            <w:vAlign w:val="center"/>
          </w:tcPr>
          <w:p w:rsidR="00F022D2" w:rsidRPr="00F022D2" w:rsidRDefault="00F022D2" w:rsidP="00F022D2">
            <w:pPr>
              <w:keepNext/>
              <w:widowControl/>
              <w:jc w:val="center"/>
              <w:rPr>
                <w:rFonts w:ascii="Arial Narrow" w:hAnsi="Arial Narrow"/>
                <w:sz w:val="20"/>
                <w:szCs w:val="20"/>
              </w:rPr>
            </w:pPr>
            <w:r w:rsidRPr="00F022D2">
              <w:rPr>
                <w:rFonts w:ascii="Arial Narrow" w:hAnsi="Arial Narrow"/>
                <w:noProof/>
                <w:color w:val="000000"/>
                <w:sz w:val="20"/>
                <w:szCs w:val="20"/>
              </w:rPr>
              <w:t>21,474,344</w:t>
            </w:r>
          </w:p>
        </w:tc>
      </w:tr>
      <w:tr w:rsidR="00F022D2" w:rsidRPr="00FC4842" w:rsidTr="00961064">
        <w:tc>
          <w:tcPr>
            <w:tcW w:w="213" w:type="dxa"/>
            <w:vMerge w:val="restart"/>
            <w:vAlign w:val="center"/>
          </w:tcPr>
          <w:p w:rsidR="00F022D2" w:rsidRPr="00FC4842" w:rsidRDefault="00F022D2" w:rsidP="00F022D2">
            <w:pPr>
              <w:keepNext/>
              <w:widowControl/>
              <w:jc w:val="left"/>
              <w:rPr>
                <w:rFonts w:ascii="Arial Narrow" w:hAnsi="Arial Narrow"/>
                <w:sz w:val="20"/>
                <w:szCs w:val="20"/>
              </w:rPr>
            </w:pPr>
            <w:r w:rsidRPr="00FC4842">
              <w:rPr>
                <w:rFonts w:ascii="Arial Narrow" w:hAnsi="Arial Narrow"/>
                <w:bCs/>
                <w:noProof/>
                <w:sz w:val="20"/>
                <w:szCs w:val="20"/>
              </w:rPr>
              <w:t>B</w:t>
            </w:r>
          </w:p>
        </w:tc>
        <w:tc>
          <w:tcPr>
            <w:tcW w:w="2901" w:type="dxa"/>
            <w:vAlign w:val="center"/>
          </w:tcPr>
          <w:p w:rsidR="00F022D2" w:rsidRPr="00F022D2" w:rsidRDefault="00F022D2" w:rsidP="00F022D2">
            <w:pPr>
              <w:keepNext/>
              <w:widowControl/>
              <w:jc w:val="left"/>
              <w:rPr>
                <w:rFonts w:ascii="Arial Narrow" w:hAnsi="Arial Narrow"/>
                <w:sz w:val="20"/>
                <w:szCs w:val="20"/>
              </w:rPr>
            </w:pPr>
            <w:r w:rsidRPr="00F022D2">
              <w:rPr>
                <w:rFonts w:ascii="Arial Narrow" w:hAnsi="Arial Narrow"/>
                <w:bCs/>
                <w:noProof/>
                <w:sz w:val="20"/>
                <w:szCs w:val="20"/>
              </w:rPr>
              <w:t>Eligible incident patients with LL spasticity</w:t>
            </w:r>
            <w:r w:rsidRPr="00F022D2">
              <w:rPr>
                <w:rFonts w:ascii="Arial Narrow" w:hAnsi="Arial Narrow"/>
                <w:bCs/>
                <w:noProof/>
                <w:sz w:val="20"/>
                <w:szCs w:val="20"/>
                <w:vertAlign w:val="superscript"/>
              </w:rPr>
              <w:t>#</w:t>
            </w:r>
          </w:p>
        </w:tc>
        <w:tc>
          <w:tcPr>
            <w:tcW w:w="1058"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2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F022D2" w:rsidRPr="00FC4842" w:rsidTr="00961064">
        <w:tc>
          <w:tcPr>
            <w:tcW w:w="213" w:type="dxa"/>
            <w:vMerge/>
            <w:vAlign w:val="center"/>
          </w:tcPr>
          <w:p w:rsidR="00F022D2" w:rsidRPr="00FC4842" w:rsidRDefault="00F022D2" w:rsidP="00F022D2">
            <w:pPr>
              <w:keepNext/>
              <w:widowControl/>
              <w:jc w:val="left"/>
              <w:rPr>
                <w:rFonts w:ascii="Arial Narrow" w:hAnsi="Arial Narrow"/>
                <w:sz w:val="20"/>
                <w:szCs w:val="20"/>
              </w:rPr>
            </w:pPr>
          </w:p>
        </w:tc>
        <w:tc>
          <w:tcPr>
            <w:tcW w:w="2901" w:type="dxa"/>
            <w:vAlign w:val="center"/>
          </w:tcPr>
          <w:p w:rsidR="00F022D2" w:rsidRPr="00F022D2" w:rsidRDefault="00F022D2" w:rsidP="00F022D2">
            <w:pPr>
              <w:keepNext/>
              <w:widowControl/>
              <w:ind w:left="187"/>
              <w:jc w:val="left"/>
              <w:rPr>
                <w:rFonts w:ascii="Arial Narrow" w:hAnsi="Arial Narrow"/>
                <w:sz w:val="20"/>
                <w:szCs w:val="20"/>
              </w:rPr>
            </w:pPr>
            <w:r w:rsidRPr="00F022D2">
              <w:rPr>
                <w:rFonts w:ascii="Arial Narrow" w:hAnsi="Arial Narrow"/>
                <w:bCs/>
                <w:noProof/>
                <w:sz w:val="20"/>
                <w:szCs w:val="20"/>
              </w:rPr>
              <w:t>Stroke</w:t>
            </w:r>
          </w:p>
        </w:tc>
        <w:tc>
          <w:tcPr>
            <w:tcW w:w="1058"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2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F022D2" w:rsidRPr="00FC4842" w:rsidTr="00961064">
        <w:tc>
          <w:tcPr>
            <w:tcW w:w="213" w:type="dxa"/>
            <w:vMerge/>
            <w:vAlign w:val="center"/>
          </w:tcPr>
          <w:p w:rsidR="00F022D2" w:rsidRPr="00FC4842" w:rsidRDefault="00F022D2" w:rsidP="00F022D2">
            <w:pPr>
              <w:keepNext/>
              <w:widowControl/>
              <w:jc w:val="left"/>
              <w:rPr>
                <w:rFonts w:ascii="Arial Narrow" w:hAnsi="Arial Narrow"/>
                <w:sz w:val="20"/>
                <w:szCs w:val="20"/>
              </w:rPr>
            </w:pPr>
          </w:p>
        </w:tc>
        <w:tc>
          <w:tcPr>
            <w:tcW w:w="2901" w:type="dxa"/>
            <w:vAlign w:val="center"/>
          </w:tcPr>
          <w:p w:rsidR="00F022D2" w:rsidRPr="00F022D2" w:rsidRDefault="00F022D2" w:rsidP="00F022D2">
            <w:pPr>
              <w:keepNext/>
              <w:widowControl/>
              <w:ind w:left="187"/>
              <w:jc w:val="left"/>
              <w:rPr>
                <w:rFonts w:ascii="Arial Narrow" w:hAnsi="Arial Narrow"/>
                <w:sz w:val="20"/>
                <w:szCs w:val="20"/>
              </w:rPr>
            </w:pPr>
            <w:r w:rsidRPr="00F022D2">
              <w:rPr>
                <w:rFonts w:ascii="Arial Narrow" w:hAnsi="Arial Narrow"/>
                <w:bCs/>
                <w:noProof/>
                <w:sz w:val="20"/>
                <w:szCs w:val="20"/>
              </w:rPr>
              <w:t>TBI</w:t>
            </w:r>
          </w:p>
        </w:tc>
        <w:tc>
          <w:tcPr>
            <w:tcW w:w="1058"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2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F022D2" w:rsidRPr="00FC4842" w:rsidTr="00961064">
        <w:tc>
          <w:tcPr>
            <w:tcW w:w="213" w:type="dxa"/>
            <w:vMerge/>
            <w:vAlign w:val="center"/>
          </w:tcPr>
          <w:p w:rsidR="00F022D2" w:rsidRPr="00FC4842" w:rsidRDefault="00F022D2" w:rsidP="00F022D2">
            <w:pPr>
              <w:keepNext/>
              <w:widowControl/>
              <w:jc w:val="left"/>
              <w:rPr>
                <w:rFonts w:ascii="Arial Narrow" w:hAnsi="Arial Narrow"/>
                <w:sz w:val="20"/>
                <w:szCs w:val="20"/>
              </w:rPr>
            </w:pPr>
          </w:p>
        </w:tc>
        <w:tc>
          <w:tcPr>
            <w:tcW w:w="2901" w:type="dxa"/>
            <w:vAlign w:val="center"/>
          </w:tcPr>
          <w:p w:rsidR="00F022D2" w:rsidRPr="00F022D2" w:rsidRDefault="00F022D2" w:rsidP="00F022D2">
            <w:pPr>
              <w:keepNext/>
              <w:widowControl/>
              <w:ind w:left="187"/>
              <w:jc w:val="left"/>
              <w:rPr>
                <w:rFonts w:ascii="Arial Narrow" w:hAnsi="Arial Narrow"/>
                <w:sz w:val="20"/>
                <w:szCs w:val="20"/>
              </w:rPr>
            </w:pPr>
            <w:r w:rsidRPr="00F022D2">
              <w:rPr>
                <w:rFonts w:ascii="Arial Narrow" w:hAnsi="Arial Narrow"/>
                <w:bCs/>
                <w:noProof/>
                <w:sz w:val="20"/>
                <w:szCs w:val="20"/>
              </w:rPr>
              <w:t>SCI</w:t>
            </w:r>
          </w:p>
        </w:tc>
        <w:tc>
          <w:tcPr>
            <w:tcW w:w="1058"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2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F022D2" w:rsidRPr="00FC4842" w:rsidTr="00961064">
        <w:tc>
          <w:tcPr>
            <w:tcW w:w="213" w:type="dxa"/>
            <w:vMerge/>
            <w:vAlign w:val="center"/>
          </w:tcPr>
          <w:p w:rsidR="00F022D2" w:rsidRPr="00FC4842" w:rsidRDefault="00F022D2" w:rsidP="00F022D2">
            <w:pPr>
              <w:keepNext/>
              <w:widowControl/>
              <w:jc w:val="left"/>
              <w:rPr>
                <w:rFonts w:ascii="Arial Narrow" w:hAnsi="Arial Narrow"/>
                <w:sz w:val="20"/>
                <w:szCs w:val="20"/>
              </w:rPr>
            </w:pPr>
          </w:p>
        </w:tc>
        <w:tc>
          <w:tcPr>
            <w:tcW w:w="2901" w:type="dxa"/>
            <w:vAlign w:val="center"/>
          </w:tcPr>
          <w:p w:rsidR="00F022D2" w:rsidRPr="00F022D2" w:rsidRDefault="00F022D2" w:rsidP="00F022D2">
            <w:pPr>
              <w:keepNext/>
              <w:widowControl/>
              <w:ind w:left="187"/>
              <w:jc w:val="left"/>
              <w:rPr>
                <w:rFonts w:ascii="Arial Narrow" w:hAnsi="Arial Narrow"/>
                <w:sz w:val="20"/>
                <w:szCs w:val="20"/>
              </w:rPr>
            </w:pPr>
            <w:r w:rsidRPr="00F022D2">
              <w:rPr>
                <w:rFonts w:ascii="Arial Narrow" w:hAnsi="Arial Narrow"/>
                <w:bCs/>
                <w:noProof/>
                <w:sz w:val="20"/>
                <w:szCs w:val="20"/>
              </w:rPr>
              <w:t>Other</w:t>
            </w:r>
          </w:p>
        </w:tc>
        <w:tc>
          <w:tcPr>
            <w:tcW w:w="1058"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2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F022D2" w:rsidRPr="00FC4842" w:rsidTr="00961064">
        <w:tc>
          <w:tcPr>
            <w:tcW w:w="213" w:type="dxa"/>
            <w:vAlign w:val="center"/>
          </w:tcPr>
          <w:p w:rsidR="00F022D2" w:rsidRPr="00FC4842" w:rsidRDefault="00F022D2" w:rsidP="00F022D2">
            <w:pPr>
              <w:keepNext/>
              <w:widowControl/>
              <w:jc w:val="left"/>
              <w:rPr>
                <w:rFonts w:ascii="Arial Narrow" w:hAnsi="Arial Narrow"/>
                <w:sz w:val="20"/>
                <w:szCs w:val="20"/>
              </w:rPr>
            </w:pPr>
            <w:r w:rsidRPr="00FC4842">
              <w:rPr>
                <w:rFonts w:ascii="Arial Narrow" w:hAnsi="Arial Narrow"/>
                <w:bCs/>
                <w:noProof/>
                <w:sz w:val="20"/>
                <w:szCs w:val="20"/>
              </w:rPr>
              <w:t>C</w:t>
            </w:r>
          </w:p>
        </w:tc>
        <w:tc>
          <w:tcPr>
            <w:tcW w:w="2901" w:type="dxa"/>
            <w:vAlign w:val="center"/>
          </w:tcPr>
          <w:p w:rsidR="00F022D2" w:rsidRPr="00F022D2" w:rsidRDefault="00F022D2" w:rsidP="00F022D2">
            <w:pPr>
              <w:keepNext/>
              <w:widowControl/>
              <w:jc w:val="left"/>
              <w:rPr>
                <w:rFonts w:ascii="Arial Narrow" w:hAnsi="Arial Narrow"/>
                <w:sz w:val="20"/>
                <w:szCs w:val="20"/>
              </w:rPr>
            </w:pPr>
            <w:r w:rsidRPr="00F022D2">
              <w:rPr>
                <w:rFonts w:ascii="Arial Narrow" w:hAnsi="Arial Narrow"/>
                <w:bCs/>
                <w:noProof/>
                <w:sz w:val="20"/>
                <w:szCs w:val="20"/>
              </w:rPr>
              <w:t>Eligible prevalent patients with LL spasticity*</w:t>
            </w:r>
          </w:p>
        </w:tc>
        <w:tc>
          <w:tcPr>
            <w:tcW w:w="1058"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2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F022D2" w:rsidRPr="00FC4842" w:rsidTr="00961064">
        <w:tc>
          <w:tcPr>
            <w:tcW w:w="213" w:type="dxa"/>
            <w:vAlign w:val="center"/>
          </w:tcPr>
          <w:p w:rsidR="00F022D2" w:rsidRPr="00FC4842" w:rsidRDefault="00F022D2" w:rsidP="00F022D2">
            <w:pPr>
              <w:keepNext/>
              <w:widowControl/>
              <w:jc w:val="left"/>
              <w:rPr>
                <w:rFonts w:ascii="Arial Narrow" w:hAnsi="Arial Narrow"/>
                <w:sz w:val="20"/>
                <w:szCs w:val="20"/>
              </w:rPr>
            </w:pPr>
            <w:r w:rsidRPr="00FC4842">
              <w:rPr>
                <w:rFonts w:ascii="Arial Narrow" w:hAnsi="Arial Narrow"/>
                <w:bCs/>
                <w:noProof/>
                <w:sz w:val="20"/>
                <w:szCs w:val="20"/>
              </w:rPr>
              <w:t>D</w:t>
            </w:r>
          </w:p>
        </w:tc>
        <w:tc>
          <w:tcPr>
            <w:tcW w:w="2901" w:type="dxa"/>
            <w:vAlign w:val="center"/>
          </w:tcPr>
          <w:p w:rsidR="00F022D2" w:rsidRPr="00F022D2" w:rsidRDefault="00F022D2" w:rsidP="00F022D2">
            <w:pPr>
              <w:keepNext/>
              <w:widowControl/>
              <w:jc w:val="left"/>
              <w:rPr>
                <w:rFonts w:ascii="Arial Narrow" w:hAnsi="Arial Narrow"/>
                <w:sz w:val="20"/>
                <w:szCs w:val="20"/>
              </w:rPr>
            </w:pPr>
            <w:r w:rsidRPr="00F022D2">
              <w:rPr>
                <w:rFonts w:ascii="Arial Narrow" w:hAnsi="Arial Narrow"/>
                <w:bCs/>
                <w:noProof/>
                <w:sz w:val="20"/>
                <w:szCs w:val="20"/>
              </w:rPr>
              <w:t>Total eligible patients receiving treatment (B+C)</w:t>
            </w:r>
          </w:p>
        </w:tc>
        <w:tc>
          <w:tcPr>
            <w:tcW w:w="1058"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2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F022D2" w:rsidRPr="00FC4842" w:rsidTr="00961064">
        <w:tc>
          <w:tcPr>
            <w:tcW w:w="213" w:type="dxa"/>
            <w:vAlign w:val="center"/>
          </w:tcPr>
          <w:p w:rsidR="00F022D2" w:rsidRPr="00FC4842" w:rsidRDefault="00F022D2" w:rsidP="00F022D2">
            <w:pPr>
              <w:keepNext/>
              <w:widowControl/>
              <w:jc w:val="left"/>
              <w:rPr>
                <w:rFonts w:ascii="Arial Narrow" w:hAnsi="Arial Narrow"/>
                <w:sz w:val="20"/>
                <w:szCs w:val="20"/>
              </w:rPr>
            </w:pPr>
            <w:r w:rsidRPr="00FC4842">
              <w:rPr>
                <w:rFonts w:ascii="Arial Narrow" w:hAnsi="Arial Narrow"/>
                <w:bCs/>
                <w:noProof/>
                <w:sz w:val="20"/>
                <w:szCs w:val="20"/>
              </w:rPr>
              <w:t>E</w:t>
            </w:r>
          </w:p>
        </w:tc>
        <w:tc>
          <w:tcPr>
            <w:tcW w:w="2901" w:type="dxa"/>
            <w:vAlign w:val="center"/>
          </w:tcPr>
          <w:p w:rsidR="00F022D2" w:rsidRPr="00F022D2" w:rsidRDefault="00F022D2" w:rsidP="00F022D2">
            <w:pPr>
              <w:keepNext/>
              <w:widowControl/>
              <w:jc w:val="left"/>
              <w:rPr>
                <w:rFonts w:ascii="Arial Narrow" w:hAnsi="Arial Narrow"/>
                <w:sz w:val="20"/>
                <w:szCs w:val="20"/>
              </w:rPr>
            </w:pPr>
            <w:r w:rsidRPr="00F022D2">
              <w:rPr>
                <w:rFonts w:ascii="Arial Narrow" w:hAnsi="Arial Narrow"/>
                <w:bCs/>
                <w:noProof/>
                <w:sz w:val="20"/>
                <w:szCs w:val="20"/>
              </w:rPr>
              <w:t>Number of treatment cycles per year^</w:t>
            </w:r>
          </w:p>
        </w:tc>
        <w:tc>
          <w:tcPr>
            <w:tcW w:w="1058" w:type="dxa"/>
            <w:vAlign w:val="center"/>
          </w:tcPr>
          <w:p w:rsidR="00F022D2" w:rsidRPr="00F022D2" w:rsidRDefault="00F022D2" w:rsidP="00F022D2">
            <w:pPr>
              <w:keepNext/>
              <w:widowControl/>
              <w:jc w:val="center"/>
              <w:rPr>
                <w:rFonts w:ascii="Arial Narrow" w:hAnsi="Arial Narrow"/>
                <w:sz w:val="20"/>
                <w:szCs w:val="20"/>
              </w:rPr>
            </w:pPr>
            <w:r w:rsidRPr="00F022D2">
              <w:rPr>
                <w:rFonts w:ascii="Arial Narrow" w:hAnsi="Arial Narrow"/>
                <w:noProof/>
                <w:sz w:val="20"/>
                <w:szCs w:val="20"/>
              </w:rPr>
              <w:t>3.72</w:t>
            </w:r>
          </w:p>
        </w:tc>
        <w:tc>
          <w:tcPr>
            <w:tcW w:w="969" w:type="dxa"/>
            <w:vAlign w:val="center"/>
          </w:tcPr>
          <w:p w:rsidR="00F022D2" w:rsidRPr="00F022D2" w:rsidRDefault="00F022D2" w:rsidP="00F022D2">
            <w:pPr>
              <w:keepNext/>
              <w:widowControl/>
              <w:jc w:val="center"/>
              <w:rPr>
                <w:rFonts w:ascii="Arial Narrow" w:hAnsi="Arial Narrow"/>
                <w:sz w:val="20"/>
                <w:szCs w:val="20"/>
              </w:rPr>
            </w:pPr>
            <w:r w:rsidRPr="00F022D2">
              <w:rPr>
                <w:rFonts w:ascii="Arial Narrow" w:hAnsi="Arial Narrow"/>
                <w:noProof/>
                <w:sz w:val="20"/>
                <w:szCs w:val="20"/>
              </w:rPr>
              <w:t>3.72</w:t>
            </w:r>
          </w:p>
        </w:tc>
        <w:tc>
          <w:tcPr>
            <w:tcW w:w="969" w:type="dxa"/>
            <w:vAlign w:val="center"/>
          </w:tcPr>
          <w:p w:rsidR="00F022D2" w:rsidRPr="00F022D2" w:rsidRDefault="00F022D2" w:rsidP="00F022D2">
            <w:pPr>
              <w:keepNext/>
              <w:widowControl/>
              <w:jc w:val="center"/>
              <w:rPr>
                <w:rFonts w:ascii="Arial Narrow" w:hAnsi="Arial Narrow"/>
                <w:sz w:val="20"/>
                <w:szCs w:val="20"/>
              </w:rPr>
            </w:pPr>
            <w:r w:rsidRPr="00F022D2">
              <w:rPr>
                <w:rFonts w:ascii="Arial Narrow" w:hAnsi="Arial Narrow"/>
                <w:noProof/>
                <w:sz w:val="20"/>
                <w:szCs w:val="20"/>
              </w:rPr>
              <w:t>3.72</w:t>
            </w:r>
          </w:p>
        </w:tc>
        <w:tc>
          <w:tcPr>
            <w:tcW w:w="969" w:type="dxa"/>
            <w:vAlign w:val="center"/>
          </w:tcPr>
          <w:p w:rsidR="00F022D2" w:rsidRPr="00F022D2" w:rsidRDefault="00F022D2" w:rsidP="00F022D2">
            <w:pPr>
              <w:keepNext/>
              <w:widowControl/>
              <w:jc w:val="center"/>
              <w:rPr>
                <w:rFonts w:ascii="Arial Narrow" w:hAnsi="Arial Narrow"/>
                <w:sz w:val="20"/>
                <w:szCs w:val="20"/>
              </w:rPr>
            </w:pPr>
            <w:r w:rsidRPr="00F022D2">
              <w:rPr>
                <w:rFonts w:ascii="Arial Narrow" w:hAnsi="Arial Narrow"/>
                <w:noProof/>
                <w:sz w:val="20"/>
                <w:szCs w:val="20"/>
              </w:rPr>
              <w:t>3.72</w:t>
            </w:r>
          </w:p>
        </w:tc>
        <w:tc>
          <w:tcPr>
            <w:tcW w:w="1029" w:type="dxa"/>
            <w:vAlign w:val="center"/>
          </w:tcPr>
          <w:p w:rsidR="00F022D2" w:rsidRPr="00F022D2" w:rsidRDefault="00F022D2" w:rsidP="00F022D2">
            <w:pPr>
              <w:keepNext/>
              <w:widowControl/>
              <w:jc w:val="center"/>
              <w:rPr>
                <w:rFonts w:ascii="Arial Narrow" w:hAnsi="Arial Narrow"/>
                <w:sz w:val="20"/>
                <w:szCs w:val="20"/>
              </w:rPr>
            </w:pPr>
            <w:r w:rsidRPr="00F022D2">
              <w:rPr>
                <w:rFonts w:ascii="Arial Narrow" w:hAnsi="Arial Narrow"/>
                <w:noProof/>
                <w:sz w:val="20"/>
                <w:szCs w:val="20"/>
              </w:rPr>
              <w:t>3.72</w:t>
            </w:r>
          </w:p>
        </w:tc>
        <w:tc>
          <w:tcPr>
            <w:tcW w:w="992" w:type="dxa"/>
            <w:vAlign w:val="center"/>
          </w:tcPr>
          <w:p w:rsidR="00F022D2" w:rsidRPr="00F022D2" w:rsidRDefault="00F022D2" w:rsidP="00F022D2">
            <w:pPr>
              <w:keepNext/>
              <w:widowControl/>
              <w:jc w:val="center"/>
              <w:rPr>
                <w:rFonts w:ascii="Arial Narrow" w:hAnsi="Arial Narrow"/>
                <w:sz w:val="20"/>
                <w:szCs w:val="20"/>
              </w:rPr>
            </w:pPr>
            <w:r w:rsidRPr="00F022D2">
              <w:rPr>
                <w:rFonts w:ascii="Arial Narrow" w:hAnsi="Arial Narrow"/>
                <w:noProof/>
                <w:sz w:val="20"/>
                <w:szCs w:val="20"/>
              </w:rPr>
              <w:t>3.72</w:t>
            </w:r>
          </w:p>
        </w:tc>
      </w:tr>
      <w:tr w:rsidR="00F022D2" w:rsidRPr="00FC4842" w:rsidTr="00961064">
        <w:tc>
          <w:tcPr>
            <w:tcW w:w="213" w:type="dxa"/>
            <w:vMerge w:val="restart"/>
            <w:vAlign w:val="center"/>
          </w:tcPr>
          <w:p w:rsidR="00F022D2" w:rsidRPr="00FC4842" w:rsidRDefault="00F022D2" w:rsidP="00F022D2">
            <w:pPr>
              <w:keepNext/>
              <w:widowControl/>
              <w:jc w:val="left"/>
              <w:rPr>
                <w:rFonts w:ascii="Arial Narrow" w:hAnsi="Arial Narrow"/>
                <w:sz w:val="20"/>
                <w:szCs w:val="20"/>
              </w:rPr>
            </w:pPr>
            <w:r w:rsidRPr="00FC4842">
              <w:rPr>
                <w:rFonts w:ascii="Arial Narrow" w:hAnsi="Arial Narrow"/>
                <w:bCs/>
                <w:noProof/>
                <w:sz w:val="20"/>
                <w:szCs w:val="20"/>
              </w:rPr>
              <w:t>F</w:t>
            </w:r>
          </w:p>
        </w:tc>
        <w:tc>
          <w:tcPr>
            <w:tcW w:w="2901" w:type="dxa"/>
            <w:vAlign w:val="center"/>
          </w:tcPr>
          <w:p w:rsidR="00F022D2" w:rsidRPr="00F022D2" w:rsidRDefault="00F022D2" w:rsidP="00F022D2">
            <w:pPr>
              <w:keepNext/>
              <w:widowControl/>
              <w:jc w:val="left"/>
              <w:rPr>
                <w:rFonts w:ascii="Arial Narrow" w:hAnsi="Arial Narrow"/>
                <w:sz w:val="20"/>
                <w:szCs w:val="20"/>
              </w:rPr>
            </w:pPr>
            <w:r w:rsidRPr="00F022D2">
              <w:rPr>
                <w:rFonts w:ascii="Arial Narrow" w:hAnsi="Arial Narrow"/>
                <w:bCs/>
                <w:noProof/>
                <w:sz w:val="20"/>
                <w:szCs w:val="20"/>
              </w:rPr>
              <w:t>Total services per year  (DxE)</w:t>
            </w:r>
          </w:p>
        </w:tc>
        <w:tc>
          <w:tcPr>
            <w:tcW w:w="1058"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2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F022D2" w:rsidRPr="00FC4842" w:rsidTr="00961064">
        <w:tc>
          <w:tcPr>
            <w:tcW w:w="213" w:type="dxa"/>
            <w:vMerge/>
            <w:vAlign w:val="center"/>
          </w:tcPr>
          <w:p w:rsidR="00F022D2" w:rsidRPr="00FC4842" w:rsidRDefault="00F022D2" w:rsidP="00F022D2">
            <w:pPr>
              <w:keepNext/>
              <w:widowControl/>
              <w:jc w:val="left"/>
              <w:rPr>
                <w:rFonts w:ascii="Arial Narrow" w:hAnsi="Arial Narrow"/>
                <w:sz w:val="20"/>
                <w:szCs w:val="20"/>
              </w:rPr>
            </w:pPr>
          </w:p>
        </w:tc>
        <w:tc>
          <w:tcPr>
            <w:tcW w:w="2901" w:type="dxa"/>
            <w:vAlign w:val="center"/>
          </w:tcPr>
          <w:p w:rsidR="00F022D2" w:rsidRPr="00F022D2" w:rsidRDefault="00F022D2" w:rsidP="00F022D2">
            <w:pPr>
              <w:keepNext/>
              <w:widowControl/>
              <w:ind w:left="187"/>
              <w:jc w:val="left"/>
              <w:rPr>
                <w:rFonts w:ascii="Arial Narrow" w:hAnsi="Arial Narrow"/>
                <w:bCs/>
                <w:noProof/>
                <w:sz w:val="20"/>
                <w:szCs w:val="20"/>
              </w:rPr>
            </w:pPr>
            <w:r w:rsidRPr="00F022D2">
              <w:rPr>
                <w:rFonts w:ascii="Arial Narrow" w:hAnsi="Arial Narrow"/>
                <w:bCs/>
                <w:noProof/>
                <w:sz w:val="20"/>
                <w:szCs w:val="20"/>
              </w:rPr>
              <w:t>Dysport 300U (25.4%)</w:t>
            </w:r>
          </w:p>
        </w:tc>
        <w:tc>
          <w:tcPr>
            <w:tcW w:w="1058"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bCs/>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2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F022D2" w:rsidRPr="00FC4842" w:rsidTr="00961064">
        <w:tc>
          <w:tcPr>
            <w:tcW w:w="213" w:type="dxa"/>
            <w:vMerge/>
            <w:vAlign w:val="center"/>
          </w:tcPr>
          <w:p w:rsidR="00F022D2" w:rsidRPr="00FC4842" w:rsidRDefault="00F022D2" w:rsidP="00F022D2">
            <w:pPr>
              <w:keepNext/>
              <w:widowControl/>
              <w:jc w:val="left"/>
              <w:rPr>
                <w:rFonts w:ascii="Arial Narrow" w:hAnsi="Arial Narrow"/>
                <w:sz w:val="20"/>
                <w:szCs w:val="20"/>
              </w:rPr>
            </w:pPr>
          </w:p>
        </w:tc>
        <w:tc>
          <w:tcPr>
            <w:tcW w:w="2901" w:type="dxa"/>
            <w:vAlign w:val="center"/>
          </w:tcPr>
          <w:p w:rsidR="00F022D2" w:rsidRPr="00F022D2" w:rsidRDefault="00F022D2" w:rsidP="00F022D2">
            <w:pPr>
              <w:keepNext/>
              <w:widowControl/>
              <w:ind w:left="187"/>
              <w:jc w:val="left"/>
              <w:rPr>
                <w:rFonts w:ascii="Arial Narrow" w:hAnsi="Arial Narrow"/>
                <w:bCs/>
                <w:noProof/>
                <w:sz w:val="20"/>
                <w:szCs w:val="20"/>
              </w:rPr>
            </w:pPr>
            <w:r w:rsidRPr="00F022D2">
              <w:rPr>
                <w:rFonts w:ascii="Arial Narrow" w:hAnsi="Arial Narrow"/>
                <w:bCs/>
                <w:noProof/>
                <w:sz w:val="20"/>
                <w:szCs w:val="20"/>
              </w:rPr>
              <w:t>Dysport 500U (74.6%)</w:t>
            </w:r>
          </w:p>
        </w:tc>
        <w:tc>
          <w:tcPr>
            <w:tcW w:w="1058"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2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F022D2" w:rsidRPr="00FC4842" w:rsidTr="00961064">
        <w:tc>
          <w:tcPr>
            <w:tcW w:w="213" w:type="dxa"/>
            <w:vAlign w:val="center"/>
          </w:tcPr>
          <w:p w:rsidR="00F022D2" w:rsidRPr="00FC4842" w:rsidRDefault="00F022D2" w:rsidP="00F022D2">
            <w:pPr>
              <w:keepNext/>
              <w:widowControl/>
              <w:jc w:val="left"/>
              <w:rPr>
                <w:rFonts w:ascii="Arial Narrow" w:hAnsi="Arial Narrow"/>
                <w:sz w:val="20"/>
                <w:szCs w:val="20"/>
              </w:rPr>
            </w:pPr>
            <w:r w:rsidRPr="00FC4842">
              <w:rPr>
                <w:rFonts w:ascii="Arial Narrow" w:hAnsi="Arial Narrow"/>
                <w:bCs/>
                <w:noProof/>
                <w:sz w:val="20"/>
                <w:szCs w:val="20"/>
              </w:rPr>
              <w:t>G</w:t>
            </w:r>
          </w:p>
        </w:tc>
        <w:tc>
          <w:tcPr>
            <w:tcW w:w="2901" w:type="dxa"/>
            <w:vAlign w:val="center"/>
          </w:tcPr>
          <w:p w:rsidR="00F022D2" w:rsidRPr="00F022D2" w:rsidRDefault="00F022D2" w:rsidP="00F022D2">
            <w:pPr>
              <w:keepNext/>
              <w:widowControl/>
              <w:jc w:val="left"/>
              <w:rPr>
                <w:rFonts w:ascii="Arial Narrow" w:hAnsi="Arial Narrow"/>
                <w:sz w:val="20"/>
                <w:szCs w:val="20"/>
              </w:rPr>
            </w:pPr>
            <w:r w:rsidRPr="00F022D2">
              <w:rPr>
                <w:rFonts w:ascii="Arial Narrow" w:hAnsi="Arial Narrow"/>
                <w:noProof/>
                <w:sz w:val="20"/>
                <w:szCs w:val="20"/>
              </w:rPr>
              <w:t>PBS/RPBS cost</w:t>
            </w:r>
            <w:r w:rsidRPr="00F022D2">
              <w:rPr>
                <w:rFonts w:ascii="Arial Narrow" w:hAnsi="Arial Narrow"/>
                <w:noProof/>
                <w:sz w:val="20"/>
                <w:szCs w:val="20"/>
                <w:vertAlign w:val="superscript"/>
              </w:rPr>
              <w:t>‡</w:t>
            </w:r>
          </w:p>
        </w:tc>
        <w:tc>
          <w:tcPr>
            <w:tcW w:w="1058" w:type="dxa"/>
            <w:vAlign w:val="center"/>
          </w:tcPr>
          <w:p w:rsidR="00F022D2" w:rsidRPr="00F022D2" w:rsidRDefault="00F022D2" w:rsidP="00F022D2">
            <w:pPr>
              <w:keepNext/>
              <w:widowControl/>
              <w:jc w:val="center"/>
              <w:rPr>
                <w:rFonts w:ascii="Arial Narrow" w:hAnsi="Arial Narrow"/>
                <w:sz w:val="20"/>
                <w:szCs w:val="20"/>
              </w:rPr>
            </w:pPr>
            <w:r w:rsidRPr="00F022D2">
              <w:rPr>
                <w:rFonts w:ascii="Arial Narrow" w:hAnsi="Arial Narrow"/>
                <w:iCs/>
                <w:noProof/>
                <w:sz w:val="20"/>
                <w:szCs w:val="20"/>
              </w:rPr>
              <w:t>$</w:t>
            </w:r>
            <w:r w:rsidR="00EA7891">
              <w:rPr>
                <w:rFonts w:ascii="Arial Narrow" w:hAnsi="Arial Narrow"/>
                <w:iCs/>
                <w:noProof/>
                <w:color w:val="000000"/>
                <w:sz w:val="20"/>
                <w:szCs w:val="20"/>
                <w:highlight w:val="black"/>
              </w:rPr>
              <w:t>''''''''''''''''''''''''''</w:t>
            </w:r>
          </w:p>
        </w:tc>
        <w:tc>
          <w:tcPr>
            <w:tcW w:w="969" w:type="dxa"/>
            <w:vAlign w:val="center"/>
          </w:tcPr>
          <w:p w:rsidR="00F022D2" w:rsidRPr="00F022D2" w:rsidRDefault="00F022D2" w:rsidP="00F022D2">
            <w:pPr>
              <w:keepNext/>
              <w:widowControl/>
              <w:jc w:val="center"/>
              <w:rPr>
                <w:rFonts w:ascii="Arial Narrow" w:hAnsi="Arial Narrow"/>
                <w:sz w:val="20"/>
                <w:szCs w:val="20"/>
              </w:rPr>
            </w:pPr>
            <w:r w:rsidRPr="00F022D2">
              <w:rPr>
                <w:rFonts w:ascii="Arial Narrow" w:hAnsi="Arial Narrow"/>
                <w:iCs/>
                <w:noProof/>
                <w:sz w:val="20"/>
                <w:szCs w:val="20"/>
              </w:rPr>
              <w:t>$</w:t>
            </w:r>
            <w:r w:rsidR="00EA7891">
              <w:rPr>
                <w:rFonts w:ascii="Arial Narrow" w:hAnsi="Arial Narrow"/>
                <w:iCs/>
                <w:noProof/>
                <w:color w:val="000000"/>
                <w:sz w:val="20"/>
                <w:szCs w:val="20"/>
                <w:highlight w:val="black"/>
              </w:rPr>
              <w:t>''''''''''''''''''''''''''</w:t>
            </w:r>
          </w:p>
        </w:tc>
        <w:tc>
          <w:tcPr>
            <w:tcW w:w="969" w:type="dxa"/>
            <w:vAlign w:val="center"/>
          </w:tcPr>
          <w:p w:rsidR="00F022D2" w:rsidRPr="00F022D2" w:rsidRDefault="00F022D2" w:rsidP="00F022D2">
            <w:pPr>
              <w:keepNext/>
              <w:widowControl/>
              <w:jc w:val="center"/>
              <w:rPr>
                <w:rFonts w:ascii="Arial Narrow" w:hAnsi="Arial Narrow"/>
                <w:sz w:val="20"/>
                <w:szCs w:val="20"/>
              </w:rPr>
            </w:pPr>
            <w:r w:rsidRPr="00F022D2">
              <w:rPr>
                <w:rFonts w:ascii="Arial Narrow" w:hAnsi="Arial Narrow"/>
                <w:iCs/>
                <w:noProof/>
                <w:sz w:val="20"/>
                <w:szCs w:val="20"/>
              </w:rPr>
              <w:t>$</w:t>
            </w:r>
            <w:r w:rsidR="00EA7891">
              <w:rPr>
                <w:rFonts w:ascii="Arial Narrow" w:hAnsi="Arial Narrow"/>
                <w:iCs/>
                <w:noProof/>
                <w:color w:val="000000"/>
                <w:sz w:val="20"/>
                <w:szCs w:val="20"/>
                <w:highlight w:val="black"/>
              </w:rPr>
              <w:t>''''''''''''''''''''''''''''</w:t>
            </w:r>
          </w:p>
        </w:tc>
        <w:tc>
          <w:tcPr>
            <w:tcW w:w="969" w:type="dxa"/>
            <w:vAlign w:val="center"/>
          </w:tcPr>
          <w:p w:rsidR="00F022D2" w:rsidRPr="00F022D2" w:rsidRDefault="00F022D2" w:rsidP="00F022D2">
            <w:pPr>
              <w:keepNext/>
              <w:widowControl/>
              <w:jc w:val="center"/>
              <w:rPr>
                <w:rFonts w:ascii="Arial Narrow" w:hAnsi="Arial Narrow"/>
                <w:sz w:val="20"/>
                <w:szCs w:val="20"/>
              </w:rPr>
            </w:pPr>
            <w:r w:rsidRPr="00F022D2">
              <w:rPr>
                <w:rFonts w:ascii="Arial Narrow" w:hAnsi="Arial Narrow"/>
                <w:iCs/>
                <w:noProof/>
                <w:sz w:val="20"/>
                <w:szCs w:val="20"/>
              </w:rPr>
              <w:t>$</w:t>
            </w:r>
            <w:r w:rsidR="00EA7891">
              <w:rPr>
                <w:rFonts w:ascii="Arial Narrow" w:hAnsi="Arial Narrow"/>
                <w:iCs/>
                <w:noProof/>
                <w:color w:val="000000"/>
                <w:sz w:val="20"/>
                <w:szCs w:val="20"/>
                <w:highlight w:val="black"/>
              </w:rPr>
              <w:t>'''''''''''''''''''''''''''''</w:t>
            </w:r>
          </w:p>
        </w:tc>
        <w:tc>
          <w:tcPr>
            <w:tcW w:w="1029" w:type="dxa"/>
            <w:vAlign w:val="center"/>
          </w:tcPr>
          <w:p w:rsidR="00F022D2" w:rsidRPr="00EA7891" w:rsidRDefault="00EA7891" w:rsidP="00F022D2">
            <w:pPr>
              <w:keepNext/>
              <w:widowControl/>
              <w:jc w:val="center"/>
              <w:rPr>
                <w:rFonts w:ascii="Arial Narrow" w:hAnsi="Arial Narrow"/>
                <w:sz w:val="20"/>
                <w:szCs w:val="20"/>
                <w:highlight w:val="black"/>
              </w:rPr>
            </w:pPr>
            <w:r>
              <w:rPr>
                <w:rFonts w:ascii="Arial Narrow" w:hAnsi="Arial Narrow"/>
                <w:iCs/>
                <w:noProof/>
                <w:color w:val="000000"/>
                <w:sz w:val="20"/>
                <w:szCs w:val="20"/>
                <w:highlight w:val="black"/>
              </w:rPr>
              <w:t>''''''''''''''''''''''''''''</w:t>
            </w:r>
          </w:p>
        </w:tc>
        <w:tc>
          <w:tcPr>
            <w:tcW w:w="992" w:type="dxa"/>
            <w:vAlign w:val="center"/>
          </w:tcPr>
          <w:p w:rsidR="00F022D2" w:rsidRPr="00F022D2" w:rsidRDefault="00F022D2" w:rsidP="00F022D2">
            <w:pPr>
              <w:keepNext/>
              <w:widowControl/>
              <w:jc w:val="center"/>
              <w:rPr>
                <w:rFonts w:ascii="Arial Narrow" w:hAnsi="Arial Narrow"/>
                <w:sz w:val="20"/>
                <w:szCs w:val="20"/>
              </w:rPr>
            </w:pPr>
            <w:r w:rsidRPr="00F022D2">
              <w:rPr>
                <w:rFonts w:ascii="Arial Narrow" w:hAnsi="Arial Narrow"/>
                <w:iCs/>
                <w:noProof/>
                <w:sz w:val="20"/>
                <w:szCs w:val="20"/>
              </w:rPr>
              <w:t>$</w:t>
            </w:r>
            <w:r w:rsidR="00EA7891">
              <w:rPr>
                <w:rFonts w:ascii="Arial Narrow" w:hAnsi="Arial Narrow"/>
                <w:iCs/>
                <w:noProof/>
                <w:color w:val="000000"/>
                <w:sz w:val="20"/>
                <w:szCs w:val="20"/>
                <w:highlight w:val="black"/>
              </w:rPr>
              <w:t>''''''''''''''''''''''''</w:t>
            </w:r>
          </w:p>
        </w:tc>
      </w:tr>
      <w:tr w:rsidR="00F022D2" w:rsidRPr="00FC4842" w:rsidTr="00961064">
        <w:tc>
          <w:tcPr>
            <w:tcW w:w="213" w:type="dxa"/>
            <w:vAlign w:val="center"/>
          </w:tcPr>
          <w:p w:rsidR="00F022D2" w:rsidRPr="00FC4842" w:rsidRDefault="00F022D2" w:rsidP="00F022D2">
            <w:pPr>
              <w:keepNext/>
              <w:widowControl/>
              <w:jc w:val="left"/>
              <w:rPr>
                <w:rFonts w:ascii="Arial Narrow" w:hAnsi="Arial Narrow"/>
                <w:sz w:val="20"/>
                <w:szCs w:val="20"/>
              </w:rPr>
            </w:pPr>
            <w:r w:rsidRPr="00FC4842">
              <w:rPr>
                <w:rFonts w:ascii="Arial Narrow" w:hAnsi="Arial Narrow"/>
                <w:bCs/>
                <w:noProof/>
                <w:sz w:val="20"/>
                <w:szCs w:val="20"/>
              </w:rPr>
              <w:t>H</w:t>
            </w:r>
          </w:p>
        </w:tc>
        <w:tc>
          <w:tcPr>
            <w:tcW w:w="2901" w:type="dxa"/>
            <w:vAlign w:val="center"/>
          </w:tcPr>
          <w:p w:rsidR="00F022D2" w:rsidRPr="00F022D2" w:rsidRDefault="00F022D2" w:rsidP="00F022D2">
            <w:pPr>
              <w:keepNext/>
              <w:widowControl/>
              <w:jc w:val="left"/>
              <w:rPr>
                <w:rFonts w:ascii="Arial Narrow" w:hAnsi="Arial Narrow"/>
                <w:sz w:val="20"/>
                <w:szCs w:val="20"/>
              </w:rPr>
            </w:pPr>
            <w:r w:rsidRPr="00F022D2">
              <w:rPr>
                <w:rFonts w:ascii="Arial Narrow" w:hAnsi="Arial Narrow"/>
                <w:noProof/>
                <w:sz w:val="20"/>
                <w:szCs w:val="20"/>
              </w:rPr>
              <w:t xml:space="preserve">Patient co-payment </w:t>
            </w:r>
          </w:p>
        </w:tc>
        <w:tc>
          <w:tcPr>
            <w:tcW w:w="1058" w:type="dxa"/>
            <w:vAlign w:val="center"/>
          </w:tcPr>
          <w:p w:rsidR="00F022D2" w:rsidRPr="00F022D2" w:rsidRDefault="00F022D2" w:rsidP="00F022D2">
            <w:pPr>
              <w:keepNext/>
              <w:widowControl/>
              <w:jc w:val="center"/>
              <w:rPr>
                <w:rFonts w:ascii="Arial Narrow" w:hAnsi="Arial Narrow"/>
                <w:sz w:val="20"/>
                <w:szCs w:val="20"/>
              </w:rPr>
            </w:pPr>
            <w:r w:rsidRPr="00F022D2">
              <w:rPr>
                <w:rFonts w:ascii="Arial Narrow" w:hAnsi="Arial Narrow"/>
                <w:iCs/>
                <w:noProof/>
                <w:sz w:val="20"/>
                <w:szCs w:val="20"/>
              </w:rPr>
              <w:t>$</w:t>
            </w:r>
            <w:r w:rsidR="00EA7891">
              <w:rPr>
                <w:rFonts w:ascii="Arial Narrow" w:hAnsi="Arial Narrow"/>
                <w:iCs/>
                <w:noProof/>
                <w:color w:val="000000"/>
                <w:sz w:val="20"/>
                <w:szCs w:val="20"/>
                <w:highlight w:val="black"/>
              </w:rPr>
              <w:t>''''''''''''''''''''</w:t>
            </w:r>
          </w:p>
        </w:tc>
        <w:tc>
          <w:tcPr>
            <w:tcW w:w="969" w:type="dxa"/>
            <w:vAlign w:val="center"/>
          </w:tcPr>
          <w:p w:rsidR="00F022D2" w:rsidRPr="00F022D2" w:rsidRDefault="00F022D2" w:rsidP="00F022D2">
            <w:pPr>
              <w:keepNext/>
              <w:widowControl/>
              <w:jc w:val="center"/>
              <w:rPr>
                <w:rFonts w:ascii="Arial Narrow" w:hAnsi="Arial Narrow"/>
                <w:sz w:val="20"/>
                <w:szCs w:val="20"/>
              </w:rPr>
            </w:pPr>
            <w:r w:rsidRPr="00F022D2">
              <w:rPr>
                <w:rFonts w:ascii="Arial Narrow" w:hAnsi="Arial Narrow"/>
                <w:iCs/>
                <w:noProof/>
                <w:sz w:val="20"/>
                <w:szCs w:val="20"/>
              </w:rPr>
              <w:t>$</w:t>
            </w:r>
            <w:r w:rsidR="00EA7891">
              <w:rPr>
                <w:rFonts w:ascii="Arial Narrow" w:hAnsi="Arial Narrow"/>
                <w:iCs/>
                <w:noProof/>
                <w:color w:val="000000"/>
                <w:sz w:val="20"/>
                <w:szCs w:val="20"/>
                <w:highlight w:val="black"/>
              </w:rPr>
              <w:t>''''''''''''''''''''</w:t>
            </w:r>
          </w:p>
        </w:tc>
        <w:tc>
          <w:tcPr>
            <w:tcW w:w="969" w:type="dxa"/>
            <w:vAlign w:val="center"/>
          </w:tcPr>
          <w:p w:rsidR="00F022D2" w:rsidRPr="00F022D2" w:rsidRDefault="00F022D2" w:rsidP="00F022D2">
            <w:pPr>
              <w:keepNext/>
              <w:widowControl/>
              <w:jc w:val="center"/>
              <w:rPr>
                <w:rFonts w:ascii="Arial Narrow" w:hAnsi="Arial Narrow"/>
                <w:sz w:val="20"/>
                <w:szCs w:val="20"/>
              </w:rPr>
            </w:pPr>
            <w:r w:rsidRPr="00F022D2">
              <w:rPr>
                <w:rFonts w:ascii="Arial Narrow" w:hAnsi="Arial Narrow"/>
                <w:iCs/>
                <w:noProof/>
                <w:sz w:val="20"/>
                <w:szCs w:val="20"/>
              </w:rPr>
              <w:t>$</w:t>
            </w:r>
            <w:r w:rsidR="00EA7891">
              <w:rPr>
                <w:rFonts w:ascii="Arial Narrow" w:hAnsi="Arial Narrow"/>
                <w:iCs/>
                <w:noProof/>
                <w:color w:val="000000"/>
                <w:sz w:val="20"/>
                <w:szCs w:val="20"/>
                <w:highlight w:val="black"/>
              </w:rPr>
              <w:t>''''''''''''''''''</w:t>
            </w:r>
          </w:p>
        </w:tc>
        <w:tc>
          <w:tcPr>
            <w:tcW w:w="969" w:type="dxa"/>
            <w:vAlign w:val="center"/>
          </w:tcPr>
          <w:p w:rsidR="00F022D2" w:rsidRPr="00F022D2" w:rsidRDefault="00F022D2" w:rsidP="00F022D2">
            <w:pPr>
              <w:keepNext/>
              <w:widowControl/>
              <w:jc w:val="center"/>
              <w:rPr>
                <w:rFonts w:ascii="Arial Narrow" w:hAnsi="Arial Narrow"/>
                <w:sz w:val="20"/>
                <w:szCs w:val="20"/>
              </w:rPr>
            </w:pPr>
            <w:r w:rsidRPr="00F022D2">
              <w:rPr>
                <w:rFonts w:ascii="Arial Narrow" w:hAnsi="Arial Narrow"/>
                <w:iCs/>
                <w:noProof/>
                <w:sz w:val="20"/>
                <w:szCs w:val="20"/>
              </w:rPr>
              <w:t>$</w:t>
            </w:r>
            <w:r w:rsidR="00EA7891">
              <w:rPr>
                <w:rFonts w:ascii="Arial Narrow" w:hAnsi="Arial Narrow"/>
                <w:iCs/>
                <w:noProof/>
                <w:color w:val="000000"/>
                <w:sz w:val="20"/>
                <w:szCs w:val="20"/>
                <w:highlight w:val="black"/>
              </w:rPr>
              <w:t>''''''''''''''''''</w:t>
            </w:r>
          </w:p>
        </w:tc>
        <w:tc>
          <w:tcPr>
            <w:tcW w:w="1029" w:type="dxa"/>
            <w:vAlign w:val="center"/>
          </w:tcPr>
          <w:p w:rsidR="00F022D2" w:rsidRPr="00F022D2" w:rsidRDefault="00F022D2" w:rsidP="00F022D2">
            <w:pPr>
              <w:keepNext/>
              <w:widowControl/>
              <w:jc w:val="center"/>
              <w:rPr>
                <w:rFonts w:ascii="Arial Narrow" w:hAnsi="Arial Narrow"/>
                <w:sz w:val="20"/>
                <w:szCs w:val="20"/>
              </w:rPr>
            </w:pPr>
            <w:r w:rsidRPr="00F022D2">
              <w:rPr>
                <w:rFonts w:ascii="Arial Narrow" w:hAnsi="Arial Narrow"/>
                <w:iCs/>
                <w:noProof/>
                <w:sz w:val="20"/>
                <w:szCs w:val="20"/>
              </w:rPr>
              <w:t>$</w:t>
            </w:r>
            <w:r w:rsidR="00EA7891">
              <w:rPr>
                <w:rFonts w:ascii="Arial Narrow" w:hAnsi="Arial Narrow"/>
                <w:iCs/>
                <w:noProof/>
                <w:color w:val="000000"/>
                <w:sz w:val="20"/>
                <w:szCs w:val="20"/>
                <w:highlight w:val="black"/>
              </w:rPr>
              <w:t>'''''''''''''''''''</w:t>
            </w:r>
          </w:p>
        </w:tc>
        <w:tc>
          <w:tcPr>
            <w:tcW w:w="992" w:type="dxa"/>
            <w:vAlign w:val="center"/>
          </w:tcPr>
          <w:p w:rsidR="00F022D2" w:rsidRPr="00F022D2" w:rsidRDefault="00F022D2" w:rsidP="00F022D2">
            <w:pPr>
              <w:keepNext/>
              <w:widowControl/>
              <w:jc w:val="center"/>
              <w:rPr>
                <w:rFonts w:ascii="Arial Narrow" w:hAnsi="Arial Narrow"/>
                <w:sz w:val="20"/>
                <w:szCs w:val="20"/>
              </w:rPr>
            </w:pPr>
            <w:r w:rsidRPr="00F022D2">
              <w:rPr>
                <w:rFonts w:ascii="Arial Narrow" w:hAnsi="Arial Narrow"/>
                <w:iCs/>
                <w:noProof/>
                <w:sz w:val="20"/>
                <w:szCs w:val="20"/>
              </w:rPr>
              <w:t>-$</w:t>
            </w:r>
            <w:r w:rsidR="00EA7891">
              <w:rPr>
                <w:rFonts w:ascii="Arial Narrow" w:hAnsi="Arial Narrow"/>
                <w:iCs/>
                <w:noProof/>
                <w:color w:val="000000"/>
                <w:sz w:val="20"/>
                <w:szCs w:val="20"/>
                <w:highlight w:val="black"/>
              </w:rPr>
              <w:t>''''''''''''''''''''''</w:t>
            </w:r>
          </w:p>
        </w:tc>
      </w:tr>
      <w:tr w:rsidR="00F022D2" w:rsidRPr="00B0089A" w:rsidTr="00961064">
        <w:tc>
          <w:tcPr>
            <w:tcW w:w="213" w:type="dxa"/>
            <w:vAlign w:val="center"/>
          </w:tcPr>
          <w:p w:rsidR="00F022D2" w:rsidRPr="00B0089A" w:rsidRDefault="00F022D2" w:rsidP="00F022D2">
            <w:pPr>
              <w:keepNext/>
              <w:widowControl/>
              <w:jc w:val="left"/>
              <w:rPr>
                <w:rFonts w:ascii="Arial Narrow" w:hAnsi="Arial Narrow"/>
                <w:b/>
                <w:sz w:val="20"/>
                <w:szCs w:val="20"/>
              </w:rPr>
            </w:pPr>
            <w:r w:rsidRPr="00B0089A">
              <w:rPr>
                <w:rFonts w:ascii="Arial Narrow" w:hAnsi="Arial Narrow"/>
                <w:b/>
                <w:bCs/>
                <w:noProof/>
                <w:sz w:val="20"/>
                <w:szCs w:val="20"/>
              </w:rPr>
              <w:t>I</w:t>
            </w:r>
          </w:p>
        </w:tc>
        <w:tc>
          <w:tcPr>
            <w:tcW w:w="2901" w:type="dxa"/>
            <w:vAlign w:val="center"/>
          </w:tcPr>
          <w:p w:rsidR="00F022D2" w:rsidRPr="00B0089A" w:rsidRDefault="00F022D2" w:rsidP="00F022D2">
            <w:pPr>
              <w:keepNext/>
              <w:widowControl/>
              <w:jc w:val="left"/>
              <w:rPr>
                <w:rFonts w:ascii="Arial Narrow" w:hAnsi="Arial Narrow"/>
                <w:b/>
                <w:sz w:val="20"/>
                <w:szCs w:val="20"/>
              </w:rPr>
            </w:pPr>
            <w:r w:rsidRPr="00B0089A">
              <w:rPr>
                <w:rFonts w:ascii="Arial Narrow" w:hAnsi="Arial Narrow"/>
                <w:b/>
                <w:noProof/>
                <w:sz w:val="20"/>
                <w:szCs w:val="20"/>
              </w:rPr>
              <w:t xml:space="preserve">Net PBS/RPBS cost </w:t>
            </w:r>
          </w:p>
        </w:tc>
        <w:tc>
          <w:tcPr>
            <w:tcW w:w="1058" w:type="dxa"/>
            <w:vAlign w:val="center"/>
          </w:tcPr>
          <w:p w:rsidR="00F022D2" w:rsidRPr="00B0089A" w:rsidRDefault="00F022D2" w:rsidP="00F022D2">
            <w:pPr>
              <w:keepNext/>
              <w:widowControl/>
              <w:jc w:val="center"/>
              <w:rPr>
                <w:rFonts w:ascii="Arial Narrow" w:hAnsi="Arial Narrow"/>
                <w:b/>
                <w:sz w:val="20"/>
                <w:szCs w:val="20"/>
              </w:rPr>
            </w:pPr>
            <w:r w:rsidRPr="00B0089A">
              <w:rPr>
                <w:rFonts w:ascii="Arial Narrow" w:hAnsi="Arial Narrow"/>
                <w:b/>
                <w:iCs/>
                <w:noProof/>
                <w:sz w:val="20"/>
                <w:szCs w:val="20"/>
              </w:rPr>
              <w:t>$</w:t>
            </w:r>
            <w:r w:rsidR="00EA7891">
              <w:rPr>
                <w:rFonts w:ascii="Arial Narrow" w:hAnsi="Arial Narrow"/>
                <w:b/>
                <w:iCs/>
                <w:noProof/>
                <w:color w:val="000000"/>
                <w:sz w:val="20"/>
                <w:szCs w:val="20"/>
                <w:highlight w:val="black"/>
              </w:rPr>
              <w:t>''''''''''''''''''''</w:t>
            </w:r>
          </w:p>
        </w:tc>
        <w:tc>
          <w:tcPr>
            <w:tcW w:w="969" w:type="dxa"/>
            <w:vAlign w:val="center"/>
          </w:tcPr>
          <w:p w:rsidR="00F022D2" w:rsidRPr="00B0089A" w:rsidRDefault="00F022D2" w:rsidP="00F022D2">
            <w:pPr>
              <w:keepNext/>
              <w:widowControl/>
              <w:jc w:val="center"/>
              <w:rPr>
                <w:rFonts w:ascii="Arial Narrow" w:hAnsi="Arial Narrow"/>
                <w:b/>
                <w:sz w:val="20"/>
                <w:szCs w:val="20"/>
              </w:rPr>
            </w:pPr>
            <w:r w:rsidRPr="00B0089A">
              <w:rPr>
                <w:rFonts w:ascii="Arial Narrow" w:hAnsi="Arial Narrow"/>
                <w:b/>
                <w:iCs/>
                <w:noProof/>
                <w:sz w:val="20"/>
                <w:szCs w:val="20"/>
              </w:rPr>
              <w:t>$</w:t>
            </w:r>
            <w:r w:rsidR="00EA7891">
              <w:rPr>
                <w:rFonts w:ascii="Arial Narrow" w:hAnsi="Arial Narrow"/>
                <w:b/>
                <w:iCs/>
                <w:noProof/>
                <w:color w:val="000000"/>
                <w:sz w:val="20"/>
                <w:szCs w:val="20"/>
                <w:highlight w:val="black"/>
              </w:rPr>
              <w:t>''''''''''''''''''''''</w:t>
            </w:r>
          </w:p>
        </w:tc>
        <w:tc>
          <w:tcPr>
            <w:tcW w:w="969" w:type="dxa"/>
            <w:vAlign w:val="center"/>
          </w:tcPr>
          <w:p w:rsidR="00F022D2" w:rsidRPr="00B0089A" w:rsidRDefault="00F022D2" w:rsidP="00F022D2">
            <w:pPr>
              <w:keepNext/>
              <w:widowControl/>
              <w:jc w:val="center"/>
              <w:rPr>
                <w:rFonts w:ascii="Arial Narrow" w:hAnsi="Arial Narrow"/>
                <w:b/>
                <w:sz w:val="20"/>
                <w:szCs w:val="20"/>
              </w:rPr>
            </w:pPr>
            <w:r w:rsidRPr="00B0089A">
              <w:rPr>
                <w:rFonts w:ascii="Arial Narrow" w:hAnsi="Arial Narrow"/>
                <w:b/>
                <w:iCs/>
                <w:noProof/>
                <w:sz w:val="20"/>
                <w:szCs w:val="20"/>
              </w:rPr>
              <w:t>$</w:t>
            </w:r>
            <w:r w:rsidR="00EA7891">
              <w:rPr>
                <w:rFonts w:ascii="Arial Narrow" w:hAnsi="Arial Narrow"/>
                <w:b/>
                <w:iCs/>
                <w:noProof/>
                <w:color w:val="000000"/>
                <w:sz w:val="20"/>
                <w:szCs w:val="20"/>
                <w:highlight w:val="black"/>
              </w:rPr>
              <w:t>'''''''''''''''''''''</w:t>
            </w:r>
          </w:p>
        </w:tc>
        <w:tc>
          <w:tcPr>
            <w:tcW w:w="969" w:type="dxa"/>
            <w:vAlign w:val="center"/>
          </w:tcPr>
          <w:p w:rsidR="00F022D2" w:rsidRPr="00B0089A" w:rsidRDefault="00F022D2" w:rsidP="00F022D2">
            <w:pPr>
              <w:keepNext/>
              <w:widowControl/>
              <w:jc w:val="center"/>
              <w:rPr>
                <w:rFonts w:ascii="Arial Narrow" w:hAnsi="Arial Narrow"/>
                <w:b/>
                <w:sz w:val="20"/>
                <w:szCs w:val="20"/>
              </w:rPr>
            </w:pPr>
            <w:r w:rsidRPr="00B0089A">
              <w:rPr>
                <w:rFonts w:ascii="Arial Narrow" w:hAnsi="Arial Narrow"/>
                <w:b/>
                <w:iCs/>
                <w:noProof/>
                <w:sz w:val="20"/>
                <w:szCs w:val="20"/>
              </w:rPr>
              <w:t>$</w:t>
            </w:r>
            <w:r w:rsidR="00EA7891">
              <w:rPr>
                <w:rFonts w:ascii="Arial Narrow" w:hAnsi="Arial Narrow"/>
                <w:b/>
                <w:iCs/>
                <w:noProof/>
                <w:color w:val="000000"/>
                <w:sz w:val="20"/>
                <w:szCs w:val="20"/>
                <w:highlight w:val="black"/>
              </w:rPr>
              <w:t>'''''''''''''''''''''''</w:t>
            </w:r>
          </w:p>
        </w:tc>
        <w:tc>
          <w:tcPr>
            <w:tcW w:w="1029" w:type="dxa"/>
            <w:vAlign w:val="center"/>
          </w:tcPr>
          <w:p w:rsidR="00F022D2" w:rsidRPr="00B0089A" w:rsidRDefault="00F022D2" w:rsidP="00F022D2">
            <w:pPr>
              <w:keepNext/>
              <w:widowControl/>
              <w:jc w:val="center"/>
              <w:rPr>
                <w:rFonts w:ascii="Arial Narrow" w:hAnsi="Arial Narrow"/>
                <w:b/>
                <w:sz w:val="20"/>
                <w:szCs w:val="20"/>
              </w:rPr>
            </w:pPr>
            <w:r w:rsidRPr="00B0089A">
              <w:rPr>
                <w:rFonts w:ascii="Arial Narrow" w:hAnsi="Arial Narrow"/>
                <w:b/>
                <w:iCs/>
                <w:noProof/>
                <w:sz w:val="20"/>
                <w:szCs w:val="20"/>
              </w:rPr>
              <w:t>$</w:t>
            </w:r>
            <w:r w:rsidR="00EA7891">
              <w:rPr>
                <w:rFonts w:ascii="Arial Narrow" w:hAnsi="Arial Narrow"/>
                <w:b/>
                <w:iCs/>
                <w:noProof/>
                <w:color w:val="000000"/>
                <w:sz w:val="20"/>
                <w:szCs w:val="20"/>
                <w:highlight w:val="black"/>
              </w:rPr>
              <w:t>'''''''''''''''''''</w:t>
            </w:r>
          </w:p>
        </w:tc>
        <w:tc>
          <w:tcPr>
            <w:tcW w:w="992" w:type="dxa"/>
            <w:vAlign w:val="center"/>
          </w:tcPr>
          <w:p w:rsidR="00F022D2" w:rsidRPr="00B0089A" w:rsidRDefault="00F022D2" w:rsidP="00F022D2">
            <w:pPr>
              <w:keepNext/>
              <w:widowControl/>
              <w:jc w:val="center"/>
              <w:rPr>
                <w:rFonts w:ascii="Arial Narrow" w:hAnsi="Arial Narrow"/>
                <w:b/>
                <w:sz w:val="20"/>
                <w:szCs w:val="20"/>
              </w:rPr>
            </w:pPr>
            <w:r w:rsidRPr="00B0089A">
              <w:rPr>
                <w:rFonts w:ascii="Arial Narrow" w:hAnsi="Arial Narrow"/>
                <w:b/>
                <w:iCs/>
                <w:noProof/>
                <w:sz w:val="20"/>
                <w:szCs w:val="20"/>
              </w:rPr>
              <w:t>$</w:t>
            </w:r>
            <w:r w:rsidR="00EA7891">
              <w:rPr>
                <w:rFonts w:ascii="Arial Narrow" w:hAnsi="Arial Narrow"/>
                <w:b/>
                <w:iCs/>
                <w:noProof/>
                <w:color w:val="000000"/>
                <w:sz w:val="20"/>
                <w:szCs w:val="20"/>
                <w:highlight w:val="black"/>
              </w:rPr>
              <w:t>'''''''''''''''''''''</w:t>
            </w:r>
          </w:p>
        </w:tc>
      </w:tr>
      <w:tr w:rsidR="00F022D2" w:rsidRPr="00B0089A" w:rsidTr="00961064">
        <w:tc>
          <w:tcPr>
            <w:tcW w:w="213" w:type="dxa"/>
            <w:vAlign w:val="center"/>
          </w:tcPr>
          <w:p w:rsidR="00F022D2" w:rsidRPr="00B0089A" w:rsidRDefault="00F022D2" w:rsidP="00F022D2">
            <w:pPr>
              <w:keepNext/>
              <w:widowControl/>
              <w:jc w:val="left"/>
              <w:rPr>
                <w:rFonts w:ascii="Arial Narrow" w:hAnsi="Arial Narrow"/>
                <w:b/>
                <w:sz w:val="20"/>
                <w:szCs w:val="20"/>
              </w:rPr>
            </w:pPr>
            <w:r w:rsidRPr="00B0089A">
              <w:rPr>
                <w:rFonts w:ascii="Arial Narrow" w:hAnsi="Arial Narrow"/>
                <w:b/>
                <w:bCs/>
                <w:noProof/>
                <w:sz w:val="20"/>
                <w:szCs w:val="20"/>
              </w:rPr>
              <w:t>J</w:t>
            </w:r>
          </w:p>
        </w:tc>
        <w:tc>
          <w:tcPr>
            <w:tcW w:w="2901" w:type="dxa"/>
            <w:vAlign w:val="center"/>
          </w:tcPr>
          <w:p w:rsidR="00F022D2" w:rsidRPr="00B0089A" w:rsidRDefault="00F022D2" w:rsidP="00F022D2">
            <w:pPr>
              <w:keepNext/>
              <w:widowControl/>
              <w:jc w:val="left"/>
              <w:rPr>
                <w:rFonts w:ascii="Arial Narrow" w:hAnsi="Arial Narrow"/>
                <w:b/>
                <w:sz w:val="20"/>
                <w:szCs w:val="20"/>
              </w:rPr>
            </w:pPr>
            <w:r w:rsidRPr="00B0089A">
              <w:rPr>
                <w:rFonts w:ascii="Arial Narrow" w:hAnsi="Arial Narrow"/>
                <w:b/>
                <w:bCs/>
                <w:noProof/>
                <w:sz w:val="20"/>
                <w:szCs w:val="20"/>
              </w:rPr>
              <w:t>Net cost to MBS</w:t>
            </w:r>
            <w:r w:rsidRPr="00B0089A">
              <w:rPr>
                <w:rFonts w:ascii="Arial Narrow" w:hAnsi="Arial Narrow"/>
                <w:b/>
                <w:bCs/>
                <w:noProof/>
                <w:sz w:val="20"/>
                <w:szCs w:val="20"/>
                <w:vertAlign w:val="superscript"/>
              </w:rPr>
              <w:t>¥</w:t>
            </w:r>
          </w:p>
        </w:tc>
        <w:tc>
          <w:tcPr>
            <w:tcW w:w="1058" w:type="dxa"/>
            <w:vAlign w:val="center"/>
          </w:tcPr>
          <w:p w:rsidR="00F022D2" w:rsidRPr="00B0089A" w:rsidRDefault="00F022D2" w:rsidP="00F022D2">
            <w:pPr>
              <w:keepNext/>
              <w:widowControl/>
              <w:jc w:val="center"/>
              <w:rPr>
                <w:rFonts w:ascii="Arial Narrow" w:hAnsi="Arial Narrow"/>
                <w:b/>
                <w:sz w:val="20"/>
                <w:szCs w:val="20"/>
              </w:rPr>
            </w:pPr>
            <w:r w:rsidRPr="00B0089A">
              <w:rPr>
                <w:rFonts w:ascii="Arial Narrow" w:hAnsi="Arial Narrow"/>
                <w:b/>
                <w:iCs/>
                <w:sz w:val="20"/>
                <w:szCs w:val="20"/>
              </w:rPr>
              <w:t>$</w:t>
            </w:r>
            <w:r w:rsidR="00EA7891">
              <w:rPr>
                <w:rFonts w:ascii="Arial Narrow" w:hAnsi="Arial Narrow"/>
                <w:b/>
                <w:iCs/>
                <w:noProof/>
                <w:color w:val="000000"/>
                <w:sz w:val="20"/>
                <w:szCs w:val="20"/>
                <w:highlight w:val="black"/>
              </w:rPr>
              <w:t>'''''''''''''''</w:t>
            </w:r>
          </w:p>
        </w:tc>
        <w:tc>
          <w:tcPr>
            <w:tcW w:w="969" w:type="dxa"/>
            <w:vAlign w:val="center"/>
          </w:tcPr>
          <w:p w:rsidR="00F022D2" w:rsidRPr="00B0089A" w:rsidRDefault="00F022D2" w:rsidP="00F022D2">
            <w:pPr>
              <w:keepNext/>
              <w:widowControl/>
              <w:jc w:val="center"/>
              <w:rPr>
                <w:rFonts w:ascii="Arial Narrow" w:hAnsi="Arial Narrow"/>
                <w:b/>
                <w:sz w:val="20"/>
                <w:szCs w:val="20"/>
              </w:rPr>
            </w:pPr>
            <w:r w:rsidRPr="00B0089A">
              <w:rPr>
                <w:rFonts w:ascii="Arial Narrow" w:hAnsi="Arial Narrow"/>
                <w:b/>
                <w:iCs/>
                <w:sz w:val="20"/>
                <w:szCs w:val="20"/>
              </w:rPr>
              <w:t>$</w:t>
            </w:r>
            <w:r w:rsidR="00EA7891">
              <w:rPr>
                <w:rFonts w:ascii="Arial Narrow" w:hAnsi="Arial Narrow"/>
                <w:b/>
                <w:iCs/>
                <w:noProof/>
                <w:color w:val="000000"/>
                <w:sz w:val="20"/>
                <w:szCs w:val="20"/>
                <w:highlight w:val="black"/>
              </w:rPr>
              <w:t>'''''''''''''''</w:t>
            </w:r>
          </w:p>
        </w:tc>
        <w:tc>
          <w:tcPr>
            <w:tcW w:w="969" w:type="dxa"/>
            <w:vAlign w:val="center"/>
          </w:tcPr>
          <w:p w:rsidR="00F022D2" w:rsidRPr="00B0089A" w:rsidRDefault="00F022D2" w:rsidP="00F022D2">
            <w:pPr>
              <w:keepNext/>
              <w:widowControl/>
              <w:jc w:val="center"/>
              <w:rPr>
                <w:rFonts w:ascii="Arial Narrow" w:hAnsi="Arial Narrow"/>
                <w:b/>
                <w:sz w:val="20"/>
                <w:szCs w:val="20"/>
              </w:rPr>
            </w:pPr>
            <w:r w:rsidRPr="00B0089A">
              <w:rPr>
                <w:rFonts w:ascii="Arial Narrow" w:hAnsi="Arial Narrow"/>
                <w:b/>
                <w:iCs/>
                <w:sz w:val="20"/>
                <w:szCs w:val="20"/>
              </w:rPr>
              <w:t>$</w:t>
            </w:r>
            <w:r w:rsidR="00EA7891">
              <w:rPr>
                <w:rFonts w:ascii="Arial Narrow" w:hAnsi="Arial Narrow"/>
                <w:b/>
                <w:iCs/>
                <w:noProof/>
                <w:color w:val="000000"/>
                <w:sz w:val="20"/>
                <w:szCs w:val="20"/>
                <w:highlight w:val="black"/>
              </w:rPr>
              <w:t>''''''''''''''''''''</w:t>
            </w:r>
          </w:p>
        </w:tc>
        <w:tc>
          <w:tcPr>
            <w:tcW w:w="969" w:type="dxa"/>
            <w:vAlign w:val="center"/>
          </w:tcPr>
          <w:p w:rsidR="00F022D2" w:rsidRPr="00B0089A" w:rsidRDefault="00F022D2" w:rsidP="00F022D2">
            <w:pPr>
              <w:keepNext/>
              <w:widowControl/>
              <w:jc w:val="center"/>
              <w:rPr>
                <w:rFonts w:ascii="Arial Narrow" w:hAnsi="Arial Narrow"/>
                <w:b/>
                <w:sz w:val="20"/>
                <w:szCs w:val="20"/>
              </w:rPr>
            </w:pPr>
            <w:r w:rsidRPr="00B0089A">
              <w:rPr>
                <w:rFonts w:ascii="Arial Narrow" w:hAnsi="Arial Narrow"/>
                <w:b/>
                <w:iCs/>
                <w:sz w:val="20"/>
                <w:szCs w:val="20"/>
              </w:rPr>
              <w:t>$</w:t>
            </w:r>
            <w:r w:rsidR="00EA7891">
              <w:rPr>
                <w:rFonts w:ascii="Arial Narrow" w:hAnsi="Arial Narrow"/>
                <w:b/>
                <w:iCs/>
                <w:noProof/>
                <w:color w:val="000000"/>
                <w:sz w:val="20"/>
                <w:szCs w:val="20"/>
                <w:highlight w:val="black"/>
              </w:rPr>
              <w:t>'''''''''''''''''''</w:t>
            </w:r>
          </w:p>
        </w:tc>
        <w:tc>
          <w:tcPr>
            <w:tcW w:w="1029" w:type="dxa"/>
            <w:vAlign w:val="center"/>
          </w:tcPr>
          <w:p w:rsidR="00F022D2" w:rsidRPr="00B0089A" w:rsidRDefault="00F022D2" w:rsidP="00F022D2">
            <w:pPr>
              <w:keepNext/>
              <w:widowControl/>
              <w:jc w:val="center"/>
              <w:rPr>
                <w:rFonts w:ascii="Arial Narrow" w:hAnsi="Arial Narrow"/>
                <w:b/>
                <w:sz w:val="20"/>
                <w:szCs w:val="20"/>
              </w:rPr>
            </w:pPr>
            <w:r w:rsidRPr="00B0089A">
              <w:rPr>
                <w:rFonts w:ascii="Arial Narrow" w:hAnsi="Arial Narrow"/>
                <w:b/>
                <w:iCs/>
                <w:sz w:val="20"/>
                <w:szCs w:val="20"/>
              </w:rPr>
              <w:t>$</w:t>
            </w:r>
            <w:r w:rsidR="00EA7891">
              <w:rPr>
                <w:rFonts w:ascii="Arial Narrow" w:hAnsi="Arial Narrow"/>
                <w:b/>
                <w:iCs/>
                <w:noProof/>
                <w:color w:val="000000"/>
                <w:sz w:val="20"/>
                <w:szCs w:val="20"/>
                <w:highlight w:val="black"/>
              </w:rPr>
              <w:t>''''''''''''''''''''</w:t>
            </w:r>
          </w:p>
        </w:tc>
        <w:tc>
          <w:tcPr>
            <w:tcW w:w="992" w:type="dxa"/>
            <w:vAlign w:val="center"/>
          </w:tcPr>
          <w:p w:rsidR="00F022D2" w:rsidRPr="00B0089A" w:rsidRDefault="00F022D2" w:rsidP="00F022D2">
            <w:pPr>
              <w:keepNext/>
              <w:widowControl/>
              <w:jc w:val="center"/>
              <w:rPr>
                <w:rFonts w:ascii="Arial Narrow" w:hAnsi="Arial Narrow"/>
                <w:b/>
                <w:sz w:val="20"/>
                <w:szCs w:val="20"/>
              </w:rPr>
            </w:pPr>
            <w:r w:rsidRPr="00B0089A">
              <w:rPr>
                <w:rFonts w:ascii="Arial Narrow" w:hAnsi="Arial Narrow"/>
                <w:b/>
                <w:iCs/>
                <w:sz w:val="20"/>
                <w:szCs w:val="20"/>
              </w:rPr>
              <w:t>$</w:t>
            </w:r>
            <w:r w:rsidR="00EA7891">
              <w:rPr>
                <w:rFonts w:ascii="Arial Narrow" w:hAnsi="Arial Narrow"/>
                <w:b/>
                <w:iCs/>
                <w:noProof/>
                <w:color w:val="000000"/>
                <w:sz w:val="20"/>
                <w:szCs w:val="20"/>
                <w:highlight w:val="black"/>
              </w:rPr>
              <w:t>''''''''''''''''''''</w:t>
            </w:r>
          </w:p>
        </w:tc>
      </w:tr>
      <w:tr w:rsidR="00F022D2" w:rsidRPr="00B0089A" w:rsidTr="00961064">
        <w:tc>
          <w:tcPr>
            <w:tcW w:w="213" w:type="dxa"/>
            <w:vAlign w:val="center"/>
          </w:tcPr>
          <w:p w:rsidR="00F022D2" w:rsidRPr="00B0089A" w:rsidRDefault="00F022D2" w:rsidP="00F022D2">
            <w:pPr>
              <w:keepNext/>
              <w:widowControl/>
              <w:jc w:val="left"/>
              <w:rPr>
                <w:rFonts w:ascii="Arial Narrow" w:hAnsi="Arial Narrow"/>
                <w:b/>
                <w:sz w:val="20"/>
                <w:szCs w:val="20"/>
              </w:rPr>
            </w:pPr>
            <w:r w:rsidRPr="00B0089A">
              <w:rPr>
                <w:rFonts w:ascii="Arial Narrow" w:hAnsi="Arial Narrow"/>
                <w:b/>
                <w:bCs/>
                <w:noProof/>
                <w:sz w:val="20"/>
                <w:szCs w:val="20"/>
              </w:rPr>
              <w:t>K</w:t>
            </w:r>
          </w:p>
        </w:tc>
        <w:tc>
          <w:tcPr>
            <w:tcW w:w="2901" w:type="dxa"/>
            <w:vAlign w:val="center"/>
          </w:tcPr>
          <w:p w:rsidR="00F022D2" w:rsidRPr="00B0089A" w:rsidRDefault="00F022D2" w:rsidP="00F022D2">
            <w:pPr>
              <w:keepNext/>
              <w:widowControl/>
              <w:jc w:val="left"/>
              <w:rPr>
                <w:rFonts w:ascii="Arial Narrow" w:hAnsi="Arial Narrow"/>
                <w:b/>
                <w:sz w:val="20"/>
                <w:szCs w:val="20"/>
              </w:rPr>
            </w:pPr>
            <w:r w:rsidRPr="00B0089A">
              <w:rPr>
                <w:rFonts w:ascii="Arial Narrow" w:hAnsi="Arial Narrow"/>
                <w:b/>
                <w:bCs/>
                <w:noProof/>
                <w:sz w:val="20"/>
                <w:szCs w:val="20"/>
              </w:rPr>
              <w:t>Net change to government budget</w:t>
            </w:r>
          </w:p>
        </w:tc>
        <w:tc>
          <w:tcPr>
            <w:tcW w:w="1058" w:type="dxa"/>
            <w:vAlign w:val="center"/>
          </w:tcPr>
          <w:p w:rsidR="00F022D2" w:rsidRPr="00B0089A" w:rsidRDefault="00F022D2" w:rsidP="00F022D2">
            <w:pPr>
              <w:keepNext/>
              <w:widowControl/>
              <w:jc w:val="center"/>
              <w:rPr>
                <w:rFonts w:ascii="Arial Narrow" w:hAnsi="Arial Narrow"/>
                <w:b/>
                <w:sz w:val="20"/>
                <w:szCs w:val="20"/>
              </w:rPr>
            </w:pPr>
            <w:r w:rsidRPr="00B0089A">
              <w:rPr>
                <w:rFonts w:ascii="Arial Narrow" w:hAnsi="Arial Narrow"/>
                <w:b/>
                <w:iCs/>
                <w:sz w:val="20"/>
                <w:szCs w:val="20"/>
              </w:rPr>
              <w:t>$</w:t>
            </w:r>
            <w:r w:rsidR="00EA7891">
              <w:rPr>
                <w:rFonts w:ascii="Arial Narrow" w:hAnsi="Arial Narrow"/>
                <w:b/>
                <w:iCs/>
                <w:noProof/>
                <w:color w:val="000000"/>
                <w:sz w:val="20"/>
                <w:szCs w:val="20"/>
                <w:highlight w:val="black"/>
              </w:rPr>
              <w:t>''''''''''''''''''''</w:t>
            </w:r>
          </w:p>
        </w:tc>
        <w:tc>
          <w:tcPr>
            <w:tcW w:w="969" w:type="dxa"/>
            <w:vAlign w:val="center"/>
          </w:tcPr>
          <w:p w:rsidR="00F022D2" w:rsidRPr="00B0089A" w:rsidRDefault="00F022D2" w:rsidP="00F022D2">
            <w:pPr>
              <w:keepNext/>
              <w:widowControl/>
              <w:jc w:val="center"/>
              <w:rPr>
                <w:rFonts w:ascii="Arial Narrow" w:hAnsi="Arial Narrow"/>
                <w:b/>
                <w:sz w:val="20"/>
                <w:szCs w:val="20"/>
              </w:rPr>
            </w:pPr>
            <w:r w:rsidRPr="00B0089A">
              <w:rPr>
                <w:rFonts w:ascii="Arial Narrow" w:hAnsi="Arial Narrow"/>
                <w:b/>
                <w:iCs/>
                <w:sz w:val="20"/>
                <w:szCs w:val="20"/>
              </w:rPr>
              <w:t>$</w:t>
            </w:r>
            <w:r w:rsidR="00EA7891">
              <w:rPr>
                <w:rFonts w:ascii="Arial Narrow" w:hAnsi="Arial Narrow"/>
                <w:b/>
                <w:iCs/>
                <w:noProof/>
                <w:color w:val="000000"/>
                <w:sz w:val="20"/>
                <w:szCs w:val="20"/>
                <w:highlight w:val="black"/>
              </w:rPr>
              <w:t>'''''''''''''''''''''</w:t>
            </w:r>
          </w:p>
        </w:tc>
        <w:tc>
          <w:tcPr>
            <w:tcW w:w="969" w:type="dxa"/>
            <w:vAlign w:val="center"/>
          </w:tcPr>
          <w:p w:rsidR="00F022D2" w:rsidRPr="00B0089A" w:rsidRDefault="00F022D2" w:rsidP="00F022D2">
            <w:pPr>
              <w:keepNext/>
              <w:widowControl/>
              <w:jc w:val="center"/>
              <w:rPr>
                <w:rFonts w:ascii="Arial Narrow" w:hAnsi="Arial Narrow"/>
                <w:b/>
                <w:sz w:val="20"/>
                <w:szCs w:val="20"/>
              </w:rPr>
            </w:pPr>
            <w:r w:rsidRPr="00B0089A">
              <w:rPr>
                <w:rFonts w:ascii="Arial Narrow" w:hAnsi="Arial Narrow"/>
                <w:b/>
                <w:iCs/>
                <w:sz w:val="20"/>
                <w:szCs w:val="20"/>
              </w:rPr>
              <w:t>$</w:t>
            </w:r>
            <w:r w:rsidR="00EA7891">
              <w:rPr>
                <w:rFonts w:ascii="Arial Narrow" w:hAnsi="Arial Narrow"/>
                <w:b/>
                <w:iCs/>
                <w:noProof/>
                <w:color w:val="000000"/>
                <w:sz w:val="20"/>
                <w:szCs w:val="20"/>
                <w:highlight w:val="black"/>
              </w:rPr>
              <w:t>''''''''''''''''''''''</w:t>
            </w:r>
          </w:p>
        </w:tc>
        <w:tc>
          <w:tcPr>
            <w:tcW w:w="969" w:type="dxa"/>
            <w:vAlign w:val="center"/>
          </w:tcPr>
          <w:p w:rsidR="00F022D2" w:rsidRPr="00B0089A" w:rsidRDefault="00F022D2" w:rsidP="00F022D2">
            <w:pPr>
              <w:keepNext/>
              <w:widowControl/>
              <w:jc w:val="center"/>
              <w:rPr>
                <w:rFonts w:ascii="Arial Narrow" w:hAnsi="Arial Narrow"/>
                <w:b/>
                <w:sz w:val="20"/>
                <w:szCs w:val="20"/>
              </w:rPr>
            </w:pPr>
            <w:r w:rsidRPr="00B0089A">
              <w:rPr>
                <w:rFonts w:ascii="Arial Narrow" w:hAnsi="Arial Narrow"/>
                <w:b/>
                <w:iCs/>
                <w:sz w:val="20"/>
                <w:szCs w:val="20"/>
              </w:rPr>
              <w:t>$</w:t>
            </w:r>
            <w:r w:rsidR="00EA7891">
              <w:rPr>
                <w:rFonts w:ascii="Arial Narrow" w:hAnsi="Arial Narrow"/>
                <w:b/>
                <w:iCs/>
                <w:noProof/>
                <w:color w:val="000000"/>
                <w:sz w:val="20"/>
                <w:szCs w:val="20"/>
                <w:highlight w:val="black"/>
              </w:rPr>
              <w:t>'''''''''''''''''''''''</w:t>
            </w:r>
          </w:p>
        </w:tc>
        <w:tc>
          <w:tcPr>
            <w:tcW w:w="1029" w:type="dxa"/>
            <w:vAlign w:val="center"/>
          </w:tcPr>
          <w:p w:rsidR="00F022D2" w:rsidRPr="00B0089A" w:rsidRDefault="00F022D2" w:rsidP="00F022D2">
            <w:pPr>
              <w:keepNext/>
              <w:widowControl/>
              <w:jc w:val="center"/>
              <w:rPr>
                <w:rFonts w:ascii="Arial Narrow" w:hAnsi="Arial Narrow"/>
                <w:b/>
                <w:sz w:val="20"/>
                <w:szCs w:val="20"/>
              </w:rPr>
            </w:pPr>
            <w:r w:rsidRPr="00B0089A">
              <w:rPr>
                <w:rFonts w:ascii="Arial Narrow" w:hAnsi="Arial Narrow"/>
                <w:b/>
                <w:iCs/>
                <w:sz w:val="20"/>
                <w:szCs w:val="20"/>
              </w:rPr>
              <w:t>$</w:t>
            </w:r>
            <w:r w:rsidR="00EA7891">
              <w:rPr>
                <w:rFonts w:ascii="Arial Narrow" w:hAnsi="Arial Narrow"/>
                <w:b/>
                <w:iCs/>
                <w:noProof/>
                <w:color w:val="000000"/>
                <w:sz w:val="20"/>
                <w:szCs w:val="20"/>
                <w:highlight w:val="black"/>
              </w:rPr>
              <w:t>'''''''''''''''''''''''</w:t>
            </w:r>
          </w:p>
        </w:tc>
        <w:tc>
          <w:tcPr>
            <w:tcW w:w="992" w:type="dxa"/>
            <w:vAlign w:val="center"/>
          </w:tcPr>
          <w:p w:rsidR="00F022D2" w:rsidRPr="00B0089A" w:rsidRDefault="00F022D2" w:rsidP="00F022D2">
            <w:pPr>
              <w:keepNext/>
              <w:widowControl/>
              <w:jc w:val="center"/>
              <w:rPr>
                <w:rFonts w:ascii="Arial Narrow" w:hAnsi="Arial Narrow"/>
                <w:b/>
                <w:sz w:val="20"/>
                <w:szCs w:val="20"/>
              </w:rPr>
            </w:pPr>
            <w:r w:rsidRPr="00B0089A">
              <w:rPr>
                <w:rFonts w:ascii="Arial Narrow" w:hAnsi="Arial Narrow"/>
                <w:b/>
                <w:iCs/>
                <w:sz w:val="20"/>
                <w:szCs w:val="20"/>
              </w:rPr>
              <w:t>$</w:t>
            </w:r>
            <w:r w:rsidR="00EA7891">
              <w:rPr>
                <w:rFonts w:ascii="Arial Narrow" w:hAnsi="Arial Narrow"/>
                <w:b/>
                <w:iCs/>
                <w:noProof/>
                <w:color w:val="000000"/>
                <w:sz w:val="20"/>
                <w:szCs w:val="20"/>
                <w:highlight w:val="black"/>
              </w:rPr>
              <w:t>''''''''''''''''''''</w:t>
            </w:r>
          </w:p>
        </w:tc>
      </w:tr>
    </w:tbl>
    <w:p w:rsidR="00F022D2" w:rsidRDefault="00F022D2" w:rsidP="00114B88">
      <w:pPr>
        <w:pStyle w:val="TableFooter"/>
      </w:pPr>
      <w:r>
        <w:t>Abbreviations: LL=lower limb; MAS=modified Ashworth scaler; SCI=spinal cord injury; TBI=traumatic brain injury</w:t>
      </w:r>
    </w:p>
    <w:p w:rsidR="00F022D2" w:rsidRDefault="00F022D2" w:rsidP="00114B88">
      <w:pPr>
        <w:pStyle w:val="TableFooter"/>
      </w:pPr>
      <w:r w:rsidRPr="0039143E">
        <w:rPr>
          <w:vertAlign w:val="superscript"/>
        </w:rPr>
        <w:t>#</w:t>
      </w:r>
      <w:r w:rsidR="00114B88">
        <w:t xml:space="preserve"> </w:t>
      </w:r>
      <w:r>
        <w:t>Incident patients=incidence rate x (proportion resulting in spasticity) x (proportion with LL spasticity x proportion with MAS (2-4)) x (proportion failing first line therapy or use Dysport as adjunct to physical therapy) x (proportion of eligible patients receiving treatment)</w:t>
      </w:r>
    </w:p>
    <w:p w:rsidR="00F022D2" w:rsidRPr="00F022D2" w:rsidRDefault="00114B88" w:rsidP="00114B88">
      <w:pPr>
        <w:pStyle w:val="TableFooter"/>
      </w:pPr>
      <w:r>
        <w:t xml:space="preserve">* </w:t>
      </w:r>
      <w:r w:rsidR="00F022D2" w:rsidRPr="00F022D2">
        <w:t>Prevalent patients comprised of incident patients from prior years (whose event was ≤2 years) x proportion not permanently discontinued in Yr 1 (80%) x responded after 4 cycles (82.4%) x annual mortality (Yr1: 17.6%, Yr2-Yr6: 2.89%)</w:t>
      </w:r>
    </w:p>
    <w:p w:rsidR="00F022D2" w:rsidRPr="00F022D2" w:rsidRDefault="00114B88" w:rsidP="00114B88">
      <w:pPr>
        <w:pStyle w:val="TableFooter"/>
      </w:pPr>
      <w:r>
        <w:t xml:space="preserve">^ </w:t>
      </w:r>
      <w:r w:rsidR="00F022D2" w:rsidRPr="00F022D2">
        <w:t>Based on the rate of re-treatment (3.855114/378.8352) over 365.25 days</w:t>
      </w:r>
    </w:p>
    <w:p w:rsidR="00F022D2" w:rsidRPr="00F022D2" w:rsidRDefault="00F022D2" w:rsidP="00114B88">
      <w:pPr>
        <w:pStyle w:val="TableFooter"/>
      </w:pPr>
      <w:r w:rsidRPr="00F022D2">
        <w:rPr>
          <w:vertAlign w:val="superscript"/>
        </w:rPr>
        <w:t>‡</w:t>
      </w:r>
      <w:r w:rsidR="00114B88">
        <w:t xml:space="preserve"> </w:t>
      </w:r>
      <w:r w:rsidRPr="00F022D2">
        <w:t>Dispensed price calculated during the evaluation using PBAC pricing calculator version 28 (DPMQ for 300U is $</w:t>
      </w:r>
      <w:r w:rsidRPr="009355A7">
        <w:t>1515.49</w:t>
      </w:r>
      <w:r w:rsidRPr="00F022D2">
        <w:t xml:space="preserve"> and 500U is $</w:t>
      </w:r>
      <w:r w:rsidRPr="009355A7">
        <w:t>1618.53</w:t>
      </w:r>
      <w:r w:rsidRPr="00F022D2">
        <w:t>)</w:t>
      </w:r>
    </w:p>
    <w:p w:rsidR="00F022D2" w:rsidRPr="00F022D2" w:rsidRDefault="00114B88" w:rsidP="00114B88">
      <w:pPr>
        <w:pStyle w:val="TableFooter"/>
      </w:pPr>
      <w:r>
        <w:rPr>
          <w:vertAlign w:val="superscript"/>
        </w:rPr>
        <w:t xml:space="preserve">¥ </w:t>
      </w:r>
      <w:r w:rsidR="00F022D2" w:rsidRPr="00F022D2">
        <w:t>An error in the EXCEL worksheet (applying 85% benefit to both private and public services) was corrected during the evaluation with the appropriate percentage of benefit to private services (75%)</w:t>
      </w:r>
    </w:p>
    <w:p w:rsidR="00F022D2" w:rsidRDefault="00F022D2" w:rsidP="00114B88">
      <w:pPr>
        <w:pStyle w:val="TableFooter"/>
      </w:pPr>
      <w:r>
        <w:t>Source: Constructed during the evaluation from Section 4 of the submission and Section 4 Financial implications workbook.xlsx</w:t>
      </w:r>
    </w:p>
    <w:p w:rsidR="00F022D2" w:rsidRPr="00333C6C" w:rsidRDefault="00333C6C" w:rsidP="00333C6C">
      <w:pPr>
        <w:pStyle w:val="TableFooter"/>
        <w:spacing w:before="120" w:after="120"/>
        <w:rPr>
          <w:rFonts w:asciiTheme="minorHAnsi" w:hAnsiTheme="minorHAnsi" w:cstheme="minorHAnsi"/>
          <w:sz w:val="24"/>
          <w:szCs w:val="24"/>
        </w:rPr>
      </w:pPr>
      <w:r w:rsidRPr="00333C6C">
        <w:rPr>
          <w:rFonts w:asciiTheme="minorHAnsi" w:hAnsiTheme="minorHAnsi" w:cstheme="minorHAnsi"/>
          <w:sz w:val="24"/>
          <w:szCs w:val="24"/>
        </w:rPr>
        <w:t>The redacted table shows that at Year 6 the estimated number of patients was less than 10,000 per year, and the net cost to the PBS would be $20 - $30 million per year.</w:t>
      </w:r>
    </w:p>
    <w:p w:rsidR="006A013B" w:rsidRPr="006A013B" w:rsidRDefault="00F022D2" w:rsidP="006A013B">
      <w:pPr>
        <w:pStyle w:val="ListParagraph"/>
        <w:rPr>
          <w:rFonts w:asciiTheme="minorHAnsi" w:hAnsiTheme="minorHAnsi" w:cstheme="minorHAnsi"/>
          <w:szCs w:val="24"/>
        </w:rPr>
      </w:pPr>
      <w:r w:rsidRPr="00F022D2">
        <w:t xml:space="preserve">The </w:t>
      </w:r>
      <w:r w:rsidR="006A013B">
        <w:t xml:space="preserve">DUSC regarded the accuracy of the estimated net cost of the proposed listing to the PBS </w:t>
      </w:r>
      <w:r w:rsidR="000E1058">
        <w:t>as</w:t>
      </w:r>
      <w:r w:rsidR="006A013B">
        <w:t xml:space="preserve"> uncertain</w:t>
      </w:r>
      <w:r w:rsidR="000E1058">
        <w:t xml:space="preserve">, stating </w:t>
      </w:r>
      <w:r w:rsidR="006A013B">
        <w:t xml:space="preserve">that the eligible population may </w:t>
      </w:r>
      <w:r w:rsidR="000E1058">
        <w:t xml:space="preserve">have </w:t>
      </w:r>
      <w:r w:rsidR="006A013B">
        <w:t>be</w:t>
      </w:r>
      <w:r w:rsidR="000E1058">
        <w:t xml:space="preserve">en </w:t>
      </w:r>
      <w:r w:rsidR="006A013B">
        <w:t>underestimate</w:t>
      </w:r>
      <w:r w:rsidR="000E1058">
        <w:t>d</w:t>
      </w:r>
      <w:r w:rsidR="006A013B">
        <w:t xml:space="preserve">, but that the average duration of treatment with Dysport® may </w:t>
      </w:r>
      <w:r w:rsidR="000E1058">
        <w:t xml:space="preserve">have </w:t>
      </w:r>
      <w:r w:rsidR="006A013B">
        <w:lastRenderedPageBreak/>
        <w:t>be</w:t>
      </w:r>
      <w:r w:rsidR="000E1058">
        <w:t>en</w:t>
      </w:r>
      <w:r w:rsidR="006A013B">
        <w:t xml:space="preserve"> overestimate</w:t>
      </w:r>
      <w:r w:rsidR="000E1058">
        <w:t>d</w:t>
      </w:r>
      <w:r w:rsidR="006A013B">
        <w:t>. The DUSC noted that a sensitivity analysis that increased the proportion of patients with spasticity and reduced the average duration of treatment resulted in similar expenditure in Year 6.</w:t>
      </w:r>
    </w:p>
    <w:p w:rsidR="006A013B" w:rsidRPr="006A013B" w:rsidRDefault="006A013B" w:rsidP="006A013B">
      <w:pPr>
        <w:pStyle w:val="ListParagraph"/>
        <w:rPr>
          <w:rFonts w:asciiTheme="minorHAnsi" w:hAnsiTheme="minorHAnsi" w:cstheme="minorHAnsi"/>
          <w:szCs w:val="24"/>
        </w:rPr>
      </w:pPr>
      <w:r>
        <w:t xml:space="preserve">The DUSC noted that the number of treatment cycles per year (3.72) was based on the treatment of patients with spasticity following stroke, and may be higher for patients with </w:t>
      </w:r>
      <w:r w:rsidR="00972CE9">
        <w:t>TBI</w:t>
      </w:r>
      <w:r>
        <w:t xml:space="preserve"> or spinal cord injury. The DUSC also stated that the estimates of discontinuation and response after </w:t>
      </w:r>
      <w:r w:rsidR="00972CE9">
        <w:t>four</w:t>
      </w:r>
      <w:r>
        <w:t xml:space="preserve"> cycles, also based on stroke patients, may differ for TBI and </w:t>
      </w:r>
      <w:r w:rsidR="00972CE9">
        <w:t>spinal cord injury</w:t>
      </w:r>
      <w:r>
        <w:t xml:space="preserve"> patients.</w:t>
      </w:r>
    </w:p>
    <w:p w:rsidR="00F022D2" w:rsidRPr="006A013B" w:rsidRDefault="006A013B" w:rsidP="006A013B">
      <w:pPr>
        <w:pStyle w:val="ListParagraph"/>
        <w:rPr>
          <w:rFonts w:asciiTheme="minorHAnsi" w:hAnsiTheme="minorHAnsi" w:cstheme="minorHAnsi"/>
          <w:szCs w:val="24"/>
        </w:rPr>
      </w:pPr>
      <w:r>
        <w:t xml:space="preserve">The PBAC agreed with the DUSC that extrapolation of utilisation estimates based on stroke patients to TBI and </w:t>
      </w:r>
      <w:r w:rsidR="00972CE9">
        <w:t>spinal cord injury</w:t>
      </w:r>
      <w:r>
        <w:t xml:space="preserve"> patients remain</w:t>
      </w:r>
      <w:r w:rsidR="00972CE9">
        <w:t>ed</w:t>
      </w:r>
      <w:r>
        <w:t xml:space="preserve"> uncertain. </w:t>
      </w:r>
      <w:r w:rsidR="005F2719">
        <w:t xml:space="preserve">The PBAC was also concerned that the financial implications may be affected by the use of Dysport® across multiple focal points and in patients with concurrent </w:t>
      </w:r>
      <w:r w:rsidR="000E1058">
        <w:t>upper limb and lower limb focal spasticity</w:t>
      </w:r>
      <w:r w:rsidR="005F2719">
        <w:t>.</w:t>
      </w:r>
    </w:p>
    <w:p w:rsidR="00576972" w:rsidRPr="00C9624D" w:rsidRDefault="00576972" w:rsidP="00114B88">
      <w:pPr>
        <w:pStyle w:val="Heading2"/>
      </w:pPr>
      <w:bookmarkStart w:id="18" w:name="_Toc524506004"/>
      <w:r w:rsidRPr="00C9624D">
        <w:t>Financial Management – Risk Sharing Arrangements</w:t>
      </w:r>
      <w:bookmarkEnd w:id="18"/>
    </w:p>
    <w:p w:rsidR="00980648" w:rsidRDefault="00FF49B5" w:rsidP="00D309A1">
      <w:pPr>
        <w:pStyle w:val="ListParagraph"/>
      </w:pPr>
      <w:r>
        <w:t>None proposed.</w:t>
      </w:r>
      <w:r w:rsidR="00FA60DA">
        <w:t xml:space="preserve"> </w:t>
      </w:r>
      <w:r w:rsidR="00980648" w:rsidRPr="00980648">
        <w:t>The submission stated the Spons</w:t>
      </w:r>
      <w:r w:rsidR="00980648">
        <w:t>or was willing to enter into a</w:t>
      </w:r>
      <w:r w:rsidR="00980648" w:rsidRPr="00980648">
        <w:t xml:space="preserve"> </w:t>
      </w:r>
      <w:r w:rsidR="00972CE9">
        <w:t>R</w:t>
      </w:r>
      <w:r w:rsidR="00980648" w:rsidRPr="00980648">
        <w:t xml:space="preserve">isk </w:t>
      </w:r>
      <w:r w:rsidR="00972CE9">
        <w:t>S</w:t>
      </w:r>
      <w:r w:rsidR="00980648" w:rsidRPr="00980648">
        <w:t>har</w:t>
      </w:r>
      <w:r w:rsidR="00972CE9">
        <w:t>ing</w:t>
      </w:r>
      <w:r w:rsidR="00980648" w:rsidRPr="00980648">
        <w:t xml:space="preserve"> </w:t>
      </w:r>
      <w:r w:rsidR="00972CE9">
        <w:t>A</w:t>
      </w:r>
      <w:r w:rsidR="00980648" w:rsidRPr="00980648">
        <w:t xml:space="preserve">rrangement due to a risk of leakage of </w:t>
      </w:r>
      <w:r w:rsidR="00051CA9">
        <w:t>Dysport®</w:t>
      </w:r>
      <w:r w:rsidR="00980648" w:rsidRPr="00980648">
        <w:t xml:space="preserve"> use in populations outside of the requested restriction such as in patients with spasticity due to non-acute aetiologies.</w:t>
      </w:r>
    </w:p>
    <w:p w:rsidR="00753582" w:rsidRDefault="00753582" w:rsidP="00114B88">
      <w:pPr>
        <w:pStyle w:val="Heading2"/>
      </w:pPr>
      <w:r>
        <w:t>Quality use of medicines</w:t>
      </w:r>
    </w:p>
    <w:p w:rsidR="00753582" w:rsidRPr="00F022D2" w:rsidRDefault="00753582" w:rsidP="00D309A1">
      <w:pPr>
        <w:pStyle w:val="ListParagraph"/>
        <w:spacing w:after="160"/>
      </w:pPr>
      <w:r w:rsidRPr="00F022D2">
        <w:t>The ESC acknowledged that sub-optimal targeting of botulinum toxin injections to the affected muscles may occur in clinical practice.</w:t>
      </w:r>
    </w:p>
    <w:p w:rsidR="00F55E1C" w:rsidRPr="00F022D2" w:rsidRDefault="00F022D2" w:rsidP="00F022D2">
      <w:pPr>
        <w:ind w:left="720"/>
        <w:rPr>
          <w:i/>
        </w:rPr>
      </w:pPr>
      <w:r>
        <w:rPr>
          <w:i/>
        </w:rPr>
        <w:t>For more details on PBAC’s view, see Section 7 PBAC outcome.</w:t>
      </w:r>
    </w:p>
    <w:p w:rsidR="00267462" w:rsidRPr="00961064" w:rsidRDefault="00267462" w:rsidP="00987415">
      <w:pPr>
        <w:pStyle w:val="Heading1"/>
        <w:ind w:left="709" w:hanging="709"/>
      </w:pPr>
      <w:r w:rsidRPr="00961064">
        <w:t>PBAC Outcome</w:t>
      </w:r>
    </w:p>
    <w:p w:rsidR="005F2719" w:rsidRPr="00F336CA" w:rsidRDefault="005F2719" w:rsidP="001D61B9">
      <w:pPr>
        <w:numPr>
          <w:ilvl w:val="1"/>
          <w:numId w:val="3"/>
        </w:numPr>
        <w:spacing w:after="120"/>
        <w:rPr>
          <w:rFonts w:asciiTheme="minorHAnsi" w:hAnsiTheme="minorHAnsi"/>
          <w:bCs/>
          <w:lang w:val="en-GB"/>
        </w:rPr>
      </w:pPr>
      <w:r>
        <w:rPr>
          <w:rFonts w:asciiTheme="minorHAnsi" w:hAnsiTheme="minorHAnsi"/>
          <w:bCs/>
          <w:lang w:val="en-GB"/>
        </w:rPr>
        <w:t xml:space="preserve">The PBAC did not recommend the PBS listing of </w:t>
      </w:r>
      <w:r w:rsidRPr="00267462">
        <w:t>Clostridium botulinum type A toxin-haemagglutinin complex</w:t>
      </w:r>
      <w:r>
        <w:t xml:space="preserve"> (Dysport®) for the treatment of adult patients with moderate to severe spasticity of the lower limbs following an acute event on the basis of uncertain clinical effectiveness, </w:t>
      </w:r>
      <w:r w:rsidR="003253F9">
        <w:t xml:space="preserve">a high and uncertain incremental cost-effectiveness ratio (ICER) which was based on </w:t>
      </w:r>
      <w:r w:rsidR="00E00CE5">
        <w:t xml:space="preserve">a flawed </w:t>
      </w:r>
      <w:r w:rsidR="003253F9">
        <w:t>economic</w:t>
      </w:r>
      <w:r>
        <w:t xml:space="preserve"> </w:t>
      </w:r>
      <w:r w:rsidR="00E00CE5">
        <w:t xml:space="preserve">evaluation </w:t>
      </w:r>
      <w:r>
        <w:t>and uncertain financial impact</w:t>
      </w:r>
      <w:r w:rsidR="00E00CE5">
        <w:t xml:space="preserve"> estimations</w:t>
      </w:r>
      <w:r>
        <w:t xml:space="preserve">. </w:t>
      </w:r>
    </w:p>
    <w:p w:rsidR="00F336CA" w:rsidRPr="00F336CA" w:rsidRDefault="00F336CA" w:rsidP="001D61B9">
      <w:pPr>
        <w:numPr>
          <w:ilvl w:val="1"/>
          <w:numId w:val="3"/>
        </w:numPr>
        <w:spacing w:after="120"/>
        <w:rPr>
          <w:rFonts w:asciiTheme="minorHAnsi" w:hAnsiTheme="minorHAnsi"/>
          <w:bCs/>
          <w:lang w:val="en-GB"/>
        </w:rPr>
      </w:pPr>
      <w:r>
        <w:t>The PBAC acknowledged the consumer comments, which were supportive of listing Dysport</w:t>
      </w:r>
      <w:r>
        <w:rPr>
          <w:rFonts w:cs="Calibri"/>
        </w:rPr>
        <w:t>®</w:t>
      </w:r>
      <w:r>
        <w:t xml:space="preserve"> for lower limb spasticity following an acute event</w:t>
      </w:r>
      <w:r w:rsidR="0010505C">
        <w:t xml:space="preserve"> and </w:t>
      </w:r>
      <w:r>
        <w:t>considered the advice received during the sponsor hearing to be informative.</w:t>
      </w:r>
      <w:r w:rsidR="0010505C" w:rsidRPr="0010505C">
        <w:rPr>
          <w:rFonts w:asciiTheme="minorHAnsi" w:hAnsiTheme="minorHAnsi"/>
          <w:bCs/>
          <w:lang w:val="en-GB"/>
        </w:rPr>
        <w:t xml:space="preserve"> </w:t>
      </w:r>
      <w:r w:rsidR="0010505C">
        <w:rPr>
          <w:rFonts w:asciiTheme="minorHAnsi" w:hAnsiTheme="minorHAnsi"/>
          <w:bCs/>
          <w:lang w:val="en-GB"/>
        </w:rPr>
        <w:t>The PBAC concluded that there was a clinical need for treatment</w:t>
      </w:r>
      <w:r w:rsidR="00301B76">
        <w:rPr>
          <w:rFonts w:asciiTheme="minorHAnsi" w:hAnsiTheme="minorHAnsi"/>
          <w:bCs/>
          <w:lang w:val="en-GB"/>
        </w:rPr>
        <w:t>s</w:t>
      </w:r>
      <w:r w:rsidR="0010505C">
        <w:rPr>
          <w:rFonts w:asciiTheme="minorHAnsi" w:hAnsiTheme="minorHAnsi"/>
          <w:bCs/>
          <w:lang w:val="en-GB"/>
        </w:rPr>
        <w:t xml:space="preserve"> of lower limb focal spasticity following an acute event.</w:t>
      </w:r>
    </w:p>
    <w:p w:rsidR="009E16B4" w:rsidRPr="009E16B4" w:rsidRDefault="00F336CA" w:rsidP="001D61B9">
      <w:pPr>
        <w:numPr>
          <w:ilvl w:val="1"/>
          <w:numId w:val="3"/>
        </w:numPr>
        <w:spacing w:after="120"/>
        <w:rPr>
          <w:rFonts w:asciiTheme="minorHAnsi" w:hAnsiTheme="minorHAnsi"/>
          <w:bCs/>
          <w:lang w:val="en-GB"/>
        </w:rPr>
      </w:pPr>
      <w:r>
        <w:t>The PBAC noted that the key trial, Study 14</w:t>
      </w:r>
      <w:r w:rsidR="00DA6EDA">
        <w:t>0</w:t>
      </w:r>
      <w:r>
        <w:t>, consisted o</w:t>
      </w:r>
      <w:r w:rsidR="00261BF3">
        <w:t>f</w:t>
      </w:r>
      <w:r>
        <w:t xml:space="preserve"> a single injection during a randomised, double-blind phase, followed by up to </w:t>
      </w:r>
      <w:r w:rsidR="009E16B4">
        <w:t>four treatments in an open label extension, Study 14</w:t>
      </w:r>
      <w:r w:rsidR="00DA6EDA">
        <w:t>2</w:t>
      </w:r>
      <w:r w:rsidR="009E16B4">
        <w:t xml:space="preserve">. The PBAC considered there was a lack of comparative evidence </w:t>
      </w:r>
      <w:r w:rsidR="009E16B4">
        <w:lastRenderedPageBreak/>
        <w:t>beyond the first injection, and insufficient evidence to inform the benefit of continuing therapy, particularly beyond the first year of treatment. The PBAC also noted that there was l</w:t>
      </w:r>
      <w:r w:rsidR="009E16B4" w:rsidRPr="00C26524">
        <w:t xml:space="preserve">imited data </w:t>
      </w:r>
      <w:r w:rsidR="00EC4F5D">
        <w:t>and, accordingly, a high level of uncertainty surrounding the treatment effect, for the treatment of spasticity</w:t>
      </w:r>
      <w:r w:rsidR="009E16B4">
        <w:t>:</w:t>
      </w:r>
      <w:r w:rsidR="009E16B4" w:rsidRPr="00C26524">
        <w:t xml:space="preserve"> </w:t>
      </w:r>
    </w:p>
    <w:p w:rsidR="009E16B4" w:rsidRPr="009E16B4" w:rsidRDefault="00585E4E" w:rsidP="00DA6EDA">
      <w:pPr>
        <w:numPr>
          <w:ilvl w:val="1"/>
          <w:numId w:val="29"/>
        </w:numPr>
        <w:spacing w:after="120"/>
        <w:ind w:left="1077" w:hanging="357"/>
        <w:rPr>
          <w:rFonts w:asciiTheme="minorHAnsi" w:hAnsiTheme="minorHAnsi"/>
          <w:bCs/>
          <w:lang w:val="en-GB"/>
        </w:rPr>
      </w:pPr>
      <w:r>
        <w:t>r</w:t>
      </w:r>
      <w:r w:rsidR="009E16B4">
        <w:t xml:space="preserve">esulting from events other than stroke; and </w:t>
      </w:r>
    </w:p>
    <w:p w:rsidR="00F336CA" w:rsidRPr="00EC21DF" w:rsidRDefault="00585E4E" w:rsidP="00DA6EDA">
      <w:pPr>
        <w:numPr>
          <w:ilvl w:val="1"/>
          <w:numId w:val="29"/>
        </w:numPr>
        <w:spacing w:after="120"/>
        <w:ind w:left="1077" w:hanging="357"/>
        <w:rPr>
          <w:rFonts w:asciiTheme="minorHAnsi" w:hAnsiTheme="minorHAnsi"/>
          <w:bCs/>
          <w:lang w:val="en-GB"/>
        </w:rPr>
      </w:pPr>
      <w:r>
        <w:t>r</w:t>
      </w:r>
      <w:r w:rsidR="009E16B4">
        <w:t xml:space="preserve">elated to </w:t>
      </w:r>
      <w:r w:rsidR="009E16B4" w:rsidRPr="00C26524">
        <w:t>muscles other than the gastrocnemius</w:t>
      </w:r>
      <w:r w:rsidR="009E16B4">
        <w:rPr>
          <w:rFonts w:asciiTheme="minorHAnsi" w:hAnsiTheme="minorHAnsi"/>
          <w:bCs/>
          <w:lang w:val="en-GB"/>
        </w:rPr>
        <w:t xml:space="preserve"> soleus complex.</w:t>
      </w:r>
      <w:r w:rsidR="00641558">
        <w:rPr>
          <w:rFonts w:asciiTheme="minorHAnsi" w:hAnsiTheme="minorHAnsi"/>
          <w:bCs/>
          <w:lang w:val="en-GB"/>
        </w:rPr>
        <w:t xml:space="preserve"> The PBAC considered that based on biological </w:t>
      </w:r>
      <w:r w:rsidR="00EC4F5D">
        <w:rPr>
          <w:rFonts w:asciiTheme="minorHAnsi" w:hAnsiTheme="minorHAnsi"/>
          <w:bCs/>
          <w:lang w:val="en-GB"/>
        </w:rPr>
        <w:t>plausibility</w:t>
      </w:r>
      <w:r w:rsidR="00641558">
        <w:rPr>
          <w:rFonts w:asciiTheme="minorHAnsi" w:hAnsiTheme="minorHAnsi"/>
          <w:bCs/>
          <w:lang w:val="en-GB"/>
        </w:rPr>
        <w:t>, the effect of Dysport</w:t>
      </w:r>
      <w:r w:rsidR="00641558">
        <w:rPr>
          <w:rFonts w:asciiTheme="minorHAnsi" w:hAnsiTheme="minorHAnsi" w:cstheme="minorHAnsi"/>
          <w:bCs/>
          <w:lang w:val="en-GB"/>
        </w:rPr>
        <w:t>®</w:t>
      </w:r>
      <w:r w:rsidR="00641558">
        <w:rPr>
          <w:rFonts w:asciiTheme="minorHAnsi" w:hAnsiTheme="minorHAnsi"/>
          <w:bCs/>
          <w:lang w:val="en-GB"/>
        </w:rPr>
        <w:t xml:space="preserve"> could be extrapolated to other muscle groups. </w:t>
      </w:r>
    </w:p>
    <w:p w:rsidR="00DA6EDA" w:rsidRDefault="00DA6EDA" w:rsidP="00DA6EDA">
      <w:pPr>
        <w:numPr>
          <w:ilvl w:val="1"/>
          <w:numId w:val="3"/>
        </w:numPr>
        <w:spacing w:after="120"/>
        <w:rPr>
          <w:rFonts w:asciiTheme="minorHAnsi" w:hAnsiTheme="minorHAnsi"/>
          <w:bCs/>
          <w:lang w:val="en-GB"/>
        </w:rPr>
      </w:pPr>
      <w:r>
        <w:rPr>
          <w:rFonts w:asciiTheme="minorHAnsi" w:hAnsiTheme="minorHAnsi"/>
          <w:bCs/>
          <w:lang w:val="en-GB"/>
        </w:rPr>
        <w:t>The PBAC considered that</w:t>
      </w:r>
      <w:r w:rsidR="00301B76">
        <w:rPr>
          <w:rFonts w:asciiTheme="minorHAnsi" w:hAnsiTheme="minorHAnsi"/>
          <w:bCs/>
          <w:lang w:val="en-GB"/>
        </w:rPr>
        <w:t>,</w:t>
      </w:r>
      <w:r>
        <w:rPr>
          <w:rFonts w:asciiTheme="minorHAnsi" w:hAnsiTheme="minorHAnsi"/>
          <w:bCs/>
          <w:lang w:val="en-GB"/>
        </w:rPr>
        <w:t xml:space="preserve"> </w:t>
      </w:r>
      <w:r w:rsidR="003C439F">
        <w:rPr>
          <w:rFonts w:asciiTheme="minorHAnsi" w:hAnsiTheme="minorHAnsi"/>
          <w:bCs/>
          <w:lang w:val="en-GB"/>
        </w:rPr>
        <w:t xml:space="preserve">although </w:t>
      </w:r>
      <w:r>
        <w:rPr>
          <w:rFonts w:asciiTheme="minorHAnsi" w:hAnsiTheme="minorHAnsi"/>
          <w:bCs/>
          <w:lang w:val="en-GB"/>
        </w:rPr>
        <w:t>standard of care</w:t>
      </w:r>
      <w:r w:rsidR="00092CE5">
        <w:rPr>
          <w:rFonts w:asciiTheme="minorHAnsi" w:hAnsiTheme="minorHAnsi"/>
          <w:bCs/>
          <w:lang w:val="en-GB"/>
        </w:rPr>
        <w:t>/placebo</w:t>
      </w:r>
      <w:r>
        <w:rPr>
          <w:rFonts w:asciiTheme="minorHAnsi" w:hAnsiTheme="minorHAnsi"/>
          <w:bCs/>
          <w:lang w:val="en-GB"/>
        </w:rPr>
        <w:t xml:space="preserve"> was </w:t>
      </w:r>
      <w:r w:rsidR="003C439F">
        <w:rPr>
          <w:rFonts w:asciiTheme="minorHAnsi" w:hAnsiTheme="minorHAnsi"/>
          <w:bCs/>
          <w:lang w:val="en-GB"/>
        </w:rPr>
        <w:t>an</w:t>
      </w:r>
      <w:r>
        <w:rPr>
          <w:rFonts w:asciiTheme="minorHAnsi" w:hAnsiTheme="minorHAnsi"/>
          <w:bCs/>
          <w:lang w:val="en-GB"/>
        </w:rPr>
        <w:t xml:space="preserve"> appropriate comparator</w:t>
      </w:r>
      <w:r w:rsidR="003C439F">
        <w:rPr>
          <w:rFonts w:asciiTheme="minorHAnsi" w:hAnsiTheme="minorHAnsi"/>
          <w:bCs/>
          <w:lang w:val="en-GB"/>
        </w:rPr>
        <w:t>, botulinum toxin type-A (BOTOX</w:t>
      </w:r>
      <w:r w:rsidR="003C439F">
        <w:rPr>
          <w:rFonts w:asciiTheme="minorHAnsi" w:hAnsiTheme="minorHAnsi" w:cstheme="minorHAnsi"/>
          <w:bCs/>
          <w:lang w:val="en-GB"/>
        </w:rPr>
        <w:t>®</w:t>
      </w:r>
      <w:r w:rsidR="003C439F">
        <w:rPr>
          <w:rFonts w:asciiTheme="minorHAnsi" w:hAnsiTheme="minorHAnsi"/>
          <w:bCs/>
          <w:lang w:val="en-GB"/>
        </w:rPr>
        <w:t>) may be an appropriate near market comparator</w:t>
      </w:r>
      <w:r>
        <w:rPr>
          <w:rFonts w:asciiTheme="minorHAnsi" w:hAnsiTheme="minorHAnsi"/>
          <w:bCs/>
          <w:lang w:val="en-GB"/>
        </w:rPr>
        <w:t>.</w:t>
      </w:r>
    </w:p>
    <w:p w:rsidR="00DA6EDA" w:rsidRDefault="00DA6EDA" w:rsidP="00F11230">
      <w:pPr>
        <w:numPr>
          <w:ilvl w:val="1"/>
          <w:numId w:val="3"/>
        </w:numPr>
        <w:spacing w:after="120"/>
        <w:rPr>
          <w:rFonts w:asciiTheme="minorHAnsi" w:hAnsiTheme="minorHAnsi"/>
          <w:bCs/>
          <w:lang w:val="en-GB"/>
        </w:rPr>
      </w:pPr>
      <w:r>
        <w:rPr>
          <w:rFonts w:asciiTheme="minorHAnsi" w:hAnsiTheme="minorHAnsi"/>
          <w:bCs/>
          <w:lang w:val="en-GB"/>
        </w:rPr>
        <w:t xml:space="preserve">The PBAC noted that the primary outcome of the </w:t>
      </w:r>
      <w:r w:rsidR="0010505C">
        <w:rPr>
          <w:rFonts w:asciiTheme="minorHAnsi" w:hAnsiTheme="minorHAnsi"/>
          <w:bCs/>
          <w:lang w:val="en-GB"/>
        </w:rPr>
        <w:t>key trial, which was a reduction in Modified Ashworth Scale (MAS) score of at least one, was not consistent with the PBS continuation criteria for Dysport</w:t>
      </w:r>
      <w:r w:rsidR="0010505C">
        <w:rPr>
          <w:rFonts w:asciiTheme="minorHAnsi" w:hAnsiTheme="minorHAnsi" w:cstheme="minorHAnsi"/>
          <w:bCs/>
          <w:lang w:val="en-GB"/>
        </w:rPr>
        <w:t>®</w:t>
      </w:r>
      <w:r w:rsidR="0010505C">
        <w:rPr>
          <w:rFonts w:asciiTheme="minorHAnsi" w:hAnsiTheme="minorHAnsi"/>
          <w:bCs/>
          <w:lang w:val="en-GB"/>
        </w:rPr>
        <w:t xml:space="preserve"> use in the treatment of focal spasticity following stroke in the upper limb, which required a reduction in MAS of greater than one.</w:t>
      </w:r>
      <w:r w:rsidR="00301B76">
        <w:rPr>
          <w:rFonts w:asciiTheme="minorHAnsi" w:hAnsiTheme="minorHAnsi"/>
          <w:bCs/>
          <w:lang w:val="en-GB"/>
        </w:rPr>
        <w:t xml:space="preserve"> </w:t>
      </w:r>
    </w:p>
    <w:p w:rsidR="00810664" w:rsidRDefault="002C61EB" w:rsidP="00F11230">
      <w:pPr>
        <w:numPr>
          <w:ilvl w:val="1"/>
          <w:numId w:val="3"/>
        </w:numPr>
        <w:spacing w:after="120"/>
        <w:rPr>
          <w:rFonts w:asciiTheme="minorHAnsi" w:hAnsiTheme="minorHAnsi"/>
          <w:bCs/>
          <w:lang w:val="en-GB"/>
        </w:rPr>
      </w:pPr>
      <w:r>
        <w:rPr>
          <w:rFonts w:asciiTheme="minorHAnsi" w:hAnsiTheme="minorHAnsi"/>
          <w:bCs/>
          <w:lang w:val="en-GB"/>
        </w:rPr>
        <w:t>The PBAC considered that Dysport</w:t>
      </w:r>
      <w:r>
        <w:rPr>
          <w:rFonts w:asciiTheme="minorHAnsi" w:hAnsiTheme="minorHAnsi" w:cstheme="minorHAnsi"/>
          <w:bCs/>
          <w:lang w:val="en-GB"/>
        </w:rPr>
        <w:t>®</w:t>
      </w:r>
      <w:r>
        <w:rPr>
          <w:rFonts w:asciiTheme="minorHAnsi" w:hAnsiTheme="minorHAnsi"/>
          <w:bCs/>
          <w:lang w:val="en-GB"/>
        </w:rPr>
        <w:t xml:space="preserve"> was not superior </w:t>
      </w:r>
      <w:r w:rsidR="00092CE5">
        <w:rPr>
          <w:rFonts w:asciiTheme="minorHAnsi" w:hAnsiTheme="minorHAnsi"/>
          <w:bCs/>
          <w:lang w:val="en-GB"/>
        </w:rPr>
        <w:t xml:space="preserve">compared </w:t>
      </w:r>
      <w:r>
        <w:rPr>
          <w:rFonts w:asciiTheme="minorHAnsi" w:hAnsiTheme="minorHAnsi"/>
          <w:bCs/>
          <w:lang w:val="en-GB"/>
        </w:rPr>
        <w:t xml:space="preserve">to placebo in terms of effectiveness in the treatment of focal spasticity of the lower limb following an acute event. Although the key trial demonstrated a small, statistically significant improvement in MAS score at Weeks 4 and 12, the results were not clinically significant as they did not exceed the predefined minimal clinically important difference (MCID) of at least one </w:t>
      </w:r>
      <w:r w:rsidR="00301B76">
        <w:rPr>
          <w:rFonts w:asciiTheme="minorHAnsi" w:hAnsiTheme="minorHAnsi"/>
          <w:bCs/>
          <w:lang w:val="en-GB"/>
        </w:rPr>
        <w:t xml:space="preserve">MAS </w:t>
      </w:r>
      <w:r>
        <w:rPr>
          <w:rFonts w:asciiTheme="minorHAnsi" w:hAnsiTheme="minorHAnsi"/>
          <w:bCs/>
          <w:lang w:val="en-GB"/>
        </w:rPr>
        <w:t xml:space="preserve">point. The PBAC also noted the non-significant difference in the proportion of responders. </w:t>
      </w:r>
      <w:r w:rsidR="00E00CE5">
        <w:rPr>
          <w:rFonts w:asciiTheme="minorHAnsi" w:hAnsiTheme="minorHAnsi"/>
          <w:bCs/>
          <w:lang w:val="en-GB"/>
        </w:rPr>
        <w:t>The PBAC considered that efficacy data from the supportive trials in terms of change in MAS were inconsistent</w:t>
      </w:r>
      <w:r w:rsidR="0078533B">
        <w:rPr>
          <w:rFonts w:asciiTheme="minorHAnsi" w:hAnsiTheme="minorHAnsi"/>
          <w:bCs/>
          <w:lang w:val="en-GB"/>
        </w:rPr>
        <w:t>.</w:t>
      </w:r>
    </w:p>
    <w:p w:rsidR="00092CE5" w:rsidRDefault="00092CE5" w:rsidP="00F11230">
      <w:pPr>
        <w:numPr>
          <w:ilvl w:val="1"/>
          <w:numId w:val="3"/>
        </w:numPr>
        <w:spacing w:after="120"/>
        <w:rPr>
          <w:rFonts w:asciiTheme="minorHAnsi" w:hAnsiTheme="minorHAnsi"/>
          <w:bCs/>
          <w:lang w:val="en-GB"/>
        </w:rPr>
      </w:pPr>
      <w:r>
        <w:rPr>
          <w:rFonts w:asciiTheme="minorHAnsi" w:hAnsiTheme="minorHAnsi"/>
          <w:bCs/>
          <w:lang w:val="en-GB"/>
        </w:rPr>
        <w:t xml:space="preserve">The PBAC </w:t>
      </w:r>
      <w:r w:rsidR="0078533B">
        <w:rPr>
          <w:rFonts w:asciiTheme="minorHAnsi" w:hAnsiTheme="minorHAnsi"/>
          <w:bCs/>
          <w:lang w:val="en-GB"/>
        </w:rPr>
        <w:t xml:space="preserve">noted that change in MAS score was not used to inform the economic model. Instead, change in walking speed, as measured by the 10 m comfortable barefoot walking test was used. It was </w:t>
      </w:r>
      <w:r>
        <w:rPr>
          <w:rFonts w:asciiTheme="minorHAnsi" w:hAnsiTheme="minorHAnsi"/>
          <w:bCs/>
          <w:lang w:val="en-GB"/>
        </w:rPr>
        <w:t>noted that there were no significant differences between Dysport</w:t>
      </w:r>
      <w:r>
        <w:rPr>
          <w:rFonts w:asciiTheme="minorHAnsi" w:hAnsiTheme="minorHAnsi" w:cstheme="minorHAnsi"/>
          <w:bCs/>
          <w:lang w:val="en-GB"/>
        </w:rPr>
        <w:t>®</w:t>
      </w:r>
      <w:r>
        <w:rPr>
          <w:rFonts w:asciiTheme="minorHAnsi" w:hAnsiTheme="minorHAnsi"/>
          <w:bCs/>
          <w:lang w:val="en-GB"/>
        </w:rPr>
        <w:t xml:space="preserve"> and placebo in terms of walking speed at Week 4 or 12</w:t>
      </w:r>
      <w:r w:rsidR="00E00CE5">
        <w:rPr>
          <w:rFonts w:asciiTheme="minorHAnsi" w:hAnsiTheme="minorHAnsi"/>
          <w:bCs/>
          <w:lang w:val="en-GB"/>
        </w:rPr>
        <w:t xml:space="preserve"> in the key trial, Study 140. The PBAC considered that data from the supportive trials were inconsistent in terms of the type of test used to measure walking speed and the outcomes reported. </w:t>
      </w:r>
    </w:p>
    <w:p w:rsidR="00092CE5" w:rsidRDefault="00092CE5" w:rsidP="006C675C">
      <w:pPr>
        <w:numPr>
          <w:ilvl w:val="1"/>
          <w:numId w:val="3"/>
        </w:numPr>
        <w:spacing w:after="120"/>
        <w:rPr>
          <w:rFonts w:asciiTheme="minorHAnsi" w:hAnsiTheme="minorHAnsi"/>
          <w:bCs/>
          <w:lang w:val="en-GB"/>
        </w:rPr>
      </w:pPr>
      <w:r>
        <w:rPr>
          <w:rFonts w:asciiTheme="minorHAnsi" w:hAnsiTheme="minorHAnsi"/>
          <w:bCs/>
          <w:lang w:val="en-GB"/>
        </w:rPr>
        <w:t>The PBAC considered that Dysport</w:t>
      </w:r>
      <w:r>
        <w:rPr>
          <w:rFonts w:asciiTheme="minorHAnsi" w:hAnsiTheme="minorHAnsi" w:cstheme="minorHAnsi"/>
          <w:bCs/>
          <w:lang w:val="en-GB"/>
        </w:rPr>
        <w:t>®</w:t>
      </w:r>
      <w:r>
        <w:rPr>
          <w:rFonts w:asciiTheme="minorHAnsi" w:hAnsiTheme="minorHAnsi"/>
          <w:bCs/>
          <w:lang w:val="en-GB"/>
        </w:rPr>
        <w:t xml:space="preserve"> was inferior in terms of safety compared to placebo.</w:t>
      </w:r>
    </w:p>
    <w:p w:rsidR="00E00CE5" w:rsidRDefault="00E00CE5" w:rsidP="00AF4F5D">
      <w:pPr>
        <w:numPr>
          <w:ilvl w:val="1"/>
          <w:numId w:val="3"/>
        </w:numPr>
        <w:spacing w:after="120"/>
        <w:rPr>
          <w:rFonts w:asciiTheme="minorHAnsi" w:hAnsiTheme="minorHAnsi"/>
          <w:bCs/>
          <w:lang w:val="en-GB"/>
        </w:rPr>
      </w:pPr>
      <w:r>
        <w:rPr>
          <w:rFonts w:asciiTheme="minorHAnsi" w:hAnsiTheme="minorHAnsi"/>
          <w:bCs/>
          <w:lang w:val="en-GB"/>
        </w:rPr>
        <w:t>The PBAC considered that the premise of the economic evaluation was flawed as</w:t>
      </w:r>
      <w:r w:rsidR="0033768F">
        <w:rPr>
          <w:rFonts w:asciiTheme="minorHAnsi" w:hAnsiTheme="minorHAnsi"/>
          <w:bCs/>
          <w:lang w:val="en-GB"/>
        </w:rPr>
        <w:t xml:space="preserve"> it modelled an improvement in walking speed, which was based on a </w:t>
      </w:r>
      <w:r w:rsidR="0033768F" w:rsidRPr="0033768F">
        <w:rPr>
          <w:rFonts w:asciiTheme="minorHAnsi" w:hAnsiTheme="minorHAnsi"/>
          <w:bCs/>
          <w:i/>
          <w:lang w:val="en-GB"/>
        </w:rPr>
        <w:t>post</w:t>
      </w:r>
      <w:r w:rsidR="0033768F" w:rsidRPr="00A33507">
        <w:rPr>
          <w:rFonts w:asciiTheme="minorHAnsi" w:hAnsiTheme="minorHAnsi"/>
          <w:bCs/>
          <w:i/>
          <w:lang w:val="en-GB"/>
        </w:rPr>
        <w:t>-hoc</w:t>
      </w:r>
      <w:r w:rsidR="0033768F">
        <w:rPr>
          <w:rFonts w:asciiTheme="minorHAnsi" w:hAnsiTheme="minorHAnsi"/>
          <w:bCs/>
          <w:lang w:val="en-GB"/>
        </w:rPr>
        <w:t xml:space="preserve"> subgroup analysis of a non-statistically different outcome, and a consequential improvement in quality of life, which was not demonstrated in the trial, for patients treated with Dysport</w:t>
      </w:r>
      <w:r w:rsidR="0033768F">
        <w:rPr>
          <w:rFonts w:asciiTheme="minorHAnsi" w:hAnsiTheme="minorHAnsi" w:cstheme="minorHAnsi"/>
          <w:bCs/>
          <w:lang w:val="en-GB"/>
        </w:rPr>
        <w:t>®</w:t>
      </w:r>
      <w:r w:rsidR="0033768F">
        <w:rPr>
          <w:rFonts w:asciiTheme="minorHAnsi" w:hAnsiTheme="minorHAnsi"/>
          <w:bCs/>
          <w:lang w:val="en-GB"/>
        </w:rPr>
        <w:t>.</w:t>
      </w:r>
      <w:r w:rsidR="003C71A1">
        <w:rPr>
          <w:rFonts w:asciiTheme="minorHAnsi" w:hAnsiTheme="minorHAnsi"/>
          <w:bCs/>
          <w:lang w:val="en-GB"/>
        </w:rPr>
        <w:t xml:space="preserve"> This resulted in a highly uncertain ICER.</w:t>
      </w:r>
      <w:r w:rsidR="0078533B">
        <w:rPr>
          <w:rFonts w:asciiTheme="minorHAnsi" w:hAnsiTheme="minorHAnsi"/>
          <w:bCs/>
          <w:lang w:val="en-GB"/>
        </w:rPr>
        <w:t xml:space="preserve"> The PBAC considered that a more appropriate economic evaluation would be based on the primary outcome of the trial (change in MAS) and would also be consistent with the continuation criteria in the proposed restriction. </w:t>
      </w:r>
    </w:p>
    <w:p w:rsidR="00154B81" w:rsidRDefault="009F0524" w:rsidP="00154B81">
      <w:pPr>
        <w:numPr>
          <w:ilvl w:val="1"/>
          <w:numId w:val="3"/>
        </w:numPr>
        <w:spacing w:after="120"/>
        <w:rPr>
          <w:rFonts w:asciiTheme="minorHAnsi" w:hAnsiTheme="minorHAnsi"/>
          <w:bCs/>
          <w:lang w:val="en-GB"/>
        </w:rPr>
      </w:pPr>
      <w:r>
        <w:rPr>
          <w:rFonts w:asciiTheme="minorHAnsi" w:hAnsiTheme="minorHAnsi"/>
          <w:bCs/>
          <w:lang w:val="en-GB"/>
        </w:rPr>
        <w:lastRenderedPageBreak/>
        <w:t>In addition, t</w:t>
      </w:r>
      <w:r w:rsidR="00154B81">
        <w:rPr>
          <w:rFonts w:asciiTheme="minorHAnsi" w:hAnsiTheme="minorHAnsi"/>
          <w:bCs/>
          <w:lang w:val="en-GB"/>
        </w:rPr>
        <w:t xml:space="preserve">he PBAC </w:t>
      </w:r>
      <w:r w:rsidR="003C71A1">
        <w:rPr>
          <w:rFonts w:asciiTheme="minorHAnsi" w:hAnsiTheme="minorHAnsi"/>
          <w:bCs/>
          <w:lang w:val="en-GB"/>
        </w:rPr>
        <w:t xml:space="preserve">were concerned that the economic model was not appropriately structured to estimate cost-effectiveness, and considered that the structural issues identified by the evaluation and ESC should be addressed in any resubmission. </w:t>
      </w:r>
    </w:p>
    <w:p w:rsidR="00AF4F5D" w:rsidRDefault="00AF4F5D" w:rsidP="00AF4F5D">
      <w:pPr>
        <w:numPr>
          <w:ilvl w:val="1"/>
          <w:numId w:val="3"/>
        </w:numPr>
        <w:spacing w:after="120"/>
        <w:rPr>
          <w:rFonts w:asciiTheme="minorHAnsi" w:hAnsiTheme="minorHAnsi"/>
          <w:bCs/>
          <w:lang w:val="en-GB"/>
        </w:rPr>
      </w:pPr>
      <w:r>
        <w:rPr>
          <w:rFonts w:asciiTheme="minorHAnsi" w:hAnsiTheme="minorHAnsi"/>
          <w:bCs/>
          <w:lang w:val="en-GB"/>
        </w:rPr>
        <w:t>The PBAC</w:t>
      </w:r>
      <w:r w:rsidR="000E1058">
        <w:rPr>
          <w:rFonts w:asciiTheme="minorHAnsi" w:hAnsiTheme="minorHAnsi"/>
          <w:bCs/>
          <w:lang w:val="en-GB"/>
        </w:rPr>
        <w:t>,</w:t>
      </w:r>
      <w:r>
        <w:rPr>
          <w:rFonts w:asciiTheme="minorHAnsi" w:hAnsiTheme="minorHAnsi"/>
          <w:bCs/>
          <w:lang w:val="en-GB"/>
        </w:rPr>
        <w:t xml:space="preserve"> not</w:t>
      </w:r>
      <w:r w:rsidR="000E1058">
        <w:rPr>
          <w:rFonts w:asciiTheme="minorHAnsi" w:hAnsiTheme="minorHAnsi"/>
          <w:bCs/>
          <w:lang w:val="en-GB"/>
        </w:rPr>
        <w:t>ing</w:t>
      </w:r>
      <w:r>
        <w:rPr>
          <w:rFonts w:asciiTheme="minorHAnsi" w:hAnsiTheme="minorHAnsi"/>
          <w:bCs/>
          <w:lang w:val="en-GB"/>
        </w:rPr>
        <w:t xml:space="preserve"> the advice from DUSC</w:t>
      </w:r>
      <w:r w:rsidR="000E1058">
        <w:rPr>
          <w:rFonts w:asciiTheme="minorHAnsi" w:hAnsiTheme="minorHAnsi"/>
          <w:bCs/>
          <w:lang w:val="en-GB"/>
        </w:rPr>
        <w:t>, considered</w:t>
      </w:r>
      <w:r>
        <w:rPr>
          <w:rFonts w:asciiTheme="minorHAnsi" w:hAnsiTheme="minorHAnsi"/>
          <w:bCs/>
          <w:lang w:val="en-GB"/>
        </w:rPr>
        <w:t xml:space="preserve"> that the utilisation estimates were uncertain</w:t>
      </w:r>
      <w:r w:rsidR="000E1058">
        <w:rPr>
          <w:rFonts w:asciiTheme="minorHAnsi" w:hAnsiTheme="minorHAnsi"/>
          <w:bCs/>
          <w:lang w:val="en-GB"/>
        </w:rPr>
        <w:t>. The PBAC were also concerned</w:t>
      </w:r>
      <w:r w:rsidR="007F12D6">
        <w:rPr>
          <w:rFonts w:asciiTheme="minorHAnsi" w:hAnsiTheme="minorHAnsi"/>
          <w:bCs/>
          <w:lang w:val="en-GB"/>
        </w:rPr>
        <w:t xml:space="preserve"> by the uncertainty surrounding the </w:t>
      </w:r>
      <w:r w:rsidR="000E1058">
        <w:rPr>
          <w:rFonts w:asciiTheme="minorHAnsi" w:hAnsiTheme="minorHAnsi"/>
          <w:bCs/>
          <w:lang w:val="en-GB"/>
        </w:rPr>
        <w:t>extrapolation of utilisation estimates from stroke patients to those with focal spasticity due to other aetiologies</w:t>
      </w:r>
      <w:r w:rsidR="007F12D6">
        <w:rPr>
          <w:rFonts w:asciiTheme="minorHAnsi" w:hAnsiTheme="minorHAnsi"/>
          <w:bCs/>
          <w:lang w:val="en-GB"/>
        </w:rPr>
        <w:t>, and the potential effects of Dysport</w:t>
      </w:r>
      <w:r w:rsidR="007F12D6">
        <w:rPr>
          <w:rFonts w:asciiTheme="minorHAnsi" w:hAnsiTheme="minorHAnsi" w:cstheme="minorHAnsi"/>
          <w:bCs/>
          <w:lang w:val="en-GB"/>
        </w:rPr>
        <w:t>®</w:t>
      </w:r>
      <w:r w:rsidR="007F12D6">
        <w:rPr>
          <w:rFonts w:asciiTheme="minorHAnsi" w:hAnsiTheme="minorHAnsi"/>
          <w:bCs/>
          <w:lang w:val="en-GB"/>
        </w:rPr>
        <w:t xml:space="preserve"> use across multiple focal points in both the upper and lower limbs.</w:t>
      </w:r>
      <w:r w:rsidR="000E1058">
        <w:rPr>
          <w:rFonts w:asciiTheme="minorHAnsi" w:hAnsiTheme="minorHAnsi"/>
          <w:bCs/>
          <w:lang w:val="en-GB"/>
        </w:rPr>
        <w:t xml:space="preserve"> </w:t>
      </w:r>
      <w:r>
        <w:rPr>
          <w:rFonts w:asciiTheme="minorHAnsi" w:hAnsiTheme="minorHAnsi"/>
          <w:bCs/>
          <w:lang w:val="en-GB"/>
        </w:rPr>
        <w:t xml:space="preserve"> </w:t>
      </w:r>
      <w:r w:rsidR="0078533B">
        <w:rPr>
          <w:rFonts w:asciiTheme="minorHAnsi" w:hAnsiTheme="minorHAnsi"/>
          <w:bCs/>
          <w:lang w:val="en-GB"/>
        </w:rPr>
        <w:t xml:space="preserve">Given these uncertainties in utilisation, any future submission for </w:t>
      </w:r>
      <w:r w:rsidR="000C4450">
        <w:rPr>
          <w:rFonts w:asciiTheme="minorHAnsi" w:hAnsiTheme="minorHAnsi"/>
          <w:bCs/>
          <w:lang w:val="en-GB"/>
        </w:rPr>
        <w:t>lower</w:t>
      </w:r>
      <w:r w:rsidR="0078533B">
        <w:rPr>
          <w:rFonts w:asciiTheme="minorHAnsi" w:hAnsiTheme="minorHAnsi"/>
          <w:bCs/>
          <w:lang w:val="en-GB"/>
        </w:rPr>
        <w:t xml:space="preserve"> limb focal spasticity following an acute event should consider proposing an utilisation cap.</w:t>
      </w:r>
    </w:p>
    <w:p w:rsidR="00934F3B" w:rsidRDefault="0079372F" w:rsidP="00E126AC">
      <w:pPr>
        <w:numPr>
          <w:ilvl w:val="1"/>
          <w:numId w:val="3"/>
        </w:numPr>
        <w:spacing w:after="120"/>
        <w:rPr>
          <w:rFonts w:asciiTheme="minorHAnsi" w:hAnsiTheme="minorHAnsi"/>
          <w:bCs/>
          <w:lang w:val="en-GB"/>
        </w:rPr>
      </w:pPr>
      <w:r w:rsidRPr="0079372F">
        <w:rPr>
          <w:rFonts w:asciiTheme="minorHAnsi" w:hAnsiTheme="minorHAnsi"/>
          <w:bCs/>
          <w:lang w:val="en-GB"/>
        </w:rPr>
        <w:t>The PBAC considered that the uncertainty surrounding the treatment effect of Dysport</w:t>
      </w:r>
      <w:r w:rsidR="000925ED">
        <w:rPr>
          <w:rFonts w:asciiTheme="minorHAnsi" w:hAnsiTheme="minorHAnsi" w:cstheme="minorHAnsi"/>
          <w:bCs/>
          <w:lang w:val="en-GB"/>
        </w:rPr>
        <w:t>®</w:t>
      </w:r>
      <w:r w:rsidR="0078533B">
        <w:rPr>
          <w:rFonts w:asciiTheme="minorHAnsi" w:hAnsiTheme="minorHAnsi"/>
          <w:bCs/>
          <w:lang w:val="en-GB"/>
        </w:rPr>
        <w:t xml:space="preserve"> was unlikely to be substantially r</w:t>
      </w:r>
      <w:r w:rsidRPr="0079372F">
        <w:rPr>
          <w:rFonts w:asciiTheme="minorHAnsi" w:hAnsiTheme="minorHAnsi"/>
          <w:bCs/>
          <w:lang w:val="en-GB"/>
        </w:rPr>
        <w:t>educed by future high quality data and</w:t>
      </w:r>
      <w:r w:rsidR="0078533B">
        <w:rPr>
          <w:rFonts w:asciiTheme="minorHAnsi" w:hAnsiTheme="minorHAnsi"/>
          <w:bCs/>
          <w:lang w:val="en-GB"/>
        </w:rPr>
        <w:t xml:space="preserve"> that such high quality data were not likely to become available. These uncertainty issues</w:t>
      </w:r>
      <w:r w:rsidRPr="0079372F">
        <w:rPr>
          <w:rFonts w:asciiTheme="minorHAnsi" w:hAnsiTheme="minorHAnsi"/>
          <w:bCs/>
          <w:lang w:val="en-GB"/>
        </w:rPr>
        <w:t xml:space="preserve"> could be mitigated through </w:t>
      </w:r>
      <w:r w:rsidR="0078533B">
        <w:rPr>
          <w:rFonts w:asciiTheme="minorHAnsi" w:hAnsiTheme="minorHAnsi"/>
          <w:bCs/>
          <w:lang w:val="en-GB"/>
        </w:rPr>
        <w:t xml:space="preserve">adjustment of the </w:t>
      </w:r>
      <w:r w:rsidRPr="0079372F">
        <w:rPr>
          <w:rFonts w:asciiTheme="minorHAnsi" w:hAnsiTheme="minorHAnsi"/>
          <w:bCs/>
          <w:lang w:val="en-GB"/>
        </w:rPr>
        <w:t xml:space="preserve">requested price </w:t>
      </w:r>
      <w:r w:rsidR="0078533B">
        <w:rPr>
          <w:rFonts w:asciiTheme="minorHAnsi" w:hAnsiTheme="minorHAnsi"/>
          <w:bCs/>
          <w:lang w:val="en-GB"/>
        </w:rPr>
        <w:t>to deliver a lower incremental cost-effectiveness ratio</w:t>
      </w:r>
      <w:r w:rsidRPr="0079372F">
        <w:rPr>
          <w:rFonts w:asciiTheme="minorHAnsi" w:hAnsiTheme="minorHAnsi"/>
          <w:bCs/>
          <w:lang w:val="en-GB"/>
        </w:rPr>
        <w:t>.</w:t>
      </w:r>
      <w:r w:rsidR="003C439F">
        <w:rPr>
          <w:rFonts w:asciiTheme="minorHAnsi" w:hAnsiTheme="minorHAnsi"/>
          <w:bCs/>
          <w:lang w:val="en-GB"/>
        </w:rPr>
        <w:t xml:space="preserve"> </w:t>
      </w:r>
      <w:r w:rsidR="000C4450">
        <w:rPr>
          <w:rFonts w:asciiTheme="minorHAnsi" w:hAnsiTheme="minorHAnsi"/>
          <w:bCs/>
          <w:lang w:val="en-GB"/>
        </w:rPr>
        <w:t>The PBAC recalled that it accepted a cost per responder analysis of less than $15,000 when considering Dysport</w:t>
      </w:r>
      <w:r w:rsidR="000C4450">
        <w:rPr>
          <w:rFonts w:asciiTheme="minorHAnsi" w:hAnsiTheme="minorHAnsi" w:cstheme="minorHAnsi"/>
          <w:bCs/>
          <w:lang w:val="en-GB"/>
        </w:rPr>
        <w:t>®</w:t>
      </w:r>
      <w:r w:rsidR="000C4450">
        <w:rPr>
          <w:rFonts w:asciiTheme="minorHAnsi" w:hAnsiTheme="minorHAnsi"/>
          <w:bCs/>
          <w:lang w:val="en-GB"/>
        </w:rPr>
        <w:t xml:space="preserve"> for the treatment of upper limb focal spasticity following a stroke (November 2007, Dysport</w:t>
      </w:r>
      <w:r w:rsidR="000C4450">
        <w:rPr>
          <w:rFonts w:asciiTheme="minorHAnsi" w:hAnsiTheme="minorHAnsi" w:cstheme="minorHAnsi"/>
          <w:bCs/>
          <w:lang w:val="en-GB"/>
        </w:rPr>
        <w:t>®</w:t>
      </w:r>
      <w:r w:rsidR="000C4450">
        <w:rPr>
          <w:rFonts w:asciiTheme="minorHAnsi" w:hAnsiTheme="minorHAnsi"/>
          <w:bCs/>
          <w:lang w:val="en-GB"/>
        </w:rPr>
        <w:t xml:space="preserve"> PSD).</w:t>
      </w:r>
    </w:p>
    <w:p w:rsidR="00DE79DD" w:rsidRPr="0079372F" w:rsidRDefault="0079372F" w:rsidP="00E126AC">
      <w:pPr>
        <w:numPr>
          <w:ilvl w:val="1"/>
          <w:numId w:val="3"/>
        </w:numPr>
        <w:spacing w:after="120"/>
        <w:rPr>
          <w:rFonts w:asciiTheme="minorHAnsi" w:hAnsiTheme="minorHAnsi"/>
          <w:bCs/>
          <w:lang w:val="en-GB"/>
        </w:rPr>
      </w:pPr>
      <w:r>
        <w:rPr>
          <w:rFonts w:asciiTheme="minorHAnsi" w:hAnsiTheme="minorHAnsi"/>
          <w:bCs/>
          <w:lang w:val="en-GB"/>
        </w:rPr>
        <w:t>I</w:t>
      </w:r>
      <w:r w:rsidR="00DE79DD" w:rsidRPr="0079372F">
        <w:rPr>
          <w:rFonts w:asciiTheme="minorHAnsi" w:hAnsiTheme="minorHAnsi"/>
          <w:bCs/>
          <w:lang w:val="en-GB"/>
        </w:rPr>
        <w:t>n considering the proposed listing, the PBAC:</w:t>
      </w:r>
    </w:p>
    <w:p w:rsidR="00DE79DD" w:rsidRDefault="00DE79DD" w:rsidP="0079372F">
      <w:pPr>
        <w:numPr>
          <w:ilvl w:val="1"/>
          <w:numId w:val="30"/>
        </w:numPr>
        <w:spacing w:after="120"/>
        <w:ind w:left="1077" w:hanging="357"/>
        <w:rPr>
          <w:rFonts w:asciiTheme="minorHAnsi" w:hAnsiTheme="minorHAnsi"/>
          <w:bCs/>
          <w:lang w:val="en-GB"/>
        </w:rPr>
      </w:pPr>
      <w:r>
        <w:rPr>
          <w:rFonts w:asciiTheme="minorHAnsi" w:hAnsiTheme="minorHAnsi"/>
          <w:bCs/>
          <w:lang w:val="en-GB"/>
        </w:rPr>
        <w:t>Advised that the PBS eligibility criteria should remain consistent with that of the upper limb, and restrict use of Dysport</w:t>
      </w:r>
      <w:r>
        <w:rPr>
          <w:rFonts w:asciiTheme="minorHAnsi" w:hAnsiTheme="minorHAnsi" w:cstheme="minorHAnsi"/>
          <w:bCs/>
          <w:lang w:val="en-GB"/>
        </w:rPr>
        <w:t>®</w:t>
      </w:r>
      <w:r>
        <w:rPr>
          <w:rFonts w:asciiTheme="minorHAnsi" w:hAnsiTheme="minorHAnsi"/>
          <w:bCs/>
          <w:lang w:val="en-GB"/>
        </w:rPr>
        <w:t xml:space="preserve"> to patients with a MAS score of 3 </w:t>
      </w:r>
      <w:r w:rsidR="003C71A1">
        <w:rPr>
          <w:rFonts w:asciiTheme="minorHAnsi" w:hAnsiTheme="minorHAnsi"/>
          <w:bCs/>
          <w:lang w:val="en-GB"/>
        </w:rPr>
        <w:t xml:space="preserve">or more </w:t>
      </w:r>
      <w:r>
        <w:rPr>
          <w:rFonts w:asciiTheme="minorHAnsi" w:hAnsiTheme="minorHAnsi"/>
          <w:bCs/>
          <w:lang w:val="en-GB"/>
        </w:rPr>
        <w:t>at baseline;</w:t>
      </w:r>
    </w:p>
    <w:p w:rsidR="0079372F" w:rsidRDefault="00DE79DD" w:rsidP="0079372F">
      <w:pPr>
        <w:numPr>
          <w:ilvl w:val="1"/>
          <w:numId w:val="30"/>
        </w:numPr>
        <w:spacing w:after="120"/>
        <w:ind w:left="1077" w:hanging="357"/>
        <w:rPr>
          <w:rFonts w:asciiTheme="minorHAnsi" w:hAnsiTheme="minorHAnsi"/>
          <w:bCs/>
          <w:lang w:val="en-GB"/>
        </w:rPr>
      </w:pPr>
      <w:r>
        <w:rPr>
          <w:rFonts w:asciiTheme="minorHAnsi" w:hAnsiTheme="minorHAnsi"/>
          <w:bCs/>
          <w:lang w:val="en-GB"/>
        </w:rPr>
        <w:t>Determined that the timing of the onset of treatment should be at the discretion of the physician;</w:t>
      </w:r>
      <w:r w:rsidR="0079372F">
        <w:rPr>
          <w:rFonts w:asciiTheme="minorHAnsi" w:hAnsiTheme="minorHAnsi"/>
          <w:bCs/>
          <w:lang w:val="en-GB"/>
        </w:rPr>
        <w:t xml:space="preserve"> </w:t>
      </w:r>
    </w:p>
    <w:p w:rsidR="004626C8" w:rsidRPr="009551F3" w:rsidRDefault="004626C8" w:rsidP="004626C8">
      <w:pPr>
        <w:numPr>
          <w:ilvl w:val="1"/>
          <w:numId w:val="30"/>
        </w:numPr>
        <w:spacing w:after="120"/>
        <w:ind w:left="1077" w:hanging="357"/>
        <w:rPr>
          <w:rFonts w:asciiTheme="minorHAnsi" w:hAnsiTheme="minorHAnsi"/>
          <w:bCs/>
          <w:lang w:val="en-GB"/>
        </w:rPr>
      </w:pPr>
      <w:r>
        <w:rPr>
          <w:rFonts w:asciiTheme="minorHAnsi" w:hAnsiTheme="minorHAnsi"/>
          <w:bCs/>
          <w:lang w:val="en-GB"/>
        </w:rPr>
        <w:t xml:space="preserve">Noted that the proposed continuation criteria, which was based on a reduction in MAS of at least one was consistent with the clinical evidence presented in the submission, but was inconsistent with the current restriction for upper limb spasticity following a stroke, which requires a reduction in MAS of greater than one. </w:t>
      </w:r>
      <w:r w:rsidRPr="009551F3">
        <w:rPr>
          <w:rFonts w:asciiTheme="minorHAnsi" w:hAnsiTheme="minorHAnsi"/>
          <w:bCs/>
          <w:lang w:val="en-GB"/>
        </w:rPr>
        <w:t xml:space="preserve">The PBAC considered that further clinical input would be informative, while being of a mind to ensure consistency of the restriction with the trial evidence. The PBAC noted that this may have implications for upper limb spasticity restrictions and that similar input on </w:t>
      </w:r>
      <w:r>
        <w:rPr>
          <w:rFonts w:asciiTheme="minorHAnsi" w:hAnsiTheme="minorHAnsi"/>
          <w:bCs/>
          <w:lang w:val="en-GB"/>
        </w:rPr>
        <w:t>Dysport</w:t>
      </w:r>
      <w:r w:rsidRPr="009551F3">
        <w:rPr>
          <w:rFonts w:asciiTheme="minorHAnsi" w:hAnsiTheme="minorHAnsi" w:cstheme="minorHAnsi"/>
          <w:bCs/>
          <w:lang w:val="en-GB"/>
        </w:rPr>
        <w:t>®</w:t>
      </w:r>
      <w:r w:rsidRPr="009551F3">
        <w:rPr>
          <w:rFonts w:asciiTheme="minorHAnsi" w:hAnsiTheme="minorHAnsi"/>
          <w:bCs/>
          <w:lang w:val="en-GB"/>
        </w:rPr>
        <w:t xml:space="preserve"> use in upper limb spasticity would also be helpful</w:t>
      </w:r>
      <w:r>
        <w:rPr>
          <w:rFonts w:asciiTheme="minorHAnsi" w:hAnsiTheme="minorHAnsi"/>
          <w:bCs/>
          <w:lang w:val="en-GB"/>
        </w:rPr>
        <w:t>; and</w:t>
      </w:r>
    </w:p>
    <w:p w:rsidR="00DE79DD" w:rsidRDefault="004626C8" w:rsidP="0079372F">
      <w:pPr>
        <w:numPr>
          <w:ilvl w:val="1"/>
          <w:numId w:val="30"/>
        </w:numPr>
        <w:spacing w:after="120"/>
        <w:ind w:left="1077" w:hanging="357"/>
        <w:rPr>
          <w:rFonts w:asciiTheme="minorHAnsi" w:hAnsiTheme="minorHAnsi"/>
          <w:bCs/>
          <w:lang w:val="en-GB"/>
        </w:rPr>
      </w:pPr>
      <w:r>
        <w:rPr>
          <w:rFonts w:asciiTheme="minorHAnsi" w:hAnsiTheme="minorHAnsi"/>
          <w:bCs/>
          <w:lang w:val="en-GB"/>
        </w:rPr>
        <w:t>N</w:t>
      </w:r>
      <w:r w:rsidRPr="00437E97">
        <w:rPr>
          <w:rFonts w:asciiTheme="minorHAnsi" w:hAnsiTheme="minorHAnsi"/>
          <w:bCs/>
          <w:lang w:val="en-GB"/>
        </w:rPr>
        <w:t xml:space="preserve">oted that the frequency of retreatment was likely to be variable </w:t>
      </w:r>
      <w:r>
        <w:rPr>
          <w:rFonts w:asciiTheme="minorHAnsi" w:hAnsiTheme="minorHAnsi"/>
          <w:bCs/>
          <w:lang w:val="en-GB"/>
        </w:rPr>
        <w:t xml:space="preserve">depending on response </w:t>
      </w:r>
      <w:r w:rsidRPr="00437E97">
        <w:rPr>
          <w:rFonts w:asciiTheme="minorHAnsi" w:hAnsiTheme="minorHAnsi"/>
          <w:bCs/>
          <w:lang w:val="en-GB"/>
        </w:rPr>
        <w:t xml:space="preserve">and was </w:t>
      </w:r>
      <w:r>
        <w:rPr>
          <w:rFonts w:asciiTheme="minorHAnsi" w:hAnsiTheme="minorHAnsi"/>
          <w:bCs/>
          <w:lang w:val="en-GB"/>
        </w:rPr>
        <w:t xml:space="preserve">not informed by </w:t>
      </w:r>
      <w:r w:rsidRPr="00437E97">
        <w:rPr>
          <w:rFonts w:asciiTheme="minorHAnsi" w:hAnsiTheme="minorHAnsi"/>
          <w:bCs/>
          <w:lang w:val="en-GB"/>
        </w:rPr>
        <w:t xml:space="preserve">evidence presented in the submission. The PBAC considered expert opinion that indicated that the reinjection interval increased with continued treatment and </w:t>
      </w:r>
      <w:r>
        <w:rPr>
          <w:rFonts w:asciiTheme="minorHAnsi" w:hAnsiTheme="minorHAnsi"/>
          <w:bCs/>
          <w:lang w:val="en-GB"/>
        </w:rPr>
        <w:t>determined</w:t>
      </w:r>
      <w:r w:rsidRPr="00437E97">
        <w:rPr>
          <w:rFonts w:asciiTheme="minorHAnsi" w:hAnsiTheme="minorHAnsi"/>
          <w:bCs/>
          <w:lang w:val="en-GB"/>
        </w:rPr>
        <w:t xml:space="preserve"> that a limit of four treatment periods per lower limb in the first year and two treatment periods per lower limb per year from Year 2 onwards </w:t>
      </w:r>
      <w:r>
        <w:rPr>
          <w:rFonts w:asciiTheme="minorHAnsi" w:hAnsiTheme="minorHAnsi"/>
          <w:bCs/>
          <w:lang w:val="en-GB"/>
        </w:rPr>
        <w:t>might be</w:t>
      </w:r>
      <w:r w:rsidRPr="00437E97">
        <w:rPr>
          <w:rFonts w:asciiTheme="minorHAnsi" w:hAnsiTheme="minorHAnsi"/>
          <w:bCs/>
          <w:lang w:val="en-GB"/>
        </w:rPr>
        <w:t xml:space="preserve"> reasonable.</w:t>
      </w:r>
    </w:p>
    <w:p w:rsidR="00AF4F5D" w:rsidRDefault="00AF4F5D" w:rsidP="00E126AC">
      <w:pPr>
        <w:numPr>
          <w:ilvl w:val="1"/>
          <w:numId w:val="3"/>
        </w:numPr>
        <w:spacing w:after="120"/>
        <w:rPr>
          <w:rFonts w:asciiTheme="minorHAnsi" w:hAnsiTheme="minorHAnsi"/>
          <w:bCs/>
          <w:lang w:val="en-GB"/>
        </w:rPr>
      </w:pPr>
      <w:r>
        <w:rPr>
          <w:rFonts w:asciiTheme="minorHAnsi" w:hAnsiTheme="minorHAnsi"/>
          <w:bCs/>
          <w:lang w:val="en-GB"/>
        </w:rPr>
        <w:t xml:space="preserve">The PBAC advised that any subsequent submission </w:t>
      </w:r>
      <w:r w:rsidR="007F12D6">
        <w:rPr>
          <w:rFonts w:asciiTheme="minorHAnsi" w:hAnsiTheme="minorHAnsi"/>
          <w:bCs/>
          <w:lang w:val="en-GB"/>
        </w:rPr>
        <w:t xml:space="preserve">should be a major submission and should address </w:t>
      </w:r>
      <w:r w:rsidR="0079372F">
        <w:rPr>
          <w:rFonts w:asciiTheme="minorHAnsi" w:hAnsiTheme="minorHAnsi"/>
          <w:bCs/>
          <w:lang w:val="en-GB"/>
        </w:rPr>
        <w:t xml:space="preserve">the recommended changes to the restriction, the economic model and </w:t>
      </w:r>
      <w:r w:rsidR="0079372F">
        <w:rPr>
          <w:rFonts w:asciiTheme="minorHAnsi" w:hAnsiTheme="minorHAnsi"/>
          <w:bCs/>
          <w:lang w:val="en-GB"/>
        </w:rPr>
        <w:lastRenderedPageBreak/>
        <w:t xml:space="preserve">the PBAC’s </w:t>
      </w:r>
      <w:r w:rsidR="004626C8">
        <w:rPr>
          <w:rFonts w:asciiTheme="minorHAnsi" w:hAnsiTheme="minorHAnsi"/>
          <w:bCs/>
          <w:lang w:val="en-GB"/>
        </w:rPr>
        <w:t>cost-effectiveness</w:t>
      </w:r>
      <w:r w:rsidR="0079372F">
        <w:rPr>
          <w:rFonts w:asciiTheme="minorHAnsi" w:hAnsiTheme="minorHAnsi"/>
          <w:bCs/>
          <w:lang w:val="en-GB"/>
        </w:rPr>
        <w:t xml:space="preserve"> concerns.</w:t>
      </w:r>
      <w:r w:rsidR="00790CB9">
        <w:rPr>
          <w:rFonts w:asciiTheme="minorHAnsi" w:hAnsiTheme="minorHAnsi"/>
          <w:bCs/>
          <w:lang w:val="en-GB"/>
        </w:rPr>
        <w:t xml:space="preserve"> The PBAC considered that a significant reduction in price would be required for it to accept cost-effectiveness.</w:t>
      </w:r>
    </w:p>
    <w:p w:rsidR="00B75D8A" w:rsidRPr="000925ED" w:rsidRDefault="00E126AC" w:rsidP="001D61B9">
      <w:pPr>
        <w:numPr>
          <w:ilvl w:val="1"/>
          <w:numId w:val="3"/>
        </w:numPr>
        <w:spacing w:after="120"/>
        <w:rPr>
          <w:rFonts w:asciiTheme="minorHAnsi" w:hAnsiTheme="minorHAnsi"/>
          <w:bCs/>
          <w:lang w:val="en-GB"/>
        </w:rPr>
      </w:pPr>
      <w:r w:rsidRPr="000925ED">
        <w:rPr>
          <w:rFonts w:asciiTheme="minorHAnsi" w:hAnsiTheme="minorHAnsi"/>
          <w:bCs/>
          <w:lang w:val="en-GB"/>
        </w:rPr>
        <w:t>The PBAC noted that this submission is eligible for an Independent Review.</w:t>
      </w:r>
    </w:p>
    <w:p w:rsidR="00267462" w:rsidRPr="00645D19" w:rsidRDefault="00267462" w:rsidP="00267462">
      <w:pPr>
        <w:spacing w:before="240"/>
        <w:rPr>
          <w:rFonts w:asciiTheme="minorHAnsi" w:hAnsiTheme="minorHAnsi"/>
          <w:b/>
          <w:bCs/>
          <w:lang w:val="en-GB"/>
        </w:rPr>
      </w:pPr>
      <w:r w:rsidRPr="00645D19">
        <w:rPr>
          <w:rFonts w:asciiTheme="minorHAnsi" w:hAnsiTheme="minorHAnsi"/>
          <w:b/>
          <w:bCs/>
          <w:lang w:val="en-GB"/>
        </w:rPr>
        <w:t>Outcome:</w:t>
      </w:r>
    </w:p>
    <w:p w:rsidR="00267462" w:rsidRPr="00645D19" w:rsidRDefault="00267462" w:rsidP="00E126AC">
      <w:pPr>
        <w:rPr>
          <w:rFonts w:asciiTheme="minorHAnsi" w:hAnsiTheme="minorHAnsi"/>
          <w:bCs/>
          <w:lang w:val="en-GB"/>
        </w:rPr>
      </w:pPr>
      <w:r w:rsidRPr="00645D19">
        <w:rPr>
          <w:rFonts w:asciiTheme="minorHAnsi" w:hAnsiTheme="minorHAnsi"/>
          <w:bCs/>
          <w:lang w:val="en-GB"/>
        </w:rPr>
        <w:t>Rejected</w:t>
      </w:r>
    </w:p>
    <w:p w:rsidR="00987415" w:rsidRPr="00C07617" w:rsidRDefault="00987415" w:rsidP="00987415">
      <w:pPr>
        <w:pStyle w:val="Heading1"/>
        <w:ind w:left="709" w:hanging="709"/>
        <w:rPr>
          <w:rFonts w:asciiTheme="minorHAnsi" w:hAnsiTheme="minorHAnsi"/>
          <w:b w:val="0"/>
        </w:rPr>
      </w:pPr>
      <w:r w:rsidRPr="00C07617">
        <w:rPr>
          <w:rFonts w:asciiTheme="minorHAnsi" w:hAnsiTheme="minorHAnsi"/>
        </w:rPr>
        <w:t>Context for Decision</w:t>
      </w:r>
    </w:p>
    <w:p w:rsidR="00987415" w:rsidRPr="00C07617" w:rsidRDefault="00987415" w:rsidP="00987415">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87415" w:rsidRPr="00C07617" w:rsidRDefault="00987415" w:rsidP="00987415">
      <w:pPr>
        <w:pStyle w:val="Heading1"/>
        <w:ind w:left="709" w:hanging="709"/>
        <w:rPr>
          <w:rFonts w:asciiTheme="minorHAnsi" w:hAnsiTheme="minorHAnsi"/>
          <w:b w:val="0"/>
        </w:rPr>
      </w:pPr>
      <w:r>
        <w:rPr>
          <w:rFonts w:asciiTheme="minorHAnsi" w:hAnsiTheme="minorHAnsi"/>
        </w:rPr>
        <w:t>Sponsor’s Comment</w:t>
      </w:r>
    </w:p>
    <w:p w:rsidR="009E2C4B" w:rsidRDefault="009E2C4B" w:rsidP="00987415">
      <w:pPr>
        <w:spacing w:after="120"/>
        <w:rPr>
          <w:rFonts w:asciiTheme="minorHAnsi" w:hAnsiTheme="minorHAnsi"/>
          <w:bCs/>
          <w:lang w:val="en-GB"/>
        </w:rPr>
      </w:pPr>
      <w:r>
        <w:rPr>
          <w:rFonts w:asciiTheme="minorHAnsi" w:hAnsiTheme="minorHAnsi"/>
          <w:bCs/>
          <w:lang w:val="en-GB"/>
        </w:rPr>
        <w:t>Ipsen will continue to work with the PBAC and Department of Health to ensure timely access for those patients who will most benefit from treatment with Dysport</w:t>
      </w:r>
      <w:r w:rsidR="00DB373E">
        <w:rPr>
          <w:rFonts w:asciiTheme="minorHAnsi" w:hAnsiTheme="minorHAnsi"/>
          <w:bCs/>
          <w:lang w:val="en-GB"/>
        </w:rPr>
        <w:t>.</w:t>
      </w:r>
    </w:p>
    <w:p w:rsidR="00987415" w:rsidRPr="00C07617" w:rsidRDefault="00987415" w:rsidP="00987415">
      <w:pPr>
        <w:spacing w:after="120"/>
        <w:rPr>
          <w:rFonts w:asciiTheme="minorHAnsi" w:hAnsiTheme="minorHAnsi"/>
          <w:bCs/>
        </w:rPr>
      </w:pPr>
    </w:p>
    <w:p w:rsidR="00267462" w:rsidRPr="00645D19" w:rsidRDefault="00267462" w:rsidP="00267462">
      <w:pPr>
        <w:rPr>
          <w:rFonts w:asciiTheme="minorHAnsi" w:hAnsiTheme="minorHAnsi"/>
          <w:b/>
          <w:bCs/>
        </w:rPr>
      </w:pPr>
    </w:p>
    <w:sectPr w:rsidR="00267462" w:rsidRPr="00645D19" w:rsidSect="005F5A7F">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67B21D" w16cid:durableId="1F854898"/>
  <w16cid:commentId w16cid:paraId="0F8D8BA6" w16cid:durableId="1F854B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891" w:rsidRDefault="00EA7891" w:rsidP="00124A51">
      <w:r>
        <w:separator/>
      </w:r>
    </w:p>
    <w:p w:rsidR="00EA7891" w:rsidRDefault="00EA7891"/>
  </w:endnote>
  <w:endnote w:type="continuationSeparator" w:id="0">
    <w:p w:rsidR="00EA7891" w:rsidRDefault="00EA7891" w:rsidP="00124A51">
      <w:r>
        <w:continuationSeparator/>
      </w:r>
    </w:p>
    <w:p w:rsidR="00EA7891" w:rsidRDefault="00EA7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91" w:rsidRDefault="00EA7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227184"/>
      <w:docPartObj>
        <w:docPartGallery w:val="Page Numbers (Bottom of Page)"/>
        <w:docPartUnique/>
      </w:docPartObj>
    </w:sdtPr>
    <w:sdtEndPr>
      <w:rPr>
        <w:noProof/>
      </w:rPr>
    </w:sdtEndPr>
    <w:sdtContent>
      <w:p w:rsidR="005726C4" w:rsidRDefault="005726C4">
        <w:pPr>
          <w:pStyle w:val="Footer"/>
          <w:jc w:val="center"/>
        </w:pPr>
        <w:r w:rsidRPr="00F022D2">
          <w:rPr>
            <w:b/>
          </w:rPr>
          <w:fldChar w:fldCharType="begin"/>
        </w:r>
        <w:r w:rsidRPr="00F022D2">
          <w:rPr>
            <w:b/>
          </w:rPr>
          <w:instrText xml:space="preserve"> PAGE   \* MERGEFORMAT </w:instrText>
        </w:r>
        <w:r w:rsidRPr="00F022D2">
          <w:rPr>
            <w:b/>
          </w:rPr>
          <w:fldChar w:fldCharType="separate"/>
        </w:r>
        <w:r w:rsidR="007C62FB">
          <w:rPr>
            <w:b/>
            <w:noProof/>
          </w:rPr>
          <w:t>25</w:t>
        </w:r>
        <w:r w:rsidRPr="00F022D2">
          <w:rPr>
            <w:b/>
            <w:noProof/>
          </w:rPr>
          <w:fldChar w:fldCharType="end"/>
        </w:r>
      </w:p>
    </w:sdtContent>
  </w:sdt>
  <w:p w:rsidR="005726C4" w:rsidRDefault="005726C4" w:rsidP="00A0088E">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91" w:rsidRDefault="00EA7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891" w:rsidRDefault="00EA7891" w:rsidP="00124A51">
      <w:r>
        <w:separator/>
      </w:r>
    </w:p>
    <w:p w:rsidR="00EA7891" w:rsidRDefault="00EA7891"/>
  </w:footnote>
  <w:footnote w:type="continuationSeparator" w:id="0">
    <w:p w:rsidR="00EA7891" w:rsidRDefault="00EA7891" w:rsidP="00124A51">
      <w:r>
        <w:continuationSeparator/>
      </w:r>
    </w:p>
    <w:p w:rsidR="00EA7891" w:rsidRDefault="00EA78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91" w:rsidRDefault="00EA7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6C4" w:rsidRPr="00F022D2" w:rsidRDefault="005726C4" w:rsidP="00F022D2">
    <w:pPr>
      <w:pStyle w:val="Header"/>
      <w:jc w:val="center"/>
      <w:rPr>
        <w:i/>
      </w:rPr>
    </w:pPr>
    <w:r>
      <w:rPr>
        <w:i/>
      </w:rPr>
      <w:t>Public Summary Document</w:t>
    </w:r>
    <w:r w:rsidRPr="00F022D2">
      <w:rPr>
        <w:i/>
      </w:rPr>
      <w:t xml:space="preserve"> – November 2018 PBAC Meeting</w:t>
    </w:r>
  </w:p>
  <w:p w:rsidR="005726C4" w:rsidRPr="00F022D2" w:rsidRDefault="005726C4" w:rsidP="00F022D2">
    <w:pPr>
      <w:pStyle w:val="Header"/>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91" w:rsidRDefault="00EA7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943E52"/>
    <w:multiLevelType w:val="hybridMultilevel"/>
    <w:tmpl w:val="39608D6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36D14CD"/>
    <w:multiLevelType w:val="hybridMultilevel"/>
    <w:tmpl w:val="9DE4AF60"/>
    <w:lvl w:ilvl="0" w:tplc="0C090003">
      <w:start w:val="1"/>
      <w:numFmt w:val="bullet"/>
      <w:lvlText w:val="o"/>
      <w:lvlJc w:val="left"/>
      <w:pPr>
        <w:ind w:left="717" w:hanging="360"/>
      </w:pPr>
      <w:rPr>
        <w:rFonts w:ascii="Courier New" w:hAnsi="Courier New" w:cs="Courier New"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45408"/>
    <w:multiLevelType w:val="hybridMultilevel"/>
    <w:tmpl w:val="ECD2C802"/>
    <w:lvl w:ilvl="0" w:tplc="0C090003">
      <w:start w:val="1"/>
      <w:numFmt w:val="bullet"/>
      <w:lvlText w:val="o"/>
      <w:lvlJc w:val="left"/>
      <w:pPr>
        <w:ind w:left="717" w:hanging="360"/>
      </w:pPr>
      <w:rPr>
        <w:rFonts w:ascii="Courier New" w:hAnsi="Courier New" w:cs="Courier New"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F40C61"/>
    <w:multiLevelType w:val="multilevel"/>
    <w:tmpl w:val="CED442D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5274F8"/>
    <w:multiLevelType w:val="hybridMultilevel"/>
    <w:tmpl w:val="26A842D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332278"/>
    <w:multiLevelType w:val="hybridMultilevel"/>
    <w:tmpl w:val="FAE82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F860CC"/>
    <w:multiLevelType w:val="multilevel"/>
    <w:tmpl w:val="8542C908"/>
    <w:lvl w:ilvl="0">
      <w:start w:val="1"/>
      <w:numFmt w:val="decimal"/>
      <w:lvlText w:val="%1"/>
      <w:lvlJc w:val="left"/>
      <w:pPr>
        <w:ind w:left="720" w:hanging="720"/>
      </w:pPr>
      <w:rPr>
        <w:rFonts w:hint="default"/>
        <w:b/>
      </w:rPr>
    </w:lvl>
    <w:lvl w:ilvl="1">
      <w:start w:val="1"/>
      <w:numFmt w:val="bullet"/>
      <w:lvlText w:val=""/>
      <w:lvlJc w:val="left"/>
      <w:pPr>
        <w:ind w:left="5824" w:hanging="720"/>
      </w:pPr>
      <w:rPr>
        <w:rFonts w:ascii="Symbol" w:hAnsi="Symbol" w:hint="default"/>
        <w:b w:val="0"/>
        <w:bCs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FE3D41"/>
    <w:multiLevelType w:val="hybridMultilevel"/>
    <w:tmpl w:val="2C5C4B6E"/>
    <w:lvl w:ilvl="0" w:tplc="48ECD7F8">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F07C4D"/>
    <w:multiLevelType w:val="multilevel"/>
    <w:tmpl w:val="CED442D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4112F0"/>
    <w:multiLevelType w:val="hybridMultilevel"/>
    <w:tmpl w:val="1F72B5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8763ED4"/>
    <w:multiLevelType w:val="hybridMultilevel"/>
    <w:tmpl w:val="AF364B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7C34E2"/>
    <w:multiLevelType w:val="hybridMultilevel"/>
    <w:tmpl w:val="52C49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442297"/>
    <w:multiLevelType w:val="hybridMultilevel"/>
    <w:tmpl w:val="31CA9D7A"/>
    <w:lvl w:ilvl="0" w:tplc="C324F4FC">
      <w:start w:val="1"/>
      <w:numFmt w:val="bullet"/>
      <w:pStyle w:val="Bulletpoints"/>
      <w:lvlText w:val=""/>
      <w:lvlJc w:val="left"/>
      <w:pPr>
        <w:ind w:left="720" w:hanging="360"/>
      </w:pPr>
      <w:rPr>
        <w:rFonts w:ascii="Symbol" w:hAnsi="Symbol" w:hint="default"/>
      </w:rPr>
    </w:lvl>
    <w:lvl w:ilvl="1" w:tplc="F488CFD6">
      <w:numFmt w:val="bullet"/>
      <w:pStyle w:val="Bulletpoints"/>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24C10"/>
    <w:multiLevelType w:val="hybridMultilevel"/>
    <w:tmpl w:val="98AEB6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2070D3"/>
    <w:multiLevelType w:val="multilevel"/>
    <w:tmpl w:val="8542C908"/>
    <w:lvl w:ilvl="0">
      <w:start w:val="1"/>
      <w:numFmt w:val="decimal"/>
      <w:lvlText w:val="%1"/>
      <w:lvlJc w:val="left"/>
      <w:pPr>
        <w:ind w:left="720" w:hanging="720"/>
      </w:pPr>
      <w:rPr>
        <w:rFonts w:hint="default"/>
        <w:b/>
      </w:rPr>
    </w:lvl>
    <w:lvl w:ilvl="1">
      <w:start w:val="1"/>
      <w:numFmt w:val="bullet"/>
      <w:lvlText w:val=""/>
      <w:lvlJc w:val="left"/>
      <w:pPr>
        <w:ind w:left="5824" w:hanging="720"/>
      </w:pPr>
      <w:rPr>
        <w:rFonts w:ascii="Symbol" w:hAnsi="Symbol" w:hint="default"/>
        <w:b w:val="0"/>
        <w:bCs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D40BAE"/>
    <w:multiLevelType w:val="hybridMultilevel"/>
    <w:tmpl w:val="F6B4E4C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63450810"/>
    <w:multiLevelType w:val="hybridMultilevel"/>
    <w:tmpl w:val="DE38A018"/>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6E0923BC"/>
    <w:multiLevelType w:val="hybridMultilevel"/>
    <w:tmpl w:val="12709C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32C26A3"/>
    <w:multiLevelType w:val="hybridMultilevel"/>
    <w:tmpl w:val="E3B2BFF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774E490D"/>
    <w:multiLevelType w:val="multilevel"/>
    <w:tmpl w:val="9C5636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4D033C"/>
    <w:multiLevelType w:val="multilevel"/>
    <w:tmpl w:val="F93CF62A"/>
    <w:lvl w:ilvl="0">
      <w:start w:val="1"/>
      <w:numFmt w:val="decimal"/>
      <w:pStyle w:val="PBACHeading1"/>
      <w:lvlText w:val="%1"/>
      <w:lvlJc w:val="left"/>
      <w:pPr>
        <w:ind w:left="3838" w:hanging="720"/>
      </w:pPr>
      <w:rPr>
        <w:rFonts w:hint="default"/>
        <w:b/>
      </w:rPr>
    </w:lvl>
    <w:lvl w:ilvl="1">
      <w:start w:val="1"/>
      <w:numFmt w:val="decimal"/>
      <w:pStyle w:val="ListParagraph"/>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3"/>
  </w:num>
  <w:num w:numId="3">
    <w:abstractNumId w:val="25"/>
  </w:num>
  <w:num w:numId="4">
    <w:abstractNumId w:val="16"/>
  </w:num>
  <w:num w:numId="5">
    <w:abstractNumId w:val="11"/>
  </w:num>
  <w:num w:numId="6">
    <w:abstractNumId w:val="13"/>
  </w:num>
  <w:num w:numId="7">
    <w:abstractNumId w:val="21"/>
  </w:num>
  <w:num w:numId="8">
    <w:abstractNumId w:val="1"/>
  </w:num>
  <w:num w:numId="9">
    <w:abstractNumId w:val="20"/>
  </w:num>
  <w:num w:numId="10">
    <w:abstractNumId w:val="22"/>
  </w:num>
  <w:num w:numId="11">
    <w:abstractNumId w:val="2"/>
  </w:num>
  <w:num w:numId="12">
    <w:abstractNumId w:val="4"/>
  </w:num>
  <w:num w:numId="13">
    <w:abstractNumId w:val="8"/>
  </w:num>
  <w:num w:numId="14">
    <w:abstractNumId w:val="23"/>
  </w:num>
  <w:num w:numId="15">
    <w:abstractNumId w:val="7"/>
  </w:num>
  <w:num w:numId="16">
    <w:abstractNumId w:val="17"/>
  </w:num>
  <w:num w:numId="17">
    <w:abstractNumId w:val="18"/>
  </w:num>
  <w:num w:numId="18">
    <w:abstractNumId w:val="5"/>
  </w:num>
  <w:num w:numId="19">
    <w:abstractNumId w:val="0"/>
  </w:num>
  <w:num w:numId="20">
    <w:abstractNumId w:val="9"/>
  </w:num>
  <w:num w:numId="21">
    <w:abstractNumId w:val="25"/>
  </w:num>
  <w:num w:numId="22">
    <w:abstractNumId w:val="25"/>
  </w:num>
  <w:num w:numId="23">
    <w:abstractNumId w:val="14"/>
  </w:num>
  <w:num w:numId="24">
    <w:abstractNumId w:val="25"/>
  </w:num>
  <w:num w:numId="25">
    <w:abstractNumId w:val="25"/>
  </w:num>
  <w:num w:numId="26">
    <w:abstractNumId w:val="25"/>
  </w:num>
  <w:num w:numId="27">
    <w:abstractNumId w:val="19"/>
  </w:num>
  <w:num w:numId="28">
    <w:abstractNumId w:val="12"/>
  </w:num>
  <w:num w:numId="29">
    <w:abstractNumId w:val="6"/>
  </w:num>
  <w:num w:numId="30">
    <w:abstractNumId w:val="24"/>
  </w:num>
  <w:num w:numId="31">
    <w:abstractNumId w:val="10"/>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0E4"/>
    <w:rsid w:val="00000331"/>
    <w:rsid w:val="00000491"/>
    <w:rsid w:val="00000790"/>
    <w:rsid w:val="0000110B"/>
    <w:rsid w:val="00001D0E"/>
    <w:rsid w:val="00003499"/>
    <w:rsid w:val="0000349E"/>
    <w:rsid w:val="000039B7"/>
    <w:rsid w:val="00003A89"/>
    <w:rsid w:val="00003C21"/>
    <w:rsid w:val="00005121"/>
    <w:rsid w:val="00005B1B"/>
    <w:rsid w:val="000064AC"/>
    <w:rsid w:val="000065B3"/>
    <w:rsid w:val="00007039"/>
    <w:rsid w:val="00007A74"/>
    <w:rsid w:val="00010B16"/>
    <w:rsid w:val="00010B2F"/>
    <w:rsid w:val="00010FBC"/>
    <w:rsid w:val="00011DA7"/>
    <w:rsid w:val="000129FB"/>
    <w:rsid w:val="00012AAD"/>
    <w:rsid w:val="00013247"/>
    <w:rsid w:val="000149FB"/>
    <w:rsid w:val="00014DF0"/>
    <w:rsid w:val="0001513D"/>
    <w:rsid w:val="000155B2"/>
    <w:rsid w:val="00015886"/>
    <w:rsid w:val="00015920"/>
    <w:rsid w:val="000162EF"/>
    <w:rsid w:val="00017DB4"/>
    <w:rsid w:val="000210B8"/>
    <w:rsid w:val="0002225F"/>
    <w:rsid w:val="00022F67"/>
    <w:rsid w:val="00023763"/>
    <w:rsid w:val="00024732"/>
    <w:rsid w:val="0002569F"/>
    <w:rsid w:val="00025A39"/>
    <w:rsid w:val="00025F83"/>
    <w:rsid w:val="000264B1"/>
    <w:rsid w:val="0002658D"/>
    <w:rsid w:val="0002681F"/>
    <w:rsid w:val="000269EC"/>
    <w:rsid w:val="000309A7"/>
    <w:rsid w:val="00031283"/>
    <w:rsid w:val="00031CF2"/>
    <w:rsid w:val="0003272F"/>
    <w:rsid w:val="00032C97"/>
    <w:rsid w:val="00032FD7"/>
    <w:rsid w:val="00033863"/>
    <w:rsid w:val="00034843"/>
    <w:rsid w:val="00034ECD"/>
    <w:rsid w:val="000359D2"/>
    <w:rsid w:val="00035A8D"/>
    <w:rsid w:val="00035DC0"/>
    <w:rsid w:val="00036829"/>
    <w:rsid w:val="00037C99"/>
    <w:rsid w:val="000402A0"/>
    <w:rsid w:val="00040895"/>
    <w:rsid w:val="00041671"/>
    <w:rsid w:val="00041FB9"/>
    <w:rsid w:val="00042365"/>
    <w:rsid w:val="00043C37"/>
    <w:rsid w:val="00045017"/>
    <w:rsid w:val="00045A2B"/>
    <w:rsid w:val="0004633A"/>
    <w:rsid w:val="0004698F"/>
    <w:rsid w:val="00046FBD"/>
    <w:rsid w:val="000478C4"/>
    <w:rsid w:val="000506E0"/>
    <w:rsid w:val="000515B3"/>
    <w:rsid w:val="00051CA9"/>
    <w:rsid w:val="00051FBD"/>
    <w:rsid w:val="00051FE1"/>
    <w:rsid w:val="000528C2"/>
    <w:rsid w:val="000539D0"/>
    <w:rsid w:val="00054621"/>
    <w:rsid w:val="000546D7"/>
    <w:rsid w:val="00055B0D"/>
    <w:rsid w:val="00056E09"/>
    <w:rsid w:val="00057759"/>
    <w:rsid w:val="00060756"/>
    <w:rsid w:val="00060888"/>
    <w:rsid w:val="00061802"/>
    <w:rsid w:val="00061B9C"/>
    <w:rsid w:val="00062176"/>
    <w:rsid w:val="00062457"/>
    <w:rsid w:val="0006414F"/>
    <w:rsid w:val="00064303"/>
    <w:rsid w:val="00065733"/>
    <w:rsid w:val="0006578E"/>
    <w:rsid w:val="00065982"/>
    <w:rsid w:val="00065B7F"/>
    <w:rsid w:val="00065FC8"/>
    <w:rsid w:val="00066360"/>
    <w:rsid w:val="00066779"/>
    <w:rsid w:val="000678A3"/>
    <w:rsid w:val="0006794C"/>
    <w:rsid w:val="00070C79"/>
    <w:rsid w:val="00070E75"/>
    <w:rsid w:val="00071248"/>
    <w:rsid w:val="000720B9"/>
    <w:rsid w:val="0007278D"/>
    <w:rsid w:val="000727C4"/>
    <w:rsid w:val="0007285F"/>
    <w:rsid w:val="00072DAD"/>
    <w:rsid w:val="000737F7"/>
    <w:rsid w:val="00073E8E"/>
    <w:rsid w:val="000746EC"/>
    <w:rsid w:val="00075449"/>
    <w:rsid w:val="000760FB"/>
    <w:rsid w:val="0007672F"/>
    <w:rsid w:val="000774F0"/>
    <w:rsid w:val="00080909"/>
    <w:rsid w:val="00080C2D"/>
    <w:rsid w:val="000812CA"/>
    <w:rsid w:val="0008258D"/>
    <w:rsid w:val="000831E9"/>
    <w:rsid w:val="00083653"/>
    <w:rsid w:val="0008395C"/>
    <w:rsid w:val="00083E99"/>
    <w:rsid w:val="00084016"/>
    <w:rsid w:val="0008516F"/>
    <w:rsid w:val="000856C5"/>
    <w:rsid w:val="00085B85"/>
    <w:rsid w:val="00087126"/>
    <w:rsid w:val="0008767B"/>
    <w:rsid w:val="000901C0"/>
    <w:rsid w:val="00090C7E"/>
    <w:rsid w:val="000925ED"/>
    <w:rsid w:val="00092600"/>
    <w:rsid w:val="0009262B"/>
    <w:rsid w:val="00092CE5"/>
    <w:rsid w:val="00093310"/>
    <w:rsid w:val="000936AB"/>
    <w:rsid w:val="000939CB"/>
    <w:rsid w:val="0009445C"/>
    <w:rsid w:val="00095FE5"/>
    <w:rsid w:val="00096284"/>
    <w:rsid w:val="0009682D"/>
    <w:rsid w:val="00096AAC"/>
    <w:rsid w:val="0009752A"/>
    <w:rsid w:val="000A06CE"/>
    <w:rsid w:val="000A0932"/>
    <w:rsid w:val="000A16CE"/>
    <w:rsid w:val="000A265B"/>
    <w:rsid w:val="000A2C82"/>
    <w:rsid w:val="000A332D"/>
    <w:rsid w:val="000A3A3B"/>
    <w:rsid w:val="000A3F88"/>
    <w:rsid w:val="000A40A2"/>
    <w:rsid w:val="000A4CB8"/>
    <w:rsid w:val="000A6050"/>
    <w:rsid w:val="000A66C4"/>
    <w:rsid w:val="000A6B5C"/>
    <w:rsid w:val="000A7731"/>
    <w:rsid w:val="000A7D08"/>
    <w:rsid w:val="000B0670"/>
    <w:rsid w:val="000B0D3B"/>
    <w:rsid w:val="000B0E75"/>
    <w:rsid w:val="000B1A0E"/>
    <w:rsid w:val="000B208D"/>
    <w:rsid w:val="000B2E78"/>
    <w:rsid w:val="000B33E1"/>
    <w:rsid w:val="000B4321"/>
    <w:rsid w:val="000B6CAC"/>
    <w:rsid w:val="000B711C"/>
    <w:rsid w:val="000B7612"/>
    <w:rsid w:val="000B7A25"/>
    <w:rsid w:val="000C03AB"/>
    <w:rsid w:val="000C2B40"/>
    <w:rsid w:val="000C2B91"/>
    <w:rsid w:val="000C2CF9"/>
    <w:rsid w:val="000C3246"/>
    <w:rsid w:val="000C3587"/>
    <w:rsid w:val="000C3A13"/>
    <w:rsid w:val="000C3DF9"/>
    <w:rsid w:val="000C4450"/>
    <w:rsid w:val="000C5805"/>
    <w:rsid w:val="000C6713"/>
    <w:rsid w:val="000C678C"/>
    <w:rsid w:val="000C7200"/>
    <w:rsid w:val="000D13DC"/>
    <w:rsid w:val="000D1BFC"/>
    <w:rsid w:val="000D281A"/>
    <w:rsid w:val="000D3149"/>
    <w:rsid w:val="000D326A"/>
    <w:rsid w:val="000D4CD1"/>
    <w:rsid w:val="000D51FB"/>
    <w:rsid w:val="000D5EE0"/>
    <w:rsid w:val="000D70DC"/>
    <w:rsid w:val="000E0D67"/>
    <w:rsid w:val="000E1058"/>
    <w:rsid w:val="000E135D"/>
    <w:rsid w:val="000E14E5"/>
    <w:rsid w:val="000E2073"/>
    <w:rsid w:val="000E2E64"/>
    <w:rsid w:val="000E3032"/>
    <w:rsid w:val="000E3F2C"/>
    <w:rsid w:val="000E43E0"/>
    <w:rsid w:val="000E4E85"/>
    <w:rsid w:val="000E539F"/>
    <w:rsid w:val="000E5FF9"/>
    <w:rsid w:val="000E7233"/>
    <w:rsid w:val="000F00BA"/>
    <w:rsid w:val="000F195F"/>
    <w:rsid w:val="000F1C8A"/>
    <w:rsid w:val="000F1E55"/>
    <w:rsid w:val="000F2A8B"/>
    <w:rsid w:val="000F316A"/>
    <w:rsid w:val="000F38D6"/>
    <w:rsid w:val="000F3AC7"/>
    <w:rsid w:val="000F3C74"/>
    <w:rsid w:val="000F40F2"/>
    <w:rsid w:val="000F42EC"/>
    <w:rsid w:val="000F4BB8"/>
    <w:rsid w:val="000F4C02"/>
    <w:rsid w:val="000F55B0"/>
    <w:rsid w:val="000F5867"/>
    <w:rsid w:val="000F6058"/>
    <w:rsid w:val="000F6293"/>
    <w:rsid w:val="000F7127"/>
    <w:rsid w:val="000F7B8B"/>
    <w:rsid w:val="00100F8A"/>
    <w:rsid w:val="00102A9B"/>
    <w:rsid w:val="00102D55"/>
    <w:rsid w:val="00102DE1"/>
    <w:rsid w:val="0010505C"/>
    <w:rsid w:val="00105625"/>
    <w:rsid w:val="00105AE2"/>
    <w:rsid w:val="0010604E"/>
    <w:rsid w:val="0010684D"/>
    <w:rsid w:val="00106B80"/>
    <w:rsid w:val="00106D10"/>
    <w:rsid w:val="00107C31"/>
    <w:rsid w:val="0011032E"/>
    <w:rsid w:val="0011107A"/>
    <w:rsid w:val="00112445"/>
    <w:rsid w:val="001124A4"/>
    <w:rsid w:val="00112C74"/>
    <w:rsid w:val="0011348B"/>
    <w:rsid w:val="00114B88"/>
    <w:rsid w:val="00115370"/>
    <w:rsid w:val="00115551"/>
    <w:rsid w:val="001158F8"/>
    <w:rsid w:val="00115982"/>
    <w:rsid w:val="0011624B"/>
    <w:rsid w:val="0011663B"/>
    <w:rsid w:val="00116C53"/>
    <w:rsid w:val="00117B24"/>
    <w:rsid w:val="0012124F"/>
    <w:rsid w:val="00121736"/>
    <w:rsid w:val="00121799"/>
    <w:rsid w:val="001222FC"/>
    <w:rsid w:val="00123AC9"/>
    <w:rsid w:val="00123B49"/>
    <w:rsid w:val="001242BE"/>
    <w:rsid w:val="001249BB"/>
    <w:rsid w:val="00124A29"/>
    <w:rsid w:val="00124A51"/>
    <w:rsid w:val="00124B4D"/>
    <w:rsid w:val="00124BD1"/>
    <w:rsid w:val="00125556"/>
    <w:rsid w:val="00126621"/>
    <w:rsid w:val="0012724C"/>
    <w:rsid w:val="001301E9"/>
    <w:rsid w:val="001306DF"/>
    <w:rsid w:val="00130F50"/>
    <w:rsid w:val="00130F71"/>
    <w:rsid w:val="00131D82"/>
    <w:rsid w:val="0013266A"/>
    <w:rsid w:val="00132944"/>
    <w:rsid w:val="001329A9"/>
    <w:rsid w:val="001334D2"/>
    <w:rsid w:val="00133748"/>
    <w:rsid w:val="00133D36"/>
    <w:rsid w:val="001347D8"/>
    <w:rsid w:val="00135CD0"/>
    <w:rsid w:val="0013607E"/>
    <w:rsid w:val="001368B8"/>
    <w:rsid w:val="00137645"/>
    <w:rsid w:val="0014015A"/>
    <w:rsid w:val="00140E99"/>
    <w:rsid w:val="00141789"/>
    <w:rsid w:val="0014274A"/>
    <w:rsid w:val="00143A37"/>
    <w:rsid w:val="001443A1"/>
    <w:rsid w:val="00145540"/>
    <w:rsid w:val="001456B0"/>
    <w:rsid w:val="00145778"/>
    <w:rsid w:val="0014750A"/>
    <w:rsid w:val="001503F5"/>
    <w:rsid w:val="00150680"/>
    <w:rsid w:val="001511E3"/>
    <w:rsid w:val="001519B5"/>
    <w:rsid w:val="0015283E"/>
    <w:rsid w:val="00152A69"/>
    <w:rsid w:val="001536A5"/>
    <w:rsid w:val="00153771"/>
    <w:rsid w:val="00154143"/>
    <w:rsid w:val="001544DD"/>
    <w:rsid w:val="00154B81"/>
    <w:rsid w:val="00155055"/>
    <w:rsid w:val="00157130"/>
    <w:rsid w:val="001574F3"/>
    <w:rsid w:val="001576B1"/>
    <w:rsid w:val="00160A4C"/>
    <w:rsid w:val="00162913"/>
    <w:rsid w:val="00162FFF"/>
    <w:rsid w:val="00163EFF"/>
    <w:rsid w:val="001649CF"/>
    <w:rsid w:val="00165CCB"/>
    <w:rsid w:val="00165DB8"/>
    <w:rsid w:val="001661FB"/>
    <w:rsid w:val="00167819"/>
    <w:rsid w:val="00170785"/>
    <w:rsid w:val="00170A32"/>
    <w:rsid w:val="0017188B"/>
    <w:rsid w:val="00173565"/>
    <w:rsid w:val="00173B07"/>
    <w:rsid w:val="001774CB"/>
    <w:rsid w:val="001811C7"/>
    <w:rsid w:val="0018145B"/>
    <w:rsid w:val="001818FE"/>
    <w:rsid w:val="00181D9C"/>
    <w:rsid w:val="00181EB1"/>
    <w:rsid w:val="00182175"/>
    <w:rsid w:val="0018241C"/>
    <w:rsid w:val="0018338B"/>
    <w:rsid w:val="001857E3"/>
    <w:rsid w:val="001866AC"/>
    <w:rsid w:val="0018752F"/>
    <w:rsid w:val="00192C57"/>
    <w:rsid w:val="00193023"/>
    <w:rsid w:val="001940AC"/>
    <w:rsid w:val="00195222"/>
    <w:rsid w:val="001954AB"/>
    <w:rsid w:val="00195ADD"/>
    <w:rsid w:val="00196B9E"/>
    <w:rsid w:val="001975D8"/>
    <w:rsid w:val="00197D34"/>
    <w:rsid w:val="001A0015"/>
    <w:rsid w:val="001A0143"/>
    <w:rsid w:val="001A01F9"/>
    <w:rsid w:val="001A0CB2"/>
    <w:rsid w:val="001A13B9"/>
    <w:rsid w:val="001A2DB8"/>
    <w:rsid w:val="001A352C"/>
    <w:rsid w:val="001A3BBB"/>
    <w:rsid w:val="001A3F51"/>
    <w:rsid w:val="001A43FA"/>
    <w:rsid w:val="001A5444"/>
    <w:rsid w:val="001A59FB"/>
    <w:rsid w:val="001A6354"/>
    <w:rsid w:val="001A7AE8"/>
    <w:rsid w:val="001B05FA"/>
    <w:rsid w:val="001B0849"/>
    <w:rsid w:val="001B0A69"/>
    <w:rsid w:val="001B0FC2"/>
    <w:rsid w:val="001B1F46"/>
    <w:rsid w:val="001B204E"/>
    <w:rsid w:val="001B216E"/>
    <w:rsid w:val="001B247C"/>
    <w:rsid w:val="001B2C5F"/>
    <w:rsid w:val="001B338A"/>
    <w:rsid w:val="001B3443"/>
    <w:rsid w:val="001B3C3B"/>
    <w:rsid w:val="001B3E0D"/>
    <w:rsid w:val="001B4D20"/>
    <w:rsid w:val="001B4E08"/>
    <w:rsid w:val="001B5488"/>
    <w:rsid w:val="001B5833"/>
    <w:rsid w:val="001B583F"/>
    <w:rsid w:val="001C01D1"/>
    <w:rsid w:val="001C1357"/>
    <w:rsid w:val="001C183F"/>
    <w:rsid w:val="001C1AAB"/>
    <w:rsid w:val="001C2A9B"/>
    <w:rsid w:val="001C2C46"/>
    <w:rsid w:val="001C3B66"/>
    <w:rsid w:val="001C4299"/>
    <w:rsid w:val="001C5F94"/>
    <w:rsid w:val="001C6E66"/>
    <w:rsid w:val="001C736D"/>
    <w:rsid w:val="001C764D"/>
    <w:rsid w:val="001C79FC"/>
    <w:rsid w:val="001D04C7"/>
    <w:rsid w:val="001D19CC"/>
    <w:rsid w:val="001D2049"/>
    <w:rsid w:val="001D2F02"/>
    <w:rsid w:val="001D3EDD"/>
    <w:rsid w:val="001D43A0"/>
    <w:rsid w:val="001D580E"/>
    <w:rsid w:val="001D61B9"/>
    <w:rsid w:val="001D63FE"/>
    <w:rsid w:val="001D77F0"/>
    <w:rsid w:val="001D7A85"/>
    <w:rsid w:val="001D7BB5"/>
    <w:rsid w:val="001E0100"/>
    <w:rsid w:val="001E0960"/>
    <w:rsid w:val="001E0FFC"/>
    <w:rsid w:val="001E1B05"/>
    <w:rsid w:val="001E238E"/>
    <w:rsid w:val="001E2483"/>
    <w:rsid w:val="001E2B1E"/>
    <w:rsid w:val="001E30D4"/>
    <w:rsid w:val="001E417B"/>
    <w:rsid w:val="001E43A8"/>
    <w:rsid w:val="001E5295"/>
    <w:rsid w:val="001E52EB"/>
    <w:rsid w:val="001E61D2"/>
    <w:rsid w:val="001E6542"/>
    <w:rsid w:val="001E6689"/>
    <w:rsid w:val="001E6DC7"/>
    <w:rsid w:val="001E740C"/>
    <w:rsid w:val="001F05CD"/>
    <w:rsid w:val="001F0620"/>
    <w:rsid w:val="001F09E4"/>
    <w:rsid w:val="001F1235"/>
    <w:rsid w:val="001F1300"/>
    <w:rsid w:val="001F1C34"/>
    <w:rsid w:val="001F1CB3"/>
    <w:rsid w:val="001F23DB"/>
    <w:rsid w:val="001F23E0"/>
    <w:rsid w:val="001F30A4"/>
    <w:rsid w:val="001F30F6"/>
    <w:rsid w:val="001F3100"/>
    <w:rsid w:val="001F324D"/>
    <w:rsid w:val="001F38B5"/>
    <w:rsid w:val="001F570B"/>
    <w:rsid w:val="001F576B"/>
    <w:rsid w:val="001F5BC1"/>
    <w:rsid w:val="001F6133"/>
    <w:rsid w:val="001F7361"/>
    <w:rsid w:val="001F7F68"/>
    <w:rsid w:val="002002ED"/>
    <w:rsid w:val="002011B0"/>
    <w:rsid w:val="00201D90"/>
    <w:rsid w:val="002021A1"/>
    <w:rsid w:val="002024FC"/>
    <w:rsid w:val="00203181"/>
    <w:rsid w:val="00203783"/>
    <w:rsid w:val="0020385F"/>
    <w:rsid w:val="00203BE8"/>
    <w:rsid w:val="00204D01"/>
    <w:rsid w:val="0020686A"/>
    <w:rsid w:val="00206DC8"/>
    <w:rsid w:val="00207021"/>
    <w:rsid w:val="0020732F"/>
    <w:rsid w:val="00207D00"/>
    <w:rsid w:val="002105C1"/>
    <w:rsid w:val="002114FE"/>
    <w:rsid w:val="00211552"/>
    <w:rsid w:val="00211C7A"/>
    <w:rsid w:val="002120E8"/>
    <w:rsid w:val="0021212F"/>
    <w:rsid w:val="00213370"/>
    <w:rsid w:val="00213ADD"/>
    <w:rsid w:val="00213EF4"/>
    <w:rsid w:val="00215FA0"/>
    <w:rsid w:val="0021676A"/>
    <w:rsid w:val="00217A90"/>
    <w:rsid w:val="00220391"/>
    <w:rsid w:val="0022090E"/>
    <w:rsid w:val="00220A55"/>
    <w:rsid w:val="0022207A"/>
    <w:rsid w:val="00223850"/>
    <w:rsid w:val="00223B49"/>
    <w:rsid w:val="00224DD4"/>
    <w:rsid w:val="0022767B"/>
    <w:rsid w:val="00230496"/>
    <w:rsid w:val="002309CC"/>
    <w:rsid w:val="0023125A"/>
    <w:rsid w:val="002317E9"/>
    <w:rsid w:val="00231BFF"/>
    <w:rsid w:val="0023209F"/>
    <w:rsid w:val="00233BAF"/>
    <w:rsid w:val="0023429E"/>
    <w:rsid w:val="0023496D"/>
    <w:rsid w:val="00235A0F"/>
    <w:rsid w:val="0023629D"/>
    <w:rsid w:val="002368F0"/>
    <w:rsid w:val="00236ADA"/>
    <w:rsid w:val="00237255"/>
    <w:rsid w:val="00237DDC"/>
    <w:rsid w:val="00240C28"/>
    <w:rsid w:val="00242089"/>
    <w:rsid w:val="00242241"/>
    <w:rsid w:val="002424AF"/>
    <w:rsid w:val="002439DC"/>
    <w:rsid w:val="00243E59"/>
    <w:rsid w:val="002446F3"/>
    <w:rsid w:val="00244DA6"/>
    <w:rsid w:val="00244DC8"/>
    <w:rsid w:val="0024543C"/>
    <w:rsid w:val="002458BA"/>
    <w:rsid w:val="0024636C"/>
    <w:rsid w:val="00247925"/>
    <w:rsid w:val="00247FF6"/>
    <w:rsid w:val="0025049B"/>
    <w:rsid w:val="00251E1D"/>
    <w:rsid w:val="00252740"/>
    <w:rsid w:val="002548A1"/>
    <w:rsid w:val="00254CFD"/>
    <w:rsid w:val="00254DCF"/>
    <w:rsid w:val="0025534B"/>
    <w:rsid w:val="00255514"/>
    <w:rsid w:val="00255BB7"/>
    <w:rsid w:val="00255DC9"/>
    <w:rsid w:val="00257541"/>
    <w:rsid w:val="00260E99"/>
    <w:rsid w:val="00261BF3"/>
    <w:rsid w:val="00262A1A"/>
    <w:rsid w:val="00262A87"/>
    <w:rsid w:val="002634DA"/>
    <w:rsid w:val="00263C04"/>
    <w:rsid w:val="00264D26"/>
    <w:rsid w:val="0026553A"/>
    <w:rsid w:val="00266390"/>
    <w:rsid w:val="002667D1"/>
    <w:rsid w:val="00266C73"/>
    <w:rsid w:val="00267462"/>
    <w:rsid w:val="00267642"/>
    <w:rsid w:val="00267AEA"/>
    <w:rsid w:val="002700E6"/>
    <w:rsid w:val="00270D3B"/>
    <w:rsid w:val="00271A80"/>
    <w:rsid w:val="00271E50"/>
    <w:rsid w:val="0027294B"/>
    <w:rsid w:val="00272CFF"/>
    <w:rsid w:val="00273595"/>
    <w:rsid w:val="002736C1"/>
    <w:rsid w:val="002738C0"/>
    <w:rsid w:val="0027502F"/>
    <w:rsid w:val="00275C5A"/>
    <w:rsid w:val="0028002C"/>
    <w:rsid w:val="0028031F"/>
    <w:rsid w:val="00280AFA"/>
    <w:rsid w:val="00280E9F"/>
    <w:rsid w:val="00281014"/>
    <w:rsid w:val="002812FB"/>
    <w:rsid w:val="002813CD"/>
    <w:rsid w:val="00281E0A"/>
    <w:rsid w:val="00282C1E"/>
    <w:rsid w:val="002849A8"/>
    <w:rsid w:val="00284C7D"/>
    <w:rsid w:val="00286418"/>
    <w:rsid w:val="00287146"/>
    <w:rsid w:val="00287AB9"/>
    <w:rsid w:val="00287B78"/>
    <w:rsid w:val="0029179A"/>
    <w:rsid w:val="00291A09"/>
    <w:rsid w:val="00291D95"/>
    <w:rsid w:val="00292BFE"/>
    <w:rsid w:val="0029330D"/>
    <w:rsid w:val="00293404"/>
    <w:rsid w:val="00293769"/>
    <w:rsid w:val="0029495B"/>
    <w:rsid w:val="0029500C"/>
    <w:rsid w:val="00295CF5"/>
    <w:rsid w:val="00296914"/>
    <w:rsid w:val="002A0EB8"/>
    <w:rsid w:val="002A0FCE"/>
    <w:rsid w:val="002A119C"/>
    <w:rsid w:val="002A14AB"/>
    <w:rsid w:val="002A2F50"/>
    <w:rsid w:val="002A58FB"/>
    <w:rsid w:val="002A594E"/>
    <w:rsid w:val="002A708A"/>
    <w:rsid w:val="002A776B"/>
    <w:rsid w:val="002B09A4"/>
    <w:rsid w:val="002B1C1F"/>
    <w:rsid w:val="002B251C"/>
    <w:rsid w:val="002B383E"/>
    <w:rsid w:val="002B432F"/>
    <w:rsid w:val="002B4483"/>
    <w:rsid w:val="002B5647"/>
    <w:rsid w:val="002B5B63"/>
    <w:rsid w:val="002B62B3"/>
    <w:rsid w:val="002B62FF"/>
    <w:rsid w:val="002B6754"/>
    <w:rsid w:val="002B6CCE"/>
    <w:rsid w:val="002B6DE9"/>
    <w:rsid w:val="002B757F"/>
    <w:rsid w:val="002C0338"/>
    <w:rsid w:val="002C071F"/>
    <w:rsid w:val="002C0ADB"/>
    <w:rsid w:val="002C0F8B"/>
    <w:rsid w:val="002C2510"/>
    <w:rsid w:val="002C2775"/>
    <w:rsid w:val="002C27C1"/>
    <w:rsid w:val="002C2800"/>
    <w:rsid w:val="002C31E3"/>
    <w:rsid w:val="002C38DE"/>
    <w:rsid w:val="002C45A5"/>
    <w:rsid w:val="002C4CAC"/>
    <w:rsid w:val="002C5099"/>
    <w:rsid w:val="002C5889"/>
    <w:rsid w:val="002C61EB"/>
    <w:rsid w:val="002C6CB1"/>
    <w:rsid w:val="002C6DCE"/>
    <w:rsid w:val="002C71CE"/>
    <w:rsid w:val="002D1DC7"/>
    <w:rsid w:val="002D2B25"/>
    <w:rsid w:val="002D2D09"/>
    <w:rsid w:val="002D36F9"/>
    <w:rsid w:val="002D3C18"/>
    <w:rsid w:val="002D52D0"/>
    <w:rsid w:val="002D577C"/>
    <w:rsid w:val="002D6350"/>
    <w:rsid w:val="002D6515"/>
    <w:rsid w:val="002D79EA"/>
    <w:rsid w:val="002D7D4F"/>
    <w:rsid w:val="002E0FF1"/>
    <w:rsid w:val="002E15B9"/>
    <w:rsid w:val="002E1715"/>
    <w:rsid w:val="002E1DC7"/>
    <w:rsid w:val="002E1EB7"/>
    <w:rsid w:val="002E20E6"/>
    <w:rsid w:val="002E2158"/>
    <w:rsid w:val="002E219C"/>
    <w:rsid w:val="002E2546"/>
    <w:rsid w:val="002E330D"/>
    <w:rsid w:val="002E3A44"/>
    <w:rsid w:val="002E4490"/>
    <w:rsid w:val="002E476B"/>
    <w:rsid w:val="002E5592"/>
    <w:rsid w:val="002E5B5C"/>
    <w:rsid w:val="002E5EBC"/>
    <w:rsid w:val="002E6428"/>
    <w:rsid w:val="002E6ED8"/>
    <w:rsid w:val="002E7722"/>
    <w:rsid w:val="002F0271"/>
    <w:rsid w:val="002F02C3"/>
    <w:rsid w:val="002F05E0"/>
    <w:rsid w:val="002F07BA"/>
    <w:rsid w:val="002F0D13"/>
    <w:rsid w:val="002F0DA9"/>
    <w:rsid w:val="002F113E"/>
    <w:rsid w:val="002F15E2"/>
    <w:rsid w:val="002F216F"/>
    <w:rsid w:val="002F2BA8"/>
    <w:rsid w:val="002F319D"/>
    <w:rsid w:val="002F3597"/>
    <w:rsid w:val="002F39F2"/>
    <w:rsid w:val="002F3F97"/>
    <w:rsid w:val="002F44C8"/>
    <w:rsid w:val="002F561C"/>
    <w:rsid w:val="002F643C"/>
    <w:rsid w:val="002F6518"/>
    <w:rsid w:val="002F71C0"/>
    <w:rsid w:val="002F72A4"/>
    <w:rsid w:val="002F78F6"/>
    <w:rsid w:val="002F7E4E"/>
    <w:rsid w:val="003007B5"/>
    <w:rsid w:val="00301017"/>
    <w:rsid w:val="003012F1"/>
    <w:rsid w:val="0030155F"/>
    <w:rsid w:val="00301B76"/>
    <w:rsid w:val="003021F0"/>
    <w:rsid w:val="00302A3B"/>
    <w:rsid w:val="00303C47"/>
    <w:rsid w:val="00304D11"/>
    <w:rsid w:val="0030526E"/>
    <w:rsid w:val="0030587B"/>
    <w:rsid w:val="00305958"/>
    <w:rsid w:val="00305966"/>
    <w:rsid w:val="003067D8"/>
    <w:rsid w:val="00306D98"/>
    <w:rsid w:val="0030786C"/>
    <w:rsid w:val="0031031A"/>
    <w:rsid w:val="003105AA"/>
    <w:rsid w:val="00310981"/>
    <w:rsid w:val="00310A60"/>
    <w:rsid w:val="00310FB6"/>
    <w:rsid w:val="0031147E"/>
    <w:rsid w:val="00312E89"/>
    <w:rsid w:val="00313324"/>
    <w:rsid w:val="00313C7F"/>
    <w:rsid w:val="003149DA"/>
    <w:rsid w:val="00315498"/>
    <w:rsid w:val="003158E5"/>
    <w:rsid w:val="00316108"/>
    <w:rsid w:val="00316FFE"/>
    <w:rsid w:val="00317CC9"/>
    <w:rsid w:val="0032191A"/>
    <w:rsid w:val="00321C3E"/>
    <w:rsid w:val="00321CFF"/>
    <w:rsid w:val="00322107"/>
    <w:rsid w:val="00322173"/>
    <w:rsid w:val="00322846"/>
    <w:rsid w:val="00323AC1"/>
    <w:rsid w:val="003248BB"/>
    <w:rsid w:val="003253F9"/>
    <w:rsid w:val="0032570C"/>
    <w:rsid w:val="003266BB"/>
    <w:rsid w:val="00326DA7"/>
    <w:rsid w:val="003270E4"/>
    <w:rsid w:val="00330A64"/>
    <w:rsid w:val="00330F5C"/>
    <w:rsid w:val="003319C0"/>
    <w:rsid w:val="0033367D"/>
    <w:rsid w:val="00333B71"/>
    <w:rsid w:val="00333C6C"/>
    <w:rsid w:val="003340C4"/>
    <w:rsid w:val="003357E1"/>
    <w:rsid w:val="003366C9"/>
    <w:rsid w:val="00336803"/>
    <w:rsid w:val="00336E1E"/>
    <w:rsid w:val="003371B0"/>
    <w:rsid w:val="0033768F"/>
    <w:rsid w:val="00337F45"/>
    <w:rsid w:val="00340DF1"/>
    <w:rsid w:val="0034158B"/>
    <w:rsid w:val="0034254E"/>
    <w:rsid w:val="00342811"/>
    <w:rsid w:val="003436E3"/>
    <w:rsid w:val="003447B1"/>
    <w:rsid w:val="0034520F"/>
    <w:rsid w:val="003457E1"/>
    <w:rsid w:val="00345E8F"/>
    <w:rsid w:val="00351229"/>
    <w:rsid w:val="003517F9"/>
    <w:rsid w:val="00351889"/>
    <w:rsid w:val="00351C35"/>
    <w:rsid w:val="00352559"/>
    <w:rsid w:val="00353679"/>
    <w:rsid w:val="003537E5"/>
    <w:rsid w:val="00353983"/>
    <w:rsid w:val="003549EA"/>
    <w:rsid w:val="00355519"/>
    <w:rsid w:val="00355790"/>
    <w:rsid w:val="0035620E"/>
    <w:rsid w:val="003565E1"/>
    <w:rsid w:val="003571DB"/>
    <w:rsid w:val="00357658"/>
    <w:rsid w:val="00357E03"/>
    <w:rsid w:val="003600D3"/>
    <w:rsid w:val="0036018A"/>
    <w:rsid w:val="00360F61"/>
    <w:rsid w:val="003624C4"/>
    <w:rsid w:val="003637EB"/>
    <w:rsid w:val="00364550"/>
    <w:rsid w:val="003654AC"/>
    <w:rsid w:val="003657B5"/>
    <w:rsid w:val="00365B22"/>
    <w:rsid w:val="003661B8"/>
    <w:rsid w:val="00366E3B"/>
    <w:rsid w:val="003700BC"/>
    <w:rsid w:val="003708E3"/>
    <w:rsid w:val="00370E93"/>
    <w:rsid w:val="003710CF"/>
    <w:rsid w:val="003713A6"/>
    <w:rsid w:val="0037204F"/>
    <w:rsid w:val="00372D41"/>
    <w:rsid w:val="00372D58"/>
    <w:rsid w:val="0037300B"/>
    <w:rsid w:val="003730BB"/>
    <w:rsid w:val="0037358A"/>
    <w:rsid w:val="003750F6"/>
    <w:rsid w:val="0037599B"/>
    <w:rsid w:val="003760FC"/>
    <w:rsid w:val="0037663C"/>
    <w:rsid w:val="00376958"/>
    <w:rsid w:val="003770C5"/>
    <w:rsid w:val="003770E7"/>
    <w:rsid w:val="00377601"/>
    <w:rsid w:val="0037781B"/>
    <w:rsid w:val="0038292A"/>
    <w:rsid w:val="00382E5F"/>
    <w:rsid w:val="00383253"/>
    <w:rsid w:val="0038365C"/>
    <w:rsid w:val="0038369B"/>
    <w:rsid w:val="00383B78"/>
    <w:rsid w:val="00383DA4"/>
    <w:rsid w:val="00384C49"/>
    <w:rsid w:val="00385A9D"/>
    <w:rsid w:val="00385ED9"/>
    <w:rsid w:val="003865E6"/>
    <w:rsid w:val="00386776"/>
    <w:rsid w:val="00386AF5"/>
    <w:rsid w:val="003902B1"/>
    <w:rsid w:val="0039059D"/>
    <w:rsid w:val="00390EEC"/>
    <w:rsid w:val="003914B2"/>
    <w:rsid w:val="00391C3B"/>
    <w:rsid w:val="00392F61"/>
    <w:rsid w:val="0039346E"/>
    <w:rsid w:val="00393489"/>
    <w:rsid w:val="00393F9A"/>
    <w:rsid w:val="003944A7"/>
    <w:rsid w:val="00395306"/>
    <w:rsid w:val="003962A6"/>
    <w:rsid w:val="00396340"/>
    <w:rsid w:val="00396896"/>
    <w:rsid w:val="00396E27"/>
    <w:rsid w:val="00396FD0"/>
    <w:rsid w:val="00397FF4"/>
    <w:rsid w:val="003A1A7A"/>
    <w:rsid w:val="003A2392"/>
    <w:rsid w:val="003A2831"/>
    <w:rsid w:val="003A3ED1"/>
    <w:rsid w:val="003A4712"/>
    <w:rsid w:val="003A475D"/>
    <w:rsid w:val="003A5AD6"/>
    <w:rsid w:val="003A5BE1"/>
    <w:rsid w:val="003B09C0"/>
    <w:rsid w:val="003B1235"/>
    <w:rsid w:val="003B21CC"/>
    <w:rsid w:val="003B28C0"/>
    <w:rsid w:val="003B2F3E"/>
    <w:rsid w:val="003B3314"/>
    <w:rsid w:val="003B33BB"/>
    <w:rsid w:val="003B45CA"/>
    <w:rsid w:val="003B509D"/>
    <w:rsid w:val="003B5225"/>
    <w:rsid w:val="003B58A6"/>
    <w:rsid w:val="003B5B61"/>
    <w:rsid w:val="003B604E"/>
    <w:rsid w:val="003B73BE"/>
    <w:rsid w:val="003C0C21"/>
    <w:rsid w:val="003C1654"/>
    <w:rsid w:val="003C1796"/>
    <w:rsid w:val="003C194E"/>
    <w:rsid w:val="003C2596"/>
    <w:rsid w:val="003C439F"/>
    <w:rsid w:val="003C5605"/>
    <w:rsid w:val="003C71A1"/>
    <w:rsid w:val="003C753B"/>
    <w:rsid w:val="003C7D19"/>
    <w:rsid w:val="003C7FD9"/>
    <w:rsid w:val="003D0726"/>
    <w:rsid w:val="003D0911"/>
    <w:rsid w:val="003D1828"/>
    <w:rsid w:val="003D1919"/>
    <w:rsid w:val="003D1DE4"/>
    <w:rsid w:val="003D2422"/>
    <w:rsid w:val="003D39A1"/>
    <w:rsid w:val="003D3AF8"/>
    <w:rsid w:val="003D3D63"/>
    <w:rsid w:val="003D3FBF"/>
    <w:rsid w:val="003D4A30"/>
    <w:rsid w:val="003D4CB0"/>
    <w:rsid w:val="003D5EED"/>
    <w:rsid w:val="003D72A2"/>
    <w:rsid w:val="003D7371"/>
    <w:rsid w:val="003D79BB"/>
    <w:rsid w:val="003D7C98"/>
    <w:rsid w:val="003E0543"/>
    <w:rsid w:val="003E256B"/>
    <w:rsid w:val="003E307A"/>
    <w:rsid w:val="003E347C"/>
    <w:rsid w:val="003E35E8"/>
    <w:rsid w:val="003E375C"/>
    <w:rsid w:val="003E3DD1"/>
    <w:rsid w:val="003E4102"/>
    <w:rsid w:val="003E481F"/>
    <w:rsid w:val="003E62A0"/>
    <w:rsid w:val="003E690A"/>
    <w:rsid w:val="003E6E21"/>
    <w:rsid w:val="003F0BDE"/>
    <w:rsid w:val="003F1021"/>
    <w:rsid w:val="003F20ED"/>
    <w:rsid w:val="003F3DDB"/>
    <w:rsid w:val="003F4156"/>
    <w:rsid w:val="003F520A"/>
    <w:rsid w:val="003F526B"/>
    <w:rsid w:val="003F6136"/>
    <w:rsid w:val="003F6480"/>
    <w:rsid w:val="003F7270"/>
    <w:rsid w:val="003F7817"/>
    <w:rsid w:val="003F7D8C"/>
    <w:rsid w:val="004006B0"/>
    <w:rsid w:val="00400B29"/>
    <w:rsid w:val="00400E53"/>
    <w:rsid w:val="00400EC9"/>
    <w:rsid w:val="0040173E"/>
    <w:rsid w:val="0040229C"/>
    <w:rsid w:val="00402A86"/>
    <w:rsid w:val="00402B32"/>
    <w:rsid w:val="00402C74"/>
    <w:rsid w:val="004049A2"/>
    <w:rsid w:val="0040504B"/>
    <w:rsid w:val="0041042E"/>
    <w:rsid w:val="004105EF"/>
    <w:rsid w:val="00410708"/>
    <w:rsid w:val="00410EC7"/>
    <w:rsid w:val="00411B39"/>
    <w:rsid w:val="0041203B"/>
    <w:rsid w:val="00412995"/>
    <w:rsid w:val="00413A1E"/>
    <w:rsid w:val="00414476"/>
    <w:rsid w:val="00414C2E"/>
    <w:rsid w:val="004151CF"/>
    <w:rsid w:val="004160C9"/>
    <w:rsid w:val="004160DA"/>
    <w:rsid w:val="0041633B"/>
    <w:rsid w:val="00416364"/>
    <w:rsid w:val="00416D9A"/>
    <w:rsid w:val="0042017A"/>
    <w:rsid w:val="00420AA6"/>
    <w:rsid w:val="00420B9F"/>
    <w:rsid w:val="00420F90"/>
    <w:rsid w:val="00421CA7"/>
    <w:rsid w:val="00422107"/>
    <w:rsid w:val="00422260"/>
    <w:rsid w:val="004239DD"/>
    <w:rsid w:val="0042413F"/>
    <w:rsid w:val="004245BD"/>
    <w:rsid w:val="00424E50"/>
    <w:rsid w:val="004255F2"/>
    <w:rsid w:val="004262B2"/>
    <w:rsid w:val="00426E1F"/>
    <w:rsid w:val="004274A8"/>
    <w:rsid w:val="00427723"/>
    <w:rsid w:val="004308D5"/>
    <w:rsid w:val="00430F85"/>
    <w:rsid w:val="004319F8"/>
    <w:rsid w:val="00431E55"/>
    <w:rsid w:val="004320A8"/>
    <w:rsid w:val="00432108"/>
    <w:rsid w:val="004321F6"/>
    <w:rsid w:val="00432F4F"/>
    <w:rsid w:val="00433044"/>
    <w:rsid w:val="004333E8"/>
    <w:rsid w:val="00434F78"/>
    <w:rsid w:val="0043506C"/>
    <w:rsid w:val="00435F3C"/>
    <w:rsid w:val="004375B9"/>
    <w:rsid w:val="00437ABE"/>
    <w:rsid w:val="004428A1"/>
    <w:rsid w:val="004428D0"/>
    <w:rsid w:val="00442FDD"/>
    <w:rsid w:val="00443EDA"/>
    <w:rsid w:val="004443A7"/>
    <w:rsid w:val="0044442C"/>
    <w:rsid w:val="004445B9"/>
    <w:rsid w:val="00445941"/>
    <w:rsid w:val="00446339"/>
    <w:rsid w:val="004464EB"/>
    <w:rsid w:val="00446B55"/>
    <w:rsid w:val="0044743C"/>
    <w:rsid w:val="00447CA9"/>
    <w:rsid w:val="00447D26"/>
    <w:rsid w:val="00447FE3"/>
    <w:rsid w:val="00450FCA"/>
    <w:rsid w:val="00451287"/>
    <w:rsid w:val="00453013"/>
    <w:rsid w:val="00453A50"/>
    <w:rsid w:val="00453CBC"/>
    <w:rsid w:val="00455D45"/>
    <w:rsid w:val="00456069"/>
    <w:rsid w:val="004560F6"/>
    <w:rsid w:val="00456758"/>
    <w:rsid w:val="0045782E"/>
    <w:rsid w:val="00457D72"/>
    <w:rsid w:val="00457E56"/>
    <w:rsid w:val="00457FD2"/>
    <w:rsid w:val="00460091"/>
    <w:rsid w:val="00460404"/>
    <w:rsid w:val="00460417"/>
    <w:rsid w:val="004606C1"/>
    <w:rsid w:val="00461C06"/>
    <w:rsid w:val="004621B5"/>
    <w:rsid w:val="004626C8"/>
    <w:rsid w:val="00462962"/>
    <w:rsid w:val="004630DC"/>
    <w:rsid w:val="0046379E"/>
    <w:rsid w:val="00464595"/>
    <w:rsid w:val="0046481D"/>
    <w:rsid w:val="0046551E"/>
    <w:rsid w:val="00465B51"/>
    <w:rsid w:val="00465B7C"/>
    <w:rsid w:val="00467371"/>
    <w:rsid w:val="00467C75"/>
    <w:rsid w:val="00470BC7"/>
    <w:rsid w:val="004710BD"/>
    <w:rsid w:val="00471AB1"/>
    <w:rsid w:val="00472A79"/>
    <w:rsid w:val="00472D17"/>
    <w:rsid w:val="004733E6"/>
    <w:rsid w:val="00473B7C"/>
    <w:rsid w:val="00473F19"/>
    <w:rsid w:val="0047417C"/>
    <w:rsid w:val="00475338"/>
    <w:rsid w:val="00475611"/>
    <w:rsid w:val="00475777"/>
    <w:rsid w:val="004759A5"/>
    <w:rsid w:val="00475E22"/>
    <w:rsid w:val="00476381"/>
    <w:rsid w:val="0047770D"/>
    <w:rsid w:val="00477B12"/>
    <w:rsid w:val="0048088E"/>
    <w:rsid w:val="00480929"/>
    <w:rsid w:val="00480BF1"/>
    <w:rsid w:val="00482720"/>
    <w:rsid w:val="004835E7"/>
    <w:rsid w:val="00483875"/>
    <w:rsid w:val="00484713"/>
    <w:rsid w:val="00484887"/>
    <w:rsid w:val="00485486"/>
    <w:rsid w:val="004860D6"/>
    <w:rsid w:val="004867E2"/>
    <w:rsid w:val="00486F68"/>
    <w:rsid w:val="0048784B"/>
    <w:rsid w:val="00490C86"/>
    <w:rsid w:val="00491346"/>
    <w:rsid w:val="00491A0E"/>
    <w:rsid w:val="00491AC2"/>
    <w:rsid w:val="00491B3A"/>
    <w:rsid w:val="00491BD7"/>
    <w:rsid w:val="00492383"/>
    <w:rsid w:val="00492405"/>
    <w:rsid w:val="00492543"/>
    <w:rsid w:val="00492CFD"/>
    <w:rsid w:val="0049315C"/>
    <w:rsid w:val="00493559"/>
    <w:rsid w:val="00494DD5"/>
    <w:rsid w:val="004959BE"/>
    <w:rsid w:val="004962D2"/>
    <w:rsid w:val="00496E3F"/>
    <w:rsid w:val="00497413"/>
    <w:rsid w:val="004979CE"/>
    <w:rsid w:val="004A0DA1"/>
    <w:rsid w:val="004A1011"/>
    <w:rsid w:val="004A5083"/>
    <w:rsid w:val="004A52E9"/>
    <w:rsid w:val="004A5E28"/>
    <w:rsid w:val="004A6597"/>
    <w:rsid w:val="004A6F41"/>
    <w:rsid w:val="004A7025"/>
    <w:rsid w:val="004A73B9"/>
    <w:rsid w:val="004A7848"/>
    <w:rsid w:val="004B00DC"/>
    <w:rsid w:val="004B07AD"/>
    <w:rsid w:val="004B0E6C"/>
    <w:rsid w:val="004B1CB4"/>
    <w:rsid w:val="004B1D4D"/>
    <w:rsid w:val="004B28CC"/>
    <w:rsid w:val="004B2F18"/>
    <w:rsid w:val="004B301F"/>
    <w:rsid w:val="004B3074"/>
    <w:rsid w:val="004B351E"/>
    <w:rsid w:val="004B3539"/>
    <w:rsid w:val="004B3DDB"/>
    <w:rsid w:val="004B3FDA"/>
    <w:rsid w:val="004B44FD"/>
    <w:rsid w:val="004B5506"/>
    <w:rsid w:val="004B5CFC"/>
    <w:rsid w:val="004B5EB1"/>
    <w:rsid w:val="004B676A"/>
    <w:rsid w:val="004B68C0"/>
    <w:rsid w:val="004B6A86"/>
    <w:rsid w:val="004B6EAC"/>
    <w:rsid w:val="004B7264"/>
    <w:rsid w:val="004B774D"/>
    <w:rsid w:val="004C1193"/>
    <w:rsid w:val="004C3C61"/>
    <w:rsid w:val="004C44B9"/>
    <w:rsid w:val="004C4AED"/>
    <w:rsid w:val="004C5243"/>
    <w:rsid w:val="004C59C9"/>
    <w:rsid w:val="004D05C1"/>
    <w:rsid w:val="004D2C2D"/>
    <w:rsid w:val="004D34A0"/>
    <w:rsid w:val="004D3925"/>
    <w:rsid w:val="004D53C2"/>
    <w:rsid w:val="004D60E5"/>
    <w:rsid w:val="004D643D"/>
    <w:rsid w:val="004D7227"/>
    <w:rsid w:val="004D72AB"/>
    <w:rsid w:val="004E0E7F"/>
    <w:rsid w:val="004E0EB8"/>
    <w:rsid w:val="004E16F6"/>
    <w:rsid w:val="004E297E"/>
    <w:rsid w:val="004E2ADC"/>
    <w:rsid w:val="004E2EC2"/>
    <w:rsid w:val="004E3137"/>
    <w:rsid w:val="004E3AFC"/>
    <w:rsid w:val="004E43B2"/>
    <w:rsid w:val="004E4BBF"/>
    <w:rsid w:val="004E51E7"/>
    <w:rsid w:val="004E603E"/>
    <w:rsid w:val="004E63BA"/>
    <w:rsid w:val="004E65BD"/>
    <w:rsid w:val="004E7FCE"/>
    <w:rsid w:val="004F0499"/>
    <w:rsid w:val="004F1308"/>
    <w:rsid w:val="004F1946"/>
    <w:rsid w:val="004F1D02"/>
    <w:rsid w:val="004F2639"/>
    <w:rsid w:val="004F2656"/>
    <w:rsid w:val="004F2679"/>
    <w:rsid w:val="004F26DC"/>
    <w:rsid w:val="004F2F21"/>
    <w:rsid w:val="004F352F"/>
    <w:rsid w:val="004F429C"/>
    <w:rsid w:val="004F64D9"/>
    <w:rsid w:val="004F6913"/>
    <w:rsid w:val="004F6F10"/>
    <w:rsid w:val="004F7865"/>
    <w:rsid w:val="004F7E19"/>
    <w:rsid w:val="004F7F58"/>
    <w:rsid w:val="00500B34"/>
    <w:rsid w:val="005012B0"/>
    <w:rsid w:val="00501A65"/>
    <w:rsid w:val="00501FAC"/>
    <w:rsid w:val="0050219B"/>
    <w:rsid w:val="00503F17"/>
    <w:rsid w:val="00503F27"/>
    <w:rsid w:val="005063E5"/>
    <w:rsid w:val="005067BC"/>
    <w:rsid w:val="00506928"/>
    <w:rsid w:val="00507452"/>
    <w:rsid w:val="0051023C"/>
    <w:rsid w:val="005107F7"/>
    <w:rsid w:val="00512D47"/>
    <w:rsid w:val="00513730"/>
    <w:rsid w:val="005144F7"/>
    <w:rsid w:val="005152B5"/>
    <w:rsid w:val="00516C6F"/>
    <w:rsid w:val="00517651"/>
    <w:rsid w:val="00521319"/>
    <w:rsid w:val="00522BC8"/>
    <w:rsid w:val="0052355D"/>
    <w:rsid w:val="00523C28"/>
    <w:rsid w:val="00524B5F"/>
    <w:rsid w:val="005264AA"/>
    <w:rsid w:val="00526729"/>
    <w:rsid w:val="00526FB8"/>
    <w:rsid w:val="005305BA"/>
    <w:rsid w:val="0053069D"/>
    <w:rsid w:val="005314F9"/>
    <w:rsid w:val="00533138"/>
    <w:rsid w:val="00534310"/>
    <w:rsid w:val="00534381"/>
    <w:rsid w:val="00534A36"/>
    <w:rsid w:val="00534D28"/>
    <w:rsid w:val="00534DEB"/>
    <w:rsid w:val="00535986"/>
    <w:rsid w:val="00535F1D"/>
    <w:rsid w:val="00536F42"/>
    <w:rsid w:val="00537182"/>
    <w:rsid w:val="0053735F"/>
    <w:rsid w:val="005405FA"/>
    <w:rsid w:val="0054246F"/>
    <w:rsid w:val="00542743"/>
    <w:rsid w:val="0054284B"/>
    <w:rsid w:val="00542C2D"/>
    <w:rsid w:val="0054368E"/>
    <w:rsid w:val="00543788"/>
    <w:rsid w:val="00543C63"/>
    <w:rsid w:val="005443A7"/>
    <w:rsid w:val="00546E87"/>
    <w:rsid w:val="00550183"/>
    <w:rsid w:val="00551309"/>
    <w:rsid w:val="00551985"/>
    <w:rsid w:val="00551EAC"/>
    <w:rsid w:val="005521DE"/>
    <w:rsid w:val="00552668"/>
    <w:rsid w:val="00552938"/>
    <w:rsid w:val="00552BD3"/>
    <w:rsid w:val="00552F48"/>
    <w:rsid w:val="0055347F"/>
    <w:rsid w:val="005544A3"/>
    <w:rsid w:val="00554791"/>
    <w:rsid w:val="00554A77"/>
    <w:rsid w:val="00555109"/>
    <w:rsid w:val="005551E8"/>
    <w:rsid w:val="00555DC5"/>
    <w:rsid w:val="00555FD1"/>
    <w:rsid w:val="00556DFC"/>
    <w:rsid w:val="00560909"/>
    <w:rsid w:val="005609F6"/>
    <w:rsid w:val="00561AEE"/>
    <w:rsid w:val="00562052"/>
    <w:rsid w:val="005623D4"/>
    <w:rsid w:val="00564B33"/>
    <w:rsid w:val="00566697"/>
    <w:rsid w:val="0056696F"/>
    <w:rsid w:val="00566A56"/>
    <w:rsid w:val="00567245"/>
    <w:rsid w:val="005675D3"/>
    <w:rsid w:val="00572269"/>
    <w:rsid w:val="00572345"/>
    <w:rsid w:val="005723CA"/>
    <w:rsid w:val="0057244A"/>
    <w:rsid w:val="005726C4"/>
    <w:rsid w:val="005738E1"/>
    <w:rsid w:val="00575D8D"/>
    <w:rsid w:val="00576135"/>
    <w:rsid w:val="00576972"/>
    <w:rsid w:val="00576F50"/>
    <w:rsid w:val="00581863"/>
    <w:rsid w:val="00583699"/>
    <w:rsid w:val="00585157"/>
    <w:rsid w:val="005856B2"/>
    <w:rsid w:val="00585CDD"/>
    <w:rsid w:val="00585E4E"/>
    <w:rsid w:val="00586450"/>
    <w:rsid w:val="00586488"/>
    <w:rsid w:val="00587058"/>
    <w:rsid w:val="0058734B"/>
    <w:rsid w:val="005873F8"/>
    <w:rsid w:val="005879E5"/>
    <w:rsid w:val="005909BE"/>
    <w:rsid w:val="00590B67"/>
    <w:rsid w:val="00591517"/>
    <w:rsid w:val="00591957"/>
    <w:rsid w:val="00591EC3"/>
    <w:rsid w:val="00593270"/>
    <w:rsid w:val="00594D52"/>
    <w:rsid w:val="00595267"/>
    <w:rsid w:val="005956CB"/>
    <w:rsid w:val="00596B95"/>
    <w:rsid w:val="00597A4F"/>
    <w:rsid w:val="00597BF9"/>
    <w:rsid w:val="005A09FA"/>
    <w:rsid w:val="005A0D71"/>
    <w:rsid w:val="005A1D18"/>
    <w:rsid w:val="005A23F9"/>
    <w:rsid w:val="005A2917"/>
    <w:rsid w:val="005A2EB6"/>
    <w:rsid w:val="005A370F"/>
    <w:rsid w:val="005A373D"/>
    <w:rsid w:val="005A4A24"/>
    <w:rsid w:val="005A4B5D"/>
    <w:rsid w:val="005A4DCF"/>
    <w:rsid w:val="005A7AF4"/>
    <w:rsid w:val="005B135C"/>
    <w:rsid w:val="005B2494"/>
    <w:rsid w:val="005B2D02"/>
    <w:rsid w:val="005B2ED0"/>
    <w:rsid w:val="005B2FF5"/>
    <w:rsid w:val="005B50E0"/>
    <w:rsid w:val="005B5857"/>
    <w:rsid w:val="005B5B5E"/>
    <w:rsid w:val="005B6692"/>
    <w:rsid w:val="005B6B2A"/>
    <w:rsid w:val="005B780D"/>
    <w:rsid w:val="005B7EDF"/>
    <w:rsid w:val="005C08D1"/>
    <w:rsid w:val="005C0975"/>
    <w:rsid w:val="005C0B5D"/>
    <w:rsid w:val="005C0F28"/>
    <w:rsid w:val="005C115A"/>
    <w:rsid w:val="005C16A1"/>
    <w:rsid w:val="005C1B83"/>
    <w:rsid w:val="005C2D55"/>
    <w:rsid w:val="005C330B"/>
    <w:rsid w:val="005C346B"/>
    <w:rsid w:val="005C3C16"/>
    <w:rsid w:val="005C4392"/>
    <w:rsid w:val="005C4687"/>
    <w:rsid w:val="005C4D6D"/>
    <w:rsid w:val="005C4E2F"/>
    <w:rsid w:val="005C5032"/>
    <w:rsid w:val="005C5FD3"/>
    <w:rsid w:val="005C705F"/>
    <w:rsid w:val="005C7400"/>
    <w:rsid w:val="005C750C"/>
    <w:rsid w:val="005C7B14"/>
    <w:rsid w:val="005D044D"/>
    <w:rsid w:val="005D04A2"/>
    <w:rsid w:val="005D0ABD"/>
    <w:rsid w:val="005D0B2B"/>
    <w:rsid w:val="005D18AD"/>
    <w:rsid w:val="005D26B4"/>
    <w:rsid w:val="005D4E05"/>
    <w:rsid w:val="005D6035"/>
    <w:rsid w:val="005E01E7"/>
    <w:rsid w:val="005E0281"/>
    <w:rsid w:val="005E0B15"/>
    <w:rsid w:val="005E17FC"/>
    <w:rsid w:val="005E235A"/>
    <w:rsid w:val="005E2DF9"/>
    <w:rsid w:val="005E3229"/>
    <w:rsid w:val="005E3C4F"/>
    <w:rsid w:val="005E3CBD"/>
    <w:rsid w:val="005E4B0B"/>
    <w:rsid w:val="005E53AC"/>
    <w:rsid w:val="005E64DC"/>
    <w:rsid w:val="005E6CBC"/>
    <w:rsid w:val="005E73C0"/>
    <w:rsid w:val="005F0A3C"/>
    <w:rsid w:val="005F19D3"/>
    <w:rsid w:val="005F2191"/>
    <w:rsid w:val="005F2706"/>
    <w:rsid w:val="005F2719"/>
    <w:rsid w:val="005F29E6"/>
    <w:rsid w:val="005F2B1A"/>
    <w:rsid w:val="005F40DA"/>
    <w:rsid w:val="005F5A7F"/>
    <w:rsid w:val="005F6A8F"/>
    <w:rsid w:val="005F726F"/>
    <w:rsid w:val="005F7340"/>
    <w:rsid w:val="005F7748"/>
    <w:rsid w:val="00601591"/>
    <w:rsid w:val="0060171C"/>
    <w:rsid w:val="00601FD3"/>
    <w:rsid w:val="006030EF"/>
    <w:rsid w:val="00603DB9"/>
    <w:rsid w:val="00604F92"/>
    <w:rsid w:val="00605EA9"/>
    <w:rsid w:val="0060606E"/>
    <w:rsid w:val="00607251"/>
    <w:rsid w:val="00607669"/>
    <w:rsid w:val="00607AFD"/>
    <w:rsid w:val="00607CED"/>
    <w:rsid w:val="006108B5"/>
    <w:rsid w:val="00610CB2"/>
    <w:rsid w:val="006116DF"/>
    <w:rsid w:val="00611C32"/>
    <w:rsid w:val="00612F97"/>
    <w:rsid w:val="0061345D"/>
    <w:rsid w:val="00613939"/>
    <w:rsid w:val="00613AC3"/>
    <w:rsid w:val="0061409A"/>
    <w:rsid w:val="006141C1"/>
    <w:rsid w:val="00614EEB"/>
    <w:rsid w:val="0061621D"/>
    <w:rsid w:val="00616802"/>
    <w:rsid w:val="00617A71"/>
    <w:rsid w:val="00617E12"/>
    <w:rsid w:val="00620759"/>
    <w:rsid w:val="00621477"/>
    <w:rsid w:val="00621F27"/>
    <w:rsid w:val="006220CA"/>
    <w:rsid w:val="00622DA4"/>
    <w:rsid w:val="006233B3"/>
    <w:rsid w:val="006256E9"/>
    <w:rsid w:val="0062749A"/>
    <w:rsid w:val="0063065E"/>
    <w:rsid w:val="0063158F"/>
    <w:rsid w:val="00631D6B"/>
    <w:rsid w:val="0063208E"/>
    <w:rsid w:val="00632BAB"/>
    <w:rsid w:val="00633023"/>
    <w:rsid w:val="006330A1"/>
    <w:rsid w:val="00633644"/>
    <w:rsid w:val="006337EB"/>
    <w:rsid w:val="0063479F"/>
    <w:rsid w:val="00634DA2"/>
    <w:rsid w:val="006352F0"/>
    <w:rsid w:val="006353F0"/>
    <w:rsid w:val="006364A1"/>
    <w:rsid w:val="00637434"/>
    <w:rsid w:val="0063745A"/>
    <w:rsid w:val="00637BFD"/>
    <w:rsid w:val="00640CEE"/>
    <w:rsid w:val="00640D2C"/>
    <w:rsid w:val="0064119C"/>
    <w:rsid w:val="00641558"/>
    <w:rsid w:val="006416F0"/>
    <w:rsid w:val="00641C4E"/>
    <w:rsid w:val="0064225D"/>
    <w:rsid w:val="00642676"/>
    <w:rsid w:val="00645215"/>
    <w:rsid w:val="00645D19"/>
    <w:rsid w:val="00646C0C"/>
    <w:rsid w:val="006471CC"/>
    <w:rsid w:val="0065079F"/>
    <w:rsid w:val="00651001"/>
    <w:rsid w:val="006510F6"/>
    <w:rsid w:val="0065275D"/>
    <w:rsid w:val="0065379F"/>
    <w:rsid w:val="00653A5F"/>
    <w:rsid w:val="00653D2C"/>
    <w:rsid w:val="006540FF"/>
    <w:rsid w:val="006545F4"/>
    <w:rsid w:val="00657824"/>
    <w:rsid w:val="00657834"/>
    <w:rsid w:val="0065790A"/>
    <w:rsid w:val="00657BFB"/>
    <w:rsid w:val="00660754"/>
    <w:rsid w:val="00660BAB"/>
    <w:rsid w:val="00661C6B"/>
    <w:rsid w:val="0066215C"/>
    <w:rsid w:val="006637F0"/>
    <w:rsid w:val="006641EB"/>
    <w:rsid w:val="006661E9"/>
    <w:rsid w:val="006662CA"/>
    <w:rsid w:val="0066720C"/>
    <w:rsid w:val="00670B8B"/>
    <w:rsid w:val="006717EB"/>
    <w:rsid w:val="0067186E"/>
    <w:rsid w:val="006723D3"/>
    <w:rsid w:val="006735C0"/>
    <w:rsid w:val="00674E42"/>
    <w:rsid w:val="00675399"/>
    <w:rsid w:val="00676B0D"/>
    <w:rsid w:val="00677B5D"/>
    <w:rsid w:val="00680583"/>
    <w:rsid w:val="006807A0"/>
    <w:rsid w:val="00682112"/>
    <w:rsid w:val="00683D0D"/>
    <w:rsid w:val="006844B0"/>
    <w:rsid w:val="00684FEE"/>
    <w:rsid w:val="00685895"/>
    <w:rsid w:val="00685E71"/>
    <w:rsid w:val="0068635E"/>
    <w:rsid w:val="00686957"/>
    <w:rsid w:val="006872BA"/>
    <w:rsid w:val="00687EF9"/>
    <w:rsid w:val="006901F3"/>
    <w:rsid w:val="00690E83"/>
    <w:rsid w:val="00691648"/>
    <w:rsid w:val="006917D7"/>
    <w:rsid w:val="00691943"/>
    <w:rsid w:val="00691AED"/>
    <w:rsid w:val="00691D9E"/>
    <w:rsid w:val="00692F99"/>
    <w:rsid w:val="00693713"/>
    <w:rsid w:val="0069496B"/>
    <w:rsid w:val="0069498E"/>
    <w:rsid w:val="00694F44"/>
    <w:rsid w:val="00695DBB"/>
    <w:rsid w:val="006975F6"/>
    <w:rsid w:val="00697829"/>
    <w:rsid w:val="006A0105"/>
    <w:rsid w:val="006A013B"/>
    <w:rsid w:val="006A02BA"/>
    <w:rsid w:val="006A0389"/>
    <w:rsid w:val="006A3EF1"/>
    <w:rsid w:val="006A50A1"/>
    <w:rsid w:val="006A5C0B"/>
    <w:rsid w:val="006A644E"/>
    <w:rsid w:val="006A7E5F"/>
    <w:rsid w:val="006B1282"/>
    <w:rsid w:val="006B17D6"/>
    <w:rsid w:val="006B2021"/>
    <w:rsid w:val="006B261B"/>
    <w:rsid w:val="006B2C90"/>
    <w:rsid w:val="006B501C"/>
    <w:rsid w:val="006B62D9"/>
    <w:rsid w:val="006B6DD0"/>
    <w:rsid w:val="006B770B"/>
    <w:rsid w:val="006B7E18"/>
    <w:rsid w:val="006C0460"/>
    <w:rsid w:val="006C1719"/>
    <w:rsid w:val="006C2A8E"/>
    <w:rsid w:val="006C2ADA"/>
    <w:rsid w:val="006C5875"/>
    <w:rsid w:val="006C675C"/>
    <w:rsid w:val="006C7FC7"/>
    <w:rsid w:val="006D1CB0"/>
    <w:rsid w:val="006D3327"/>
    <w:rsid w:val="006D3C7D"/>
    <w:rsid w:val="006D4753"/>
    <w:rsid w:val="006D49E6"/>
    <w:rsid w:val="006D4E2E"/>
    <w:rsid w:val="006D519B"/>
    <w:rsid w:val="006D53B8"/>
    <w:rsid w:val="006D543D"/>
    <w:rsid w:val="006D5D5F"/>
    <w:rsid w:val="006D712E"/>
    <w:rsid w:val="006E0549"/>
    <w:rsid w:val="006E23DD"/>
    <w:rsid w:val="006E2597"/>
    <w:rsid w:val="006E2749"/>
    <w:rsid w:val="006E3720"/>
    <w:rsid w:val="006E3776"/>
    <w:rsid w:val="006E3CB3"/>
    <w:rsid w:val="006E4049"/>
    <w:rsid w:val="006E4EC7"/>
    <w:rsid w:val="006E5BCD"/>
    <w:rsid w:val="006E7F5F"/>
    <w:rsid w:val="006F0DF9"/>
    <w:rsid w:val="006F0E2E"/>
    <w:rsid w:val="006F1B9A"/>
    <w:rsid w:val="006F21DF"/>
    <w:rsid w:val="006F23A3"/>
    <w:rsid w:val="006F306C"/>
    <w:rsid w:val="006F5A7D"/>
    <w:rsid w:val="006F63A5"/>
    <w:rsid w:val="006F73F5"/>
    <w:rsid w:val="006F7A86"/>
    <w:rsid w:val="0070142B"/>
    <w:rsid w:val="00701E07"/>
    <w:rsid w:val="007024AE"/>
    <w:rsid w:val="0070276E"/>
    <w:rsid w:val="00702B9D"/>
    <w:rsid w:val="00702F8F"/>
    <w:rsid w:val="007031D3"/>
    <w:rsid w:val="007037B4"/>
    <w:rsid w:val="00704E30"/>
    <w:rsid w:val="007054BB"/>
    <w:rsid w:val="00706E6B"/>
    <w:rsid w:val="00707C4D"/>
    <w:rsid w:val="007103A3"/>
    <w:rsid w:val="0071154A"/>
    <w:rsid w:val="00711873"/>
    <w:rsid w:val="00711A36"/>
    <w:rsid w:val="00712B5A"/>
    <w:rsid w:val="0071435D"/>
    <w:rsid w:val="007151AE"/>
    <w:rsid w:val="0071529C"/>
    <w:rsid w:val="007159E0"/>
    <w:rsid w:val="0071640B"/>
    <w:rsid w:val="007165D2"/>
    <w:rsid w:val="007172AD"/>
    <w:rsid w:val="00717392"/>
    <w:rsid w:val="0072088B"/>
    <w:rsid w:val="00722B1B"/>
    <w:rsid w:val="007230FA"/>
    <w:rsid w:val="00723E64"/>
    <w:rsid w:val="0072410E"/>
    <w:rsid w:val="0072416F"/>
    <w:rsid w:val="00724F4E"/>
    <w:rsid w:val="00726CD6"/>
    <w:rsid w:val="0072719B"/>
    <w:rsid w:val="00727C94"/>
    <w:rsid w:val="00730355"/>
    <w:rsid w:val="0073195A"/>
    <w:rsid w:val="00731EAE"/>
    <w:rsid w:val="007327F0"/>
    <w:rsid w:val="00733333"/>
    <w:rsid w:val="00733A42"/>
    <w:rsid w:val="00735033"/>
    <w:rsid w:val="00735328"/>
    <w:rsid w:val="007355D8"/>
    <w:rsid w:val="00735692"/>
    <w:rsid w:val="0073685B"/>
    <w:rsid w:val="007368AB"/>
    <w:rsid w:val="0073706B"/>
    <w:rsid w:val="00737A1E"/>
    <w:rsid w:val="007407C1"/>
    <w:rsid w:val="00740F1C"/>
    <w:rsid w:val="007411C5"/>
    <w:rsid w:val="007416C1"/>
    <w:rsid w:val="00742A26"/>
    <w:rsid w:val="00742F74"/>
    <w:rsid w:val="00743468"/>
    <w:rsid w:val="00743487"/>
    <w:rsid w:val="007437E5"/>
    <w:rsid w:val="007437EE"/>
    <w:rsid w:val="0074417F"/>
    <w:rsid w:val="007452A0"/>
    <w:rsid w:val="0074549C"/>
    <w:rsid w:val="00746B28"/>
    <w:rsid w:val="00750053"/>
    <w:rsid w:val="00750165"/>
    <w:rsid w:val="007509D6"/>
    <w:rsid w:val="00752142"/>
    <w:rsid w:val="007523F9"/>
    <w:rsid w:val="00753582"/>
    <w:rsid w:val="007541D7"/>
    <w:rsid w:val="0075443D"/>
    <w:rsid w:val="00755C03"/>
    <w:rsid w:val="00755C2F"/>
    <w:rsid w:val="00756747"/>
    <w:rsid w:val="00756A7A"/>
    <w:rsid w:val="007573E8"/>
    <w:rsid w:val="00757627"/>
    <w:rsid w:val="00757701"/>
    <w:rsid w:val="00757E19"/>
    <w:rsid w:val="00760C4E"/>
    <w:rsid w:val="00761302"/>
    <w:rsid w:val="00761421"/>
    <w:rsid w:val="00761886"/>
    <w:rsid w:val="00761ECE"/>
    <w:rsid w:val="00762CB1"/>
    <w:rsid w:val="00762D89"/>
    <w:rsid w:val="00763D6D"/>
    <w:rsid w:val="00763E94"/>
    <w:rsid w:val="00764202"/>
    <w:rsid w:val="007647A8"/>
    <w:rsid w:val="00764C1E"/>
    <w:rsid w:val="00764C29"/>
    <w:rsid w:val="00764CBF"/>
    <w:rsid w:val="0076587A"/>
    <w:rsid w:val="00765B1A"/>
    <w:rsid w:val="007661C5"/>
    <w:rsid w:val="00770C74"/>
    <w:rsid w:val="00770D80"/>
    <w:rsid w:val="0077298F"/>
    <w:rsid w:val="007729CB"/>
    <w:rsid w:val="00775330"/>
    <w:rsid w:val="0077794E"/>
    <w:rsid w:val="00777CE4"/>
    <w:rsid w:val="00777E38"/>
    <w:rsid w:val="0078074F"/>
    <w:rsid w:val="00780819"/>
    <w:rsid w:val="00780FE0"/>
    <w:rsid w:val="007813B7"/>
    <w:rsid w:val="007839A0"/>
    <w:rsid w:val="00783DB0"/>
    <w:rsid w:val="00783E64"/>
    <w:rsid w:val="00784168"/>
    <w:rsid w:val="007843F2"/>
    <w:rsid w:val="007848B8"/>
    <w:rsid w:val="0078533B"/>
    <w:rsid w:val="0078571A"/>
    <w:rsid w:val="007867DE"/>
    <w:rsid w:val="00786A47"/>
    <w:rsid w:val="007873C9"/>
    <w:rsid w:val="00790A59"/>
    <w:rsid w:val="00790AA0"/>
    <w:rsid w:val="00790B71"/>
    <w:rsid w:val="00790CB9"/>
    <w:rsid w:val="00791904"/>
    <w:rsid w:val="00791981"/>
    <w:rsid w:val="007924D5"/>
    <w:rsid w:val="007925C7"/>
    <w:rsid w:val="0079372F"/>
    <w:rsid w:val="007938CC"/>
    <w:rsid w:val="0079435D"/>
    <w:rsid w:val="00795894"/>
    <w:rsid w:val="007962D6"/>
    <w:rsid w:val="00796680"/>
    <w:rsid w:val="00796FF8"/>
    <w:rsid w:val="0079707A"/>
    <w:rsid w:val="007A0A12"/>
    <w:rsid w:val="007A132D"/>
    <w:rsid w:val="007A1CD3"/>
    <w:rsid w:val="007A1D6A"/>
    <w:rsid w:val="007A2F71"/>
    <w:rsid w:val="007A397D"/>
    <w:rsid w:val="007A39F8"/>
    <w:rsid w:val="007A6AB1"/>
    <w:rsid w:val="007A7162"/>
    <w:rsid w:val="007A72E5"/>
    <w:rsid w:val="007A7577"/>
    <w:rsid w:val="007A770B"/>
    <w:rsid w:val="007A7771"/>
    <w:rsid w:val="007B0860"/>
    <w:rsid w:val="007B0BF5"/>
    <w:rsid w:val="007B0D68"/>
    <w:rsid w:val="007B1749"/>
    <w:rsid w:val="007B17F3"/>
    <w:rsid w:val="007B1F60"/>
    <w:rsid w:val="007B251D"/>
    <w:rsid w:val="007B4D60"/>
    <w:rsid w:val="007B4F58"/>
    <w:rsid w:val="007B528D"/>
    <w:rsid w:val="007B656C"/>
    <w:rsid w:val="007B6A0C"/>
    <w:rsid w:val="007B714D"/>
    <w:rsid w:val="007B74B0"/>
    <w:rsid w:val="007B77D1"/>
    <w:rsid w:val="007B7825"/>
    <w:rsid w:val="007C0B13"/>
    <w:rsid w:val="007C137D"/>
    <w:rsid w:val="007C14BC"/>
    <w:rsid w:val="007C1543"/>
    <w:rsid w:val="007C1CD9"/>
    <w:rsid w:val="007C1E87"/>
    <w:rsid w:val="007C2D7F"/>
    <w:rsid w:val="007C30BE"/>
    <w:rsid w:val="007C35AF"/>
    <w:rsid w:val="007C361D"/>
    <w:rsid w:val="007C4AB0"/>
    <w:rsid w:val="007C4B84"/>
    <w:rsid w:val="007C4F7D"/>
    <w:rsid w:val="007C579D"/>
    <w:rsid w:val="007C5B9D"/>
    <w:rsid w:val="007C5CB1"/>
    <w:rsid w:val="007C62FB"/>
    <w:rsid w:val="007C63AC"/>
    <w:rsid w:val="007C65EF"/>
    <w:rsid w:val="007C77E4"/>
    <w:rsid w:val="007D001C"/>
    <w:rsid w:val="007D004F"/>
    <w:rsid w:val="007D0A7B"/>
    <w:rsid w:val="007D0B38"/>
    <w:rsid w:val="007D194C"/>
    <w:rsid w:val="007D4989"/>
    <w:rsid w:val="007D4C11"/>
    <w:rsid w:val="007D4FDE"/>
    <w:rsid w:val="007D5440"/>
    <w:rsid w:val="007D5BCF"/>
    <w:rsid w:val="007D661A"/>
    <w:rsid w:val="007D69BA"/>
    <w:rsid w:val="007D6D6C"/>
    <w:rsid w:val="007D6E7F"/>
    <w:rsid w:val="007D7E90"/>
    <w:rsid w:val="007E0161"/>
    <w:rsid w:val="007E0E6D"/>
    <w:rsid w:val="007E0F48"/>
    <w:rsid w:val="007E13B8"/>
    <w:rsid w:val="007E1E27"/>
    <w:rsid w:val="007E28EE"/>
    <w:rsid w:val="007E3793"/>
    <w:rsid w:val="007E3B28"/>
    <w:rsid w:val="007E68FA"/>
    <w:rsid w:val="007F005F"/>
    <w:rsid w:val="007F0075"/>
    <w:rsid w:val="007F07A4"/>
    <w:rsid w:val="007F091B"/>
    <w:rsid w:val="007F0952"/>
    <w:rsid w:val="007F1017"/>
    <w:rsid w:val="007F12D6"/>
    <w:rsid w:val="007F1F35"/>
    <w:rsid w:val="007F30E6"/>
    <w:rsid w:val="007F4A3F"/>
    <w:rsid w:val="007F4A61"/>
    <w:rsid w:val="007F5DED"/>
    <w:rsid w:val="007F61C2"/>
    <w:rsid w:val="007F6A61"/>
    <w:rsid w:val="007F6DAF"/>
    <w:rsid w:val="007F7CEF"/>
    <w:rsid w:val="0080065F"/>
    <w:rsid w:val="008006DC"/>
    <w:rsid w:val="008013F6"/>
    <w:rsid w:val="00801C3F"/>
    <w:rsid w:val="00801F72"/>
    <w:rsid w:val="008022E5"/>
    <w:rsid w:val="0080402F"/>
    <w:rsid w:val="00805142"/>
    <w:rsid w:val="0080555B"/>
    <w:rsid w:val="00807A8B"/>
    <w:rsid w:val="00810664"/>
    <w:rsid w:val="008109C0"/>
    <w:rsid w:val="008109C6"/>
    <w:rsid w:val="00810FA9"/>
    <w:rsid w:val="0081124E"/>
    <w:rsid w:val="00811383"/>
    <w:rsid w:val="008113C4"/>
    <w:rsid w:val="00812149"/>
    <w:rsid w:val="008123A3"/>
    <w:rsid w:val="00812CAC"/>
    <w:rsid w:val="00812F22"/>
    <w:rsid w:val="00813B7E"/>
    <w:rsid w:val="008143A7"/>
    <w:rsid w:val="0081455F"/>
    <w:rsid w:val="008146DB"/>
    <w:rsid w:val="00814C46"/>
    <w:rsid w:val="00815531"/>
    <w:rsid w:val="008157D3"/>
    <w:rsid w:val="00815E67"/>
    <w:rsid w:val="0081608C"/>
    <w:rsid w:val="008162CC"/>
    <w:rsid w:val="00816409"/>
    <w:rsid w:val="008166EF"/>
    <w:rsid w:val="00817534"/>
    <w:rsid w:val="00817F6F"/>
    <w:rsid w:val="00821B59"/>
    <w:rsid w:val="00821E92"/>
    <w:rsid w:val="00822A44"/>
    <w:rsid w:val="00823426"/>
    <w:rsid w:val="00823D7D"/>
    <w:rsid w:val="0082507A"/>
    <w:rsid w:val="008251DB"/>
    <w:rsid w:val="00825751"/>
    <w:rsid w:val="00826477"/>
    <w:rsid w:val="008264EB"/>
    <w:rsid w:val="0082660D"/>
    <w:rsid w:val="008272C4"/>
    <w:rsid w:val="00830F81"/>
    <w:rsid w:val="008317A2"/>
    <w:rsid w:val="008325D5"/>
    <w:rsid w:val="00833A96"/>
    <w:rsid w:val="00833B05"/>
    <w:rsid w:val="00833BED"/>
    <w:rsid w:val="00834266"/>
    <w:rsid w:val="00835346"/>
    <w:rsid w:val="008362B4"/>
    <w:rsid w:val="00836C52"/>
    <w:rsid w:val="00836E0D"/>
    <w:rsid w:val="008377B9"/>
    <w:rsid w:val="00840883"/>
    <w:rsid w:val="00840CA2"/>
    <w:rsid w:val="00841496"/>
    <w:rsid w:val="00841AF8"/>
    <w:rsid w:val="0084374F"/>
    <w:rsid w:val="0084429E"/>
    <w:rsid w:val="008459E1"/>
    <w:rsid w:val="008466E5"/>
    <w:rsid w:val="00846AEC"/>
    <w:rsid w:val="00846BD3"/>
    <w:rsid w:val="00846FD0"/>
    <w:rsid w:val="00847DF5"/>
    <w:rsid w:val="00847E3A"/>
    <w:rsid w:val="00850037"/>
    <w:rsid w:val="008507A3"/>
    <w:rsid w:val="00850F5A"/>
    <w:rsid w:val="008522CC"/>
    <w:rsid w:val="0085292D"/>
    <w:rsid w:val="00852C8B"/>
    <w:rsid w:val="0085309D"/>
    <w:rsid w:val="008536B6"/>
    <w:rsid w:val="00854825"/>
    <w:rsid w:val="00854CD2"/>
    <w:rsid w:val="0085567B"/>
    <w:rsid w:val="00855CF1"/>
    <w:rsid w:val="00856073"/>
    <w:rsid w:val="008560C1"/>
    <w:rsid w:val="008561D8"/>
    <w:rsid w:val="008563C0"/>
    <w:rsid w:val="008567AA"/>
    <w:rsid w:val="00856897"/>
    <w:rsid w:val="00856E9A"/>
    <w:rsid w:val="00856EF0"/>
    <w:rsid w:val="00857011"/>
    <w:rsid w:val="0085716E"/>
    <w:rsid w:val="0086075D"/>
    <w:rsid w:val="0086095C"/>
    <w:rsid w:val="00860C88"/>
    <w:rsid w:val="00862502"/>
    <w:rsid w:val="00862EB3"/>
    <w:rsid w:val="0086336F"/>
    <w:rsid w:val="00863D77"/>
    <w:rsid w:val="0086402F"/>
    <w:rsid w:val="0086439B"/>
    <w:rsid w:val="00864E34"/>
    <w:rsid w:val="008652A6"/>
    <w:rsid w:val="008658FD"/>
    <w:rsid w:val="00865E0B"/>
    <w:rsid w:val="008660D4"/>
    <w:rsid w:val="008700E3"/>
    <w:rsid w:val="00870545"/>
    <w:rsid w:val="008708A0"/>
    <w:rsid w:val="008713C9"/>
    <w:rsid w:val="00871E84"/>
    <w:rsid w:val="00871FA9"/>
    <w:rsid w:val="008728E9"/>
    <w:rsid w:val="00872B02"/>
    <w:rsid w:val="00873CA2"/>
    <w:rsid w:val="0087430C"/>
    <w:rsid w:val="00874D43"/>
    <w:rsid w:val="008752A3"/>
    <w:rsid w:val="008753F3"/>
    <w:rsid w:val="00876B3B"/>
    <w:rsid w:val="00876EB3"/>
    <w:rsid w:val="00877617"/>
    <w:rsid w:val="00877C71"/>
    <w:rsid w:val="00877DB5"/>
    <w:rsid w:val="00881B1B"/>
    <w:rsid w:val="00882767"/>
    <w:rsid w:val="008827E6"/>
    <w:rsid w:val="00882874"/>
    <w:rsid w:val="00882D6F"/>
    <w:rsid w:val="00883787"/>
    <w:rsid w:val="008838EB"/>
    <w:rsid w:val="00884BAA"/>
    <w:rsid w:val="008856EB"/>
    <w:rsid w:val="00886712"/>
    <w:rsid w:val="00886CD2"/>
    <w:rsid w:val="00886FC7"/>
    <w:rsid w:val="008901EC"/>
    <w:rsid w:val="00891B89"/>
    <w:rsid w:val="00892A36"/>
    <w:rsid w:val="00892BA7"/>
    <w:rsid w:val="008931D9"/>
    <w:rsid w:val="00893239"/>
    <w:rsid w:val="008932EA"/>
    <w:rsid w:val="00893F9C"/>
    <w:rsid w:val="00894489"/>
    <w:rsid w:val="008951CC"/>
    <w:rsid w:val="008956D6"/>
    <w:rsid w:val="008958D4"/>
    <w:rsid w:val="00896015"/>
    <w:rsid w:val="008961A3"/>
    <w:rsid w:val="008963A5"/>
    <w:rsid w:val="008974CC"/>
    <w:rsid w:val="00897889"/>
    <w:rsid w:val="008A01B6"/>
    <w:rsid w:val="008A0B3D"/>
    <w:rsid w:val="008A2610"/>
    <w:rsid w:val="008A3363"/>
    <w:rsid w:val="008A3371"/>
    <w:rsid w:val="008A3C3E"/>
    <w:rsid w:val="008A4075"/>
    <w:rsid w:val="008A4161"/>
    <w:rsid w:val="008A4811"/>
    <w:rsid w:val="008A534B"/>
    <w:rsid w:val="008A7514"/>
    <w:rsid w:val="008A77A6"/>
    <w:rsid w:val="008A79DE"/>
    <w:rsid w:val="008A7C8B"/>
    <w:rsid w:val="008B00E8"/>
    <w:rsid w:val="008B1757"/>
    <w:rsid w:val="008B1D12"/>
    <w:rsid w:val="008B1D36"/>
    <w:rsid w:val="008B3220"/>
    <w:rsid w:val="008B3EE0"/>
    <w:rsid w:val="008B577A"/>
    <w:rsid w:val="008B5FF3"/>
    <w:rsid w:val="008B63D2"/>
    <w:rsid w:val="008B6E66"/>
    <w:rsid w:val="008B7D34"/>
    <w:rsid w:val="008B7D7E"/>
    <w:rsid w:val="008C0FD4"/>
    <w:rsid w:val="008C29C7"/>
    <w:rsid w:val="008C2EBA"/>
    <w:rsid w:val="008C3129"/>
    <w:rsid w:val="008C3308"/>
    <w:rsid w:val="008C35B2"/>
    <w:rsid w:val="008C4ECA"/>
    <w:rsid w:val="008C5289"/>
    <w:rsid w:val="008C5F3F"/>
    <w:rsid w:val="008C6FFA"/>
    <w:rsid w:val="008C7ECB"/>
    <w:rsid w:val="008D205A"/>
    <w:rsid w:val="008D3275"/>
    <w:rsid w:val="008D41C9"/>
    <w:rsid w:val="008D4617"/>
    <w:rsid w:val="008D4755"/>
    <w:rsid w:val="008D4C3D"/>
    <w:rsid w:val="008D51B5"/>
    <w:rsid w:val="008D55D1"/>
    <w:rsid w:val="008E0556"/>
    <w:rsid w:val="008E0D3C"/>
    <w:rsid w:val="008E11B3"/>
    <w:rsid w:val="008E1B9E"/>
    <w:rsid w:val="008E2981"/>
    <w:rsid w:val="008E2AC8"/>
    <w:rsid w:val="008E2F05"/>
    <w:rsid w:val="008E3215"/>
    <w:rsid w:val="008E3C9A"/>
    <w:rsid w:val="008E55AB"/>
    <w:rsid w:val="008E5ADB"/>
    <w:rsid w:val="008E6559"/>
    <w:rsid w:val="008E6E9A"/>
    <w:rsid w:val="008E7299"/>
    <w:rsid w:val="008F0B20"/>
    <w:rsid w:val="008F0F76"/>
    <w:rsid w:val="008F120A"/>
    <w:rsid w:val="008F27E0"/>
    <w:rsid w:val="008F48EB"/>
    <w:rsid w:val="008F4EC4"/>
    <w:rsid w:val="008F4F0B"/>
    <w:rsid w:val="008F5D20"/>
    <w:rsid w:val="008F68A5"/>
    <w:rsid w:val="00900807"/>
    <w:rsid w:val="00900DE1"/>
    <w:rsid w:val="009015B1"/>
    <w:rsid w:val="0090287A"/>
    <w:rsid w:val="0090360E"/>
    <w:rsid w:val="00903CA1"/>
    <w:rsid w:val="00903F46"/>
    <w:rsid w:val="009046C4"/>
    <w:rsid w:val="00904819"/>
    <w:rsid w:val="00904BF7"/>
    <w:rsid w:val="009053CD"/>
    <w:rsid w:val="00905C22"/>
    <w:rsid w:val="009062A5"/>
    <w:rsid w:val="00910112"/>
    <w:rsid w:val="00911272"/>
    <w:rsid w:val="00912084"/>
    <w:rsid w:val="00912B9A"/>
    <w:rsid w:val="00912E7C"/>
    <w:rsid w:val="009135D6"/>
    <w:rsid w:val="0091496B"/>
    <w:rsid w:val="00914BB1"/>
    <w:rsid w:val="00914C77"/>
    <w:rsid w:val="00916078"/>
    <w:rsid w:val="0091626A"/>
    <w:rsid w:val="00916D1E"/>
    <w:rsid w:val="009171F3"/>
    <w:rsid w:val="009174FE"/>
    <w:rsid w:val="0091798C"/>
    <w:rsid w:val="00917AAC"/>
    <w:rsid w:val="00917B77"/>
    <w:rsid w:val="00917FA0"/>
    <w:rsid w:val="00917FB9"/>
    <w:rsid w:val="009203E1"/>
    <w:rsid w:val="00920B95"/>
    <w:rsid w:val="00920BF0"/>
    <w:rsid w:val="00920DF2"/>
    <w:rsid w:val="009222CF"/>
    <w:rsid w:val="009222EC"/>
    <w:rsid w:val="00922E38"/>
    <w:rsid w:val="00922F0E"/>
    <w:rsid w:val="00922FDC"/>
    <w:rsid w:val="0092369B"/>
    <w:rsid w:val="0092377D"/>
    <w:rsid w:val="00923DA4"/>
    <w:rsid w:val="009249D1"/>
    <w:rsid w:val="0092509F"/>
    <w:rsid w:val="009269B4"/>
    <w:rsid w:val="00927414"/>
    <w:rsid w:val="00927B99"/>
    <w:rsid w:val="009306E5"/>
    <w:rsid w:val="009310A6"/>
    <w:rsid w:val="009318D1"/>
    <w:rsid w:val="00932334"/>
    <w:rsid w:val="00932489"/>
    <w:rsid w:val="00932913"/>
    <w:rsid w:val="00932A86"/>
    <w:rsid w:val="009333C9"/>
    <w:rsid w:val="00933875"/>
    <w:rsid w:val="009342EE"/>
    <w:rsid w:val="00934F3B"/>
    <w:rsid w:val="0093504A"/>
    <w:rsid w:val="009355A7"/>
    <w:rsid w:val="00935FDF"/>
    <w:rsid w:val="00937C95"/>
    <w:rsid w:val="00937EF1"/>
    <w:rsid w:val="00940313"/>
    <w:rsid w:val="0094165C"/>
    <w:rsid w:val="00941B72"/>
    <w:rsid w:val="00942058"/>
    <w:rsid w:val="0094351D"/>
    <w:rsid w:val="009443E3"/>
    <w:rsid w:val="00945386"/>
    <w:rsid w:val="00945530"/>
    <w:rsid w:val="009469D3"/>
    <w:rsid w:val="00950C81"/>
    <w:rsid w:val="009510A2"/>
    <w:rsid w:val="009511A0"/>
    <w:rsid w:val="00951291"/>
    <w:rsid w:val="00952B26"/>
    <w:rsid w:val="00952E8F"/>
    <w:rsid w:val="00953065"/>
    <w:rsid w:val="00953257"/>
    <w:rsid w:val="009533BB"/>
    <w:rsid w:val="00954C29"/>
    <w:rsid w:val="00955E8E"/>
    <w:rsid w:val="009600ED"/>
    <w:rsid w:val="00960101"/>
    <w:rsid w:val="009605B2"/>
    <w:rsid w:val="009607DE"/>
    <w:rsid w:val="00961064"/>
    <w:rsid w:val="0096229C"/>
    <w:rsid w:val="00962CB9"/>
    <w:rsid w:val="00963456"/>
    <w:rsid w:val="00963779"/>
    <w:rsid w:val="00963FA6"/>
    <w:rsid w:val="00964235"/>
    <w:rsid w:val="00964312"/>
    <w:rsid w:val="00965820"/>
    <w:rsid w:val="00965B8A"/>
    <w:rsid w:val="00965CCB"/>
    <w:rsid w:val="00966F4F"/>
    <w:rsid w:val="00967273"/>
    <w:rsid w:val="0097047B"/>
    <w:rsid w:val="0097134E"/>
    <w:rsid w:val="009717AC"/>
    <w:rsid w:val="00971A41"/>
    <w:rsid w:val="00972CE9"/>
    <w:rsid w:val="009747E6"/>
    <w:rsid w:val="00975CCD"/>
    <w:rsid w:val="00976858"/>
    <w:rsid w:val="0097692D"/>
    <w:rsid w:val="00977917"/>
    <w:rsid w:val="00977BC8"/>
    <w:rsid w:val="00980648"/>
    <w:rsid w:val="009807CB"/>
    <w:rsid w:val="009809CA"/>
    <w:rsid w:val="00981132"/>
    <w:rsid w:val="00981772"/>
    <w:rsid w:val="00982935"/>
    <w:rsid w:val="00982E6D"/>
    <w:rsid w:val="00983520"/>
    <w:rsid w:val="00983651"/>
    <w:rsid w:val="00983E57"/>
    <w:rsid w:val="00984D95"/>
    <w:rsid w:val="00985A30"/>
    <w:rsid w:val="00985F2C"/>
    <w:rsid w:val="0098615E"/>
    <w:rsid w:val="0098628D"/>
    <w:rsid w:val="0098675D"/>
    <w:rsid w:val="00986793"/>
    <w:rsid w:val="00986854"/>
    <w:rsid w:val="00986D9D"/>
    <w:rsid w:val="00987415"/>
    <w:rsid w:val="009903D7"/>
    <w:rsid w:val="00992807"/>
    <w:rsid w:val="00992E83"/>
    <w:rsid w:val="00993A67"/>
    <w:rsid w:val="00993DE0"/>
    <w:rsid w:val="00993FFC"/>
    <w:rsid w:val="00994DAE"/>
    <w:rsid w:val="009953D6"/>
    <w:rsid w:val="00996570"/>
    <w:rsid w:val="00996B1A"/>
    <w:rsid w:val="009A0562"/>
    <w:rsid w:val="009A068D"/>
    <w:rsid w:val="009A1047"/>
    <w:rsid w:val="009A1369"/>
    <w:rsid w:val="009A1F3C"/>
    <w:rsid w:val="009A288A"/>
    <w:rsid w:val="009A4EC8"/>
    <w:rsid w:val="009A61F7"/>
    <w:rsid w:val="009A6BCA"/>
    <w:rsid w:val="009A785A"/>
    <w:rsid w:val="009A7D2E"/>
    <w:rsid w:val="009A7F10"/>
    <w:rsid w:val="009B18A1"/>
    <w:rsid w:val="009B200B"/>
    <w:rsid w:val="009B24C7"/>
    <w:rsid w:val="009B2FA9"/>
    <w:rsid w:val="009B3794"/>
    <w:rsid w:val="009B3E26"/>
    <w:rsid w:val="009B49B6"/>
    <w:rsid w:val="009B4D04"/>
    <w:rsid w:val="009B4D8F"/>
    <w:rsid w:val="009B518C"/>
    <w:rsid w:val="009B5BCC"/>
    <w:rsid w:val="009B5C0C"/>
    <w:rsid w:val="009B66F6"/>
    <w:rsid w:val="009B7187"/>
    <w:rsid w:val="009B7B35"/>
    <w:rsid w:val="009C075D"/>
    <w:rsid w:val="009C0E11"/>
    <w:rsid w:val="009C13E4"/>
    <w:rsid w:val="009C16E4"/>
    <w:rsid w:val="009C27D9"/>
    <w:rsid w:val="009C53D8"/>
    <w:rsid w:val="009C5B33"/>
    <w:rsid w:val="009C613D"/>
    <w:rsid w:val="009C636B"/>
    <w:rsid w:val="009C65A7"/>
    <w:rsid w:val="009C67E9"/>
    <w:rsid w:val="009C6CEA"/>
    <w:rsid w:val="009C76F8"/>
    <w:rsid w:val="009C7754"/>
    <w:rsid w:val="009C7B85"/>
    <w:rsid w:val="009D0DED"/>
    <w:rsid w:val="009D0E47"/>
    <w:rsid w:val="009D1843"/>
    <w:rsid w:val="009D1919"/>
    <w:rsid w:val="009D1FC0"/>
    <w:rsid w:val="009D2C8E"/>
    <w:rsid w:val="009D2CEF"/>
    <w:rsid w:val="009D3EB7"/>
    <w:rsid w:val="009D47FA"/>
    <w:rsid w:val="009D5B91"/>
    <w:rsid w:val="009D67F5"/>
    <w:rsid w:val="009D792E"/>
    <w:rsid w:val="009E0BD1"/>
    <w:rsid w:val="009E0DFE"/>
    <w:rsid w:val="009E16B4"/>
    <w:rsid w:val="009E273E"/>
    <w:rsid w:val="009E2A4E"/>
    <w:rsid w:val="009E2C4B"/>
    <w:rsid w:val="009E2E09"/>
    <w:rsid w:val="009E325B"/>
    <w:rsid w:val="009E34BB"/>
    <w:rsid w:val="009E4C07"/>
    <w:rsid w:val="009E5592"/>
    <w:rsid w:val="009E6326"/>
    <w:rsid w:val="009E7711"/>
    <w:rsid w:val="009F0524"/>
    <w:rsid w:val="009F10A1"/>
    <w:rsid w:val="009F13FB"/>
    <w:rsid w:val="009F181D"/>
    <w:rsid w:val="009F1F3A"/>
    <w:rsid w:val="009F21CE"/>
    <w:rsid w:val="009F2D46"/>
    <w:rsid w:val="009F3C3E"/>
    <w:rsid w:val="009F4425"/>
    <w:rsid w:val="009F48E4"/>
    <w:rsid w:val="009F49A5"/>
    <w:rsid w:val="009F54AF"/>
    <w:rsid w:val="009F5BAA"/>
    <w:rsid w:val="009F6D03"/>
    <w:rsid w:val="009F74C1"/>
    <w:rsid w:val="009F7687"/>
    <w:rsid w:val="009F7D7B"/>
    <w:rsid w:val="00A00216"/>
    <w:rsid w:val="00A00849"/>
    <w:rsid w:val="00A0088E"/>
    <w:rsid w:val="00A00C87"/>
    <w:rsid w:val="00A010BD"/>
    <w:rsid w:val="00A01184"/>
    <w:rsid w:val="00A01BC2"/>
    <w:rsid w:val="00A01C0F"/>
    <w:rsid w:val="00A02046"/>
    <w:rsid w:val="00A03D43"/>
    <w:rsid w:val="00A03E92"/>
    <w:rsid w:val="00A04380"/>
    <w:rsid w:val="00A049AC"/>
    <w:rsid w:val="00A04B88"/>
    <w:rsid w:val="00A050FD"/>
    <w:rsid w:val="00A05218"/>
    <w:rsid w:val="00A05F7D"/>
    <w:rsid w:val="00A10ED8"/>
    <w:rsid w:val="00A11A37"/>
    <w:rsid w:val="00A11CD0"/>
    <w:rsid w:val="00A1292B"/>
    <w:rsid w:val="00A12A68"/>
    <w:rsid w:val="00A130EE"/>
    <w:rsid w:val="00A13948"/>
    <w:rsid w:val="00A1476E"/>
    <w:rsid w:val="00A148B2"/>
    <w:rsid w:val="00A1555B"/>
    <w:rsid w:val="00A155C5"/>
    <w:rsid w:val="00A15858"/>
    <w:rsid w:val="00A15E0C"/>
    <w:rsid w:val="00A16AD8"/>
    <w:rsid w:val="00A16BDC"/>
    <w:rsid w:val="00A16E92"/>
    <w:rsid w:val="00A16ED3"/>
    <w:rsid w:val="00A2022A"/>
    <w:rsid w:val="00A217FF"/>
    <w:rsid w:val="00A21CF3"/>
    <w:rsid w:val="00A22603"/>
    <w:rsid w:val="00A22B37"/>
    <w:rsid w:val="00A230A7"/>
    <w:rsid w:val="00A23420"/>
    <w:rsid w:val="00A240E5"/>
    <w:rsid w:val="00A25076"/>
    <w:rsid w:val="00A251AB"/>
    <w:rsid w:val="00A25AFD"/>
    <w:rsid w:val="00A26824"/>
    <w:rsid w:val="00A26DB2"/>
    <w:rsid w:val="00A271B7"/>
    <w:rsid w:val="00A27886"/>
    <w:rsid w:val="00A27AEC"/>
    <w:rsid w:val="00A30091"/>
    <w:rsid w:val="00A300EF"/>
    <w:rsid w:val="00A3051D"/>
    <w:rsid w:val="00A31912"/>
    <w:rsid w:val="00A320DB"/>
    <w:rsid w:val="00A323FD"/>
    <w:rsid w:val="00A331F6"/>
    <w:rsid w:val="00A33507"/>
    <w:rsid w:val="00A35093"/>
    <w:rsid w:val="00A356B2"/>
    <w:rsid w:val="00A35D16"/>
    <w:rsid w:val="00A37BCD"/>
    <w:rsid w:val="00A37DE3"/>
    <w:rsid w:val="00A406D4"/>
    <w:rsid w:val="00A40986"/>
    <w:rsid w:val="00A4142C"/>
    <w:rsid w:val="00A41676"/>
    <w:rsid w:val="00A420E0"/>
    <w:rsid w:val="00A43C59"/>
    <w:rsid w:val="00A43DAD"/>
    <w:rsid w:val="00A44016"/>
    <w:rsid w:val="00A46381"/>
    <w:rsid w:val="00A46D0C"/>
    <w:rsid w:val="00A4726C"/>
    <w:rsid w:val="00A478AD"/>
    <w:rsid w:val="00A47D5C"/>
    <w:rsid w:val="00A47E17"/>
    <w:rsid w:val="00A5001C"/>
    <w:rsid w:val="00A50526"/>
    <w:rsid w:val="00A50ECD"/>
    <w:rsid w:val="00A51115"/>
    <w:rsid w:val="00A51515"/>
    <w:rsid w:val="00A518F3"/>
    <w:rsid w:val="00A52729"/>
    <w:rsid w:val="00A52C3F"/>
    <w:rsid w:val="00A52C4D"/>
    <w:rsid w:val="00A53675"/>
    <w:rsid w:val="00A53910"/>
    <w:rsid w:val="00A54D2C"/>
    <w:rsid w:val="00A555E8"/>
    <w:rsid w:val="00A558A4"/>
    <w:rsid w:val="00A564D7"/>
    <w:rsid w:val="00A56707"/>
    <w:rsid w:val="00A56B6A"/>
    <w:rsid w:val="00A56EF7"/>
    <w:rsid w:val="00A578DC"/>
    <w:rsid w:val="00A57D95"/>
    <w:rsid w:val="00A603B3"/>
    <w:rsid w:val="00A60F51"/>
    <w:rsid w:val="00A60FB5"/>
    <w:rsid w:val="00A6189D"/>
    <w:rsid w:val="00A61B53"/>
    <w:rsid w:val="00A62B35"/>
    <w:rsid w:val="00A62FA2"/>
    <w:rsid w:val="00A63480"/>
    <w:rsid w:val="00A63D7D"/>
    <w:rsid w:val="00A653B9"/>
    <w:rsid w:val="00A6725B"/>
    <w:rsid w:val="00A67C98"/>
    <w:rsid w:val="00A67E78"/>
    <w:rsid w:val="00A70581"/>
    <w:rsid w:val="00A70605"/>
    <w:rsid w:val="00A70785"/>
    <w:rsid w:val="00A70DAD"/>
    <w:rsid w:val="00A710B6"/>
    <w:rsid w:val="00A7135A"/>
    <w:rsid w:val="00A726A5"/>
    <w:rsid w:val="00A73134"/>
    <w:rsid w:val="00A73EA8"/>
    <w:rsid w:val="00A7433D"/>
    <w:rsid w:val="00A75A86"/>
    <w:rsid w:val="00A75D08"/>
    <w:rsid w:val="00A776C8"/>
    <w:rsid w:val="00A777B2"/>
    <w:rsid w:val="00A7794D"/>
    <w:rsid w:val="00A804CA"/>
    <w:rsid w:val="00A808F1"/>
    <w:rsid w:val="00A8168F"/>
    <w:rsid w:val="00A82EE1"/>
    <w:rsid w:val="00A8350C"/>
    <w:rsid w:val="00A83931"/>
    <w:rsid w:val="00A83A32"/>
    <w:rsid w:val="00A83A44"/>
    <w:rsid w:val="00A856AE"/>
    <w:rsid w:val="00A867AE"/>
    <w:rsid w:val="00A8680C"/>
    <w:rsid w:val="00A86E8B"/>
    <w:rsid w:val="00A87164"/>
    <w:rsid w:val="00A87B28"/>
    <w:rsid w:val="00A908C3"/>
    <w:rsid w:val="00A91C9B"/>
    <w:rsid w:val="00A92977"/>
    <w:rsid w:val="00A93072"/>
    <w:rsid w:val="00A93953"/>
    <w:rsid w:val="00A94ADD"/>
    <w:rsid w:val="00A94F54"/>
    <w:rsid w:val="00A94FA5"/>
    <w:rsid w:val="00A959D8"/>
    <w:rsid w:val="00A95DFB"/>
    <w:rsid w:val="00A96887"/>
    <w:rsid w:val="00A96A28"/>
    <w:rsid w:val="00A978DD"/>
    <w:rsid w:val="00A97F79"/>
    <w:rsid w:val="00AA00FB"/>
    <w:rsid w:val="00AA113D"/>
    <w:rsid w:val="00AA2618"/>
    <w:rsid w:val="00AA2BBD"/>
    <w:rsid w:val="00AA34E6"/>
    <w:rsid w:val="00AA3AA6"/>
    <w:rsid w:val="00AA3D1B"/>
    <w:rsid w:val="00AA4724"/>
    <w:rsid w:val="00AA491F"/>
    <w:rsid w:val="00AA610C"/>
    <w:rsid w:val="00AA6378"/>
    <w:rsid w:val="00AA6C7D"/>
    <w:rsid w:val="00AA6DAD"/>
    <w:rsid w:val="00AA6FE3"/>
    <w:rsid w:val="00AA7FD6"/>
    <w:rsid w:val="00AA7FF2"/>
    <w:rsid w:val="00AB0050"/>
    <w:rsid w:val="00AB042A"/>
    <w:rsid w:val="00AB0899"/>
    <w:rsid w:val="00AB0B2F"/>
    <w:rsid w:val="00AB0E99"/>
    <w:rsid w:val="00AB152E"/>
    <w:rsid w:val="00AB16E1"/>
    <w:rsid w:val="00AB1B27"/>
    <w:rsid w:val="00AB2293"/>
    <w:rsid w:val="00AB2D34"/>
    <w:rsid w:val="00AB3430"/>
    <w:rsid w:val="00AB38A2"/>
    <w:rsid w:val="00AB49CC"/>
    <w:rsid w:val="00AB4AD1"/>
    <w:rsid w:val="00AB4F61"/>
    <w:rsid w:val="00AB5C9F"/>
    <w:rsid w:val="00AB6062"/>
    <w:rsid w:val="00AB633B"/>
    <w:rsid w:val="00AB7A73"/>
    <w:rsid w:val="00AB7B13"/>
    <w:rsid w:val="00AB7CFA"/>
    <w:rsid w:val="00AC0AA9"/>
    <w:rsid w:val="00AC1565"/>
    <w:rsid w:val="00AC2A94"/>
    <w:rsid w:val="00AC32AF"/>
    <w:rsid w:val="00AC38D6"/>
    <w:rsid w:val="00AC396E"/>
    <w:rsid w:val="00AC3F77"/>
    <w:rsid w:val="00AC5541"/>
    <w:rsid w:val="00AC5627"/>
    <w:rsid w:val="00AC5B48"/>
    <w:rsid w:val="00AC5F99"/>
    <w:rsid w:val="00AC63EE"/>
    <w:rsid w:val="00AC6A71"/>
    <w:rsid w:val="00AC6EB8"/>
    <w:rsid w:val="00AC72EF"/>
    <w:rsid w:val="00AC7591"/>
    <w:rsid w:val="00AC75DF"/>
    <w:rsid w:val="00AC7D94"/>
    <w:rsid w:val="00AC7EA9"/>
    <w:rsid w:val="00AD1495"/>
    <w:rsid w:val="00AD18F2"/>
    <w:rsid w:val="00AD286F"/>
    <w:rsid w:val="00AD34DA"/>
    <w:rsid w:val="00AD384B"/>
    <w:rsid w:val="00AD45C8"/>
    <w:rsid w:val="00AD483F"/>
    <w:rsid w:val="00AD4EC8"/>
    <w:rsid w:val="00AD589A"/>
    <w:rsid w:val="00AD58C4"/>
    <w:rsid w:val="00AD6502"/>
    <w:rsid w:val="00AD7864"/>
    <w:rsid w:val="00AE0692"/>
    <w:rsid w:val="00AE086F"/>
    <w:rsid w:val="00AE1887"/>
    <w:rsid w:val="00AE21B6"/>
    <w:rsid w:val="00AE60A9"/>
    <w:rsid w:val="00AF0034"/>
    <w:rsid w:val="00AF11AE"/>
    <w:rsid w:val="00AF1206"/>
    <w:rsid w:val="00AF1315"/>
    <w:rsid w:val="00AF19BF"/>
    <w:rsid w:val="00AF1BD6"/>
    <w:rsid w:val="00AF2085"/>
    <w:rsid w:val="00AF2DC3"/>
    <w:rsid w:val="00AF2E51"/>
    <w:rsid w:val="00AF4267"/>
    <w:rsid w:val="00AF4CB7"/>
    <w:rsid w:val="00AF4F5D"/>
    <w:rsid w:val="00AF50FF"/>
    <w:rsid w:val="00AF51FB"/>
    <w:rsid w:val="00AF57EA"/>
    <w:rsid w:val="00AF6950"/>
    <w:rsid w:val="00AF6B3A"/>
    <w:rsid w:val="00AF741A"/>
    <w:rsid w:val="00AF78F2"/>
    <w:rsid w:val="00AF7939"/>
    <w:rsid w:val="00AF7FB7"/>
    <w:rsid w:val="00B0089A"/>
    <w:rsid w:val="00B0200D"/>
    <w:rsid w:val="00B03032"/>
    <w:rsid w:val="00B03128"/>
    <w:rsid w:val="00B031DC"/>
    <w:rsid w:val="00B033E5"/>
    <w:rsid w:val="00B03A63"/>
    <w:rsid w:val="00B04D82"/>
    <w:rsid w:val="00B04DFF"/>
    <w:rsid w:val="00B0593E"/>
    <w:rsid w:val="00B05954"/>
    <w:rsid w:val="00B06617"/>
    <w:rsid w:val="00B06B50"/>
    <w:rsid w:val="00B07124"/>
    <w:rsid w:val="00B07BA6"/>
    <w:rsid w:val="00B07D0E"/>
    <w:rsid w:val="00B10C23"/>
    <w:rsid w:val="00B119D0"/>
    <w:rsid w:val="00B12D0A"/>
    <w:rsid w:val="00B13897"/>
    <w:rsid w:val="00B14733"/>
    <w:rsid w:val="00B16438"/>
    <w:rsid w:val="00B16B88"/>
    <w:rsid w:val="00B16ED1"/>
    <w:rsid w:val="00B201A4"/>
    <w:rsid w:val="00B208AD"/>
    <w:rsid w:val="00B213A6"/>
    <w:rsid w:val="00B21DFF"/>
    <w:rsid w:val="00B21FBA"/>
    <w:rsid w:val="00B2227C"/>
    <w:rsid w:val="00B229F5"/>
    <w:rsid w:val="00B2339C"/>
    <w:rsid w:val="00B239EB"/>
    <w:rsid w:val="00B240ED"/>
    <w:rsid w:val="00B24DF6"/>
    <w:rsid w:val="00B26C0C"/>
    <w:rsid w:val="00B27F6C"/>
    <w:rsid w:val="00B3168A"/>
    <w:rsid w:val="00B329A0"/>
    <w:rsid w:val="00B3495A"/>
    <w:rsid w:val="00B34FE2"/>
    <w:rsid w:val="00B357D8"/>
    <w:rsid w:val="00B361C4"/>
    <w:rsid w:val="00B36953"/>
    <w:rsid w:val="00B36CBE"/>
    <w:rsid w:val="00B37BFC"/>
    <w:rsid w:val="00B40358"/>
    <w:rsid w:val="00B40928"/>
    <w:rsid w:val="00B41614"/>
    <w:rsid w:val="00B41ADE"/>
    <w:rsid w:val="00B41FD7"/>
    <w:rsid w:val="00B4215B"/>
    <w:rsid w:val="00B4263D"/>
    <w:rsid w:val="00B42851"/>
    <w:rsid w:val="00B42994"/>
    <w:rsid w:val="00B42F80"/>
    <w:rsid w:val="00B435CB"/>
    <w:rsid w:val="00B4421B"/>
    <w:rsid w:val="00B44462"/>
    <w:rsid w:val="00B444EB"/>
    <w:rsid w:val="00B4526F"/>
    <w:rsid w:val="00B45296"/>
    <w:rsid w:val="00B453EA"/>
    <w:rsid w:val="00B4542F"/>
    <w:rsid w:val="00B45D43"/>
    <w:rsid w:val="00B46230"/>
    <w:rsid w:val="00B465DE"/>
    <w:rsid w:val="00B4695F"/>
    <w:rsid w:val="00B46D45"/>
    <w:rsid w:val="00B46D48"/>
    <w:rsid w:val="00B4725D"/>
    <w:rsid w:val="00B509F2"/>
    <w:rsid w:val="00B50DB8"/>
    <w:rsid w:val="00B5110A"/>
    <w:rsid w:val="00B51177"/>
    <w:rsid w:val="00B5141E"/>
    <w:rsid w:val="00B519CC"/>
    <w:rsid w:val="00B51B28"/>
    <w:rsid w:val="00B52200"/>
    <w:rsid w:val="00B53098"/>
    <w:rsid w:val="00B533B0"/>
    <w:rsid w:val="00B53654"/>
    <w:rsid w:val="00B537B4"/>
    <w:rsid w:val="00B53905"/>
    <w:rsid w:val="00B54323"/>
    <w:rsid w:val="00B54B5B"/>
    <w:rsid w:val="00B5562E"/>
    <w:rsid w:val="00B55890"/>
    <w:rsid w:val="00B55D8F"/>
    <w:rsid w:val="00B56234"/>
    <w:rsid w:val="00B566F3"/>
    <w:rsid w:val="00B5698B"/>
    <w:rsid w:val="00B57000"/>
    <w:rsid w:val="00B57953"/>
    <w:rsid w:val="00B57A3C"/>
    <w:rsid w:val="00B57B52"/>
    <w:rsid w:val="00B60939"/>
    <w:rsid w:val="00B60AFD"/>
    <w:rsid w:val="00B62063"/>
    <w:rsid w:val="00B62715"/>
    <w:rsid w:val="00B63822"/>
    <w:rsid w:val="00B64676"/>
    <w:rsid w:val="00B64C2D"/>
    <w:rsid w:val="00B64D9B"/>
    <w:rsid w:val="00B64FB5"/>
    <w:rsid w:val="00B71701"/>
    <w:rsid w:val="00B71D80"/>
    <w:rsid w:val="00B71DBF"/>
    <w:rsid w:val="00B7208D"/>
    <w:rsid w:val="00B73C9A"/>
    <w:rsid w:val="00B74F27"/>
    <w:rsid w:val="00B753EE"/>
    <w:rsid w:val="00B7580F"/>
    <w:rsid w:val="00B75D8A"/>
    <w:rsid w:val="00B75F56"/>
    <w:rsid w:val="00B766A9"/>
    <w:rsid w:val="00B76933"/>
    <w:rsid w:val="00B76E06"/>
    <w:rsid w:val="00B77D59"/>
    <w:rsid w:val="00B814D8"/>
    <w:rsid w:val="00B818A4"/>
    <w:rsid w:val="00B81ED7"/>
    <w:rsid w:val="00B82B08"/>
    <w:rsid w:val="00B83F35"/>
    <w:rsid w:val="00B84117"/>
    <w:rsid w:val="00B841B9"/>
    <w:rsid w:val="00B84237"/>
    <w:rsid w:val="00B84899"/>
    <w:rsid w:val="00B85297"/>
    <w:rsid w:val="00B856AB"/>
    <w:rsid w:val="00B85AA2"/>
    <w:rsid w:val="00B8649C"/>
    <w:rsid w:val="00B86D85"/>
    <w:rsid w:val="00B87F0A"/>
    <w:rsid w:val="00B90A9D"/>
    <w:rsid w:val="00B91010"/>
    <w:rsid w:val="00B915F3"/>
    <w:rsid w:val="00B92520"/>
    <w:rsid w:val="00B92D0B"/>
    <w:rsid w:val="00B93F80"/>
    <w:rsid w:val="00B94945"/>
    <w:rsid w:val="00B952F2"/>
    <w:rsid w:val="00B95683"/>
    <w:rsid w:val="00B96B83"/>
    <w:rsid w:val="00BA06A7"/>
    <w:rsid w:val="00BA1066"/>
    <w:rsid w:val="00BA2811"/>
    <w:rsid w:val="00BA322D"/>
    <w:rsid w:val="00BA3912"/>
    <w:rsid w:val="00BA5537"/>
    <w:rsid w:val="00BA556A"/>
    <w:rsid w:val="00BA59C8"/>
    <w:rsid w:val="00BA7139"/>
    <w:rsid w:val="00BA7231"/>
    <w:rsid w:val="00BA7973"/>
    <w:rsid w:val="00BA7B20"/>
    <w:rsid w:val="00BB0BDD"/>
    <w:rsid w:val="00BB0F30"/>
    <w:rsid w:val="00BB149B"/>
    <w:rsid w:val="00BB2A73"/>
    <w:rsid w:val="00BB2C61"/>
    <w:rsid w:val="00BB30FF"/>
    <w:rsid w:val="00BB3152"/>
    <w:rsid w:val="00BB3362"/>
    <w:rsid w:val="00BB3851"/>
    <w:rsid w:val="00BB393E"/>
    <w:rsid w:val="00BB3ABF"/>
    <w:rsid w:val="00BB3C87"/>
    <w:rsid w:val="00BB417E"/>
    <w:rsid w:val="00BB4349"/>
    <w:rsid w:val="00BB4ACC"/>
    <w:rsid w:val="00BB531E"/>
    <w:rsid w:val="00BB6377"/>
    <w:rsid w:val="00BB703E"/>
    <w:rsid w:val="00BB7328"/>
    <w:rsid w:val="00BB7405"/>
    <w:rsid w:val="00BB7F92"/>
    <w:rsid w:val="00BC06FD"/>
    <w:rsid w:val="00BC09E5"/>
    <w:rsid w:val="00BC142D"/>
    <w:rsid w:val="00BC15A2"/>
    <w:rsid w:val="00BC1A1C"/>
    <w:rsid w:val="00BC1E6A"/>
    <w:rsid w:val="00BC266B"/>
    <w:rsid w:val="00BC336D"/>
    <w:rsid w:val="00BC3631"/>
    <w:rsid w:val="00BC38E0"/>
    <w:rsid w:val="00BC39F4"/>
    <w:rsid w:val="00BC4702"/>
    <w:rsid w:val="00BC4CC3"/>
    <w:rsid w:val="00BC55B1"/>
    <w:rsid w:val="00BC7CC9"/>
    <w:rsid w:val="00BC7FCF"/>
    <w:rsid w:val="00BD0FBD"/>
    <w:rsid w:val="00BD0FEB"/>
    <w:rsid w:val="00BD3903"/>
    <w:rsid w:val="00BD4BC7"/>
    <w:rsid w:val="00BD5705"/>
    <w:rsid w:val="00BD58CC"/>
    <w:rsid w:val="00BD68A3"/>
    <w:rsid w:val="00BD6938"/>
    <w:rsid w:val="00BD6CF3"/>
    <w:rsid w:val="00BD7ADF"/>
    <w:rsid w:val="00BE0104"/>
    <w:rsid w:val="00BE0567"/>
    <w:rsid w:val="00BE2180"/>
    <w:rsid w:val="00BE21F2"/>
    <w:rsid w:val="00BE27BB"/>
    <w:rsid w:val="00BE3351"/>
    <w:rsid w:val="00BE383D"/>
    <w:rsid w:val="00BE4275"/>
    <w:rsid w:val="00BE4D46"/>
    <w:rsid w:val="00BE4E4D"/>
    <w:rsid w:val="00BE52FE"/>
    <w:rsid w:val="00BE5997"/>
    <w:rsid w:val="00BE686B"/>
    <w:rsid w:val="00BE7848"/>
    <w:rsid w:val="00BE7D28"/>
    <w:rsid w:val="00BF0F95"/>
    <w:rsid w:val="00BF2433"/>
    <w:rsid w:val="00BF2D07"/>
    <w:rsid w:val="00BF39AB"/>
    <w:rsid w:val="00BF3D3B"/>
    <w:rsid w:val="00BF455B"/>
    <w:rsid w:val="00BF60F1"/>
    <w:rsid w:val="00BF61C9"/>
    <w:rsid w:val="00BF6471"/>
    <w:rsid w:val="00BF6C94"/>
    <w:rsid w:val="00BF7C34"/>
    <w:rsid w:val="00C00424"/>
    <w:rsid w:val="00C014DA"/>
    <w:rsid w:val="00C02529"/>
    <w:rsid w:val="00C049A2"/>
    <w:rsid w:val="00C059D6"/>
    <w:rsid w:val="00C05A01"/>
    <w:rsid w:val="00C06B44"/>
    <w:rsid w:val="00C06DFC"/>
    <w:rsid w:val="00C0700F"/>
    <w:rsid w:val="00C0708C"/>
    <w:rsid w:val="00C079B6"/>
    <w:rsid w:val="00C11256"/>
    <w:rsid w:val="00C12612"/>
    <w:rsid w:val="00C1296D"/>
    <w:rsid w:val="00C12C14"/>
    <w:rsid w:val="00C1371B"/>
    <w:rsid w:val="00C13F6B"/>
    <w:rsid w:val="00C159CF"/>
    <w:rsid w:val="00C15BA7"/>
    <w:rsid w:val="00C200AA"/>
    <w:rsid w:val="00C2079E"/>
    <w:rsid w:val="00C20912"/>
    <w:rsid w:val="00C219C9"/>
    <w:rsid w:val="00C22262"/>
    <w:rsid w:val="00C22720"/>
    <w:rsid w:val="00C237ED"/>
    <w:rsid w:val="00C24632"/>
    <w:rsid w:val="00C24837"/>
    <w:rsid w:val="00C25418"/>
    <w:rsid w:val="00C258CF"/>
    <w:rsid w:val="00C25D9C"/>
    <w:rsid w:val="00C264CF"/>
    <w:rsid w:val="00C26524"/>
    <w:rsid w:val="00C2748F"/>
    <w:rsid w:val="00C2778B"/>
    <w:rsid w:val="00C2795F"/>
    <w:rsid w:val="00C27ABE"/>
    <w:rsid w:val="00C31649"/>
    <w:rsid w:val="00C317C5"/>
    <w:rsid w:val="00C32A55"/>
    <w:rsid w:val="00C32B22"/>
    <w:rsid w:val="00C3360E"/>
    <w:rsid w:val="00C337D2"/>
    <w:rsid w:val="00C35188"/>
    <w:rsid w:val="00C351E7"/>
    <w:rsid w:val="00C40385"/>
    <w:rsid w:val="00C423F8"/>
    <w:rsid w:val="00C42B9B"/>
    <w:rsid w:val="00C42C2B"/>
    <w:rsid w:val="00C43D52"/>
    <w:rsid w:val="00C45316"/>
    <w:rsid w:val="00C475AA"/>
    <w:rsid w:val="00C503D6"/>
    <w:rsid w:val="00C513FE"/>
    <w:rsid w:val="00C5533C"/>
    <w:rsid w:val="00C565C6"/>
    <w:rsid w:val="00C569F2"/>
    <w:rsid w:val="00C60EC0"/>
    <w:rsid w:val="00C61849"/>
    <w:rsid w:val="00C62691"/>
    <w:rsid w:val="00C63826"/>
    <w:rsid w:val="00C65576"/>
    <w:rsid w:val="00C65C2A"/>
    <w:rsid w:val="00C66165"/>
    <w:rsid w:val="00C6617B"/>
    <w:rsid w:val="00C67A4E"/>
    <w:rsid w:val="00C67EF5"/>
    <w:rsid w:val="00C705C3"/>
    <w:rsid w:val="00C70B3C"/>
    <w:rsid w:val="00C7151A"/>
    <w:rsid w:val="00C71F60"/>
    <w:rsid w:val="00C72241"/>
    <w:rsid w:val="00C724EC"/>
    <w:rsid w:val="00C72C5B"/>
    <w:rsid w:val="00C72FEE"/>
    <w:rsid w:val="00C735FF"/>
    <w:rsid w:val="00C7396E"/>
    <w:rsid w:val="00C743FF"/>
    <w:rsid w:val="00C750C8"/>
    <w:rsid w:val="00C7560F"/>
    <w:rsid w:val="00C75915"/>
    <w:rsid w:val="00C76209"/>
    <w:rsid w:val="00C7789A"/>
    <w:rsid w:val="00C80A0E"/>
    <w:rsid w:val="00C80BA8"/>
    <w:rsid w:val="00C81CC7"/>
    <w:rsid w:val="00C8213F"/>
    <w:rsid w:val="00C822E1"/>
    <w:rsid w:val="00C8327B"/>
    <w:rsid w:val="00C83B45"/>
    <w:rsid w:val="00C83ECF"/>
    <w:rsid w:val="00C8480F"/>
    <w:rsid w:val="00C84B1C"/>
    <w:rsid w:val="00C8634B"/>
    <w:rsid w:val="00C86C90"/>
    <w:rsid w:val="00C8719B"/>
    <w:rsid w:val="00C87300"/>
    <w:rsid w:val="00C878B7"/>
    <w:rsid w:val="00C87905"/>
    <w:rsid w:val="00C8797A"/>
    <w:rsid w:val="00C87BF5"/>
    <w:rsid w:val="00C900B8"/>
    <w:rsid w:val="00C90C71"/>
    <w:rsid w:val="00C91D0E"/>
    <w:rsid w:val="00C91F3B"/>
    <w:rsid w:val="00C92EF5"/>
    <w:rsid w:val="00C931CF"/>
    <w:rsid w:val="00C938CF"/>
    <w:rsid w:val="00C93BD6"/>
    <w:rsid w:val="00C94661"/>
    <w:rsid w:val="00C95F02"/>
    <w:rsid w:val="00C95F5A"/>
    <w:rsid w:val="00C9624D"/>
    <w:rsid w:val="00C9644D"/>
    <w:rsid w:val="00C96837"/>
    <w:rsid w:val="00C969DA"/>
    <w:rsid w:val="00C96D0D"/>
    <w:rsid w:val="00C96D6C"/>
    <w:rsid w:val="00C97B30"/>
    <w:rsid w:val="00CA01A3"/>
    <w:rsid w:val="00CA0569"/>
    <w:rsid w:val="00CA0637"/>
    <w:rsid w:val="00CA0BFE"/>
    <w:rsid w:val="00CA0F7E"/>
    <w:rsid w:val="00CA2C77"/>
    <w:rsid w:val="00CA2E9F"/>
    <w:rsid w:val="00CA3274"/>
    <w:rsid w:val="00CA4185"/>
    <w:rsid w:val="00CA4413"/>
    <w:rsid w:val="00CA444F"/>
    <w:rsid w:val="00CA4B80"/>
    <w:rsid w:val="00CA5245"/>
    <w:rsid w:val="00CA55C4"/>
    <w:rsid w:val="00CA5C74"/>
    <w:rsid w:val="00CA5C7D"/>
    <w:rsid w:val="00CA71F4"/>
    <w:rsid w:val="00CA7A61"/>
    <w:rsid w:val="00CA7B09"/>
    <w:rsid w:val="00CA7D56"/>
    <w:rsid w:val="00CA7F4B"/>
    <w:rsid w:val="00CB24AF"/>
    <w:rsid w:val="00CB2D23"/>
    <w:rsid w:val="00CB2F2A"/>
    <w:rsid w:val="00CB3488"/>
    <w:rsid w:val="00CB498E"/>
    <w:rsid w:val="00CB5B1A"/>
    <w:rsid w:val="00CB5C35"/>
    <w:rsid w:val="00CB6086"/>
    <w:rsid w:val="00CB6540"/>
    <w:rsid w:val="00CB6B22"/>
    <w:rsid w:val="00CB6E80"/>
    <w:rsid w:val="00CB6FAD"/>
    <w:rsid w:val="00CB7617"/>
    <w:rsid w:val="00CB7F5F"/>
    <w:rsid w:val="00CC0876"/>
    <w:rsid w:val="00CC1B39"/>
    <w:rsid w:val="00CC1EFE"/>
    <w:rsid w:val="00CC2E1D"/>
    <w:rsid w:val="00CC431A"/>
    <w:rsid w:val="00CC4A46"/>
    <w:rsid w:val="00CC500C"/>
    <w:rsid w:val="00CC57FB"/>
    <w:rsid w:val="00CC5F57"/>
    <w:rsid w:val="00CC659F"/>
    <w:rsid w:val="00CC6C47"/>
    <w:rsid w:val="00CC740C"/>
    <w:rsid w:val="00CC7BBD"/>
    <w:rsid w:val="00CD1631"/>
    <w:rsid w:val="00CD1780"/>
    <w:rsid w:val="00CD1C6F"/>
    <w:rsid w:val="00CD1DE9"/>
    <w:rsid w:val="00CD279F"/>
    <w:rsid w:val="00CD3554"/>
    <w:rsid w:val="00CD427F"/>
    <w:rsid w:val="00CD428B"/>
    <w:rsid w:val="00CD4DAC"/>
    <w:rsid w:val="00CD6ADC"/>
    <w:rsid w:val="00CE19F2"/>
    <w:rsid w:val="00CE1B00"/>
    <w:rsid w:val="00CE2414"/>
    <w:rsid w:val="00CE3008"/>
    <w:rsid w:val="00CE494E"/>
    <w:rsid w:val="00CE55FA"/>
    <w:rsid w:val="00CE6274"/>
    <w:rsid w:val="00CE70DA"/>
    <w:rsid w:val="00CE7610"/>
    <w:rsid w:val="00CE772F"/>
    <w:rsid w:val="00CE7C46"/>
    <w:rsid w:val="00CF122B"/>
    <w:rsid w:val="00CF1632"/>
    <w:rsid w:val="00CF2242"/>
    <w:rsid w:val="00CF2521"/>
    <w:rsid w:val="00CF2B8D"/>
    <w:rsid w:val="00CF2D20"/>
    <w:rsid w:val="00CF456B"/>
    <w:rsid w:val="00CF4EB9"/>
    <w:rsid w:val="00CF4F33"/>
    <w:rsid w:val="00CF5745"/>
    <w:rsid w:val="00CF5A22"/>
    <w:rsid w:val="00CF5F58"/>
    <w:rsid w:val="00CF6C64"/>
    <w:rsid w:val="00CF7D82"/>
    <w:rsid w:val="00D00094"/>
    <w:rsid w:val="00D00268"/>
    <w:rsid w:val="00D0154C"/>
    <w:rsid w:val="00D016C8"/>
    <w:rsid w:val="00D01F1A"/>
    <w:rsid w:val="00D025DD"/>
    <w:rsid w:val="00D0262E"/>
    <w:rsid w:val="00D02EFF"/>
    <w:rsid w:val="00D033FB"/>
    <w:rsid w:val="00D0385E"/>
    <w:rsid w:val="00D0428C"/>
    <w:rsid w:val="00D1075C"/>
    <w:rsid w:val="00D10CA0"/>
    <w:rsid w:val="00D110BD"/>
    <w:rsid w:val="00D1164C"/>
    <w:rsid w:val="00D11882"/>
    <w:rsid w:val="00D11B26"/>
    <w:rsid w:val="00D12091"/>
    <w:rsid w:val="00D12A1A"/>
    <w:rsid w:val="00D13675"/>
    <w:rsid w:val="00D13FFA"/>
    <w:rsid w:val="00D141E1"/>
    <w:rsid w:val="00D16D35"/>
    <w:rsid w:val="00D17769"/>
    <w:rsid w:val="00D177AB"/>
    <w:rsid w:val="00D17D6C"/>
    <w:rsid w:val="00D2167A"/>
    <w:rsid w:val="00D21F52"/>
    <w:rsid w:val="00D225C7"/>
    <w:rsid w:val="00D22D6A"/>
    <w:rsid w:val="00D24DE4"/>
    <w:rsid w:val="00D25F0E"/>
    <w:rsid w:val="00D266B0"/>
    <w:rsid w:val="00D26716"/>
    <w:rsid w:val="00D270FA"/>
    <w:rsid w:val="00D274DE"/>
    <w:rsid w:val="00D2754D"/>
    <w:rsid w:val="00D27B27"/>
    <w:rsid w:val="00D30165"/>
    <w:rsid w:val="00D303A6"/>
    <w:rsid w:val="00D309A1"/>
    <w:rsid w:val="00D3199C"/>
    <w:rsid w:val="00D3229F"/>
    <w:rsid w:val="00D33529"/>
    <w:rsid w:val="00D33BE9"/>
    <w:rsid w:val="00D3468B"/>
    <w:rsid w:val="00D348BD"/>
    <w:rsid w:val="00D34C1B"/>
    <w:rsid w:val="00D357FF"/>
    <w:rsid w:val="00D37C1B"/>
    <w:rsid w:val="00D424C7"/>
    <w:rsid w:val="00D42807"/>
    <w:rsid w:val="00D43720"/>
    <w:rsid w:val="00D43B2A"/>
    <w:rsid w:val="00D440E9"/>
    <w:rsid w:val="00D44597"/>
    <w:rsid w:val="00D45630"/>
    <w:rsid w:val="00D45800"/>
    <w:rsid w:val="00D46576"/>
    <w:rsid w:val="00D47575"/>
    <w:rsid w:val="00D508FE"/>
    <w:rsid w:val="00D53CD8"/>
    <w:rsid w:val="00D5411C"/>
    <w:rsid w:val="00D5529E"/>
    <w:rsid w:val="00D57BC7"/>
    <w:rsid w:val="00D609E7"/>
    <w:rsid w:val="00D62536"/>
    <w:rsid w:val="00D62727"/>
    <w:rsid w:val="00D63D89"/>
    <w:rsid w:val="00D64185"/>
    <w:rsid w:val="00D64C48"/>
    <w:rsid w:val="00D64D52"/>
    <w:rsid w:val="00D65793"/>
    <w:rsid w:val="00D6658F"/>
    <w:rsid w:val="00D67A81"/>
    <w:rsid w:val="00D67CE1"/>
    <w:rsid w:val="00D70F16"/>
    <w:rsid w:val="00D71451"/>
    <w:rsid w:val="00D72F52"/>
    <w:rsid w:val="00D733BA"/>
    <w:rsid w:val="00D74077"/>
    <w:rsid w:val="00D7448B"/>
    <w:rsid w:val="00D74887"/>
    <w:rsid w:val="00D74C8E"/>
    <w:rsid w:val="00D750BF"/>
    <w:rsid w:val="00D75CED"/>
    <w:rsid w:val="00D769AB"/>
    <w:rsid w:val="00D76A44"/>
    <w:rsid w:val="00D76F49"/>
    <w:rsid w:val="00D77192"/>
    <w:rsid w:val="00D77A80"/>
    <w:rsid w:val="00D77E9B"/>
    <w:rsid w:val="00D80783"/>
    <w:rsid w:val="00D80B44"/>
    <w:rsid w:val="00D80B46"/>
    <w:rsid w:val="00D80C9D"/>
    <w:rsid w:val="00D815EF"/>
    <w:rsid w:val="00D8166C"/>
    <w:rsid w:val="00D8221A"/>
    <w:rsid w:val="00D82400"/>
    <w:rsid w:val="00D83396"/>
    <w:rsid w:val="00D83D1B"/>
    <w:rsid w:val="00D84CC1"/>
    <w:rsid w:val="00D86940"/>
    <w:rsid w:val="00D875AE"/>
    <w:rsid w:val="00D901CC"/>
    <w:rsid w:val="00D90F58"/>
    <w:rsid w:val="00D91923"/>
    <w:rsid w:val="00D91D48"/>
    <w:rsid w:val="00D91DFC"/>
    <w:rsid w:val="00D92DC7"/>
    <w:rsid w:val="00D93490"/>
    <w:rsid w:val="00D93753"/>
    <w:rsid w:val="00D93E4A"/>
    <w:rsid w:val="00D954CE"/>
    <w:rsid w:val="00D95966"/>
    <w:rsid w:val="00D95ECA"/>
    <w:rsid w:val="00D95F34"/>
    <w:rsid w:val="00D95F59"/>
    <w:rsid w:val="00D965A1"/>
    <w:rsid w:val="00D971B1"/>
    <w:rsid w:val="00D97719"/>
    <w:rsid w:val="00DA11AE"/>
    <w:rsid w:val="00DA16DD"/>
    <w:rsid w:val="00DA16ED"/>
    <w:rsid w:val="00DA267B"/>
    <w:rsid w:val="00DA3167"/>
    <w:rsid w:val="00DA4095"/>
    <w:rsid w:val="00DA43B6"/>
    <w:rsid w:val="00DA470D"/>
    <w:rsid w:val="00DA4DC3"/>
    <w:rsid w:val="00DA58FC"/>
    <w:rsid w:val="00DA694F"/>
    <w:rsid w:val="00DA6EDA"/>
    <w:rsid w:val="00DA7221"/>
    <w:rsid w:val="00DA7563"/>
    <w:rsid w:val="00DA77A5"/>
    <w:rsid w:val="00DA7F8E"/>
    <w:rsid w:val="00DB069F"/>
    <w:rsid w:val="00DB0E52"/>
    <w:rsid w:val="00DB2D40"/>
    <w:rsid w:val="00DB373E"/>
    <w:rsid w:val="00DB3D9F"/>
    <w:rsid w:val="00DB4020"/>
    <w:rsid w:val="00DB41CA"/>
    <w:rsid w:val="00DB484F"/>
    <w:rsid w:val="00DB4D37"/>
    <w:rsid w:val="00DB586F"/>
    <w:rsid w:val="00DB5D11"/>
    <w:rsid w:val="00DB6115"/>
    <w:rsid w:val="00DC04F6"/>
    <w:rsid w:val="00DC09FB"/>
    <w:rsid w:val="00DC22D3"/>
    <w:rsid w:val="00DC3C57"/>
    <w:rsid w:val="00DC4E83"/>
    <w:rsid w:val="00DC5501"/>
    <w:rsid w:val="00DC5B4B"/>
    <w:rsid w:val="00DC7889"/>
    <w:rsid w:val="00DD0333"/>
    <w:rsid w:val="00DD273C"/>
    <w:rsid w:val="00DD2E8C"/>
    <w:rsid w:val="00DD35A4"/>
    <w:rsid w:val="00DD3F28"/>
    <w:rsid w:val="00DD4537"/>
    <w:rsid w:val="00DD4E15"/>
    <w:rsid w:val="00DD572F"/>
    <w:rsid w:val="00DD5908"/>
    <w:rsid w:val="00DD7EDB"/>
    <w:rsid w:val="00DE1CD1"/>
    <w:rsid w:val="00DE3027"/>
    <w:rsid w:val="00DE3138"/>
    <w:rsid w:val="00DE3183"/>
    <w:rsid w:val="00DE37F8"/>
    <w:rsid w:val="00DE4FCB"/>
    <w:rsid w:val="00DE632A"/>
    <w:rsid w:val="00DE6C66"/>
    <w:rsid w:val="00DE6FC5"/>
    <w:rsid w:val="00DE7108"/>
    <w:rsid w:val="00DE74ED"/>
    <w:rsid w:val="00DE7832"/>
    <w:rsid w:val="00DE79DD"/>
    <w:rsid w:val="00DF078F"/>
    <w:rsid w:val="00DF125C"/>
    <w:rsid w:val="00DF18FC"/>
    <w:rsid w:val="00DF1E5D"/>
    <w:rsid w:val="00DF360D"/>
    <w:rsid w:val="00DF36A9"/>
    <w:rsid w:val="00DF4AB2"/>
    <w:rsid w:val="00DF5D2B"/>
    <w:rsid w:val="00DF6C6D"/>
    <w:rsid w:val="00DF7539"/>
    <w:rsid w:val="00E00CE5"/>
    <w:rsid w:val="00E00E8E"/>
    <w:rsid w:val="00E01C67"/>
    <w:rsid w:val="00E02BEC"/>
    <w:rsid w:val="00E05630"/>
    <w:rsid w:val="00E061C5"/>
    <w:rsid w:val="00E06222"/>
    <w:rsid w:val="00E06412"/>
    <w:rsid w:val="00E06DBB"/>
    <w:rsid w:val="00E07D49"/>
    <w:rsid w:val="00E10001"/>
    <w:rsid w:val="00E10149"/>
    <w:rsid w:val="00E1017F"/>
    <w:rsid w:val="00E12437"/>
    <w:rsid w:val="00E126AC"/>
    <w:rsid w:val="00E129ED"/>
    <w:rsid w:val="00E12A3E"/>
    <w:rsid w:val="00E13BCB"/>
    <w:rsid w:val="00E141CF"/>
    <w:rsid w:val="00E144E8"/>
    <w:rsid w:val="00E15146"/>
    <w:rsid w:val="00E15C44"/>
    <w:rsid w:val="00E162B1"/>
    <w:rsid w:val="00E16372"/>
    <w:rsid w:val="00E16B8C"/>
    <w:rsid w:val="00E16BFA"/>
    <w:rsid w:val="00E16E54"/>
    <w:rsid w:val="00E17BA4"/>
    <w:rsid w:val="00E20E4D"/>
    <w:rsid w:val="00E20ED6"/>
    <w:rsid w:val="00E21358"/>
    <w:rsid w:val="00E2249B"/>
    <w:rsid w:val="00E22A0D"/>
    <w:rsid w:val="00E23575"/>
    <w:rsid w:val="00E23A34"/>
    <w:rsid w:val="00E2424D"/>
    <w:rsid w:val="00E244A5"/>
    <w:rsid w:val="00E25A61"/>
    <w:rsid w:val="00E25C6A"/>
    <w:rsid w:val="00E268E8"/>
    <w:rsid w:val="00E26D1D"/>
    <w:rsid w:val="00E26D8B"/>
    <w:rsid w:val="00E2728D"/>
    <w:rsid w:val="00E27674"/>
    <w:rsid w:val="00E2771E"/>
    <w:rsid w:val="00E30011"/>
    <w:rsid w:val="00E307A0"/>
    <w:rsid w:val="00E30E99"/>
    <w:rsid w:val="00E33677"/>
    <w:rsid w:val="00E341BD"/>
    <w:rsid w:val="00E347A0"/>
    <w:rsid w:val="00E34948"/>
    <w:rsid w:val="00E350F5"/>
    <w:rsid w:val="00E353F5"/>
    <w:rsid w:val="00E3575F"/>
    <w:rsid w:val="00E3581D"/>
    <w:rsid w:val="00E36069"/>
    <w:rsid w:val="00E37569"/>
    <w:rsid w:val="00E3756E"/>
    <w:rsid w:val="00E378D6"/>
    <w:rsid w:val="00E37F11"/>
    <w:rsid w:val="00E4010E"/>
    <w:rsid w:val="00E410D6"/>
    <w:rsid w:val="00E41E30"/>
    <w:rsid w:val="00E42A24"/>
    <w:rsid w:val="00E43855"/>
    <w:rsid w:val="00E4393E"/>
    <w:rsid w:val="00E43BA1"/>
    <w:rsid w:val="00E43D70"/>
    <w:rsid w:val="00E453AE"/>
    <w:rsid w:val="00E46471"/>
    <w:rsid w:val="00E466F3"/>
    <w:rsid w:val="00E47119"/>
    <w:rsid w:val="00E47B2C"/>
    <w:rsid w:val="00E47B69"/>
    <w:rsid w:val="00E5019E"/>
    <w:rsid w:val="00E51560"/>
    <w:rsid w:val="00E51F49"/>
    <w:rsid w:val="00E527EB"/>
    <w:rsid w:val="00E52B68"/>
    <w:rsid w:val="00E53BCD"/>
    <w:rsid w:val="00E53E4B"/>
    <w:rsid w:val="00E5416C"/>
    <w:rsid w:val="00E54347"/>
    <w:rsid w:val="00E5457B"/>
    <w:rsid w:val="00E54BFA"/>
    <w:rsid w:val="00E55424"/>
    <w:rsid w:val="00E55BB5"/>
    <w:rsid w:val="00E56120"/>
    <w:rsid w:val="00E56590"/>
    <w:rsid w:val="00E605FA"/>
    <w:rsid w:val="00E6080B"/>
    <w:rsid w:val="00E60E21"/>
    <w:rsid w:val="00E6167E"/>
    <w:rsid w:val="00E61B50"/>
    <w:rsid w:val="00E62A0E"/>
    <w:rsid w:val="00E62B2B"/>
    <w:rsid w:val="00E63180"/>
    <w:rsid w:val="00E65E79"/>
    <w:rsid w:val="00E66BA2"/>
    <w:rsid w:val="00E66BDE"/>
    <w:rsid w:val="00E67416"/>
    <w:rsid w:val="00E67C88"/>
    <w:rsid w:val="00E70874"/>
    <w:rsid w:val="00E70B5B"/>
    <w:rsid w:val="00E718B6"/>
    <w:rsid w:val="00E723BA"/>
    <w:rsid w:val="00E7259B"/>
    <w:rsid w:val="00E72E9C"/>
    <w:rsid w:val="00E7303C"/>
    <w:rsid w:val="00E73581"/>
    <w:rsid w:val="00E736F1"/>
    <w:rsid w:val="00E737DB"/>
    <w:rsid w:val="00E73D9B"/>
    <w:rsid w:val="00E73DC8"/>
    <w:rsid w:val="00E74FA4"/>
    <w:rsid w:val="00E751E9"/>
    <w:rsid w:val="00E75BDB"/>
    <w:rsid w:val="00E76DBB"/>
    <w:rsid w:val="00E76F2A"/>
    <w:rsid w:val="00E801CA"/>
    <w:rsid w:val="00E808D5"/>
    <w:rsid w:val="00E81199"/>
    <w:rsid w:val="00E82752"/>
    <w:rsid w:val="00E82993"/>
    <w:rsid w:val="00E8324D"/>
    <w:rsid w:val="00E833F7"/>
    <w:rsid w:val="00E836AB"/>
    <w:rsid w:val="00E83BDF"/>
    <w:rsid w:val="00E83C04"/>
    <w:rsid w:val="00E841CD"/>
    <w:rsid w:val="00E8662C"/>
    <w:rsid w:val="00E868AA"/>
    <w:rsid w:val="00E876DA"/>
    <w:rsid w:val="00E87A1D"/>
    <w:rsid w:val="00E87B05"/>
    <w:rsid w:val="00E87BD4"/>
    <w:rsid w:val="00E87E6B"/>
    <w:rsid w:val="00E92491"/>
    <w:rsid w:val="00E9252E"/>
    <w:rsid w:val="00E9261E"/>
    <w:rsid w:val="00E926A5"/>
    <w:rsid w:val="00E93216"/>
    <w:rsid w:val="00E93D96"/>
    <w:rsid w:val="00E943C8"/>
    <w:rsid w:val="00E947E0"/>
    <w:rsid w:val="00E94CC4"/>
    <w:rsid w:val="00E95EA4"/>
    <w:rsid w:val="00E968B8"/>
    <w:rsid w:val="00E96BC5"/>
    <w:rsid w:val="00E96CEB"/>
    <w:rsid w:val="00EA0AA4"/>
    <w:rsid w:val="00EA0E6B"/>
    <w:rsid w:val="00EA17C3"/>
    <w:rsid w:val="00EA21D5"/>
    <w:rsid w:val="00EA2C7D"/>
    <w:rsid w:val="00EA2CAA"/>
    <w:rsid w:val="00EA3864"/>
    <w:rsid w:val="00EA6B64"/>
    <w:rsid w:val="00EA6D60"/>
    <w:rsid w:val="00EA7556"/>
    <w:rsid w:val="00EA764D"/>
    <w:rsid w:val="00EA7891"/>
    <w:rsid w:val="00EA79AE"/>
    <w:rsid w:val="00EA7DBC"/>
    <w:rsid w:val="00EB0852"/>
    <w:rsid w:val="00EB0A6C"/>
    <w:rsid w:val="00EB15B6"/>
    <w:rsid w:val="00EB39C2"/>
    <w:rsid w:val="00EB4120"/>
    <w:rsid w:val="00EB42E9"/>
    <w:rsid w:val="00EB4916"/>
    <w:rsid w:val="00EB5117"/>
    <w:rsid w:val="00EC00C9"/>
    <w:rsid w:val="00EC0704"/>
    <w:rsid w:val="00EC1727"/>
    <w:rsid w:val="00EC21DF"/>
    <w:rsid w:val="00EC2649"/>
    <w:rsid w:val="00EC2806"/>
    <w:rsid w:val="00EC2D99"/>
    <w:rsid w:val="00EC3DA8"/>
    <w:rsid w:val="00EC42D3"/>
    <w:rsid w:val="00EC4D5E"/>
    <w:rsid w:val="00EC4F5D"/>
    <w:rsid w:val="00EC60DE"/>
    <w:rsid w:val="00EC7737"/>
    <w:rsid w:val="00EC7AB4"/>
    <w:rsid w:val="00EC7D39"/>
    <w:rsid w:val="00ED0235"/>
    <w:rsid w:val="00ED0B3E"/>
    <w:rsid w:val="00ED2ACC"/>
    <w:rsid w:val="00ED4270"/>
    <w:rsid w:val="00ED44FF"/>
    <w:rsid w:val="00ED47A0"/>
    <w:rsid w:val="00ED4D04"/>
    <w:rsid w:val="00ED57EA"/>
    <w:rsid w:val="00ED6F12"/>
    <w:rsid w:val="00ED740E"/>
    <w:rsid w:val="00ED7FAB"/>
    <w:rsid w:val="00EE07D3"/>
    <w:rsid w:val="00EE0E71"/>
    <w:rsid w:val="00EE22AF"/>
    <w:rsid w:val="00EE2D81"/>
    <w:rsid w:val="00EE36CE"/>
    <w:rsid w:val="00EE3E30"/>
    <w:rsid w:val="00EE4A5F"/>
    <w:rsid w:val="00EE5903"/>
    <w:rsid w:val="00EE5B00"/>
    <w:rsid w:val="00EE628E"/>
    <w:rsid w:val="00EE6E37"/>
    <w:rsid w:val="00EF0171"/>
    <w:rsid w:val="00EF0691"/>
    <w:rsid w:val="00EF0DFA"/>
    <w:rsid w:val="00EF1B25"/>
    <w:rsid w:val="00EF1E68"/>
    <w:rsid w:val="00EF24A2"/>
    <w:rsid w:val="00EF3022"/>
    <w:rsid w:val="00EF4747"/>
    <w:rsid w:val="00EF4BF8"/>
    <w:rsid w:val="00EF5184"/>
    <w:rsid w:val="00EF5D18"/>
    <w:rsid w:val="00EF636E"/>
    <w:rsid w:val="00EF74C8"/>
    <w:rsid w:val="00EF7DCE"/>
    <w:rsid w:val="00F00B2B"/>
    <w:rsid w:val="00F01E36"/>
    <w:rsid w:val="00F020BC"/>
    <w:rsid w:val="00F021A7"/>
    <w:rsid w:val="00F02253"/>
    <w:rsid w:val="00F022D2"/>
    <w:rsid w:val="00F03C2E"/>
    <w:rsid w:val="00F03C8E"/>
    <w:rsid w:val="00F045F6"/>
    <w:rsid w:val="00F04A66"/>
    <w:rsid w:val="00F0516C"/>
    <w:rsid w:val="00F05738"/>
    <w:rsid w:val="00F05C93"/>
    <w:rsid w:val="00F0667B"/>
    <w:rsid w:val="00F067A2"/>
    <w:rsid w:val="00F07369"/>
    <w:rsid w:val="00F07D4D"/>
    <w:rsid w:val="00F1048A"/>
    <w:rsid w:val="00F11230"/>
    <w:rsid w:val="00F120A6"/>
    <w:rsid w:val="00F1263A"/>
    <w:rsid w:val="00F12E31"/>
    <w:rsid w:val="00F13F8B"/>
    <w:rsid w:val="00F14344"/>
    <w:rsid w:val="00F14EBE"/>
    <w:rsid w:val="00F15233"/>
    <w:rsid w:val="00F15A6E"/>
    <w:rsid w:val="00F173E5"/>
    <w:rsid w:val="00F17D4C"/>
    <w:rsid w:val="00F205D6"/>
    <w:rsid w:val="00F23054"/>
    <w:rsid w:val="00F24075"/>
    <w:rsid w:val="00F24455"/>
    <w:rsid w:val="00F24837"/>
    <w:rsid w:val="00F2575F"/>
    <w:rsid w:val="00F25ADC"/>
    <w:rsid w:val="00F26E25"/>
    <w:rsid w:val="00F272DB"/>
    <w:rsid w:val="00F27565"/>
    <w:rsid w:val="00F27B4D"/>
    <w:rsid w:val="00F27D97"/>
    <w:rsid w:val="00F30701"/>
    <w:rsid w:val="00F30A05"/>
    <w:rsid w:val="00F30FA1"/>
    <w:rsid w:val="00F310D4"/>
    <w:rsid w:val="00F313CE"/>
    <w:rsid w:val="00F31C7E"/>
    <w:rsid w:val="00F31D5A"/>
    <w:rsid w:val="00F32831"/>
    <w:rsid w:val="00F336CA"/>
    <w:rsid w:val="00F33BA4"/>
    <w:rsid w:val="00F33DE9"/>
    <w:rsid w:val="00F33FEB"/>
    <w:rsid w:val="00F34083"/>
    <w:rsid w:val="00F34CCA"/>
    <w:rsid w:val="00F35125"/>
    <w:rsid w:val="00F35879"/>
    <w:rsid w:val="00F3619A"/>
    <w:rsid w:val="00F363D7"/>
    <w:rsid w:val="00F36B19"/>
    <w:rsid w:val="00F4054F"/>
    <w:rsid w:val="00F40AAA"/>
    <w:rsid w:val="00F40BA7"/>
    <w:rsid w:val="00F4149E"/>
    <w:rsid w:val="00F4290F"/>
    <w:rsid w:val="00F429F4"/>
    <w:rsid w:val="00F43347"/>
    <w:rsid w:val="00F43932"/>
    <w:rsid w:val="00F43B0A"/>
    <w:rsid w:val="00F457BC"/>
    <w:rsid w:val="00F46585"/>
    <w:rsid w:val="00F46999"/>
    <w:rsid w:val="00F46CB6"/>
    <w:rsid w:val="00F47AF5"/>
    <w:rsid w:val="00F47DE8"/>
    <w:rsid w:val="00F51A7D"/>
    <w:rsid w:val="00F542C1"/>
    <w:rsid w:val="00F542C7"/>
    <w:rsid w:val="00F55425"/>
    <w:rsid w:val="00F55E1C"/>
    <w:rsid w:val="00F55E73"/>
    <w:rsid w:val="00F55EDA"/>
    <w:rsid w:val="00F56AFC"/>
    <w:rsid w:val="00F57102"/>
    <w:rsid w:val="00F576B1"/>
    <w:rsid w:val="00F60092"/>
    <w:rsid w:val="00F60BDE"/>
    <w:rsid w:val="00F60FF1"/>
    <w:rsid w:val="00F62183"/>
    <w:rsid w:val="00F62D45"/>
    <w:rsid w:val="00F630A1"/>
    <w:rsid w:val="00F63169"/>
    <w:rsid w:val="00F631FC"/>
    <w:rsid w:val="00F651F9"/>
    <w:rsid w:val="00F65F4B"/>
    <w:rsid w:val="00F66551"/>
    <w:rsid w:val="00F672D1"/>
    <w:rsid w:val="00F70C9D"/>
    <w:rsid w:val="00F70F27"/>
    <w:rsid w:val="00F7174D"/>
    <w:rsid w:val="00F7195A"/>
    <w:rsid w:val="00F71AE8"/>
    <w:rsid w:val="00F71FC2"/>
    <w:rsid w:val="00F7248E"/>
    <w:rsid w:val="00F72661"/>
    <w:rsid w:val="00F72A7F"/>
    <w:rsid w:val="00F73B9F"/>
    <w:rsid w:val="00F73C1D"/>
    <w:rsid w:val="00F73FF7"/>
    <w:rsid w:val="00F74081"/>
    <w:rsid w:val="00F74119"/>
    <w:rsid w:val="00F749BF"/>
    <w:rsid w:val="00F74AE1"/>
    <w:rsid w:val="00F74CD9"/>
    <w:rsid w:val="00F75094"/>
    <w:rsid w:val="00F762C7"/>
    <w:rsid w:val="00F76529"/>
    <w:rsid w:val="00F767A5"/>
    <w:rsid w:val="00F804FC"/>
    <w:rsid w:val="00F80709"/>
    <w:rsid w:val="00F80A2A"/>
    <w:rsid w:val="00F80A7B"/>
    <w:rsid w:val="00F80DE6"/>
    <w:rsid w:val="00F80E5D"/>
    <w:rsid w:val="00F8342C"/>
    <w:rsid w:val="00F8441F"/>
    <w:rsid w:val="00F84ADF"/>
    <w:rsid w:val="00F84D6A"/>
    <w:rsid w:val="00F851CE"/>
    <w:rsid w:val="00F8547E"/>
    <w:rsid w:val="00F85DBA"/>
    <w:rsid w:val="00F868F0"/>
    <w:rsid w:val="00F8699D"/>
    <w:rsid w:val="00F878A5"/>
    <w:rsid w:val="00F9030E"/>
    <w:rsid w:val="00F91219"/>
    <w:rsid w:val="00F9160D"/>
    <w:rsid w:val="00F94063"/>
    <w:rsid w:val="00F94A99"/>
    <w:rsid w:val="00F94DED"/>
    <w:rsid w:val="00F95C60"/>
    <w:rsid w:val="00F97894"/>
    <w:rsid w:val="00F97A78"/>
    <w:rsid w:val="00F97AD3"/>
    <w:rsid w:val="00FA0278"/>
    <w:rsid w:val="00FA0B20"/>
    <w:rsid w:val="00FA1780"/>
    <w:rsid w:val="00FA184B"/>
    <w:rsid w:val="00FA1B34"/>
    <w:rsid w:val="00FA1FCD"/>
    <w:rsid w:val="00FA2485"/>
    <w:rsid w:val="00FA24E7"/>
    <w:rsid w:val="00FA256C"/>
    <w:rsid w:val="00FA28BF"/>
    <w:rsid w:val="00FA3494"/>
    <w:rsid w:val="00FA5A22"/>
    <w:rsid w:val="00FA60DA"/>
    <w:rsid w:val="00FA7B54"/>
    <w:rsid w:val="00FB0C95"/>
    <w:rsid w:val="00FB15F1"/>
    <w:rsid w:val="00FB1F7F"/>
    <w:rsid w:val="00FB226F"/>
    <w:rsid w:val="00FB23DE"/>
    <w:rsid w:val="00FB25F0"/>
    <w:rsid w:val="00FB2FCB"/>
    <w:rsid w:val="00FB4FEE"/>
    <w:rsid w:val="00FB71BD"/>
    <w:rsid w:val="00FB71CD"/>
    <w:rsid w:val="00FB744C"/>
    <w:rsid w:val="00FC0F6D"/>
    <w:rsid w:val="00FC1074"/>
    <w:rsid w:val="00FC1146"/>
    <w:rsid w:val="00FC172C"/>
    <w:rsid w:val="00FC1884"/>
    <w:rsid w:val="00FC33E8"/>
    <w:rsid w:val="00FC371D"/>
    <w:rsid w:val="00FC3C1B"/>
    <w:rsid w:val="00FC3CF9"/>
    <w:rsid w:val="00FC4300"/>
    <w:rsid w:val="00FC456E"/>
    <w:rsid w:val="00FC4699"/>
    <w:rsid w:val="00FC4842"/>
    <w:rsid w:val="00FC49F5"/>
    <w:rsid w:val="00FC4CF5"/>
    <w:rsid w:val="00FC5C53"/>
    <w:rsid w:val="00FC5F0B"/>
    <w:rsid w:val="00FC6497"/>
    <w:rsid w:val="00FC7538"/>
    <w:rsid w:val="00FD07F4"/>
    <w:rsid w:val="00FD0D08"/>
    <w:rsid w:val="00FD13C8"/>
    <w:rsid w:val="00FD2100"/>
    <w:rsid w:val="00FD22DA"/>
    <w:rsid w:val="00FD3B3A"/>
    <w:rsid w:val="00FD436C"/>
    <w:rsid w:val="00FD446D"/>
    <w:rsid w:val="00FD6394"/>
    <w:rsid w:val="00FD6EF7"/>
    <w:rsid w:val="00FD797B"/>
    <w:rsid w:val="00FD7C73"/>
    <w:rsid w:val="00FE02B5"/>
    <w:rsid w:val="00FE0531"/>
    <w:rsid w:val="00FE0E6C"/>
    <w:rsid w:val="00FE10BA"/>
    <w:rsid w:val="00FE1CCD"/>
    <w:rsid w:val="00FE2734"/>
    <w:rsid w:val="00FE278D"/>
    <w:rsid w:val="00FE2A68"/>
    <w:rsid w:val="00FE3239"/>
    <w:rsid w:val="00FE3CF2"/>
    <w:rsid w:val="00FE4F52"/>
    <w:rsid w:val="00FE5BD0"/>
    <w:rsid w:val="00FE5CDB"/>
    <w:rsid w:val="00FE5E74"/>
    <w:rsid w:val="00FE65E7"/>
    <w:rsid w:val="00FE70C3"/>
    <w:rsid w:val="00FE7424"/>
    <w:rsid w:val="00FE76A3"/>
    <w:rsid w:val="00FF1F8A"/>
    <w:rsid w:val="00FF3A50"/>
    <w:rsid w:val="00FF3DCF"/>
    <w:rsid w:val="00FF3EF4"/>
    <w:rsid w:val="00FF492C"/>
    <w:rsid w:val="00FF494C"/>
    <w:rsid w:val="00FF49B5"/>
    <w:rsid w:val="00FF4A21"/>
    <w:rsid w:val="00FF51A6"/>
    <w:rsid w:val="00FF5404"/>
    <w:rsid w:val="00FF5453"/>
    <w:rsid w:val="00FF5AA3"/>
    <w:rsid w:val="00FF5AD8"/>
    <w:rsid w:val="00FF6AF0"/>
    <w:rsid w:val="00FF7D1E"/>
    <w:rsid w:val="00FF7EE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381"/>
    <w:pPr>
      <w:widowControl w:val="0"/>
      <w:jc w:val="both"/>
    </w:pPr>
    <w:rPr>
      <w:rFonts w:ascii="Calibri" w:hAnsi="Calibri" w:cs="Arial"/>
      <w:snapToGrid w:val="0"/>
      <w:sz w:val="24"/>
      <w:szCs w:val="22"/>
      <w:lang w:eastAsia="en-US"/>
    </w:rPr>
  </w:style>
  <w:style w:type="paragraph" w:styleId="Heading1">
    <w:name w:val="heading 1"/>
    <w:basedOn w:val="PBACHeading1"/>
    <w:next w:val="Normal"/>
    <w:qFormat/>
    <w:rsid w:val="00114B88"/>
    <w:pPr>
      <w:keepNext/>
      <w:spacing w:before="240"/>
      <w:outlineLvl w:val="0"/>
    </w:pPr>
    <w:rPr>
      <w:szCs w:val="32"/>
    </w:rPr>
  </w:style>
  <w:style w:type="paragraph" w:styleId="Heading2">
    <w:name w:val="heading 2"/>
    <w:basedOn w:val="Normal"/>
    <w:next w:val="Normal"/>
    <w:link w:val="Heading2Char"/>
    <w:qFormat/>
    <w:rsid w:val="00114B88"/>
    <w:pPr>
      <w:keepNext/>
      <w:widowControl/>
      <w:spacing w:before="120"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14B88"/>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114B88"/>
    <w:pPr>
      <w:widowControl/>
    </w:pPr>
    <w:rPr>
      <w:rFonts w:ascii="Arial Narrow" w:hAnsi="Arial Narrow"/>
      <w:sz w:val="18"/>
      <w:szCs w:val="18"/>
    </w:rPr>
  </w:style>
  <w:style w:type="character" w:customStyle="1" w:styleId="TableFooterChar">
    <w:name w:val="Table Footer Char"/>
    <w:link w:val="TableFooter"/>
    <w:rsid w:val="00114B88"/>
    <w:rPr>
      <w:rFonts w:ascii="Arial Narrow" w:hAnsi="Arial Narrow" w:cs="Arial"/>
      <w:snapToGrid w:val="0"/>
      <w:sz w:val="18"/>
      <w:szCs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table header,Caption Char1 Char,Caption Char Char Char,Bayer Caption,IB Caption,Medical Caption,- H17,CSR Caption,Char,Caption2,Caption Char1 Char Char Char,Caption Char Char Char Char Char,Caption Char Char1 Char,Caption Char1 Char1"/>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table header Char,Caption Char1 Char Char,Caption Char Char Char Char,Bayer Caption Char,IB Caption Char,Medical Caption Char,- H17 Char,CSR Caption Char,Char Char,Caption2 Char,Caption Char1 Char Char Char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s Points,BulletPoints,List Paragraph1,Styl moj,Akapit z listą1,Akapit z listą11"/>
    <w:basedOn w:val="Normal"/>
    <w:link w:val="ListParagraphChar"/>
    <w:uiPriority w:val="34"/>
    <w:qFormat/>
    <w:rsid w:val="00A04B88"/>
    <w:pPr>
      <w:widowControl/>
      <w:numPr>
        <w:ilvl w:val="1"/>
        <w:numId w:val="3"/>
      </w:numPr>
      <w:spacing w:after="120"/>
    </w:pPr>
  </w:style>
  <w:style w:type="character" w:customStyle="1" w:styleId="ListParagraphChar">
    <w:name w:val="List Paragraph Char"/>
    <w:aliases w:val="Numbered para Char,Bullets Points Char,BulletPoints Char,List Paragraph1 Char,Styl moj Char,Akapit z listą1 Char,Akapit z listą11 Char"/>
    <w:basedOn w:val="DefaultParagraphFont"/>
    <w:link w:val="ListParagraph"/>
    <w:uiPriority w:val="72"/>
    <w:qFormat/>
    <w:locked/>
    <w:rsid w:val="00A04B88"/>
    <w:rPr>
      <w:rFonts w:ascii="Calibri" w:hAnsi="Calibri" w:cs="Arial"/>
      <w:snapToGrid w:val="0"/>
      <w:sz w:val="24"/>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Lines/>
      <w:spacing w:before="480" w:line="276" w:lineRule="auto"/>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ilvl w:val="0"/>
        <w:numId w:val="4"/>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882D6F"/>
    <w:pPr>
      <w:numPr>
        <w:numId w:val="3"/>
      </w:numPr>
      <w:spacing w:before="120" w:after="12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character" w:styleId="PlaceholderText">
    <w:name w:val="Placeholder Text"/>
    <w:basedOn w:val="DefaultParagraphFont"/>
    <w:uiPriority w:val="99"/>
    <w:semiHidden/>
    <w:rsid w:val="00316108"/>
    <w:rPr>
      <w:color w:val="808080"/>
    </w:rPr>
  </w:style>
  <w:style w:type="paragraph" w:customStyle="1" w:styleId="TableText0">
    <w:name w:val="Table Text"/>
    <w:basedOn w:val="Normal"/>
    <w:qFormat/>
    <w:rsid w:val="00041671"/>
    <w:pPr>
      <w:keepNext/>
      <w:widowControl/>
      <w:spacing w:before="40" w:after="40"/>
      <w:jc w:val="left"/>
    </w:pPr>
    <w:rPr>
      <w:rFonts w:ascii="Arial Narrow" w:eastAsiaTheme="minorHAnsi" w:hAnsi="Arial Narrow" w:cstheme="minorBidi"/>
      <w:snapToGrid/>
      <w:sz w:val="20"/>
    </w:rPr>
  </w:style>
  <w:style w:type="paragraph" w:styleId="FootnoteText">
    <w:name w:val="footnote text"/>
    <w:basedOn w:val="Normal"/>
    <w:link w:val="FootnoteTextChar"/>
    <w:semiHidden/>
    <w:unhideWhenUsed/>
    <w:rsid w:val="009D67F5"/>
    <w:rPr>
      <w:sz w:val="20"/>
      <w:szCs w:val="20"/>
    </w:rPr>
  </w:style>
  <w:style w:type="character" w:customStyle="1" w:styleId="FootnoteTextChar">
    <w:name w:val="Footnote Text Char"/>
    <w:basedOn w:val="DefaultParagraphFont"/>
    <w:link w:val="FootnoteText"/>
    <w:semiHidden/>
    <w:rsid w:val="009D67F5"/>
    <w:rPr>
      <w:rFonts w:ascii="Calibri" w:hAnsi="Calibri" w:cs="Arial"/>
      <w:snapToGrid w:val="0"/>
      <w:lang w:eastAsia="en-US"/>
    </w:rPr>
  </w:style>
  <w:style w:type="character" w:styleId="FootnoteReference">
    <w:name w:val="footnote reference"/>
    <w:basedOn w:val="DefaultParagraphFont"/>
    <w:semiHidden/>
    <w:unhideWhenUsed/>
    <w:rsid w:val="009D67F5"/>
    <w:rPr>
      <w:vertAlign w:val="superscript"/>
    </w:rPr>
  </w:style>
  <w:style w:type="character" w:customStyle="1" w:styleId="CaptionFootnoteChar">
    <w:name w:val="Caption Footnote Char"/>
    <w:basedOn w:val="DefaultParagraphFont"/>
    <w:link w:val="CaptionFootnote"/>
    <w:rsid w:val="003B3314"/>
    <w:rPr>
      <w:rFonts w:ascii="Calibri" w:hAnsi="Calibri"/>
      <w:bCs/>
      <w:sz w:val="16"/>
      <w:szCs w:val="18"/>
    </w:rPr>
  </w:style>
  <w:style w:type="paragraph" w:customStyle="1" w:styleId="CaptionFootnote">
    <w:name w:val="Caption Footnote"/>
    <w:basedOn w:val="Caption"/>
    <w:link w:val="CaptionFootnoteChar"/>
    <w:qFormat/>
    <w:rsid w:val="003B3314"/>
    <w:pPr>
      <w:spacing w:after="0"/>
      <w:jc w:val="left"/>
    </w:pPr>
    <w:rPr>
      <w:rFonts w:cs="Times New Roman"/>
      <w:b w:val="0"/>
      <w:snapToGrid/>
      <w:color w:val="auto"/>
      <w:sz w:val="16"/>
      <w:lang w:eastAsia="en-AU"/>
    </w:rPr>
  </w:style>
  <w:style w:type="paragraph" w:customStyle="1" w:styleId="TableNotes">
    <w:name w:val="TableNotes"/>
    <w:basedOn w:val="Normal"/>
    <w:next w:val="Normal"/>
    <w:uiPriority w:val="98"/>
    <w:qFormat/>
    <w:rsid w:val="00AA3D1B"/>
    <w:pPr>
      <w:widowControl/>
      <w:tabs>
        <w:tab w:val="left" w:pos="1100"/>
      </w:tabs>
      <w:ind w:left="1100" w:hanging="1100"/>
      <w:jc w:val="left"/>
    </w:pPr>
    <w:rPr>
      <w:rFonts w:eastAsiaTheme="minorEastAsia" w:cstheme="minorBidi"/>
      <w:snapToGrid/>
      <w:sz w:val="18"/>
      <w:szCs w:val="18"/>
    </w:rPr>
  </w:style>
  <w:style w:type="paragraph" w:customStyle="1" w:styleId="Tablebodytext">
    <w:name w:val="Table body text"/>
    <w:basedOn w:val="Normal"/>
    <w:qFormat/>
    <w:rsid w:val="00025F83"/>
    <w:pPr>
      <w:jc w:val="left"/>
    </w:pPr>
    <w:rPr>
      <w:rFonts w:asciiTheme="minorHAnsi" w:hAnsiTheme="minorHAnsi" w:cs="Times New Roman"/>
      <w:snapToGrid/>
      <w:sz w:val="18"/>
      <w:szCs w:val="24"/>
      <w:lang w:val="en-GB" w:eastAsia="en-GB"/>
    </w:rPr>
  </w:style>
  <w:style w:type="paragraph" w:customStyle="1" w:styleId="TableHeading0">
    <w:name w:val="Table Heading"/>
    <w:basedOn w:val="Normal"/>
    <w:qFormat/>
    <w:rsid w:val="0091496B"/>
    <w:pPr>
      <w:keepNext/>
      <w:widowControl/>
      <w:spacing w:after="60"/>
      <w:jc w:val="left"/>
    </w:pPr>
    <w:rPr>
      <w:rFonts w:ascii="Arial Narrow" w:eastAsiaTheme="minorHAnsi" w:hAnsi="Arial Narrow" w:cstheme="minorBidi"/>
      <w:b/>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1902">
      <w:bodyDiv w:val="1"/>
      <w:marLeft w:val="0"/>
      <w:marRight w:val="0"/>
      <w:marTop w:val="0"/>
      <w:marBottom w:val="0"/>
      <w:divBdr>
        <w:top w:val="none" w:sz="0" w:space="0" w:color="auto"/>
        <w:left w:val="none" w:sz="0" w:space="0" w:color="auto"/>
        <w:bottom w:val="none" w:sz="0" w:space="0" w:color="auto"/>
        <w:right w:val="none" w:sz="0" w:space="0" w:color="auto"/>
      </w:divBdr>
    </w:div>
    <w:div w:id="262693578">
      <w:bodyDiv w:val="1"/>
      <w:marLeft w:val="0"/>
      <w:marRight w:val="0"/>
      <w:marTop w:val="0"/>
      <w:marBottom w:val="0"/>
      <w:divBdr>
        <w:top w:val="none" w:sz="0" w:space="0" w:color="auto"/>
        <w:left w:val="none" w:sz="0" w:space="0" w:color="auto"/>
        <w:bottom w:val="none" w:sz="0" w:space="0" w:color="auto"/>
        <w:right w:val="none" w:sz="0" w:space="0" w:color="auto"/>
      </w:divBdr>
    </w:div>
    <w:div w:id="455221013">
      <w:bodyDiv w:val="1"/>
      <w:marLeft w:val="0"/>
      <w:marRight w:val="0"/>
      <w:marTop w:val="0"/>
      <w:marBottom w:val="0"/>
      <w:divBdr>
        <w:top w:val="none" w:sz="0" w:space="0" w:color="auto"/>
        <w:left w:val="none" w:sz="0" w:space="0" w:color="auto"/>
        <w:bottom w:val="none" w:sz="0" w:space="0" w:color="auto"/>
        <w:right w:val="none" w:sz="0" w:space="0" w:color="auto"/>
      </w:divBdr>
    </w:div>
    <w:div w:id="461386503">
      <w:bodyDiv w:val="1"/>
      <w:marLeft w:val="0"/>
      <w:marRight w:val="0"/>
      <w:marTop w:val="0"/>
      <w:marBottom w:val="0"/>
      <w:divBdr>
        <w:top w:val="none" w:sz="0" w:space="0" w:color="auto"/>
        <w:left w:val="none" w:sz="0" w:space="0" w:color="auto"/>
        <w:bottom w:val="none" w:sz="0" w:space="0" w:color="auto"/>
        <w:right w:val="none" w:sz="0" w:space="0" w:color="auto"/>
      </w:divBdr>
    </w:div>
    <w:div w:id="883058381">
      <w:bodyDiv w:val="1"/>
      <w:marLeft w:val="0"/>
      <w:marRight w:val="0"/>
      <w:marTop w:val="0"/>
      <w:marBottom w:val="0"/>
      <w:divBdr>
        <w:top w:val="none" w:sz="0" w:space="0" w:color="auto"/>
        <w:left w:val="none" w:sz="0" w:space="0" w:color="auto"/>
        <w:bottom w:val="none" w:sz="0" w:space="0" w:color="auto"/>
        <w:right w:val="none" w:sz="0" w:space="0" w:color="auto"/>
      </w:divBdr>
    </w:div>
    <w:div w:id="907501492">
      <w:bodyDiv w:val="1"/>
      <w:marLeft w:val="0"/>
      <w:marRight w:val="0"/>
      <w:marTop w:val="0"/>
      <w:marBottom w:val="0"/>
      <w:divBdr>
        <w:top w:val="none" w:sz="0" w:space="0" w:color="auto"/>
        <w:left w:val="none" w:sz="0" w:space="0" w:color="auto"/>
        <w:bottom w:val="none" w:sz="0" w:space="0" w:color="auto"/>
        <w:right w:val="none" w:sz="0" w:space="0" w:color="auto"/>
      </w:divBdr>
    </w:div>
    <w:div w:id="931085451">
      <w:bodyDiv w:val="1"/>
      <w:marLeft w:val="0"/>
      <w:marRight w:val="0"/>
      <w:marTop w:val="0"/>
      <w:marBottom w:val="0"/>
      <w:divBdr>
        <w:top w:val="none" w:sz="0" w:space="0" w:color="auto"/>
        <w:left w:val="none" w:sz="0" w:space="0" w:color="auto"/>
        <w:bottom w:val="none" w:sz="0" w:space="0" w:color="auto"/>
        <w:right w:val="none" w:sz="0" w:space="0" w:color="auto"/>
      </w:divBdr>
    </w:div>
    <w:div w:id="1139110725">
      <w:bodyDiv w:val="1"/>
      <w:marLeft w:val="0"/>
      <w:marRight w:val="0"/>
      <w:marTop w:val="0"/>
      <w:marBottom w:val="0"/>
      <w:divBdr>
        <w:top w:val="none" w:sz="0" w:space="0" w:color="auto"/>
        <w:left w:val="none" w:sz="0" w:space="0" w:color="auto"/>
        <w:bottom w:val="none" w:sz="0" w:space="0" w:color="auto"/>
        <w:right w:val="none" w:sz="0" w:space="0" w:color="auto"/>
      </w:divBdr>
    </w:div>
    <w:div w:id="1226381704">
      <w:bodyDiv w:val="1"/>
      <w:marLeft w:val="0"/>
      <w:marRight w:val="0"/>
      <w:marTop w:val="0"/>
      <w:marBottom w:val="0"/>
      <w:divBdr>
        <w:top w:val="none" w:sz="0" w:space="0" w:color="auto"/>
        <w:left w:val="none" w:sz="0" w:space="0" w:color="auto"/>
        <w:bottom w:val="none" w:sz="0" w:space="0" w:color="auto"/>
        <w:right w:val="none" w:sz="0" w:space="0" w:color="auto"/>
      </w:divBdr>
    </w:div>
    <w:div w:id="1615944795">
      <w:bodyDiv w:val="1"/>
      <w:marLeft w:val="0"/>
      <w:marRight w:val="0"/>
      <w:marTop w:val="0"/>
      <w:marBottom w:val="0"/>
      <w:divBdr>
        <w:top w:val="none" w:sz="0" w:space="0" w:color="auto"/>
        <w:left w:val="none" w:sz="0" w:space="0" w:color="auto"/>
        <w:bottom w:val="none" w:sz="0" w:space="0" w:color="auto"/>
        <w:right w:val="none" w:sz="0" w:space="0" w:color="auto"/>
      </w:divBdr>
    </w:div>
    <w:div w:id="1715421360">
      <w:bodyDiv w:val="1"/>
      <w:marLeft w:val="0"/>
      <w:marRight w:val="0"/>
      <w:marTop w:val="0"/>
      <w:marBottom w:val="0"/>
      <w:divBdr>
        <w:top w:val="none" w:sz="0" w:space="0" w:color="auto"/>
        <w:left w:val="none" w:sz="0" w:space="0" w:color="auto"/>
        <w:bottom w:val="none" w:sz="0" w:space="0" w:color="auto"/>
        <w:right w:val="none" w:sz="0" w:space="0" w:color="auto"/>
      </w:divBdr>
    </w:div>
    <w:div w:id="1722287053">
      <w:bodyDiv w:val="1"/>
      <w:marLeft w:val="0"/>
      <w:marRight w:val="0"/>
      <w:marTop w:val="0"/>
      <w:marBottom w:val="0"/>
      <w:divBdr>
        <w:top w:val="none" w:sz="0" w:space="0" w:color="auto"/>
        <w:left w:val="none" w:sz="0" w:space="0" w:color="auto"/>
        <w:bottom w:val="none" w:sz="0" w:space="0" w:color="auto"/>
        <w:right w:val="none" w:sz="0" w:space="0" w:color="auto"/>
      </w:divBdr>
    </w:div>
    <w:div w:id="1950623990">
      <w:bodyDiv w:val="1"/>
      <w:marLeft w:val="0"/>
      <w:marRight w:val="0"/>
      <w:marTop w:val="0"/>
      <w:marBottom w:val="0"/>
      <w:divBdr>
        <w:top w:val="none" w:sz="0" w:space="0" w:color="auto"/>
        <w:left w:val="none" w:sz="0" w:space="0" w:color="auto"/>
        <w:bottom w:val="none" w:sz="0" w:space="0" w:color="auto"/>
        <w:right w:val="none" w:sz="0" w:space="0" w:color="auto"/>
      </w:divBdr>
    </w:div>
    <w:div w:id="1962222752">
      <w:bodyDiv w:val="1"/>
      <w:marLeft w:val="0"/>
      <w:marRight w:val="0"/>
      <w:marTop w:val="0"/>
      <w:marBottom w:val="0"/>
      <w:divBdr>
        <w:top w:val="none" w:sz="0" w:space="0" w:color="auto"/>
        <w:left w:val="none" w:sz="0" w:space="0" w:color="auto"/>
        <w:bottom w:val="none" w:sz="0" w:space="0" w:color="auto"/>
        <w:right w:val="none" w:sz="0" w:space="0" w:color="auto"/>
      </w:divBdr>
    </w:div>
    <w:div w:id="1973510133">
      <w:bodyDiv w:val="1"/>
      <w:marLeft w:val="0"/>
      <w:marRight w:val="0"/>
      <w:marTop w:val="0"/>
      <w:marBottom w:val="0"/>
      <w:divBdr>
        <w:top w:val="none" w:sz="0" w:space="0" w:color="auto"/>
        <w:left w:val="none" w:sz="0" w:space="0" w:color="auto"/>
        <w:bottom w:val="none" w:sz="0" w:space="0" w:color="auto"/>
        <w:right w:val="none" w:sz="0" w:space="0" w:color="auto"/>
      </w:divBdr>
    </w:div>
    <w:div w:id="2002611072">
      <w:bodyDiv w:val="1"/>
      <w:marLeft w:val="0"/>
      <w:marRight w:val="0"/>
      <w:marTop w:val="0"/>
      <w:marBottom w:val="0"/>
      <w:divBdr>
        <w:top w:val="none" w:sz="0" w:space="0" w:color="auto"/>
        <w:left w:val="none" w:sz="0" w:space="0" w:color="auto"/>
        <w:bottom w:val="none" w:sz="0" w:space="0" w:color="auto"/>
        <w:right w:val="none" w:sz="0" w:space="0" w:color="auto"/>
      </w:divBdr>
    </w:div>
    <w:div w:id="208086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Gra17</b:Tag>
    <b:SourceType>JournalArticle</b:SourceType>
    <b:Guid>{A4A4269F-8C0F-4B1A-8C66-F35A045061E5}</b:Guid>
    <b:Author>
      <b:Author>
        <b:NameList>
          <b:Person>
            <b:Last>Gracies JM</b:Last>
            <b:First>Esquenazi</b:First>
            <b:Middle>A, Brashear A, Banach M, Kocer S, Jech R et al.,</b:Middle>
          </b:Person>
        </b:NameList>
      </b:Author>
    </b:Author>
    <b:Title>Efficacy and safety of abobotulinumtoxinA in spastic lower limb.</b:Title>
    <b:JournalName>Neurology</b:JournalName>
    <b:Year>2017</b:Year>
    <b:Pages>89; 1-9</b:Pages>
    <b:RefOrder>56</b:RefOrder>
  </b:Source>
  <b:Source>
    <b:Tag>IPS15</b:Tag>
    <b:SourceType>JournalArticle</b:SourceType>
    <b:Guid>{ECBA5064-B4F3-432E-90F1-4CB8F3466F70}</b:Guid>
    <b:Title>A Phase III, multicentre,double blind, prospective,randomised, placebo controlled study, assessing the efficaicy and safety of Dysport used for the teramtent of lower limb spasticitiy in adult subjects with hemiparesis due to stroke or traumatic brain inj</b:Title>
    <b:JournalName>IPSEN GROUP Study report 10 April 2015</b:JournalName>
    <b:Year>2015</b:Year>
    <b:Author>
      <b:Author>
        <b:Corporate>CSR Study 140</b:Corporate>
      </b:Author>
    </b:Author>
    <b:RefOrder>42</b:RefOrder>
  </b:Source>
</b:Sources>
</file>

<file path=customXml/itemProps1.xml><?xml version="1.0" encoding="utf-8"?>
<ds:datastoreItem xmlns:ds="http://schemas.openxmlformats.org/officeDocument/2006/customXml" ds:itemID="{D067D8DC-D454-47FE-B2FD-6D2F4BA3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11873</Words>
  <Characters>69129</Characters>
  <Application>Microsoft Office Word</Application>
  <DocSecurity>0</DocSecurity>
  <Lines>576</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2019-02-21T02:56:00Z</dcterms:created>
  <dcterms:modified xsi:type="dcterms:W3CDTF">2019-02-26T00:43:00Z</dcterms:modified>
</cp:coreProperties>
</file>