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92A" w:rsidRPr="001A57E6" w:rsidRDefault="00697F26" w:rsidP="00DD5285">
      <w:pPr>
        <w:widowControl/>
        <w:ind w:left="709" w:hanging="709"/>
        <w:rPr>
          <w:b/>
          <w:sz w:val="36"/>
          <w:szCs w:val="36"/>
        </w:rPr>
      </w:pPr>
      <w:bookmarkStart w:id="0" w:name="_Toc341702043"/>
      <w:bookmarkStart w:id="1" w:name="_Toc380742621"/>
      <w:bookmarkStart w:id="2" w:name="_Toc380746188"/>
      <w:bookmarkStart w:id="3" w:name="_Toc380746314"/>
      <w:bookmarkStart w:id="4" w:name="_Toc380746595"/>
      <w:bookmarkStart w:id="5" w:name="_GoBack"/>
      <w:bookmarkEnd w:id="5"/>
      <w:proofErr w:type="gramStart"/>
      <w:r>
        <w:rPr>
          <w:b/>
          <w:sz w:val="36"/>
          <w:szCs w:val="36"/>
        </w:rPr>
        <w:t>7.02</w:t>
      </w:r>
      <w:r w:rsidR="004428BA">
        <w:rPr>
          <w:b/>
          <w:sz w:val="36"/>
          <w:szCs w:val="36"/>
        </w:rPr>
        <w:tab/>
      </w:r>
      <w:r w:rsidR="004428BA">
        <w:rPr>
          <w:b/>
          <w:sz w:val="36"/>
          <w:szCs w:val="36"/>
        </w:rPr>
        <w:tab/>
      </w:r>
      <w:r w:rsidR="000237D6" w:rsidRPr="001A57E6">
        <w:rPr>
          <w:b/>
          <w:sz w:val="36"/>
          <w:szCs w:val="36"/>
        </w:rPr>
        <w:t>B</w:t>
      </w:r>
      <w:r>
        <w:rPr>
          <w:b/>
          <w:sz w:val="36"/>
          <w:szCs w:val="36"/>
        </w:rPr>
        <w:t>OTULINUM TOXIN TYPE A PURIFIED NEUROTOXIN</w:t>
      </w:r>
      <w:r w:rsidR="004428BA">
        <w:rPr>
          <w:b/>
          <w:sz w:val="36"/>
          <w:szCs w:val="36"/>
        </w:rPr>
        <w:t xml:space="preserve"> </w:t>
      </w:r>
      <w:r>
        <w:rPr>
          <w:b/>
          <w:sz w:val="36"/>
          <w:szCs w:val="36"/>
        </w:rPr>
        <w:t>COMPLEX</w:t>
      </w:r>
      <w:proofErr w:type="gramEnd"/>
      <w:r>
        <w:rPr>
          <w:b/>
          <w:sz w:val="36"/>
          <w:szCs w:val="36"/>
        </w:rPr>
        <w:t xml:space="preserve">, </w:t>
      </w:r>
      <w:r w:rsidR="004428BA">
        <w:rPr>
          <w:b/>
          <w:sz w:val="36"/>
          <w:szCs w:val="36"/>
        </w:rPr>
        <w:br/>
      </w:r>
      <w:r w:rsidR="005724DA">
        <w:rPr>
          <w:b/>
          <w:sz w:val="36"/>
          <w:szCs w:val="36"/>
        </w:rPr>
        <w:t>L</w:t>
      </w:r>
      <w:r>
        <w:rPr>
          <w:b/>
          <w:sz w:val="36"/>
          <w:szCs w:val="36"/>
        </w:rPr>
        <w:t xml:space="preserve">yophilised powder for injection, </w:t>
      </w:r>
      <w:r w:rsidR="004D4C54" w:rsidRPr="001A57E6">
        <w:rPr>
          <w:b/>
          <w:sz w:val="36"/>
          <w:szCs w:val="36"/>
        </w:rPr>
        <w:t>100 units</w:t>
      </w:r>
      <w:r w:rsidR="00EE392A" w:rsidRPr="001A57E6">
        <w:rPr>
          <w:b/>
          <w:sz w:val="36"/>
          <w:szCs w:val="36"/>
        </w:rPr>
        <w:t xml:space="preserve">, </w:t>
      </w:r>
      <w:r w:rsidR="004428BA">
        <w:rPr>
          <w:b/>
          <w:sz w:val="36"/>
          <w:szCs w:val="36"/>
        </w:rPr>
        <w:br/>
      </w:r>
      <w:r w:rsidR="00C81576">
        <w:rPr>
          <w:b/>
          <w:sz w:val="36"/>
          <w:szCs w:val="36"/>
        </w:rPr>
        <w:t>Botox</w:t>
      </w:r>
      <w:r w:rsidR="004D4C54" w:rsidRPr="001A57E6">
        <w:rPr>
          <w:b/>
          <w:sz w:val="36"/>
          <w:szCs w:val="36"/>
        </w:rPr>
        <w:t>®</w:t>
      </w:r>
      <w:r w:rsidR="00EE392A" w:rsidRPr="001A57E6">
        <w:rPr>
          <w:b/>
          <w:sz w:val="36"/>
          <w:szCs w:val="36"/>
        </w:rPr>
        <w:t xml:space="preserve">, </w:t>
      </w:r>
      <w:r w:rsidR="004D4C54" w:rsidRPr="001A57E6">
        <w:rPr>
          <w:b/>
          <w:sz w:val="36"/>
          <w:szCs w:val="36"/>
        </w:rPr>
        <w:t>Allergan Australia</w:t>
      </w:r>
    </w:p>
    <w:p w:rsidR="00EE392A" w:rsidRPr="003105C7" w:rsidRDefault="00EE392A" w:rsidP="00BB76A8">
      <w:pPr>
        <w:pStyle w:val="Heading1"/>
      </w:pPr>
      <w:bookmarkStart w:id="6" w:name="_Toc371170699"/>
      <w:bookmarkStart w:id="7" w:name="_Toc524523769"/>
      <w:r w:rsidRPr="003105C7">
        <w:t>Purpose of Application</w:t>
      </w:r>
      <w:bookmarkEnd w:id="6"/>
      <w:bookmarkEnd w:id="7"/>
    </w:p>
    <w:p w:rsidR="002B5288" w:rsidRPr="00317268" w:rsidRDefault="00BA08D5" w:rsidP="00BB76A8">
      <w:pPr>
        <w:pStyle w:val="ListParagraph"/>
        <w:rPr>
          <w:i/>
        </w:rPr>
      </w:pPr>
      <w:r w:rsidRPr="001A57E6">
        <w:t xml:space="preserve">The resubmission requested a Section 100 Authority Required listing for </w:t>
      </w:r>
      <w:r w:rsidR="007A27B4">
        <w:t>botulinum toxin type A (</w:t>
      </w:r>
      <w:r w:rsidR="00EE500E">
        <w:t>BOTOX®</w:t>
      </w:r>
      <w:r w:rsidR="007A27B4">
        <w:t>)</w:t>
      </w:r>
      <w:r w:rsidRPr="001A57E6">
        <w:t xml:space="preserve"> for treatment of adult patients with moderate to severe lower limb focal spasticity following a stroke.</w:t>
      </w:r>
      <w:r w:rsidR="004A5FEC">
        <w:t xml:space="preserve"> </w:t>
      </w:r>
      <w:r w:rsidR="00EE500E">
        <w:t>BOTOX®</w:t>
      </w:r>
      <w:r w:rsidRPr="001A57E6">
        <w:t xml:space="preserve"> is currently listed on the PBS for the treatment of adult patients with moderate to severe spasticity of the upper limb following a stroke. A previous submission to the PBAC for </w:t>
      </w:r>
      <w:r w:rsidR="00F777EC">
        <w:t>lower limb spasticity</w:t>
      </w:r>
      <w:r w:rsidRPr="001A57E6">
        <w:t xml:space="preserve"> following stroke was rejected due to uncertain clinical benefit and high and uncertain cost-effectiveness in July 2008.</w:t>
      </w:r>
    </w:p>
    <w:p w:rsidR="00317268" w:rsidRPr="00D12F44" w:rsidRDefault="00317268" w:rsidP="00BB76A8">
      <w:pPr>
        <w:pStyle w:val="ListParagraph"/>
      </w:pPr>
      <w:r w:rsidRPr="00D12F44">
        <w:t xml:space="preserve">At the November meeting, the PBAC </w:t>
      </w:r>
      <w:r w:rsidR="004A5FEC" w:rsidRPr="00D12F44">
        <w:t>also consider</w:t>
      </w:r>
      <w:r w:rsidR="00205EFC" w:rsidRPr="00D12F44">
        <w:t>ed</w:t>
      </w:r>
      <w:r w:rsidRPr="00D12F44">
        <w:t xml:space="preserve"> submissions for </w:t>
      </w:r>
      <w:r w:rsidR="00F777EC">
        <w:t>C</w:t>
      </w:r>
      <w:r w:rsidR="007A27B4">
        <w:t xml:space="preserve">lostridium botulinum type </w:t>
      </w:r>
      <w:proofErr w:type="gramStart"/>
      <w:r w:rsidR="007A27B4">
        <w:t>A</w:t>
      </w:r>
      <w:proofErr w:type="gramEnd"/>
      <w:r w:rsidR="007A27B4">
        <w:t xml:space="preserve"> toxin-</w:t>
      </w:r>
      <w:proofErr w:type="spellStart"/>
      <w:r w:rsidR="007A27B4">
        <w:t>haemagglutinin</w:t>
      </w:r>
      <w:proofErr w:type="spellEnd"/>
      <w:r w:rsidR="007A27B4">
        <w:t xml:space="preserve"> complex (</w:t>
      </w:r>
      <w:proofErr w:type="spellStart"/>
      <w:r w:rsidRPr="00D12F44">
        <w:t>Dysport</w:t>
      </w:r>
      <w:proofErr w:type="spellEnd"/>
      <w:r w:rsidRPr="00D12F44">
        <w:rPr>
          <w:rFonts w:cs="Calibri"/>
        </w:rPr>
        <w:t>®</w:t>
      </w:r>
      <w:r w:rsidR="007A27B4">
        <w:rPr>
          <w:rFonts w:cs="Calibri"/>
        </w:rPr>
        <w:t>)</w:t>
      </w:r>
      <w:r w:rsidRPr="00D12F44">
        <w:rPr>
          <w:rFonts w:cs="Calibri"/>
        </w:rPr>
        <w:t xml:space="preserve"> for the treatment of focal spasticity following an acute event in the lower limb (Item 6.02) and the upper limb (6.03). </w:t>
      </w:r>
    </w:p>
    <w:p w:rsidR="00BA08D5" w:rsidRPr="001A57E6" w:rsidRDefault="00BA08D5" w:rsidP="00BB76A8">
      <w:pPr>
        <w:pStyle w:val="ListParagraph"/>
      </w:pPr>
      <w:r w:rsidRPr="001A57E6">
        <w:t xml:space="preserve">Listing was requested on the basis of a cost-utility analysis versus placebo. The key components of the clinical issue </w:t>
      </w:r>
      <w:r w:rsidR="00837577">
        <w:t>are presented in Table 1.</w:t>
      </w:r>
    </w:p>
    <w:p w:rsidR="00BA08D5" w:rsidRPr="001A57E6" w:rsidRDefault="00BA08D5" w:rsidP="004428BA">
      <w:pPr>
        <w:keepNext/>
        <w:widowControl/>
        <w:rPr>
          <w:rFonts w:ascii="Arial Narrow" w:hAnsi="Arial Narrow"/>
          <w:b/>
          <w:bCs/>
          <w:sz w:val="20"/>
          <w:szCs w:val="20"/>
        </w:rPr>
      </w:pPr>
      <w:r w:rsidRPr="001A57E6">
        <w:rPr>
          <w:rFonts w:ascii="Arial Narrow" w:hAnsi="Arial Narrow"/>
          <w:b/>
          <w:bCs/>
          <w:sz w:val="20"/>
          <w:szCs w:val="20"/>
        </w:rPr>
        <w:t>Table 1:</w:t>
      </w:r>
      <w:r w:rsidR="004A5FEC">
        <w:rPr>
          <w:rFonts w:ascii="Arial Narrow" w:hAnsi="Arial Narrow"/>
          <w:b/>
          <w:bCs/>
          <w:sz w:val="20"/>
          <w:szCs w:val="20"/>
        </w:rPr>
        <w:t xml:space="preserve"> </w:t>
      </w:r>
      <w:r w:rsidRPr="001A57E6">
        <w:rPr>
          <w:rFonts w:ascii="Arial Narrow" w:hAnsi="Arial Narrow"/>
          <w:b/>
          <w:bCs/>
          <w:sz w:val="20"/>
          <w:szCs w:val="20"/>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51"/>
      </w:tblGrid>
      <w:tr w:rsidR="00BA08D5" w:rsidRPr="001A57E6" w:rsidTr="00BA08D5">
        <w:trPr>
          <w:cantSplit/>
          <w:tblHeader/>
        </w:trPr>
        <w:tc>
          <w:tcPr>
            <w:tcW w:w="1129" w:type="dxa"/>
            <w:shd w:val="clear" w:color="auto" w:fill="auto"/>
          </w:tcPr>
          <w:p w:rsidR="00BA08D5" w:rsidRPr="001A57E6" w:rsidRDefault="00BA08D5" w:rsidP="004428BA">
            <w:pPr>
              <w:keepNext/>
              <w:widowControl/>
              <w:rPr>
                <w:rFonts w:ascii="Arial Narrow" w:hAnsi="Arial Narrow"/>
                <w:b/>
                <w:bCs/>
                <w:sz w:val="20"/>
                <w:szCs w:val="20"/>
              </w:rPr>
            </w:pPr>
            <w:r w:rsidRPr="001A57E6">
              <w:rPr>
                <w:rFonts w:ascii="Arial Narrow" w:hAnsi="Arial Narrow"/>
                <w:b/>
                <w:bCs/>
                <w:sz w:val="20"/>
                <w:szCs w:val="20"/>
              </w:rPr>
              <w:t>Component</w:t>
            </w:r>
          </w:p>
        </w:tc>
        <w:tc>
          <w:tcPr>
            <w:tcW w:w="8051" w:type="dxa"/>
            <w:shd w:val="clear" w:color="auto" w:fill="auto"/>
          </w:tcPr>
          <w:p w:rsidR="00BA08D5" w:rsidRPr="001A57E6" w:rsidRDefault="00BA08D5" w:rsidP="004428BA">
            <w:pPr>
              <w:keepNext/>
              <w:widowControl/>
              <w:rPr>
                <w:rFonts w:ascii="Arial Narrow" w:hAnsi="Arial Narrow"/>
                <w:b/>
                <w:bCs/>
                <w:sz w:val="20"/>
                <w:szCs w:val="20"/>
              </w:rPr>
            </w:pPr>
            <w:r w:rsidRPr="001A57E6">
              <w:rPr>
                <w:rFonts w:ascii="Arial Narrow" w:hAnsi="Arial Narrow"/>
                <w:b/>
                <w:bCs/>
                <w:sz w:val="20"/>
                <w:szCs w:val="20"/>
              </w:rPr>
              <w:t>Description</w:t>
            </w:r>
          </w:p>
        </w:tc>
      </w:tr>
      <w:tr w:rsidR="00BA08D5" w:rsidRPr="001A57E6" w:rsidTr="00BA08D5">
        <w:trPr>
          <w:cantSplit/>
        </w:trPr>
        <w:tc>
          <w:tcPr>
            <w:tcW w:w="1129"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Population</w:t>
            </w:r>
          </w:p>
        </w:tc>
        <w:tc>
          <w:tcPr>
            <w:tcW w:w="8051"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Adult patients with LLFS following stroke</w:t>
            </w:r>
          </w:p>
        </w:tc>
      </w:tr>
      <w:tr w:rsidR="00BA08D5" w:rsidRPr="001A57E6" w:rsidTr="00BA08D5">
        <w:trPr>
          <w:cantSplit/>
        </w:trPr>
        <w:tc>
          <w:tcPr>
            <w:tcW w:w="1129"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Intervention</w:t>
            </w:r>
          </w:p>
        </w:tc>
        <w:tc>
          <w:tcPr>
            <w:tcW w:w="8051" w:type="dxa"/>
            <w:shd w:val="clear" w:color="auto" w:fill="auto"/>
            <w:vAlign w:val="center"/>
          </w:tcPr>
          <w:p w:rsidR="00BA08D5" w:rsidRPr="001A57E6" w:rsidRDefault="00EE500E" w:rsidP="004428BA">
            <w:pPr>
              <w:keepNext/>
              <w:widowControl/>
              <w:rPr>
                <w:rFonts w:ascii="Arial Narrow" w:hAnsi="Arial Narrow"/>
                <w:sz w:val="20"/>
                <w:szCs w:val="20"/>
              </w:rPr>
            </w:pPr>
            <w:r>
              <w:rPr>
                <w:rFonts w:ascii="Arial Narrow" w:hAnsi="Arial Narrow"/>
                <w:sz w:val="20"/>
                <w:szCs w:val="20"/>
              </w:rPr>
              <w:t>BOTOX®</w:t>
            </w:r>
            <w:r w:rsidR="00BA08D5" w:rsidRPr="001A57E6">
              <w:rPr>
                <w:rFonts w:ascii="Arial Narrow" w:hAnsi="Arial Narrow"/>
                <w:sz w:val="20"/>
                <w:szCs w:val="20"/>
              </w:rPr>
              <w:t xml:space="preserve"> (Botulinum toxin type A, up to 400U)</w:t>
            </w:r>
            <w:r w:rsidR="00F758B7">
              <w:rPr>
                <w:rFonts w:ascii="Arial Narrow" w:hAnsi="Arial Narrow"/>
                <w:sz w:val="20"/>
                <w:szCs w:val="20"/>
              </w:rPr>
              <w:t xml:space="preserve"> </w:t>
            </w:r>
          </w:p>
        </w:tc>
      </w:tr>
      <w:tr w:rsidR="00BA08D5" w:rsidRPr="001A57E6" w:rsidTr="00BA08D5">
        <w:trPr>
          <w:cantSplit/>
        </w:trPr>
        <w:tc>
          <w:tcPr>
            <w:tcW w:w="1129"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Comparator</w:t>
            </w:r>
          </w:p>
        </w:tc>
        <w:tc>
          <w:tcPr>
            <w:tcW w:w="8051"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Placebo</w:t>
            </w:r>
            <w:r w:rsidR="00697F26">
              <w:rPr>
                <w:rFonts w:ascii="Arial Narrow" w:hAnsi="Arial Narrow"/>
                <w:sz w:val="20"/>
                <w:szCs w:val="20"/>
              </w:rPr>
              <w:t>/Standard management</w:t>
            </w:r>
          </w:p>
        </w:tc>
      </w:tr>
      <w:tr w:rsidR="00BA08D5" w:rsidRPr="001A57E6" w:rsidTr="00BA08D5">
        <w:trPr>
          <w:cantSplit/>
        </w:trPr>
        <w:tc>
          <w:tcPr>
            <w:tcW w:w="1129" w:type="dxa"/>
            <w:shd w:val="clear" w:color="auto" w:fill="auto"/>
            <w:vAlign w:val="center"/>
          </w:tcPr>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Outcomes</w:t>
            </w:r>
          </w:p>
        </w:tc>
        <w:tc>
          <w:tcPr>
            <w:tcW w:w="8051" w:type="dxa"/>
            <w:shd w:val="clear" w:color="auto" w:fill="auto"/>
            <w:vAlign w:val="center"/>
          </w:tcPr>
          <w:p w:rsidR="00E473F6" w:rsidRPr="001A57E6" w:rsidRDefault="00E473F6" w:rsidP="004428BA">
            <w:pPr>
              <w:pStyle w:val="Tabletext"/>
              <w:keepNext/>
            </w:pPr>
            <w:r w:rsidRPr="001A57E6">
              <w:t>In the main trial (REFLEX) whose results were relied in the economic evaluation:</w:t>
            </w:r>
          </w:p>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Primary outcome: Modified Ashworth Scale (MAS)</w:t>
            </w:r>
          </w:p>
          <w:p w:rsidR="00BA08D5" w:rsidRPr="001A57E6" w:rsidRDefault="00BA08D5" w:rsidP="004428BA">
            <w:pPr>
              <w:keepNext/>
              <w:widowControl/>
              <w:rPr>
                <w:rFonts w:ascii="Arial Narrow" w:hAnsi="Arial Narrow"/>
                <w:sz w:val="20"/>
                <w:szCs w:val="20"/>
              </w:rPr>
            </w:pPr>
            <w:r w:rsidRPr="001A57E6">
              <w:rPr>
                <w:rFonts w:ascii="Arial Narrow" w:hAnsi="Arial Narrow"/>
                <w:sz w:val="20"/>
                <w:szCs w:val="20"/>
              </w:rPr>
              <w:t>Secondary outcomes: Goal Attainment Scale (GAS), Clinical Global Impression (CGI)</w:t>
            </w:r>
          </w:p>
        </w:tc>
      </w:tr>
      <w:tr w:rsidR="00BA08D5" w:rsidRPr="001A57E6" w:rsidTr="00BA08D5">
        <w:trPr>
          <w:cantSplit/>
        </w:trPr>
        <w:tc>
          <w:tcPr>
            <w:tcW w:w="1129" w:type="dxa"/>
            <w:shd w:val="clear" w:color="auto" w:fill="auto"/>
            <w:vAlign w:val="center"/>
          </w:tcPr>
          <w:p w:rsidR="00BA08D5" w:rsidRPr="001A57E6" w:rsidRDefault="00BA08D5" w:rsidP="004428BA">
            <w:pPr>
              <w:widowControl/>
              <w:rPr>
                <w:rFonts w:ascii="Arial Narrow" w:hAnsi="Arial Narrow"/>
                <w:sz w:val="20"/>
                <w:szCs w:val="20"/>
              </w:rPr>
            </w:pPr>
            <w:r w:rsidRPr="001A57E6">
              <w:rPr>
                <w:rFonts w:ascii="Arial Narrow" w:hAnsi="Arial Narrow"/>
                <w:sz w:val="20"/>
                <w:szCs w:val="20"/>
              </w:rPr>
              <w:t>Clinical claim</w:t>
            </w:r>
          </w:p>
        </w:tc>
        <w:tc>
          <w:tcPr>
            <w:tcW w:w="8051" w:type="dxa"/>
            <w:shd w:val="clear" w:color="auto" w:fill="auto"/>
            <w:vAlign w:val="center"/>
          </w:tcPr>
          <w:p w:rsidR="00BA08D5" w:rsidRPr="001A57E6" w:rsidRDefault="00BA08D5" w:rsidP="004428BA">
            <w:pPr>
              <w:widowControl/>
              <w:rPr>
                <w:rFonts w:ascii="Arial Narrow" w:hAnsi="Arial Narrow"/>
                <w:sz w:val="20"/>
                <w:szCs w:val="20"/>
              </w:rPr>
            </w:pPr>
            <w:r w:rsidRPr="001A57E6">
              <w:rPr>
                <w:rFonts w:ascii="Arial Narrow" w:hAnsi="Arial Narrow"/>
                <w:sz w:val="20"/>
                <w:szCs w:val="20"/>
              </w:rPr>
              <w:t xml:space="preserve">In adults with lower limb focal spasticity, </w:t>
            </w:r>
            <w:r w:rsidR="00EE500E">
              <w:rPr>
                <w:rFonts w:ascii="Arial Narrow" w:hAnsi="Arial Narrow"/>
                <w:sz w:val="20"/>
                <w:szCs w:val="20"/>
              </w:rPr>
              <w:t>BOTOX®</w:t>
            </w:r>
            <w:r w:rsidRPr="001A57E6">
              <w:rPr>
                <w:rFonts w:ascii="Arial Narrow" w:hAnsi="Arial Narrow"/>
                <w:sz w:val="20"/>
                <w:szCs w:val="20"/>
              </w:rPr>
              <w:t xml:space="preserve"> as an adjunctive treatment to standard management is more effective than placebo (standard management alone) at reducing the severity of spasticity and improves progress towards treatment goals. The safety profile of </w:t>
            </w:r>
            <w:r w:rsidR="00EE500E">
              <w:rPr>
                <w:rFonts w:ascii="Arial Narrow" w:hAnsi="Arial Narrow"/>
                <w:sz w:val="20"/>
                <w:szCs w:val="20"/>
              </w:rPr>
              <w:t>BOTOX®</w:t>
            </w:r>
            <w:r w:rsidRPr="001A57E6">
              <w:rPr>
                <w:rFonts w:ascii="Arial Narrow" w:hAnsi="Arial Narrow"/>
                <w:sz w:val="20"/>
                <w:szCs w:val="20"/>
              </w:rPr>
              <w:t xml:space="preserve"> with standard management is non-inferior to placebo (standard management alone).</w:t>
            </w:r>
          </w:p>
        </w:tc>
      </w:tr>
    </w:tbl>
    <w:p w:rsidR="00BA08D5" w:rsidRPr="005E3758" w:rsidRDefault="00BA08D5" w:rsidP="005E3758">
      <w:pPr>
        <w:widowControl/>
        <w:spacing w:after="240"/>
        <w:rPr>
          <w:rStyle w:val="CommentReference"/>
          <w:b w:val="0"/>
          <w:szCs w:val="20"/>
        </w:rPr>
      </w:pPr>
      <w:r w:rsidRPr="001A57E6">
        <w:rPr>
          <w:rFonts w:ascii="Arial Narrow" w:hAnsi="Arial Narrow"/>
          <w:sz w:val="20"/>
          <w:szCs w:val="20"/>
        </w:rPr>
        <w:t>Source: Table 1.1-1, p2 of the submission.</w:t>
      </w:r>
    </w:p>
    <w:p w:rsidR="00673EB8" w:rsidRPr="00BB76A8" w:rsidRDefault="00673EB8" w:rsidP="00BB76A8">
      <w:pPr>
        <w:ind w:left="709"/>
        <w:rPr>
          <w:rStyle w:val="CommentReference"/>
          <w:rFonts w:ascii="Calibri" w:hAnsi="Calibri" w:cs="Calibri"/>
          <w:b w:val="0"/>
          <w:i/>
          <w:sz w:val="24"/>
          <w:szCs w:val="24"/>
        </w:rPr>
      </w:pPr>
      <w:r w:rsidRPr="00BB76A8">
        <w:rPr>
          <w:rStyle w:val="CommentReference"/>
          <w:rFonts w:ascii="Calibri" w:hAnsi="Calibri" w:cs="Calibri"/>
          <w:b w:val="0"/>
          <w:i/>
          <w:sz w:val="24"/>
          <w:szCs w:val="24"/>
        </w:rPr>
        <w:t>For more detail on PBAC’s view, see Section 7 PBAC outcome.</w:t>
      </w:r>
    </w:p>
    <w:p w:rsidR="00EE392A" w:rsidRDefault="00EE392A" w:rsidP="00BB76A8">
      <w:pPr>
        <w:pStyle w:val="Heading1"/>
      </w:pPr>
      <w:bookmarkStart w:id="8" w:name="_Toc371170700"/>
      <w:bookmarkStart w:id="9" w:name="_Toc524523770"/>
      <w:r w:rsidRPr="001A57E6">
        <w:t>Requested listing</w:t>
      </w:r>
      <w:bookmarkEnd w:id="8"/>
      <w:bookmarkEnd w:id="9"/>
    </w:p>
    <w:p w:rsidR="00C40EE0" w:rsidRPr="007A27B4" w:rsidRDefault="00C40EE0" w:rsidP="00BB76A8">
      <w:pPr>
        <w:pStyle w:val="ListParagraph"/>
      </w:pPr>
      <w:r w:rsidRPr="007A27B4">
        <w:t>Suggest</w:t>
      </w:r>
      <w:r w:rsidR="0044648D">
        <w:t>ed</w:t>
      </w:r>
      <w:r w:rsidRPr="007A27B4">
        <w:t xml:space="preserve"> additions proposed by the Secretariat to the requested listing are added in italics and suggested deletions are crossed out with strikethrough. </w:t>
      </w:r>
    </w:p>
    <w:p w:rsidR="00C40EE0" w:rsidRPr="00D4296D" w:rsidRDefault="00C40EE0" w:rsidP="00BB76A8">
      <w:pPr>
        <w:pStyle w:val="ListParagraph"/>
      </w:pPr>
      <w:r w:rsidRPr="00D4296D">
        <w:t xml:space="preserve">The submission did not propose a grandfathering restriction. The Secretariat drafted a grandfathering restriction based on the restriction proposed by the submission. </w:t>
      </w:r>
    </w:p>
    <w:tbl>
      <w:tblPr>
        <w:tblW w:w="4907" w:type="pct"/>
        <w:tblInd w:w="108" w:type="dxa"/>
        <w:tblLook w:val="0000" w:firstRow="0" w:lastRow="0" w:firstColumn="0" w:lastColumn="0" w:noHBand="0" w:noVBand="0"/>
      </w:tblPr>
      <w:tblGrid>
        <w:gridCol w:w="1939"/>
        <w:gridCol w:w="595"/>
        <w:gridCol w:w="873"/>
        <w:gridCol w:w="586"/>
        <w:gridCol w:w="2346"/>
        <w:gridCol w:w="1173"/>
        <w:gridCol w:w="1347"/>
      </w:tblGrid>
      <w:tr w:rsidR="00C40EE0" w:rsidTr="003A21AE">
        <w:trPr>
          <w:trHeight w:val="58"/>
        </w:trPr>
        <w:tc>
          <w:tcPr>
            <w:tcW w:w="1430" w:type="pct"/>
            <w:gridSpan w:val="2"/>
            <w:tcBorders>
              <w:top w:val="single" w:sz="4" w:space="0" w:color="auto"/>
              <w:bottom w:val="single" w:sz="4" w:space="0" w:color="auto"/>
            </w:tcBorders>
            <w:shd w:val="clear" w:color="000000" w:fill="FFFFFF"/>
          </w:tcPr>
          <w:p w:rsidR="00C40EE0" w:rsidRPr="002B32D6" w:rsidRDefault="00C40EE0" w:rsidP="004428BA">
            <w:pPr>
              <w:keepNext/>
              <w:widowControl/>
              <w:autoSpaceDE w:val="0"/>
              <w:autoSpaceDN w:val="0"/>
              <w:adjustRightInd w:val="0"/>
              <w:ind w:left="-108"/>
              <w:jc w:val="left"/>
              <w:rPr>
                <w:rFonts w:ascii="Arial Narrow" w:hAnsi="Arial Narrow" w:cs="Arial Narrow"/>
                <w:b/>
                <w:sz w:val="20"/>
                <w:szCs w:val="20"/>
                <w:lang w:val="en"/>
              </w:rPr>
            </w:pPr>
            <w:r w:rsidRPr="002B32D6">
              <w:rPr>
                <w:rFonts w:ascii="Arial Narrow" w:hAnsi="Arial Narrow" w:cs="Arial Narrow"/>
                <w:b/>
                <w:sz w:val="20"/>
                <w:szCs w:val="20"/>
                <w:lang w:val="en"/>
              </w:rPr>
              <w:lastRenderedPageBreak/>
              <w:t>Name, Restriction,</w:t>
            </w:r>
          </w:p>
          <w:p w:rsidR="00C40EE0" w:rsidRPr="002B32D6" w:rsidRDefault="00C40EE0" w:rsidP="004428BA">
            <w:pPr>
              <w:keepNext/>
              <w:widowControl/>
              <w:autoSpaceDE w:val="0"/>
              <w:autoSpaceDN w:val="0"/>
              <w:adjustRightInd w:val="0"/>
              <w:ind w:left="-108"/>
              <w:jc w:val="left"/>
              <w:rPr>
                <w:rFonts w:cs="Calibri"/>
                <w:b/>
                <w:lang w:val="en"/>
              </w:rPr>
            </w:pPr>
            <w:r w:rsidRPr="002B32D6">
              <w:rPr>
                <w:rFonts w:ascii="Arial Narrow" w:hAnsi="Arial Narrow" w:cs="Arial Narrow"/>
                <w:b/>
                <w:sz w:val="20"/>
                <w:szCs w:val="20"/>
                <w:lang w:val="en"/>
              </w:rPr>
              <w:t>Manner of administration and form</w:t>
            </w:r>
          </w:p>
        </w:tc>
        <w:tc>
          <w:tcPr>
            <w:tcW w:w="493" w:type="pct"/>
            <w:tcBorders>
              <w:top w:val="single" w:sz="4" w:space="0" w:color="auto"/>
              <w:bottom w:val="single" w:sz="4" w:space="0" w:color="auto"/>
            </w:tcBorders>
            <w:shd w:val="clear" w:color="000000" w:fill="FFFFFF"/>
          </w:tcPr>
          <w:p w:rsidR="00C40EE0" w:rsidRPr="002B32D6" w:rsidRDefault="00C40EE0" w:rsidP="004428BA">
            <w:pPr>
              <w:keepNext/>
              <w:widowControl/>
              <w:autoSpaceDE w:val="0"/>
              <w:autoSpaceDN w:val="0"/>
              <w:adjustRightInd w:val="0"/>
              <w:ind w:left="-108"/>
              <w:jc w:val="center"/>
              <w:rPr>
                <w:rFonts w:ascii="Arial Narrow" w:hAnsi="Arial Narrow" w:cs="Arial Narrow"/>
                <w:b/>
                <w:sz w:val="20"/>
                <w:szCs w:val="20"/>
                <w:lang w:val="en"/>
              </w:rPr>
            </w:pPr>
            <w:r w:rsidRPr="002B32D6">
              <w:rPr>
                <w:rFonts w:ascii="Arial Narrow" w:hAnsi="Arial Narrow" w:cs="Arial Narrow"/>
                <w:b/>
                <w:sz w:val="20"/>
                <w:szCs w:val="20"/>
                <w:lang w:val="en"/>
              </w:rPr>
              <w:t>Max.</w:t>
            </w:r>
          </w:p>
          <w:p w:rsidR="00C40EE0" w:rsidRPr="002B32D6" w:rsidRDefault="00C40EE0" w:rsidP="004428BA">
            <w:pPr>
              <w:keepNext/>
              <w:widowControl/>
              <w:autoSpaceDE w:val="0"/>
              <w:autoSpaceDN w:val="0"/>
              <w:adjustRightInd w:val="0"/>
              <w:ind w:left="-108"/>
              <w:jc w:val="center"/>
              <w:rPr>
                <w:rFonts w:cs="Calibri"/>
                <w:b/>
                <w:lang w:val="en"/>
              </w:rPr>
            </w:pPr>
            <w:r w:rsidRPr="002B32D6">
              <w:rPr>
                <w:rFonts w:ascii="Arial Narrow" w:hAnsi="Arial Narrow" w:cs="Arial Narrow"/>
                <w:b/>
                <w:sz w:val="20"/>
                <w:szCs w:val="20"/>
                <w:lang w:val="en"/>
              </w:rPr>
              <w:t>Qty. (units)</w:t>
            </w:r>
          </w:p>
        </w:tc>
        <w:tc>
          <w:tcPr>
            <w:tcW w:w="331" w:type="pct"/>
            <w:tcBorders>
              <w:top w:val="single" w:sz="4" w:space="0" w:color="auto"/>
              <w:bottom w:val="single" w:sz="4" w:space="0" w:color="auto"/>
            </w:tcBorders>
            <w:shd w:val="clear" w:color="000000" w:fill="FFFFFF"/>
          </w:tcPr>
          <w:p w:rsidR="00C40EE0" w:rsidRPr="002B32D6" w:rsidRDefault="00C40EE0" w:rsidP="004428BA">
            <w:pPr>
              <w:keepNext/>
              <w:widowControl/>
              <w:autoSpaceDE w:val="0"/>
              <w:autoSpaceDN w:val="0"/>
              <w:adjustRightInd w:val="0"/>
              <w:ind w:left="-108"/>
              <w:jc w:val="center"/>
              <w:rPr>
                <w:rFonts w:ascii="Arial Narrow" w:hAnsi="Arial Narrow" w:cs="Arial Narrow"/>
                <w:b/>
                <w:sz w:val="20"/>
                <w:szCs w:val="20"/>
                <w:lang w:val="en"/>
              </w:rPr>
            </w:pPr>
            <w:r w:rsidRPr="002B32D6">
              <w:rPr>
                <w:rFonts w:ascii="Arial Narrow" w:hAnsi="Arial Narrow"/>
                <w:b/>
                <w:sz w:val="20"/>
                <w:szCs w:val="20"/>
              </w:rPr>
              <w:t>№</w:t>
            </w:r>
            <w:r w:rsidRPr="002B32D6">
              <w:rPr>
                <w:rFonts w:ascii="Arial Narrow" w:hAnsi="Arial Narrow" w:cs="Arial Narrow"/>
                <w:b/>
                <w:sz w:val="20"/>
                <w:szCs w:val="20"/>
                <w:lang w:val="en"/>
              </w:rPr>
              <w:t>. of</w:t>
            </w:r>
          </w:p>
          <w:p w:rsidR="00C40EE0" w:rsidRPr="002B32D6" w:rsidRDefault="00C40EE0" w:rsidP="004428BA">
            <w:pPr>
              <w:keepNext/>
              <w:widowControl/>
              <w:autoSpaceDE w:val="0"/>
              <w:autoSpaceDN w:val="0"/>
              <w:adjustRightInd w:val="0"/>
              <w:ind w:left="-108"/>
              <w:jc w:val="center"/>
              <w:rPr>
                <w:rFonts w:cs="Calibri"/>
                <w:b/>
                <w:lang w:val="en"/>
              </w:rPr>
            </w:pPr>
            <w:proofErr w:type="spellStart"/>
            <w:r w:rsidRPr="002B32D6">
              <w:rPr>
                <w:rFonts w:ascii="Arial Narrow" w:hAnsi="Arial Narrow" w:cs="Arial Narrow"/>
                <w:b/>
                <w:sz w:val="20"/>
                <w:szCs w:val="20"/>
                <w:lang w:val="en"/>
              </w:rPr>
              <w:t>Rpts</w:t>
            </w:r>
            <w:proofErr w:type="spellEnd"/>
          </w:p>
        </w:tc>
        <w:tc>
          <w:tcPr>
            <w:tcW w:w="1324" w:type="pct"/>
            <w:tcBorders>
              <w:top w:val="single" w:sz="4" w:space="0" w:color="auto"/>
              <w:bottom w:val="single" w:sz="4" w:space="0" w:color="auto"/>
            </w:tcBorders>
            <w:shd w:val="clear" w:color="000000" w:fill="FFFFFF"/>
          </w:tcPr>
          <w:p w:rsidR="00C40EE0" w:rsidRPr="002B32D6" w:rsidRDefault="00C40EE0" w:rsidP="004428BA">
            <w:pPr>
              <w:keepNext/>
              <w:widowControl/>
              <w:autoSpaceDE w:val="0"/>
              <w:autoSpaceDN w:val="0"/>
              <w:adjustRightInd w:val="0"/>
              <w:ind w:left="-108"/>
              <w:jc w:val="center"/>
              <w:rPr>
                <w:rFonts w:cs="Calibri"/>
                <w:b/>
                <w:lang w:val="en"/>
              </w:rPr>
            </w:pPr>
            <w:r w:rsidRPr="002B32D6">
              <w:rPr>
                <w:rFonts w:ascii="Arial Narrow" w:hAnsi="Arial Narrow" w:cs="Arial Narrow"/>
                <w:b/>
                <w:sz w:val="20"/>
                <w:szCs w:val="20"/>
                <w:lang w:val="en"/>
              </w:rPr>
              <w:t xml:space="preserve">Dispensed Price for Max. </w:t>
            </w:r>
            <w:r>
              <w:rPr>
                <w:rFonts w:ascii="Arial Narrow" w:hAnsi="Arial Narrow" w:cs="Arial Narrow"/>
                <w:b/>
                <w:sz w:val="20"/>
                <w:szCs w:val="20"/>
                <w:lang w:val="en"/>
              </w:rPr>
              <w:t>Quantity</w:t>
            </w:r>
          </w:p>
        </w:tc>
        <w:tc>
          <w:tcPr>
            <w:tcW w:w="1422" w:type="pct"/>
            <w:gridSpan w:val="2"/>
            <w:tcBorders>
              <w:top w:val="single" w:sz="4" w:space="0" w:color="auto"/>
              <w:bottom w:val="single" w:sz="4" w:space="0" w:color="auto"/>
            </w:tcBorders>
            <w:shd w:val="clear" w:color="000000" w:fill="FFFFFF"/>
          </w:tcPr>
          <w:p w:rsidR="00C40EE0" w:rsidRPr="002B32D6" w:rsidRDefault="00C40EE0" w:rsidP="004428BA">
            <w:pPr>
              <w:keepNext/>
              <w:widowControl/>
              <w:autoSpaceDE w:val="0"/>
              <w:autoSpaceDN w:val="0"/>
              <w:adjustRightInd w:val="0"/>
              <w:ind w:left="-108"/>
              <w:jc w:val="left"/>
              <w:rPr>
                <w:rFonts w:cs="Calibri"/>
                <w:b/>
                <w:lang w:val="en"/>
              </w:rPr>
            </w:pPr>
            <w:r w:rsidRPr="002B32D6">
              <w:rPr>
                <w:rFonts w:ascii="Arial Narrow" w:hAnsi="Arial Narrow" w:cs="Arial Narrow"/>
                <w:b/>
                <w:sz w:val="20"/>
                <w:szCs w:val="20"/>
                <w:lang w:val="en"/>
              </w:rPr>
              <w:t>Proprietary Name and Manufacturer</w:t>
            </w:r>
          </w:p>
        </w:tc>
      </w:tr>
      <w:tr w:rsidR="00C40EE0" w:rsidTr="003A21AE">
        <w:trPr>
          <w:trHeight w:val="58"/>
        </w:trPr>
        <w:tc>
          <w:tcPr>
            <w:tcW w:w="1430" w:type="pct"/>
            <w:gridSpan w:val="2"/>
            <w:tcBorders>
              <w:top w:val="single" w:sz="4" w:space="0" w:color="auto"/>
            </w:tcBorders>
            <w:shd w:val="clear" w:color="000000" w:fill="FFFFFF"/>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 xml:space="preserve">BOTULINUM TOXIN TYPE A </w:t>
            </w:r>
          </w:p>
          <w:p w:rsidR="00C40EE0" w:rsidRDefault="00C40EE0" w:rsidP="004428BA">
            <w:pPr>
              <w:keepNext/>
              <w:widowControl/>
              <w:autoSpaceDE w:val="0"/>
              <w:autoSpaceDN w:val="0"/>
              <w:adjustRightInd w:val="0"/>
              <w:ind w:left="-108"/>
              <w:rPr>
                <w:rFonts w:cs="Calibri"/>
                <w:lang w:val="en"/>
              </w:rPr>
            </w:pPr>
            <w:r>
              <w:rPr>
                <w:rFonts w:ascii="Arial Narrow" w:hAnsi="Arial Narrow" w:cs="Arial Narrow"/>
                <w:sz w:val="20"/>
                <w:szCs w:val="20"/>
                <w:lang w:val="en"/>
              </w:rPr>
              <w:t>100 units injection, 1 vial</w:t>
            </w:r>
          </w:p>
        </w:tc>
        <w:tc>
          <w:tcPr>
            <w:tcW w:w="493" w:type="pct"/>
            <w:tcBorders>
              <w:top w:val="single" w:sz="4" w:space="0" w:color="auto"/>
            </w:tcBorders>
            <w:shd w:val="clear" w:color="000000" w:fill="FFFFFF"/>
            <w:vAlign w:val="bottom"/>
          </w:tcPr>
          <w:p w:rsidR="00C40EE0" w:rsidRDefault="00C40EE0" w:rsidP="004428BA">
            <w:pPr>
              <w:keepNext/>
              <w:widowControl/>
              <w:autoSpaceDE w:val="0"/>
              <w:autoSpaceDN w:val="0"/>
              <w:adjustRightInd w:val="0"/>
              <w:ind w:left="-108"/>
              <w:jc w:val="center"/>
              <w:rPr>
                <w:rFonts w:ascii="Arial Narrow" w:hAnsi="Arial Narrow" w:cs="Arial Narrow"/>
                <w:sz w:val="20"/>
                <w:szCs w:val="20"/>
                <w:lang w:val="en"/>
              </w:rPr>
            </w:pPr>
          </w:p>
          <w:p w:rsidR="00C40EE0" w:rsidRDefault="00C40EE0" w:rsidP="004428BA">
            <w:pPr>
              <w:keepNext/>
              <w:widowControl/>
              <w:autoSpaceDE w:val="0"/>
              <w:autoSpaceDN w:val="0"/>
              <w:adjustRightInd w:val="0"/>
              <w:ind w:left="-108"/>
              <w:jc w:val="center"/>
              <w:rPr>
                <w:rFonts w:cs="Calibri"/>
                <w:lang w:val="en"/>
              </w:rPr>
            </w:pPr>
            <w:r>
              <w:rPr>
                <w:rFonts w:ascii="Arial Narrow" w:hAnsi="Arial Narrow" w:cs="Arial Narrow"/>
                <w:sz w:val="20"/>
                <w:szCs w:val="20"/>
                <w:lang w:val="en"/>
              </w:rPr>
              <w:t>4</w:t>
            </w:r>
          </w:p>
        </w:tc>
        <w:tc>
          <w:tcPr>
            <w:tcW w:w="331" w:type="pct"/>
            <w:tcBorders>
              <w:top w:val="single" w:sz="4" w:space="0" w:color="auto"/>
            </w:tcBorders>
            <w:shd w:val="clear" w:color="000000" w:fill="FFFFFF"/>
            <w:vAlign w:val="bottom"/>
          </w:tcPr>
          <w:p w:rsidR="00C40EE0" w:rsidRDefault="00C40EE0" w:rsidP="004428BA">
            <w:pPr>
              <w:keepNext/>
              <w:widowControl/>
              <w:autoSpaceDE w:val="0"/>
              <w:autoSpaceDN w:val="0"/>
              <w:adjustRightInd w:val="0"/>
              <w:ind w:left="-108"/>
              <w:jc w:val="center"/>
              <w:rPr>
                <w:rFonts w:ascii="Arial Narrow" w:hAnsi="Arial Narrow" w:cs="Arial Narrow"/>
                <w:strike/>
                <w:sz w:val="20"/>
                <w:szCs w:val="20"/>
                <w:lang w:val="en"/>
              </w:rPr>
            </w:pPr>
          </w:p>
          <w:p w:rsidR="00C40EE0" w:rsidRPr="00CE0B5C" w:rsidRDefault="00C40EE0" w:rsidP="004428BA">
            <w:pPr>
              <w:keepNext/>
              <w:widowControl/>
              <w:autoSpaceDE w:val="0"/>
              <w:autoSpaceDN w:val="0"/>
              <w:adjustRightInd w:val="0"/>
              <w:ind w:left="-108"/>
              <w:jc w:val="center"/>
              <w:rPr>
                <w:rFonts w:cs="Calibri"/>
                <w:lang w:val="en"/>
              </w:rPr>
            </w:pPr>
            <w:r w:rsidRPr="00CE0B5C">
              <w:rPr>
                <w:rFonts w:ascii="Arial Narrow" w:hAnsi="Arial Narrow" w:cs="Arial Narrow"/>
                <w:sz w:val="20"/>
                <w:szCs w:val="20"/>
                <w:lang w:val="en"/>
              </w:rPr>
              <w:t>0</w:t>
            </w:r>
          </w:p>
        </w:tc>
        <w:tc>
          <w:tcPr>
            <w:tcW w:w="1324" w:type="pct"/>
            <w:tcBorders>
              <w:top w:val="single" w:sz="4" w:space="0" w:color="auto"/>
            </w:tcBorders>
            <w:shd w:val="clear" w:color="000000" w:fill="FFFFFF"/>
            <w:vAlign w:val="bottom"/>
          </w:tcPr>
          <w:p w:rsidR="00C40EE0" w:rsidRDefault="00C40EE0" w:rsidP="004428BA">
            <w:pPr>
              <w:keepNext/>
              <w:widowControl/>
              <w:autoSpaceDE w:val="0"/>
              <w:autoSpaceDN w:val="0"/>
              <w:adjustRightInd w:val="0"/>
              <w:ind w:left="-108"/>
              <w:jc w:val="center"/>
              <w:rPr>
                <w:rFonts w:ascii="Arial Narrow" w:hAnsi="Arial Narrow" w:cs="Arial Narrow"/>
                <w:sz w:val="20"/>
                <w:szCs w:val="20"/>
                <w:lang w:val="en"/>
              </w:rPr>
            </w:pPr>
          </w:p>
          <w:p w:rsidR="00C40EE0" w:rsidRDefault="00C40EE0" w:rsidP="004428BA">
            <w:pPr>
              <w:keepNext/>
              <w:widowControl/>
              <w:autoSpaceDE w:val="0"/>
              <w:autoSpaceDN w:val="0"/>
              <w:adjustRightInd w:val="0"/>
              <w:ind w:left="-108"/>
              <w:jc w:val="center"/>
              <w:rPr>
                <w:rFonts w:cs="Calibri"/>
                <w:lang w:val="en"/>
              </w:rPr>
            </w:pPr>
            <w:r>
              <w:rPr>
                <w:rFonts w:ascii="Arial Narrow" w:hAnsi="Arial Narrow" w:cs="Arial Narrow"/>
                <w:sz w:val="20"/>
                <w:szCs w:val="20"/>
                <w:lang w:val="en"/>
              </w:rPr>
              <w:t xml:space="preserve">Public:$1349.96 </w:t>
            </w:r>
          </w:p>
        </w:tc>
        <w:tc>
          <w:tcPr>
            <w:tcW w:w="662" w:type="pct"/>
            <w:tcBorders>
              <w:top w:val="single" w:sz="4" w:space="0" w:color="auto"/>
            </w:tcBorders>
            <w:shd w:val="clear" w:color="000000" w:fill="FFFFFF"/>
            <w:vAlign w:val="bottom"/>
          </w:tcPr>
          <w:p w:rsidR="00C40EE0" w:rsidRDefault="00EE500E" w:rsidP="004428BA">
            <w:pPr>
              <w:keepNext/>
              <w:widowControl/>
              <w:autoSpaceDE w:val="0"/>
              <w:autoSpaceDN w:val="0"/>
              <w:adjustRightInd w:val="0"/>
              <w:rPr>
                <w:rFonts w:cs="Calibri"/>
                <w:lang w:val="en"/>
              </w:rPr>
            </w:pPr>
            <w:r>
              <w:rPr>
                <w:rFonts w:ascii="Arial Narrow" w:hAnsi="Arial Narrow" w:cs="Arial Narrow"/>
                <w:sz w:val="20"/>
                <w:szCs w:val="20"/>
                <w:lang w:val="en"/>
              </w:rPr>
              <w:t>Botox</w:t>
            </w:r>
            <w:r w:rsidR="00C40EE0" w:rsidRPr="00FF044C">
              <w:rPr>
                <w:rFonts w:ascii="Arial Narrow" w:hAnsi="Arial Narrow"/>
                <w:sz w:val="20"/>
                <w:vertAlign w:val="superscript"/>
              </w:rPr>
              <w:t>®</w:t>
            </w:r>
          </w:p>
        </w:tc>
        <w:tc>
          <w:tcPr>
            <w:tcW w:w="760" w:type="pct"/>
            <w:tcBorders>
              <w:top w:val="single" w:sz="4" w:space="0" w:color="auto"/>
            </w:tcBorders>
            <w:shd w:val="clear" w:color="000000" w:fill="FFFFFF"/>
            <w:vAlign w:val="bottom"/>
          </w:tcPr>
          <w:p w:rsidR="00C40EE0" w:rsidRDefault="00EE500E" w:rsidP="004428BA">
            <w:pPr>
              <w:keepNext/>
              <w:widowControl/>
              <w:autoSpaceDE w:val="0"/>
              <w:autoSpaceDN w:val="0"/>
              <w:adjustRightInd w:val="0"/>
              <w:ind w:left="-108"/>
              <w:rPr>
                <w:rFonts w:cs="Calibri"/>
                <w:lang w:val="en"/>
              </w:rPr>
            </w:pPr>
            <w:r>
              <w:rPr>
                <w:rFonts w:ascii="Arial Narrow" w:hAnsi="Arial Narrow" w:cs="Arial Narrow"/>
                <w:sz w:val="20"/>
                <w:szCs w:val="20"/>
                <w:lang w:val="en"/>
              </w:rPr>
              <w:t>Allergan</w:t>
            </w:r>
            <w:r w:rsidR="00C40EE0">
              <w:rPr>
                <w:rFonts w:ascii="Arial Narrow" w:hAnsi="Arial Narrow" w:cs="Arial Narrow"/>
                <w:sz w:val="20"/>
                <w:szCs w:val="20"/>
                <w:lang w:val="en"/>
              </w:rPr>
              <w:t xml:space="preserve"> </w:t>
            </w:r>
          </w:p>
        </w:tc>
      </w:tr>
      <w:tr w:rsidR="00C40EE0" w:rsidTr="003A21AE">
        <w:trPr>
          <w:trHeight w:val="58"/>
        </w:trPr>
        <w:tc>
          <w:tcPr>
            <w:tcW w:w="1430" w:type="pct"/>
            <w:gridSpan w:val="2"/>
            <w:shd w:val="clear" w:color="000000" w:fill="FFFFFF"/>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c>
          <w:tcPr>
            <w:tcW w:w="493" w:type="pct"/>
            <w:shd w:val="clear" w:color="000000" w:fill="FFFFFF"/>
          </w:tcPr>
          <w:p w:rsidR="00C40EE0" w:rsidRDefault="00C40EE0" w:rsidP="004428BA">
            <w:pPr>
              <w:keepNext/>
              <w:widowControl/>
              <w:autoSpaceDE w:val="0"/>
              <w:autoSpaceDN w:val="0"/>
              <w:adjustRightInd w:val="0"/>
              <w:ind w:left="-108"/>
              <w:jc w:val="center"/>
              <w:rPr>
                <w:rFonts w:ascii="Arial Narrow" w:hAnsi="Arial Narrow" w:cs="Arial Narrow"/>
                <w:sz w:val="20"/>
                <w:szCs w:val="20"/>
                <w:lang w:val="en"/>
              </w:rPr>
            </w:pPr>
          </w:p>
        </w:tc>
        <w:tc>
          <w:tcPr>
            <w:tcW w:w="331" w:type="pct"/>
            <w:shd w:val="clear" w:color="000000" w:fill="FFFFFF"/>
          </w:tcPr>
          <w:p w:rsidR="00C40EE0" w:rsidRPr="00CE0B5C" w:rsidRDefault="00C40EE0" w:rsidP="004428BA">
            <w:pPr>
              <w:keepNext/>
              <w:widowControl/>
              <w:autoSpaceDE w:val="0"/>
              <w:autoSpaceDN w:val="0"/>
              <w:adjustRightInd w:val="0"/>
              <w:ind w:left="-108"/>
              <w:jc w:val="center"/>
              <w:rPr>
                <w:rFonts w:ascii="Arial Narrow" w:hAnsi="Arial Narrow" w:cs="Arial Narrow"/>
                <w:sz w:val="20"/>
                <w:szCs w:val="20"/>
                <w:lang w:val="en"/>
              </w:rPr>
            </w:pPr>
          </w:p>
        </w:tc>
        <w:tc>
          <w:tcPr>
            <w:tcW w:w="1324" w:type="pct"/>
            <w:shd w:val="clear" w:color="000000" w:fill="FFFFFF"/>
          </w:tcPr>
          <w:p w:rsidR="00C40EE0" w:rsidRDefault="00C40EE0" w:rsidP="004428BA">
            <w:pPr>
              <w:keepNext/>
              <w:widowControl/>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 xml:space="preserve">Private: $1397.25 </w:t>
            </w:r>
          </w:p>
        </w:tc>
        <w:tc>
          <w:tcPr>
            <w:tcW w:w="662" w:type="pct"/>
            <w:shd w:val="clear" w:color="000000" w:fill="FFFFFF"/>
            <w:vAlign w:val="bottom"/>
          </w:tcPr>
          <w:p w:rsidR="00C40EE0" w:rsidRDefault="00C40EE0" w:rsidP="004428BA">
            <w:pPr>
              <w:keepNext/>
              <w:widowControl/>
              <w:autoSpaceDE w:val="0"/>
              <w:autoSpaceDN w:val="0"/>
              <w:adjustRightInd w:val="0"/>
              <w:rPr>
                <w:rFonts w:ascii="Arial Narrow" w:hAnsi="Arial Narrow" w:cs="Arial Narrow"/>
                <w:sz w:val="20"/>
                <w:szCs w:val="20"/>
                <w:lang w:val="en"/>
              </w:rPr>
            </w:pPr>
          </w:p>
        </w:tc>
        <w:tc>
          <w:tcPr>
            <w:tcW w:w="760" w:type="pct"/>
            <w:shd w:val="clear" w:color="000000" w:fill="FFFFFF"/>
            <w:vAlign w:val="bottom"/>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r>
      <w:tr w:rsidR="00C40EE0" w:rsidTr="003A21AE">
        <w:trPr>
          <w:trHeight w:val="58"/>
        </w:trPr>
        <w:tc>
          <w:tcPr>
            <w:tcW w:w="1430" w:type="pct"/>
            <w:gridSpan w:val="2"/>
            <w:tcBorders>
              <w:bottom w:val="single" w:sz="4" w:space="0" w:color="auto"/>
            </w:tcBorders>
            <w:shd w:val="clear" w:color="000000" w:fill="FFFFFF"/>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c>
          <w:tcPr>
            <w:tcW w:w="493" w:type="pct"/>
            <w:tcBorders>
              <w:bottom w:val="single" w:sz="4" w:space="0" w:color="auto"/>
            </w:tcBorders>
            <w:shd w:val="clear" w:color="000000" w:fill="FFFFFF"/>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c>
          <w:tcPr>
            <w:tcW w:w="331" w:type="pct"/>
            <w:tcBorders>
              <w:bottom w:val="single" w:sz="4" w:space="0" w:color="auto"/>
            </w:tcBorders>
            <w:shd w:val="clear" w:color="000000" w:fill="FFFFFF"/>
          </w:tcPr>
          <w:p w:rsidR="00C40EE0" w:rsidRDefault="00C40EE0" w:rsidP="004428BA">
            <w:pPr>
              <w:keepNext/>
              <w:widowControl/>
              <w:autoSpaceDE w:val="0"/>
              <w:autoSpaceDN w:val="0"/>
              <w:adjustRightInd w:val="0"/>
              <w:ind w:left="-108"/>
              <w:rPr>
                <w:rFonts w:ascii="Arial Narrow" w:hAnsi="Arial Narrow" w:cs="Arial Narrow"/>
                <w:strike/>
                <w:sz w:val="20"/>
                <w:szCs w:val="20"/>
                <w:lang w:val="en"/>
              </w:rPr>
            </w:pPr>
          </w:p>
        </w:tc>
        <w:tc>
          <w:tcPr>
            <w:tcW w:w="1324" w:type="pct"/>
            <w:tcBorders>
              <w:bottom w:val="single" w:sz="4" w:space="0" w:color="auto"/>
            </w:tcBorders>
            <w:shd w:val="clear" w:color="000000" w:fill="FFFFFF"/>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c>
          <w:tcPr>
            <w:tcW w:w="662" w:type="pct"/>
            <w:tcBorders>
              <w:bottom w:val="single" w:sz="4" w:space="0" w:color="auto"/>
            </w:tcBorders>
            <w:shd w:val="clear" w:color="000000" w:fill="FFFFFF"/>
            <w:vAlign w:val="center"/>
          </w:tcPr>
          <w:p w:rsidR="00C40EE0" w:rsidRDefault="00C40EE0" w:rsidP="004428BA">
            <w:pPr>
              <w:keepNext/>
              <w:widowControl/>
              <w:autoSpaceDE w:val="0"/>
              <w:autoSpaceDN w:val="0"/>
              <w:adjustRightInd w:val="0"/>
              <w:rPr>
                <w:rFonts w:ascii="Arial Narrow" w:hAnsi="Arial Narrow" w:cs="Arial Narrow"/>
                <w:sz w:val="20"/>
                <w:szCs w:val="20"/>
                <w:lang w:val="en"/>
              </w:rPr>
            </w:pPr>
          </w:p>
        </w:tc>
        <w:tc>
          <w:tcPr>
            <w:tcW w:w="760" w:type="pct"/>
            <w:tcBorders>
              <w:bottom w:val="single" w:sz="4" w:space="0" w:color="auto"/>
            </w:tcBorders>
            <w:shd w:val="clear" w:color="000000" w:fill="FFFFFF"/>
            <w:vAlign w:val="center"/>
          </w:tcPr>
          <w:p w:rsidR="00C40EE0" w:rsidRDefault="00C40EE0" w:rsidP="004428BA">
            <w:pPr>
              <w:keepNext/>
              <w:widowControl/>
              <w:autoSpaceDE w:val="0"/>
              <w:autoSpaceDN w:val="0"/>
              <w:adjustRightInd w:val="0"/>
              <w:ind w:left="-108"/>
              <w:rPr>
                <w:rFonts w:ascii="Arial Narrow" w:hAnsi="Arial Narrow" w:cs="Arial Narrow"/>
                <w:sz w:val="20"/>
                <w:szCs w:val="20"/>
                <w:lang w:val="en"/>
              </w:rPr>
            </w:pPr>
          </w:p>
        </w:tc>
      </w:tr>
      <w:tr w:rsidR="00C40EE0" w:rsidTr="003A21AE">
        <w:trPr>
          <w:trHeight w:val="58"/>
        </w:trPr>
        <w:tc>
          <w:tcPr>
            <w:tcW w:w="1094" w:type="pct"/>
            <w:tcBorders>
              <w:top w:val="single" w:sz="4" w:space="0" w:color="auto"/>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906" w:type="pct"/>
            <w:gridSpan w:val="6"/>
            <w:tcBorders>
              <w:top w:val="single" w:sz="4" w:space="0" w:color="auto"/>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color w:val="000000"/>
                <w:sz w:val="20"/>
                <w:szCs w:val="20"/>
                <w:lang w:val="en"/>
              </w:rPr>
              <w:t>Section 100 – Botulinum Toxin Program</w:t>
            </w:r>
          </w:p>
        </w:tc>
      </w:tr>
      <w:tr w:rsidR="00C40EE0" w:rsidRPr="00260CE3" w:rsidTr="003A21AE">
        <w:trPr>
          <w:trHeight w:val="58"/>
        </w:trPr>
        <w:tc>
          <w:tcPr>
            <w:tcW w:w="1094" w:type="pct"/>
            <w:tcBorders>
              <w:top w:val="single" w:sz="4" w:space="0" w:color="auto"/>
              <w:left w:val="single" w:sz="3" w:space="0" w:color="000000"/>
              <w:bottom w:val="single" w:sz="3" w:space="0" w:color="000000"/>
              <w:right w:val="single" w:sz="3" w:space="0" w:color="000000"/>
            </w:tcBorders>
            <w:shd w:val="clear" w:color="000000" w:fill="FFFFFF"/>
          </w:tcPr>
          <w:p w:rsidR="00C40EE0" w:rsidRPr="00AD41F5" w:rsidRDefault="00C40EE0" w:rsidP="004428BA">
            <w:pPr>
              <w:widowControl/>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906" w:type="pct"/>
            <w:gridSpan w:val="6"/>
            <w:tcBorders>
              <w:top w:val="single" w:sz="4" w:space="0" w:color="auto"/>
              <w:left w:val="single" w:sz="3" w:space="0" w:color="000000"/>
              <w:bottom w:val="single" w:sz="3" w:space="0" w:color="000000"/>
              <w:right w:val="single" w:sz="3" w:space="0" w:color="000000"/>
            </w:tcBorders>
            <w:shd w:val="clear" w:color="000000" w:fill="FFFFFF"/>
          </w:tcPr>
          <w:p w:rsidR="00C40EE0" w:rsidRPr="00AD41F5" w:rsidRDefault="00C40EE0" w:rsidP="004428BA">
            <w:pPr>
              <w:widowControl/>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Dental</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Medical Practitioners</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Nurse practitioners</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C40EE0"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Severity</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A537F9" w:rsidRDefault="00C40EE0" w:rsidP="004428BA">
            <w:pPr>
              <w:widowControl/>
              <w:autoSpaceDE w:val="0"/>
              <w:autoSpaceDN w:val="0"/>
              <w:adjustRightInd w:val="0"/>
              <w:rPr>
                <w:rFonts w:ascii="Arial Narrow" w:hAnsi="Arial Narrow" w:cs="Calibri"/>
                <w:sz w:val="20"/>
                <w:szCs w:val="20"/>
                <w:lang w:val="en"/>
              </w:rPr>
            </w:pPr>
            <w:r w:rsidRPr="00A537F9">
              <w:rPr>
                <w:rFonts w:ascii="Arial Narrow" w:hAnsi="Arial Narrow" w:cs="Calibri"/>
                <w:sz w:val="20"/>
                <w:szCs w:val="20"/>
                <w:lang w:val="en"/>
              </w:rPr>
              <w:t>Moderate to severe</w:t>
            </w:r>
          </w:p>
        </w:tc>
      </w:tr>
      <w:tr w:rsidR="00C40EE0"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Calibri"/>
                <w:i/>
                <w:sz w:val="20"/>
                <w:szCs w:val="20"/>
                <w:lang w:val="en"/>
              </w:rPr>
            </w:pPr>
            <w:r w:rsidRPr="00D606A6">
              <w:rPr>
                <w:rFonts w:ascii="Arial Narrow" w:hAnsi="Arial Narrow" w:cs="Calibri"/>
                <w:sz w:val="20"/>
                <w:szCs w:val="20"/>
                <w:lang w:val="en"/>
              </w:rPr>
              <w:t>Lower</w:t>
            </w:r>
            <w:r w:rsidRPr="00910FFC">
              <w:rPr>
                <w:rFonts w:ascii="Arial Narrow" w:hAnsi="Arial Narrow" w:cs="Calibri"/>
                <w:sz w:val="20"/>
                <w:szCs w:val="20"/>
                <w:lang w:val="en"/>
              </w:rPr>
              <w:t xml:space="preserve"> limb</w:t>
            </w:r>
            <w:r w:rsidRPr="00D606A6">
              <w:rPr>
                <w:rFonts w:ascii="Arial Narrow" w:hAnsi="Arial Narrow" w:cs="Calibri"/>
                <w:sz w:val="20"/>
                <w:szCs w:val="20"/>
                <w:lang w:val="en"/>
              </w:rPr>
              <w:t xml:space="preserve"> </w:t>
            </w:r>
            <w:r w:rsidRPr="00A537F9">
              <w:rPr>
                <w:rFonts w:ascii="Arial Narrow" w:hAnsi="Arial Narrow" w:cs="Calibri"/>
                <w:sz w:val="20"/>
                <w:szCs w:val="20"/>
                <w:lang w:val="en"/>
              </w:rPr>
              <w:t>spasticity following a stroke</w:t>
            </w:r>
          </w:p>
        </w:tc>
      </w:tr>
      <w:tr w:rsidR="00BB6A64"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BB6A64" w:rsidRDefault="00BB6A64"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Treatment phase</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B6A64" w:rsidRPr="00BB6A64" w:rsidRDefault="00BB6A64" w:rsidP="004428BA">
            <w:pPr>
              <w:widowControl/>
              <w:autoSpaceDE w:val="0"/>
              <w:autoSpaceDN w:val="0"/>
              <w:adjustRightInd w:val="0"/>
              <w:rPr>
                <w:rFonts w:ascii="Arial Narrow" w:hAnsi="Arial Narrow"/>
                <w:i/>
                <w:color w:val="000000" w:themeColor="text1"/>
                <w:sz w:val="20"/>
              </w:rPr>
            </w:pPr>
            <w:r w:rsidRPr="00BB6A64">
              <w:rPr>
                <w:rFonts w:ascii="Arial Narrow" w:hAnsi="Arial Narrow"/>
                <w:i/>
                <w:color w:val="000000" w:themeColor="text1"/>
                <w:sz w:val="20"/>
              </w:rPr>
              <w:t>Initial and continuing treatment</w:t>
            </w:r>
          </w:p>
        </w:tc>
      </w:tr>
      <w:tr w:rsidR="00C40EE0"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910FFC" w:rsidRDefault="00C40EE0" w:rsidP="004428BA">
            <w:pPr>
              <w:widowControl/>
              <w:autoSpaceDE w:val="0"/>
              <w:autoSpaceDN w:val="0"/>
              <w:adjustRightInd w:val="0"/>
              <w:rPr>
                <w:rFonts w:cs="Calibri"/>
                <w:i/>
                <w:strike/>
                <w:lang w:val="en"/>
              </w:rPr>
            </w:pPr>
            <w:r>
              <w:rPr>
                <w:rFonts w:ascii="Arial Narrow" w:hAnsi="Arial Narrow"/>
                <w:color w:val="000000" w:themeColor="text1"/>
                <w:sz w:val="20"/>
              </w:rPr>
              <w:t>Moderate to severe spasticity of the lower limb</w:t>
            </w:r>
            <w:r w:rsidRPr="00A537F9">
              <w:rPr>
                <w:rFonts w:ascii="Arial Narrow" w:hAnsi="Arial Narrow"/>
                <w:color w:val="000000" w:themeColor="text1"/>
                <w:sz w:val="20"/>
              </w:rPr>
              <w:t xml:space="preserve"> following a stroke</w:t>
            </w:r>
          </w:p>
        </w:tc>
      </w:tr>
      <w:tr w:rsidR="00C40EE0" w:rsidTr="003A21AE">
        <w:trPr>
          <w:trHeight w:val="360"/>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jc w:val="left"/>
              <w:rPr>
                <w:rFonts w:cs="Calibri"/>
                <w:lang w:val="en"/>
              </w:rPr>
            </w:pPr>
            <w:r>
              <w:rPr>
                <w:rFonts w:ascii="Arial Narrow" w:hAnsi="Arial Narrow" w:cs="Arial Narrow"/>
                <w:b/>
                <w:bCs/>
                <w:color w:val="000000"/>
                <w:sz w:val="20"/>
                <w:szCs w:val="20"/>
                <w:lang w:val="en"/>
              </w:rPr>
              <w:t>Restriction Level / Method:</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C40EE0" w:rsidRDefault="00C40EE0" w:rsidP="004428BA">
            <w:pPr>
              <w:widowControl/>
              <w:autoSpaceDE w:val="0"/>
              <w:autoSpaceDN w:val="0"/>
              <w:adjustRightInd w:val="0"/>
              <w:rPr>
                <w:rFonts w:cs="Calibri"/>
                <w:lang w:val="en"/>
              </w:rPr>
            </w:pPr>
            <w:r w:rsidRPr="00F15216">
              <w:rPr>
                <w:rFonts w:ascii="Arial Narrow" w:hAnsi="Arial Narrow" w:cs="Times New Roman"/>
                <w:color w:val="000000" w:themeColor="text1"/>
                <w:sz w:val="20"/>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rPr>
              <w:instrText xml:space="preserve"> FORMCHECKBOX </w:instrText>
            </w:r>
            <w:r w:rsidR="00440603">
              <w:rPr>
                <w:rFonts w:ascii="Arial Narrow" w:hAnsi="Arial Narrow" w:cs="Times New Roman"/>
                <w:color w:val="000000" w:themeColor="text1"/>
                <w:sz w:val="20"/>
              </w:rPr>
            </w:r>
            <w:r w:rsidR="00440603">
              <w:rPr>
                <w:rFonts w:ascii="Arial Narrow" w:hAnsi="Arial Narrow" w:cs="Times New Roman"/>
                <w:color w:val="000000" w:themeColor="text1"/>
                <w:sz w:val="20"/>
              </w:rPr>
              <w:fldChar w:fldCharType="separate"/>
            </w:r>
            <w:r w:rsidRPr="00F15216">
              <w:rPr>
                <w:rFonts w:ascii="Arial Narrow" w:hAnsi="Arial Narrow" w:cs="Times New Roman"/>
                <w:color w:val="000000" w:themeColor="text1"/>
                <w:sz w:val="20"/>
              </w:rPr>
              <w:fldChar w:fldCharType="end"/>
            </w:r>
            <w:r w:rsidRPr="00F15216">
              <w:rPr>
                <w:rFonts w:ascii="Arial Narrow" w:hAnsi="Arial Narrow" w:cs="Times New Roman"/>
                <w:color w:val="000000" w:themeColor="text1"/>
                <w:sz w:val="20"/>
              </w:rPr>
              <w:t>S</w:t>
            </w:r>
            <w:r w:rsidRPr="00F15216">
              <w:rPr>
                <w:rFonts w:ascii="Arial Narrow" w:hAnsi="Arial Narrow"/>
                <w:color w:val="000000" w:themeColor="text1"/>
                <w:sz w:val="20"/>
              </w:rPr>
              <w:t>treamlined</w:t>
            </w:r>
          </w:p>
        </w:tc>
      </w:tr>
      <w:tr w:rsidR="00C40EE0" w:rsidTr="003A21AE">
        <w:trPr>
          <w:trHeight w:val="274"/>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sz w:val="20"/>
                <w:szCs w:val="20"/>
                <w:lang w:val="en"/>
              </w:rPr>
              <w:t>Clinical criteria:</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A537F9" w:rsidRDefault="00C40EE0" w:rsidP="004428BA">
            <w:pPr>
              <w:widowControl/>
              <w:rPr>
                <w:rFonts w:ascii="Arial Narrow" w:hAnsi="Arial Narrow"/>
                <w:sz w:val="20"/>
                <w:szCs w:val="20"/>
              </w:rPr>
            </w:pPr>
            <w:r w:rsidRPr="00A537F9">
              <w:rPr>
                <w:rFonts w:ascii="Arial Narrow" w:hAnsi="Arial Narrow"/>
                <w:sz w:val="20"/>
                <w:szCs w:val="20"/>
              </w:rPr>
              <w:t>The condition must be moderate to severe spasticity of the lower limb/s following stroke, defined as a Modified Ashworth Scale rating of 3 or more,</w:t>
            </w:r>
          </w:p>
          <w:p w:rsidR="00C40EE0" w:rsidRPr="00073BA6" w:rsidRDefault="00C40EE0" w:rsidP="004428BA">
            <w:pPr>
              <w:widowControl/>
              <w:rPr>
                <w:rFonts w:ascii="Arial Narrow" w:hAnsi="Arial Narrow"/>
                <w:b/>
                <w:sz w:val="20"/>
                <w:szCs w:val="20"/>
              </w:rPr>
            </w:pPr>
            <w:r w:rsidRPr="00073BA6">
              <w:rPr>
                <w:rFonts w:ascii="Arial Narrow" w:hAnsi="Arial Narrow"/>
                <w:b/>
                <w:sz w:val="20"/>
                <w:szCs w:val="20"/>
              </w:rPr>
              <w:t>AND</w:t>
            </w:r>
          </w:p>
          <w:p w:rsidR="00C40EE0" w:rsidRPr="001C0C8F" w:rsidRDefault="00C40EE0" w:rsidP="004428BA">
            <w:pPr>
              <w:widowControl/>
              <w:rPr>
                <w:rFonts w:ascii="Arial Narrow" w:hAnsi="Arial Narrow"/>
                <w:sz w:val="20"/>
                <w:szCs w:val="20"/>
              </w:rPr>
            </w:pPr>
            <w:r w:rsidRPr="00073BA6">
              <w:rPr>
                <w:rFonts w:ascii="Arial Narrow" w:hAnsi="Arial Narrow"/>
                <w:sz w:val="20"/>
                <w:szCs w:val="20"/>
              </w:rPr>
              <w:t>The treatment must only be used as second line therapy when standard management has failed;</w:t>
            </w:r>
            <w:r w:rsidRPr="00073BA6">
              <w:rPr>
                <w:rFonts w:ascii="Arial Narrow" w:hAnsi="Arial Narrow"/>
                <w:b/>
                <w:sz w:val="20"/>
                <w:szCs w:val="20"/>
              </w:rPr>
              <w:t xml:space="preserve"> </w:t>
            </w:r>
            <w:r w:rsidRPr="001C0C8F">
              <w:rPr>
                <w:rFonts w:ascii="Arial Narrow" w:hAnsi="Arial Narrow"/>
                <w:sz w:val="20"/>
                <w:szCs w:val="20"/>
              </w:rPr>
              <w:t>OR</w:t>
            </w:r>
          </w:p>
          <w:p w:rsidR="00C40EE0" w:rsidRPr="00073BA6" w:rsidRDefault="00C40EE0" w:rsidP="004428BA">
            <w:pPr>
              <w:widowControl/>
              <w:rPr>
                <w:rFonts w:ascii="Arial Narrow" w:hAnsi="Arial Narrow"/>
                <w:sz w:val="20"/>
                <w:szCs w:val="20"/>
              </w:rPr>
            </w:pPr>
            <w:r w:rsidRPr="00073BA6">
              <w:rPr>
                <w:rFonts w:ascii="Arial Narrow" w:hAnsi="Arial Narrow"/>
                <w:sz w:val="20"/>
                <w:szCs w:val="20"/>
              </w:rPr>
              <w:t>The treatment must only be used as an adjunct to physical therapy,</w:t>
            </w:r>
          </w:p>
          <w:p w:rsidR="00C40EE0" w:rsidRPr="00073BA6" w:rsidRDefault="00C40EE0" w:rsidP="004428BA">
            <w:pPr>
              <w:widowControl/>
              <w:rPr>
                <w:rFonts w:ascii="Arial Narrow" w:hAnsi="Arial Narrow"/>
                <w:b/>
                <w:sz w:val="20"/>
                <w:szCs w:val="20"/>
              </w:rPr>
            </w:pPr>
            <w:r w:rsidRPr="00073BA6">
              <w:rPr>
                <w:rFonts w:ascii="Arial Narrow" w:hAnsi="Arial Narrow"/>
                <w:b/>
                <w:sz w:val="20"/>
                <w:szCs w:val="20"/>
              </w:rPr>
              <w:t>AND</w:t>
            </w:r>
          </w:p>
          <w:p w:rsidR="00C40EE0" w:rsidRPr="00C161D9" w:rsidRDefault="00C40EE0" w:rsidP="004428BA">
            <w:pPr>
              <w:widowControl/>
              <w:rPr>
                <w:rFonts w:ascii="Arial Narrow" w:hAnsi="Arial Narrow"/>
                <w:i/>
                <w:sz w:val="20"/>
                <w:szCs w:val="20"/>
              </w:rPr>
            </w:pPr>
            <w:r w:rsidRPr="00A537F9">
              <w:rPr>
                <w:rFonts w:ascii="Arial Narrow" w:hAnsi="Arial Narrow"/>
                <w:sz w:val="20"/>
                <w:szCs w:val="20"/>
              </w:rPr>
              <w:t xml:space="preserve">The treatment must not continue if the patient does not respond (defined as not having had a decrease in spasticity rating </w:t>
            </w:r>
            <w:r w:rsidR="00310E56" w:rsidRPr="00E34913">
              <w:rPr>
                <w:rFonts w:ascii="Arial Narrow" w:hAnsi="Arial Narrow"/>
                <w:sz w:val="20"/>
                <w:szCs w:val="20"/>
              </w:rPr>
              <w:t xml:space="preserve">of a least </w:t>
            </w:r>
            <w:r w:rsidRPr="00E34913">
              <w:rPr>
                <w:rFonts w:ascii="Arial Narrow" w:hAnsi="Arial Narrow"/>
                <w:sz w:val="20"/>
                <w:szCs w:val="20"/>
              </w:rPr>
              <w:t>1</w:t>
            </w:r>
            <w:r w:rsidRPr="00A537F9">
              <w:rPr>
                <w:rFonts w:ascii="Arial Narrow" w:hAnsi="Arial Narrow"/>
                <w:sz w:val="20"/>
                <w:szCs w:val="20"/>
              </w:rPr>
              <w:t xml:space="preserve">, using the Modified Ashworth Scale, in at least one joint) after two treatment periods </w:t>
            </w:r>
            <w:r>
              <w:rPr>
                <w:rFonts w:ascii="Arial Narrow" w:hAnsi="Arial Narrow"/>
                <w:i/>
                <w:sz w:val="20"/>
                <w:szCs w:val="20"/>
              </w:rPr>
              <w:t>per lower limb,</w:t>
            </w:r>
          </w:p>
          <w:p w:rsidR="00C40EE0" w:rsidRPr="00073BA6" w:rsidRDefault="00C40EE0" w:rsidP="004428BA">
            <w:pPr>
              <w:widowControl/>
              <w:rPr>
                <w:rFonts w:ascii="Arial Narrow" w:hAnsi="Arial Narrow"/>
                <w:b/>
                <w:sz w:val="20"/>
                <w:szCs w:val="20"/>
              </w:rPr>
            </w:pPr>
            <w:r w:rsidRPr="00073BA6">
              <w:rPr>
                <w:rFonts w:ascii="Arial Narrow" w:hAnsi="Arial Narrow"/>
                <w:b/>
                <w:sz w:val="20"/>
                <w:szCs w:val="20"/>
              </w:rPr>
              <w:t>AND</w:t>
            </w:r>
          </w:p>
          <w:p w:rsidR="00D12F44" w:rsidRPr="00073BA6" w:rsidRDefault="00C40EE0" w:rsidP="00F2066D">
            <w:pPr>
              <w:widowControl/>
              <w:rPr>
                <w:rFonts w:ascii="Arial Narrow" w:hAnsi="Arial Narrow"/>
                <w:sz w:val="20"/>
                <w:szCs w:val="20"/>
              </w:rPr>
            </w:pPr>
            <w:r w:rsidRPr="00073BA6">
              <w:rPr>
                <w:rFonts w:ascii="Arial Narrow" w:hAnsi="Arial Narrow"/>
                <w:sz w:val="20"/>
                <w:szCs w:val="20"/>
              </w:rPr>
              <w:t>Patient must not have established severe contracture in the limb to be treated</w:t>
            </w:r>
            <w:r w:rsidR="00CB6ACE">
              <w:rPr>
                <w:rFonts w:ascii="Arial Narrow" w:hAnsi="Arial Narrow"/>
                <w:sz w:val="20"/>
                <w:szCs w:val="20"/>
              </w:rPr>
              <w:t>.</w:t>
            </w:r>
          </w:p>
        </w:tc>
      </w:tr>
      <w:tr w:rsidR="00C40EE0" w:rsidRPr="007F2EF5" w:rsidTr="003A21AE">
        <w:trPr>
          <w:trHeight w:val="240"/>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Arial Narrow"/>
                <w:b/>
                <w:bCs/>
                <w:color w:val="000000"/>
                <w:sz w:val="20"/>
                <w:szCs w:val="20"/>
                <w:lang w:val="en"/>
              </w:rPr>
            </w:pPr>
            <w:r w:rsidRPr="00073BA6">
              <w:rPr>
                <w:rFonts w:ascii="Arial Narrow" w:hAnsi="Arial Narrow" w:cs="Arial Narrow"/>
                <w:b/>
                <w:bCs/>
                <w:color w:val="000000"/>
                <w:sz w:val="20"/>
                <w:szCs w:val="20"/>
                <w:lang w:val="en"/>
              </w:rPr>
              <w:t>Population criteria</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Patient must be aged 18 years or older.</w:t>
            </w:r>
          </w:p>
        </w:tc>
      </w:tr>
      <w:tr w:rsidR="00C40EE0" w:rsidRPr="00C31A26" w:rsidTr="003A21AE">
        <w:trPr>
          <w:cantSplit/>
        </w:trPr>
        <w:tc>
          <w:tcPr>
            <w:tcW w:w="1094" w:type="pct"/>
            <w:tcBorders>
              <w:top w:val="single" w:sz="4" w:space="0" w:color="auto"/>
              <w:left w:val="single" w:sz="4" w:space="0" w:color="auto"/>
              <w:bottom w:val="single" w:sz="4" w:space="0" w:color="auto"/>
              <w:right w:val="single" w:sz="4" w:space="0" w:color="auto"/>
            </w:tcBorders>
          </w:tcPr>
          <w:p w:rsidR="00C40EE0" w:rsidRPr="00892A36" w:rsidRDefault="00C40EE0" w:rsidP="004428BA">
            <w:pPr>
              <w:pStyle w:val="Tabletext"/>
              <w:spacing w:after="120"/>
              <w:rPr>
                <w:b/>
              </w:rPr>
            </w:pPr>
            <w:r w:rsidRPr="00892A36">
              <w:rPr>
                <w:b/>
              </w:rPr>
              <w:t>Treatment criteria:</w:t>
            </w:r>
          </w:p>
          <w:p w:rsidR="00C40EE0" w:rsidRPr="00045A2B" w:rsidRDefault="00C40EE0" w:rsidP="004428BA">
            <w:pPr>
              <w:pStyle w:val="Tabletext"/>
              <w:spacing w:after="120"/>
              <w:rPr>
                <w:i/>
              </w:rPr>
            </w:pPr>
          </w:p>
        </w:tc>
        <w:tc>
          <w:tcPr>
            <w:tcW w:w="3906" w:type="pct"/>
            <w:gridSpan w:val="6"/>
            <w:tcBorders>
              <w:top w:val="single" w:sz="4" w:space="0" w:color="auto"/>
              <w:left w:val="single" w:sz="4" w:space="0" w:color="auto"/>
              <w:bottom w:val="single" w:sz="4" w:space="0" w:color="auto"/>
              <w:right w:val="single" w:sz="4" w:space="0" w:color="auto"/>
            </w:tcBorders>
          </w:tcPr>
          <w:p w:rsidR="00C40EE0" w:rsidRDefault="00C40EE0" w:rsidP="004428BA">
            <w:pPr>
              <w:pStyle w:val="Tabletext"/>
            </w:pPr>
            <w:r>
              <w:t>Must be treated by a neurologist; OR</w:t>
            </w:r>
          </w:p>
          <w:p w:rsidR="00C40EE0" w:rsidRDefault="00C40EE0" w:rsidP="004428BA">
            <w:pPr>
              <w:pStyle w:val="Tabletext"/>
            </w:pPr>
            <w:r>
              <w:t>Must be treated by an orthopaedic surgeon; OR</w:t>
            </w:r>
          </w:p>
          <w:p w:rsidR="00C40EE0" w:rsidRDefault="00C40EE0" w:rsidP="004428BA">
            <w:pPr>
              <w:pStyle w:val="Tabletext"/>
            </w:pPr>
            <w:r>
              <w:t>Must be treated by a rehabilitation specialist; OR</w:t>
            </w:r>
          </w:p>
          <w:p w:rsidR="00C40EE0" w:rsidRDefault="00C40EE0" w:rsidP="004428BA">
            <w:pPr>
              <w:pStyle w:val="Tabletext"/>
            </w:pPr>
            <w:r>
              <w:t>Must be treated by a plastic surgeon; OR</w:t>
            </w:r>
          </w:p>
          <w:p w:rsidR="00C40EE0" w:rsidRPr="00813C5D" w:rsidRDefault="00C40EE0" w:rsidP="004428BA">
            <w:pPr>
              <w:pStyle w:val="Tabletext"/>
            </w:pPr>
            <w:r>
              <w:t>Must be treated by a geriatrician.</w:t>
            </w:r>
          </w:p>
        </w:tc>
      </w:tr>
      <w:tr w:rsidR="00C40EE0" w:rsidRPr="007F2EF5" w:rsidTr="003A21AE">
        <w:trPr>
          <w:trHeight w:val="277"/>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Prescribing instructions</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C40EE0" w:rsidRPr="00310E56" w:rsidRDefault="00C40EE0" w:rsidP="004428BA">
            <w:pPr>
              <w:pStyle w:val="Tabletext"/>
              <w:rPr>
                <w:i/>
                <w:strike/>
                <w:szCs w:val="20"/>
              </w:rPr>
            </w:pPr>
            <w:r w:rsidRPr="00310E56">
              <w:rPr>
                <w:i/>
                <w:strike/>
                <w:szCs w:val="20"/>
              </w:rPr>
              <w:t>The date of the stroke must be documented in the patient’s medical records when treatment is initiated.</w:t>
            </w:r>
          </w:p>
          <w:p w:rsidR="00C40EE0" w:rsidRDefault="00C40EE0" w:rsidP="004428BA">
            <w:pPr>
              <w:widowControl/>
              <w:autoSpaceDE w:val="0"/>
              <w:autoSpaceDN w:val="0"/>
              <w:adjustRightInd w:val="0"/>
              <w:rPr>
                <w:rFonts w:ascii="Arial Narrow" w:hAnsi="Arial Narrow"/>
                <w:i/>
                <w:sz w:val="20"/>
                <w:szCs w:val="20"/>
              </w:rPr>
            </w:pPr>
            <w:r w:rsidRPr="007E444C">
              <w:rPr>
                <w:rFonts w:ascii="Arial Narrow" w:hAnsi="Arial Narrow"/>
                <w:i/>
                <w:sz w:val="20"/>
                <w:szCs w:val="20"/>
              </w:rPr>
              <w:t>Standard management includes physiotherapy and/or oral spasticity agents.</w:t>
            </w:r>
          </w:p>
          <w:p w:rsidR="00C40EE0" w:rsidRPr="00E15E99" w:rsidRDefault="00C40EE0" w:rsidP="004428BA">
            <w:pPr>
              <w:widowControl/>
              <w:autoSpaceDE w:val="0"/>
              <w:autoSpaceDN w:val="0"/>
              <w:adjustRightInd w:val="0"/>
              <w:rPr>
                <w:rFonts w:ascii="Arial Narrow" w:hAnsi="Arial Narrow"/>
                <w:i/>
                <w:strike/>
                <w:color w:val="222222"/>
                <w:sz w:val="20"/>
                <w:szCs w:val="20"/>
                <w:shd w:val="clear" w:color="auto" w:fill="FFFFFF"/>
              </w:rPr>
            </w:pPr>
            <w:r w:rsidRPr="00E15E99">
              <w:rPr>
                <w:rFonts w:ascii="Arial Narrow" w:hAnsi="Arial Narrow"/>
                <w:i/>
                <w:strike/>
                <w:sz w:val="20"/>
                <w:szCs w:val="20"/>
              </w:rPr>
              <w:t>The maximum total dose per patient is 400U every 12 weeks.</w:t>
            </w:r>
          </w:p>
        </w:tc>
      </w:tr>
      <w:tr w:rsidR="00C40EE0" w:rsidRPr="007F2EF5" w:rsidTr="003A21AE">
        <w:trPr>
          <w:trHeight w:val="277"/>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jc w:val="left"/>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 xml:space="preserve">Administrative </w:t>
            </w:r>
            <w:r w:rsidRPr="00073BA6">
              <w:rPr>
                <w:rFonts w:ascii="Arial Narrow" w:hAnsi="Arial Narrow" w:cs="Arial Narrow"/>
                <w:b/>
                <w:bCs/>
                <w:color w:val="000000"/>
                <w:sz w:val="20"/>
                <w:szCs w:val="20"/>
                <w:lang w:val="en"/>
              </w:rPr>
              <w:t>Note</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jc w:val="left"/>
              <w:rPr>
                <w:rFonts w:ascii="Arial Narrow" w:hAnsi="Arial Narrow" w:cs="Calibri"/>
                <w:i/>
                <w:sz w:val="20"/>
                <w:szCs w:val="20"/>
                <w:lang w:val="en"/>
              </w:rPr>
            </w:pPr>
            <w:r w:rsidRPr="00073BA6">
              <w:rPr>
                <w:rFonts w:ascii="Arial Narrow" w:hAnsi="Arial Narrow"/>
                <w:i/>
                <w:color w:val="222222"/>
                <w:sz w:val="20"/>
                <w:szCs w:val="20"/>
                <w:shd w:val="clear" w:color="auto" w:fill="FFFFFF"/>
              </w:rPr>
              <w:t>The units used to express the potency of botulinum toxin preparations currently available for PBS subsidy are not equivalent.</w:t>
            </w:r>
          </w:p>
        </w:tc>
      </w:tr>
      <w:tr w:rsidR="00C40EE0" w:rsidTr="003A21AE">
        <w:trPr>
          <w:trHeight w:val="132"/>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jc w:val="left"/>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Caution</w:t>
            </w:r>
          </w:p>
        </w:tc>
        <w:tc>
          <w:tcPr>
            <w:tcW w:w="3906" w:type="pct"/>
            <w:gridSpan w:val="6"/>
            <w:tcBorders>
              <w:top w:val="single" w:sz="3" w:space="0" w:color="000000"/>
              <w:left w:val="single" w:sz="3" w:space="0" w:color="000000"/>
              <w:bottom w:val="single" w:sz="3" w:space="0" w:color="000000"/>
              <w:right w:val="single" w:sz="3" w:space="0" w:color="000000"/>
            </w:tcBorders>
            <w:shd w:val="clear" w:color="000000" w:fill="FFFFFF"/>
          </w:tcPr>
          <w:p w:rsidR="00C40EE0" w:rsidRPr="00FA6FEE" w:rsidRDefault="00C40EE0" w:rsidP="004428BA">
            <w:pPr>
              <w:widowControl/>
              <w:autoSpaceDE w:val="0"/>
              <w:autoSpaceDN w:val="0"/>
              <w:adjustRightInd w:val="0"/>
              <w:jc w:val="left"/>
              <w:rPr>
                <w:rFonts w:ascii="Arial Narrow" w:hAnsi="Arial Narrow"/>
                <w:i/>
                <w:color w:val="222222"/>
                <w:sz w:val="20"/>
                <w:szCs w:val="20"/>
                <w:shd w:val="clear" w:color="auto" w:fill="FFFFFF"/>
              </w:rPr>
            </w:pPr>
            <w:r w:rsidRPr="00FA6FEE">
              <w:rPr>
                <w:rFonts w:ascii="Arial Narrow" w:hAnsi="Arial Narrow"/>
                <w:i/>
                <w:color w:val="222222"/>
                <w:sz w:val="20"/>
                <w:szCs w:val="20"/>
                <w:shd w:val="clear" w:color="auto" w:fill="FFFFFF"/>
              </w:rPr>
              <w:t>Contraindications to treatment include known sensitivity to botulinum toxin.</w:t>
            </w:r>
          </w:p>
        </w:tc>
      </w:tr>
    </w:tbl>
    <w:p w:rsidR="00C40EE0" w:rsidRDefault="00C40EE0" w:rsidP="004428BA">
      <w:pPr>
        <w:widowControl/>
        <w:autoSpaceDE w:val="0"/>
        <w:autoSpaceDN w:val="0"/>
        <w:adjustRightInd w:val="0"/>
        <w:rPr>
          <w:rFonts w:cs="Calibri"/>
          <w:b/>
          <w:bCs/>
          <w:sz w:val="20"/>
          <w:szCs w:val="20"/>
          <w:lang w:val="en"/>
        </w:rPr>
      </w:pPr>
    </w:p>
    <w:p w:rsidR="00C40EE0" w:rsidRPr="005A73CA" w:rsidRDefault="00C40EE0" w:rsidP="004428BA">
      <w:pPr>
        <w:widowControl/>
        <w:autoSpaceDE w:val="0"/>
        <w:autoSpaceDN w:val="0"/>
        <w:adjustRightInd w:val="0"/>
        <w:rPr>
          <w:rFonts w:cs="Calibri"/>
          <w:b/>
          <w:bCs/>
          <w:lang w:val="en"/>
        </w:rPr>
      </w:pPr>
      <w:r w:rsidRPr="005A73CA">
        <w:rPr>
          <w:rFonts w:cs="Calibri"/>
          <w:b/>
          <w:bCs/>
          <w:lang w:val="en"/>
        </w:rPr>
        <w:t>Grandfathering restriction:</w:t>
      </w:r>
    </w:p>
    <w:tbl>
      <w:tblPr>
        <w:tblW w:w="4907" w:type="pct"/>
        <w:tblInd w:w="108" w:type="dxa"/>
        <w:tblLook w:val="0000" w:firstRow="0" w:lastRow="0" w:firstColumn="0" w:lastColumn="0" w:noHBand="0" w:noVBand="0"/>
      </w:tblPr>
      <w:tblGrid>
        <w:gridCol w:w="1937"/>
        <w:gridCol w:w="6914"/>
      </w:tblGrid>
      <w:tr w:rsidR="00C40EE0" w:rsidTr="003A21AE">
        <w:trPr>
          <w:trHeight w:val="58"/>
        </w:trPr>
        <w:tc>
          <w:tcPr>
            <w:tcW w:w="1094" w:type="pct"/>
            <w:tcBorders>
              <w:top w:val="single" w:sz="4" w:space="0" w:color="auto"/>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906" w:type="pct"/>
            <w:tcBorders>
              <w:top w:val="single" w:sz="4" w:space="0" w:color="auto"/>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color w:val="000000"/>
                <w:sz w:val="20"/>
                <w:szCs w:val="20"/>
                <w:lang w:val="en"/>
              </w:rPr>
              <w:t>Section 100 – Botulinum Toxin Program</w:t>
            </w:r>
          </w:p>
        </w:tc>
      </w:tr>
      <w:tr w:rsidR="00C40EE0" w:rsidRPr="00AD41F5" w:rsidTr="003A21AE">
        <w:trPr>
          <w:trHeight w:val="58"/>
        </w:trPr>
        <w:tc>
          <w:tcPr>
            <w:tcW w:w="1094" w:type="pct"/>
            <w:tcBorders>
              <w:top w:val="single" w:sz="4" w:space="0" w:color="auto"/>
              <w:left w:val="single" w:sz="3" w:space="0" w:color="000000"/>
              <w:bottom w:val="single" w:sz="3" w:space="0" w:color="000000"/>
              <w:right w:val="single" w:sz="3" w:space="0" w:color="000000"/>
            </w:tcBorders>
            <w:shd w:val="clear" w:color="000000" w:fill="FFFFFF"/>
          </w:tcPr>
          <w:p w:rsidR="00C40EE0" w:rsidRPr="00AD41F5" w:rsidRDefault="00C40EE0" w:rsidP="004428BA">
            <w:pPr>
              <w:widowControl/>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906" w:type="pct"/>
            <w:tcBorders>
              <w:top w:val="single" w:sz="4" w:space="0" w:color="auto"/>
              <w:left w:val="single" w:sz="3" w:space="0" w:color="000000"/>
              <w:bottom w:val="single" w:sz="3" w:space="0" w:color="000000"/>
              <w:right w:val="single" w:sz="3" w:space="0" w:color="000000"/>
            </w:tcBorders>
            <w:shd w:val="clear" w:color="000000" w:fill="FFFFFF"/>
          </w:tcPr>
          <w:p w:rsidR="00C40EE0" w:rsidRPr="00AD41F5" w:rsidRDefault="00C40EE0" w:rsidP="004428BA">
            <w:pPr>
              <w:widowControl/>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Dental</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Medical Practitioners</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Nurse practitioners</w:t>
            </w:r>
            <w:r w:rsidR="004A5FEC">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440603">
              <w:rPr>
                <w:rFonts w:ascii="Arial Narrow" w:hAnsi="Arial Narrow" w:cs="Arial Narrow"/>
                <w:color w:val="000000"/>
                <w:sz w:val="20"/>
                <w:szCs w:val="20"/>
                <w:lang w:val="en"/>
              </w:rPr>
            </w:r>
            <w:r w:rsidR="00440603">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C40EE0" w:rsidRPr="00A537F9"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Severity</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A537F9" w:rsidRDefault="00C40EE0" w:rsidP="004428BA">
            <w:pPr>
              <w:widowControl/>
              <w:autoSpaceDE w:val="0"/>
              <w:autoSpaceDN w:val="0"/>
              <w:adjustRightInd w:val="0"/>
              <w:rPr>
                <w:rFonts w:ascii="Arial Narrow" w:hAnsi="Arial Narrow" w:cs="Calibri"/>
                <w:sz w:val="20"/>
                <w:szCs w:val="20"/>
                <w:lang w:val="en"/>
              </w:rPr>
            </w:pPr>
            <w:r w:rsidRPr="00A537F9">
              <w:rPr>
                <w:rFonts w:ascii="Arial Narrow" w:hAnsi="Arial Narrow" w:cs="Calibri"/>
                <w:sz w:val="20"/>
                <w:szCs w:val="20"/>
                <w:lang w:val="en"/>
              </w:rPr>
              <w:t>Moderate to severe</w:t>
            </w:r>
          </w:p>
        </w:tc>
      </w:tr>
      <w:tr w:rsidR="00C40EE0" w:rsidRPr="00073BA6"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Calibri"/>
                <w:i/>
                <w:sz w:val="20"/>
                <w:szCs w:val="20"/>
                <w:lang w:val="en"/>
              </w:rPr>
            </w:pPr>
            <w:r w:rsidRPr="00D606A6">
              <w:rPr>
                <w:rFonts w:ascii="Arial Narrow" w:hAnsi="Arial Narrow" w:cs="Calibri"/>
                <w:sz w:val="20"/>
                <w:szCs w:val="20"/>
                <w:lang w:val="en"/>
              </w:rPr>
              <w:t>Lower</w:t>
            </w:r>
            <w:r w:rsidRPr="00910FFC">
              <w:rPr>
                <w:rFonts w:ascii="Arial Narrow" w:hAnsi="Arial Narrow" w:cs="Calibri"/>
                <w:sz w:val="20"/>
                <w:szCs w:val="20"/>
                <w:lang w:val="en"/>
              </w:rPr>
              <w:t xml:space="preserve"> limb</w:t>
            </w:r>
            <w:r w:rsidRPr="00D606A6">
              <w:rPr>
                <w:rFonts w:ascii="Arial Narrow" w:hAnsi="Arial Narrow" w:cs="Calibri"/>
                <w:sz w:val="20"/>
                <w:szCs w:val="20"/>
                <w:lang w:val="en"/>
              </w:rPr>
              <w:t xml:space="preserve"> </w:t>
            </w:r>
            <w:r w:rsidRPr="00A537F9">
              <w:rPr>
                <w:rFonts w:ascii="Arial Narrow" w:hAnsi="Arial Narrow" w:cs="Calibri"/>
                <w:sz w:val="20"/>
                <w:szCs w:val="20"/>
                <w:lang w:val="en"/>
              </w:rPr>
              <w:t>spasticity following a stroke</w:t>
            </w:r>
          </w:p>
        </w:tc>
      </w:tr>
      <w:tr w:rsidR="00C40EE0" w:rsidRPr="00910FFC"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910FFC" w:rsidRDefault="00C40EE0" w:rsidP="004428BA">
            <w:pPr>
              <w:widowControl/>
              <w:autoSpaceDE w:val="0"/>
              <w:autoSpaceDN w:val="0"/>
              <w:adjustRightInd w:val="0"/>
              <w:rPr>
                <w:rFonts w:cs="Calibri"/>
                <w:i/>
                <w:strike/>
                <w:lang w:val="en"/>
              </w:rPr>
            </w:pPr>
            <w:r>
              <w:rPr>
                <w:rFonts w:ascii="Arial Narrow" w:hAnsi="Arial Narrow"/>
                <w:color w:val="000000" w:themeColor="text1"/>
                <w:sz w:val="20"/>
              </w:rPr>
              <w:t>Moderate to severe spasticity of the lower limb</w:t>
            </w:r>
            <w:r w:rsidRPr="00A537F9">
              <w:rPr>
                <w:rFonts w:ascii="Arial Narrow" w:hAnsi="Arial Narrow"/>
                <w:color w:val="000000" w:themeColor="text1"/>
                <w:sz w:val="20"/>
              </w:rPr>
              <w:t xml:space="preserve"> following a stroke</w:t>
            </w:r>
          </w:p>
        </w:tc>
      </w:tr>
      <w:tr w:rsidR="00C40EE0" w:rsidRPr="00073BA6" w:rsidTr="003A21AE">
        <w:trPr>
          <w:trHeight w:val="58"/>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color w:val="000000"/>
                <w:sz w:val="20"/>
                <w:szCs w:val="20"/>
                <w:lang w:val="en"/>
              </w:rPr>
              <w:t>Treatment phase:</w:t>
            </w:r>
          </w:p>
        </w:tc>
        <w:tc>
          <w:tcPr>
            <w:tcW w:w="3906" w:type="pct"/>
            <w:tcBorders>
              <w:top w:val="single" w:sz="3" w:space="0" w:color="000000"/>
              <w:left w:val="single" w:sz="3" w:space="0" w:color="000000"/>
              <w:bottom w:val="single" w:sz="3" w:space="0" w:color="000000"/>
              <w:right w:val="single" w:sz="3" w:space="0" w:color="000000"/>
            </w:tcBorders>
            <w:shd w:val="clear" w:color="auto" w:fill="FFFFFF" w:themeFill="background1"/>
          </w:tcPr>
          <w:p w:rsidR="00C40EE0" w:rsidRPr="00EC6626" w:rsidRDefault="00C40EE0" w:rsidP="004428BA">
            <w:pPr>
              <w:widowControl/>
              <w:autoSpaceDE w:val="0"/>
              <w:autoSpaceDN w:val="0"/>
              <w:adjustRightInd w:val="0"/>
              <w:rPr>
                <w:rFonts w:ascii="Arial Narrow" w:hAnsi="Arial Narrow" w:cs="Calibri"/>
                <w:i/>
                <w:sz w:val="20"/>
                <w:szCs w:val="20"/>
                <w:lang w:val="en"/>
              </w:rPr>
            </w:pPr>
            <w:r>
              <w:rPr>
                <w:rFonts w:ascii="Arial Narrow" w:hAnsi="Arial Narrow" w:cs="Calibri"/>
                <w:i/>
                <w:sz w:val="20"/>
                <w:szCs w:val="20"/>
                <w:lang w:val="en"/>
              </w:rPr>
              <w:t xml:space="preserve">Initial </w:t>
            </w:r>
            <w:r w:rsidR="00BB6A64">
              <w:rPr>
                <w:rFonts w:ascii="Arial Narrow" w:hAnsi="Arial Narrow" w:cs="Calibri"/>
                <w:i/>
                <w:sz w:val="20"/>
                <w:szCs w:val="20"/>
                <w:lang w:val="en"/>
              </w:rPr>
              <w:t xml:space="preserve">and continuing </w:t>
            </w:r>
            <w:r>
              <w:rPr>
                <w:rFonts w:ascii="Arial Narrow" w:hAnsi="Arial Narrow" w:cs="Calibri"/>
                <w:i/>
                <w:sz w:val="20"/>
                <w:szCs w:val="20"/>
                <w:lang w:val="en"/>
              </w:rPr>
              <w:t>treatment – grandfather</w:t>
            </w:r>
            <w:r w:rsidR="00DB56F6">
              <w:rPr>
                <w:rFonts w:ascii="Arial Narrow" w:hAnsi="Arial Narrow" w:cs="Calibri"/>
                <w:i/>
                <w:sz w:val="20"/>
                <w:szCs w:val="20"/>
                <w:lang w:val="en"/>
              </w:rPr>
              <w:t>ed</w:t>
            </w:r>
            <w:r>
              <w:rPr>
                <w:rFonts w:ascii="Arial Narrow" w:hAnsi="Arial Narrow" w:cs="Calibri"/>
                <w:i/>
                <w:sz w:val="20"/>
                <w:szCs w:val="20"/>
                <w:lang w:val="en"/>
              </w:rPr>
              <w:t xml:space="preserve"> patients</w:t>
            </w:r>
          </w:p>
        </w:tc>
      </w:tr>
      <w:tr w:rsidR="00C40EE0" w:rsidTr="003A21AE">
        <w:trPr>
          <w:trHeight w:val="360"/>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jc w:val="left"/>
              <w:rPr>
                <w:rFonts w:cs="Calibri"/>
                <w:lang w:val="en"/>
              </w:rPr>
            </w:pPr>
            <w:r>
              <w:rPr>
                <w:rFonts w:ascii="Arial Narrow" w:hAnsi="Arial Narrow" w:cs="Arial Narrow"/>
                <w:b/>
                <w:bCs/>
                <w:color w:val="000000"/>
                <w:sz w:val="20"/>
                <w:szCs w:val="20"/>
                <w:lang w:val="en"/>
              </w:rPr>
              <w:t>Restriction Level / Method:</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lastRenderedPageBreak/>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C40EE0" w:rsidRPr="00F15216" w:rsidRDefault="00C40EE0" w:rsidP="004428BA">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440603">
              <w:rPr>
                <w:rFonts w:ascii="Arial Narrow" w:hAnsi="Arial Narrow"/>
                <w:color w:val="000000" w:themeColor="text1"/>
                <w:sz w:val="20"/>
              </w:rPr>
            </w:r>
            <w:r w:rsidR="00440603">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C40EE0" w:rsidRDefault="00C40EE0" w:rsidP="004428BA">
            <w:pPr>
              <w:widowControl/>
              <w:autoSpaceDE w:val="0"/>
              <w:autoSpaceDN w:val="0"/>
              <w:adjustRightInd w:val="0"/>
              <w:rPr>
                <w:rFonts w:cs="Calibri"/>
                <w:lang w:val="en"/>
              </w:rPr>
            </w:pPr>
            <w:r w:rsidRPr="00F15216">
              <w:rPr>
                <w:rFonts w:ascii="Arial Narrow" w:hAnsi="Arial Narrow" w:cs="Times New Roman"/>
                <w:color w:val="000000" w:themeColor="text1"/>
                <w:sz w:val="20"/>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rPr>
              <w:instrText xml:space="preserve"> FORMCHECKBOX </w:instrText>
            </w:r>
            <w:r w:rsidR="00440603">
              <w:rPr>
                <w:rFonts w:ascii="Arial Narrow" w:hAnsi="Arial Narrow" w:cs="Times New Roman"/>
                <w:color w:val="000000" w:themeColor="text1"/>
                <w:sz w:val="20"/>
              </w:rPr>
            </w:r>
            <w:r w:rsidR="00440603">
              <w:rPr>
                <w:rFonts w:ascii="Arial Narrow" w:hAnsi="Arial Narrow" w:cs="Times New Roman"/>
                <w:color w:val="000000" w:themeColor="text1"/>
                <w:sz w:val="20"/>
              </w:rPr>
              <w:fldChar w:fldCharType="separate"/>
            </w:r>
            <w:r w:rsidRPr="00F15216">
              <w:rPr>
                <w:rFonts w:ascii="Arial Narrow" w:hAnsi="Arial Narrow" w:cs="Times New Roman"/>
                <w:color w:val="000000" w:themeColor="text1"/>
                <w:sz w:val="20"/>
              </w:rPr>
              <w:fldChar w:fldCharType="end"/>
            </w:r>
            <w:r w:rsidRPr="00F15216">
              <w:rPr>
                <w:rFonts w:ascii="Arial Narrow" w:hAnsi="Arial Narrow" w:cs="Times New Roman"/>
                <w:color w:val="000000" w:themeColor="text1"/>
                <w:sz w:val="20"/>
              </w:rPr>
              <w:t>S</w:t>
            </w:r>
            <w:r w:rsidRPr="00F15216">
              <w:rPr>
                <w:rFonts w:ascii="Arial Narrow" w:hAnsi="Arial Narrow"/>
                <w:color w:val="000000" w:themeColor="text1"/>
                <w:sz w:val="20"/>
              </w:rPr>
              <w:t>treamlined</w:t>
            </w:r>
          </w:p>
        </w:tc>
      </w:tr>
      <w:tr w:rsidR="00C40EE0" w:rsidRPr="00073BA6" w:rsidTr="003A21AE">
        <w:trPr>
          <w:trHeight w:val="274"/>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cs="Calibri"/>
                <w:lang w:val="en"/>
              </w:rPr>
            </w:pPr>
            <w:r>
              <w:rPr>
                <w:rFonts w:ascii="Arial Narrow" w:hAnsi="Arial Narrow" w:cs="Arial Narrow"/>
                <w:b/>
                <w:bCs/>
                <w:sz w:val="20"/>
                <w:szCs w:val="20"/>
                <w:lang w:val="en"/>
              </w:rPr>
              <w:lastRenderedPageBreak/>
              <w:t>Clinical criteria:</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5A73CA" w:rsidRDefault="00C40EE0" w:rsidP="004428BA">
            <w:pPr>
              <w:widowControl/>
              <w:rPr>
                <w:rFonts w:ascii="Arial Narrow" w:hAnsi="Arial Narrow"/>
                <w:strike/>
                <w:sz w:val="20"/>
                <w:szCs w:val="20"/>
              </w:rPr>
            </w:pPr>
            <w:r w:rsidRPr="005A73CA">
              <w:rPr>
                <w:rFonts w:ascii="Arial Narrow" w:hAnsi="Arial Narrow"/>
                <w:strike/>
                <w:sz w:val="20"/>
                <w:szCs w:val="20"/>
              </w:rPr>
              <w:t>The condition must be moderate to severe spasticity of the lower limb/s following stroke, defined as a Modified Ashworth Scale rating of 3 or more,</w:t>
            </w:r>
          </w:p>
          <w:p w:rsidR="00C40EE0" w:rsidRPr="005A73CA" w:rsidRDefault="00C40EE0" w:rsidP="004428BA">
            <w:pPr>
              <w:widowControl/>
              <w:rPr>
                <w:rFonts w:ascii="Arial Narrow" w:hAnsi="Arial Narrow"/>
                <w:b/>
                <w:strike/>
                <w:sz w:val="20"/>
                <w:szCs w:val="20"/>
              </w:rPr>
            </w:pPr>
            <w:r w:rsidRPr="005A73CA">
              <w:rPr>
                <w:rFonts w:ascii="Arial Narrow" w:hAnsi="Arial Narrow"/>
                <w:b/>
                <w:strike/>
                <w:sz w:val="20"/>
                <w:szCs w:val="20"/>
              </w:rPr>
              <w:t>AND</w:t>
            </w:r>
          </w:p>
          <w:p w:rsidR="00C40EE0" w:rsidRPr="001C0C8F" w:rsidRDefault="00C40EE0" w:rsidP="004428BA">
            <w:pPr>
              <w:widowControl/>
              <w:rPr>
                <w:rFonts w:ascii="Arial Narrow" w:hAnsi="Arial Narrow"/>
                <w:sz w:val="20"/>
                <w:szCs w:val="20"/>
              </w:rPr>
            </w:pPr>
            <w:r w:rsidRPr="00073BA6">
              <w:rPr>
                <w:rFonts w:ascii="Arial Narrow" w:hAnsi="Arial Narrow"/>
                <w:sz w:val="20"/>
                <w:szCs w:val="20"/>
              </w:rPr>
              <w:t>The treatment must only be used as second line therapy when standard management has failed;</w:t>
            </w:r>
            <w:r w:rsidRPr="00073BA6">
              <w:rPr>
                <w:rFonts w:ascii="Arial Narrow" w:hAnsi="Arial Narrow"/>
                <w:b/>
                <w:sz w:val="20"/>
                <w:szCs w:val="20"/>
              </w:rPr>
              <w:t xml:space="preserve"> </w:t>
            </w:r>
            <w:r w:rsidRPr="001C0C8F">
              <w:rPr>
                <w:rFonts w:ascii="Arial Narrow" w:hAnsi="Arial Narrow"/>
                <w:sz w:val="20"/>
                <w:szCs w:val="20"/>
              </w:rPr>
              <w:t>OR</w:t>
            </w:r>
          </w:p>
          <w:p w:rsidR="00C40EE0" w:rsidRPr="00073BA6" w:rsidRDefault="00C40EE0" w:rsidP="004428BA">
            <w:pPr>
              <w:widowControl/>
              <w:rPr>
                <w:rFonts w:ascii="Arial Narrow" w:hAnsi="Arial Narrow"/>
                <w:sz w:val="20"/>
                <w:szCs w:val="20"/>
              </w:rPr>
            </w:pPr>
            <w:r w:rsidRPr="00073BA6">
              <w:rPr>
                <w:rFonts w:ascii="Arial Narrow" w:hAnsi="Arial Narrow"/>
                <w:sz w:val="20"/>
                <w:szCs w:val="20"/>
              </w:rPr>
              <w:t>The treatment must only be used as an adjunct to physical therapy,</w:t>
            </w:r>
          </w:p>
          <w:p w:rsidR="00C40EE0" w:rsidRPr="00073BA6" w:rsidRDefault="00C40EE0" w:rsidP="004428BA">
            <w:pPr>
              <w:widowControl/>
              <w:rPr>
                <w:rFonts w:ascii="Arial Narrow" w:hAnsi="Arial Narrow"/>
                <w:b/>
                <w:sz w:val="20"/>
                <w:szCs w:val="20"/>
              </w:rPr>
            </w:pPr>
            <w:r w:rsidRPr="00073BA6">
              <w:rPr>
                <w:rFonts w:ascii="Arial Narrow" w:hAnsi="Arial Narrow"/>
                <w:b/>
                <w:sz w:val="20"/>
                <w:szCs w:val="20"/>
              </w:rPr>
              <w:t>AND</w:t>
            </w:r>
          </w:p>
          <w:p w:rsidR="00C40EE0" w:rsidRPr="00C161D9" w:rsidRDefault="00C40EE0" w:rsidP="004428BA">
            <w:pPr>
              <w:widowControl/>
              <w:rPr>
                <w:rFonts w:ascii="Arial Narrow" w:hAnsi="Arial Narrow"/>
                <w:i/>
                <w:sz w:val="20"/>
                <w:szCs w:val="20"/>
              </w:rPr>
            </w:pPr>
            <w:r w:rsidRPr="00A537F9">
              <w:rPr>
                <w:rFonts w:ascii="Arial Narrow" w:hAnsi="Arial Narrow"/>
                <w:sz w:val="20"/>
                <w:szCs w:val="20"/>
              </w:rPr>
              <w:t xml:space="preserve">The treatment must not continue if the patient does not respond (defined as not having had a decrease in spasticity rating </w:t>
            </w:r>
            <w:r>
              <w:rPr>
                <w:rFonts w:ascii="Arial Narrow" w:hAnsi="Arial Narrow"/>
                <w:sz w:val="20"/>
                <w:szCs w:val="20"/>
              </w:rPr>
              <w:t xml:space="preserve">of </w:t>
            </w:r>
            <w:r w:rsidRPr="00E34913">
              <w:rPr>
                <w:rFonts w:ascii="Arial Narrow" w:hAnsi="Arial Narrow"/>
                <w:sz w:val="20"/>
                <w:szCs w:val="20"/>
              </w:rPr>
              <w:t>at least 1</w:t>
            </w:r>
            <w:r w:rsidRPr="00A537F9">
              <w:rPr>
                <w:rFonts w:ascii="Arial Narrow" w:hAnsi="Arial Narrow"/>
                <w:sz w:val="20"/>
                <w:szCs w:val="20"/>
              </w:rPr>
              <w:t xml:space="preserve">, using the Modified Ashworth Scale, in at least one joint) after two treatment periods </w:t>
            </w:r>
            <w:r>
              <w:rPr>
                <w:rFonts w:ascii="Arial Narrow" w:hAnsi="Arial Narrow"/>
                <w:i/>
                <w:sz w:val="20"/>
                <w:szCs w:val="20"/>
              </w:rPr>
              <w:t>per lower limb,</w:t>
            </w:r>
          </w:p>
          <w:p w:rsidR="00C40EE0" w:rsidRPr="00073BA6" w:rsidRDefault="00C40EE0" w:rsidP="004428BA">
            <w:pPr>
              <w:widowControl/>
              <w:rPr>
                <w:rFonts w:ascii="Arial Narrow" w:hAnsi="Arial Narrow"/>
                <w:b/>
                <w:sz w:val="20"/>
                <w:szCs w:val="20"/>
              </w:rPr>
            </w:pPr>
            <w:r w:rsidRPr="00073BA6">
              <w:rPr>
                <w:rFonts w:ascii="Arial Narrow" w:hAnsi="Arial Narrow"/>
                <w:b/>
                <w:sz w:val="20"/>
                <w:szCs w:val="20"/>
              </w:rPr>
              <w:t>AND</w:t>
            </w:r>
          </w:p>
          <w:p w:rsidR="00C40EE0" w:rsidRPr="00073BA6" w:rsidRDefault="00C40EE0" w:rsidP="00CB6ACE">
            <w:pPr>
              <w:widowControl/>
              <w:rPr>
                <w:rFonts w:ascii="Arial Narrow" w:hAnsi="Arial Narrow"/>
                <w:sz w:val="20"/>
                <w:szCs w:val="20"/>
              </w:rPr>
            </w:pPr>
            <w:r w:rsidRPr="00073BA6">
              <w:rPr>
                <w:rFonts w:ascii="Arial Narrow" w:hAnsi="Arial Narrow"/>
                <w:sz w:val="20"/>
                <w:szCs w:val="20"/>
              </w:rPr>
              <w:t>Patient must not have established severe contr</w:t>
            </w:r>
            <w:r w:rsidR="00CB6ACE">
              <w:rPr>
                <w:rFonts w:ascii="Arial Narrow" w:hAnsi="Arial Narrow"/>
                <w:sz w:val="20"/>
                <w:szCs w:val="20"/>
              </w:rPr>
              <w:t>acture in the limb to be treated.</w:t>
            </w:r>
          </w:p>
        </w:tc>
      </w:tr>
      <w:tr w:rsidR="00C40EE0" w:rsidRPr="00073BA6" w:rsidTr="003A21AE">
        <w:trPr>
          <w:trHeight w:val="240"/>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Arial Narrow"/>
                <w:b/>
                <w:bCs/>
                <w:color w:val="000000"/>
                <w:sz w:val="20"/>
                <w:szCs w:val="20"/>
                <w:lang w:val="en"/>
              </w:rPr>
            </w:pPr>
            <w:r w:rsidRPr="00073BA6">
              <w:rPr>
                <w:rFonts w:ascii="Arial Narrow" w:hAnsi="Arial Narrow" w:cs="Arial Narrow"/>
                <w:b/>
                <w:bCs/>
                <w:color w:val="000000"/>
                <w:sz w:val="20"/>
                <w:szCs w:val="20"/>
                <w:lang w:val="en"/>
              </w:rPr>
              <w:t>Population criteria</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Patient must be aged 18 years or older.</w:t>
            </w:r>
          </w:p>
        </w:tc>
      </w:tr>
      <w:tr w:rsidR="00C40EE0" w:rsidRPr="00813C5D" w:rsidTr="003A21AE">
        <w:trPr>
          <w:cantSplit/>
        </w:trPr>
        <w:tc>
          <w:tcPr>
            <w:tcW w:w="1094" w:type="pct"/>
            <w:tcBorders>
              <w:top w:val="single" w:sz="4" w:space="0" w:color="auto"/>
              <w:left w:val="single" w:sz="4" w:space="0" w:color="auto"/>
              <w:bottom w:val="single" w:sz="4" w:space="0" w:color="auto"/>
              <w:right w:val="single" w:sz="4" w:space="0" w:color="auto"/>
            </w:tcBorders>
          </w:tcPr>
          <w:p w:rsidR="00C40EE0" w:rsidRPr="00892A36" w:rsidRDefault="00C40EE0" w:rsidP="004428BA">
            <w:pPr>
              <w:pStyle w:val="Tabletext"/>
              <w:spacing w:after="120"/>
              <w:rPr>
                <w:b/>
              </w:rPr>
            </w:pPr>
            <w:r w:rsidRPr="00892A36">
              <w:rPr>
                <w:b/>
              </w:rPr>
              <w:t>Treatment criteria:</w:t>
            </w:r>
          </w:p>
          <w:p w:rsidR="00C40EE0" w:rsidRPr="00045A2B" w:rsidRDefault="00C40EE0" w:rsidP="004428BA">
            <w:pPr>
              <w:pStyle w:val="Tabletext"/>
              <w:spacing w:after="120"/>
              <w:rPr>
                <w:i/>
              </w:rPr>
            </w:pPr>
          </w:p>
        </w:tc>
        <w:tc>
          <w:tcPr>
            <w:tcW w:w="3906" w:type="pct"/>
            <w:tcBorders>
              <w:top w:val="single" w:sz="4" w:space="0" w:color="auto"/>
              <w:left w:val="single" w:sz="4" w:space="0" w:color="auto"/>
              <w:bottom w:val="single" w:sz="4" w:space="0" w:color="auto"/>
              <w:right w:val="single" w:sz="4" w:space="0" w:color="auto"/>
            </w:tcBorders>
          </w:tcPr>
          <w:p w:rsidR="00C40EE0" w:rsidRDefault="00C40EE0" w:rsidP="004428BA">
            <w:pPr>
              <w:pStyle w:val="Tabletext"/>
            </w:pPr>
            <w:r>
              <w:t>Must be treated by a neurologist; OR</w:t>
            </w:r>
          </w:p>
          <w:p w:rsidR="00C40EE0" w:rsidRDefault="00C40EE0" w:rsidP="004428BA">
            <w:pPr>
              <w:pStyle w:val="Tabletext"/>
            </w:pPr>
            <w:r>
              <w:t>Must be treated by an orthopaedic surgeon; OR</w:t>
            </w:r>
          </w:p>
          <w:p w:rsidR="00C40EE0" w:rsidRDefault="00C40EE0" w:rsidP="004428BA">
            <w:pPr>
              <w:pStyle w:val="Tabletext"/>
            </w:pPr>
            <w:r>
              <w:t>Must be treated by a rehabilitation specialist; OR</w:t>
            </w:r>
          </w:p>
          <w:p w:rsidR="00C40EE0" w:rsidRDefault="00C40EE0" w:rsidP="004428BA">
            <w:pPr>
              <w:pStyle w:val="Tabletext"/>
            </w:pPr>
            <w:r>
              <w:t>Must be treated by a plastic surgeon; OR</w:t>
            </w:r>
          </w:p>
          <w:p w:rsidR="00C40EE0" w:rsidRPr="00813C5D" w:rsidRDefault="00C40EE0" w:rsidP="004428BA">
            <w:pPr>
              <w:pStyle w:val="Tabletext"/>
            </w:pPr>
            <w:r>
              <w:t>Must be treated by a geriatrician.</w:t>
            </w:r>
          </w:p>
        </w:tc>
      </w:tr>
      <w:tr w:rsidR="00C40EE0" w:rsidRPr="007E444C" w:rsidTr="003A21AE">
        <w:trPr>
          <w:trHeight w:val="277"/>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Prescribing instructions</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C40EE0" w:rsidRPr="005A73CA" w:rsidRDefault="00C40EE0" w:rsidP="004428BA">
            <w:pPr>
              <w:pStyle w:val="Tabletext"/>
              <w:rPr>
                <w:i/>
                <w:strike/>
                <w:szCs w:val="20"/>
              </w:rPr>
            </w:pPr>
            <w:r w:rsidRPr="005A73CA">
              <w:rPr>
                <w:i/>
                <w:strike/>
                <w:szCs w:val="20"/>
              </w:rPr>
              <w:t>The date of the stroke must be documented in the patient’s medical records when treatment is initiated.</w:t>
            </w:r>
          </w:p>
          <w:p w:rsidR="00C40EE0" w:rsidRDefault="00C40EE0" w:rsidP="004428BA">
            <w:pPr>
              <w:widowControl/>
              <w:autoSpaceDE w:val="0"/>
              <w:autoSpaceDN w:val="0"/>
              <w:adjustRightInd w:val="0"/>
              <w:rPr>
                <w:rFonts w:ascii="Arial Narrow" w:hAnsi="Arial Narrow"/>
                <w:i/>
                <w:sz w:val="20"/>
                <w:szCs w:val="20"/>
              </w:rPr>
            </w:pPr>
            <w:r w:rsidRPr="007E444C">
              <w:rPr>
                <w:rFonts w:ascii="Arial Narrow" w:hAnsi="Arial Narrow"/>
                <w:i/>
                <w:sz w:val="20"/>
                <w:szCs w:val="20"/>
              </w:rPr>
              <w:t>Standard management includes physiotherapy and/or oral spasticity agents.</w:t>
            </w:r>
          </w:p>
          <w:p w:rsidR="00C40EE0" w:rsidRPr="00E15E99" w:rsidRDefault="00C40EE0" w:rsidP="004428BA">
            <w:pPr>
              <w:widowControl/>
              <w:autoSpaceDE w:val="0"/>
              <w:autoSpaceDN w:val="0"/>
              <w:adjustRightInd w:val="0"/>
              <w:rPr>
                <w:rFonts w:ascii="Arial Narrow" w:hAnsi="Arial Narrow"/>
                <w:i/>
                <w:strike/>
                <w:color w:val="222222"/>
                <w:sz w:val="20"/>
                <w:szCs w:val="20"/>
                <w:shd w:val="clear" w:color="auto" w:fill="FFFFFF"/>
              </w:rPr>
            </w:pPr>
            <w:r w:rsidRPr="00E15E99">
              <w:rPr>
                <w:rFonts w:ascii="Arial Narrow" w:hAnsi="Arial Narrow"/>
                <w:i/>
                <w:strike/>
                <w:sz w:val="20"/>
                <w:szCs w:val="20"/>
              </w:rPr>
              <w:t>The maximum total dose per patient is 400U every 12 weeks.</w:t>
            </w:r>
          </w:p>
        </w:tc>
      </w:tr>
      <w:tr w:rsidR="00C40EE0" w:rsidRPr="00073BA6" w:rsidTr="003A21AE">
        <w:trPr>
          <w:trHeight w:val="277"/>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073BA6" w:rsidRDefault="00C40EE0" w:rsidP="004428BA">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 xml:space="preserve">Administrative </w:t>
            </w:r>
            <w:r w:rsidRPr="00073BA6">
              <w:rPr>
                <w:rFonts w:ascii="Arial Narrow" w:hAnsi="Arial Narrow" w:cs="Arial Narrow"/>
                <w:b/>
                <w:bCs/>
                <w:color w:val="000000"/>
                <w:sz w:val="20"/>
                <w:szCs w:val="20"/>
                <w:lang w:val="en"/>
              </w:rPr>
              <w:t>Note</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C40EE0" w:rsidRPr="00073BA6" w:rsidRDefault="00C40EE0" w:rsidP="004428BA">
            <w:pPr>
              <w:widowControl/>
              <w:autoSpaceDE w:val="0"/>
              <w:autoSpaceDN w:val="0"/>
              <w:adjustRightInd w:val="0"/>
              <w:rPr>
                <w:rFonts w:ascii="Arial Narrow" w:hAnsi="Arial Narrow" w:cs="Calibri"/>
                <w:i/>
                <w:sz w:val="20"/>
                <w:szCs w:val="20"/>
                <w:lang w:val="en"/>
              </w:rPr>
            </w:pPr>
            <w:r w:rsidRPr="00073BA6">
              <w:rPr>
                <w:rFonts w:ascii="Arial Narrow" w:hAnsi="Arial Narrow"/>
                <w:i/>
                <w:color w:val="222222"/>
                <w:sz w:val="20"/>
                <w:szCs w:val="20"/>
                <w:shd w:val="clear" w:color="auto" w:fill="FFFFFF"/>
              </w:rPr>
              <w:t>The units used to express the potency of botulinum toxin preparations currently available for PBS subsidy are not equivalent.</w:t>
            </w:r>
          </w:p>
        </w:tc>
      </w:tr>
      <w:tr w:rsidR="00C40EE0" w:rsidRPr="00FA6FEE" w:rsidTr="003A21AE">
        <w:trPr>
          <w:trHeight w:val="240"/>
        </w:trPr>
        <w:tc>
          <w:tcPr>
            <w:tcW w:w="1094" w:type="pct"/>
            <w:tcBorders>
              <w:top w:val="single" w:sz="3" w:space="0" w:color="000000"/>
              <w:left w:val="single" w:sz="3" w:space="0" w:color="000000"/>
              <w:bottom w:val="single" w:sz="3" w:space="0" w:color="000000"/>
              <w:right w:val="single" w:sz="3" w:space="0" w:color="000000"/>
            </w:tcBorders>
            <w:shd w:val="clear" w:color="000000" w:fill="FFFFFF"/>
          </w:tcPr>
          <w:p w:rsidR="00C40EE0" w:rsidRDefault="00C40EE0" w:rsidP="004428BA">
            <w:pPr>
              <w:widowControl/>
              <w:autoSpaceDE w:val="0"/>
              <w:autoSpaceDN w:val="0"/>
              <w:adjustRightInd w:val="0"/>
              <w:jc w:val="left"/>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Caution</w:t>
            </w:r>
          </w:p>
        </w:tc>
        <w:tc>
          <w:tcPr>
            <w:tcW w:w="3906" w:type="pct"/>
            <w:tcBorders>
              <w:top w:val="single" w:sz="3" w:space="0" w:color="000000"/>
              <w:left w:val="single" w:sz="3" w:space="0" w:color="000000"/>
              <w:bottom w:val="single" w:sz="3" w:space="0" w:color="000000"/>
              <w:right w:val="single" w:sz="3" w:space="0" w:color="000000"/>
            </w:tcBorders>
            <w:shd w:val="clear" w:color="000000" w:fill="FFFFFF"/>
          </w:tcPr>
          <w:p w:rsidR="00C40EE0" w:rsidRPr="00FA6FEE" w:rsidRDefault="00C40EE0" w:rsidP="004428BA">
            <w:pPr>
              <w:widowControl/>
              <w:autoSpaceDE w:val="0"/>
              <w:autoSpaceDN w:val="0"/>
              <w:adjustRightInd w:val="0"/>
              <w:jc w:val="left"/>
              <w:rPr>
                <w:rFonts w:ascii="Arial Narrow" w:hAnsi="Arial Narrow"/>
                <w:i/>
                <w:color w:val="222222"/>
                <w:sz w:val="20"/>
                <w:szCs w:val="20"/>
                <w:shd w:val="clear" w:color="auto" w:fill="FFFFFF"/>
              </w:rPr>
            </w:pPr>
            <w:r w:rsidRPr="00FA6FEE">
              <w:rPr>
                <w:rFonts w:ascii="Arial Narrow" w:hAnsi="Arial Narrow"/>
                <w:i/>
                <w:color w:val="222222"/>
                <w:sz w:val="20"/>
                <w:szCs w:val="20"/>
                <w:shd w:val="clear" w:color="auto" w:fill="FFFFFF"/>
              </w:rPr>
              <w:t>Contraindications to treatment include known sensitivity to botulinum toxin.</w:t>
            </w:r>
          </w:p>
        </w:tc>
      </w:tr>
    </w:tbl>
    <w:p w:rsidR="00A67BF9" w:rsidRPr="001A57E6" w:rsidRDefault="00BD0B09" w:rsidP="004428BA">
      <w:pPr>
        <w:pStyle w:val="TableFooter"/>
        <w:widowControl/>
      </w:pPr>
      <w:r>
        <w:t xml:space="preserve"> </w:t>
      </w:r>
    </w:p>
    <w:p w:rsidR="00AC650B" w:rsidRPr="00D4296D" w:rsidRDefault="00AC650B" w:rsidP="00BB76A8">
      <w:pPr>
        <w:pStyle w:val="ListParagraph"/>
      </w:pPr>
      <w:r w:rsidRPr="00D4296D">
        <w:t>The requested restricti</w:t>
      </w:r>
      <w:r w:rsidR="00BD0B09" w:rsidRPr="00D4296D">
        <w:t>on</w:t>
      </w:r>
      <w:r w:rsidRPr="00D4296D">
        <w:t xml:space="preserve"> wording was </w:t>
      </w:r>
      <w:r w:rsidR="00BD0B09" w:rsidRPr="00D4296D">
        <w:t>similar</w:t>
      </w:r>
      <w:r w:rsidRPr="00D4296D">
        <w:t xml:space="preserve"> to the listing of </w:t>
      </w:r>
      <w:r w:rsidR="00EE500E" w:rsidRPr="00D4296D">
        <w:t>BOTOX®</w:t>
      </w:r>
      <w:r w:rsidRPr="00D4296D">
        <w:t xml:space="preserve"> in upper limb spasticity following stroke, except:</w:t>
      </w:r>
    </w:p>
    <w:p w:rsidR="00AC650B" w:rsidRPr="001A57E6" w:rsidRDefault="00AC650B" w:rsidP="00BB76A8">
      <w:pPr>
        <w:pStyle w:val="ListParagraph"/>
        <w:numPr>
          <w:ilvl w:val="0"/>
          <w:numId w:val="8"/>
        </w:numPr>
      </w:pPr>
      <w:r w:rsidRPr="001A57E6">
        <w:t xml:space="preserve">The removal of the life time limit of </w:t>
      </w:r>
      <w:r w:rsidR="00F25EE1">
        <w:t xml:space="preserve">four </w:t>
      </w:r>
      <w:r w:rsidRPr="001A57E6">
        <w:t xml:space="preserve">treatment periods (total </w:t>
      </w:r>
      <w:r w:rsidR="00EE500E">
        <w:t>BOTOX</w:t>
      </w:r>
      <w:r w:rsidR="00F25EE1">
        <w:rPr>
          <w:rFonts w:cs="Calibri"/>
        </w:rPr>
        <w:t>®</w:t>
      </w:r>
      <w:r w:rsidRPr="001A57E6">
        <w:t xml:space="preserve">, </w:t>
      </w:r>
      <w:proofErr w:type="spellStart"/>
      <w:r w:rsidRPr="001A57E6">
        <w:t>Dysport</w:t>
      </w:r>
      <w:proofErr w:type="spellEnd"/>
      <w:r w:rsidR="00F25EE1">
        <w:rPr>
          <w:rFonts w:cs="Calibri"/>
        </w:rPr>
        <w:t>®</w:t>
      </w:r>
      <w:r w:rsidRPr="001A57E6">
        <w:t xml:space="preserve">, </w:t>
      </w:r>
      <w:proofErr w:type="spellStart"/>
      <w:r w:rsidRPr="001A57E6">
        <w:t>Xeomin</w:t>
      </w:r>
      <w:proofErr w:type="spellEnd"/>
      <w:r w:rsidR="00F25EE1">
        <w:rPr>
          <w:rFonts w:cs="Calibri"/>
        </w:rPr>
        <w:t>®</w:t>
      </w:r>
      <w:r w:rsidRPr="001A57E6">
        <w:t>) per limb. The resubmission argued removal of this criterion was necessary given that the condition is chronic in nature</w:t>
      </w:r>
      <w:r w:rsidR="00BD0B09">
        <w:t>. This was supported by the Rehabilitation Medicine Society of Australian and New Zealand</w:t>
      </w:r>
      <w:r w:rsidRPr="001A57E6">
        <w:t xml:space="preserve"> (RMSANZ</w:t>
      </w:r>
      <w:r w:rsidR="00BD0B09">
        <w:t>)</w:t>
      </w:r>
      <w:r w:rsidR="003737BF">
        <w:t xml:space="preserve">. The PBAC agreed that the removal of a lifetime limit of </w:t>
      </w:r>
      <w:r w:rsidR="00D12BED">
        <w:t>four</w:t>
      </w:r>
      <w:r w:rsidR="003737BF">
        <w:t xml:space="preserve"> treatments was consistent with clinical practice</w:t>
      </w:r>
      <w:r w:rsidR="003A21AE">
        <w:t xml:space="preserve"> for continu</w:t>
      </w:r>
      <w:r w:rsidR="00884DD4">
        <w:t>ing</w:t>
      </w:r>
      <w:r w:rsidR="003A21AE">
        <w:t xml:space="preserve"> responders. </w:t>
      </w:r>
      <w:r w:rsidR="003A5A33">
        <w:t>T</w:t>
      </w:r>
      <w:r w:rsidR="003A21AE">
        <w:t xml:space="preserve">he PBAC </w:t>
      </w:r>
      <w:r w:rsidR="00E05B4D">
        <w:t xml:space="preserve">noted expert opinion </w:t>
      </w:r>
      <w:r w:rsidR="00884DD4">
        <w:t>which indicated</w:t>
      </w:r>
      <w:r w:rsidR="002E100C">
        <w:t xml:space="preserve"> tha</w:t>
      </w:r>
      <w:r w:rsidR="00E05B4D">
        <w:t xml:space="preserve">t reinjection intervals increase with continued treatment and </w:t>
      </w:r>
      <w:r w:rsidR="003A21AE">
        <w:t xml:space="preserve">considered that a limit of </w:t>
      </w:r>
      <w:r w:rsidR="00884DD4">
        <w:t>four</w:t>
      </w:r>
      <w:r w:rsidR="003C6DF8">
        <w:t xml:space="preserve"> treatment periods per lower limb in the first year, </w:t>
      </w:r>
      <w:r w:rsidR="00884DD4">
        <w:t>with</w:t>
      </w:r>
      <w:r w:rsidR="003C6DF8">
        <w:t xml:space="preserve"> a limit of </w:t>
      </w:r>
      <w:r w:rsidR="00D12BED">
        <w:t>two</w:t>
      </w:r>
      <w:r w:rsidR="003A21AE">
        <w:t xml:space="preserve"> treatment periods per lower limb per year from Year 2 </w:t>
      </w:r>
      <w:r w:rsidR="00D11D91">
        <w:t>might be</w:t>
      </w:r>
      <w:r w:rsidR="00BE0468">
        <w:t xml:space="preserve"> reasonable.</w:t>
      </w:r>
    </w:p>
    <w:p w:rsidR="00AC650B" w:rsidRPr="00884DD4" w:rsidRDefault="00AC650B" w:rsidP="00BB76A8">
      <w:pPr>
        <w:pStyle w:val="ListParagraph"/>
        <w:numPr>
          <w:ilvl w:val="0"/>
          <w:numId w:val="8"/>
        </w:numPr>
      </w:pPr>
      <w:r w:rsidRPr="00884DD4">
        <w:t xml:space="preserve">The proposed restriction </w:t>
      </w:r>
      <w:r w:rsidR="0044648D" w:rsidRPr="00884DD4">
        <w:t>omit</w:t>
      </w:r>
      <w:r w:rsidR="0044648D">
        <w:t>ted</w:t>
      </w:r>
      <w:r w:rsidRPr="00884DD4">
        <w:t xml:space="preserve"> the criterion: “the treatment must not be initiated until three months post-stroke”.</w:t>
      </w:r>
      <w:r w:rsidR="004A5FEC" w:rsidRPr="00884DD4">
        <w:t xml:space="preserve"> </w:t>
      </w:r>
      <w:r w:rsidRPr="00884DD4">
        <w:t xml:space="preserve">The resubmission indicated this </w:t>
      </w:r>
      <w:r w:rsidR="00884DD4">
        <w:t>wa</w:t>
      </w:r>
      <w:r w:rsidRPr="00884DD4">
        <w:t>s consistent with recent clinical evidence that supports early intervention to maximise patient outcomes</w:t>
      </w:r>
      <w:r w:rsidR="00BD0B09" w:rsidRPr="00884DD4">
        <w:t>. This was supported by the RMSANZ</w:t>
      </w:r>
      <w:r w:rsidR="003737BF" w:rsidRPr="00884DD4">
        <w:t xml:space="preserve">. </w:t>
      </w:r>
      <w:r w:rsidR="003C6DF8" w:rsidRPr="00884DD4">
        <w:t>Although noting a lack of evidence for the optimal timing of the initiation of treatment, the PBAC rec</w:t>
      </w:r>
      <w:r w:rsidR="00884DD4">
        <w:t>ommended removing the criteria, determining</w:t>
      </w:r>
      <w:r w:rsidR="003737BF" w:rsidRPr="00884DD4">
        <w:t xml:space="preserve"> that the timing of the onset of treatment should be at the discretion of the physician. </w:t>
      </w:r>
    </w:p>
    <w:p w:rsidR="00713341" w:rsidRDefault="00BD0B09" w:rsidP="00BB76A8">
      <w:pPr>
        <w:pStyle w:val="ListParagraph"/>
        <w:numPr>
          <w:ilvl w:val="0"/>
          <w:numId w:val="8"/>
        </w:numPr>
      </w:pPr>
      <w:r w:rsidRPr="00D4296D">
        <w:lastRenderedPageBreak/>
        <w:t>I</w:t>
      </w:r>
      <w:r w:rsidR="00BB6A64" w:rsidRPr="00D4296D">
        <w:t>n the submission</w:t>
      </w:r>
      <w:r w:rsidRPr="00D4296D">
        <w:t>,</w:t>
      </w:r>
      <w:r w:rsidR="00BB6A64" w:rsidRPr="00D4296D">
        <w:t xml:space="preserve"> the continuing statement </w:t>
      </w:r>
      <w:r w:rsidR="00677E7D" w:rsidRPr="00D4296D">
        <w:t xml:space="preserve">read “The treatment must not continue if the patient does not respond (defined as not having had a decrease in spasticity rating of </w:t>
      </w:r>
      <w:r w:rsidR="00677E7D" w:rsidRPr="00D4296D">
        <w:rPr>
          <w:u w:val="single"/>
        </w:rPr>
        <w:t>greater than 1</w:t>
      </w:r>
      <w:r w:rsidR="00677E7D" w:rsidRPr="00D4296D">
        <w:t>, using the Modified Ashworth Scale</w:t>
      </w:r>
      <w:r w:rsidR="00A63A1F">
        <w:t xml:space="preserve"> (MAS)</w:t>
      </w:r>
      <w:r w:rsidR="00677E7D" w:rsidRPr="00D4296D">
        <w:t xml:space="preserve">, in at least one joint) after two treatment periods per lower limb.” This was consistent with the current PBS listing for upper limb spasticity following a stroke. </w:t>
      </w:r>
      <w:r w:rsidR="002A593B">
        <w:t xml:space="preserve">The sponsor clarified in the PSCR that the continuing criterion should require an improvement of </w:t>
      </w:r>
      <w:r w:rsidR="002A593B" w:rsidRPr="00713341">
        <w:rPr>
          <w:u w:val="single"/>
        </w:rPr>
        <w:t>“at least 1”</w:t>
      </w:r>
      <w:r w:rsidR="002A593B">
        <w:t xml:space="preserve"> to align the listing with the November 2007 Public Summary Document</w:t>
      </w:r>
      <w:r w:rsidR="00E34913">
        <w:t xml:space="preserve"> (PSD)</w:t>
      </w:r>
      <w:r w:rsidR="002A593B">
        <w:t xml:space="preserve"> for </w:t>
      </w:r>
      <w:proofErr w:type="spellStart"/>
      <w:r w:rsidR="002A593B">
        <w:t>Dysport</w:t>
      </w:r>
      <w:proofErr w:type="spellEnd"/>
      <w:r w:rsidR="00713341" w:rsidRPr="00D4296D">
        <w:rPr>
          <w:szCs w:val="24"/>
        </w:rPr>
        <w:t>®</w:t>
      </w:r>
      <w:r w:rsidR="002A593B">
        <w:t xml:space="preserve"> </w:t>
      </w:r>
      <w:r w:rsidR="00AE4B6C" w:rsidRPr="00D4296D">
        <w:t xml:space="preserve">that stated “botulinum treatment resulted in a large number of patients with a decrease in MAS of </w:t>
      </w:r>
      <w:r w:rsidR="00AE4B6C" w:rsidRPr="00D4296D">
        <w:rPr>
          <w:u w:val="single"/>
        </w:rPr>
        <w:t>at least 1</w:t>
      </w:r>
      <w:r w:rsidR="00AE4B6C" w:rsidRPr="00D4296D">
        <w:t xml:space="preserve"> point in at least joint at week 20 and agreed that this change was significant.” </w:t>
      </w:r>
    </w:p>
    <w:p w:rsidR="00076BE6" w:rsidRDefault="001C4764" w:rsidP="00BB76A8">
      <w:pPr>
        <w:pStyle w:val="ListParagraph"/>
      </w:pPr>
      <w:r w:rsidRPr="00076BE6">
        <w:t xml:space="preserve">The </w:t>
      </w:r>
      <w:r w:rsidR="00CB6ACE">
        <w:t xml:space="preserve">PBAC </w:t>
      </w:r>
      <w:r w:rsidR="00713341" w:rsidRPr="00076BE6">
        <w:t>considered</w:t>
      </w:r>
      <w:r w:rsidRPr="00076BE6">
        <w:t xml:space="preserve"> that an improvement of at least 1 </w:t>
      </w:r>
      <w:r w:rsidR="00CB6ACE">
        <w:t>MAS point</w:t>
      </w:r>
      <w:r w:rsidRPr="00076BE6">
        <w:t xml:space="preserve">, when accompanied with other functional improvements, was </w:t>
      </w:r>
      <w:r w:rsidR="00E34913" w:rsidRPr="00076BE6">
        <w:t xml:space="preserve">reflective of the trial-defined response outcome and </w:t>
      </w:r>
      <w:r w:rsidRPr="00076BE6">
        <w:t xml:space="preserve">likely to reflect a patient relevant response in some patients. </w:t>
      </w:r>
    </w:p>
    <w:p w:rsidR="00A10658" w:rsidRPr="00381158" w:rsidRDefault="00A10658" w:rsidP="00BB76A8">
      <w:pPr>
        <w:pStyle w:val="ListParagraph"/>
      </w:pPr>
      <w:r w:rsidRPr="00381158">
        <w:t xml:space="preserve">The PBAC </w:t>
      </w:r>
      <w:r w:rsidR="00076BE6">
        <w:t xml:space="preserve">considered that to ensure consistency between the current upper limb focal spasticity restriction and the trial evidence presented for lower limb spasticity additional clinical opinion would be useful regarding the continuation criteria. </w:t>
      </w:r>
    </w:p>
    <w:p w:rsidR="00E626D6" w:rsidRPr="00381158" w:rsidRDefault="00713341" w:rsidP="00BB76A8">
      <w:pPr>
        <w:pStyle w:val="ListParagraph"/>
      </w:pPr>
      <w:r w:rsidRPr="00381158">
        <w:t xml:space="preserve">The PBAC noted that maximal response to treatment occurs in the evidence at about </w:t>
      </w:r>
      <w:r w:rsidR="00CB6ACE">
        <w:t>four to eight</w:t>
      </w:r>
      <w:r w:rsidRPr="00381158">
        <w:t xml:space="preserve"> weeks following injection with botulinum toxin type A, and that response would ideally be assessed within this time frame.</w:t>
      </w:r>
    </w:p>
    <w:p w:rsidR="00BA71B2" w:rsidRPr="00D4296D" w:rsidRDefault="00BA71B2" w:rsidP="00BB76A8">
      <w:pPr>
        <w:pStyle w:val="ListParagraph"/>
        <w:numPr>
          <w:ilvl w:val="0"/>
          <w:numId w:val="8"/>
        </w:numPr>
      </w:pPr>
      <w:r w:rsidRPr="00D4296D">
        <w:t xml:space="preserve">The </w:t>
      </w:r>
      <w:r w:rsidR="004F3DDF">
        <w:t>Secretariat proposed a maximum dose per patient of 400U every 12 weeks</w:t>
      </w:r>
      <w:r w:rsidR="00884DD4">
        <w:t xml:space="preserve"> be included in the restriction</w:t>
      </w:r>
      <w:r w:rsidR="004F3DDF">
        <w:t xml:space="preserve">. The </w:t>
      </w:r>
      <w:r w:rsidRPr="00D4296D">
        <w:t>PSCR</w:t>
      </w:r>
      <w:r w:rsidR="00FA2484" w:rsidRPr="00D4296D">
        <w:t xml:space="preserve"> </w:t>
      </w:r>
      <w:r w:rsidR="00677E7D" w:rsidRPr="00D4296D">
        <w:t xml:space="preserve">requested that </w:t>
      </w:r>
      <w:r w:rsidRPr="00D4296D">
        <w:t>th</w:t>
      </w:r>
      <w:r w:rsidR="004F3DDF">
        <w:t>is</w:t>
      </w:r>
      <w:r w:rsidRPr="00D4296D">
        <w:t xml:space="preserve"> condition </w:t>
      </w:r>
      <w:r w:rsidR="004F3DDF">
        <w:t xml:space="preserve">be removed </w:t>
      </w:r>
      <w:r w:rsidR="00FA2484" w:rsidRPr="00D4296D">
        <w:t xml:space="preserve">to grant physicians flexibility in treatment scheduling. The PSCR contended that there is currently no maximum dose specified for the cerebral palsy item codes, which permits the dispensing of two scripts on the same day. This is stated to reduce administrative burden and possible treatment disruption. </w:t>
      </w:r>
      <w:r w:rsidR="00542F09">
        <w:t xml:space="preserve">The PBAC </w:t>
      </w:r>
      <w:r w:rsidR="00E05B4D">
        <w:t>considered that the limited number of treatments per year removed the need for a minimum treatment interval</w:t>
      </w:r>
      <w:r w:rsidR="00542F09">
        <w:t>.</w:t>
      </w:r>
    </w:p>
    <w:p w:rsidR="00553A22" w:rsidRDefault="00AC650B" w:rsidP="00BB76A8">
      <w:pPr>
        <w:pStyle w:val="ListParagraph"/>
      </w:pPr>
      <w:r w:rsidRPr="001A57E6">
        <w:t>Based on the population</w:t>
      </w:r>
      <w:r w:rsidR="0056312D">
        <w:t>s</w:t>
      </w:r>
      <w:r w:rsidRPr="001A57E6">
        <w:t xml:space="preserve"> </w:t>
      </w:r>
      <w:r w:rsidR="0056312D">
        <w:t>in</w:t>
      </w:r>
      <w:r w:rsidRPr="001A57E6">
        <w:t xml:space="preserve"> the primary clinical evidence, the proposed restriction </w:t>
      </w:r>
      <w:r w:rsidR="00F777EC">
        <w:t>was</w:t>
      </w:r>
      <w:r w:rsidRPr="001A57E6">
        <w:t xml:space="preserve"> for moderate to severe </w:t>
      </w:r>
      <w:r w:rsidR="00F777EC">
        <w:t>lower limb focal spasticity</w:t>
      </w:r>
      <w:r w:rsidRPr="001A57E6">
        <w:t xml:space="preserve"> in post-stroke patients.</w:t>
      </w:r>
      <w:r w:rsidR="004A5FEC">
        <w:t xml:space="preserve"> </w:t>
      </w:r>
      <w:r w:rsidRPr="001A57E6">
        <w:t xml:space="preserve">This was narrower than </w:t>
      </w:r>
      <w:r w:rsidR="0056312D">
        <w:t>the</w:t>
      </w:r>
      <w:r w:rsidRPr="001A57E6">
        <w:t xml:space="preserve"> TGA indication</w:t>
      </w:r>
      <w:r w:rsidR="0056312D">
        <w:t xml:space="preserve"> for </w:t>
      </w:r>
      <w:r w:rsidR="00EE500E">
        <w:t>BOTOX®</w:t>
      </w:r>
      <w:r w:rsidRPr="001A57E6">
        <w:t xml:space="preserve">, which is for focal spasticity of any severity, aetiology and at any affected location(s). </w:t>
      </w:r>
      <w:r w:rsidR="004F3DDF">
        <w:t xml:space="preserve">Following a submission by </w:t>
      </w:r>
      <w:r w:rsidR="004F3DDF" w:rsidRPr="001A57E6">
        <w:t>RMSANZ</w:t>
      </w:r>
      <w:r w:rsidR="004F3DDF">
        <w:t xml:space="preserve"> </w:t>
      </w:r>
      <w:r w:rsidR="004F3DDF" w:rsidRPr="001A57E6">
        <w:t>to the PBAC in July 2018 to broaden PBS coverage to include any aetiology of moderate to severe f</w:t>
      </w:r>
      <w:r w:rsidR="004F3DDF">
        <w:t xml:space="preserve">ocal spasticity, the sponsor proposed an alternative listing which included patients with </w:t>
      </w:r>
      <w:r w:rsidR="00CB6ACE">
        <w:rPr>
          <w:rFonts w:cs="Calibri"/>
          <w:szCs w:val="24"/>
        </w:rPr>
        <w:t>lower limb focal spasticity</w:t>
      </w:r>
      <w:r w:rsidR="004F3DDF" w:rsidRPr="006F5687">
        <w:rPr>
          <w:rFonts w:cs="Calibri"/>
          <w:szCs w:val="24"/>
        </w:rPr>
        <w:t xml:space="preserve"> from traumatic brain injury</w:t>
      </w:r>
      <w:r w:rsidR="004F3DDF">
        <w:rPr>
          <w:rFonts w:cs="Calibri"/>
          <w:szCs w:val="24"/>
        </w:rPr>
        <w:t>,</w:t>
      </w:r>
      <w:r w:rsidR="004F3DDF" w:rsidRPr="006F5687">
        <w:rPr>
          <w:rFonts w:cs="Calibri"/>
          <w:szCs w:val="24"/>
        </w:rPr>
        <w:t xml:space="preserve"> spinal cord injury and other acute aetiologies</w:t>
      </w:r>
      <w:r w:rsidR="00F2066D">
        <w:rPr>
          <w:rFonts w:cs="Calibri"/>
          <w:szCs w:val="24"/>
        </w:rPr>
        <w:t xml:space="preserve"> – see paragraph </w:t>
      </w:r>
      <w:r w:rsidR="00F2066D" w:rsidRPr="00CB6ACE">
        <w:rPr>
          <w:rFonts w:cs="Calibri"/>
          <w:szCs w:val="24"/>
        </w:rPr>
        <w:t>6.9</w:t>
      </w:r>
      <w:r w:rsidR="004F3DDF">
        <w:rPr>
          <w:rFonts w:cs="Calibri"/>
          <w:szCs w:val="24"/>
        </w:rPr>
        <w:t>.</w:t>
      </w:r>
    </w:p>
    <w:p w:rsidR="00AC650B" w:rsidRDefault="00AC650B" w:rsidP="00BB76A8">
      <w:pPr>
        <w:pStyle w:val="ListParagraph"/>
      </w:pPr>
      <w:r w:rsidRPr="001A57E6">
        <w:t xml:space="preserve">The submission requested a grandfathering provision for patients who have been accessing </w:t>
      </w:r>
      <w:r w:rsidR="00EE500E">
        <w:t>BOTOX®</w:t>
      </w:r>
      <w:r w:rsidRPr="001A57E6">
        <w:t xml:space="preserve"> for non-PBS indications </w:t>
      </w:r>
      <w:r w:rsidR="002C2560">
        <w:t xml:space="preserve">reimbursed by </w:t>
      </w:r>
      <w:r w:rsidRPr="001A57E6">
        <w:t>a public hospital, private health ins</w:t>
      </w:r>
      <w:r w:rsidR="006C7460" w:rsidRPr="001A57E6">
        <w:t xml:space="preserve">urance company or </w:t>
      </w:r>
      <w:r w:rsidR="002C2560">
        <w:t xml:space="preserve">purchased by </w:t>
      </w:r>
      <w:r w:rsidR="006C7460" w:rsidRPr="001A57E6">
        <w:t>the patient.</w:t>
      </w:r>
    </w:p>
    <w:p w:rsidR="00673EB8" w:rsidRPr="005E3758" w:rsidRDefault="00673EB8" w:rsidP="00BB76A8">
      <w:pPr>
        <w:ind w:left="709"/>
        <w:rPr>
          <w:i/>
        </w:rPr>
      </w:pPr>
      <w:r w:rsidRPr="005E3758">
        <w:rPr>
          <w:i/>
        </w:rPr>
        <w:t>For more detail on PBAC’s view, see Section 7 PBAC outcome.</w:t>
      </w:r>
    </w:p>
    <w:p w:rsidR="00EE392A" w:rsidRPr="001A57E6" w:rsidRDefault="00EE392A" w:rsidP="00BB76A8">
      <w:pPr>
        <w:pStyle w:val="Heading1"/>
      </w:pPr>
      <w:bookmarkStart w:id="10" w:name="_Toc371170701"/>
      <w:bookmarkStart w:id="11" w:name="_Toc524523771"/>
      <w:r w:rsidRPr="001A57E6">
        <w:lastRenderedPageBreak/>
        <w:t>Background</w:t>
      </w:r>
      <w:bookmarkEnd w:id="10"/>
      <w:bookmarkEnd w:id="11"/>
    </w:p>
    <w:p w:rsidR="00EE392A" w:rsidRPr="00A67BF9" w:rsidRDefault="00EE392A" w:rsidP="00BB76A8">
      <w:pPr>
        <w:pStyle w:val="Heading2"/>
      </w:pPr>
      <w:bookmarkStart w:id="12" w:name="_Toc524523772"/>
      <w:r w:rsidRPr="00A67BF9">
        <w:t>Registration status</w:t>
      </w:r>
      <w:bookmarkEnd w:id="12"/>
    </w:p>
    <w:p w:rsidR="00646991" w:rsidRDefault="00EE500E" w:rsidP="00BB76A8">
      <w:pPr>
        <w:pStyle w:val="ListParagraph"/>
      </w:pPr>
      <w:r>
        <w:t>BOTOX®</w:t>
      </w:r>
      <w:r w:rsidR="006C7460" w:rsidRPr="001A57E6">
        <w:t xml:space="preserve"> was TGA registered on August 2003 for the treatment of focal spasticity in adults.</w:t>
      </w:r>
      <w:r w:rsidR="004A5FEC">
        <w:t xml:space="preserve"> </w:t>
      </w:r>
    </w:p>
    <w:p w:rsidR="006C7460" w:rsidRPr="001A57E6" w:rsidRDefault="00506BBA" w:rsidP="00BB76A8">
      <w:pPr>
        <w:pStyle w:val="ListParagraph"/>
      </w:pPr>
      <w:r w:rsidRPr="001A57E6">
        <w:t xml:space="preserve">Other approved </w:t>
      </w:r>
      <w:r w:rsidR="005151BC">
        <w:t xml:space="preserve">therapeutic </w:t>
      </w:r>
      <w:r w:rsidRPr="001A57E6">
        <w:t xml:space="preserve">indications include overactive bladder, urinary incontinence, chronic migraine, strabismus, </w:t>
      </w:r>
      <w:proofErr w:type="spellStart"/>
      <w:r w:rsidRPr="001A57E6">
        <w:t>blepharospasm</w:t>
      </w:r>
      <w:proofErr w:type="spellEnd"/>
      <w:r w:rsidRPr="001A57E6">
        <w:t xml:space="preserve">, cervical dystonia (spasmodic torticollis), dynamic </w:t>
      </w:r>
      <w:proofErr w:type="spellStart"/>
      <w:r w:rsidRPr="001A57E6">
        <w:t>equinus</w:t>
      </w:r>
      <w:proofErr w:type="spellEnd"/>
      <w:r w:rsidRPr="001A57E6">
        <w:t xml:space="preserve"> foot deformity due to cerebral palsy in patients two years and older, severe primary hyperhidrosis of the axillae, and spasmodic dysphonia.</w:t>
      </w:r>
    </w:p>
    <w:p w:rsidR="00EE392A" w:rsidRPr="001A57E6" w:rsidRDefault="00EE392A" w:rsidP="00BB76A8">
      <w:pPr>
        <w:pStyle w:val="Heading2"/>
      </w:pPr>
      <w:bookmarkStart w:id="13" w:name="_Toc524523773"/>
      <w:r w:rsidRPr="001A57E6">
        <w:t>Previous PBAC consideration</w:t>
      </w:r>
      <w:bookmarkEnd w:id="13"/>
    </w:p>
    <w:p w:rsidR="00506BBA" w:rsidRDefault="00506BBA" w:rsidP="00BB76A8">
      <w:pPr>
        <w:pStyle w:val="ListParagraph"/>
      </w:pPr>
      <w:r w:rsidRPr="001A57E6">
        <w:t xml:space="preserve">The PBAC </w:t>
      </w:r>
      <w:r w:rsidR="00A67BF9">
        <w:t xml:space="preserve">previously considered </w:t>
      </w:r>
      <w:r w:rsidRPr="001A57E6">
        <w:t xml:space="preserve">four major submissions and one minor submission requesting the PBS listing of </w:t>
      </w:r>
      <w:r w:rsidR="00EE500E">
        <w:t>BOTOX®</w:t>
      </w:r>
      <w:r w:rsidRPr="001A57E6">
        <w:t xml:space="preserve"> treatment for focal spasticity</w:t>
      </w:r>
      <w:r w:rsidR="00646991">
        <w:t xml:space="preserve">. In July 2008 the PBAC considered a submission for the treatment of lower limb focal spasticity post-stroke. </w:t>
      </w:r>
    </w:p>
    <w:p w:rsidR="00F2066D" w:rsidRPr="00F2066D" w:rsidRDefault="00F2066D" w:rsidP="00BB76A8">
      <w:pPr>
        <w:pStyle w:val="ListParagraph"/>
      </w:pPr>
      <w:r w:rsidRPr="007464C5">
        <w:rPr>
          <w:snapToGrid/>
          <w:lang w:val="en-US" w:eastAsia="en-AU"/>
        </w:rPr>
        <w:t xml:space="preserve">In May 2018, DUSC provided advice to the PBAC in a review of </w:t>
      </w:r>
      <w:proofErr w:type="spellStart"/>
      <w:r w:rsidRPr="007464C5">
        <w:rPr>
          <w:snapToGrid/>
          <w:lang w:val="en-US" w:eastAsia="en-AU"/>
        </w:rPr>
        <w:t>utilisation</w:t>
      </w:r>
      <w:proofErr w:type="spellEnd"/>
      <w:r w:rsidRPr="007464C5">
        <w:rPr>
          <w:snapToGrid/>
          <w:lang w:val="en-US" w:eastAsia="en-AU"/>
        </w:rPr>
        <w:t xml:space="preserve"> of botulinum toxin supplied through the PBS for treatment of spasticity in patients with cerebral palsy or following a stroke, and for spasmodic torticollis, </w:t>
      </w:r>
      <w:proofErr w:type="spellStart"/>
      <w:r w:rsidRPr="007464C5">
        <w:rPr>
          <w:snapToGrid/>
          <w:lang w:val="en-US" w:eastAsia="en-AU"/>
        </w:rPr>
        <w:t>blepharospasm</w:t>
      </w:r>
      <w:proofErr w:type="spellEnd"/>
      <w:r w:rsidRPr="007464C5">
        <w:rPr>
          <w:snapToGrid/>
          <w:lang w:val="en-US" w:eastAsia="en-AU"/>
        </w:rPr>
        <w:t xml:space="preserve"> and </w:t>
      </w:r>
      <w:proofErr w:type="spellStart"/>
      <w:r w:rsidRPr="007464C5">
        <w:rPr>
          <w:snapToGrid/>
          <w:lang w:val="en-US" w:eastAsia="en-AU"/>
        </w:rPr>
        <w:t>hemifacial</w:t>
      </w:r>
      <w:proofErr w:type="spellEnd"/>
      <w:r w:rsidRPr="007464C5">
        <w:rPr>
          <w:snapToGrid/>
          <w:lang w:val="en-US" w:eastAsia="en-AU"/>
        </w:rPr>
        <w:t xml:space="preserve"> spasm. This followed a request from the RMSANZ to the PBAC to review a perceived inequity of access for patients to </w:t>
      </w:r>
      <w:r w:rsidR="00F777EC">
        <w:rPr>
          <w:snapToGrid/>
          <w:lang w:val="en-US" w:eastAsia="en-AU"/>
        </w:rPr>
        <w:t>botulinum toxin</w:t>
      </w:r>
      <w:r w:rsidRPr="007464C5">
        <w:rPr>
          <w:snapToGrid/>
          <w:lang w:val="en-US" w:eastAsia="en-AU"/>
        </w:rPr>
        <w:t xml:space="preserve"> treatments in the current PBS restrictions.</w:t>
      </w:r>
    </w:p>
    <w:p w:rsidR="00673EB8" w:rsidRPr="005E3758" w:rsidRDefault="00673EB8" w:rsidP="00BB76A8">
      <w:pPr>
        <w:ind w:left="709"/>
        <w:rPr>
          <w:rFonts w:ascii="Arial Narrow" w:hAnsi="Arial Narrow"/>
          <w:i/>
          <w:sz w:val="20"/>
          <w:szCs w:val="20"/>
        </w:rPr>
      </w:pPr>
      <w:r w:rsidRPr="005E3758">
        <w:rPr>
          <w:i/>
          <w:snapToGrid/>
          <w:lang w:val="en-US" w:eastAsia="en-AU"/>
        </w:rPr>
        <w:t>For more detail on PBAC’s view, see Section 7 PBAC outcome.</w:t>
      </w:r>
    </w:p>
    <w:p w:rsidR="00EE392A" w:rsidRPr="001A57E6" w:rsidRDefault="00EE392A" w:rsidP="00BB76A8">
      <w:pPr>
        <w:pStyle w:val="Heading1"/>
      </w:pPr>
      <w:bookmarkStart w:id="14" w:name="_Toc371170702"/>
      <w:bookmarkStart w:id="15" w:name="_Toc524523774"/>
      <w:r w:rsidRPr="001A57E6">
        <w:t>Population and disease</w:t>
      </w:r>
      <w:bookmarkEnd w:id="14"/>
      <w:bookmarkEnd w:id="15"/>
    </w:p>
    <w:p w:rsidR="003E09FA" w:rsidRPr="001A57E6" w:rsidRDefault="003E09FA" w:rsidP="00BB76A8">
      <w:pPr>
        <w:pStyle w:val="ListParagraph"/>
      </w:pPr>
      <w:r w:rsidRPr="001A57E6">
        <w:t xml:space="preserve">Spasticity of the lower limbs typically affects the foot, knee and hip; with examples including </w:t>
      </w:r>
      <w:proofErr w:type="spellStart"/>
      <w:r w:rsidRPr="001A57E6">
        <w:t>equinovarus</w:t>
      </w:r>
      <w:proofErr w:type="spellEnd"/>
      <w:r w:rsidRPr="001A57E6">
        <w:t xml:space="preserve"> foot, valgus foot, striatal toe, stiff knee, flexed knee, adducted thighs, and flexed hip.</w:t>
      </w:r>
      <w:r w:rsidR="004A5FEC">
        <w:t xml:space="preserve"> </w:t>
      </w:r>
      <w:r w:rsidR="00CB6ACE">
        <w:t>Lower limb focal spasticity</w:t>
      </w:r>
      <w:r w:rsidRPr="001A57E6">
        <w:t xml:space="preserve"> can be very disabling, with muscle stiffness, pain and loss of joint range impairing motor performance, activities of daily living and degree of independence.</w:t>
      </w:r>
    </w:p>
    <w:p w:rsidR="003E09FA" w:rsidRPr="001A57E6" w:rsidRDefault="00EE500E" w:rsidP="00BB76A8">
      <w:pPr>
        <w:pStyle w:val="ListParagraph"/>
      </w:pPr>
      <w:r>
        <w:t>BOTOX®</w:t>
      </w:r>
      <w:r w:rsidR="003E09FA" w:rsidRPr="001A57E6">
        <w:t xml:space="preserve"> is a neuromuscular blocking agent that inhibits peripheral acetylcholine release at nerve fibres that stimulate muscle contraction.</w:t>
      </w:r>
      <w:r w:rsidR="004A5FEC">
        <w:t xml:space="preserve"> </w:t>
      </w:r>
      <w:r w:rsidR="003E09FA" w:rsidRPr="001A57E6">
        <w:t>This results in reduced muscle tone and improvement in spasticity severity.</w:t>
      </w:r>
      <w:r w:rsidR="004A5FEC">
        <w:t xml:space="preserve"> </w:t>
      </w:r>
    </w:p>
    <w:p w:rsidR="003E09FA" w:rsidRPr="003D4516" w:rsidRDefault="003E09FA" w:rsidP="00BB76A8">
      <w:pPr>
        <w:pStyle w:val="ListParagraph"/>
      </w:pPr>
      <w:r w:rsidRPr="001A57E6">
        <w:t>The dose administered, given by intramuscular injection, is divided between affected muscles depending on the size, number and location of muscles involved, how severe the spasticity is, and taking into account any local muscle weakness and previous response to treatment.</w:t>
      </w:r>
      <w:r w:rsidR="004A5FEC">
        <w:t xml:space="preserve"> </w:t>
      </w:r>
      <w:r w:rsidRPr="001A57E6">
        <w:t xml:space="preserve">Injections are given approximately every 12 to 16 weeks, or </w:t>
      </w:r>
      <w:r w:rsidRPr="002E6EFA">
        <w:t>as required to maintain the response but not more frequently than every 12 weeks.</w:t>
      </w:r>
      <w:r w:rsidR="004A5FEC">
        <w:t xml:space="preserve"> </w:t>
      </w:r>
      <w:r w:rsidRPr="002E6EFA">
        <w:t xml:space="preserve">The </w:t>
      </w:r>
      <w:r w:rsidR="002E6EFA" w:rsidRPr="002E6EFA">
        <w:t xml:space="preserve">resubmission stated that </w:t>
      </w:r>
      <w:r w:rsidR="00E061C7">
        <w:t xml:space="preserve">the </w:t>
      </w:r>
      <w:r w:rsidRPr="002E6EFA">
        <w:t>m</w:t>
      </w:r>
      <w:r w:rsidR="00596995" w:rsidRPr="002E6EFA">
        <w:t>aximum dose must not exceed 400</w:t>
      </w:r>
      <w:r w:rsidRPr="002E6EFA">
        <w:t xml:space="preserve">U in </w:t>
      </w:r>
      <w:r w:rsidR="00596995" w:rsidRPr="002E6EFA">
        <w:t xml:space="preserve">a single </w:t>
      </w:r>
      <w:r w:rsidR="00596995" w:rsidRPr="002E6EFA">
        <w:lastRenderedPageBreak/>
        <w:t>injection session</w:t>
      </w:r>
      <w:r w:rsidR="00E061C7">
        <w:rPr>
          <w:rStyle w:val="FootnoteReference"/>
        </w:rPr>
        <w:footnoteReference w:id="1"/>
      </w:r>
      <w:r w:rsidR="002E6EFA" w:rsidRPr="002E6EFA">
        <w:t>.</w:t>
      </w:r>
      <w:r w:rsidRPr="002E6EFA">
        <w:t xml:space="preserve"> If treatment is required for both upper and lower limbs, the total dose also must not exceed </w:t>
      </w:r>
      <w:r w:rsidR="00596995" w:rsidRPr="002E6EFA">
        <w:t>40</w:t>
      </w:r>
      <w:r w:rsidRPr="002E6EFA">
        <w:t>0U</w:t>
      </w:r>
      <w:r w:rsidR="00E061C7">
        <w:t>.</w:t>
      </w:r>
      <w:r w:rsidR="004A5FEC">
        <w:t xml:space="preserve"> </w:t>
      </w:r>
      <w:r w:rsidR="002E6EFA" w:rsidRPr="003D4516">
        <w:rPr>
          <w:iCs/>
        </w:rPr>
        <w:t xml:space="preserve">This maximum dose was not reported in the </w:t>
      </w:r>
      <w:r w:rsidR="00CB6ACE">
        <w:rPr>
          <w:iCs/>
        </w:rPr>
        <w:t xml:space="preserve">approved </w:t>
      </w:r>
      <w:r w:rsidR="00EE500E">
        <w:rPr>
          <w:iCs/>
        </w:rPr>
        <w:t>BOTOX®</w:t>
      </w:r>
      <w:r w:rsidR="002E6EFA" w:rsidRPr="003D4516">
        <w:rPr>
          <w:iCs/>
        </w:rPr>
        <w:t xml:space="preserve"> </w:t>
      </w:r>
      <w:r w:rsidR="00CB6ACE">
        <w:rPr>
          <w:iCs/>
        </w:rPr>
        <w:t>P</w:t>
      </w:r>
      <w:r w:rsidR="002E6EFA" w:rsidRPr="003D4516">
        <w:rPr>
          <w:iCs/>
        </w:rPr>
        <w:t xml:space="preserve">roduct </w:t>
      </w:r>
      <w:r w:rsidR="00CB6ACE">
        <w:rPr>
          <w:iCs/>
        </w:rPr>
        <w:t>I</w:t>
      </w:r>
      <w:r w:rsidR="002E6EFA" w:rsidRPr="003D4516">
        <w:rPr>
          <w:iCs/>
        </w:rPr>
        <w:t>nformation.</w:t>
      </w:r>
    </w:p>
    <w:p w:rsidR="003E09FA" w:rsidRDefault="00596995" w:rsidP="00BB76A8">
      <w:pPr>
        <w:pStyle w:val="ListParagraph"/>
      </w:pPr>
      <w:r w:rsidRPr="001A57E6">
        <w:t>Local and international guidelines recommend treatment as adjuvant therapy to physical therapy (including postural management, physiotherapy, splints) and/or muscle blocking drugs.</w:t>
      </w:r>
      <w:r w:rsidR="004A5FEC">
        <w:t xml:space="preserve"> </w:t>
      </w:r>
      <w:r w:rsidR="003E09FA" w:rsidRPr="001A57E6">
        <w:t xml:space="preserve">The resubmission indicated that the availability of </w:t>
      </w:r>
      <w:r w:rsidR="00EE500E">
        <w:t>BOTOX®</w:t>
      </w:r>
      <w:r w:rsidR="003E09FA" w:rsidRPr="001A57E6">
        <w:t xml:space="preserve"> on the PBS will not alter the current management algorithm, but rather a provision of Government-funded treatment for all patients will ensure equity of access.</w:t>
      </w:r>
    </w:p>
    <w:p w:rsidR="00673EB8" w:rsidRPr="005E3758" w:rsidRDefault="00673EB8" w:rsidP="00BB76A8">
      <w:pPr>
        <w:ind w:left="709"/>
        <w:rPr>
          <w:i/>
        </w:rPr>
      </w:pPr>
      <w:r w:rsidRPr="005E3758">
        <w:rPr>
          <w:i/>
        </w:rPr>
        <w:t>For more detail on PBAC’s view, see Section 7 PBAC outcome.</w:t>
      </w:r>
    </w:p>
    <w:p w:rsidR="00EE392A" w:rsidRPr="001A57E6" w:rsidRDefault="00EE392A" w:rsidP="00BB76A8">
      <w:pPr>
        <w:pStyle w:val="Heading1"/>
      </w:pPr>
      <w:bookmarkStart w:id="16" w:name="_Toc371170703"/>
      <w:bookmarkStart w:id="17" w:name="_Toc524523775"/>
      <w:r w:rsidRPr="001A57E6">
        <w:t>Comparator</w:t>
      </w:r>
      <w:bookmarkEnd w:id="16"/>
      <w:bookmarkEnd w:id="17"/>
    </w:p>
    <w:p w:rsidR="00E67B27" w:rsidRDefault="00E67B27" w:rsidP="00BB76A8">
      <w:pPr>
        <w:pStyle w:val="ListParagraph"/>
        <w:rPr>
          <w:snapToGrid/>
          <w:lang w:eastAsia="en-AU"/>
        </w:rPr>
      </w:pPr>
      <w:r w:rsidRPr="00D4296D">
        <w:rPr>
          <w:snapToGrid/>
          <w:lang w:eastAsia="en-AU"/>
        </w:rPr>
        <w:t>Standard of care (placebo).</w:t>
      </w:r>
      <w:r w:rsidR="004A5FEC" w:rsidRPr="00D4296D">
        <w:rPr>
          <w:snapToGrid/>
          <w:lang w:eastAsia="en-AU"/>
        </w:rPr>
        <w:t xml:space="preserve"> </w:t>
      </w:r>
      <w:r w:rsidRPr="00D4296D">
        <w:rPr>
          <w:snapToGrid/>
          <w:lang w:eastAsia="en-AU"/>
        </w:rPr>
        <w:t>Th</w:t>
      </w:r>
      <w:r w:rsidR="005960D6" w:rsidRPr="00D4296D">
        <w:rPr>
          <w:snapToGrid/>
          <w:lang w:eastAsia="en-AU"/>
        </w:rPr>
        <w:t xml:space="preserve">e ESC considered standard of care to be a reasonable comparator, and noted that </w:t>
      </w:r>
      <w:r w:rsidRPr="00D4296D">
        <w:rPr>
          <w:snapToGrid/>
          <w:lang w:eastAsia="en-AU"/>
        </w:rPr>
        <w:t xml:space="preserve">given the PBAC will also consider an application to list </w:t>
      </w:r>
      <w:proofErr w:type="spellStart"/>
      <w:r w:rsidRPr="00D4296D">
        <w:rPr>
          <w:snapToGrid/>
          <w:lang w:eastAsia="en-AU"/>
        </w:rPr>
        <w:t>Dysport</w:t>
      </w:r>
      <w:proofErr w:type="spellEnd"/>
      <w:r w:rsidRPr="00D4296D">
        <w:rPr>
          <w:snapToGrid/>
          <w:lang w:eastAsia="en-AU"/>
        </w:rPr>
        <w:t xml:space="preserve">® on the PBS for </w:t>
      </w:r>
      <w:r w:rsidR="00CB6ACE">
        <w:rPr>
          <w:snapToGrid/>
          <w:lang w:eastAsia="en-AU"/>
        </w:rPr>
        <w:t>lower limb focal spasticity</w:t>
      </w:r>
      <w:r w:rsidRPr="00D4296D">
        <w:rPr>
          <w:snapToGrid/>
          <w:lang w:eastAsia="en-AU"/>
        </w:rPr>
        <w:t xml:space="preserve"> at the November 2018 meeting, </w:t>
      </w:r>
      <w:proofErr w:type="spellStart"/>
      <w:r w:rsidRPr="00D4296D">
        <w:rPr>
          <w:snapToGrid/>
          <w:lang w:eastAsia="en-AU"/>
        </w:rPr>
        <w:t>Dysport</w:t>
      </w:r>
      <w:proofErr w:type="spellEnd"/>
      <w:r w:rsidRPr="00D4296D">
        <w:rPr>
          <w:snapToGrid/>
          <w:lang w:eastAsia="en-AU"/>
        </w:rPr>
        <w:t xml:space="preserve">® </w:t>
      </w:r>
      <w:r w:rsidR="005960D6" w:rsidRPr="00D4296D">
        <w:rPr>
          <w:snapToGrid/>
          <w:lang w:eastAsia="en-AU"/>
        </w:rPr>
        <w:t>wa</w:t>
      </w:r>
      <w:r w:rsidR="00A947AD" w:rsidRPr="00D4296D">
        <w:rPr>
          <w:snapToGrid/>
          <w:lang w:eastAsia="en-AU"/>
        </w:rPr>
        <w:t>s</w:t>
      </w:r>
      <w:r w:rsidRPr="00D4296D">
        <w:rPr>
          <w:snapToGrid/>
          <w:lang w:eastAsia="en-AU"/>
        </w:rPr>
        <w:t xml:space="preserve"> also a relevant comparator.</w:t>
      </w:r>
    </w:p>
    <w:p w:rsidR="00673EB8" w:rsidRPr="005E3758" w:rsidRDefault="00673EB8" w:rsidP="00BB76A8">
      <w:pPr>
        <w:ind w:left="709"/>
        <w:rPr>
          <w:i/>
          <w:snapToGrid/>
          <w:lang w:eastAsia="en-AU"/>
        </w:rPr>
      </w:pPr>
      <w:r w:rsidRPr="005E3758">
        <w:rPr>
          <w:i/>
          <w:snapToGrid/>
          <w:lang w:eastAsia="en-AU"/>
        </w:rPr>
        <w:t>For more detail on PBAC’s view, see Section 7 PBAC outcome.</w:t>
      </w:r>
    </w:p>
    <w:p w:rsidR="00EE392A" w:rsidRPr="001A57E6" w:rsidRDefault="00EE392A" w:rsidP="00BB76A8">
      <w:pPr>
        <w:pStyle w:val="Heading1"/>
      </w:pPr>
      <w:bookmarkStart w:id="18" w:name="_Toc371170704"/>
      <w:bookmarkStart w:id="19" w:name="_Toc524523776"/>
      <w:r w:rsidRPr="001A57E6">
        <w:t>Consideration of the evidence</w:t>
      </w:r>
      <w:bookmarkEnd w:id="18"/>
      <w:bookmarkEnd w:id="19"/>
    </w:p>
    <w:p w:rsidR="00673EB8" w:rsidRPr="00DB56F6" w:rsidRDefault="00673EB8" w:rsidP="00BB76A8">
      <w:pPr>
        <w:pStyle w:val="Heading2"/>
      </w:pPr>
      <w:bookmarkStart w:id="20" w:name="_Toc371170705"/>
      <w:bookmarkStart w:id="21" w:name="_Toc524523777"/>
      <w:r w:rsidRPr="00DB56F6">
        <w:t>Sponsor hearing</w:t>
      </w:r>
    </w:p>
    <w:p w:rsidR="00BD27FB" w:rsidRPr="00DB56F6" w:rsidRDefault="00BD27FB" w:rsidP="00172BEC">
      <w:pPr>
        <w:numPr>
          <w:ilvl w:val="1"/>
          <w:numId w:val="1"/>
        </w:numPr>
        <w:spacing w:after="120"/>
        <w:ind w:left="720"/>
        <w:rPr>
          <w:rFonts w:asciiTheme="minorHAnsi" w:hAnsiTheme="minorHAnsi"/>
          <w:bCs/>
        </w:rPr>
      </w:pPr>
      <w:r w:rsidRPr="00DB56F6">
        <w:rPr>
          <w:rFonts w:asciiTheme="minorHAnsi" w:hAnsiTheme="minorHAnsi"/>
          <w:bCs/>
        </w:rPr>
        <w:t xml:space="preserve">The sponsor requested a hearing for this item.  The clinician </w:t>
      </w:r>
      <w:r w:rsidR="002C2560" w:rsidRPr="00DB56F6">
        <w:rPr>
          <w:rFonts w:asciiTheme="minorHAnsi" w:hAnsiTheme="minorHAnsi"/>
          <w:bCs/>
        </w:rPr>
        <w:t xml:space="preserve">discussed the use of botulinum toxin type </w:t>
      </w:r>
      <w:proofErr w:type="gramStart"/>
      <w:r w:rsidR="002C2560" w:rsidRPr="00DB56F6">
        <w:rPr>
          <w:rFonts w:asciiTheme="minorHAnsi" w:hAnsiTheme="minorHAnsi"/>
          <w:bCs/>
        </w:rPr>
        <w:t>A</w:t>
      </w:r>
      <w:proofErr w:type="gramEnd"/>
      <w:r w:rsidR="002C2560" w:rsidRPr="00DB56F6">
        <w:rPr>
          <w:rFonts w:asciiTheme="minorHAnsi" w:hAnsiTheme="minorHAnsi"/>
          <w:bCs/>
        </w:rPr>
        <w:t xml:space="preserve"> in clinical practice, </w:t>
      </w:r>
      <w:r w:rsidR="00172BEC" w:rsidRPr="00DB56F6">
        <w:rPr>
          <w:rFonts w:asciiTheme="minorHAnsi" w:hAnsiTheme="minorHAnsi"/>
          <w:bCs/>
        </w:rPr>
        <w:t>and clarified the goals of treatment, which included improving comfort, facilitating personal care, decreasing the burden on carers and increasing functional independence for patients. The clinician described the use of botulinum toxin type A as treatment which is adjuvant to physical therapies including stretching and training of antagonist muscles.</w:t>
      </w:r>
      <w:r w:rsidRPr="00DB56F6">
        <w:rPr>
          <w:rFonts w:asciiTheme="minorHAnsi" w:hAnsiTheme="minorHAnsi"/>
          <w:bCs/>
        </w:rPr>
        <w:t xml:space="preserve"> The PBAC considered that the hearing was informative as it provided a clinical perspective on treating </w:t>
      </w:r>
      <w:r w:rsidR="00DB56F6" w:rsidRPr="00DB56F6">
        <w:rPr>
          <w:rFonts w:asciiTheme="minorHAnsi" w:hAnsiTheme="minorHAnsi"/>
          <w:bCs/>
        </w:rPr>
        <w:t>spasticity of the lower limb</w:t>
      </w:r>
      <w:r w:rsidRPr="00DB56F6">
        <w:rPr>
          <w:rFonts w:asciiTheme="minorHAnsi" w:hAnsiTheme="minorHAnsi"/>
          <w:bCs/>
        </w:rPr>
        <w:t>.</w:t>
      </w:r>
    </w:p>
    <w:p w:rsidR="00673EB8" w:rsidRPr="00DB56F6" w:rsidRDefault="00673EB8" w:rsidP="00BB76A8">
      <w:pPr>
        <w:pStyle w:val="Heading2"/>
      </w:pPr>
      <w:r w:rsidRPr="00DB56F6">
        <w:t>Consumer comments</w:t>
      </w:r>
    </w:p>
    <w:p w:rsidR="00673EB8" w:rsidRPr="00DB56F6" w:rsidRDefault="00673EB8" w:rsidP="00673EB8">
      <w:pPr>
        <w:numPr>
          <w:ilvl w:val="1"/>
          <w:numId w:val="1"/>
        </w:numPr>
        <w:spacing w:after="120"/>
        <w:ind w:left="720"/>
        <w:rPr>
          <w:rFonts w:asciiTheme="minorHAnsi" w:hAnsiTheme="minorHAnsi"/>
          <w:bCs/>
        </w:rPr>
      </w:pPr>
      <w:r w:rsidRPr="00DB56F6">
        <w:rPr>
          <w:rFonts w:asciiTheme="minorHAnsi" w:hAnsiTheme="minorHAnsi"/>
          <w:bCs/>
        </w:rPr>
        <w:t>The PBAC noted and welcomed the input from individuals (</w:t>
      </w:r>
      <w:r w:rsidR="00493CF7" w:rsidRPr="00DB56F6">
        <w:rPr>
          <w:rFonts w:asciiTheme="minorHAnsi" w:hAnsiTheme="minorHAnsi"/>
          <w:bCs/>
        </w:rPr>
        <w:t>3</w:t>
      </w:r>
      <w:r w:rsidRPr="00DB56F6">
        <w:rPr>
          <w:rFonts w:asciiTheme="minorHAnsi" w:hAnsiTheme="minorHAnsi"/>
          <w:bCs/>
        </w:rPr>
        <w:t>), health care professionals (</w:t>
      </w:r>
      <w:r w:rsidR="00493CF7" w:rsidRPr="00DB56F6">
        <w:rPr>
          <w:rFonts w:asciiTheme="minorHAnsi" w:hAnsiTheme="minorHAnsi"/>
          <w:bCs/>
        </w:rPr>
        <w:t>9</w:t>
      </w:r>
      <w:r w:rsidRPr="00DB56F6">
        <w:rPr>
          <w:rFonts w:asciiTheme="minorHAnsi" w:hAnsiTheme="minorHAnsi"/>
          <w:bCs/>
        </w:rPr>
        <w:t xml:space="preserve">) and organisations (1) via the Consumer Comments facility on the PBS website.  The comments described a range of benefits of treatment with </w:t>
      </w:r>
      <w:r w:rsidR="00DB56F6" w:rsidRPr="00DB56F6">
        <w:rPr>
          <w:rFonts w:asciiTheme="minorHAnsi" w:hAnsiTheme="minorHAnsi"/>
          <w:bCs/>
        </w:rPr>
        <w:t>BOTOX</w:t>
      </w:r>
      <w:r w:rsidR="00DB56F6" w:rsidRPr="00DB56F6">
        <w:rPr>
          <w:snapToGrid/>
          <w:lang w:eastAsia="en-AU"/>
        </w:rPr>
        <w:t>®</w:t>
      </w:r>
      <w:r w:rsidR="001C78BF" w:rsidRPr="00DB56F6">
        <w:rPr>
          <w:rFonts w:asciiTheme="minorHAnsi" w:hAnsiTheme="minorHAnsi"/>
          <w:bCs/>
        </w:rPr>
        <w:t>, as part of broader management plan,</w:t>
      </w:r>
      <w:r w:rsidRPr="00DB56F6">
        <w:rPr>
          <w:rFonts w:asciiTheme="minorHAnsi" w:hAnsiTheme="minorHAnsi"/>
          <w:bCs/>
        </w:rPr>
        <w:t xml:space="preserve"> including </w:t>
      </w:r>
      <w:r w:rsidR="00493CF7" w:rsidRPr="00DB56F6">
        <w:rPr>
          <w:rFonts w:asciiTheme="minorHAnsi" w:hAnsiTheme="minorHAnsi"/>
          <w:bCs/>
        </w:rPr>
        <w:t xml:space="preserve">improved </w:t>
      </w:r>
      <w:r w:rsidR="001C78BF" w:rsidRPr="00DB56F6">
        <w:rPr>
          <w:rFonts w:asciiTheme="minorHAnsi" w:hAnsiTheme="minorHAnsi"/>
          <w:bCs/>
        </w:rPr>
        <w:t>mobility</w:t>
      </w:r>
      <w:r w:rsidR="00493CF7" w:rsidRPr="00DB56F6">
        <w:rPr>
          <w:rFonts w:asciiTheme="minorHAnsi" w:hAnsiTheme="minorHAnsi"/>
          <w:bCs/>
        </w:rPr>
        <w:t xml:space="preserve">, </w:t>
      </w:r>
      <w:r w:rsidR="001C78BF" w:rsidRPr="00DB56F6">
        <w:rPr>
          <w:rFonts w:asciiTheme="minorHAnsi" w:hAnsiTheme="minorHAnsi"/>
          <w:bCs/>
        </w:rPr>
        <w:t xml:space="preserve">reduction of pain, improved quality of life and a reduction in the burden of care. </w:t>
      </w:r>
    </w:p>
    <w:p w:rsidR="00673EB8" w:rsidRPr="00DB56F6" w:rsidRDefault="00673EB8" w:rsidP="00A816D2">
      <w:pPr>
        <w:numPr>
          <w:ilvl w:val="1"/>
          <w:numId w:val="1"/>
        </w:numPr>
        <w:spacing w:after="120"/>
        <w:ind w:left="720"/>
        <w:rPr>
          <w:rFonts w:asciiTheme="minorHAnsi" w:hAnsiTheme="minorHAnsi"/>
          <w:bCs/>
        </w:rPr>
      </w:pPr>
      <w:r w:rsidRPr="00DB56F6">
        <w:rPr>
          <w:rFonts w:asciiTheme="minorHAnsi" w:hAnsiTheme="minorHAnsi"/>
          <w:bCs/>
        </w:rPr>
        <w:t xml:space="preserve">The PBAC noted the advice received from </w:t>
      </w:r>
      <w:r w:rsidR="001C78BF" w:rsidRPr="00DB56F6">
        <w:rPr>
          <w:rFonts w:asciiTheme="minorHAnsi" w:hAnsiTheme="minorHAnsi"/>
          <w:bCs/>
        </w:rPr>
        <w:t>Stroke Recovery Association</w:t>
      </w:r>
      <w:r w:rsidR="00DD6926">
        <w:rPr>
          <w:rFonts w:asciiTheme="minorHAnsi" w:hAnsiTheme="minorHAnsi"/>
          <w:bCs/>
        </w:rPr>
        <w:t>,</w:t>
      </w:r>
      <w:r w:rsidR="001C78BF" w:rsidRPr="00DB56F6">
        <w:rPr>
          <w:rFonts w:asciiTheme="minorHAnsi" w:hAnsiTheme="minorHAnsi"/>
          <w:bCs/>
        </w:rPr>
        <w:t xml:space="preserve"> NSW </w:t>
      </w:r>
      <w:r w:rsidR="001C78BF" w:rsidRPr="00DB56F6">
        <w:rPr>
          <w:rFonts w:asciiTheme="minorHAnsi" w:hAnsiTheme="minorHAnsi"/>
          <w:bCs/>
        </w:rPr>
        <w:lastRenderedPageBreak/>
        <w:t xml:space="preserve">endorsing the use of </w:t>
      </w:r>
      <w:r w:rsidR="00DB56F6" w:rsidRPr="00DB56F6">
        <w:rPr>
          <w:rFonts w:asciiTheme="minorHAnsi" w:hAnsiTheme="minorHAnsi"/>
          <w:bCs/>
        </w:rPr>
        <w:t>BOTOX</w:t>
      </w:r>
      <w:r w:rsidR="00DB56F6" w:rsidRPr="00DB56F6">
        <w:rPr>
          <w:snapToGrid/>
          <w:lang w:eastAsia="en-AU"/>
        </w:rPr>
        <w:t>®</w:t>
      </w:r>
      <w:r w:rsidR="001C78BF" w:rsidRPr="00DB56F6">
        <w:rPr>
          <w:rFonts w:asciiTheme="minorHAnsi" w:hAnsiTheme="minorHAnsi"/>
          <w:bCs/>
        </w:rPr>
        <w:t xml:space="preserve"> as part of a rehabilitation program </w:t>
      </w:r>
      <w:r w:rsidR="00205EFC" w:rsidRPr="00DB56F6">
        <w:rPr>
          <w:rFonts w:asciiTheme="minorHAnsi" w:hAnsiTheme="minorHAnsi"/>
          <w:bCs/>
        </w:rPr>
        <w:t xml:space="preserve">for lower limb spasticity </w:t>
      </w:r>
      <w:r w:rsidR="001C78BF" w:rsidRPr="00DB56F6">
        <w:rPr>
          <w:rFonts w:asciiTheme="minorHAnsi" w:hAnsiTheme="minorHAnsi"/>
          <w:bCs/>
        </w:rPr>
        <w:t>to improve mobility, reduce pain and potentially avoid costly surgery.</w:t>
      </w:r>
      <w:r w:rsidRPr="00DB56F6">
        <w:rPr>
          <w:rFonts w:asciiTheme="minorHAnsi" w:hAnsiTheme="minorHAnsi"/>
          <w:bCs/>
        </w:rPr>
        <w:t xml:space="preserve"> The PBAC noted that this advice was supportive of the </w:t>
      </w:r>
      <w:r w:rsidR="00DB56F6">
        <w:rPr>
          <w:rFonts w:asciiTheme="minorHAnsi" w:hAnsiTheme="minorHAnsi"/>
          <w:bCs/>
        </w:rPr>
        <w:t>BOTOX</w:t>
      </w:r>
      <w:r w:rsidR="00DB56F6">
        <w:rPr>
          <w:snapToGrid/>
          <w:lang w:eastAsia="en-AU"/>
        </w:rPr>
        <w:t>®</w:t>
      </w:r>
      <w:r w:rsidR="00A816D2" w:rsidRPr="00DB56F6">
        <w:rPr>
          <w:rFonts w:asciiTheme="minorHAnsi" w:hAnsiTheme="minorHAnsi"/>
          <w:bCs/>
        </w:rPr>
        <w:t xml:space="preserve"> in the submission.</w:t>
      </w:r>
    </w:p>
    <w:p w:rsidR="00EE392A" w:rsidRPr="00DB56F6" w:rsidRDefault="00EE392A" w:rsidP="00BB76A8">
      <w:pPr>
        <w:pStyle w:val="Heading2"/>
      </w:pPr>
      <w:r w:rsidRPr="00DB56F6">
        <w:t>Clinical trials</w:t>
      </w:r>
      <w:bookmarkEnd w:id="20"/>
      <w:bookmarkEnd w:id="21"/>
    </w:p>
    <w:p w:rsidR="005960D6" w:rsidRPr="00DB56F6" w:rsidRDefault="00DF530C" w:rsidP="00BB76A8">
      <w:pPr>
        <w:pStyle w:val="ListParagraph"/>
        <w:rPr>
          <w:iCs/>
        </w:rPr>
      </w:pPr>
      <w:r w:rsidRPr="00DB56F6">
        <w:rPr>
          <w:snapToGrid/>
          <w:lang w:eastAsia="en-AU"/>
        </w:rPr>
        <w:t>The res</w:t>
      </w:r>
      <w:r w:rsidR="00FB0292" w:rsidRPr="00DB56F6">
        <w:rPr>
          <w:snapToGrid/>
          <w:lang w:eastAsia="en-AU"/>
        </w:rPr>
        <w:t xml:space="preserve">ubmission was based on: </w:t>
      </w:r>
    </w:p>
    <w:p w:rsidR="005960D6" w:rsidRDefault="00DF530C" w:rsidP="00BB76A8">
      <w:pPr>
        <w:pStyle w:val="ListParagraph"/>
        <w:numPr>
          <w:ilvl w:val="0"/>
          <w:numId w:val="17"/>
        </w:numPr>
        <w:rPr>
          <w:snapToGrid/>
          <w:lang w:eastAsia="en-AU"/>
        </w:rPr>
      </w:pPr>
      <w:r w:rsidRPr="00DB56F6">
        <w:rPr>
          <w:snapToGrid/>
          <w:lang w:eastAsia="en-AU"/>
        </w:rPr>
        <w:t>two primary direct</w:t>
      </w:r>
      <w:r w:rsidRPr="001A57E6">
        <w:rPr>
          <w:snapToGrid/>
          <w:lang w:eastAsia="en-AU"/>
        </w:rPr>
        <w:t xml:space="preserve"> comparative </w:t>
      </w:r>
      <w:r w:rsidR="00646991">
        <w:rPr>
          <w:snapToGrid/>
          <w:lang w:eastAsia="en-AU"/>
        </w:rPr>
        <w:t>randomised controlled trial</w:t>
      </w:r>
      <w:r w:rsidRPr="001A57E6">
        <w:rPr>
          <w:snapToGrid/>
          <w:lang w:eastAsia="en-AU"/>
        </w:rPr>
        <w:t xml:space="preserve">s comparing </w:t>
      </w:r>
      <w:r w:rsidR="00EE500E">
        <w:rPr>
          <w:snapToGrid/>
          <w:lang w:eastAsia="en-AU"/>
        </w:rPr>
        <w:t>BOTOX®</w:t>
      </w:r>
      <w:r w:rsidRPr="001A57E6">
        <w:rPr>
          <w:snapToGrid/>
          <w:lang w:eastAsia="en-AU"/>
        </w:rPr>
        <w:t xml:space="preserve"> to placebo</w:t>
      </w:r>
      <w:r w:rsidR="00F2066D">
        <w:rPr>
          <w:snapToGrid/>
          <w:lang w:eastAsia="en-AU"/>
        </w:rPr>
        <w:t>,</w:t>
      </w:r>
      <w:r w:rsidRPr="001A57E6">
        <w:rPr>
          <w:snapToGrid/>
          <w:lang w:eastAsia="en-AU"/>
        </w:rPr>
        <w:t xml:space="preserve"> REFLEX and Trial 512, </w:t>
      </w:r>
      <w:r w:rsidR="00FB0292" w:rsidRPr="001A57E6">
        <w:rPr>
          <w:snapToGrid/>
          <w:lang w:eastAsia="en-AU"/>
        </w:rPr>
        <w:t>enrolling</w:t>
      </w:r>
      <w:r w:rsidRPr="001A57E6">
        <w:rPr>
          <w:snapToGrid/>
          <w:lang w:eastAsia="en-AU"/>
        </w:rPr>
        <w:t xml:space="preserve"> post stroke patients </w:t>
      </w:r>
      <w:r w:rsidR="00646991">
        <w:rPr>
          <w:snapToGrid/>
          <w:lang w:eastAsia="en-AU"/>
        </w:rPr>
        <w:t xml:space="preserve">with lower limb focal spasticity and </w:t>
      </w:r>
      <w:r w:rsidRPr="001A57E6">
        <w:rPr>
          <w:snapToGrid/>
          <w:lang w:eastAsia="en-AU"/>
        </w:rPr>
        <w:t xml:space="preserve">meeting the proposed PBS criteria of </w:t>
      </w:r>
      <w:r w:rsidR="00FB0292" w:rsidRPr="001A57E6">
        <w:rPr>
          <w:snapToGrid/>
          <w:lang w:eastAsia="en-AU"/>
        </w:rPr>
        <w:t xml:space="preserve">baseline </w:t>
      </w:r>
      <w:r w:rsidRPr="001A57E6">
        <w:rPr>
          <w:snapToGrid/>
          <w:lang w:eastAsia="en-AU"/>
        </w:rPr>
        <w:t>MAS score ≥3</w:t>
      </w:r>
      <w:r w:rsidR="005C5A7F">
        <w:rPr>
          <w:snapToGrid/>
          <w:lang w:eastAsia="en-AU"/>
        </w:rPr>
        <w:t xml:space="preserve">, </w:t>
      </w:r>
    </w:p>
    <w:p w:rsidR="005960D6" w:rsidRPr="005960D6" w:rsidRDefault="00DF530C" w:rsidP="00BB76A8">
      <w:pPr>
        <w:pStyle w:val="ListParagraph"/>
        <w:numPr>
          <w:ilvl w:val="0"/>
          <w:numId w:val="17"/>
        </w:numPr>
        <w:rPr>
          <w:iCs/>
        </w:rPr>
      </w:pPr>
      <w:r w:rsidRPr="001A57E6">
        <w:rPr>
          <w:snapToGrid/>
          <w:lang w:eastAsia="en-AU"/>
        </w:rPr>
        <w:t xml:space="preserve">seven secondary </w:t>
      </w:r>
      <w:r w:rsidR="00646991">
        <w:rPr>
          <w:snapToGrid/>
          <w:lang w:eastAsia="en-AU"/>
        </w:rPr>
        <w:t>randomised trials</w:t>
      </w:r>
      <w:r w:rsidRPr="001A57E6">
        <w:rPr>
          <w:snapToGrid/>
          <w:lang w:eastAsia="en-AU"/>
        </w:rPr>
        <w:t xml:space="preserve"> enrolling post</w:t>
      </w:r>
      <w:r w:rsidR="00621660">
        <w:rPr>
          <w:snapToGrid/>
          <w:lang w:eastAsia="en-AU"/>
        </w:rPr>
        <w:t>-</w:t>
      </w:r>
      <w:r w:rsidRPr="001A57E6">
        <w:rPr>
          <w:snapToGrid/>
          <w:lang w:eastAsia="en-AU"/>
        </w:rPr>
        <w:t xml:space="preserve">stroke patients </w:t>
      </w:r>
      <w:r w:rsidR="00646991">
        <w:rPr>
          <w:snapToGrid/>
          <w:lang w:eastAsia="en-AU"/>
        </w:rPr>
        <w:t xml:space="preserve">with lower limb spasticity, but </w:t>
      </w:r>
      <w:r w:rsidRPr="001A57E6">
        <w:rPr>
          <w:snapToGrid/>
          <w:lang w:eastAsia="en-AU"/>
        </w:rPr>
        <w:t xml:space="preserve">with lower baseline MAS scores, and </w:t>
      </w:r>
    </w:p>
    <w:p w:rsidR="005960D6" w:rsidRPr="005960D6" w:rsidRDefault="00DF530C" w:rsidP="00BB76A8">
      <w:pPr>
        <w:pStyle w:val="ListParagraph"/>
        <w:numPr>
          <w:ilvl w:val="0"/>
          <w:numId w:val="17"/>
        </w:numPr>
        <w:rPr>
          <w:iCs/>
        </w:rPr>
      </w:pPr>
      <w:proofErr w:type="gramStart"/>
      <w:r w:rsidRPr="001A57E6">
        <w:rPr>
          <w:snapToGrid/>
          <w:lang w:eastAsia="en-AU"/>
        </w:rPr>
        <w:t>seven</w:t>
      </w:r>
      <w:proofErr w:type="gramEnd"/>
      <w:r w:rsidRPr="001A57E6">
        <w:rPr>
          <w:snapToGrid/>
          <w:lang w:eastAsia="en-AU"/>
        </w:rPr>
        <w:t xml:space="preserve"> supportive </w:t>
      </w:r>
      <w:r w:rsidR="00646991">
        <w:rPr>
          <w:snapToGrid/>
          <w:lang w:eastAsia="en-AU"/>
        </w:rPr>
        <w:t>trials</w:t>
      </w:r>
      <w:r w:rsidRPr="001A57E6">
        <w:rPr>
          <w:snapToGrid/>
          <w:lang w:eastAsia="en-AU"/>
        </w:rPr>
        <w:t xml:space="preserve"> enrolling patients with </w:t>
      </w:r>
      <w:r w:rsidR="00646991">
        <w:rPr>
          <w:snapToGrid/>
          <w:lang w:eastAsia="en-AU"/>
        </w:rPr>
        <w:t xml:space="preserve">lower limb spasticity due to </w:t>
      </w:r>
      <w:r w:rsidRPr="001A57E6">
        <w:rPr>
          <w:snapToGrid/>
          <w:lang w:eastAsia="en-AU"/>
        </w:rPr>
        <w:t>other aetiologies.</w:t>
      </w:r>
      <w:r w:rsidR="004A5FEC">
        <w:rPr>
          <w:snapToGrid/>
          <w:lang w:eastAsia="en-AU"/>
        </w:rPr>
        <w:t xml:space="preserve"> </w:t>
      </w:r>
    </w:p>
    <w:p w:rsidR="00EE392A" w:rsidRPr="005960D6" w:rsidRDefault="00FB0292" w:rsidP="004428BA">
      <w:pPr>
        <w:widowControl/>
        <w:spacing w:after="120"/>
        <w:ind w:left="709"/>
        <w:rPr>
          <w:iCs/>
        </w:rPr>
      </w:pPr>
      <w:r w:rsidRPr="005960D6">
        <w:rPr>
          <w:iCs/>
          <w:snapToGrid/>
          <w:lang w:eastAsia="en-AU"/>
        </w:rPr>
        <w:t xml:space="preserve">Of the </w:t>
      </w:r>
      <w:r w:rsidR="00DF530C" w:rsidRPr="005960D6">
        <w:rPr>
          <w:iCs/>
          <w:snapToGrid/>
          <w:lang w:eastAsia="en-AU"/>
        </w:rPr>
        <w:t xml:space="preserve">included trials, </w:t>
      </w:r>
      <w:r w:rsidR="003D4516" w:rsidRPr="005960D6">
        <w:rPr>
          <w:iCs/>
          <w:snapToGrid/>
          <w:lang w:eastAsia="en-AU"/>
        </w:rPr>
        <w:t>four</w:t>
      </w:r>
      <w:r w:rsidR="002B5EFE" w:rsidRPr="005960D6">
        <w:rPr>
          <w:iCs/>
          <w:snapToGrid/>
          <w:lang w:eastAsia="en-AU"/>
        </w:rPr>
        <w:t xml:space="preserve"> secondary </w:t>
      </w:r>
      <w:r w:rsidR="00646991">
        <w:rPr>
          <w:iCs/>
          <w:snapToGrid/>
          <w:lang w:eastAsia="en-AU"/>
        </w:rPr>
        <w:t>trials</w:t>
      </w:r>
      <w:r w:rsidR="002B5EFE" w:rsidRPr="005960D6">
        <w:rPr>
          <w:iCs/>
          <w:snapToGrid/>
          <w:lang w:eastAsia="en-AU"/>
        </w:rPr>
        <w:t xml:space="preserve"> (</w:t>
      </w:r>
      <w:r w:rsidR="00DF530C" w:rsidRPr="005960D6">
        <w:rPr>
          <w:iCs/>
          <w:snapToGrid/>
          <w:lang w:eastAsia="en-AU"/>
        </w:rPr>
        <w:t>Trials 702, 030, 138, 501/502</w:t>
      </w:r>
      <w:r w:rsidR="002B5EFE" w:rsidRPr="005960D6">
        <w:rPr>
          <w:iCs/>
          <w:snapToGrid/>
          <w:lang w:eastAsia="en-AU"/>
        </w:rPr>
        <w:t>)</w:t>
      </w:r>
      <w:r w:rsidR="00DF530C" w:rsidRPr="005960D6">
        <w:rPr>
          <w:iCs/>
          <w:snapToGrid/>
          <w:lang w:eastAsia="en-AU"/>
        </w:rPr>
        <w:t xml:space="preserve"> and </w:t>
      </w:r>
      <w:r w:rsidR="003D4516" w:rsidRPr="005960D6">
        <w:rPr>
          <w:iCs/>
          <w:snapToGrid/>
          <w:lang w:eastAsia="en-AU"/>
        </w:rPr>
        <w:t>one</w:t>
      </w:r>
      <w:r w:rsidR="002B5EFE" w:rsidRPr="005960D6">
        <w:rPr>
          <w:iCs/>
          <w:snapToGrid/>
          <w:lang w:eastAsia="en-AU"/>
        </w:rPr>
        <w:t xml:space="preserve"> supportive </w:t>
      </w:r>
      <w:r w:rsidR="00646991">
        <w:rPr>
          <w:iCs/>
          <w:snapToGrid/>
          <w:lang w:eastAsia="en-AU"/>
        </w:rPr>
        <w:t>trial</w:t>
      </w:r>
      <w:r w:rsidR="002B5EFE" w:rsidRPr="005960D6">
        <w:rPr>
          <w:iCs/>
          <w:snapToGrid/>
          <w:lang w:eastAsia="en-AU"/>
        </w:rPr>
        <w:t xml:space="preserve"> (</w:t>
      </w:r>
      <w:proofErr w:type="spellStart"/>
      <w:r w:rsidR="00DF530C" w:rsidRPr="005960D6">
        <w:rPr>
          <w:iCs/>
          <w:snapToGrid/>
          <w:lang w:eastAsia="en-AU"/>
        </w:rPr>
        <w:t>Verplancke</w:t>
      </w:r>
      <w:proofErr w:type="spellEnd"/>
      <w:r w:rsidR="00DF530C" w:rsidRPr="005960D6">
        <w:rPr>
          <w:iCs/>
          <w:snapToGrid/>
          <w:lang w:eastAsia="en-AU"/>
        </w:rPr>
        <w:t xml:space="preserve"> 2005</w:t>
      </w:r>
      <w:r w:rsidR="002B5EFE" w:rsidRPr="005960D6">
        <w:rPr>
          <w:iCs/>
          <w:snapToGrid/>
          <w:lang w:eastAsia="en-AU"/>
        </w:rPr>
        <w:t>)</w:t>
      </w:r>
      <w:r w:rsidR="00DF530C" w:rsidRPr="005960D6">
        <w:rPr>
          <w:iCs/>
          <w:snapToGrid/>
          <w:lang w:eastAsia="en-AU"/>
        </w:rPr>
        <w:t xml:space="preserve"> had previously been considered by the PBAC</w:t>
      </w:r>
      <w:r w:rsidR="00621660" w:rsidRPr="005960D6">
        <w:rPr>
          <w:iCs/>
          <w:snapToGrid/>
          <w:lang w:eastAsia="en-AU"/>
        </w:rPr>
        <w:t>.</w:t>
      </w:r>
    </w:p>
    <w:p w:rsidR="00EE392A" w:rsidRPr="001A57E6" w:rsidRDefault="00EE392A" w:rsidP="00BB76A8">
      <w:pPr>
        <w:pStyle w:val="ListParagraph"/>
      </w:pPr>
      <w:r w:rsidRPr="001A57E6">
        <w:rPr>
          <w:snapToGrid/>
          <w:lang w:eastAsia="en-AU"/>
        </w:rPr>
        <w:t>Details of the trials presented in the submission ar</w:t>
      </w:r>
      <w:r w:rsidR="00FB0292" w:rsidRPr="001A57E6">
        <w:rPr>
          <w:snapToGrid/>
          <w:lang w:eastAsia="en-AU"/>
        </w:rPr>
        <w:t>e provided in the table below.</w:t>
      </w:r>
    </w:p>
    <w:p w:rsidR="00EE392A" w:rsidRPr="001A57E6" w:rsidRDefault="00EE392A" w:rsidP="004428BA">
      <w:pPr>
        <w:widowControl/>
        <w:rPr>
          <w:rStyle w:val="CommentReference"/>
        </w:rPr>
      </w:pPr>
      <w:r w:rsidRPr="001A57E6">
        <w:rPr>
          <w:rStyle w:val="CommentReference"/>
        </w:rPr>
        <w:t xml:space="preserve">Table </w:t>
      </w:r>
      <w:r w:rsidR="00FB0292" w:rsidRPr="001A57E6">
        <w:rPr>
          <w:rStyle w:val="CommentReference"/>
        </w:rPr>
        <w:t>3</w:t>
      </w:r>
      <w:r w:rsidRPr="001A57E6">
        <w:rPr>
          <w:rStyle w:val="CommentReference"/>
        </w:rPr>
        <w:t>:</w:t>
      </w:r>
      <w:r w:rsidR="004A5FEC">
        <w:rPr>
          <w:rStyle w:val="CommentReference"/>
        </w:rPr>
        <w:t xml:space="preserve"> </w:t>
      </w:r>
      <w:r w:rsidRPr="001A57E6">
        <w:rPr>
          <w:rStyle w:val="CommentReference"/>
        </w:rPr>
        <w:t xml:space="preserve">Trials and associated reports presented in the </w:t>
      </w:r>
      <w:r w:rsidR="00FB0292" w:rsidRPr="001A57E6">
        <w:rPr>
          <w:rStyle w:val="CommentReference"/>
        </w:rPr>
        <w:t>re</w:t>
      </w:r>
      <w:r w:rsidRPr="001A57E6">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3"/>
        <w:gridCol w:w="5881"/>
        <w:gridCol w:w="2123"/>
      </w:tblGrid>
      <w:tr w:rsidR="00FB0292" w:rsidRPr="001A57E6" w:rsidTr="00674725">
        <w:trPr>
          <w:cantSplit/>
          <w:tblHeader/>
        </w:trPr>
        <w:tc>
          <w:tcPr>
            <w:tcW w:w="562" w:type="pct"/>
            <w:vAlign w:val="center"/>
          </w:tcPr>
          <w:p w:rsidR="00FB0292" w:rsidRPr="001A57E6" w:rsidRDefault="00FB0292" w:rsidP="004428BA">
            <w:pPr>
              <w:pStyle w:val="Tabletext"/>
              <w:rPr>
                <w:b/>
              </w:rPr>
            </w:pPr>
            <w:r w:rsidRPr="001A57E6">
              <w:rPr>
                <w:b/>
              </w:rPr>
              <w:t>Trial ID</w:t>
            </w:r>
          </w:p>
        </w:tc>
        <w:tc>
          <w:tcPr>
            <w:tcW w:w="3261" w:type="pct"/>
            <w:vAlign w:val="center"/>
          </w:tcPr>
          <w:p w:rsidR="00FB0292" w:rsidRPr="001A57E6" w:rsidRDefault="00FB0292" w:rsidP="004428BA">
            <w:pPr>
              <w:pStyle w:val="Tabletext"/>
              <w:jc w:val="center"/>
              <w:rPr>
                <w:b/>
              </w:rPr>
            </w:pPr>
            <w:r w:rsidRPr="001A57E6">
              <w:rPr>
                <w:b/>
              </w:rPr>
              <w:t>Protocol title/ Publication title</w:t>
            </w:r>
          </w:p>
        </w:tc>
        <w:tc>
          <w:tcPr>
            <w:tcW w:w="1177" w:type="pct"/>
            <w:vAlign w:val="center"/>
          </w:tcPr>
          <w:p w:rsidR="00FB0292" w:rsidRPr="001A57E6" w:rsidRDefault="00FB0292" w:rsidP="004428BA">
            <w:pPr>
              <w:pStyle w:val="Tabletext"/>
              <w:jc w:val="center"/>
              <w:rPr>
                <w:b/>
              </w:rPr>
            </w:pPr>
            <w:r w:rsidRPr="001A57E6">
              <w:rPr>
                <w:b/>
              </w:rPr>
              <w:t>Publication citation</w:t>
            </w:r>
          </w:p>
        </w:tc>
      </w:tr>
      <w:tr w:rsidR="00FB0292" w:rsidRPr="001A57E6" w:rsidTr="00674725">
        <w:trPr>
          <w:cantSplit/>
        </w:trPr>
        <w:tc>
          <w:tcPr>
            <w:tcW w:w="5000" w:type="pct"/>
            <w:gridSpan w:val="3"/>
            <w:vAlign w:val="center"/>
          </w:tcPr>
          <w:p w:rsidR="00FB0292" w:rsidRPr="001A57E6" w:rsidRDefault="00FB0292" w:rsidP="004428BA">
            <w:pPr>
              <w:pStyle w:val="Tabletext"/>
              <w:rPr>
                <w:b/>
              </w:rPr>
            </w:pPr>
            <w:r w:rsidRPr="001A57E6">
              <w:rPr>
                <w:b/>
              </w:rPr>
              <w:t>Primary trials</w:t>
            </w:r>
          </w:p>
        </w:tc>
      </w:tr>
      <w:tr w:rsidR="006F060C" w:rsidRPr="001A57E6" w:rsidTr="00674725">
        <w:trPr>
          <w:cantSplit/>
        </w:trPr>
        <w:tc>
          <w:tcPr>
            <w:tcW w:w="562" w:type="pct"/>
            <w:vMerge w:val="restart"/>
            <w:vAlign w:val="center"/>
          </w:tcPr>
          <w:p w:rsidR="006F060C" w:rsidRPr="001A57E6" w:rsidRDefault="006F060C" w:rsidP="004428BA">
            <w:pPr>
              <w:pStyle w:val="Tabletext"/>
              <w:rPr>
                <w:rFonts w:ascii="Times" w:hAnsi="Times"/>
              </w:rPr>
            </w:pPr>
            <w:r w:rsidRPr="001A57E6">
              <w:t>REFLEX</w:t>
            </w:r>
          </w:p>
        </w:tc>
        <w:tc>
          <w:tcPr>
            <w:tcW w:w="3261" w:type="pct"/>
            <w:vAlign w:val="center"/>
          </w:tcPr>
          <w:p w:rsidR="006F060C" w:rsidRPr="006F060C" w:rsidRDefault="00EE500E" w:rsidP="004428BA">
            <w:pPr>
              <w:pStyle w:val="Tabletext"/>
              <w:rPr>
                <w:szCs w:val="18"/>
              </w:rPr>
            </w:pPr>
            <w:r>
              <w:rPr>
                <w:szCs w:val="18"/>
              </w:rPr>
              <w:t>BOTOX®</w:t>
            </w:r>
            <w:r w:rsidR="006F060C" w:rsidRPr="006F060C">
              <w:rPr>
                <w:szCs w:val="18"/>
              </w:rPr>
              <w:t xml:space="preserve"> treatment in adult patients with post</w:t>
            </w:r>
            <w:r w:rsidR="004C2D10">
              <w:rPr>
                <w:szCs w:val="18"/>
              </w:rPr>
              <w:t>-</w:t>
            </w:r>
            <w:r w:rsidR="006F060C" w:rsidRPr="006F060C">
              <w:rPr>
                <w:szCs w:val="18"/>
              </w:rPr>
              <w:t xml:space="preserve">stroke lower limb spasticity. Interim Report (double blind phase). Study </w:t>
            </w:r>
          </w:p>
        </w:tc>
        <w:tc>
          <w:tcPr>
            <w:tcW w:w="1177" w:type="pct"/>
            <w:vAlign w:val="center"/>
          </w:tcPr>
          <w:p w:rsidR="006F060C" w:rsidRPr="001A57E6" w:rsidRDefault="006F060C" w:rsidP="004428BA">
            <w:pPr>
              <w:pStyle w:val="Tabletext"/>
              <w:rPr>
                <w:rFonts w:ascii="Times" w:hAnsi="Times"/>
              </w:rPr>
            </w:pPr>
            <w:r w:rsidRPr="001A57E6">
              <w:rPr>
                <w:szCs w:val="18"/>
              </w:rPr>
              <w:t>September 2014.</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6F060C" w:rsidRDefault="00EE500E" w:rsidP="004428BA">
            <w:pPr>
              <w:pStyle w:val="Tabletext"/>
              <w:rPr>
                <w:szCs w:val="18"/>
                <w:lang w:eastAsia="en-AU"/>
              </w:rPr>
            </w:pPr>
            <w:r>
              <w:rPr>
                <w:szCs w:val="18"/>
                <w:lang w:eastAsia="en-AU"/>
              </w:rPr>
              <w:t>BOTOX®</w:t>
            </w:r>
            <w:r w:rsidR="006F060C" w:rsidRPr="006F060C">
              <w:rPr>
                <w:szCs w:val="18"/>
                <w:lang w:eastAsia="en-AU"/>
              </w:rPr>
              <w:t xml:space="preserve"> treatment in adult patients with post</w:t>
            </w:r>
            <w:r w:rsidR="004C2D10">
              <w:rPr>
                <w:szCs w:val="18"/>
                <w:lang w:eastAsia="en-AU"/>
              </w:rPr>
              <w:t>-</w:t>
            </w:r>
            <w:r w:rsidR="006F060C" w:rsidRPr="006F060C">
              <w:rPr>
                <w:szCs w:val="18"/>
                <w:lang w:eastAsia="en-AU"/>
              </w:rPr>
              <w:t>stroke lower limb spasticity. Final Report</w:t>
            </w:r>
          </w:p>
        </w:tc>
        <w:tc>
          <w:tcPr>
            <w:tcW w:w="1177" w:type="pct"/>
            <w:vAlign w:val="center"/>
          </w:tcPr>
          <w:p w:rsidR="006F060C" w:rsidRPr="001A57E6" w:rsidRDefault="006F060C" w:rsidP="004428BA">
            <w:pPr>
              <w:pStyle w:val="Tabletext"/>
              <w:rPr>
                <w:iCs/>
                <w:szCs w:val="18"/>
                <w:lang w:eastAsia="en-AU"/>
              </w:rPr>
            </w:pPr>
            <w:r w:rsidRPr="001A57E6">
              <w:rPr>
                <w:iCs/>
                <w:szCs w:val="18"/>
                <w:lang w:eastAsia="en-AU"/>
              </w:rPr>
              <w:t>July 2015</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6F060C" w:rsidRDefault="006F060C" w:rsidP="004428BA">
            <w:pPr>
              <w:pStyle w:val="Tabletext"/>
              <w:rPr>
                <w:szCs w:val="18"/>
                <w:lang w:eastAsia="en-AU"/>
              </w:rPr>
            </w:pPr>
            <w:r w:rsidRPr="006F060C">
              <w:rPr>
                <w:szCs w:val="18"/>
              </w:rPr>
              <w:t xml:space="preserve">Wein T, </w:t>
            </w:r>
            <w:proofErr w:type="spellStart"/>
            <w:r w:rsidRPr="006F060C">
              <w:rPr>
                <w:szCs w:val="18"/>
              </w:rPr>
              <w:t>Esquenazi</w:t>
            </w:r>
            <w:proofErr w:type="spellEnd"/>
            <w:r w:rsidRPr="006F060C">
              <w:rPr>
                <w:szCs w:val="18"/>
              </w:rPr>
              <w:t xml:space="preserve"> A, </w:t>
            </w:r>
            <w:proofErr w:type="spellStart"/>
            <w:r w:rsidRPr="006F060C">
              <w:rPr>
                <w:szCs w:val="18"/>
              </w:rPr>
              <w:t>Jost</w:t>
            </w:r>
            <w:proofErr w:type="spellEnd"/>
            <w:r w:rsidRPr="006F060C">
              <w:rPr>
                <w:szCs w:val="18"/>
              </w:rPr>
              <w:t xml:space="preserve"> WH, Ward AB, Pan G, </w:t>
            </w:r>
            <w:proofErr w:type="spellStart"/>
            <w:r w:rsidRPr="006F060C">
              <w:rPr>
                <w:szCs w:val="18"/>
              </w:rPr>
              <w:t>Dimitrova</w:t>
            </w:r>
            <w:proofErr w:type="spellEnd"/>
            <w:r w:rsidRPr="006F060C">
              <w:rPr>
                <w:szCs w:val="18"/>
              </w:rPr>
              <w:t xml:space="preserve"> R. </w:t>
            </w:r>
            <w:proofErr w:type="spellStart"/>
            <w:r w:rsidRPr="006F060C">
              <w:rPr>
                <w:szCs w:val="18"/>
              </w:rPr>
              <w:t>OnabotulinumtoxinA</w:t>
            </w:r>
            <w:proofErr w:type="spellEnd"/>
            <w:r w:rsidRPr="006F060C">
              <w:rPr>
                <w:szCs w:val="18"/>
              </w:rPr>
              <w:t xml:space="preserve"> for the treatment of post-stroke distal lower-limb spasticity: a randomized trial.</w:t>
            </w:r>
          </w:p>
        </w:tc>
        <w:tc>
          <w:tcPr>
            <w:tcW w:w="1177" w:type="pct"/>
            <w:vAlign w:val="center"/>
          </w:tcPr>
          <w:p w:rsidR="006F060C" w:rsidRPr="001A57E6" w:rsidRDefault="006F060C" w:rsidP="004428BA">
            <w:pPr>
              <w:pStyle w:val="Tabletext"/>
              <w:rPr>
                <w:i/>
                <w:szCs w:val="18"/>
                <w:lang w:eastAsia="en-AU"/>
              </w:rPr>
            </w:pPr>
            <w:r w:rsidRPr="001A57E6">
              <w:rPr>
                <w:i/>
                <w:szCs w:val="18"/>
                <w:lang w:eastAsia="en-AU"/>
              </w:rPr>
              <w:t xml:space="preserve">PM R. </w:t>
            </w:r>
            <w:r w:rsidRPr="001A57E6">
              <w:rPr>
                <w:iCs/>
                <w:szCs w:val="18"/>
                <w:lang w:eastAsia="en-AU"/>
              </w:rPr>
              <w:t>2018 Jul</w:t>
            </w:r>
            <w:r w:rsidR="00FB2874">
              <w:rPr>
                <w:iCs/>
                <w:szCs w:val="18"/>
                <w:lang w:eastAsia="en-AU"/>
              </w:rPr>
              <w:t xml:space="preserve"> </w:t>
            </w:r>
            <w:r w:rsidRPr="001A57E6">
              <w:rPr>
                <w:iCs/>
                <w:szCs w:val="18"/>
                <w:lang w:eastAsia="en-AU"/>
              </w:rPr>
              <w:t>10(7):693-703.</w:t>
            </w:r>
          </w:p>
        </w:tc>
      </w:tr>
      <w:tr w:rsidR="006F060C" w:rsidRPr="001A57E6" w:rsidTr="00674725">
        <w:trPr>
          <w:cantSplit/>
        </w:trPr>
        <w:tc>
          <w:tcPr>
            <w:tcW w:w="562" w:type="pct"/>
            <w:vMerge/>
            <w:vAlign w:val="center"/>
          </w:tcPr>
          <w:p w:rsidR="006F060C" w:rsidRPr="001A57E6" w:rsidRDefault="006F060C" w:rsidP="004428BA">
            <w:pPr>
              <w:pStyle w:val="Tabletext"/>
              <w:rPr>
                <w:rFonts w:ascii="Times" w:hAnsi="Times"/>
              </w:rPr>
            </w:pPr>
          </w:p>
        </w:tc>
        <w:tc>
          <w:tcPr>
            <w:tcW w:w="3261" w:type="pct"/>
            <w:vAlign w:val="center"/>
          </w:tcPr>
          <w:p w:rsidR="006F060C" w:rsidRPr="006F060C" w:rsidRDefault="006F060C" w:rsidP="004428BA">
            <w:pPr>
              <w:pStyle w:val="Tabletext"/>
              <w:rPr>
                <w:szCs w:val="18"/>
              </w:rPr>
            </w:pPr>
            <w:r w:rsidRPr="006F060C">
              <w:rPr>
                <w:szCs w:val="18"/>
              </w:rPr>
              <w:t xml:space="preserve">A </w:t>
            </w:r>
            <w:proofErr w:type="spellStart"/>
            <w:r w:rsidRPr="006F060C">
              <w:rPr>
                <w:szCs w:val="18"/>
              </w:rPr>
              <w:t>Multicenter</w:t>
            </w:r>
            <w:proofErr w:type="spellEnd"/>
            <w:r w:rsidRPr="006F060C">
              <w:rPr>
                <w:szCs w:val="18"/>
              </w:rPr>
              <w:t xml:space="preserve"> Study to Evaluate the Efficacy and Safety in Patients with Post-Stroke Lower Limb Spasticity Receiving a Double-Blind, Placebo-Controlled GSK1358820 Treatment Followed by an Open-Label GSK1358820 Treatment.</w:t>
            </w:r>
          </w:p>
        </w:tc>
        <w:tc>
          <w:tcPr>
            <w:tcW w:w="1177" w:type="pct"/>
            <w:vAlign w:val="center"/>
          </w:tcPr>
          <w:p w:rsidR="006F060C" w:rsidRPr="001A57E6" w:rsidRDefault="006F060C" w:rsidP="004428BA">
            <w:pPr>
              <w:pStyle w:val="Tabletext"/>
            </w:pPr>
            <w:r w:rsidRPr="001A57E6">
              <w:t>June 2009</w:t>
            </w:r>
          </w:p>
        </w:tc>
      </w:tr>
      <w:tr w:rsidR="006F060C" w:rsidRPr="001A57E6" w:rsidTr="00674725">
        <w:trPr>
          <w:cantSplit/>
        </w:trPr>
        <w:tc>
          <w:tcPr>
            <w:tcW w:w="562" w:type="pct"/>
            <w:vMerge w:val="restart"/>
            <w:vAlign w:val="center"/>
          </w:tcPr>
          <w:p w:rsidR="006F060C" w:rsidRPr="001A57E6" w:rsidRDefault="006F060C" w:rsidP="004428BA">
            <w:pPr>
              <w:pStyle w:val="Tabletext"/>
            </w:pPr>
            <w:r w:rsidRPr="001A57E6">
              <w:t>Trial 512</w:t>
            </w:r>
          </w:p>
        </w:tc>
        <w:tc>
          <w:tcPr>
            <w:tcW w:w="3261" w:type="pct"/>
            <w:vAlign w:val="center"/>
          </w:tcPr>
          <w:p w:rsidR="006F060C" w:rsidRPr="001A57E6" w:rsidRDefault="006F060C" w:rsidP="004428BA">
            <w:pPr>
              <w:pStyle w:val="Tabletext"/>
              <w:rPr>
                <w:szCs w:val="18"/>
              </w:rPr>
            </w:pPr>
            <w:proofErr w:type="spellStart"/>
            <w:r w:rsidRPr="008C1EE4">
              <w:rPr>
                <w:szCs w:val="18"/>
                <w:lang w:val="es-MX"/>
              </w:rPr>
              <w:t>Kaji</w:t>
            </w:r>
            <w:proofErr w:type="spellEnd"/>
            <w:r w:rsidRPr="008C1EE4">
              <w:rPr>
                <w:szCs w:val="18"/>
                <w:lang w:val="es-MX"/>
              </w:rPr>
              <w:t xml:space="preserve"> R, </w:t>
            </w:r>
            <w:proofErr w:type="spellStart"/>
            <w:r w:rsidRPr="008C1EE4">
              <w:rPr>
                <w:szCs w:val="18"/>
                <w:lang w:val="es-MX"/>
              </w:rPr>
              <w:t>Osako</w:t>
            </w:r>
            <w:proofErr w:type="spellEnd"/>
            <w:r w:rsidRPr="008C1EE4">
              <w:rPr>
                <w:szCs w:val="18"/>
                <w:lang w:val="es-MX"/>
              </w:rPr>
              <w:t xml:space="preserve"> Y, </w:t>
            </w:r>
            <w:proofErr w:type="spellStart"/>
            <w:r w:rsidRPr="008C1EE4">
              <w:rPr>
                <w:szCs w:val="18"/>
                <w:lang w:val="es-MX"/>
              </w:rPr>
              <w:t>Suyama</w:t>
            </w:r>
            <w:proofErr w:type="spellEnd"/>
            <w:r w:rsidRPr="008C1EE4">
              <w:rPr>
                <w:szCs w:val="18"/>
                <w:lang w:val="es-MX"/>
              </w:rPr>
              <w:t xml:space="preserve"> K, et al. 2010. </w:t>
            </w:r>
            <w:r w:rsidRPr="001A57E6">
              <w:rPr>
                <w:szCs w:val="18"/>
              </w:rPr>
              <w:t xml:space="preserve">Botulinum toxin type A in post-stroke lower limb spasticity: a </w:t>
            </w:r>
            <w:proofErr w:type="spellStart"/>
            <w:r w:rsidRPr="001A57E6">
              <w:rPr>
                <w:szCs w:val="18"/>
              </w:rPr>
              <w:t>multicenter</w:t>
            </w:r>
            <w:proofErr w:type="spellEnd"/>
            <w:r w:rsidRPr="001A57E6">
              <w:rPr>
                <w:szCs w:val="18"/>
              </w:rPr>
              <w:t xml:space="preserve">, double-blind, placebo-controlled trial. </w:t>
            </w:r>
          </w:p>
        </w:tc>
        <w:tc>
          <w:tcPr>
            <w:tcW w:w="1177" w:type="pct"/>
            <w:vAlign w:val="center"/>
          </w:tcPr>
          <w:p w:rsidR="006F060C" w:rsidRPr="001A57E6" w:rsidRDefault="006F060C" w:rsidP="004428BA">
            <w:pPr>
              <w:pStyle w:val="Tabletext"/>
              <w:rPr>
                <w:i/>
              </w:rPr>
            </w:pPr>
            <w:r w:rsidRPr="001A57E6">
              <w:rPr>
                <w:szCs w:val="18"/>
              </w:rPr>
              <w:t>J Neurol. 257(8):1330-1337.</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1A57E6" w:rsidRDefault="006F060C" w:rsidP="00CB6ACE">
            <w:pPr>
              <w:pStyle w:val="Tabletext"/>
              <w:rPr>
                <w:szCs w:val="18"/>
              </w:rPr>
            </w:pPr>
            <w:r w:rsidRPr="001A57E6">
              <w:rPr>
                <w:szCs w:val="18"/>
              </w:rPr>
              <w:t>Kimura, A., et al. 2010. Efficacy and safety of Botulinum Toxin Type A in treating lower limb spa</w:t>
            </w:r>
            <w:r w:rsidR="004428BA">
              <w:rPr>
                <w:szCs w:val="18"/>
              </w:rPr>
              <w:t>sticity in post stroke patients</w:t>
            </w:r>
            <w:r w:rsidRPr="001A57E6">
              <w:rPr>
                <w:szCs w:val="18"/>
              </w:rPr>
              <w:t>: a multicentre, double-blind, placebo controlled trial followed by an open-label trial. [Full Length Text Not Used, in Japanese].</w:t>
            </w:r>
          </w:p>
        </w:tc>
        <w:tc>
          <w:tcPr>
            <w:tcW w:w="1177" w:type="pct"/>
            <w:vAlign w:val="center"/>
          </w:tcPr>
          <w:p w:rsidR="006F060C" w:rsidRPr="001A57E6" w:rsidRDefault="006F060C" w:rsidP="004428BA">
            <w:pPr>
              <w:pStyle w:val="Tabletext"/>
              <w:rPr>
                <w:rFonts w:ascii="Times" w:hAnsi="Times"/>
              </w:rPr>
            </w:pPr>
            <w:r w:rsidRPr="001A57E6">
              <w:rPr>
                <w:szCs w:val="18"/>
              </w:rPr>
              <w:t>Japanese journal of rehabilitation medicine 47, 626-636</w:t>
            </w:r>
          </w:p>
        </w:tc>
      </w:tr>
      <w:tr w:rsidR="00FB0292" w:rsidRPr="001A57E6" w:rsidTr="00674725">
        <w:trPr>
          <w:cantSplit/>
        </w:trPr>
        <w:tc>
          <w:tcPr>
            <w:tcW w:w="5000" w:type="pct"/>
            <w:gridSpan w:val="3"/>
            <w:vAlign w:val="center"/>
          </w:tcPr>
          <w:p w:rsidR="00FB0292" w:rsidRPr="001A57E6" w:rsidRDefault="00FB0292" w:rsidP="004428BA">
            <w:pPr>
              <w:pStyle w:val="Tabletext"/>
              <w:rPr>
                <w:b/>
                <w:bCs/>
                <w:szCs w:val="18"/>
              </w:rPr>
            </w:pPr>
            <w:r w:rsidRPr="001A57E6">
              <w:rPr>
                <w:b/>
                <w:bCs/>
                <w:szCs w:val="18"/>
              </w:rPr>
              <w:t>Secondary trials</w:t>
            </w:r>
          </w:p>
        </w:tc>
      </w:tr>
      <w:tr w:rsidR="006F060C" w:rsidRPr="001A57E6" w:rsidTr="00674725">
        <w:trPr>
          <w:cantSplit/>
        </w:trPr>
        <w:tc>
          <w:tcPr>
            <w:tcW w:w="562" w:type="pct"/>
            <w:vMerge w:val="restart"/>
            <w:vAlign w:val="center"/>
          </w:tcPr>
          <w:p w:rsidR="006F060C" w:rsidRPr="001A57E6" w:rsidRDefault="006F060C" w:rsidP="004428BA">
            <w:pPr>
              <w:pStyle w:val="Tabletext"/>
            </w:pPr>
            <w:r w:rsidRPr="001A57E6">
              <w:t>Trial 702</w:t>
            </w:r>
          </w:p>
        </w:tc>
        <w:tc>
          <w:tcPr>
            <w:tcW w:w="3261" w:type="pct"/>
            <w:vAlign w:val="center"/>
          </w:tcPr>
          <w:p w:rsidR="006F060C" w:rsidRPr="001A57E6" w:rsidRDefault="006F060C" w:rsidP="004428BA">
            <w:pPr>
              <w:pStyle w:val="Tabletext"/>
              <w:rPr>
                <w:rFonts w:ascii="Times" w:hAnsi="Times"/>
              </w:rPr>
            </w:pPr>
            <w:r w:rsidRPr="001A57E6">
              <w:rPr>
                <w:szCs w:val="18"/>
              </w:rPr>
              <w:t xml:space="preserve">A two-part </w:t>
            </w:r>
            <w:proofErr w:type="spellStart"/>
            <w:r w:rsidRPr="001A57E6">
              <w:rPr>
                <w:szCs w:val="18"/>
              </w:rPr>
              <w:t>multicenter</w:t>
            </w:r>
            <w:proofErr w:type="spellEnd"/>
            <w:r w:rsidRPr="001A57E6">
              <w:rPr>
                <w:szCs w:val="18"/>
              </w:rPr>
              <w:t xml:space="preserve"> study of </w:t>
            </w:r>
            <w:r w:rsidR="00EE500E">
              <w:rPr>
                <w:szCs w:val="18"/>
              </w:rPr>
              <w:t>BOTOX®</w:t>
            </w:r>
            <w:r w:rsidRPr="001A57E6">
              <w:rPr>
                <w:szCs w:val="18"/>
              </w:rPr>
              <w:t xml:space="preserve"> (botulinum toxin type A) in the treatment of lower limb spasticity during stroke rehabilitation (Part I—double-blind, placebo-controlled, parallel, randomised, &amp; Part II—open-label follow-up).</w:t>
            </w:r>
          </w:p>
        </w:tc>
        <w:tc>
          <w:tcPr>
            <w:tcW w:w="1177" w:type="pct"/>
            <w:vAlign w:val="center"/>
          </w:tcPr>
          <w:p w:rsidR="006F060C" w:rsidRPr="001A57E6" w:rsidRDefault="006F060C" w:rsidP="004428BA">
            <w:pPr>
              <w:pStyle w:val="Tabletext"/>
              <w:rPr>
                <w:rFonts w:ascii="Times" w:hAnsi="Times"/>
              </w:rPr>
            </w:pPr>
            <w:r w:rsidRPr="001A57E6">
              <w:t>July 2002</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1A57E6" w:rsidRDefault="006F060C" w:rsidP="004428BA">
            <w:pPr>
              <w:pStyle w:val="Tabletext"/>
              <w:rPr>
                <w:szCs w:val="18"/>
              </w:rPr>
            </w:pPr>
            <w:proofErr w:type="spellStart"/>
            <w:r w:rsidRPr="008C1EE4">
              <w:rPr>
                <w:szCs w:val="18"/>
                <w:lang w:val="fr-FR"/>
              </w:rPr>
              <w:t>Dunne</w:t>
            </w:r>
            <w:proofErr w:type="spellEnd"/>
            <w:r w:rsidRPr="008C1EE4">
              <w:rPr>
                <w:szCs w:val="18"/>
                <w:lang w:val="fr-FR"/>
              </w:rPr>
              <w:t xml:space="preserve"> JW, Gracies JM, Hayes M, et al. 2012. </w:t>
            </w:r>
            <w:r w:rsidRPr="001A57E6">
              <w:rPr>
                <w:szCs w:val="18"/>
              </w:rPr>
              <w:t xml:space="preserve">A prospective, </w:t>
            </w:r>
            <w:proofErr w:type="spellStart"/>
            <w:r w:rsidRPr="001A57E6">
              <w:rPr>
                <w:szCs w:val="18"/>
              </w:rPr>
              <w:t>multicenter</w:t>
            </w:r>
            <w:proofErr w:type="spellEnd"/>
            <w:r w:rsidRPr="001A57E6">
              <w:rPr>
                <w:szCs w:val="18"/>
              </w:rPr>
              <w:t xml:space="preserve">, randomized, double-blind, placebo-controlled trial of </w:t>
            </w:r>
            <w:proofErr w:type="spellStart"/>
            <w:r w:rsidRPr="001A57E6">
              <w:rPr>
                <w:szCs w:val="18"/>
              </w:rPr>
              <w:t>onabotulinumtoxinA</w:t>
            </w:r>
            <w:proofErr w:type="spellEnd"/>
            <w:r w:rsidRPr="001A57E6">
              <w:rPr>
                <w:szCs w:val="18"/>
              </w:rPr>
              <w:t xml:space="preserve"> to treat planter flexor/invertor overactivity after stroke. </w:t>
            </w:r>
          </w:p>
        </w:tc>
        <w:tc>
          <w:tcPr>
            <w:tcW w:w="1177" w:type="pct"/>
            <w:vAlign w:val="center"/>
          </w:tcPr>
          <w:p w:rsidR="006F060C" w:rsidRPr="001A57E6" w:rsidRDefault="006F060C" w:rsidP="004428BA">
            <w:pPr>
              <w:pStyle w:val="Tabletext"/>
            </w:pPr>
            <w:proofErr w:type="spellStart"/>
            <w:r w:rsidRPr="001A57E6">
              <w:rPr>
                <w:szCs w:val="18"/>
              </w:rPr>
              <w:t>Clin</w:t>
            </w:r>
            <w:proofErr w:type="spellEnd"/>
            <w:r w:rsidRPr="001A57E6">
              <w:rPr>
                <w:szCs w:val="18"/>
              </w:rPr>
              <w:t xml:space="preserve"> Rehab. 26(9):787-797.</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1A57E6" w:rsidRDefault="006F060C" w:rsidP="004428BA">
            <w:pPr>
              <w:pStyle w:val="Tabletext"/>
              <w:rPr>
                <w:szCs w:val="18"/>
              </w:rPr>
            </w:pPr>
            <w:r w:rsidRPr="001A57E6">
              <w:rPr>
                <w:szCs w:val="18"/>
              </w:rPr>
              <w:t>A Multicentre, Double-blind, Prospective, Randomised, European and Canadian Study to Evaluate Patient Outcomes and Costs of Managing Adults with Spasticity and Associated Focal Spasticity</w:t>
            </w:r>
          </w:p>
        </w:tc>
        <w:tc>
          <w:tcPr>
            <w:tcW w:w="1177" w:type="pct"/>
            <w:vAlign w:val="center"/>
          </w:tcPr>
          <w:p w:rsidR="006F060C" w:rsidRPr="001A57E6" w:rsidRDefault="006F060C" w:rsidP="004428BA">
            <w:pPr>
              <w:pStyle w:val="Tabletext"/>
              <w:rPr>
                <w:szCs w:val="18"/>
              </w:rPr>
            </w:pPr>
            <w:r w:rsidRPr="001A57E6">
              <w:rPr>
                <w:szCs w:val="18"/>
              </w:rPr>
              <w:t>August 2011</w:t>
            </w:r>
          </w:p>
        </w:tc>
      </w:tr>
      <w:tr w:rsidR="006F060C" w:rsidRPr="001A57E6" w:rsidTr="00674725">
        <w:trPr>
          <w:cantSplit/>
        </w:trPr>
        <w:tc>
          <w:tcPr>
            <w:tcW w:w="562" w:type="pct"/>
            <w:vMerge w:val="restart"/>
            <w:vAlign w:val="center"/>
          </w:tcPr>
          <w:p w:rsidR="006F060C" w:rsidRPr="001A57E6" w:rsidRDefault="006F060C" w:rsidP="004428BA">
            <w:pPr>
              <w:pStyle w:val="Tabletext"/>
            </w:pPr>
            <w:r w:rsidRPr="001A57E6">
              <w:lastRenderedPageBreak/>
              <w:t>BEST</w:t>
            </w:r>
          </w:p>
        </w:tc>
        <w:tc>
          <w:tcPr>
            <w:tcW w:w="3261" w:type="pct"/>
            <w:vAlign w:val="center"/>
          </w:tcPr>
          <w:p w:rsidR="006F060C" w:rsidRPr="001A57E6" w:rsidRDefault="006F060C" w:rsidP="004428BA">
            <w:pPr>
              <w:pStyle w:val="Tabletext"/>
              <w:rPr>
                <w:szCs w:val="18"/>
              </w:rPr>
            </w:pPr>
            <w:r w:rsidRPr="008C1EE4">
              <w:rPr>
                <w:szCs w:val="18"/>
                <w:lang w:val="de-DE"/>
              </w:rPr>
              <w:t xml:space="preserve">Borg J, Ward AB, Wissel J, et al. 2011. </w:t>
            </w:r>
            <w:r w:rsidRPr="001A57E6">
              <w:rPr>
                <w:szCs w:val="18"/>
              </w:rPr>
              <w:t xml:space="preserve">Rationale and design of a multicentre, double-blind, prospective, randomized, European and Canadian study: evaluating patient outcomes and costs of managing adults with post-stroke focal spasticity. </w:t>
            </w:r>
          </w:p>
        </w:tc>
        <w:tc>
          <w:tcPr>
            <w:tcW w:w="1177" w:type="pct"/>
            <w:vAlign w:val="center"/>
          </w:tcPr>
          <w:p w:rsidR="006F060C" w:rsidRPr="001A57E6" w:rsidRDefault="006F060C" w:rsidP="004428BA">
            <w:pPr>
              <w:pStyle w:val="Tabletext"/>
              <w:rPr>
                <w:szCs w:val="18"/>
              </w:rPr>
            </w:pPr>
            <w:r w:rsidRPr="001A57E6">
              <w:rPr>
                <w:szCs w:val="18"/>
              </w:rPr>
              <w:t>Journal of rehabilitation medicine 43(1):15-22.</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1A57E6" w:rsidRDefault="006F060C" w:rsidP="004428BA">
            <w:pPr>
              <w:pStyle w:val="Tabletext"/>
              <w:rPr>
                <w:szCs w:val="18"/>
              </w:rPr>
            </w:pPr>
            <w:r w:rsidRPr="008C1EE4">
              <w:rPr>
                <w:szCs w:val="18"/>
                <w:lang w:val="de-DE"/>
              </w:rPr>
              <w:t xml:space="preserve">Ward AB, Wissel J, Borg J, et al. 2014. </w:t>
            </w:r>
            <w:r w:rsidRPr="001A57E6">
              <w:rPr>
                <w:szCs w:val="18"/>
              </w:rPr>
              <w:t xml:space="preserve">Functional goal achievement in post-stroke spasticity patients: the </w:t>
            </w:r>
            <w:r w:rsidR="00EE500E">
              <w:rPr>
                <w:szCs w:val="18"/>
              </w:rPr>
              <w:t>BOTOX®</w:t>
            </w:r>
            <w:r w:rsidRPr="001A57E6">
              <w:rPr>
                <w:szCs w:val="18"/>
              </w:rPr>
              <w:t xml:space="preserve"> Economic Spasticity Trial (BEST). </w:t>
            </w:r>
          </w:p>
        </w:tc>
        <w:tc>
          <w:tcPr>
            <w:tcW w:w="1177" w:type="pct"/>
            <w:vAlign w:val="center"/>
          </w:tcPr>
          <w:p w:rsidR="006F060C" w:rsidRPr="001A57E6" w:rsidRDefault="006F060C" w:rsidP="004428BA">
            <w:pPr>
              <w:pStyle w:val="Tabletext"/>
              <w:rPr>
                <w:szCs w:val="18"/>
              </w:rPr>
            </w:pPr>
            <w:r w:rsidRPr="001A57E6">
              <w:rPr>
                <w:szCs w:val="18"/>
              </w:rPr>
              <w:t>Journal of rehabilitation medicine 46(6):504-13.</w:t>
            </w:r>
          </w:p>
        </w:tc>
      </w:tr>
      <w:tr w:rsidR="00FB0292" w:rsidRPr="001A57E6" w:rsidTr="00674725">
        <w:trPr>
          <w:cantSplit/>
        </w:trPr>
        <w:tc>
          <w:tcPr>
            <w:tcW w:w="562" w:type="pct"/>
            <w:vAlign w:val="center"/>
          </w:tcPr>
          <w:p w:rsidR="00FB0292" w:rsidRPr="001A57E6" w:rsidRDefault="00FB0292" w:rsidP="004428BA">
            <w:pPr>
              <w:pStyle w:val="Tabletext"/>
            </w:pPr>
            <w:r w:rsidRPr="001A57E6">
              <w:t>Trial 030</w:t>
            </w:r>
          </w:p>
        </w:tc>
        <w:tc>
          <w:tcPr>
            <w:tcW w:w="3261" w:type="pct"/>
            <w:vAlign w:val="center"/>
          </w:tcPr>
          <w:p w:rsidR="00FB0292" w:rsidRPr="001A57E6" w:rsidRDefault="00FB0292" w:rsidP="004428BA">
            <w:pPr>
              <w:pStyle w:val="Tabletext"/>
              <w:rPr>
                <w:szCs w:val="18"/>
              </w:rPr>
            </w:pPr>
            <w:r w:rsidRPr="001A57E6">
              <w:rPr>
                <w:szCs w:val="18"/>
              </w:rPr>
              <w:t xml:space="preserve">A </w:t>
            </w:r>
            <w:proofErr w:type="spellStart"/>
            <w:r w:rsidRPr="001A57E6">
              <w:rPr>
                <w:szCs w:val="18"/>
              </w:rPr>
              <w:t>multicenter</w:t>
            </w:r>
            <w:proofErr w:type="spellEnd"/>
            <w:r w:rsidRPr="001A57E6">
              <w:rPr>
                <w:szCs w:val="18"/>
              </w:rPr>
              <w:t xml:space="preserve">, double-blind, placebo-controlled, parallel group study of pulmonary function safety of </w:t>
            </w:r>
            <w:r w:rsidR="00EE500E">
              <w:rPr>
                <w:szCs w:val="18"/>
              </w:rPr>
              <w:t>BOTOX®</w:t>
            </w:r>
            <w:r w:rsidRPr="001A57E6">
              <w:rPr>
                <w:szCs w:val="18"/>
              </w:rPr>
              <w:t xml:space="preserve"> (botulinum toxin type A) purified neurotoxin complex for the treatment of focal spasticity post stroke.</w:t>
            </w:r>
          </w:p>
        </w:tc>
        <w:tc>
          <w:tcPr>
            <w:tcW w:w="1177" w:type="pct"/>
            <w:vAlign w:val="center"/>
          </w:tcPr>
          <w:p w:rsidR="00FB0292" w:rsidRPr="001A57E6" w:rsidRDefault="00FB0292" w:rsidP="004428BA">
            <w:pPr>
              <w:pStyle w:val="Tabletext"/>
              <w:rPr>
                <w:szCs w:val="18"/>
              </w:rPr>
            </w:pPr>
            <w:r w:rsidRPr="001A57E6">
              <w:rPr>
                <w:szCs w:val="18"/>
              </w:rPr>
              <w:t>February 2002</w:t>
            </w:r>
          </w:p>
        </w:tc>
      </w:tr>
      <w:tr w:rsidR="00FB0292" w:rsidRPr="001A57E6" w:rsidTr="00674725">
        <w:trPr>
          <w:cantSplit/>
        </w:trPr>
        <w:tc>
          <w:tcPr>
            <w:tcW w:w="562" w:type="pct"/>
            <w:vAlign w:val="center"/>
          </w:tcPr>
          <w:p w:rsidR="00FB0292" w:rsidRPr="001A57E6" w:rsidRDefault="00FB0292" w:rsidP="004428BA">
            <w:pPr>
              <w:pStyle w:val="Tabletext"/>
            </w:pPr>
            <w:r w:rsidRPr="001A57E6">
              <w:t>Trial 138/139</w:t>
            </w:r>
          </w:p>
        </w:tc>
        <w:tc>
          <w:tcPr>
            <w:tcW w:w="3261" w:type="pct"/>
            <w:vAlign w:val="center"/>
          </w:tcPr>
          <w:p w:rsidR="00FB0292" w:rsidRPr="001A57E6" w:rsidRDefault="00FB0292" w:rsidP="004428BA">
            <w:pPr>
              <w:pStyle w:val="Tabletext"/>
              <w:rPr>
                <w:szCs w:val="18"/>
              </w:rPr>
            </w:pPr>
            <w:r w:rsidRPr="001A57E6">
              <w:rPr>
                <w:szCs w:val="18"/>
              </w:rPr>
              <w:t xml:space="preserve">A randomised, double-blind, placebo-controlled, clinical trial to evaluate the safety, efficacy and dosing of </w:t>
            </w:r>
            <w:r w:rsidR="00EE500E">
              <w:rPr>
                <w:szCs w:val="18"/>
              </w:rPr>
              <w:t>BOTOX®</w:t>
            </w:r>
            <w:r w:rsidRPr="001A57E6">
              <w:rPr>
                <w:szCs w:val="18"/>
              </w:rPr>
              <w:t xml:space="preserve"> (botulinum toxin type A) purified neurotoxin complex for the treatment of lower limb spasticity in post-stroke patients</w:t>
            </w:r>
          </w:p>
        </w:tc>
        <w:tc>
          <w:tcPr>
            <w:tcW w:w="1177" w:type="pct"/>
            <w:vAlign w:val="center"/>
          </w:tcPr>
          <w:p w:rsidR="00FB0292" w:rsidRPr="001A57E6" w:rsidRDefault="00FB0292" w:rsidP="004428BA">
            <w:pPr>
              <w:pStyle w:val="Tabletext"/>
              <w:rPr>
                <w:szCs w:val="18"/>
              </w:rPr>
            </w:pPr>
            <w:r w:rsidRPr="001A57E6">
              <w:rPr>
                <w:szCs w:val="18"/>
              </w:rPr>
              <w:t>August 2001</w:t>
            </w:r>
          </w:p>
        </w:tc>
      </w:tr>
      <w:tr w:rsidR="006F060C" w:rsidRPr="001A57E6" w:rsidTr="00674725">
        <w:trPr>
          <w:cantSplit/>
        </w:trPr>
        <w:tc>
          <w:tcPr>
            <w:tcW w:w="562" w:type="pct"/>
            <w:vMerge w:val="restart"/>
            <w:vAlign w:val="center"/>
          </w:tcPr>
          <w:p w:rsidR="006F060C" w:rsidRPr="001A57E6" w:rsidRDefault="006F060C" w:rsidP="004428BA">
            <w:pPr>
              <w:pStyle w:val="Tabletext"/>
            </w:pPr>
            <w:r w:rsidRPr="001A57E6">
              <w:t>Trial 501/502</w:t>
            </w:r>
          </w:p>
        </w:tc>
        <w:tc>
          <w:tcPr>
            <w:tcW w:w="3261" w:type="pct"/>
            <w:vAlign w:val="center"/>
          </w:tcPr>
          <w:p w:rsidR="006F060C" w:rsidRPr="001A57E6" w:rsidRDefault="006F060C" w:rsidP="004428BA">
            <w:pPr>
              <w:pStyle w:val="Tabletext"/>
              <w:rPr>
                <w:szCs w:val="18"/>
              </w:rPr>
            </w:pPr>
            <w:r w:rsidRPr="001A57E6">
              <w:rPr>
                <w:szCs w:val="18"/>
              </w:rPr>
              <w:t xml:space="preserve">A </w:t>
            </w:r>
            <w:proofErr w:type="spellStart"/>
            <w:r w:rsidRPr="001A57E6">
              <w:rPr>
                <w:szCs w:val="18"/>
              </w:rPr>
              <w:t>multicenter</w:t>
            </w:r>
            <w:proofErr w:type="spellEnd"/>
            <w:r w:rsidRPr="001A57E6">
              <w:rPr>
                <w:szCs w:val="18"/>
              </w:rPr>
              <w:t xml:space="preserve">, randomised, double-blind, placebo-controlled clinical trial to evaluate the safety, dosing, and efficacy of a single dose of </w:t>
            </w:r>
            <w:r w:rsidR="00EE500E">
              <w:rPr>
                <w:szCs w:val="18"/>
              </w:rPr>
              <w:t>BOTOX®</w:t>
            </w:r>
            <w:r w:rsidR="00C81576">
              <w:rPr>
                <w:szCs w:val="18"/>
              </w:rPr>
              <w:t xml:space="preserve"> </w:t>
            </w:r>
            <w:r w:rsidRPr="001A57E6">
              <w:rPr>
                <w:szCs w:val="18"/>
              </w:rPr>
              <w:t>(botulinum toxin type A) purified neurotoxin complex for the management of lower limb spasticity after stroke.</w:t>
            </w:r>
          </w:p>
        </w:tc>
        <w:tc>
          <w:tcPr>
            <w:tcW w:w="1177" w:type="pct"/>
            <w:vAlign w:val="center"/>
          </w:tcPr>
          <w:p w:rsidR="006F060C" w:rsidRPr="001A57E6" w:rsidRDefault="006F060C" w:rsidP="004428BA">
            <w:pPr>
              <w:pStyle w:val="Tabletext"/>
              <w:rPr>
                <w:szCs w:val="18"/>
              </w:rPr>
            </w:pPr>
            <w:r w:rsidRPr="001A57E6">
              <w:rPr>
                <w:szCs w:val="18"/>
              </w:rPr>
              <w:t>February 2001</w:t>
            </w:r>
          </w:p>
        </w:tc>
      </w:tr>
      <w:tr w:rsidR="006F060C" w:rsidRPr="001A57E6" w:rsidTr="00674725">
        <w:trPr>
          <w:cantSplit/>
        </w:trPr>
        <w:tc>
          <w:tcPr>
            <w:tcW w:w="562" w:type="pct"/>
            <w:vMerge/>
            <w:vAlign w:val="center"/>
          </w:tcPr>
          <w:p w:rsidR="006F060C" w:rsidRPr="001A57E6" w:rsidRDefault="006F060C" w:rsidP="004428BA">
            <w:pPr>
              <w:pStyle w:val="Tabletext"/>
            </w:pPr>
          </w:p>
        </w:tc>
        <w:tc>
          <w:tcPr>
            <w:tcW w:w="3261" w:type="pct"/>
            <w:vAlign w:val="center"/>
          </w:tcPr>
          <w:p w:rsidR="006F060C" w:rsidRPr="001A57E6" w:rsidRDefault="006F060C" w:rsidP="004428BA">
            <w:pPr>
              <w:pStyle w:val="Tabletext"/>
              <w:rPr>
                <w:szCs w:val="18"/>
              </w:rPr>
            </w:pPr>
            <w:r w:rsidRPr="001A57E6">
              <w:rPr>
                <w:szCs w:val="18"/>
              </w:rPr>
              <w:t xml:space="preserve">A </w:t>
            </w:r>
            <w:proofErr w:type="spellStart"/>
            <w:r w:rsidRPr="001A57E6">
              <w:rPr>
                <w:szCs w:val="18"/>
              </w:rPr>
              <w:t>multicenter</w:t>
            </w:r>
            <w:proofErr w:type="spellEnd"/>
            <w:r w:rsidRPr="001A57E6">
              <w:rPr>
                <w:szCs w:val="18"/>
              </w:rPr>
              <w:t xml:space="preserve">, randomised, double-blind, placebo-controlled clinical trial to evaluate the safety, dosing, and efficacy of </w:t>
            </w:r>
            <w:r w:rsidR="00EE500E">
              <w:rPr>
                <w:szCs w:val="18"/>
              </w:rPr>
              <w:t>BOTO</w:t>
            </w:r>
            <w:r w:rsidR="00C81576">
              <w:rPr>
                <w:szCs w:val="18"/>
              </w:rPr>
              <w:t>X</w:t>
            </w:r>
            <w:r w:rsidRPr="001A57E6">
              <w:rPr>
                <w:szCs w:val="18"/>
              </w:rPr>
              <w:t>® (botulinum toxin type A) purified neurotoxin complex for the management of lower limb spasticity after stroke.</w:t>
            </w:r>
          </w:p>
        </w:tc>
        <w:tc>
          <w:tcPr>
            <w:tcW w:w="1177" w:type="pct"/>
            <w:vAlign w:val="center"/>
          </w:tcPr>
          <w:p w:rsidR="006F060C" w:rsidRPr="001A57E6" w:rsidRDefault="006F060C" w:rsidP="004428BA">
            <w:pPr>
              <w:pStyle w:val="Tabletext"/>
              <w:rPr>
                <w:szCs w:val="18"/>
              </w:rPr>
            </w:pPr>
            <w:r w:rsidRPr="001A57E6">
              <w:rPr>
                <w:szCs w:val="18"/>
              </w:rPr>
              <w:t>April 2001</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t>Picelli</w:t>
            </w:r>
            <w:proofErr w:type="spellEnd"/>
            <w:r w:rsidRPr="001A57E6">
              <w:t xml:space="preserve"> 2014</w:t>
            </w:r>
          </w:p>
        </w:tc>
        <w:tc>
          <w:tcPr>
            <w:tcW w:w="3261" w:type="pct"/>
            <w:vAlign w:val="center"/>
          </w:tcPr>
          <w:p w:rsidR="00FB0292" w:rsidRPr="001A57E6" w:rsidRDefault="00FB0292" w:rsidP="004428BA">
            <w:pPr>
              <w:pStyle w:val="Tabletext"/>
              <w:rPr>
                <w:szCs w:val="18"/>
              </w:rPr>
            </w:pPr>
            <w:r w:rsidRPr="008C1EE4">
              <w:rPr>
                <w:szCs w:val="18"/>
                <w:lang w:val="it-IT"/>
              </w:rPr>
              <w:t xml:space="preserve">Picelli A, Dambruoso F, Bronzato M, et al. 2014. </w:t>
            </w:r>
            <w:r w:rsidRPr="001A57E6">
              <w:rPr>
                <w:szCs w:val="18"/>
              </w:rPr>
              <w:t xml:space="preserve">Efficacy of therapeutic ultrasound and transcutaneous electrical nerve stimulation compared with botulinum toxin type A in the treatment of spastic </w:t>
            </w:r>
            <w:proofErr w:type="spellStart"/>
            <w:r w:rsidRPr="001A57E6">
              <w:rPr>
                <w:szCs w:val="18"/>
              </w:rPr>
              <w:t>equinus</w:t>
            </w:r>
            <w:proofErr w:type="spellEnd"/>
            <w:r w:rsidRPr="001A57E6">
              <w:rPr>
                <w:szCs w:val="18"/>
              </w:rPr>
              <w:t xml:space="preserve"> in adults with chronic stroke: a pilot randomized controlled trial</w:t>
            </w:r>
          </w:p>
        </w:tc>
        <w:tc>
          <w:tcPr>
            <w:tcW w:w="1177" w:type="pct"/>
            <w:vAlign w:val="center"/>
          </w:tcPr>
          <w:p w:rsidR="00FB0292" w:rsidRPr="001A57E6" w:rsidRDefault="00FB0292" w:rsidP="004428BA">
            <w:pPr>
              <w:pStyle w:val="Tabletext"/>
              <w:rPr>
                <w:szCs w:val="18"/>
              </w:rPr>
            </w:pPr>
            <w:r w:rsidRPr="001A57E6">
              <w:rPr>
                <w:szCs w:val="18"/>
              </w:rPr>
              <w:t xml:space="preserve">Top Stroke </w:t>
            </w:r>
            <w:proofErr w:type="spellStart"/>
            <w:r w:rsidRPr="001A57E6">
              <w:rPr>
                <w:szCs w:val="18"/>
              </w:rPr>
              <w:t>Rehabil</w:t>
            </w:r>
            <w:proofErr w:type="spellEnd"/>
            <w:r w:rsidRPr="001A57E6">
              <w:rPr>
                <w:szCs w:val="18"/>
              </w:rPr>
              <w:t>. 2014</w:t>
            </w:r>
            <w:proofErr w:type="gramStart"/>
            <w:r w:rsidRPr="001A57E6">
              <w:rPr>
                <w:szCs w:val="18"/>
              </w:rPr>
              <w:t>;21</w:t>
            </w:r>
            <w:proofErr w:type="gramEnd"/>
            <w:r w:rsidRPr="001A57E6">
              <w:rPr>
                <w:szCs w:val="18"/>
              </w:rPr>
              <w:t xml:space="preserve"> </w:t>
            </w:r>
            <w:proofErr w:type="spellStart"/>
            <w:r w:rsidRPr="001A57E6">
              <w:rPr>
                <w:szCs w:val="18"/>
              </w:rPr>
              <w:t>Suppl</w:t>
            </w:r>
            <w:proofErr w:type="spellEnd"/>
            <w:r w:rsidRPr="001A57E6">
              <w:rPr>
                <w:szCs w:val="18"/>
              </w:rPr>
              <w:t xml:space="preserve"> 1:S8-16.</w:t>
            </w:r>
          </w:p>
        </w:tc>
      </w:tr>
      <w:tr w:rsidR="00FB0292" w:rsidRPr="001A57E6" w:rsidTr="00674725">
        <w:trPr>
          <w:cantSplit/>
        </w:trPr>
        <w:tc>
          <w:tcPr>
            <w:tcW w:w="562" w:type="pct"/>
            <w:vAlign w:val="center"/>
          </w:tcPr>
          <w:p w:rsidR="00FB0292" w:rsidRPr="001A57E6" w:rsidRDefault="00FB0292" w:rsidP="004428BA">
            <w:pPr>
              <w:pStyle w:val="Tabletext"/>
            </w:pPr>
            <w:r w:rsidRPr="001A57E6">
              <w:t>Tao 2015</w:t>
            </w:r>
          </w:p>
        </w:tc>
        <w:tc>
          <w:tcPr>
            <w:tcW w:w="3261" w:type="pct"/>
            <w:vAlign w:val="center"/>
          </w:tcPr>
          <w:p w:rsidR="00FB0292" w:rsidRPr="001A57E6" w:rsidRDefault="00FB0292" w:rsidP="004428BA">
            <w:pPr>
              <w:pStyle w:val="Tabletext"/>
              <w:rPr>
                <w:szCs w:val="18"/>
              </w:rPr>
            </w:pPr>
            <w:r w:rsidRPr="001A57E6">
              <w:rPr>
                <w:szCs w:val="18"/>
              </w:rPr>
              <w:t>Tao, W, Yan D, Li J-H, Shi Z-H. 2015. Gait improvement by low-dose botulinum toxin A injection treatment of the lower limbs in subacute stroke patients</w:t>
            </w:r>
          </w:p>
        </w:tc>
        <w:tc>
          <w:tcPr>
            <w:tcW w:w="1177" w:type="pct"/>
            <w:vAlign w:val="center"/>
          </w:tcPr>
          <w:p w:rsidR="00FB0292" w:rsidRPr="001A57E6" w:rsidRDefault="00FB0292" w:rsidP="004428BA">
            <w:pPr>
              <w:pStyle w:val="Tabletext"/>
              <w:rPr>
                <w:szCs w:val="18"/>
              </w:rPr>
            </w:pPr>
            <w:r w:rsidRPr="001A57E6">
              <w:rPr>
                <w:szCs w:val="18"/>
              </w:rPr>
              <w:t xml:space="preserve">J </w:t>
            </w:r>
            <w:proofErr w:type="spellStart"/>
            <w:r w:rsidRPr="001A57E6">
              <w:rPr>
                <w:szCs w:val="18"/>
              </w:rPr>
              <w:t>Phys</w:t>
            </w:r>
            <w:proofErr w:type="spellEnd"/>
            <w:r w:rsidRPr="001A57E6">
              <w:rPr>
                <w:szCs w:val="18"/>
              </w:rPr>
              <w:t xml:space="preserve"> </w:t>
            </w:r>
            <w:proofErr w:type="spellStart"/>
            <w:r w:rsidRPr="001A57E6">
              <w:rPr>
                <w:szCs w:val="18"/>
              </w:rPr>
              <w:t>Ther</w:t>
            </w:r>
            <w:proofErr w:type="spellEnd"/>
            <w:r w:rsidRPr="001A57E6">
              <w:rPr>
                <w:szCs w:val="18"/>
              </w:rPr>
              <w:t xml:space="preserve"> </w:t>
            </w:r>
            <w:proofErr w:type="spellStart"/>
            <w:r w:rsidRPr="001A57E6">
              <w:rPr>
                <w:szCs w:val="18"/>
              </w:rPr>
              <w:t>Sci</w:t>
            </w:r>
            <w:proofErr w:type="spellEnd"/>
            <w:r w:rsidRPr="001A57E6">
              <w:rPr>
                <w:szCs w:val="18"/>
              </w:rPr>
              <w:t xml:space="preserve"> 27(3): 759-762.</w:t>
            </w:r>
          </w:p>
        </w:tc>
      </w:tr>
      <w:tr w:rsidR="00FB0292" w:rsidRPr="001A57E6" w:rsidTr="00674725">
        <w:trPr>
          <w:cantSplit/>
        </w:trPr>
        <w:tc>
          <w:tcPr>
            <w:tcW w:w="5000" w:type="pct"/>
            <w:gridSpan w:val="3"/>
            <w:vAlign w:val="center"/>
          </w:tcPr>
          <w:p w:rsidR="00FB0292" w:rsidRPr="001A57E6" w:rsidRDefault="00FB0292" w:rsidP="004428BA">
            <w:pPr>
              <w:pStyle w:val="Tabletext"/>
              <w:rPr>
                <w:b/>
                <w:bCs/>
                <w:szCs w:val="18"/>
              </w:rPr>
            </w:pPr>
            <w:r w:rsidRPr="001A57E6">
              <w:rPr>
                <w:b/>
                <w:bCs/>
                <w:szCs w:val="18"/>
              </w:rPr>
              <w:t>Supplementary trials (other aetiologies)</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t>Fietzek</w:t>
            </w:r>
            <w:proofErr w:type="spellEnd"/>
            <w:r w:rsidRPr="001A57E6">
              <w:t xml:space="preserve"> 2014</w:t>
            </w:r>
          </w:p>
        </w:tc>
        <w:tc>
          <w:tcPr>
            <w:tcW w:w="3261" w:type="pct"/>
            <w:vAlign w:val="center"/>
          </w:tcPr>
          <w:p w:rsidR="00FB0292" w:rsidRPr="001A57E6" w:rsidRDefault="00FB0292" w:rsidP="004428BA">
            <w:pPr>
              <w:pStyle w:val="Tabletext"/>
              <w:rPr>
                <w:szCs w:val="18"/>
              </w:rPr>
            </w:pPr>
            <w:r w:rsidRPr="008C1EE4">
              <w:rPr>
                <w:szCs w:val="18"/>
                <w:lang w:val="de-DE"/>
              </w:rPr>
              <w:t xml:space="preserve">Fietzek UM, Kossmehl P, Schelosky L, et al. 2014. </w:t>
            </w:r>
            <w:r w:rsidRPr="001A57E6">
              <w:rPr>
                <w:szCs w:val="18"/>
              </w:rPr>
              <w:t xml:space="preserve">Early botulinum toxin treatment for spastic pes </w:t>
            </w:r>
            <w:proofErr w:type="spellStart"/>
            <w:r w:rsidRPr="001A57E6">
              <w:rPr>
                <w:szCs w:val="18"/>
              </w:rPr>
              <w:t>equinovarus</w:t>
            </w:r>
            <w:proofErr w:type="spellEnd"/>
            <w:r w:rsidRPr="001A57E6">
              <w:rPr>
                <w:szCs w:val="18"/>
              </w:rPr>
              <w:t xml:space="preserve"> - a randomized double-blind placebo-controlled study</w:t>
            </w:r>
          </w:p>
        </w:tc>
        <w:tc>
          <w:tcPr>
            <w:tcW w:w="1177" w:type="pct"/>
            <w:vAlign w:val="center"/>
          </w:tcPr>
          <w:p w:rsidR="00FB0292" w:rsidRPr="001A57E6" w:rsidRDefault="00FB0292" w:rsidP="004428BA">
            <w:pPr>
              <w:pStyle w:val="Tabletext"/>
              <w:rPr>
                <w:szCs w:val="18"/>
              </w:rPr>
            </w:pPr>
            <w:r w:rsidRPr="001A57E6">
              <w:rPr>
                <w:szCs w:val="18"/>
              </w:rPr>
              <w:t>European Journal of Neurology 21(8):1089-1095</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rPr>
                <w:szCs w:val="18"/>
              </w:rPr>
              <w:t>Grazko</w:t>
            </w:r>
            <w:proofErr w:type="spellEnd"/>
            <w:r w:rsidRPr="001A57E6">
              <w:rPr>
                <w:szCs w:val="18"/>
              </w:rPr>
              <w:t xml:space="preserve"> 1995</w:t>
            </w:r>
          </w:p>
        </w:tc>
        <w:tc>
          <w:tcPr>
            <w:tcW w:w="3261" w:type="pct"/>
            <w:vAlign w:val="center"/>
          </w:tcPr>
          <w:p w:rsidR="00FB0292" w:rsidRPr="001A57E6" w:rsidRDefault="00FB0292" w:rsidP="004428BA">
            <w:pPr>
              <w:pStyle w:val="Tabletext"/>
              <w:rPr>
                <w:szCs w:val="18"/>
              </w:rPr>
            </w:pPr>
            <w:r w:rsidRPr="008C1EE4">
              <w:rPr>
                <w:szCs w:val="18"/>
                <w:lang w:val="it-IT"/>
              </w:rPr>
              <w:t xml:space="preserve">Grazko MA, Polo KB, Jabbari B. 1995. </w:t>
            </w:r>
            <w:r w:rsidRPr="001A57E6">
              <w:rPr>
                <w:szCs w:val="18"/>
              </w:rPr>
              <w:t xml:space="preserve">Botulinum toxin A for spasticity, muscle spasms, and rigidity. Neurology 45(4):712-717. </w:t>
            </w:r>
          </w:p>
        </w:tc>
        <w:tc>
          <w:tcPr>
            <w:tcW w:w="1177" w:type="pct"/>
            <w:vAlign w:val="center"/>
          </w:tcPr>
          <w:p w:rsidR="00FB0292" w:rsidRPr="001A57E6" w:rsidRDefault="00FB0292" w:rsidP="004428BA">
            <w:pPr>
              <w:pStyle w:val="Tabletext"/>
              <w:rPr>
                <w:szCs w:val="18"/>
              </w:rPr>
            </w:pPr>
            <w:r w:rsidRPr="001A57E6">
              <w:rPr>
                <w:szCs w:val="18"/>
              </w:rPr>
              <w:t>Neurology 45(4):712-717.</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t>Lannin</w:t>
            </w:r>
            <w:proofErr w:type="spellEnd"/>
            <w:r w:rsidRPr="001A57E6">
              <w:t xml:space="preserve"> 2018</w:t>
            </w:r>
          </w:p>
        </w:tc>
        <w:tc>
          <w:tcPr>
            <w:tcW w:w="3261" w:type="pct"/>
            <w:vAlign w:val="center"/>
          </w:tcPr>
          <w:p w:rsidR="00FB0292" w:rsidRPr="001A57E6" w:rsidRDefault="00FB0292" w:rsidP="004428BA">
            <w:pPr>
              <w:pStyle w:val="Tabletext"/>
              <w:rPr>
                <w:szCs w:val="18"/>
              </w:rPr>
            </w:pPr>
            <w:proofErr w:type="spellStart"/>
            <w:r w:rsidRPr="008C1EE4">
              <w:rPr>
                <w:szCs w:val="18"/>
                <w:lang w:val="fr-FR"/>
              </w:rPr>
              <w:t>Lannin</w:t>
            </w:r>
            <w:proofErr w:type="spellEnd"/>
            <w:r w:rsidRPr="008C1EE4">
              <w:rPr>
                <w:szCs w:val="18"/>
                <w:lang w:val="fr-FR"/>
              </w:rPr>
              <w:t xml:space="preserve"> NA, ADA L, Levy T, et al. </w:t>
            </w:r>
            <w:r w:rsidRPr="001A57E6">
              <w:rPr>
                <w:szCs w:val="18"/>
              </w:rPr>
              <w:t xml:space="preserve">Intensive therapy after botulinum toxin in adults with spasticity after stroke versus botulinum toxin alone or therapy alone: a pilot, feasibility randomized trial. </w:t>
            </w:r>
          </w:p>
        </w:tc>
        <w:tc>
          <w:tcPr>
            <w:tcW w:w="1177" w:type="pct"/>
            <w:vAlign w:val="center"/>
          </w:tcPr>
          <w:p w:rsidR="00FB0292" w:rsidRPr="001A57E6" w:rsidRDefault="00FB0292" w:rsidP="004428BA">
            <w:pPr>
              <w:pStyle w:val="Tabletext"/>
              <w:rPr>
                <w:szCs w:val="18"/>
              </w:rPr>
            </w:pPr>
            <w:r w:rsidRPr="001A57E6">
              <w:rPr>
                <w:szCs w:val="18"/>
              </w:rPr>
              <w:t>Pilot and Feasibility Studies (2018) 4:82</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t>Maanum</w:t>
            </w:r>
            <w:proofErr w:type="spellEnd"/>
            <w:r w:rsidRPr="001A57E6">
              <w:t xml:space="preserve"> 2011</w:t>
            </w:r>
          </w:p>
        </w:tc>
        <w:tc>
          <w:tcPr>
            <w:tcW w:w="3261" w:type="pct"/>
            <w:vAlign w:val="center"/>
          </w:tcPr>
          <w:p w:rsidR="00FB0292" w:rsidRPr="001A57E6" w:rsidRDefault="00FB0292" w:rsidP="004428BA">
            <w:pPr>
              <w:pStyle w:val="Tabletext"/>
              <w:rPr>
                <w:szCs w:val="18"/>
              </w:rPr>
            </w:pPr>
            <w:r w:rsidRPr="008C1EE4">
              <w:rPr>
                <w:szCs w:val="18"/>
                <w:lang w:val="de-DE"/>
              </w:rPr>
              <w:t xml:space="preserve">Maanum G, Jahnsen R, Stanghelle JK, et al. 2011a. </w:t>
            </w:r>
            <w:r w:rsidRPr="001A57E6">
              <w:rPr>
                <w:szCs w:val="18"/>
              </w:rPr>
              <w:t>Effects of botulinum toxin A in ambulant adults with spastic cerebral palsy: a randomized double-blind placebo controlled-trial.</w:t>
            </w:r>
            <w:r w:rsidR="004A5FEC">
              <w:rPr>
                <w:szCs w:val="18"/>
              </w:rPr>
              <w:t xml:space="preserve"> </w:t>
            </w:r>
          </w:p>
        </w:tc>
        <w:tc>
          <w:tcPr>
            <w:tcW w:w="1177" w:type="pct"/>
            <w:vAlign w:val="center"/>
          </w:tcPr>
          <w:p w:rsidR="00FB0292" w:rsidRPr="001A57E6" w:rsidRDefault="00FB0292" w:rsidP="004428BA">
            <w:pPr>
              <w:pStyle w:val="Tabletext"/>
              <w:rPr>
                <w:szCs w:val="18"/>
              </w:rPr>
            </w:pPr>
            <w:r w:rsidRPr="001A57E6">
              <w:rPr>
                <w:szCs w:val="18"/>
              </w:rPr>
              <w:t>Journal of rehabilitation medicine 43(4):338-347.</w:t>
            </w:r>
          </w:p>
        </w:tc>
      </w:tr>
      <w:tr w:rsidR="00FB0292" w:rsidRPr="001A57E6" w:rsidTr="00674725">
        <w:trPr>
          <w:cantSplit/>
        </w:trPr>
        <w:tc>
          <w:tcPr>
            <w:tcW w:w="562" w:type="pct"/>
            <w:vAlign w:val="center"/>
          </w:tcPr>
          <w:p w:rsidR="00FB0292" w:rsidRPr="001A57E6" w:rsidRDefault="00FB0292" w:rsidP="004428BA">
            <w:pPr>
              <w:pStyle w:val="Tabletext"/>
            </w:pPr>
            <w:r w:rsidRPr="001A57E6">
              <w:t>Richardson 2000</w:t>
            </w:r>
          </w:p>
        </w:tc>
        <w:tc>
          <w:tcPr>
            <w:tcW w:w="3261" w:type="pct"/>
            <w:vAlign w:val="center"/>
          </w:tcPr>
          <w:p w:rsidR="00FB0292" w:rsidRPr="001A57E6" w:rsidRDefault="00FB0292" w:rsidP="004428BA">
            <w:pPr>
              <w:pStyle w:val="Tabletext"/>
              <w:rPr>
                <w:szCs w:val="18"/>
              </w:rPr>
            </w:pPr>
            <w:r w:rsidRPr="001A57E6">
              <w:rPr>
                <w:szCs w:val="18"/>
              </w:rPr>
              <w:t xml:space="preserve">Richardson D, </w:t>
            </w:r>
            <w:proofErr w:type="spellStart"/>
            <w:r w:rsidRPr="001A57E6">
              <w:rPr>
                <w:szCs w:val="18"/>
              </w:rPr>
              <w:t>Sheean</w:t>
            </w:r>
            <w:proofErr w:type="spellEnd"/>
            <w:r w:rsidRPr="001A57E6">
              <w:rPr>
                <w:szCs w:val="18"/>
              </w:rPr>
              <w:t xml:space="preserve"> G, </w:t>
            </w:r>
            <w:proofErr w:type="spellStart"/>
            <w:r w:rsidRPr="001A57E6">
              <w:rPr>
                <w:szCs w:val="18"/>
              </w:rPr>
              <w:t>Werring</w:t>
            </w:r>
            <w:proofErr w:type="spellEnd"/>
            <w:r w:rsidRPr="001A57E6">
              <w:rPr>
                <w:szCs w:val="18"/>
              </w:rPr>
              <w:t xml:space="preserve"> D, et al. 2000. Evaluating the role of botulinum toxin in the management of focal hypertonia in adults. </w:t>
            </w:r>
          </w:p>
        </w:tc>
        <w:tc>
          <w:tcPr>
            <w:tcW w:w="1177" w:type="pct"/>
            <w:vAlign w:val="center"/>
          </w:tcPr>
          <w:p w:rsidR="00FB0292" w:rsidRPr="001A57E6" w:rsidRDefault="00FB0292" w:rsidP="004428BA">
            <w:pPr>
              <w:pStyle w:val="Tabletext"/>
              <w:rPr>
                <w:szCs w:val="18"/>
              </w:rPr>
            </w:pPr>
            <w:r w:rsidRPr="001A57E6">
              <w:rPr>
                <w:szCs w:val="18"/>
              </w:rPr>
              <w:t>Journal of Neurology, Neurosurgery, and Psychiatry 69(4):499-506.</w:t>
            </w:r>
          </w:p>
        </w:tc>
      </w:tr>
      <w:tr w:rsidR="00FB0292" w:rsidRPr="001A57E6" w:rsidTr="00674725">
        <w:trPr>
          <w:cantSplit/>
        </w:trPr>
        <w:tc>
          <w:tcPr>
            <w:tcW w:w="562" w:type="pct"/>
            <w:vAlign w:val="center"/>
          </w:tcPr>
          <w:p w:rsidR="00FB0292" w:rsidRPr="001A57E6" w:rsidRDefault="00FB0292" w:rsidP="004428BA">
            <w:pPr>
              <w:pStyle w:val="Tabletext"/>
            </w:pPr>
            <w:r w:rsidRPr="001A57E6">
              <w:t>Snow 1990</w:t>
            </w:r>
          </w:p>
        </w:tc>
        <w:tc>
          <w:tcPr>
            <w:tcW w:w="3261" w:type="pct"/>
            <w:vAlign w:val="center"/>
          </w:tcPr>
          <w:p w:rsidR="00FB0292" w:rsidRPr="001A57E6" w:rsidRDefault="00FB0292" w:rsidP="004428BA">
            <w:pPr>
              <w:pStyle w:val="Tabletext"/>
              <w:rPr>
                <w:szCs w:val="18"/>
              </w:rPr>
            </w:pPr>
            <w:r w:rsidRPr="001A57E6">
              <w:rPr>
                <w:szCs w:val="18"/>
              </w:rPr>
              <w:t xml:space="preserve">Snow BJ, </w:t>
            </w:r>
            <w:proofErr w:type="spellStart"/>
            <w:r w:rsidRPr="001A57E6">
              <w:rPr>
                <w:szCs w:val="18"/>
              </w:rPr>
              <w:t>Tsui</w:t>
            </w:r>
            <w:proofErr w:type="spellEnd"/>
            <w:r w:rsidRPr="001A57E6">
              <w:rPr>
                <w:szCs w:val="18"/>
              </w:rPr>
              <w:t xml:space="preserve"> JKC, Bhatt MH, et al. 1990. Treatment of spasticity with botulinum toxin: A double-blind study. </w:t>
            </w:r>
          </w:p>
        </w:tc>
        <w:tc>
          <w:tcPr>
            <w:tcW w:w="1177" w:type="pct"/>
            <w:vAlign w:val="center"/>
          </w:tcPr>
          <w:p w:rsidR="00FB0292" w:rsidRPr="001A57E6" w:rsidRDefault="00FB0292" w:rsidP="004428BA">
            <w:pPr>
              <w:pStyle w:val="Tabletext"/>
              <w:rPr>
                <w:szCs w:val="18"/>
              </w:rPr>
            </w:pPr>
            <w:r w:rsidRPr="001A57E6">
              <w:rPr>
                <w:szCs w:val="18"/>
              </w:rPr>
              <w:t>Annals of Neurology 28(4):512-515</w:t>
            </w:r>
          </w:p>
        </w:tc>
      </w:tr>
      <w:tr w:rsidR="00FB0292" w:rsidRPr="001A57E6" w:rsidTr="00674725">
        <w:trPr>
          <w:cantSplit/>
        </w:trPr>
        <w:tc>
          <w:tcPr>
            <w:tcW w:w="562" w:type="pct"/>
            <w:vAlign w:val="center"/>
          </w:tcPr>
          <w:p w:rsidR="00FB0292" w:rsidRPr="001A57E6" w:rsidRDefault="00FB0292" w:rsidP="004428BA">
            <w:pPr>
              <w:pStyle w:val="Tabletext"/>
            </w:pPr>
            <w:proofErr w:type="spellStart"/>
            <w:r w:rsidRPr="001A57E6">
              <w:rPr>
                <w:szCs w:val="18"/>
              </w:rPr>
              <w:t>Verplancke</w:t>
            </w:r>
            <w:proofErr w:type="spellEnd"/>
            <w:r w:rsidRPr="001A57E6">
              <w:rPr>
                <w:szCs w:val="18"/>
              </w:rPr>
              <w:t xml:space="preserve"> 2005</w:t>
            </w:r>
          </w:p>
        </w:tc>
        <w:tc>
          <w:tcPr>
            <w:tcW w:w="3261" w:type="pct"/>
            <w:vAlign w:val="center"/>
          </w:tcPr>
          <w:p w:rsidR="00FB0292" w:rsidRPr="001A57E6" w:rsidRDefault="00FB0292" w:rsidP="004428BA">
            <w:pPr>
              <w:pStyle w:val="Tabletext"/>
              <w:rPr>
                <w:szCs w:val="18"/>
              </w:rPr>
            </w:pPr>
            <w:proofErr w:type="spellStart"/>
            <w:r w:rsidRPr="001A57E6">
              <w:rPr>
                <w:szCs w:val="18"/>
              </w:rPr>
              <w:t>Verplancke</w:t>
            </w:r>
            <w:proofErr w:type="spellEnd"/>
            <w:r w:rsidRPr="001A57E6">
              <w:rPr>
                <w:szCs w:val="18"/>
              </w:rPr>
              <w:t xml:space="preserve"> D, Snape S, Salisbury CF, Jones PW and Ward AB. 2005. A randomized controlled trial of botulinum toxin on lower limb spasticity following acute acquired severe brain injury. </w:t>
            </w:r>
          </w:p>
        </w:tc>
        <w:tc>
          <w:tcPr>
            <w:tcW w:w="1177" w:type="pct"/>
            <w:vAlign w:val="center"/>
          </w:tcPr>
          <w:p w:rsidR="00FB0292" w:rsidRPr="001A57E6" w:rsidRDefault="00FB0292" w:rsidP="004428BA">
            <w:pPr>
              <w:pStyle w:val="Tabletext"/>
              <w:rPr>
                <w:szCs w:val="18"/>
              </w:rPr>
            </w:pPr>
            <w:r w:rsidRPr="001A57E6">
              <w:rPr>
                <w:szCs w:val="18"/>
              </w:rPr>
              <w:t>Clinical Rehabilitation 19:117-25.</w:t>
            </w:r>
          </w:p>
        </w:tc>
      </w:tr>
    </w:tbl>
    <w:p w:rsidR="00FB0292" w:rsidRPr="001A57E6" w:rsidRDefault="00FB0292" w:rsidP="004428BA">
      <w:pPr>
        <w:pStyle w:val="TableFooter"/>
        <w:widowControl/>
      </w:pPr>
      <w:r w:rsidRPr="001A57E6">
        <w:t xml:space="preserve">Source: Table 8 – Primary </w:t>
      </w:r>
      <w:r w:rsidR="00EE500E">
        <w:t>BOTOX®</w:t>
      </w:r>
      <w:r w:rsidRPr="001A57E6">
        <w:t xml:space="preserve"> RCT Search, Literature Search Report, Appendix 7 of the resubmission</w:t>
      </w:r>
    </w:p>
    <w:p w:rsidR="00FB0292" w:rsidRPr="00BB76A8" w:rsidRDefault="00FB0292" w:rsidP="00BB76A8">
      <w:pPr>
        <w:pStyle w:val="TableFooter"/>
      </w:pPr>
    </w:p>
    <w:p w:rsidR="00FB0292" w:rsidRPr="001A57E6" w:rsidRDefault="00FB0292" w:rsidP="00BB76A8">
      <w:pPr>
        <w:pStyle w:val="ListParagraph"/>
      </w:pPr>
      <w:r w:rsidRPr="001A57E6">
        <w:t>The resubmission’s clinical claims for efficacy and safety were based on the primary evidence and were supported by the secondary evidence.</w:t>
      </w:r>
      <w:r w:rsidR="004A5FEC">
        <w:t xml:space="preserve"> </w:t>
      </w:r>
      <w:r w:rsidRPr="001A57E6">
        <w:t xml:space="preserve">A claim of superior efficacy versus placebo was based on the outcomes: </w:t>
      </w:r>
      <w:proofErr w:type="spellStart"/>
      <w:r w:rsidRPr="001A57E6">
        <w:t>i</w:t>
      </w:r>
      <w:proofErr w:type="spellEnd"/>
      <w:r w:rsidRPr="001A57E6">
        <w:t>) mean change in MAS</w:t>
      </w:r>
      <w:r w:rsidR="005960D6">
        <w:t>;</w:t>
      </w:r>
      <w:r w:rsidRPr="001A57E6">
        <w:t xml:space="preserve"> and ii) proportion of patients with a one-point improvement in MAS (responders)</w:t>
      </w:r>
      <w:r w:rsidR="005960D6">
        <w:t>;</w:t>
      </w:r>
      <w:r w:rsidRPr="001A57E6">
        <w:t xml:space="preserve"> and supported by iii) </w:t>
      </w:r>
      <w:r w:rsidRPr="001A57E6">
        <w:lastRenderedPageBreak/>
        <w:t>improvements in clinician-rated global assessments.</w:t>
      </w:r>
      <w:r w:rsidR="004A5FEC">
        <w:t xml:space="preserve"> </w:t>
      </w:r>
      <w:r w:rsidRPr="001A57E6">
        <w:t xml:space="preserve">A claim of non-inferior safety was based on a comparison of adverse event categories and individual </w:t>
      </w:r>
      <w:r w:rsidR="00646991">
        <w:t>adverse events</w:t>
      </w:r>
      <w:r w:rsidRPr="001A57E6">
        <w:t xml:space="preserve"> in the trials. The modelled economic evaluation was based on individual patient data from REFLEX.</w:t>
      </w:r>
    </w:p>
    <w:p w:rsidR="00FB0292" w:rsidRPr="001A57E6" w:rsidRDefault="00FB0292" w:rsidP="00BB76A8">
      <w:pPr>
        <w:pStyle w:val="ListParagraph"/>
      </w:pPr>
      <w:r w:rsidRPr="001A57E6">
        <w:t xml:space="preserve">One secondary trial identified by the resubmission, </w:t>
      </w:r>
      <w:proofErr w:type="spellStart"/>
      <w:r w:rsidRPr="001A57E6">
        <w:t>Picelli</w:t>
      </w:r>
      <w:proofErr w:type="spellEnd"/>
      <w:r w:rsidRPr="001A57E6">
        <w:t xml:space="preserve"> 2014, compared </w:t>
      </w:r>
      <w:r w:rsidR="00EE500E">
        <w:t>BOTOX®</w:t>
      </w:r>
      <w:r w:rsidRPr="001A57E6">
        <w:t xml:space="preserve"> to transcutaneous electrical nerve stimulation (TENS) and therapeutic ultrasound (US), unlike other included trials that compared </w:t>
      </w:r>
      <w:r w:rsidR="00EE500E">
        <w:t>BOTOX®</w:t>
      </w:r>
      <w:r w:rsidRPr="001A57E6">
        <w:t xml:space="preserve"> to placebo injections.</w:t>
      </w:r>
      <w:r w:rsidR="004A5FEC">
        <w:t xml:space="preserve"> </w:t>
      </w:r>
      <w:r w:rsidR="002D4861">
        <w:t xml:space="preserve">As </w:t>
      </w:r>
      <w:r w:rsidRPr="001A57E6">
        <w:t xml:space="preserve">TENS </w:t>
      </w:r>
      <w:r w:rsidR="00A947AD">
        <w:t>and</w:t>
      </w:r>
      <w:r w:rsidRPr="001A57E6">
        <w:t xml:space="preserve"> </w:t>
      </w:r>
      <w:proofErr w:type="gramStart"/>
      <w:r w:rsidRPr="001A57E6">
        <w:t>US</w:t>
      </w:r>
      <w:proofErr w:type="gramEnd"/>
      <w:r w:rsidRPr="001A57E6">
        <w:t xml:space="preserve"> are not routinely used in Australia to manage </w:t>
      </w:r>
      <w:r w:rsidR="00646991">
        <w:t>lower limb focal spasticity,</w:t>
      </w:r>
      <w:r w:rsidRPr="001A57E6">
        <w:t xml:space="preserve"> results of </w:t>
      </w:r>
      <w:proofErr w:type="spellStart"/>
      <w:r w:rsidRPr="001A57E6">
        <w:t>Picelli</w:t>
      </w:r>
      <w:proofErr w:type="spellEnd"/>
      <w:r w:rsidRPr="001A57E6">
        <w:t xml:space="preserve"> 2014 </w:t>
      </w:r>
      <w:r w:rsidR="00942C53">
        <w:t>were not considered in the evaluation.</w:t>
      </w:r>
    </w:p>
    <w:p w:rsidR="00942C53" w:rsidRDefault="002D4861" w:rsidP="00BB76A8">
      <w:pPr>
        <w:pStyle w:val="ListParagraph"/>
      </w:pPr>
      <w:r>
        <w:t>A</w:t>
      </w:r>
      <w:r w:rsidR="00FB0292" w:rsidRPr="001A57E6">
        <w:t xml:space="preserve"> proportion of patients in the secondary trials match</w:t>
      </w:r>
      <w:r>
        <w:t>ed</w:t>
      </w:r>
      <w:r w:rsidR="00FB0292" w:rsidRPr="001A57E6">
        <w:t xml:space="preserve"> the proposed PBS criteria</w:t>
      </w:r>
      <w:r>
        <w:t xml:space="preserve"> (</w:t>
      </w:r>
      <w:r w:rsidRPr="001A57E6">
        <w:t>baseline MAS ≥3</w:t>
      </w:r>
      <w:r>
        <w:t>)</w:t>
      </w:r>
      <w:r w:rsidR="00FB0292" w:rsidRPr="001A57E6">
        <w:t xml:space="preserve">, </w:t>
      </w:r>
      <w:r>
        <w:t xml:space="preserve">and </w:t>
      </w:r>
      <w:r w:rsidR="00FB0292" w:rsidRPr="001A57E6">
        <w:t xml:space="preserve">their results </w:t>
      </w:r>
      <w:r w:rsidR="00942C53">
        <w:t xml:space="preserve">are referenced alongside the primary trials. </w:t>
      </w:r>
    </w:p>
    <w:p w:rsidR="00FB0292" w:rsidRPr="001A57E6" w:rsidRDefault="00942C53" w:rsidP="00BB76A8">
      <w:pPr>
        <w:pStyle w:val="ListParagraph"/>
      </w:pPr>
      <w:r>
        <w:t xml:space="preserve">The submission contained </w:t>
      </w:r>
      <w:r w:rsidR="005F2E62">
        <w:t>supplementary</w:t>
      </w:r>
      <w:r>
        <w:t xml:space="preserve"> evidence for </w:t>
      </w:r>
      <w:r w:rsidR="00646991">
        <w:t>patients with lower limb spasticity</w:t>
      </w:r>
      <w:r w:rsidR="00FB0292" w:rsidRPr="001A57E6">
        <w:t xml:space="preserve"> due to aetiologies </w:t>
      </w:r>
      <w:r w:rsidR="002D06D8">
        <w:t xml:space="preserve">other </w:t>
      </w:r>
      <w:r w:rsidR="00FB0292" w:rsidRPr="001A57E6">
        <w:t>than stroke</w:t>
      </w:r>
      <w:r w:rsidR="002D4861">
        <w:t>;</w:t>
      </w:r>
      <w:r>
        <w:t xml:space="preserve"> however</w:t>
      </w:r>
      <w:r w:rsidR="002D4861">
        <w:t>,</w:t>
      </w:r>
      <w:r>
        <w:t xml:space="preserve"> this was broader than the requested restriction. </w:t>
      </w:r>
      <w:r w:rsidR="00D51370">
        <w:t xml:space="preserve">The evidence </w:t>
      </w:r>
      <w:r w:rsidR="00D51370" w:rsidRPr="001A57E6">
        <w:t xml:space="preserve">indicated that </w:t>
      </w:r>
      <w:r w:rsidR="00EE500E">
        <w:t>BOTOX®</w:t>
      </w:r>
      <w:r w:rsidR="00D51370" w:rsidRPr="001A57E6">
        <w:t xml:space="preserve"> treatment reduce</w:t>
      </w:r>
      <w:r w:rsidR="00D51370">
        <w:t>d</w:t>
      </w:r>
      <w:r w:rsidR="00D51370" w:rsidRPr="001A57E6">
        <w:t xml:space="preserve"> the severity of spasticity, patient-rated muscle-stiffness/spasticity during walking, painful muscle spasms and improve</w:t>
      </w:r>
      <w:r w:rsidR="00D51370">
        <w:t>d</w:t>
      </w:r>
      <w:r w:rsidR="00D51370" w:rsidRPr="001A57E6">
        <w:t xml:space="preserve"> hygiene.</w:t>
      </w:r>
      <w:r w:rsidR="004A5FEC">
        <w:t xml:space="preserve"> </w:t>
      </w:r>
      <w:r w:rsidR="00D51370">
        <w:t xml:space="preserve">However, the studies were low quality, were very heterogeneous, </w:t>
      </w:r>
      <w:proofErr w:type="gramStart"/>
      <w:r w:rsidR="00D51370">
        <w:t>suffered</w:t>
      </w:r>
      <w:proofErr w:type="gramEnd"/>
      <w:r w:rsidR="00D51370">
        <w:t xml:space="preserve"> from methodological issues including small sample sizes, and often failed to report a difference between </w:t>
      </w:r>
      <w:r w:rsidR="00EE500E">
        <w:t>BOTOX®</w:t>
      </w:r>
      <w:r w:rsidR="00D51370">
        <w:t xml:space="preserve"> and standard treatment</w:t>
      </w:r>
      <w:r w:rsidR="00D51370">
        <w:rPr>
          <w:i/>
        </w:rPr>
        <w:t xml:space="preserve">. </w:t>
      </w:r>
      <w:r w:rsidR="00D51370" w:rsidRPr="00D51370">
        <w:t xml:space="preserve">Overall, it was unclear if </w:t>
      </w:r>
      <w:r w:rsidR="00EE500E">
        <w:t>BOTOX®</w:t>
      </w:r>
      <w:r w:rsidR="00D51370" w:rsidRPr="00D51370">
        <w:t xml:space="preserve"> led to significant improvements compared to placebo in aetiologies other than stroke</w:t>
      </w:r>
      <w:r w:rsidR="005F2E62" w:rsidRPr="00D51370">
        <w:t>.</w:t>
      </w:r>
      <w:r w:rsidR="00D51370">
        <w:t xml:space="preserve"> </w:t>
      </w:r>
    </w:p>
    <w:p w:rsidR="00FB0292" w:rsidRPr="001A57E6" w:rsidRDefault="00FB0292" w:rsidP="00BB76A8">
      <w:pPr>
        <w:pStyle w:val="ListParagraph"/>
      </w:pPr>
      <w:r w:rsidRPr="001A57E6">
        <w:t xml:space="preserve">Acknowledging </w:t>
      </w:r>
      <w:proofErr w:type="spellStart"/>
      <w:r w:rsidRPr="001A57E6">
        <w:t>D</w:t>
      </w:r>
      <w:r w:rsidR="001E594E">
        <w:t>ysport</w:t>
      </w:r>
      <w:proofErr w:type="spellEnd"/>
      <w:r w:rsidR="001E594E">
        <w:t>®</w:t>
      </w:r>
      <w:r w:rsidRPr="001A57E6">
        <w:t xml:space="preserve"> as a near market comparator, the resubmission also presented evidence for </w:t>
      </w:r>
      <w:proofErr w:type="spellStart"/>
      <w:r w:rsidRPr="001A57E6">
        <w:t>D</w:t>
      </w:r>
      <w:r w:rsidR="001E594E">
        <w:t>ysport</w:t>
      </w:r>
      <w:proofErr w:type="spellEnd"/>
      <w:r w:rsidR="001E594E">
        <w:t>®</w:t>
      </w:r>
      <w:r w:rsidRPr="001A57E6">
        <w:t xml:space="preserve"> </w:t>
      </w:r>
      <w:r w:rsidR="009962A5">
        <w:t xml:space="preserve">from </w:t>
      </w:r>
      <w:r w:rsidR="00646991">
        <w:t>five</w:t>
      </w:r>
      <w:r w:rsidRPr="001A57E6">
        <w:t xml:space="preserve"> trials identified from the literature.</w:t>
      </w:r>
      <w:r w:rsidR="004A5FEC">
        <w:t xml:space="preserve"> </w:t>
      </w:r>
      <w:r w:rsidRPr="001A57E6">
        <w:t xml:space="preserve">A side by side comparison of data from the main trials for </w:t>
      </w:r>
      <w:r w:rsidR="00EE500E">
        <w:t>BOTOX®</w:t>
      </w:r>
      <w:r w:rsidRPr="001A57E6">
        <w:t xml:space="preserve"> (REFLEX, Trials 512) and </w:t>
      </w:r>
      <w:proofErr w:type="spellStart"/>
      <w:r w:rsidRPr="001A57E6">
        <w:t>Gracies</w:t>
      </w:r>
      <w:proofErr w:type="spellEnd"/>
      <w:r w:rsidRPr="001A57E6">
        <w:t xml:space="preserve"> 2017 for </w:t>
      </w:r>
      <w:proofErr w:type="spellStart"/>
      <w:r w:rsidRPr="001A57E6">
        <w:t>D</w:t>
      </w:r>
      <w:r w:rsidR="001E594E">
        <w:t>ysport</w:t>
      </w:r>
      <w:proofErr w:type="spellEnd"/>
      <w:r w:rsidR="001E594E">
        <w:t>®</w:t>
      </w:r>
      <w:r w:rsidRPr="001A57E6">
        <w:t xml:space="preserve"> </w:t>
      </w:r>
      <w:r w:rsidR="002D023F">
        <w:t>was</w:t>
      </w:r>
      <w:r w:rsidR="002D023F" w:rsidRPr="001A57E6">
        <w:t xml:space="preserve"> </w:t>
      </w:r>
      <w:r w:rsidRPr="001A57E6">
        <w:t>presented</w:t>
      </w:r>
      <w:r w:rsidR="002D023F">
        <w:t xml:space="preserve">. </w:t>
      </w:r>
      <w:r w:rsidR="007B3813">
        <w:t>Although MAS results appeared similar, t</w:t>
      </w:r>
      <w:r w:rsidR="002D023F">
        <w:t xml:space="preserve">he resubmission did not provide formal statistical comparisons of </w:t>
      </w:r>
      <w:r w:rsidR="00EE500E">
        <w:t>BOTOX®</w:t>
      </w:r>
      <w:r w:rsidR="002D023F">
        <w:t xml:space="preserve"> and </w:t>
      </w:r>
      <w:proofErr w:type="spellStart"/>
      <w:r w:rsidR="001E594E">
        <w:t>Dysport</w:t>
      </w:r>
      <w:proofErr w:type="spellEnd"/>
      <w:r w:rsidR="001E594E">
        <w:t>®.</w:t>
      </w:r>
    </w:p>
    <w:p w:rsidR="00EE392A" w:rsidRPr="001A57E6" w:rsidRDefault="00EE392A" w:rsidP="00BB76A8">
      <w:pPr>
        <w:pStyle w:val="ListParagraph"/>
      </w:pPr>
      <w:r w:rsidRPr="003D4516">
        <w:t xml:space="preserve">The key features of the </w:t>
      </w:r>
      <w:r w:rsidR="00FB0292" w:rsidRPr="003D4516">
        <w:t xml:space="preserve">included primary and secondary </w:t>
      </w:r>
      <w:r w:rsidR="00837577" w:rsidRPr="003D4516">
        <w:t xml:space="preserve">trials </w:t>
      </w:r>
      <w:r w:rsidRPr="003D4516">
        <w:t>are</w:t>
      </w:r>
      <w:r w:rsidRPr="001A57E6">
        <w:t xml:space="preserve"> </w:t>
      </w:r>
      <w:r w:rsidR="000158E7">
        <w:t>summarised in T</w:t>
      </w:r>
      <w:r w:rsidR="00FB0292" w:rsidRPr="001A57E6">
        <w:t xml:space="preserve">able </w:t>
      </w:r>
      <w:r w:rsidR="000158E7">
        <w:t>4.</w:t>
      </w:r>
    </w:p>
    <w:p w:rsidR="00FB0292" w:rsidRPr="00FC432A" w:rsidRDefault="000158E7" w:rsidP="004428BA">
      <w:pPr>
        <w:pStyle w:val="TableHeading"/>
        <w:spacing w:before="0" w:after="0"/>
        <w:jc w:val="both"/>
        <w:rPr>
          <w:szCs w:val="20"/>
        </w:rPr>
      </w:pPr>
      <w:r w:rsidRPr="00FC432A">
        <w:rPr>
          <w:szCs w:val="20"/>
        </w:rPr>
        <w:t>Table 4</w:t>
      </w:r>
      <w:r w:rsidR="00FB0292" w:rsidRPr="00FC432A">
        <w:rPr>
          <w:szCs w:val="20"/>
        </w:rPr>
        <w:t>: Key study characteristics of the included primary and secondary trials</w:t>
      </w:r>
      <w:r w:rsidR="000836B6" w:rsidRPr="00FC432A">
        <w:rPr>
          <w:szCs w:val="20"/>
        </w:rPr>
        <w:t xml:space="preserve"> (excluding </w:t>
      </w:r>
      <w:proofErr w:type="spellStart"/>
      <w:r w:rsidR="000836B6" w:rsidRPr="00FC432A">
        <w:rPr>
          <w:szCs w:val="20"/>
        </w:rPr>
        <w:t>Picelli</w:t>
      </w:r>
      <w:proofErr w:type="spellEnd"/>
      <w:r w:rsidR="000836B6" w:rsidRPr="00FC432A">
        <w:rPr>
          <w:szCs w:val="20"/>
        </w:rPr>
        <w:t xml:space="preserve"> 2014)</w:t>
      </w:r>
    </w:p>
    <w:tbl>
      <w:tblPr>
        <w:tblStyle w:val="TableGrid"/>
        <w:tblW w:w="5000" w:type="pct"/>
        <w:tblCellMar>
          <w:left w:w="28" w:type="dxa"/>
          <w:right w:w="28" w:type="dxa"/>
        </w:tblCellMar>
        <w:tblLook w:val="04A0" w:firstRow="1" w:lastRow="0" w:firstColumn="1" w:lastColumn="0" w:noHBand="0" w:noVBand="1"/>
        <w:tblCaption w:val="Key study characteristics of the included primary and secondary trials"/>
      </w:tblPr>
      <w:tblGrid>
        <w:gridCol w:w="1050"/>
        <w:gridCol w:w="330"/>
        <w:gridCol w:w="977"/>
        <w:gridCol w:w="1305"/>
        <w:gridCol w:w="1456"/>
        <w:gridCol w:w="1654"/>
        <w:gridCol w:w="1540"/>
        <w:gridCol w:w="705"/>
      </w:tblGrid>
      <w:tr w:rsidR="00FB0292" w:rsidRPr="001A57E6" w:rsidTr="001649E7">
        <w:trPr>
          <w:trHeight w:val="236"/>
          <w:tblHeader/>
        </w:trPr>
        <w:tc>
          <w:tcPr>
            <w:tcW w:w="465" w:type="pct"/>
          </w:tcPr>
          <w:p w:rsidR="00FB0292" w:rsidRPr="001649E7" w:rsidRDefault="00FB0292" w:rsidP="004428BA">
            <w:pPr>
              <w:pStyle w:val="Tabletext"/>
              <w:keepNext/>
              <w:jc w:val="both"/>
              <w:rPr>
                <w:b/>
                <w:bCs/>
                <w:szCs w:val="20"/>
              </w:rPr>
            </w:pPr>
            <w:r w:rsidRPr="001649E7">
              <w:rPr>
                <w:b/>
                <w:bCs/>
                <w:szCs w:val="20"/>
              </w:rPr>
              <w:t>Trial/country of conduct</w:t>
            </w:r>
          </w:p>
        </w:tc>
        <w:tc>
          <w:tcPr>
            <w:tcW w:w="150" w:type="pct"/>
          </w:tcPr>
          <w:p w:rsidR="00FB0292" w:rsidRPr="001649E7" w:rsidRDefault="00FB0292" w:rsidP="004428BA">
            <w:pPr>
              <w:pStyle w:val="Tabletext"/>
              <w:keepNext/>
              <w:jc w:val="both"/>
              <w:rPr>
                <w:b/>
                <w:bCs/>
                <w:szCs w:val="20"/>
              </w:rPr>
            </w:pPr>
            <w:r w:rsidRPr="001649E7">
              <w:rPr>
                <w:b/>
                <w:bCs/>
                <w:szCs w:val="20"/>
              </w:rPr>
              <w:t>N</w:t>
            </w:r>
          </w:p>
        </w:tc>
        <w:tc>
          <w:tcPr>
            <w:tcW w:w="526" w:type="pct"/>
          </w:tcPr>
          <w:p w:rsidR="00FB0292" w:rsidRPr="001649E7" w:rsidRDefault="00FB0292" w:rsidP="004428BA">
            <w:pPr>
              <w:pStyle w:val="Tabletext"/>
              <w:keepNext/>
              <w:rPr>
                <w:b/>
                <w:bCs/>
                <w:szCs w:val="20"/>
              </w:rPr>
            </w:pPr>
            <w:r w:rsidRPr="001649E7">
              <w:rPr>
                <w:b/>
                <w:bCs/>
                <w:szCs w:val="20"/>
              </w:rPr>
              <w:t>Patient population</w:t>
            </w:r>
          </w:p>
        </w:tc>
        <w:tc>
          <w:tcPr>
            <w:tcW w:w="585" w:type="pct"/>
          </w:tcPr>
          <w:p w:rsidR="00FB0292" w:rsidRPr="001649E7" w:rsidRDefault="00FB0292" w:rsidP="004428BA">
            <w:pPr>
              <w:pStyle w:val="Tabletext"/>
              <w:keepNext/>
              <w:jc w:val="both"/>
              <w:rPr>
                <w:b/>
                <w:bCs/>
                <w:szCs w:val="20"/>
              </w:rPr>
            </w:pPr>
            <w:r w:rsidRPr="001649E7">
              <w:rPr>
                <w:b/>
                <w:bCs/>
                <w:szCs w:val="20"/>
              </w:rPr>
              <w:t>Design/duration</w:t>
            </w:r>
          </w:p>
        </w:tc>
        <w:tc>
          <w:tcPr>
            <w:tcW w:w="884" w:type="pct"/>
          </w:tcPr>
          <w:p w:rsidR="00FB0292" w:rsidRPr="001649E7" w:rsidRDefault="00FB0292" w:rsidP="004428BA">
            <w:pPr>
              <w:pStyle w:val="Tabletext"/>
              <w:keepNext/>
              <w:jc w:val="both"/>
              <w:rPr>
                <w:b/>
                <w:bCs/>
                <w:szCs w:val="20"/>
              </w:rPr>
            </w:pPr>
            <w:r w:rsidRPr="001649E7">
              <w:rPr>
                <w:b/>
                <w:bCs/>
                <w:szCs w:val="20"/>
              </w:rPr>
              <w:t>Muscles injected</w:t>
            </w:r>
          </w:p>
        </w:tc>
        <w:tc>
          <w:tcPr>
            <w:tcW w:w="993" w:type="pct"/>
          </w:tcPr>
          <w:p w:rsidR="00FB0292" w:rsidRPr="001649E7" w:rsidRDefault="00FB0292" w:rsidP="004428BA">
            <w:pPr>
              <w:pStyle w:val="Tabletext"/>
              <w:keepNext/>
              <w:rPr>
                <w:b/>
                <w:bCs/>
                <w:szCs w:val="20"/>
              </w:rPr>
            </w:pPr>
            <w:r w:rsidRPr="001649E7">
              <w:rPr>
                <w:b/>
                <w:bCs/>
                <w:szCs w:val="20"/>
              </w:rPr>
              <w:t>Concomitant physical therapy</w:t>
            </w:r>
          </w:p>
        </w:tc>
        <w:tc>
          <w:tcPr>
            <w:tcW w:w="930" w:type="pct"/>
          </w:tcPr>
          <w:p w:rsidR="00FB0292" w:rsidRPr="001649E7" w:rsidRDefault="00FB0292" w:rsidP="004428BA">
            <w:pPr>
              <w:pStyle w:val="Tabletext"/>
              <w:keepNext/>
              <w:rPr>
                <w:b/>
                <w:bCs/>
                <w:szCs w:val="20"/>
              </w:rPr>
            </w:pPr>
            <w:r w:rsidRPr="001649E7">
              <w:rPr>
                <w:b/>
                <w:bCs/>
                <w:szCs w:val="20"/>
              </w:rPr>
              <w:t>Key Outcomes</w:t>
            </w:r>
          </w:p>
        </w:tc>
        <w:tc>
          <w:tcPr>
            <w:tcW w:w="467" w:type="pct"/>
            <w:shd w:val="clear" w:color="auto" w:fill="auto"/>
          </w:tcPr>
          <w:p w:rsidR="00FB0292" w:rsidRPr="001649E7" w:rsidRDefault="00FB0292" w:rsidP="004428BA">
            <w:pPr>
              <w:pStyle w:val="Tabletext"/>
              <w:keepNext/>
              <w:jc w:val="center"/>
              <w:rPr>
                <w:b/>
                <w:bCs/>
                <w:szCs w:val="20"/>
                <w:highlight w:val="yellow"/>
              </w:rPr>
            </w:pPr>
            <w:r w:rsidRPr="001649E7">
              <w:rPr>
                <w:b/>
                <w:bCs/>
                <w:szCs w:val="20"/>
              </w:rPr>
              <w:t>Risk of bias</w:t>
            </w:r>
          </w:p>
        </w:tc>
      </w:tr>
      <w:tr w:rsidR="00FB0292" w:rsidRPr="001A57E6" w:rsidTr="00FC432A">
        <w:trPr>
          <w:trHeight w:val="265"/>
        </w:trPr>
        <w:tc>
          <w:tcPr>
            <w:tcW w:w="5000" w:type="pct"/>
            <w:gridSpan w:val="8"/>
            <w:shd w:val="clear" w:color="auto" w:fill="D9D9D9" w:themeFill="background1" w:themeFillShade="D9"/>
          </w:tcPr>
          <w:p w:rsidR="00FB0292" w:rsidRPr="001649E7" w:rsidRDefault="00FB0292" w:rsidP="004428BA">
            <w:pPr>
              <w:pStyle w:val="Tabletext"/>
              <w:keepNext/>
              <w:rPr>
                <w:b/>
                <w:bCs/>
                <w:szCs w:val="20"/>
              </w:rPr>
            </w:pPr>
            <w:r w:rsidRPr="001649E7">
              <w:rPr>
                <w:b/>
                <w:bCs/>
                <w:szCs w:val="20"/>
                <w:highlight w:val="lightGray"/>
              </w:rPr>
              <w:t>Primary trials</w:t>
            </w:r>
            <w:r w:rsidRPr="001649E7">
              <w:rPr>
                <w:b/>
                <w:bCs/>
                <w:szCs w:val="20"/>
              </w:rPr>
              <w:t xml:space="preserve">: </w:t>
            </w:r>
            <w:r w:rsidR="00EE500E">
              <w:rPr>
                <w:b/>
                <w:bCs/>
                <w:szCs w:val="20"/>
              </w:rPr>
              <w:t>BOTOX®</w:t>
            </w:r>
            <w:r w:rsidRPr="001649E7">
              <w:rPr>
                <w:b/>
                <w:bCs/>
                <w:szCs w:val="20"/>
              </w:rPr>
              <w:t xml:space="preserve"> versus PBO</w:t>
            </w:r>
          </w:p>
        </w:tc>
      </w:tr>
      <w:tr w:rsidR="00FB0292" w:rsidRPr="001A57E6" w:rsidTr="00FC432A">
        <w:trPr>
          <w:trHeight w:val="936"/>
        </w:trPr>
        <w:tc>
          <w:tcPr>
            <w:tcW w:w="465" w:type="pct"/>
          </w:tcPr>
          <w:p w:rsidR="00FB0292" w:rsidRPr="001649E7" w:rsidRDefault="00FB0292" w:rsidP="004428BA">
            <w:pPr>
              <w:pStyle w:val="Tabletext"/>
              <w:keepNext/>
              <w:jc w:val="both"/>
              <w:rPr>
                <w:szCs w:val="20"/>
              </w:rPr>
            </w:pPr>
            <w:r w:rsidRPr="001649E7">
              <w:rPr>
                <w:szCs w:val="20"/>
              </w:rPr>
              <w:t xml:space="preserve">REFLEX </w:t>
            </w:r>
          </w:p>
          <w:p w:rsidR="00FB0292" w:rsidRPr="001649E7" w:rsidRDefault="00FB0292" w:rsidP="004428BA">
            <w:pPr>
              <w:pStyle w:val="Tabletext"/>
              <w:keepNext/>
              <w:jc w:val="both"/>
              <w:rPr>
                <w:szCs w:val="20"/>
              </w:rPr>
            </w:pPr>
            <w:r w:rsidRPr="001649E7">
              <w:rPr>
                <w:szCs w:val="20"/>
              </w:rPr>
              <w:t>(Wein 2018)</w:t>
            </w:r>
          </w:p>
          <w:p w:rsidR="00FB0292" w:rsidRPr="001649E7" w:rsidRDefault="00FB0292" w:rsidP="004428BA">
            <w:pPr>
              <w:pStyle w:val="Tabletext"/>
              <w:keepNext/>
              <w:jc w:val="both"/>
              <w:rPr>
                <w:szCs w:val="20"/>
              </w:rPr>
            </w:pPr>
          </w:p>
          <w:p w:rsidR="00FB0292" w:rsidRPr="001649E7" w:rsidRDefault="00FB0292" w:rsidP="004428BA">
            <w:pPr>
              <w:pStyle w:val="Tabletext"/>
              <w:keepNext/>
              <w:jc w:val="both"/>
              <w:rPr>
                <w:szCs w:val="20"/>
              </w:rPr>
            </w:pPr>
            <w:r w:rsidRPr="001649E7">
              <w:rPr>
                <w:szCs w:val="20"/>
              </w:rPr>
              <w:t>Multi-country</w:t>
            </w:r>
          </w:p>
        </w:tc>
        <w:tc>
          <w:tcPr>
            <w:tcW w:w="150" w:type="pct"/>
          </w:tcPr>
          <w:p w:rsidR="00FB0292" w:rsidRPr="001649E7" w:rsidRDefault="00FB0292" w:rsidP="004428BA">
            <w:pPr>
              <w:pStyle w:val="Tabletext"/>
              <w:keepNext/>
              <w:jc w:val="both"/>
              <w:rPr>
                <w:szCs w:val="20"/>
              </w:rPr>
            </w:pPr>
            <w:r w:rsidRPr="001649E7">
              <w:rPr>
                <w:szCs w:val="20"/>
              </w:rPr>
              <w:t>468</w:t>
            </w:r>
          </w:p>
        </w:tc>
        <w:tc>
          <w:tcPr>
            <w:tcW w:w="526" w:type="pct"/>
          </w:tcPr>
          <w:p w:rsidR="00FB0292" w:rsidRPr="001649E7" w:rsidRDefault="00BD5880" w:rsidP="004428BA">
            <w:pPr>
              <w:pStyle w:val="Tabletext"/>
              <w:keepNext/>
              <w:rPr>
                <w:szCs w:val="20"/>
              </w:rPr>
            </w:pPr>
            <w:r>
              <w:rPr>
                <w:szCs w:val="20"/>
              </w:rPr>
              <w:t>S</w:t>
            </w:r>
            <w:r w:rsidR="00FB0292" w:rsidRPr="001649E7">
              <w:rPr>
                <w:szCs w:val="20"/>
              </w:rPr>
              <w:t xml:space="preserve">pastic </w:t>
            </w:r>
            <w:proofErr w:type="spellStart"/>
            <w:r w:rsidR="00FB0292" w:rsidRPr="001649E7">
              <w:rPr>
                <w:szCs w:val="20"/>
              </w:rPr>
              <w:t>equinus</w:t>
            </w:r>
            <w:proofErr w:type="spellEnd"/>
            <w:r w:rsidR="00FB0292" w:rsidRPr="001649E7">
              <w:rPr>
                <w:szCs w:val="20"/>
              </w:rPr>
              <w:t xml:space="preserve"> or </w:t>
            </w:r>
            <w:proofErr w:type="spellStart"/>
            <w:r w:rsidR="00FB0292" w:rsidRPr="001649E7">
              <w:rPr>
                <w:szCs w:val="20"/>
              </w:rPr>
              <w:t>equinovarus</w:t>
            </w:r>
            <w:proofErr w:type="spellEnd"/>
            <w:r w:rsidR="00FB0292" w:rsidRPr="001649E7">
              <w:rPr>
                <w:szCs w:val="20"/>
              </w:rPr>
              <w:t xml:space="preserve"> </w:t>
            </w:r>
            <w:r w:rsidR="00F4602B">
              <w:rPr>
                <w:szCs w:val="20"/>
              </w:rPr>
              <w:t xml:space="preserve">post </w:t>
            </w:r>
            <w:r w:rsidR="00FB0292" w:rsidRPr="001649E7">
              <w:rPr>
                <w:szCs w:val="20"/>
              </w:rPr>
              <w:t>stroke (≥6mth prior), MAS ≥3</w:t>
            </w:r>
          </w:p>
        </w:tc>
        <w:tc>
          <w:tcPr>
            <w:tcW w:w="585" w:type="pct"/>
          </w:tcPr>
          <w:p w:rsidR="00FB0292" w:rsidRPr="001649E7" w:rsidRDefault="00FB0292" w:rsidP="004428BA">
            <w:pPr>
              <w:pStyle w:val="Tabletext"/>
              <w:keepNext/>
              <w:rPr>
                <w:szCs w:val="20"/>
              </w:rPr>
            </w:pPr>
            <w:r w:rsidRPr="001649E7">
              <w:rPr>
                <w:szCs w:val="20"/>
              </w:rPr>
              <w:t>P3,R</w:t>
            </w:r>
            <w:r w:rsidR="00F4602B">
              <w:rPr>
                <w:szCs w:val="20"/>
              </w:rPr>
              <w:t>;</w:t>
            </w:r>
            <w:r w:rsidRPr="001649E7">
              <w:rPr>
                <w:szCs w:val="20"/>
              </w:rPr>
              <w:t xml:space="preserve"> </w:t>
            </w:r>
            <w:r w:rsidR="00F4602B">
              <w:rPr>
                <w:szCs w:val="20"/>
              </w:rPr>
              <w:br/>
            </w:r>
            <w:r w:rsidRPr="001649E7">
              <w:rPr>
                <w:szCs w:val="20"/>
              </w:rPr>
              <w:t xml:space="preserve">1 cycle (12-weeks), DB; </w:t>
            </w:r>
            <w:r w:rsidR="00BD5880">
              <w:rPr>
                <w:szCs w:val="20"/>
              </w:rPr>
              <w:br/>
            </w:r>
            <w:r w:rsidRPr="001649E7">
              <w:rPr>
                <w:szCs w:val="20"/>
              </w:rPr>
              <w:t>3 cycles (up to 60 weeks) OL</w:t>
            </w:r>
          </w:p>
        </w:tc>
        <w:tc>
          <w:tcPr>
            <w:tcW w:w="884" w:type="pct"/>
          </w:tcPr>
          <w:p w:rsidR="00F4602B" w:rsidRDefault="00FB0292" w:rsidP="004428BA">
            <w:pPr>
              <w:pStyle w:val="Tabletext"/>
              <w:keepNext/>
              <w:numPr>
                <w:ilvl w:val="0"/>
                <w:numId w:val="6"/>
              </w:numPr>
              <w:ind w:left="81" w:hanging="81"/>
              <w:rPr>
                <w:szCs w:val="20"/>
              </w:rPr>
            </w:pPr>
            <w:r w:rsidRPr="001649E7">
              <w:rPr>
                <w:szCs w:val="20"/>
              </w:rPr>
              <w:t>Mandatory: Ankle plantar flexors</w:t>
            </w:r>
            <w:r w:rsidR="004A5FEC">
              <w:rPr>
                <w:szCs w:val="20"/>
              </w:rPr>
              <w:t xml:space="preserve"> </w:t>
            </w:r>
          </w:p>
          <w:p w:rsidR="00FB0292" w:rsidRPr="001649E7" w:rsidRDefault="00FB0292" w:rsidP="004428BA">
            <w:pPr>
              <w:pStyle w:val="Tabletext"/>
              <w:keepNext/>
              <w:numPr>
                <w:ilvl w:val="0"/>
                <w:numId w:val="6"/>
              </w:numPr>
              <w:ind w:left="81" w:hanging="81"/>
              <w:rPr>
                <w:szCs w:val="20"/>
              </w:rPr>
            </w:pPr>
            <w:r w:rsidRPr="001649E7">
              <w:rPr>
                <w:szCs w:val="20"/>
              </w:rPr>
              <w:t xml:space="preserve">Optional: </w:t>
            </w:r>
            <w:proofErr w:type="spellStart"/>
            <w:r w:rsidRPr="001649E7">
              <w:rPr>
                <w:szCs w:val="20"/>
              </w:rPr>
              <w:t>dorsiflexors</w:t>
            </w:r>
            <w:proofErr w:type="spellEnd"/>
            <w:r w:rsidRPr="001649E7">
              <w:rPr>
                <w:szCs w:val="20"/>
              </w:rPr>
              <w:t xml:space="preserve">, rectus </w:t>
            </w:r>
            <w:proofErr w:type="spellStart"/>
            <w:r w:rsidRPr="001649E7">
              <w:rPr>
                <w:szCs w:val="20"/>
              </w:rPr>
              <w:t>femoris</w:t>
            </w:r>
            <w:proofErr w:type="spellEnd"/>
            <w:r w:rsidRPr="001649E7">
              <w:rPr>
                <w:szCs w:val="20"/>
              </w:rPr>
              <w:t>, hamstrings</w:t>
            </w:r>
          </w:p>
        </w:tc>
        <w:tc>
          <w:tcPr>
            <w:tcW w:w="993" w:type="pct"/>
          </w:tcPr>
          <w:p w:rsidR="00FB0292" w:rsidRPr="001649E7" w:rsidRDefault="00FB0292" w:rsidP="004428BA">
            <w:pPr>
              <w:pStyle w:val="Tabletext"/>
              <w:keepNext/>
              <w:rPr>
                <w:szCs w:val="20"/>
              </w:rPr>
            </w:pPr>
            <w:r w:rsidRPr="001649E7">
              <w:rPr>
                <w:szCs w:val="20"/>
              </w:rPr>
              <w:t xml:space="preserve">Physiotherapy: </w:t>
            </w:r>
            <w:r w:rsidR="00F4602B">
              <w:rPr>
                <w:szCs w:val="20"/>
              </w:rPr>
              <w:br/>
            </w:r>
            <w:r w:rsidR="001C21E3">
              <w:rPr>
                <w:noProof/>
                <w:color w:val="000000"/>
                <w:szCs w:val="20"/>
                <w:highlight w:val="black"/>
              </w:rPr>
              <w:t>'''''''''''</w:t>
            </w:r>
            <w:r w:rsidRPr="001649E7">
              <w:rPr>
                <w:szCs w:val="20"/>
              </w:rPr>
              <w:t xml:space="preserve">% </w:t>
            </w:r>
            <w:r w:rsidR="00EE500E">
              <w:rPr>
                <w:szCs w:val="20"/>
              </w:rPr>
              <w:t>BOTOX®</w:t>
            </w:r>
            <w:r w:rsidRPr="001649E7">
              <w:rPr>
                <w:szCs w:val="20"/>
              </w:rPr>
              <w:t xml:space="preserve">, </w:t>
            </w:r>
            <w:r w:rsidR="001C21E3">
              <w:rPr>
                <w:noProof/>
                <w:color w:val="000000"/>
                <w:szCs w:val="20"/>
                <w:highlight w:val="black"/>
              </w:rPr>
              <w:t>''''''''''</w:t>
            </w:r>
            <w:r w:rsidRPr="001649E7">
              <w:rPr>
                <w:szCs w:val="20"/>
              </w:rPr>
              <w:t>% PBO</w:t>
            </w:r>
          </w:p>
        </w:tc>
        <w:tc>
          <w:tcPr>
            <w:tcW w:w="930" w:type="pct"/>
          </w:tcPr>
          <w:p w:rsidR="00FB0292" w:rsidRPr="001649E7" w:rsidRDefault="00FB0292" w:rsidP="004428BA">
            <w:pPr>
              <w:pStyle w:val="Tabletext"/>
              <w:keepNext/>
              <w:numPr>
                <w:ilvl w:val="0"/>
                <w:numId w:val="6"/>
              </w:numPr>
              <w:ind w:left="112" w:hanging="141"/>
              <w:rPr>
                <w:szCs w:val="20"/>
              </w:rPr>
            </w:pPr>
            <w:r w:rsidRPr="001649E7">
              <w:rPr>
                <w:szCs w:val="20"/>
              </w:rPr>
              <w:t>1</w:t>
            </w:r>
            <w:r w:rsidRPr="001649E7">
              <w:rPr>
                <w:szCs w:val="20"/>
                <w:vertAlign w:val="superscript"/>
              </w:rPr>
              <w:t>0</w:t>
            </w:r>
            <w:r w:rsidRPr="001649E7">
              <w:rPr>
                <w:szCs w:val="20"/>
              </w:rPr>
              <w:t>: MAS wk4-6</w:t>
            </w:r>
          </w:p>
          <w:p w:rsidR="00FB0292" w:rsidRPr="001649E7" w:rsidRDefault="00FB0292" w:rsidP="004428BA">
            <w:pPr>
              <w:pStyle w:val="Tabletext"/>
              <w:keepNext/>
              <w:numPr>
                <w:ilvl w:val="0"/>
                <w:numId w:val="6"/>
              </w:numPr>
              <w:ind w:left="112" w:hanging="141"/>
              <w:rPr>
                <w:szCs w:val="20"/>
              </w:rPr>
            </w:pPr>
            <w:r w:rsidRPr="001649E7">
              <w:rPr>
                <w:szCs w:val="20"/>
              </w:rPr>
              <w:t>2</w:t>
            </w:r>
            <w:r w:rsidRPr="001649E7">
              <w:rPr>
                <w:szCs w:val="20"/>
                <w:vertAlign w:val="superscript"/>
              </w:rPr>
              <w:t>0</w:t>
            </w:r>
            <w:r w:rsidRPr="001649E7">
              <w:rPr>
                <w:szCs w:val="20"/>
              </w:rPr>
              <w:t>: CGI</w:t>
            </w:r>
            <w:r w:rsidR="00F4602B">
              <w:rPr>
                <w:szCs w:val="20"/>
              </w:rPr>
              <w:t>,</w:t>
            </w:r>
            <w:r w:rsidRPr="001649E7">
              <w:rPr>
                <w:szCs w:val="20"/>
              </w:rPr>
              <w:t xml:space="preserve"> GAS</w:t>
            </w:r>
            <w:r w:rsidR="00F4602B">
              <w:rPr>
                <w:szCs w:val="20"/>
              </w:rPr>
              <w:t>,</w:t>
            </w:r>
            <w:r w:rsidRPr="001649E7">
              <w:rPr>
                <w:szCs w:val="20"/>
              </w:rPr>
              <w:t xml:space="preserve"> Pain score while walking, gait speed; MAS (optional muscles) wk6 </w:t>
            </w:r>
          </w:p>
        </w:tc>
        <w:tc>
          <w:tcPr>
            <w:tcW w:w="467" w:type="pct"/>
          </w:tcPr>
          <w:p w:rsidR="00FB0292" w:rsidRPr="001649E7" w:rsidRDefault="00FB0292" w:rsidP="004428BA">
            <w:pPr>
              <w:pStyle w:val="Tabletext"/>
              <w:keepNext/>
              <w:jc w:val="center"/>
              <w:rPr>
                <w:szCs w:val="20"/>
              </w:rPr>
            </w:pPr>
            <w:r w:rsidRPr="001649E7">
              <w:rPr>
                <w:szCs w:val="20"/>
              </w:rPr>
              <w:t>Low</w:t>
            </w:r>
          </w:p>
        </w:tc>
      </w:tr>
      <w:tr w:rsidR="00FB0292" w:rsidRPr="001A57E6" w:rsidTr="00FC432A">
        <w:trPr>
          <w:trHeight w:val="236"/>
        </w:trPr>
        <w:tc>
          <w:tcPr>
            <w:tcW w:w="465" w:type="pct"/>
          </w:tcPr>
          <w:p w:rsidR="00FB0292" w:rsidRPr="001649E7" w:rsidRDefault="00FB0292" w:rsidP="004428BA">
            <w:pPr>
              <w:pStyle w:val="Tabletext"/>
              <w:rPr>
                <w:szCs w:val="20"/>
                <w:vertAlign w:val="superscript"/>
              </w:rPr>
            </w:pPr>
            <w:r w:rsidRPr="001649E7">
              <w:rPr>
                <w:szCs w:val="20"/>
              </w:rPr>
              <w:t>Trial 512</w:t>
            </w:r>
            <w:r w:rsidRPr="001649E7">
              <w:rPr>
                <w:szCs w:val="20"/>
                <w:vertAlign w:val="superscript"/>
              </w:rPr>
              <w:t xml:space="preserve"> b</w:t>
            </w:r>
            <w:r w:rsidRPr="001649E7">
              <w:rPr>
                <w:szCs w:val="20"/>
              </w:rPr>
              <w:t xml:space="preserve"> (</w:t>
            </w:r>
            <w:proofErr w:type="spellStart"/>
            <w:r w:rsidRPr="001649E7">
              <w:rPr>
                <w:szCs w:val="20"/>
              </w:rPr>
              <w:t>Kaji</w:t>
            </w:r>
            <w:proofErr w:type="spellEnd"/>
            <w:r w:rsidRPr="001649E7">
              <w:rPr>
                <w:szCs w:val="20"/>
              </w:rPr>
              <w:t xml:space="preserve"> 2010) </w:t>
            </w:r>
          </w:p>
          <w:p w:rsidR="00FB0292" w:rsidRPr="001649E7" w:rsidRDefault="00FB0292" w:rsidP="004428BA">
            <w:pPr>
              <w:pStyle w:val="Tabletext"/>
              <w:rPr>
                <w:szCs w:val="20"/>
              </w:rPr>
            </w:pPr>
          </w:p>
          <w:p w:rsidR="00FB0292" w:rsidRPr="001649E7" w:rsidRDefault="00FB0292" w:rsidP="004428BA">
            <w:pPr>
              <w:pStyle w:val="Tabletext"/>
              <w:rPr>
                <w:szCs w:val="20"/>
              </w:rPr>
            </w:pPr>
            <w:r w:rsidRPr="001649E7">
              <w:rPr>
                <w:szCs w:val="20"/>
              </w:rPr>
              <w:t>Japan</w:t>
            </w:r>
          </w:p>
        </w:tc>
        <w:tc>
          <w:tcPr>
            <w:tcW w:w="150" w:type="pct"/>
          </w:tcPr>
          <w:p w:rsidR="00FB0292" w:rsidRPr="001649E7" w:rsidRDefault="00FB0292" w:rsidP="004428BA">
            <w:pPr>
              <w:pStyle w:val="Tabletext"/>
              <w:jc w:val="both"/>
              <w:rPr>
                <w:szCs w:val="20"/>
              </w:rPr>
            </w:pPr>
            <w:r w:rsidRPr="001649E7">
              <w:rPr>
                <w:szCs w:val="20"/>
              </w:rPr>
              <w:t>120</w:t>
            </w:r>
          </w:p>
        </w:tc>
        <w:tc>
          <w:tcPr>
            <w:tcW w:w="526" w:type="pct"/>
          </w:tcPr>
          <w:p w:rsidR="00FB0292" w:rsidRPr="001649E7" w:rsidRDefault="00F4602B" w:rsidP="004428BA">
            <w:pPr>
              <w:pStyle w:val="Tabletext"/>
              <w:rPr>
                <w:szCs w:val="20"/>
              </w:rPr>
            </w:pPr>
            <w:r>
              <w:rPr>
                <w:szCs w:val="20"/>
              </w:rPr>
              <w:t>S</w:t>
            </w:r>
            <w:r w:rsidR="00FB0292" w:rsidRPr="001649E7">
              <w:rPr>
                <w:szCs w:val="20"/>
              </w:rPr>
              <w:t xml:space="preserve">pastic </w:t>
            </w:r>
            <w:proofErr w:type="spellStart"/>
            <w:r w:rsidR="00FB0292" w:rsidRPr="001649E7">
              <w:rPr>
                <w:szCs w:val="20"/>
              </w:rPr>
              <w:t>equinus</w:t>
            </w:r>
            <w:proofErr w:type="spellEnd"/>
            <w:r w:rsidR="00FB0292" w:rsidRPr="001649E7">
              <w:rPr>
                <w:szCs w:val="20"/>
              </w:rPr>
              <w:t xml:space="preserve"> </w:t>
            </w:r>
            <w:r>
              <w:rPr>
                <w:szCs w:val="20"/>
              </w:rPr>
              <w:t>post</w:t>
            </w:r>
            <w:r w:rsidR="00FB0292" w:rsidRPr="001649E7">
              <w:rPr>
                <w:szCs w:val="20"/>
              </w:rPr>
              <w:t xml:space="preserve"> stroke (≥6mth prior), MAS ≥3</w:t>
            </w:r>
          </w:p>
        </w:tc>
        <w:tc>
          <w:tcPr>
            <w:tcW w:w="585" w:type="pct"/>
          </w:tcPr>
          <w:p w:rsidR="00FB0292" w:rsidRPr="001649E7" w:rsidRDefault="00FB0292" w:rsidP="004428BA">
            <w:pPr>
              <w:pStyle w:val="Tabletext"/>
              <w:rPr>
                <w:szCs w:val="20"/>
              </w:rPr>
            </w:pPr>
            <w:r w:rsidRPr="001649E7">
              <w:rPr>
                <w:szCs w:val="20"/>
              </w:rPr>
              <w:t>P3,R</w:t>
            </w:r>
            <w:r w:rsidR="00F4602B">
              <w:rPr>
                <w:szCs w:val="20"/>
              </w:rPr>
              <w:t>;</w:t>
            </w:r>
            <w:r w:rsidRPr="001649E7">
              <w:rPr>
                <w:szCs w:val="20"/>
              </w:rPr>
              <w:t xml:space="preserve"> </w:t>
            </w:r>
            <w:r w:rsidR="00F4602B">
              <w:rPr>
                <w:szCs w:val="20"/>
              </w:rPr>
              <w:br/>
            </w:r>
            <w:r w:rsidRPr="001649E7">
              <w:rPr>
                <w:szCs w:val="20"/>
              </w:rPr>
              <w:t xml:space="preserve">1 cycle (12-weeks), DB; </w:t>
            </w:r>
            <w:r w:rsidR="00F4602B">
              <w:rPr>
                <w:szCs w:val="20"/>
              </w:rPr>
              <w:br/>
            </w:r>
            <w:r w:rsidRPr="001649E7">
              <w:rPr>
                <w:szCs w:val="20"/>
              </w:rPr>
              <w:t>3 cycles (48-weeks) OL</w:t>
            </w:r>
          </w:p>
        </w:tc>
        <w:tc>
          <w:tcPr>
            <w:tcW w:w="884" w:type="pct"/>
          </w:tcPr>
          <w:p w:rsidR="00FB0292" w:rsidRPr="001649E7" w:rsidRDefault="00FB0292" w:rsidP="004428BA">
            <w:pPr>
              <w:pStyle w:val="Tabletext"/>
              <w:rPr>
                <w:szCs w:val="20"/>
              </w:rPr>
            </w:pPr>
            <w:r w:rsidRPr="001649E7">
              <w:rPr>
                <w:szCs w:val="20"/>
              </w:rPr>
              <w:t>Ankle plantar flexors</w:t>
            </w:r>
          </w:p>
        </w:tc>
        <w:tc>
          <w:tcPr>
            <w:tcW w:w="993" w:type="pct"/>
          </w:tcPr>
          <w:p w:rsidR="00FB0292" w:rsidRPr="001649E7" w:rsidRDefault="00FB0292" w:rsidP="004428BA">
            <w:pPr>
              <w:pStyle w:val="Tabletext"/>
              <w:rPr>
                <w:szCs w:val="20"/>
              </w:rPr>
            </w:pPr>
            <w:r w:rsidRPr="001649E7">
              <w:rPr>
                <w:szCs w:val="20"/>
              </w:rPr>
              <w:t xml:space="preserve">Any rehabilitation: 58.6% </w:t>
            </w:r>
            <w:r w:rsidR="00EE500E">
              <w:rPr>
                <w:szCs w:val="20"/>
              </w:rPr>
              <w:t>BOTOX®</w:t>
            </w:r>
            <w:r w:rsidRPr="001649E7">
              <w:rPr>
                <w:szCs w:val="20"/>
              </w:rPr>
              <w:t>, 53.2% PBO</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xml:space="preserve">: MAS </w:t>
            </w:r>
          </w:p>
          <w:p w:rsidR="00FB0292" w:rsidRPr="001649E7" w:rsidRDefault="00FB0292" w:rsidP="004428BA">
            <w:pPr>
              <w:pStyle w:val="Tabletext"/>
              <w:numPr>
                <w:ilvl w:val="0"/>
                <w:numId w:val="6"/>
              </w:numPr>
              <w:ind w:left="112" w:hanging="141"/>
              <w:rPr>
                <w:szCs w:val="20"/>
              </w:rPr>
            </w:pPr>
            <w:r w:rsidRPr="001649E7">
              <w:rPr>
                <w:szCs w:val="20"/>
              </w:rPr>
              <w:t>2</w:t>
            </w:r>
            <w:r w:rsidRPr="001649E7">
              <w:rPr>
                <w:szCs w:val="20"/>
                <w:vertAlign w:val="superscript"/>
              </w:rPr>
              <w:t>0</w:t>
            </w:r>
            <w:r w:rsidRPr="001649E7">
              <w:rPr>
                <w:szCs w:val="20"/>
              </w:rPr>
              <w:t>: CGI, gait speed; physician rating scale</w:t>
            </w:r>
          </w:p>
        </w:tc>
        <w:tc>
          <w:tcPr>
            <w:tcW w:w="467" w:type="pct"/>
          </w:tcPr>
          <w:p w:rsidR="00FB0292" w:rsidRPr="001649E7" w:rsidRDefault="00FB0292" w:rsidP="004428BA">
            <w:pPr>
              <w:pStyle w:val="Tabletext"/>
              <w:jc w:val="center"/>
              <w:rPr>
                <w:szCs w:val="20"/>
              </w:rPr>
            </w:pPr>
            <w:r w:rsidRPr="001649E7">
              <w:rPr>
                <w:szCs w:val="20"/>
              </w:rPr>
              <w:t>Low</w:t>
            </w:r>
          </w:p>
        </w:tc>
      </w:tr>
      <w:tr w:rsidR="00FB0292" w:rsidRPr="001A57E6" w:rsidTr="00FC432A">
        <w:trPr>
          <w:trHeight w:val="236"/>
        </w:trPr>
        <w:tc>
          <w:tcPr>
            <w:tcW w:w="5000" w:type="pct"/>
            <w:gridSpan w:val="8"/>
            <w:shd w:val="clear" w:color="auto" w:fill="D9D9D9" w:themeFill="background1" w:themeFillShade="D9"/>
          </w:tcPr>
          <w:p w:rsidR="00FB0292" w:rsidRPr="001649E7" w:rsidRDefault="00FB0292" w:rsidP="004428BA">
            <w:pPr>
              <w:pStyle w:val="Tabletext"/>
              <w:rPr>
                <w:b/>
                <w:bCs/>
                <w:szCs w:val="20"/>
              </w:rPr>
            </w:pPr>
            <w:r w:rsidRPr="001649E7">
              <w:rPr>
                <w:b/>
                <w:bCs/>
                <w:szCs w:val="20"/>
              </w:rPr>
              <w:lastRenderedPageBreak/>
              <w:t xml:space="preserve">Secondary trials: </w:t>
            </w:r>
            <w:r w:rsidR="00EE500E">
              <w:rPr>
                <w:b/>
                <w:bCs/>
                <w:szCs w:val="20"/>
              </w:rPr>
              <w:t>BOTOX®</w:t>
            </w:r>
            <w:r w:rsidRPr="001649E7">
              <w:rPr>
                <w:b/>
                <w:bCs/>
                <w:szCs w:val="20"/>
              </w:rPr>
              <w:t xml:space="preserve"> versus PBO</w:t>
            </w:r>
          </w:p>
        </w:tc>
      </w:tr>
      <w:tr w:rsidR="00FB0292" w:rsidRPr="001A57E6" w:rsidTr="00FC432A">
        <w:trPr>
          <w:trHeight w:val="236"/>
        </w:trPr>
        <w:tc>
          <w:tcPr>
            <w:tcW w:w="465" w:type="pct"/>
          </w:tcPr>
          <w:p w:rsidR="00FB0292" w:rsidRPr="001649E7" w:rsidRDefault="00FB0292" w:rsidP="004428BA">
            <w:pPr>
              <w:pStyle w:val="Tabletext"/>
              <w:jc w:val="both"/>
              <w:rPr>
                <w:szCs w:val="20"/>
              </w:rPr>
            </w:pPr>
            <w:r w:rsidRPr="001649E7">
              <w:rPr>
                <w:szCs w:val="20"/>
              </w:rPr>
              <w:t>Trial 702</w:t>
            </w:r>
          </w:p>
          <w:p w:rsidR="00FB0292" w:rsidRPr="001649E7" w:rsidRDefault="00FB0292" w:rsidP="004428BA">
            <w:pPr>
              <w:pStyle w:val="Tabletext"/>
              <w:jc w:val="both"/>
              <w:rPr>
                <w:szCs w:val="20"/>
              </w:rPr>
            </w:pPr>
            <w:r w:rsidRPr="001649E7">
              <w:rPr>
                <w:szCs w:val="20"/>
              </w:rPr>
              <w:t>(Dune 2012)</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Australia</w:t>
            </w:r>
          </w:p>
        </w:tc>
        <w:tc>
          <w:tcPr>
            <w:tcW w:w="150" w:type="pct"/>
          </w:tcPr>
          <w:p w:rsidR="00FB0292" w:rsidRPr="001649E7" w:rsidRDefault="00FB0292" w:rsidP="004428BA">
            <w:pPr>
              <w:pStyle w:val="Tabletext"/>
              <w:jc w:val="both"/>
              <w:rPr>
                <w:szCs w:val="20"/>
              </w:rPr>
            </w:pPr>
            <w:r w:rsidRPr="001649E7">
              <w:rPr>
                <w:szCs w:val="20"/>
              </w:rPr>
              <w:t>85</w:t>
            </w:r>
          </w:p>
        </w:tc>
        <w:tc>
          <w:tcPr>
            <w:tcW w:w="526" w:type="pct"/>
          </w:tcPr>
          <w:p w:rsidR="00FB0292" w:rsidRPr="001649E7" w:rsidRDefault="00F4602B" w:rsidP="004428BA">
            <w:pPr>
              <w:pStyle w:val="Tabletext"/>
              <w:rPr>
                <w:szCs w:val="20"/>
              </w:rPr>
            </w:pPr>
            <w:r>
              <w:rPr>
                <w:szCs w:val="20"/>
              </w:rPr>
              <w:t>S</w:t>
            </w:r>
            <w:r w:rsidR="00FB0292" w:rsidRPr="001649E7">
              <w:rPr>
                <w:szCs w:val="20"/>
              </w:rPr>
              <w:t xml:space="preserve">pastic </w:t>
            </w:r>
            <w:proofErr w:type="spellStart"/>
            <w:r w:rsidR="00FB0292" w:rsidRPr="001649E7">
              <w:rPr>
                <w:szCs w:val="20"/>
              </w:rPr>
              <w:t>equinovarus</w:t>
            </w:r>
            <w:proofErr w:type="spellEnd"/>
            <w:r w:rsidR="00FB0292" w:rsidRPr="001649E7">
              <w:rPr>
                <w:szCs w:val="20"/>
              </w:rPr>
              <w:t xml:space="preserve"> </w:t>
            </w:r>
            <w:r>
              <w:rPr>
                <w:szCs w:val="20"/>
              </w:rPr>
              <w:t xml:space="preserve">post </w:t>
            </w:r>
            <w:r w:rsidR="00FB0292" w:rsidRPr="001649E7">
              <w:rPr>
                <w:szCs w:val="20"/>
              </w:rPr>
              <w:t>stroke (≥6wks prior), AS ≥2</w:t>
            </w:r>
          </w:p>
        </w:tc>
        <w:tc>
          <w:tcPr>
            <w:tcW w:w="585" w:type="pct"/>
          </w:tcPr>
          <w:p w:rsidR="00FB0292" w:rsidRPr="001649E7" w:rsidRDefault="00FB0292" w:rsidP="004428BA">
            <w:pPr>
              <w:pStyle w:val="Tabletext"/>
              <w:rPr>
                <w:szCs w:val="20"/>
              </w:rPr>
            </w:pPr>
            <w:r w:rsidRPr="001649E7">
              <w:rPr>
                <w:szCs w:val="20"/>
              </w:rPr>
              <w:t>P3,R</w:t>
            </w:r>
            <w:r w:rsidR="00F4602B">
              <w:rPr>
                <w:szCs w:val="20"/>
              </w:rPr>
              <w:t>;</w:t>
            </w:r>
            <w:r w:rsidRPr="001649E7">
              <w:rPr>
                <w:szCs w:val="20"/>
              </w:rPr>
              <w:t xml:space="preserve"> </w:t>
            </w:r>
            <w:r w:rsidR="00F4602B">
              <w:rPr>
                <w:szCs w:val="20"/>
              </w:rPr>
              <w:br/>
            </w:r>
            <w:r w:rsidRPr="001649E7">
              <w:rPr>
                <w:szCs w:val="20"/>
              </w:rPr>
              <w:t>1 cycle (16-weeks), DB</w:t>
            </w:r>
            <w:r w:rsidR="00F4602B">
              <w:rPr>
                <w:szCs w:val="20"/>
              </w:rPr>
              <w:t>;</w:t>
            </w:r>
            <w:r w:rsidRPr="001649E7">
              <w:rPr>
                <w:szCs w:val="20"/>
              </w:rPr>
              <w:t xml:space="preserve"> </w:t>
            </w:r>
            <w:r w:rsidR="00F4602B">
              <w:rPr>
                <w:szCs w:val="20"/>
              </w:rPr>
              <w:br/>
            </w:r>
            <w:r w:rsidRPr="001649E7">
              <w:rPr>
                <w:szCs w:val="20"/>
              </w:rPr>
              <w:t>1 cycle (12-weeks) OL</w:t>
            </w:r>
          </w:p>
        </w:tc>
        <w:tc>
          <w:tcPr>
            <w:tcW w:w="884" w:type="pct"/>
          </w:tcPr>
          <w:p w:rsidR="00FB0292" w:rsidRPr="001649E7" w:rsidRDefault="00FB0292" w:rsidP="004428BA">
            <w:pPr>
              <w:pStyle w:val="Tabletext"/>
              <w:rPr>
                <w:szCs w:val="20"/>
              </w:rPr>
            </w:pPr>
            <w:r w:rsidRPr="001649E7">
              <w:rPr>
                <w:szCs w:val="20"/>
              </w:rPr>
              <w:t xml:space="preserve">Posterior </w:t>
            </w:r>
            <w:proofErr w:type="spellStart"/>
            <w:r w:rsidRPr="001649E7">
              <w:rPr>
                <w:szCs w:val="20"/>
              </w:rPr>
              <w:t>tibialis</w:t>
            </w:r>
            <w:proofErr w:type="spellEnd"/>
            <w:r w:rsidRPr="001649E7">
              <w:rPr>
                <w:szCs w:val="20"/>
              </w:rPr>
              <w:t xml:space="preserve">, soleus, and either the flexor </w:t>
            </w:r>
            <w:proofErr w:type="spellStart"/>
            <w:r w:rsidRPr="001649E7">
              <w:rPr>
                <w:szCs w:val="20"/>
              </w:rPr>
              <w:t>digitorum</w:t>
            </w:r>
            <w:proofErr w:type="spellEnd"/>
            <w:r w:rsidRPr="001649E7">
              <w:rPr>
                <w:szCs w:val="20"/>
              </w:rPr>
              <w:t xml:space="preserve"> longus or the medial gastrocnemius</w:t>
            </w:r>
          </w:p>
        </w:tc>
        <w:tc>
          <w:tcPr>
            <w:tcW w:w="993" w:type="pct"/>
          </w:tcPr>
          <w:p w:rsidR="00FB0292" w:rsidRPr="001649E7" w:rsidRDefault="00FB0292" w:rsidP="004428BA">
            <w:pPr>
              <w:pStyle w:val="Tabletext"/>
              <w:rPr>
                <w:szCs w:val="20"/>
              </w:rPr>
            </w:pPr>
            <w:r w:rsidRPr="001649E7">
              <w:rPr>
                <w:szCs w:val="20"/>
              </w:rPr>
              <w:t xml:space="preserve">Physiotherapy: </w:t>
            </w:r>
            <w:r w:rsidR="00F4602B">
              <w:rPr>
                <w:szCs w:val="20"/>
              </w:rPr>
              <w:br/>
            </w:r>
            <w:r w:rsidRPr="001649E7">
              <w:rPr>
                <w:szCs w:val="20"/>
              </w:rPr>
              <w:t xml:space="preserve">34.6% </w:t>
            </w:r>
            <w:r w:rsidR="00EE500E">
              <w:rPr>
                <w:szCs w:val="20"/>
              </w:rPr>
              <w:t>BOTOX®</w:t>
            </w:r>
            <w:r w:rsidRPr="001649E7">
              <w:rPr>
                <w:szCs w:val="20"/>
              </w:rPr>
              <w:t xml:space="preserve"> 200U, 39.3% </w:t>
            </w:r>
            <w:r w:rsidR="00EE500E">
              <w:rPr>
                <w:szCs w:val="20"/>
              </w:rPr>
              <w:t>BOTOX®</w:t>
            </w:r>
            <w:r w:rsidRPr="001649E7">
              <w:rPr>
                <w:szCs w:val="20"/>
              </w:rPr>
              <w:t xml:space="preserve"> 300U, 50% PBO</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xml:space="preserve">: AS </w:t>
            </w:r>
          </w:p>
          <w:p w:rsidR="00FB0292" w:rsidRPr="001649E7" w:rsidRDefault="00FB0292" w:rsidP="004428BA">
            <w:pPr>
              <w:pStyle w:val="Tabletext"/>
              <w:rPr>
                <w:szCs w:val="20"/>
              </w:rPr>
            </w:pPr>
          </w:p>
        </w:tc>
        <w:tc>
          <w:tcPr>
            <w:tcW w:w="467" w:type="pct"/>
          </w:tcPr>
          <w:p w:rsidR="00FB0292" w:rsidRPr="001649E7" w:rsidRDefault="00FB0292" w:rsidP="004428BA">
            <w:pPr>
              <w:pStyle w:val="Tabletext"/>
              <w:jc w:val="center"/>
              <w:rPr>
                <w:szCs w:val="20"/>
              </w:rPr>
            </w:pPr>
            <w:r w:rsidRPr="001649E7">
              <w:rPr>
                <w:szCs w:val="20"/>
              </w:rPr>
              <w:t>Low</w:t>
            </w:r>
          </w:p>
        </w:tc>
      </w:tr>
      <w:tr w:rsidR="00FB0292" w:rsidRPr="001A57E6" w:rsidTr="00FC432A">
        <w:trPr>
          <w:trHeight w:val="236"/>
        </w:trPr>
        <w:tc>
          <w:tcPr>
            <w:tcW w:w="465" w:type="pct"/>
          </w:tcPr>
          <w:p w:rsidR="00FB0292" w:rsidRPr="001649E7" w:rsidRDefault="00FB0292" w:rsidP="004428BA">
            <w:pPr>
              <w:pStyle w:val="Tabletext"/>
              <w:jc w:val="both"/>
              <w:rPr>
                <w:szCs w:val="20"/>
              </w:rPr>
            </w:pPr>
            <w:r w:rsidRPr="001649E7">
              <w:rPr>
                <w:szCs w:val="20"/>
              </w:rPr>
              <w:t>Trial 030</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Multi-country</w:t>
            </w:r>
          </w:p>
        </w:tc>
        <w:tc>
          <w:tcPr>
            <w:tcW w:w="150" w:type="pct"/>
          </w:tcPr>
          <w:p w:rsidR="00FB0292" w:rsidRPr="001649E7" w:rsidRDefault="00FB0292" w:rsidP="004428BA">
            <w:pPr>
              <w:pStyle w:val="Tabletext"/>
              <w:jc w:val="both"/>
              <w:rPr>
                <w:szCs w:val="20"/>
              </w:rPr>
            </w:pPr>
            <w:r w:rsidRPr="001649E7">
              <w:rPr>
                <w:szCs w:val="20"/>
              </w:rPr>
              <w:t>108</w:t>
            </w:r>
          </w:p>
        </w:tc>
        <w:tc>
          <w:tcPr>
            <w:tcW w:w="526" w:type="pct"/>
          </w:tcPr>
          <w:p w:rsidR="00FB0292" w:rsidRPr="001649E7" w:rsidRDefault="00F4602B" w:rsidP="004428BA">
            <w:pPr>
              <w:pStyle w:val="Tabletext"/>
              <w:rPr>
                <w:szCs w:val="20"/>
              </w:rPr>
            </w:pPr>
            <w:r>
              <w:rPr>
                <w:szCs w:val="20"/>
              </w:rPr>
              <w:t>U</w:t>
            </w:r>
            <w:r w:rsidR="00FB0292" w:rsidRPr="001649E7">
              <w:rPr>
                <w:szCs w:val="20"/>
              </w:rPr>
              <w:t xml:space="preserve">pper and/or </w:t>
            </w:r>
            <w:r w:rsidR="00FD67BE" w:rsidRPr="001649E7">
              <w:rPr>
                <w:szCs w:val="20"/>
              </w:rPr>
              <w:t>LLFS</w:t>
            </w:r>
            <w:r>
              <w:rPr>
                <w:szCs w:val="20"/>
              </w:rPr>
              <w:t xml:space="preserve"> post </w:t>
            </w:r>
            <w:r w:rsidR="00FB0292" w:rsidRPr="001649E7">
              <w:rPr>
                <w:szCs w:val="20"/>
              </w:rPr>
              <w:t>stroke (≥6 weeks prior); AS ≥2.</w:t>
            </w:r>
          </w:p>
        </w:tc>
        <w:tc>
          <w:tcPr>
            <w:tcW w:w="585" w:type="pct"/>
          </w:tcPr>
          <w:p w:rsidR="00FB0292" w:rsidRPr="001649E7" w:rsidRDefault="00F4602B" w:rsidP="004428BA">
            <w:pPr>
              <w:pStyle w:val="Tabletext"/>
              <w:rPr>
                <w:szCs w:val="20"/>
              </w:rPr>
            </w:pPr>
            <w:r>
              <w:rPr>
                <w:szCs w:val="20"/>
              </w:rPr>
              <w:t>P2, R</w:t>
            </w:r>
            <w:r w:rsidR="00FB0292" w:rsidRPr="001649E7">
              <w:rPr>
                <w:szCs w:val="20"/>
              </w:rPr>
              <w:t xml:space="preserve">; </w:t>
            </w:r>
            <w:r>
              <w:rPr>
                <w:szCs w:val="20"/>
              </w:rPr>
              <w:br/>
            </w:r>
            <w:r w:rsidR="00FB0292" w:rsidRPr="001649E7">
              <w:rPr>
                <w:szCs w:val="20"/>
              </w:rPr>
              <w:t xml:space="preserve">2 cycles (24 </w:t>
            </w:r>
            <w:proofErr w:type="spellStart"/>
            <w:r w:rsidR="00FB0292" w:rsidRPr="001649E7">
              <w:rPr>
                <w:szCs w:val="20"/>
              </w:rPr>
              <w:t>wks</w:t>
            </w:r>
            <w:proofErr w:type="spellEnd"/>
            <w:r w:rsidR="00FB0292" w:rsidRPr="001649E7">
              <w:rPr>
                <w:szCs w:val="20"/>
              </w:rPr>
              <w:t>)</w:t>
            </w:r>
          </w:p>
        </w:tc>
        <w:tc>
          <w:tcPr>
            <w:tcW w:w="884" w:type="pct"/>
          </w:tcPr>
          <w:p w:rsidR="00FB0292" w:rsidRPr="001649E7" w:rsidRDefault="00FB0292" w:rsidP="004428BA">
            <w:pPr>
              <w:pStyle w:val="Tabletext"/>
              <w:rPr>
                <w:szCs w:val="20"/>
              </w:rPr>
            </w:pPr>
            <w:r w:rsidRPr="001649E7">
              <w:rPr>
                <w:szCs w:val="20"/>
              </w:rPr>
              <w:t xml:space="preserve">Extensor </w:t>
            </w:r>
            <w:proofErr w:type="spellStart"/>
            <w:r w:rsidRPr="001649E7">
              <w:rPr>
                <w:szCs w:val="20"/>
              </w:rPr>
              <w:t>hallucis</w:t>
            </w:r>
            <w:proofErr w:type="spellEnd"/>
            <w:r w:rsidRPr="001649E7">
              <w:rPr>
                <w:szCs w:val="20"/>
              </w:rPr>
              <w:t xml:space="preserve"> longus, Flexor </w:t>
            </w:r>
            <w:proofErr w:type="spellStart"/>
            <w:r w:rsidRPr="001649E7">
              <w:rPr>
                <w:szCs w:val="20"/>
              </w:rPr>
              <w:t>digitorum</w:t>
            </w:r>
            <w:proofErr w:type="spellEnd"/>
            <w:r w:rsidRPr="001649E7">
              <w:rPr>
                <w:szCs w:val="20"/>
              </w:rPr>
              <w:t xml:space="preserve"> brevis and longus, Flexor </w:t>
            </w:r>
            <w:proofErr w:type="spellStart"/>
            <w:r w:rsidRPr="001649E7">
              <w:rPr>
                <w:szCs w:val="20"/>
              </w:rPr>
              <w:t>hallucis</w:t>
            </w:r>
            <w:proofErr w:type="spellEnd"/>
            <w:r w:rsidRPr="001649E7">
              <w:rPr>
                <w:szCs w:val="20"/>
              </w:rPr>
              <w:t xml:space="preserve"> longus, gastrocnemius, </w:t>
            </w:r>
            <w:proofErr w:type="spellStart"/>
            <w:r w:rsidRPr="001649E7">
              <w:rPr>
                <w:szCs w:val="20"/>
              </w:rPr>
              <w:t>iliacus</w:t>
            </w:r>
            <w:proofErr w:type="spellEnd"/>
            <w:r w:rsidRPr="001649E7">
              <w:rPr>
                <w:szCs w:val="20"/>
              </w:rPr>
              <w:t xml:space="preserve">, hamstrings, quadriceps, rectus </w:t>
            </w:r>
            <w:proofErr w:type="spellStart"/>
            <w:r w:rsidRPr="001649E7">
              <w:rPr>
                <w:szCs w:val="20"/>
              </w:rPr>
              <w:t>femoris</w:t>
            </w:r>
            <w:proofErr w:type="spellEnd"/>
            <w:r w:rsidRPr="001649E7">
              <w:rPr>
                <w:szCs w:val="20"/>
              </w:rPr>
              <w:t xml:space="preserve">, soleus, </w:t>
            </w:r>
            <w:proofErr w:type="spellStart"/>
            <w:r w:rsidRPr="001649E7">
              <w:rPr>
                <w:szCs w:val="20"/>
              </w:rPr>
              <w:t>tibialis</w:t>
            </w:r>
            <w:proofErr w:type="spellEnd"/>
            <w:r w:rsidRPr="001649E7">
              <w:rPr>
                <w:szCs w:val="20"/>
              </w:rPr>
              <w:t xml:space="preserve"> anterior, </w:t>
            </w:r>
            <w:proofErr w:type="spellStart"/>
            <w:r w:rsidRPr="001649E7">
              <w:rPr>
                <w:szCs w:val="20"/>
              </w:rPr>
              <w:t>tibialis</w:t>
            </w:r>
            <w:proofErr w:type="spellEnd"/>
            <w:r w:rsidRPr="001649E7">
              <w:rPr>
                <w:szCs w:val="20"/>
              </w:rPr>
              <w:t xml:space="preserve"> posterior</w:t>
            </w:r>
          </w:p>
        </w:tc>
        <w:tc>
          <w:tcPr>
            <w:tcW w:w="993" w:type="pct"/>
          </w:tcPr>
          <w:p w:rsidR="00FB0292" w:rsidRPr="001649E7" w:rsidRDefault="00FB0292" w:rsidP="004428BA">
            <w:pPr>
              <w:pStyle w:val="Tabletext"/>
              <w:jc w:val="center"/>
              <w:rPr>
                <w:szCs w:val="20"/>
              </w:rPr>
            </w:pPr>
            <w:r w:rsidRPr="001649E7">
              <w:rPr>
                <w:szCs w:val="20"/>
              </w:rPr>
              <w:t>NR</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Pulmonary function tests</w:t>
            </w:r>
          </w:p>
          <w:p w:rsidR="00FB0292" w:rsidRPr="001649E7" w:rsidRDefault="00FB0292" w:rsidP="004428BA">
            <w:pPr>
              <w:pStyle w:val="Tabletext"/>
              <w:numPr>
                <w:ilvl w:val="0"/>
                <w:numId w:val="6"/>
              </w:numPr>
              <w:ind w:left="112" w:hanging="141"/>
              <w:rPr>
                <w:szCs w:val="20"/>
              </w:rPr>
            </w:pPr>
            <w:r w:rsidRPr="001649E7">
              <w:rPr>
                <w:szCs w:val="20"/>
              </w:rPr>
              <w:t>2</w:t>
            </w:r>
            <w:r w:rsidRPr="001649E7">
              <w:rPr>
                <w:szCs w:val="20"/>
                <w:vertAlign w:val="superscript"/>
              </w:rPr>
              <w:t>0</w:t>
            </w:r>
            <w:r w:rsidRPr="001649E7">
              <w:rPr>
                <w:szCs w:val="20"/>
              </w:rPr>
              <w:t>: AS (whole body), P</w:t>
            </w:r>
            <w:r w:rsidR="00F4602B">
              <w:rPr>
                <w:szCs w:val="20"/>
              </w:rPr>
              <w:t xml:space="preserve">GA </w:t>
            </w:r>
          </w:p>
        </w:tc>
        <w:tc>
          <w:tcPr>
            <w:tcW w:w="467" w:type="pct"/>
          </w:tcPr>
          <w:p w:rsidR="00FB0292" w:rsidRPr="001649E7" w:rsidRDefault="00FB0292" w:rsidP="004428BA">
            <w:pPr>
              <w:pStyle w:val="Tabletext"/>
              <w:jc w:val="center"/>
              <w:rPr>
                <w:szCs w:val="20"/>
              </w:rPr>
            </w:pPr>
            <w:r w:rsidRPr="001649E7">
              <w:rPr>
                <w:szCs w:val="20"/>
              </w:rPr>
              <w:t>Low</w:t>
            </w:r>
          </w:p>
        </w:tc>
      </w:tr>
      <w:tr w:rsidR="00FB0292" w:rsidRPr="001A57E6" w:rsidTr="00FC432A">
        <w:trPr>
          <w:trHeight w:val="236"/>
        </w:trPr>
        <w:tc>
          <w:tcPr>
            <w:tcW w:w="465" w:type="pct"/>
          </w:tcPr>
          <w:p w:rsidR="00FB0292" w:rsidRPr="001649E7" w:rsidRDefault="00FB0292" w:rsidP="004428BA">
            <w:pPr>
              <w:pStyle w:val="Tabletext"/>
              <w:jc w:val="both"/>
              <w:rPr>
                <w:szCs w:val="20"/>
              </w:rPr>
            </w:pPr>
            <w:r w:rsidRPr="001649E7">
              <w:rPr>
                <w:szCs w:val="20"/>
              </w:rPr>
              <w:t>Trial 138/139</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USA</w:t>
            </w:r>
          </w:p>
        </w:tc>
        <w:tc>
          <w:tcPr>
            <w:tcW w:w="150" w:type="pct"/>
          </w:tcPr>
          <w:p w:rsidR="00FB0292" w:rsidRPr="001649E7" w:rsidRDefault="00FB0292" w:rsidP="004428BA">
            <w:pPr>
              <w:pStyle w:val="Tabletext"/>
              <w:jc w:val="both"/>
              <w:rPr>
                <w:szCs w:val="20"/>
              </w:rPr>
            </w:pPr>
            <w:r w:rsidRPr="001649E7">
              <w:rPr>
                <w:szCs w:val="20"/>
              </w:rPr>
              <w:t>96</w:t>
            </w:r>
          </w:p>
        </w:tc>
        <w:tc>
          <w:tcPr>
            <w:tcW w:w="526" w:type="pct"/>
          </w:tcPr>
          <w:p w:rsidR="00FB0292" w:rsidRPr="001649E7" w:rsidRDefault="00F4602B" w:rsidP="004428BA">
            <w:pPr>
              <w:pStyle w:val="Tabletext"/>
              <w:rPr>
                <w:szCs w:val="20"/>
              </w:rPr>
            </w:pPr>
            <w:proofErr w:type="spellStart"/>
            <w:r>
              <w:rPr>
                <w:szCs w:val="20"/>
              </w:rPr>
              <w:t>P</w:t>
            </w:r>
            <w:r w:rsidR="00FB0292" w:rsidRPr="001649E7">
              <w:rPr>
                <w:szCs w:val="20"/>
              </w:rPr>
              <w:t>lantarflexor</w:t>
            </w:r>
            <w:proofErr w:type="spellEnd"/>
            <w:r w:rsidR="00FB0292" w:rsidRPr="001649E7">
              <w:rPr>
                <w:szCs w:val="20"/>
              </w:rPr>
              <w:t xml:space="preserve"> spasticity </w:t>
            </w:r>
            <w:r>
              <w:rPr>
                <w:szCs w:val="20"/>
              </w:rPr>
              <w:t xml:space="preserve">post </w:t>
            </w:r>
            <w:r w:rsidR="00FB0292" w:rsidRPr="001649E7">
              <w:rPr>
                <w:szCs w:val="20"/>
              </w:rPr>
              <w:t>stroke (≥6 weeks prior); AS ≥2</w:t>
            </w:r>
          </w:p>
        </w:tc>
        <w:tc>
          <w:tcPr>
            <w:tcW w:w="585" w:type="pct"/>
          </w:tcPr>
          <w:p w:rsidR="00FB0292" w:rsidRPr="001649E7" w:rsidRDefault="00FB0292" w:rsidP="004428BA">
            <w:pPr>
              <w:pStyle w:val="Tabletext"/>
              <w:rPr>
                <w:szCs w:val="20"/>
              </w:rPr>
            </w:pPr>
            <w:r w:rsidRPr="001649E7">
              <w:rPr>
                <w:szCs w:val="20"/>
              </w:rPr>
              <w:t>P2, R</w:t>
            </w:r>
            <w:r w:rsidR="00F4602B">
              <w:rPr>
                <w:szCs w:val="20"/>
              </w:rPr>
              <w:t xml:space="preserve">; </w:t>
            </w:r>
            <w:r w:rsidR="00F4602B">
              <w:rPr>
                <w:szCs w:val="20"/>
              </w:rPr>
              <w:br/>
            </w:r>
            <w:r w:rsidRPr="001649E7">
              <w:rPr>
                <w:szCs w:val="20"/>
              </w:rPr>
              <w:t xml:space="preserve">2 cycles (24 </w:t>
            </w:r>
            <w:proofErr w:type="spellStart"/>
            <w:r w:rsidRPr="001649E7">
              <w:rPr>
                <w:szCs w:val="20"/>
              </w:rPr>
              <w:t>wks</w:t>
            </w:r>
            <w:proofErr w:type="spellEnd"/>
            <w:r w:rsidRPr="001649E7">
              <w:rPr>
                <w:szCs w:val="20"/>
              </w:rPr>
              <w:t>)</w:t>
            </w:r>
          </w:p>
        </w:tc>
        <w:tc>
          <w:tcPr>
            <w:tcW w:w="884" w:type="pct"/>
          </w:tcPr>
          <w:p w:rsidR="00FB0292" w:rsidRPr="001649E7" w:rsidRDefault="00FB0292" w:rsidP="004428BA">
            <w:pPr>
              <w:pStyle w:val="Tabletext"/>
              <w:jc w:val="both"/>
              <w:rPr>
                <w:szCs w:val="20"/>
              </w:rPr>
            </w:pPr>
            <w:r w:rsidRPr="001649E7">
              <w:rPr>
                <w:szCs w:val="20"/>
              </w:rPr>
              <w:t xml:space="preserve">Gastrocnemius, posterior </w:t>
            </w:r>
            <w:proofErr w:type="spellStart"/>
            <w:r w:rsidRPr="001649E7">
              <w:rPr>
                <w:szCs w:val="20"/>
              </w:rPr>
              <w:t>tibialis</w:t>
            </w:r>
            <w:proofErr w:type="spellEnd"/>
          </w:p>
        </w:tc>
        <w:tc>
          <w:tcPr>
            <w:tcW w:w="993" w:type="pct"/>
          </w:tcPr>
          <w:p w:rsidR="00FB0292" w:rsidRPr="001649E7" w:rsidRDefault="00FB0292" w:rsidP="004428BA">
            <w:pPr>
              <w:pStyle w:val="Tabletext"/>
              <w:jc w:val="center"/>
              <w:rPr>
                <w:szCs w:val="20"/>
              </w:rPr>
            </w:pPr>
            <w:r w:rsidRPr="001649E7">
              <w:rPr>
                <w:szCs w:val="20"/>
              </w:rPr>
              <w:t>NR</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AS (ankle)</w:t>
            </w:r>
          </w:p>
          <w:p w:rsidR="00FB0292" w:rsidRPr="001649E7" w:rsidRDefault="00FB0292" w:rsidP="004428BA">
            <w:pPr>
              <w:pStyle w:val="Tabletext"/>
              <w:numPr>
                <w:ilvl w:val="0"/>
                <w:numId w:val="6"/>
              </w:numPr>
              <w:ind w:left="112" w:hanging="141"/>
              <w:rPr>
                <w:szCs w:val="20"/>
              </w:rPr>
            </w:pPr>
            <w:r w:rsidRPr="001649E7">
              <w:rPr>
                <w:szCs w:val="20"/>
              </w:rPr>
              <w:t>2</w:t>
            </w:r>
            <w:r w:rsidRPr="001649E7">
              <w:rPr>
                <w:szCs w:val="20"/>
                <w:vertAlign w:val="superscript"/>
              </w:rPr>
              <w:t>0</w:t>
            </w:r>
            <w:r w:rsidRPr="001649E7">
              <w:rPr>
                <w:szCs w:val="20"/>
              </w:rPr>
              <w:t>: P</w:t>
            </w:r>
            <w:r w:rsidR="00F4602B">
              <w:rPr>
                <w:szCs w:val="20"/>
              </w:rPr>
              <w:t xml:space="preserve">GA </w:t>
            </w:r>
          </w:p>
        </w:tc>
        <w:tc>
          <w:tcPr>
            <w:tcW w:w="467" w:type="pct"/>
          </w:tcPr>
          <w:p w:rsidR="00FB0292" w:rsidRPr="001649E7" w:rsidRDefault="00FB0292" w:rsidP="004428BA">
            <w:pPr>
              <w:pStyle w:val="Tabletext"/>
              <w:jc w:val="center"/>
              <w:rPr>
                <w:szCs w:val="20"/>
              </w:rPr>
            </w:pPr>
            <w:r w:rsidRPr="001649E7">
              <w:rPr>
                <w:szCs w:val="20"/>
              </w:rPr>
              <w:t>Unclear</w:t>
            </w:r>
          </w:p>
        </w:tc>
      </w:tr>
      <w:tr w:rsidR="00FB0292" w:rsidRPr="001A57E6" w:rsidTr="00FC432A">
        <w:trPr>
          <w:trHeight w:val="236"/>
        </w:trPr>
        <w:tc>
          <w:tcPr>
            <w:tcW w:w="465" w:type="pct"/>
          </w:tcPr>
          <w:p w:rsidR="00FB0292" w:rsidRPr="001649E7" w:rsidRDefault="00FB0292" w:rsidP="004428BA">
            <w:pPr>
              <w:pStyle w:val="Tabletext"/>
              <w:jc w:val="both"/>
              <w:rPr>
                <w:szCs w:val="20"/>
              </w:rPr>
            </w:pPr>
            <w:r w:rsidRPr="001649E7">
              <w:rPr>
                <w:szCs w:val="20"/>
              </w:rPr>
              <w:t>Trial 501</w:t>
            </w:r>
          </w:p>
          <w:p w:rsidR="00FB0292" w:rsidRPr="001649E7" w:rsidRDefault="00FB0292" w:rsidP="004428BA">
            <w:pPr>
              <w:pStyle w:val="Tabletext"/>
              <w:jc w:val="both"/>
              <w:rPr>
                <w:szCs w:val="20"/>
              </w:rPr>
            </w:pPr>
            <w:r w:rsidRPr="001649E7">
              <w:rPr>
                <w:szCs w:val="20"/>
              </w:rPr>
              <w:t>Trial 502</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Multi-Country</w:t>
            </w:r>
          </w:p>
        </w:tc>
        <w:tc>
          <w:tcPr>
            <w:tcW w:w="150" w:type="pct"/>
          </w:tcPr>
          <w:p w:rsidR="00FB0292" w:rsidRPr="001649E7" w:rsidRDefault="00FB0292" w:rsidP="004428BA">
            <w:pPr>
              <w:pStyle w:val="Tabletext"/>
              <w:jc w:val="both"/>
              <w:rPr>
                <w:szCs w:val="20"/>
              </w:rPr>
            </w:pPr>
            <w:r w:rsidRPr="001649E7">
              <w:rPr>
                <w:szCs w:val="20"/>
              </w:rPr>
              <w:t>131</w:t>
            </w:r>
          </w:p>
        </w:tc>
        <w:tc>
          <w:tcPr>
            <w:tcW w:w="526" w:type="pct"/>
          </w:tcPr>
          <w:p w:rsidR="00FB0292" w:rsidRPr="001649E7" w:rsidRDefault="00F4602B" w:rsidP="004428BA">
            <w:pPr>
              <w:pStyle w:val="Tabletext"/>
              <w:rPr>
                <w:szCs w:val="20"/>
              </w:rPr>
            </w:pPr>
            <w:proofErr w:type="spellStart"/>
            <w:r>
              <w:rPr>
                <w:szCs w:val="20"/>
              </w:rPr>
              <w:t>P</w:t>
            </w:r>
            <w:r w:rsidR="00FB0292" w:rsidRPr="001649E7">
              <w:rPr>
                <w:szCs w:val="20"/>
              </w:rPr>
              <w:t>lantarflexor</w:t>
            </w:r>
            <w:proofErr w:type="spellEnd"/>
            <w:r w:rsidR="00FB0292" w:rsidRPr="001649E7">
              <w:rPr>
                <w:szCs w:val="20"/>
              </w:rPr>
              <w:t xml:space="preserve"> spasticity </w:t>
            </w:r>
            <w:r>
              <w:rPr>
                <w:szCs w:val="20"/>
              </w:rPr>
              <w:t>post</w:t>
            </w:r>
            <w:r w:rsidR="00FB0292" w:rsidRPr="001649E7">
              <w:rPr>
                <w:szCs w:val="20"/>
              </w:rPr>
              <w:t xml:space="preserve"> stroke (≥6 weeks prior); AS ≥2</w:t>
            </w:r>
          </w:p>
        </w:tc>
        <w:tc>
          <w:tcPr>
            <w:tcW w:w="585" w:type="pct"/>
          </w:tcPr>
          <w:p w:rsidR="00F4602B" w:rsidRDefault="00FB0292" w:rsidP="004428BA">
            <w:pPr>
              <w:pStyle w:val="Tabletext"/>
              <w:rPr>
                <w:szCs w:val="20"/>
              </w:rPr>
            </w:pPr>
            <w:r w:rsidRPr="001649E7">
              <w:rPr>
                <w:szCs w:val="20"/>
              </w:rPr>
              <w:t>P2, R</w:t>
            </w:r>
            <w:r w:rsidR="00F4602B">
              <w:rPr>
                <w:szCs w:val="20"/>
              </w:rPr>
              <w:t>;</w:t>
            </w:r>
          </w:p>
          <w:p w:rsidR="00FB0292" w:rsidRPr="001649E7" w:rsidRDefault="00FB0292" w:rsidP="004428BA">
            <w:pPr>
              <w:pStyle w:val="Tabletext"/>
              <w:rPr>
                <w:szCs w:val="20"/>
              </w:rPr>
            </w:pPr>
            <w:r w:rsidRPr="001649E7">
              <w:rPr>
                <w:szCs w:val="20"/>
              </w:rPr>
              <w:t xml:space="preserve">1 cycle (12 </w:t>
            </w:r>
            <w:proofErr w:type="spellStart"/>
            <w:r w:rsidRPr="001649E7">
              <w:rPr>
                <w:szCs w:val="20"/>
              </w:rPr>
              <w:t>wks</w:t>
            </w:r>
            <w:proofErr w:type="spellEnd"/>
            <w:r w:rsidRPr="001649E7">
              <w:rPr>
                <w:szCs w:val="20"/>
              </w:rPr>
              <w:t>)</w:t>
            </w:r>
          </w:p>
          <w:p w:rsidR="00FB0292" w:rsidRPr="001649E7" w:rsidRDefault="00FB0292" w:rsidP="004428BA">
            <w:pPr>
              <w:pStyle w:val="Tabletext"/>
              <w:rPr>
                <w:szCs w:val="20"/>
              </w:rPr>
            </w:pPr>
          </w:p>
          <w:p w:rsidR="00FB0292" w:rsidRPr="001649E7" w:rsidRDefault="00FB0292" w:rsidP="004428BA">
            <w:pPr>
              <w:pStyle w:val="Tabletext"/>
              <w:rPr>
                <w:szCs w:val="20"/>
              </w:rPr>
            </w:pPr>
            <w:r w:rsidRPr="001649E7">
              <w:rPr>
                <w:szCs w:val="20"/>
              </w:rPr>
              <w:t xml:space="preserve">Some patients were retreated (same dose) in Trial 502 (N=91); 1 cycle (12 </w:t>
            </w:r>
            <w:proofErr w:type="spellStart"/>
            <w:r w:rsidRPr="001649E7">
              <w:rPr>
                <w:szCs w:val="20"/>
              </w:rPr>
              <w:t>wks</w:t>
            </w:r>
            <w:proofErr w:type="spellEnd"/>
            <w:r w:rsidRPr="001649E7">
              <w:rPr>
                <w:szCs w:val="20"/>
              </w:rPr>
              <w:t>)</w:t>
            </w:r>
          </w:p>
        </w:tc>
        <w:tc>
          <w:tcPr>
            <w:tcW w:w="884" w:type="pct"/>
          </w:tcPr>
          <w:p w:rsidR="00FB0292" w:rsidRPr="001649E7" w:rsidRDefault="00FB0292" w:rsidP="004428BA">
            <w:pPr>
              <w:pStyle w:val="Tabletext"/>
              <w:jc w:val="both"/>
              <w:rPr>
                <w:szCs w:val="20"/>
              </w:rPr>
            </w:pPr>
            <w:r w:rsidRPr="001649E7">
              <w:rPr>
                <w:szCs w:val="20"/>
              </w:rPr>
              <w:t xml:space="preserve">Gastrocnemius, anterior/posterior </w:t>
            </w:r>
            <w:proofErr w:type="spellStart"/>
            <w:r w:rsidRPr="001649E7">
              <w:rPr>
                <w:szCs w:val="20"/>
              </w:rPr>
              <w:t>tibialis</w:t>
            </w:r>
            <w:proofErr w:type="spellEnd"/>
            <w:r w:rsidRPr="001649E7">
              <w:rPr>
                <w:szCs w:val="20"/>
              </w:rPr>
              <w:t xml:space="preserve"> </w:t>
            </w:r>
          </w:p>
        </w:tc>
        <w:tc>
          <w:tcPr>
            <w:tcW w:w="993" w:type="pct"/>
          </w:tcPr>
          <w:p w:rsidR="00FB0292" w:rsidRPr="001649E7" w:rsidRDefault="00FB0292" w:rsidP="004428BA">
            <w:pPr>
              <w:pStyle w:val="Tabletext"/>
              <w:rPr>
                <w:szCs w:val="20"/>
              </w:rPr>
            </w:pPr>
            <w:r w:rsidRPr="001649E7">
              <w:rPr>
                <w:szCs w:val="20"/>
              </w:rPr>
              <w:t>Physical therapy at baseline</w:t>
            </w:r>
            <w:r w:rsidR="00F4602B">
              <w:rPr>
                <w:szCs w:val="20"/>
              </w:rPr>
              <w:t>: up to 9</w:t>
            </w:r>
            <w:r w:rsidRPr="001649E7">
              <w:rPr>
                <w:szCs w:val="20"/>
              </w:rPr>
              <w:t>3</w:t>
            </w:r>
            <w:r w:rsidR="00F4602B">
              <w:rPr>
                <w:szCs w:val="20"/>
              </w:rPr>
              <w:t xml:space="preserve">% </w:t>
            </w:r>
            <w:r w:rsidRPr="001649E7">
              <w:rPr>
                <w:szCs w:val="20"/>
              </w:rPr>
              <w:t xml:space="preserve">of patients </w:t>
            </w:r>
          </w:p>
          <w:p w:rsidR="00FB0292" w:rsidRPr="001649E7" w:rsidRDefault="00FB0292" w:rsidP="004428BA">
            <w:pPr>
              <w:pStyle w:val="Tabletext"/>
              <w:rPr>
                <w:szCs w:val="20"/>
              </w:rPr>
            </w:pPr>
            <w:r w:rsidRPr="001649E7">
              <w:rPr>
                <w:szCs w:val="20"/>
              </w:rPr>
              <w:t xml:space="preserve">Physical therapy by the end of the trial: </w:t>
            </w:r>
            <w:r w:rsidR="00F4602B">
              <w:rPr>
                <w:szCs w:val="20"/>
              </w:rPr>
              <w:t xml:space="preserve">up to </w:t>
            </w:r>
            <w:r w:rsidRPr="001649E7">
              <w:rPr>
                <w:szCs w:val="20"/>
              </w:rPr>
              <w:t>84%</w:t>
            </w:r>
            <w:r w:rsidR="00F4602B">
              <w:rPr>
                <w:szCs w:val="20"/>
              </w:rPr>
              <w:t xml:space="preserve"> of patients</w:t>
            </w:r>
          </w:p>
          <w:p w:rsidR="00FB0292" w:rsidRPr="001649E7" w:rsidRDefault="00FB0292" w:rsidP="004428BA">
            <w:pPr>
              <w:pStyle w:val="Tabletext"/>
              <w:rPr>
                <w:szCs w:val="20"/>
              </w:rPr>
            </w:pP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AS (ankle)</w:t>
            </w:r>
          </w:p>
          <w:p w:rsidR="00FB0292" w:rsidRPr="001649E7" w:rsidRDefault="00FB0292" w:rsidP="004428BA">
            <w:pPr>
              <w:pStyle w:val="Tabletext"/>
              <w:numPr>
                <w:ilvl w:val="0"/>
                <w:numId w:val="6"/>
              </w:numPr>
              <w:ind w:left="112" w:hanging="141"/>
              <w:rPr>
                <w:szCs w:val="20"/>
              </w:rPr>
            </w:pPr>
            <w:r w:rsidRPr="001649E7">
              <w:rPr>
                <w:szCs w:val="20"/>
              </w:rPr>
              <w:t>2</w:t>
            </w:r>
            <w:r w:rsidRPr="001649E7">
              <w:rPr>
                <w:szCs w:val="20"/>
                <w:vertAlign w:val="superscript"/>
              </w:rPr>
              <w:t>0</w:t>
            </w:r>
            <w:r w:rsidRPr="001649E7">
              <w:rPr>
                <w:szCs w:val="20"/>
              </w:rPr>
              <w:t>: P</w:t>
            </w:r>
            <w:r w:rsidR="00F4602B">
              <w:rPr>
                <w:szCs w:val="20"/>
              </w:rPr>
              <w:t xml:space="preserve">GA </w:t>
            </w:r>
          </w:p>
        </w:tc>
        <w:tc>
          <w:tcPr>
            <w:tcW w:w="467" w:type="pct"/>
          </w:tcPr>
          <w:p w:rsidR="00FB0292" w:rsidRPr="001649E7" w:rsidRDefault="00FB0292" w:rsidP="004428BA">
            <w:pPr>
              <w:pStyle w:val="Tabletext"/>
              <w:jc w:val="center"/>
              <w:rPr>
                <w:szCs w:val="20"/>
              </w:rPr>
            </w:pPr>
            <w:r w:rsidRPr="001649E7">
              <w:rPr>
                <w:szCs w:val="20"/>
              </w:rPr>
              <w:t>Low</w:t>
            </w:r>
          </w:p>
        </w:tc>
      </w:tr>
      <w:tr w:rsidR="00FB0292" w:rsidRPr="001A57E6" w:rsidTr="00FC432A">
        <w:trPr>
          <w:trHeight w:val="236"/>
        </w:trPr>
        <w:tc>
          <w:tcPr>
            <w:tcW w:w="465" w:type="pct"/>
          </w:tcPr>
          <w:p w:rsidR="00FB0292" w:rsidRPr="001649E7" w:rsidRDefault="00FB0292" w:rsidP="004428BA">
            <w:pPr>
              <w:pStyle w:val="Tabletext"/>
              <w:jc w:val="both"/>
              <w:rPr>
                <w:szCs w:val="20"/>
              </w:rPr>
            </w:pPr>
            <w:proofErr w:type="spellStart"/>
            <w:r w:rsidRPr="001649E7">
              <w:rPr>
                <w:szCs w:val="20"/>
              </w:rPr>
              <w:t>BEST</w:t>
            </w:r>
            <w:r w:rsidRPr="001649E7">
              <w:rPr>
                <w:szCs w:val="20"/>
                <w:vertAlign w:val="superscript"/>
              </w:rPr>
              <w:t>a</w:t>
            </w:r>
            <w:proofErr w:type="spellEnd"/>
          </w:p>
          <w:p w:rsidR="00FB0292" w:rsidRPr="001649E7" w:rsidRDefault="00FB0292" w:rsidP="004428BA">
            <w:pPr>
              <w:pStyle w:val="Tabletext"/>
              <w:jc w:val="both"/>
              <w:rPr>
                <w:szCs w:val="20"/>
              </w:rPr>
            </w:pPr>
            <w:r w:rsidRPr="001649E7">
              <w:rPr>
                <w:szCs w:val="20"/>
              </w:rPr>
              <w:t xml:space="preserve">(Borg 2011, Ward 2014, </w:t>
            </w:r>
            <w:proofErr w:type="spellStart"/>
            <w:r w:rsidRPr="001649E7">
              <w:rPr>
                <w:szCs w:val="20"/>
              </w:rPr>
              <w:t>Wissel</w:t>
            </w:r>
            <w:proofErr w:type="spellEnd"/>
            <w:r w:rsidRPr="001649E7">
              <w:rPr>
                <w:szCs w:val="20"/>
              </w:rPr>
              <w:t xml:space="preserve"> 2016)</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Multi-country</w:t>
            </w:r>
          </w:p>
        </w:tc>
        <w:tc>
          <w:tcPr>
            <w:tcW w:w="150" w:type="pct"/>
          </w:tcPr>
          <w:p w:rsidR="00FB0292" w:rsidRPr="001649E7" w:rsidRDefault="00FB0292" w:rsidP="004428BA">
            <w:pPr>
              <w:pStyle w:val="Tabletext"/>
              <w:jc w:val="both"/>
              <w:rPr>
                <w:szCs w:val="20"/>
              </w:rPr>
            </w:pPr>
            <w:r w:rsidRPr="001649E7">
              <w:rPr>
                <w:szCs w:val="20"/>
              </w:rPr>
              <w:t>273</w:t>
            </w:r>
          </w:p>
        </w:tc>
        <w:tc>
          <w:tcPr>
            <w:tcW w:w="526" w:type="pct"/>
          </w:tcPr>
          <w:p w:rsidR="00FB0292" w:rsidRPr="001649E7" w:rsidRDefault="00F4602B" w:rsidP="004428BA">
            <w:pPr>
              <w:pStyle w:val="Tabletext"/>
              <w:rPr>
                <w:szCs w:val="20"/>
              </w:rPr>
            </w:pPr>
            <w:r>
              <w:rPr>
                <w:szCs w:val="20"/>
              </w:rPr>
              <w:t>U</w:t>
            </w:r>
            <w:r w:rsidR="00FB0292" w:rsidRPr="001649E7">
              <w:rPr>
                <w:szCs w:val="20"/>
              </w:rPr>
              <w:t xml:space="preserve">pper and/or </w:t>
            </w:r>
            <w:r w:rsidR="00FD67BE" w:rsidRPr="001649E7">
              <w:rPr>
                <w:szCs w:val="20"/>
              </w:rPr>
              <w:t>LLFS</w:t>
            </w:r>
            <w:r w:rsidR="00FB0292" w:rsidRPr="001649E7">
              <w:rPr>
                <w:szCs w:val="20"/>
              </w:rPr>
              <w:t xml:space="preserve"> </w:t>
            </w:r>
            <w:r>
              <w:rPr>
                <w:szCs w:val="20"/>
              </w:rPr>
              <w:t>post</w:t>
            </w:r>
            <w:r w:rsidR="0000469F">
              <w:rPr>
                <w:szCs w:val="20"/>
              </w:rPr>
              <w:t xml:space="preserve"> stroke (≥3 </w:t>
            </w:r>
            <w:proofErr w:type="spellStart"/>
            <w:r w:rsidR="0000469F">
              <w:rPr>
                <w:szCs w:val="20"/>
              </w:rPr>
              <w:t>mths</w:t>
            </w:r>
            <w:proofErr w:type="spellEnd"/>
            <w:r w:rsidR="0000469F">
              <w:rPr>
                <w:szCs w:val="20"/>
              </w:rPr>
              <w:t xml:space="preserve"> prior)</w:t>
            </w:r>
          </w:p>
        </w:tc>
        <w:tc>
          <w:tcPr>
            <w:tcW w:w="585" w:type="pct"/>
          </w:tcPr>
          <w:p w:rsidR="00FB0292" w:rsidRPr="001649E7" w:rsidRDefault="00FB0292" w:rsidP="004428BA">
            <w:pPr>
              <w:pStyle w:val="Tabletext"/>
              <w:rPr>
                <w:szCs w:val="20"/>
              </w:rPr>
            </w:pPr>
            <w:r w:rsidRPr="001649E7">
              <w:rPr>
                <w:szCs w:val="20"/>
              </w:rPr>
              <w:t>P4, R</w:t>
            </w:r>
            <w:r w:rsidR="00F4602B">
              <w:rPr>
                <w:szCs w:val="20"/>
              </w:rPr>
              <w:t>;</w:t>
            </w:r>
            <w:r w:rsidRPr="001649E7">
              <w:rPr>
                <w:szCs w:val="20"/>
              </w:rPr>
              <w:t xml:space="preserve"> </w:t>
            </w:r>
          </w:p>
          <w:p w:rsidR="00FB0292" w:rsidRPr="001649E7" w:rsidRDefault="00FB0292" w:rsidP="004428BA">
            <w:pPr>
              <w:pStyle w:val="Tabletext"/>
              <w:rPr>
                <w:szCs w:val="20"/>
              </w:rPr>
            </w:pPr>
            <w:r w:rsidRPr="001649E7">
              <w:rPr>
                <w:szCs w:val="20"/>
              </w:rPr>
              <w:t xml:space="preserve">1 (or 2) cycle (22-34 weeks), </w:t>
            </w:r>
            <w:r w:rsidR="00F4602B">
              <w:rPr>
                <w:szCs w:val="20"/>
              </w:rPr>
              <w:t>DB;</w:t>
            </w:r>
          </w:p>
          <w:p w:rsidR="00FB0292" w:rsidRPr="001649E7" w:rsidRDefault="00FB0292" w:rsidP="004428BA">
            <w:pPr>
              <w:pStyle w:val="Tabletext"/>
              <w:rPr>
                <w:szCs w:val="20"/>
              </w:rPr>
            </w:pPr>
            <w:r w:rsidRPr="001649E7">
              <w:rPr>
                <w:szCs w:val="20"/>
              </w:rPr>
              <w:t xml:space="preserve">1 cycle (up to </w:t>
            </w:r>
            <w:proofErr w:type="spellStart"/>
            <w:r w:rsidRPr="001649E7">
              <w:rPr>
                <w:szCs w:val="20"/>
              </w:rPr>
              <w:t>Wk</w:t>
            </w:r>
            <w:proofErr w:type="spellEnd"/>
            <w:r w:rsidRPr="001649E7">
              <w:rPr>
                <w:szCs w:val="20"/>
              </w:rPr>
              <w:t xml:space="preserve"> 52), </w:t>
            </w:r>
            <w:r w:rsidR="00F4602B">
              <w:rPr>
                <w:szCs w:val="20"/>
              </w:rPr>
              <w:t>OL</w:t>
            </w:r>
          </w:p>
        </w:tc>
        <w:tc>
          <w:tcPr>
            <w:tcW w:w="884" w:type="pct"/>
          </w:tcPr>
          <w:p w:rsidR="00FB0292" w:rsidRPr="001649E7" w:rsidRDefault="00F4602B" w:rsidP="004428BA">
            <w:pPr>
              <w:pStyle w:val="Tabletext"/>
              <w:numPr>
                <w:ilvl w:val="0"/>
                <w:numId w:val="6"/>
              </w:numPr>
              <w:ind w:left="112" w:hanging="141"/>
              <w:rPr>
                <w:szCs w:val="20"/>
              </w:rPr>
            </w:pPr>
            <w:r>
              <w:rPr>
                <w:szCs w:val="20"/>
              </w:rPr>
              <w:t>Ankle</w:t>
            </w:r>
            <w:r w:rsidR="00FB0292" w:rsidRPr="001649E7">
              <w:rPr>
                <w:szCs w:val="20"/>
              </w:rPr>
              <w:t xml:space="preserve"> </w:t>
            </w:r>
          </w:p>
          <w:p w:rsidR="00F4602B" w:rsidRDefault="00F4602B" w:rsidP="004428BA">
            <w:pPr>
              <w:pStyle w:val="Tabletext"/>
              <w:numPr>
                <w:ilvl w:val="0"/>
                <w:numId w:val="6"/>
              </w:numPr>
              <w:ind w:left="112" w:hanging="141"/>
              <w:rPr>
                <w:szCs w:val="20"/>
              </w:rPr>
            </w:pPr>
            <w:r>
              <w:rPr>
                <w:szCs w:val="20"/>
              </w:rPr>
              <w:t>Thigh</w:t>
            </w:r>
          </w:p>
          <w:p w:rsidR="00FB0292" w:rsidRPr="001649E7" w:rsidRDefault="00FB0292" w:rsidP="004428BA">
            <w:pPr>
              <w:pStyle w:val="Tabletext"/>
              <w:numPr>
                <w:ilvl w:val="0"/>
                <w:numId w:val="6"/>
              </w:numPr>
              <w:ind w:left="112" w:hanging="141"/>
              <w:rPr>
                <w:szCs w:val="20"/>
              </w:rPr>
            </w:pPr>
            <w:r w:rsidRPr="001649E7">
              <w:rPr>
                <w:szCs w:val="20"/>
              </w:rPr>
              <w:t>H</w:t>
            </w:r>
            <w:r w:rsidR="00F4602B">
              <w:rPr>
                <w:szCs w:val="20"/>
              </w:rPr>
              <w:t>ip</w:t>
            </w:r>
          </w:p>
        </w:tc>
        <w:tc>
          <w:tcPr>
            <w:tcW w:w="993" w:type="pct"/>
          </w:tcPr>
          <w:p w:rsidR="00FB0292" w:rsidRPr="001649E7" w:rsidRDefault="00F4602B" w:rsidP="004428BA">
            <w:pPr>
              <w:pStyle w:val="Tabletext"/>
              <w:rPr>
                <w:szCs w:val="20"/>
              </w:rPr>
            </w:pPr>
            <w:r>
              <w:rPr>
                <w:szCs w:val="20"/>
              </w:rPr>
              <w:t>Varied</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GAS</w:t>
            </w:r>
          </w:p>
          <w:p w:rsidR="00FB0292" w:rsidRPr="001649E7" w:rsidRDefault="00FB0292" w:rsidP="004428BA">
            <w:pPr>
              <w:pStyle w:val="Tabletext"/>
              <w:numPr>
                <w:ilvl w:val="0"/>
                <w:numId w:val="6"/>
              </w:numPr>
              <w:ind w:left="112" w:hanging="141"/>
              <w:rPr>
                <w:szCs w:val="20"/>
              </w:rPr>
            </w:pPr>
            <w:r w:rsidRPr="001649E7">
              <w:rPr>
                <w:szCs w:val="20"/>
              </w:rPr>
              <w:t>2</w:t>
            </w:r>
            <w:r w:rsidRPr="001649E7">
              <w:rPr>
                <w:szCs w:val="20"/>
                <w:vertAlign w:val="superscript"/>
              </w:rPr>
              <w:t>0</w:t>
            </w:r>
            <w:r w:rsidRPr="001649E7">
              <w:rPr>
                <w:szCs w:val="20"/>
              </w:rPr>
              <w:t xml:space="preserve">: </w:t>
            </w:r>
            <w:r w:rsidR="0000469F">
              <w:rPr>
                <w:szCs w:val="20"/>
              </w:rPr>
              <w:t>EQ5D, SF-12v2</w:t>
            </w:r>
          </w:p>
        </w:tc>
        <w:tc>
          <w:tcPr>
            <w:tcW w:w="467" w:type="pct"/>
          </w:tcPr>
          <w:p w:rsidR="00FB0292" w:rsidRPr="001649E7" w:rsidRDefault="00FB0292" w:rsidP="004428BA">
            <w:pPr>
              <w:pStyle w:val="Tabletext"/>
              <w:jc w:val="center"/>
              <w:rPr>
                <w:szCs w:val="20"/>
              </w:rPr>
            </w:pPr>
            <w:r w:rsidRPr="001649E7">
              <w:rPr>
                <w:szCs w:val="20"/>
              </w:rPr>
              <w:t>Low</w:t>
            </w:r>
          </w:p>
        </w:tc>
      </w:tr>
      <w:tr w:rsidR="00FB0292" w:rsidRPr="001A57E6" w:rsidTr="00FC432A">
        <w:trPr>
          <w:trHeight w:val="236"/>
        </w:trPr>
        <w:tc>
          <w:tcPr>
            <w:tcW w:w="465" w:type="pct"/>
          </w:tcPr>
          <w:p w:rsidR="00FB0292" w:rsidRPr="001649E7" w:rsidRDefault="00FB0292" w:rsidP="004428BA">
            <w:pPr>
              <w:pStyle w:val="Tabletext"/>
              <w:jc w:val="both"/>
              <w:rPr>
                <w:szCs w:val="20"/>
              </w:rPr>
            </w:pPr>
            <w:r w:rsidRPr="001649E7">
              <w:rPr>
                <w:szCs w:val="20"/>
              </w:rPr>
              <w:t>Tao 2015</w:t>
            </w:r>
          </w:p>
          <w:p w:rsidR="00FB0292" w:rsidRPr="001649E7" w:rsidRDefault="00FB0292" w:rsidP="004428BA">
            <w:pPr>
              <w:pStyle w:val="Tabletext"/>
              <w:jc w:val="both"/>
              <w:rPr>
                <w:szCs w:val="20"/>
              </w:rPr>
            </w:pPr>
          </w:p>
          <w:p w:rsidR="00FB0292" w:rsidRPr="001649E7" w:rsidRDefault="00FB0292" w:rsidP="004428BA">
            <w:pPr>
              <w:pStyle w:val="Tabletext"/>
              <w:jc w:val="both"/>
              <w:rPr>
                <w:szCs w:val="20"/>
              </w:rPr>
            </w:pPr>
            <w:r w:rsidRPr="001649E7">
              <w:rPr>
                <w:szCs w:val="20"/>
              </w:rPr>
              <w:t>China</w:t>
            </w:r>
          </w:p>
        </w:tc>
        <w:tc>
          <w:tcPr>
            <w:tcW w:w="150" w:type="pct"/>
          </w:tcPr>
          <w:p w:rsidR="00FB0292" w:rsidRPr="001649E7" w:rsidRDefault="00FB0292" w:rsidP="004428BA">
            <w:pPr>
              <w:pStyle w:val="Tabletext"/>
              <w:jc w:val="both"/>
              <w:rPr>
                <w:szCs w:val="20"/>
              </w:rPr>
            </w:pPr>
            <w:r w:rsidRPr="001649E7">
              <w:rPr>
                <w:szCs w:val="20"/>
              </w:rPr>
              <w:t>23</w:t>
            </w:r>
          </w:p>
        </w:tc>
        <w:tc>
          <w:tcPr>
            <w:tcW w:w="526" w:type="pct"/>
          </w:tcPr>
          <w:p w:rsidR="00FB0292" w:rsidRPr="001649E7" w:rsidRDefault="00FB0292" w:rsidP="004428BA">
            <w:pPr>
              <w:pStyle w:val="Tabletext"/>
              <w:rPr>
                <w:szCs w:val="20"/>
              </w:rPr>
            </w:pPr>
            <w:proofErr w:type="spellStart"/>
            <w:r w:rsidRPr="001649E7">
              <w:rPr>
                <w:szCs w:val="20"/>
              </w:rPr>
              <w:t>P</w:t>
            </w:r>
            <w:r w:rsidR="00F4602B">
              <w:rPr>
                <w:szCs w:val="20"/>
              </w:rPr>
              <w:t>lantarflexor</w:t>
            </w:r>
            <w:proofErr w:type="spellEnd"/>
            <w:r w:rsidR="00F4602B">
              <w:rPr>
                <w:szCs w:val="20"/>
              </w:rPr>
              <w:t xml:space="preserve"> spasticity post </w:t>
            </w:r>
            <w:r w:rsidRPr="001649E7">
              <w:rPr>
                <w:szCs w:val="20"/>
              </w:rPr>
              <w:t xml:space="preserve">stroke (≤6 </w:t>
            </w:r>
            <w:proofErr w:type="spellStart"/>
            <w:r w:rsidRPr="001649E7">
              <w:rPr>
                <w:szCs w:val="20"/>
              </w:rPr>
              <w:t>wks</w:t>
            </w:r>
            <w:proofErr w:type="spellEnd"/>
            <w:r w:rsidRPr="001649E7">
              <w:rPr>
                <w:szCs w:val="20"/>
              </w:rPr>
              <w:t xml:space="preserve"> prior); MAS ≥1</w:t>
            </w:r>
          </w:p>
        </w:tc>
        <w:tc>
          <w:tcPr>
            <w:tcW w:w="585" w:type="pct"/>
          </w:tcPr>
          <w:p w:rsidR="00F4602B" w:rsidRDefault="00FB0292" w:rsidP="004428BA">
            <w:pPr>
              <w:pStyle w:val="Tabletext"/>
              <w:rPr>
                <w:szCs w:val="20"/>
              </w:rPr>
            </w:pPr>
            <w:r w:rsidRPr="001649E7">
              <w:rPr>
                <w:szCs w:val="20"/>
              </w:rPr>
              <w:t>P2, R</w:t>
            </w:r>
            <w:r w:rsidR="00F4602B">
              <w:rPr>
                <w:szCs w:val="20"/>
              </w:rPr>
              <w:t>;</w:t>
            </w:r>
          </w:p>
          <w:p w:rsidR="00FB0292" w:rsidRPr="001649E7" w:rsidRDefault="00FB0292" w:rsidP="004428BA">
            <w:pPr>
              <w:pStyle w:val="Tabletext"/>
              <w:rPr>
                <w:szCs w:val="20"/>
              </w:rPr>
            </w:pPr>
            <w:r w:rsidRPr="001649E7">
              <w:rPr>
                <w:szCs w:val="20"/>
              </w:rPr>
              <w:t xml:space="preserve">1 cycle (8 </w:t>
            </w:r>
            <w:proofErr w:type="spellStart"/>
            <w:r w:rsidRPr="001649E7">
              <w:rPr>
                <w:szCs w:val="20"/>
              </w:rPr>
              <w:t>wks</w:t>
            </w:r>
            <w:proofErr w:type="spellEnd"/>
            <w:r w:rsidRPr="001649E7">
              <w:rPr>
                <w:szCs w:val="20"/>
              </w:rPr>
              <w:t>)</w:t>
            </w:r>
          </w:p>
        </w:tc>
        <w:tc>
          <w:tcPr>
            <w:tcW w:w="884" w:type="pct"/>
          </w:tcPr>
          <w:p w:rsidR="00FB0292" w:rsidRPr="001649E7" w:rsidRDefault="00FB0292" w:rsidP="004428BA">
            <w:pPr>
              <w:pStyle w:val="Tabletext"/>
              <w:rPr>
                <w:szCs w:val="20"/>
              </w:rPr>
            </w:pPr>
            <w:r w:rsidRPr="001649E7">
              <w:rPr>
                <w:szCs w:val="20"/>
              </w:rPr>
              <w:t xml:space="preserve">Gastrocnemius, soleus, posterior </w:t>
            </w:r>
            <w:proofErr w:type="spellStart"/>
            <w:r w:rsidRPr="001649E7">
              <w:rPr>
                <w:szCs w:val="20"/>
              </w:rPr>
              <w:t>tibialis</w:t>
            </w:r>
            <w:proofErr w:type="spellEnd"/>
            <w:r w:rsidRPr="001649E7">
              <w:rPr>
                <w:szCs w:val="20"/>
              </w:rPr>
              <w:t>; E</w:t>
            </w:r>
            <w:r w:rsidR="0000469F">
              <w:rPr>
                <w:szCs w:val="20"/>
              </w:rPr>
              <w:t>S-</w:t>
            </w:r>
            <w:r w:rsidRPr="001649E7">
              <w:rPr>
                <w:szCs w:val="20"/>
              </w:rPr>
              <w:t>guided</w:t>
            </w:r>
          </w:p>
        </w:tc>
        <w:tc>
          <w:tcPr>
            <w:tcW w:w="993" w:type="pct"/>
          </w:tcPr>
          <w:p w:rsidR="00FB0292" w:rsidRPr="001649E7" w:rsidRDefault="0000469F" w:rsidP="004428BA">
            <w:pPr>
              <w:pStyle w:val="Tabletext"/>
              <w:rPr>
                <w:szCs w:val="20"/>
              </w:rPr>
            </w:pPr>
            <w:r>
              <w:rPr>
                <w:szCs w:val="20"/>
              </w:rPr>
              <w:t>100%</w:t>
            </w:r>
          </w:p>
        </w:tc>
        <w:tc>
          <w:tcPr>
            <w:tcW w:w="930" w:type="pct"/>
          </w:tcPr>
          <w:p w:rsidR="00FB0292" w:rsidRPr="001649E7" w:rsidRDefault="00FB0292" w:rsidP="004428BA">
            <w:pPr>
              <w:pStyle w:val="Tabletext"/>
              <w:numPr>
                <w:ilvl w:val="0"/>
                <w:numId w:val="6"/>
              </w:numPr>
              <w:ind w:left="112" w:hanging="141"/>
              <w:rPr>
                <w:szCs w:val="20"/>
              </w:rPr>
            </w:pPr>
            <w:r w:rsidRPr="001649E7">
              <w:rPr>
                <w:szCs w:val="20"/>
              </w:rPr>
              <w:t>1</w:t>
            </w:r>
            <w:r w:rsidRPr="001649E7">
              <w:rPr>
                <w:szCs w:val="20"/>
                <w:vertAlign w:val="superscript"/>
              </w:rPr>
              <w:t>0</w:t>
            </w:r>
            <w:r w:rsidRPr="001649E7">
              <w:rPr>
                <w:szCs w:val="20"/>
              </w:rPr>
              <w:t>: MAS (ankle)</w:t>
            </w:r>
          </w:p>
          <w:p w:rsidR="00FB0292" w:rsidRPr="001649E7" w:rsidRDefault="00FB0292" w:rsidP="004428BA">
            <w:pPr>
              <w:pStyle w:val="Tabletext"/>
              <w:ind w:left="-29"/>
              <w:rPr>
                <w:szCs w:val="20"/>
              </w:rPr>
            </w:pPr>
          </w:p>
        </w:tc>
        <w:tc>
          <w:tcPr>
            <w:tcW w:w="467" w:type="pct"/>
          </w:tcPr>
          <w:p w:rsidR="00FB0292" w:rsidRPr="001649E7" w:rsidRDefault="00FB0292" w:rsidP="004428BA">
            <w:pPr>
              <w:pStyle w:val="Tabletext"/>
              <w:jc w:val="center"/>
              <w:rPr>
                <w:szCs w:val="20"/>
              </w:rPr>
            </w:pPr>
            <w:r w:rsidRPr="001649E7">
              <w:rPr>
                <w:szCs w:val="20"/>
              </w:rPr>
              <w:t>Low</w:t>
            </w:r>
          </w:p>
        </w:tc>
      </w:tr>
    </w:tbl>
    <w:p w:rsidR="00FB0292" w:rsidRPr="001A57E6" w:rsidRDefault="00FB0292" w:rsidP="004428BA">
      <w:pPr>
        <w:widowControl/>
        <w:rPr>
          <w:rFonts w:ascii="Arial Narrow" w:hAnsi="Arial Narrow"/>
          <w:sz w:val="16"/>
          <w:szCs w:val="16"/>
        </w:rPr>
      </w:pPr>
      <w:r w:rsidRPr="001A57E6">
        <w:rPr>
          <w:rFonts w:ascii="Arial Narrow" w:hAnsi="Arial Narrow"/>
          <w:sz w:val="16"/>
          <w:szCs w:val="16"/>
        </w:rPr>
        <w:t xml:space="preserve">Abbreviations: AS= Ashworth score; </w:t>
      </w:r>
      <w:r w:rsidR="009962A5" w:rsidRPr="001A57E6">
        <w:rPr>
          <w:rFonts w:ascii="Arial Narrow" w:hAnsi="Arial Narrow"/>
          <w:sz w:val="16"/>
          <w:szCs w:val="16"/>
        </w:rPr>
        <w:t>AU</w:t>
      </w:r>
      <w:r w:rsidR="009962A5">
        <w:rPr>
          <w:rFonts w:ascii="Arial Narrow" w:hAnsi="Arial Narrow"/>
          <w:sz w:val="16"/>
          <w:szCs w:val="16"/>
        </w:rPr>
        <w:t>C</w:t>
      </w:r>
      <w:r w:rsidRPr="001A57E6">
        <w:rPr>
          <w:rFonts w:ascii="Arial Narrow" w:hAnsi="Arial Narrow"/>
          <w:sz w:val="16"/>
          <w:szCs w:val="16"/>
        </w:rPr>
        <w:t xml:space="preserve">=area under the curve; CGI=clinical global impression of change; </w:t>
      </w:r>
      <w:r w:rsidR="0000469F">
        <w:rPr>
          <w:rFonts w:ascii="Arial Narrow" w:hAnsi="Arial Narrow"/>
          <w:sz w:val="16"/>
          <w:szCs w:val="16"/>
        </w:rPr>
        <w:t xml:space="preserve">DB=double blind; </w:t>
      </w:r>
      <w:r w:rsidRPr="001A57E6">
        <w:rPr>
          <w:rFonts w:ascii="Arial Narrow" w:hAnsi="Arial Narrow"/>
          <w:sz w:val="16"/>
          <w:szCs w:val="16"/>
        </w:rPr>
        <w:t>EQ5D= European quality of Life - 5 Dimensions; ES=electrical stimulation; GAS=goal attainment scale; MAS=modified Ashworth score; NR=not reported,</w:t>
      </w:r>
      <w:r w:rsidR="007848FB">
        <w:rPr>
          <w:rFonts w:ascii="Arial Narrow" w:hAnsi="Arial Narrow"/>
          <w:sz w:val="16"/>
          <w:szCs w:val="16"/>
        </w:rPr>
        <w:t xml:space="preserve"> </w:t>
      </w:r>
      <w:r w:rsidR="0000469F">
        <w:rPr>
          <w:rFonts w:ascii="Arial Narrow" w:hAnsi="Arial Narrow"/>
          <w:sz w:val="16"/>
          <w:szCs w:val="16"/>
        </w:rPr>
        <w:t xml:space="preserve">OL=open label; </w:t>
      </w:r>
      <w:r w:rsidRPr="001A57E6">
        <w:rPr>
          <w:rFonts w:ascii="Arial Narrow" w:hAnsi="Arial Narrow"/>
          <w:sz w:val="16"/>
          <w:szCs w:val="16"/>
        </w:rPr>
        <w:t xml:space="preserve">PBO=placebo; </w:t>
      </w:r>
      <w:r w:rsidR="0000469F">
        <w:rPr>
          <w:rFonts w:ascii="Arial Narrow" w:hAnsi="Arial Narrow"/>
          <w:sz w:val="16"/>
          <w:szCs w:val="16"/>
        </w:rPr>
        <w:t xml:space="preserve">PGA=Physicians Global Assessment; </w:t>
      </w:r>
      <w:r w:rsidRPr="001A57E6">
        <w:rPr>
          <w:rFonts w:ascii="Arial Narrow" w:hAnsi="Arial Narrow"/>
          <w:sz w:val="16"/>
          <w:szCs w:val="16"/>
        </w:rPr>
        <w:t>P2=phase 2, P3=Phase 3; P4=phase 4,</w:t>
      </w:r>
      <w:r w:rsidR="004A5FEC">
        <w:rPr>
          <w:rFonts w:ascii="Arial Narrow" w:hAnsi="Arial Narrow"/>
          <w:sz w:val="16"/>
          <w:szCs w:val="16"/>
        </w:rPr>
        <w:t xml:space="preserve"> </w:t>
      </w:r>
      <w:r w:rsidRPr="001A57E6">
        <w:rPr>
          <w:rFonts w:ascii="Arial Narrow" w:hAnsi="Arial Narrow"/>
          <w:sz w:val="16"/>
          <w:szCs w:val="16"/>
        </w:rPr>
        <w:t xml:space="preserve">R=randomised; </w:t>
      </w:r>
      <w:proofErr w:type="spellStart"/>
      <w:r w:rsidRPr="001A57E6">
        <w:rPr>
          <w:rFonts w:ascii="Arial Narrow" w:hAnsi="Arial Narrow"/>
          <w:sz w:val="16"/>
          <w:szCs w:val="16"/>
        </w:rPr>
        <w:t>sEMG</w:t>
      </w:r>
      <w:proofErr w:type="spellEnd"/>
      <w:r w:rsidRPr="001A57E6">
        <w:rPr>
          <w:rFonts w:ascii="Arial Narrow" w:hAnsi="Arial Narrow"/>
          <w:sz w:val="16"/>
          <w:szCs w:val="16"/>
        </w:rPr>
        <w:t xml:space="preserve">=surface electromyography; SF-12=Short Form 12; </w:t>
      </w:r>
      <w:proofErr w:type="spellStart"/>
      <w:r w:rsidRPr="001A57E6">
        <w:rPr>
          <w:rFonts w:ascii="Arial Narrow" w:hAnsi="Arial Narrow"/>
          <w:sz w:val="16"/>
          <w:szCs w:val="16"/>
        </w:rPr>
        <w:t>Wk</w:t>
      </w:r>
      <w:proofErr w:type="spellEnd"/>
      <w:r w:rsidRPr="001A57E6">
        <w:rPr>
          <w:rFonts w:ascii="Arial Narrow" w:hAnsi="Arial Narrow"/>
          <w:sz w:val="16"/>
          <w:szCs w:val="16"/>
        </w:rPr>
        <w:t>=week.</w:t>
      </w:r>
    </w:p>
    <w:p w:rsidR="00FB0292" w:rsidRPr="001A57E6" w:rsidRDefault="00FB0292" w:rsidP="004428BA">
      <w:pPr>
        <w:widowControl/>
        <w:ind w:left="165" w:hanging="165"/>
        <w:rPr>
          <w:rFonts w:ascii="Arial Narrow" w:hAnsi="Arial Narrow"/>
          <w:sz w:val="16"/>
          <w:szCs w:val="16"/>
        </w:rPr>
      </w:pPr>
      <w:proofErr w:type="spellStart"/>
      <w:r w:rsidRPr="001A57E6">
        <w:rPr>
          <w:rFonts w:ascii="Arial Narrow" w:hAnsi="Arial Narrow"/>
          <w:sz w:val="16"/>
          <w:szCs w:val="16"/>
          <w:vertAlign w:val="superscript"/>
        </w:rPr>
        <w:t>a</w:t>
      </w:r>
      <w:proofErr w:type="spellEnd"/>
      <w:r w:rsidRPr="001A57E6">
        <w:rPr>
          <w:rFonts w:ascii="Arial Narrow" w:hAnsi="Arial Narrow"/>
          <w:sz w:val="16"/>
          <w:szCs w:val="16"/>
          <w:vertAlign w:val="superscript"/>
        </w:rPr>
        <w:tab/>
      </w:r>
      <w:r w:rsidRPr="001A57E6">
        <w:rPr>
          <w:rFonts w:ascii="Arial Narrow" w:hAnsi="Arial Narrow"/>
          <w:sz w:val="16"/>
          <w:szCs w:val="16"/>
        </w:rPr>
        <w:t xml:space="preserve">The exact </w:t>
      </w:r>
      <w:r w:rsidR="00EE500E">
        <w:rPr>
          <w:rFonts w:ascii="Arial Narrow" w:hAnsi="Arial Narrow"/>
          <w:sz w:val="16"/>
          <w:szCs w:val="16"/>
        </w:rPr>
        <w:t>BOTOX®</w:t>
      </w:r>
      <w:r w:rsidRPr="001A57E6">
        <w:rPr>
          <w:rFonts w:ascii="Arial Narrow" w:hAnsi="Arial Narrow"/>
          <w:sz w:val="16"/>
          <w:szCs w:val="16"/>
        </w:rPr>
        <w:t xml:space="preserve"> dose and number of injection sites were tailored for the individual patient based on the size, number, and location of muscles involved; the severity of spasticity; and the presence of local muscle weakness (CSR BEST. P33). Primary endpoint at 10-weeks post second injection or week 24 if no second injection (CSR BEST, p91)</w:t>
      </w:r>
    </w:p>
    <w:p w:rsidR="00FB0292" w:rsidRPr="002E6EFA" w:rsidRDefault="00FB0292" w:rsidP="004428BA">
      <w:pPr>
        <w:widowControl/>
        <w:ind w:left="165" w:hanging="165"/>
        <w:rPr>
          <w:rFonts w:ascii="Arial Narrow" w:hAnsi="Arial Narrow"/>
          <w:sz w:val="16"/>
          <w:szCs w:val="16"/>
        </w:rPr>
      </w:pPr>
      <w:proofErr w:type="gramStart"/>
      <w:r w:rsidRPr="001A57E6">
        <w:rPr>
          <w:rFonts w:ascii="Arial Narrow" w:hAnsi="Arial Narrow"/>
          <w:sz w:val="16"/>
          <w:szCs w:val="16"/>
          <w:vertAlign w:val="superscript"/>
        </w:rPr>
        <w:t>b</w:t>
      </w:r>
      <w:proofErr w:type="gramEnd"/>
      <w:r w:rsidRPr="001A57E6">
        <w:rPr>
          <w:rFonts w:ascii="Arial Narrow" w:hAnsi="Arial Narrow"/>
          <w:sz w:val="16"/>
          <w:szCs w:val="16"/>
        </w:rPr>
        <w:tab/>
        <w:t xml:space="preserve">Rehabilitation was </w:t>
      </w:r>
      <w:r w:rsidRPr="002E6EFA">
        <w:rPr>
          <w:rFonts w:ascii="Arial Narrow" w:hAnsi="Arial Narrow"/>
          <w:sz w:val="16"/>
          <w:szCs w:val="16"/>
        </w:rPr>
        <w:t xml:space="preserve">permitted during the study period, provided that the frequency and program of rehabilitation remained unchanged during the </w:t>
      </w:r>
      <w:r w:rsidR="007848FB" w:rsidRPr="002E6EFA">
        <w:rPr>
          <w:rFonts w:ascii="Arial Narrow" w:hAnsi="Arial Narrow"/>
          <w:sz w:val="16"/>
          <w:szCs w:val="16"/>
        </w:rPr>
        <w:t>double-blind</w:t>
      </w:r>
      <w:r w:rsidRPr="002E6EFA">
        <w:rPr>
          <w:rFonts w:ascii="Arial Narrow" w:hAnsi="Arial Narrow"/>
          <w:sz w:val="16"/>
          <w:szCs w:val="16"/>
        </w:rPr>
        <w:t xml:space="preserve"> phase. During the </w:t>
      </w:r>
      <w:r w:rsidR="007848FB" w:rsidRPr="002E6EFA">
        <w:rPr>
          <w:rFonts w:ascii="Arial Narrow" w:hAnsi="Arial Narrow"/>
          <w:sz w:val="16"/>
          <w:szCs w:val="16"/>
        </w:rPr>
        <w:t xml:space="preserve">open-label </w:t>
      </w:r>
      <w:r w:rsidRPr="002E6EFA">
        <w:rPr>
          <w:rFonts w:ascii="Arial Narrow" w:hAnsi="Arial Narrow"/>
          <w:sz w:val="16"/>
          <w:szCs w:val="16"/>
        </w:rPr>
        <w:t xml:space="preserve">phase, rehabilitation might be changed to one that was considered most appropriate for a subject according to the degree of improvement in his/her spasticity. In this case, the global impression of therapeutic benefit of </w:t>
      </w:r>
      <w:r w:rsidR="00EE500E">
        <w:rPr>
          <w:rFonts w:ascii="Arial Narrow" w:hAnsi="Arial Narrow"/>
          <w:sz w:val="16"/>
          <w:szCs w:val="16"/>
        </w:rPr>
        <w:t>BOTOX®</w:t>
      </w:r>
      <w:r w:rsidRPr="002E6EFA">
        <w:rPr>
          <w:rFonts w:ascii="Arial Narrow" w:hAnsi="Arial Narrow"/>
          <w:sz w:val="16"/>
          <w:szCs w:val="16"/>
        </w:rPr>
        <w:t xml:space="preserve"> to rehabilitation was to be assessed at the end of the study. Rehabilitation was prohibited on the day of injection.</w:t>
      </w:r>
    </w:p>
    <w:p w:rsidR="00FB0292" w:rsidRPr="001E594E" w:rsidRDefault="00FB0292" w:rsidP="004428BA">
      <w:pPr>
        <w:widowControl/>
        <w:rPr>
          <w:rFonts w:ascii="Arial Narrow" w:hAnsi="Arial Narrow"/>
          <w:iCs/>
          <w:sz w:val="16"/>
          <w:szCs w:val="16"/>
        </w:rPr>
      </w:pPr>
      <w:r w:rsidRPr="001E594E">
        <w:rPr>
          <w:rFonts w:ascii="Arial Narrow" w:hAnsi="Arial Narrow"/>
          <w:iCs/>
          <w:sz w:val="16"/>
          <w:szCs w:val="16"/>
        </w:rPr>
        <w:lastRenderedPageBreak/>
        <w:t>Source: compiled during the evaluation from the trial publications and C</w:t>
      </w:r>
      <w:r w:rsidR="005B0B1C" w:rsidRPr="001E594E">
        <w:rPr>
          <w:rFonts w:ascii="Arial Narrow" w:hAnsi="Arial Narrow"/>
          <w:iCs/>
          <w:sz w:val="16"/>
          <w:szCs w:val="16"/>
        </w:rPr>
        <w:t xml:space="preserve">linical </w:t>
      </w:r>
      <w:r w:rsidRPr="001E594E">
        <w:rPr>
          <w:rFonts w:ascii="Arial Narrow" w:hAnsi="Arial Narrow"/>
          <w:iCs/>
          <w:sz w:val="16"/>
          <w:szCs w:val="16"/>
        </w:rPr>
        <w:t>S</w:t>
      </w:r>
      <w:r w:rsidR="005B0B1C" w:rsidRPr="001E594E">
        <w:rPr>
          <w:rFonts w:ascii="Arial Narrow" w:hAnsi="Arial Narrow"/>
          <w:iCs/>
          <w:sz w:val="16"/>
          <w:szCs w:val="16"/>
        </w:rPr>
        <w:t xml:space="preserve">tudy </w:t>
      </w:r>
      <w:r w:rsidRPr="001E594E">
        <w:rPr>
          <w:rFonts w:ascii="Arial Narrow" w:hAnsi="Arial Narrow"/>
          <w:iCs/>
          <w:sz w:val="16"/>
          <w:szCs w:val="16"/>
        </w:rPr>
        <w:t>R</w:t>
      </w:r>
      <w:r w:rsidR="005B0B1C" w:rsidRPr="001E594E">
        <w:rPr>
          <w:rFonts w:ascii="Arial Narrow" w:hAnsi="Arial Narrow"/>
          <w:iCs/>
          <w:sz w:val="16"/>
          <w:szCs w:val="16"/>
        </w:rPr>
        <w:t>eport</w:t>
      </w:r>
      <w:r w:rsidRPr="001E594E">
        <w:rPr>
          <w:rFonts w:ascii="Arial Narrow" w:hAnsi="Arial Narrow"/>
          <w:iCs/>
          <w:sz w:val="16"/>
          <w:szCs w:val="16"/>
        </w:rPr>
        <w:t>s.</w:t>
      </w:r>
    </w:p>
    <w:p w:rsidR="00F6087A" w:rsidRPr="001A57E6" w:rsidRDefault="00F6087A" w:rsidP="004428BA">
      <w:pPr>
        <w:widowControl/>
        <w:rPr>
          <w:rFonts w:ascii="Arial Narrow" w:hAnsi="Arial Narrow"/>
          <w:i/>
          <w:iCs/>
          <w:sz w:val="16"/>
          <w:szCs w:val="16"/>
        </w:rPr>
      </w:pPr>
    </w:p>
    <w:p w:rsidR="00F6087A" w:rsidRPr="001A57E6" w:rsidRDefault="00F6087A" w:rsidP="00BB76A8">
      <w:pPr>
        <w:pStyle w:val="ListParagraph"/>
      </w:pPr>
      <w:bookmarkStart w:id="22" w:name="_Ref529198029"/>
      <w:r w:rsidRPr="001A57E6">
        <w:t>A number of concerns were noted with the evidence</w:t>
      </w:r>
      <w:r w:rsidR="002D4861">
        <w:t>, including</w:t>
      </w:r>
      <w:r w:rsidRPr="001A57E6">
        <w:t>:</w:t>
      </w:r>
      <w:bookmarkEnd w:id="22"/>
    </w:p>
    <w:p w:rsidR="00F6087A" w:rsidRDefault="00F6087A" w:rsidP="00BB76A8">
      <w:pPr>
        <w:pStyle w:val="ListParagraph"/>
        <w:numPr>
          <w:ilvl w:val="0"/>
          <w:numId w:val="10"/>
        </w:numPr>
        <w:ind w:left="1134" w:hanging="447"/>
      </w:pPr>
      <w:r w:rsidRPr="001A57E6">
        <w:t>Some of the included secondary trials were underpowered to detect meaningful differences.</w:t>
      </w:r>
      <w:r w:rsidR="004A5FEC">
        <w:t xml:space="preserve"> </w:t>
      </w:r>
      <w:r w:rsidRPr="001A57E6">
        <w:t xml:space="preserve">Tao 2015 included a very small number of patients (N=25) and Trial 030 was a trial of pulmonary function and was not powered to detect treatment differences </w:t>
      </w:r>
      <w:r w:rsidR="00F2066D">
        <w:t>in</w:t>
      </w:r>
      <w:r w:rsidRPr="001A57E6">
        <w:t xml:space="preserve"> spasticity</w:t>
      </w:r>
      <w:r w:rsidR="003D1C3C">
        <w:t xml:space="preserve"> outcomes</w:t>
      </w:r>
      <w:r w:rsidRPr="001A57E6">
        <w:t>.</w:t>
      </w:r>
    </w:p>
    <w:p w:rsidR="000B7680" w:rsidRPr="00D4296D" w:rsidRDefault="00F6087A" w:rsidP="00FB09E7">
      <w:pPr>
        <w:pStyle w:val="ListParagraph"/>
        <w:numPr>
          <w:ilvl w:val="0"/>
          <w:numId w:val="10"/>
        </w:numPr>
        <w:ind w:left="1134" w:hanging="425"/>
      </w:pPr>
      <w:r w:rsidRPr="00D4296D">
        <w:t>Apart from Trial 030 and BEST, all of the included primary and secondary evidence focused on ankle spasticity</w:t>
      </w:r>
      <w:r w:rsidR="002D023F" w:rsidRPr="00D4296D">
        <w:t>;</w:t>
      </w:r>
      <w:r w:rsidRPr="00D4296D">
        <w:t xml:space="preserve"> in particular</w:t>
      </w:r>
      <w:r w:rsidR="002D4861" w:rsidRPr="00D4296D">
        <w:t>,</w:t>
      </w:r>
      <w:r w:rsidRPr="00D4296D">
        <w:t xml:space="preserve"> spasticity arising from the plantar/</w:t>
      </w:r>
      <w:proofErr w:type="spellStart"/>
      <w:r w:rsidRPr="00D4296D">
        <w:t>dorsiflexor</w:t>
      </w:r>
      <w:proofErr w:type="spellEnd"/>
      <w:r w:rsidRPr="00D4296D">
        <w:t xml:space="preserve"> muscles.</w:t>
      </w:r>
      <w:r w:rsidR="004A5FEC" w:rsidRPr="00D4296D">
        <w:t xml:space="preserve"> </w:t>
      </w:r>
      <w:r w:rsidRPr="00D4296D">
        <w:t xml:space="preserve">The resubmission did not discuss whether results of </w:t>
      </w:r>
      <w:r w:rsidR="00EE500E" w:rsidRPr="00D4296D">
        <w:t>BOTOX®</w:t>
      </w:r>
      <w:r w:rsidRPr="00D4296D">
        <w:t xml:space="preserve"> on ankle spasticity would be transferrable to other muscle groups in the lower limb, particularly as other muscles of lower limb perform different functions and given their differing sizes would also require different dosages.</w:t>
      </w:r>
      <w:r w:rsidR="004A5FEC" w:rsidRPr="00D4296D">
        <w:t xml:space="preserve"> </w:t>
      </w:r>
      <w:r w:rsidRPr="00D4296D">
        <w:t xml:space="preserve">In REFLEX, doses injected in the rectus </w:t>
      </w:r>
      <w:proofErr w:type="spellStart"/>
      <w:r w:rsidRPr="00D4296D">
        <w:t>femoris</w:t>
      </w:r>
      <w:proofErr w:type="spellEnd"/>
      <w:r w:rsidRPr="00D4296D">
        <w:t xml:space="preserve"> muscle</w:t>
      </w:r>
      <w:r w:rsidR="00C5513D" w:rsidRPr="00D4296D">
        <w:t xml:space="preserve"> </w:t>
      </w:r>
      <w:r w:rsidRPr="00D4296D">
        <w:t>did not lead to any significant change in MAS.</w:t>
      </w:r>
      <w:r w:rsidR="000B7680" w:rsidRPr="00D4296D">
        <w:t xml:space="preserve"> </w:t>
      </w:r>
      <w:r w:rsidR="002D4861" w:rsidRPr="00D4296D">
        <w:t>T</w:t>
      </w:r>
      <w:r w:rsidR="000B7680" w:rsidRPr="00D4296D">
        <w:t xml:space="preserve">he PSCR stated that the </w:t>
      </w:r>
      <w:r w:rsidR="00F11DA4" w:rsidRPr="00D4296D">
        <w:t>key</w:t>
      </w:r>
      <w:r w:rsidR="000B7680" w:rsidRPr="00D4296D">
        <w:t xml:space="preserve"> studies assessed ankle spasticity as the primary endpoint to increase the homogeneity of the population. In the REFLEX trial, patients were able to receive doses of </w:t>
      </w:r>
      <w:r w:rsidR="000B7680" w:rsidRPr="00D4296D">
        <w:rPr>
          <w:rFonts w:cs="Calibri"/>
        </w:rPr>
        <w:t>≤</w:t>
      </w:r>
      <w:r w:rsidR="000B7680" w:rsidRPr="00D4296D">
        <w:t xml:space="preserve"> 100U in optional other muscles, including the flexor </w:t>
      </w:r>
      <w:proofErr w:type="spellStart"/>
      <w:r w:rsidR="000B7680" w:rsidRPr="00D4296D">
        <w:t>digitorum</w:t>
      </w:r>
      <w:proofErr w:type="spellEnd"/>
      <w:r w:rsidR="000B7680" w:rsidRPr="00D4296D">
        <w:t xml:space="preserve"> longus and brevis, flexor </w:t>
      </w:r>
      <w:proofErr w:type="spellStart"/>
      <w:r w:rsidR="000B7680" w:rsidRPr="00D4296D">
        <w:t>hallucis</w:t>
      </w:r>
      <w:proofErr w:type="spellEnd"/>
      <w:r w:rsidR="000B7680" w:rsidRPr="00D4296D">
        <w:t xml:space="preserve"> longus, extensor </w:t>
      </w:r>
      <w:proofErr w:type="spellStart"/>
      <w:r w:rsidR="000B7680" w:rsidRPr="00D4296D">
        <w:t>hallucis</w:t>
      </w:r>
      <w:proofErr w:type="spellEnd"/>
      <w:r w:rsidR="000B7680" w:rsidRPr="00D4296D">
        <w:t xml:space="preserve"> and rectus </w:t>
      </w:r>
      <w:proofErr w:type="spellStart"/>
      <w:r w:rsidR="000B7680" w:rsidRPr="00D4296D">
        <w:t>femoris</w:t>
      </w:r>
      <w:proofErr w:type="spellEnd"/>
      <w:r w:rsidR="000B7680" w:rsidRPr="00D4296D">
        <w:t xml:space="preserve">. </w:t>
      </w:r>
      <w:r w:rsidR="002D023F" w:rsidRPr="00D4296D">
        <w:t xml:space="preserve">The PSCR stated that MAS and CGI was </w:t>
      </w:r>
      <w:r w:rsidR="003D1C3C">
        <w:t>improved</w:t>
      </w:r>
      <w:r w:rsidR="003D1C3C" w:rsidRPr="00D4296D">
        <w:t xml:space="preserve"> </w:t>
      </w:r>
      <w:r w:rsidR="002D023F" w:rsidRPr="00D4296D">
        <w:t>in patients who received optional toe flexor injections relative to the ITT population.</w:t>
      </w:r>
      <w:r w:rsidR="000B7680" w:rsidRPr="00D4296D">
        <w:t xml:space="preserve"> </w:t>
      </w:r>
      <w:r w:rsidR="006645FE" w:rsidRPr="00D4296D">
        <w:t>In addition</w:t>
      </w:r>
      <w:r w:rsidR="00F11DA4" w:rsidRPr="00D4296D">
        <w:t>,</w:t>
      </w:r>
      <w:r w:rsidR="006645FE" w:rsidRPr="00D4296D">
        <w:t xml:space="preserve"> </w:t>
      </w:r>
      <w:r w:rsidR="00142AF5" w:rsidRPr="00D4296D">
        <w:t>there was an increase in the proportion of patients experiencing an improvement of at least 1 MAS in the first 4-6 weeks of the open-label extension phase of REFLEX, during which investigators were permitted to use the maximum dose across all permitted muscles at their discretion</w:t>
      </w:r>
      <w:r w:rsidR="006645FE" w:rsidRPr="00D4296D">
        <w:t>. The PSCR contended</w:t>
      </w:r>
      <w:r w:rsidR="00142AF5" w:rsidRPr="00D4296D">
        <w:t xml:space="preserve"> this </w:t>
      </w:r>
      <w:r w:rsidR="006645FE" w:rsidRPr="00D4296D">
        <w:t>wa</w:t>
      </w:r>
      <w:r w:rsidR="00142AF5" w:rsidRPr="00D4296D">
        <w:t xml:space="preserve">s evidence that outcomes </w:t>
      </w:r>
      <w:r w:rsidR="006645FE" w:rsidRPr="00D4296D">
        <w:t>we</w:t>
      </w:r>
      <w:r w:rsidR="00142AF5" w:rsidRPr="00D4296D">
        <w:t xml:space="preserve">re better when investigators </w:t>
      </w:r>
      <w:r w:rsidR="006645FE" w:rsidRPr="00D4296D">
        <w:t>we</w:t>
      </w:r>
      <w:r w:rsidR="00142AF5" w:rsidRPr="00D4296D">
        <w:t>re permitted to target affected muscles</w:t>
      </w:r>
      <w:r w:rsidR="006645FE" w:rsidRPr="00D4296D">
        <w:t xml:space="preserve">, and </w:t>
      </w:r>
      <w:r w:rsidR="00142AF5" w:rsidRPr="00D4296D">
        <w:t>that this support</w:t>
      </w:r>
      <w:r w:rsidR="006645FE" w:rsidRPr="00D4296D">
        <w:t>ed</w:t>
      </w:r>
      <w:r w:rsidR="00142AF5" w:rsidRPr="00D4296D">
        <w:t xml:space="preserve"> the transferability of the efficacy of </w:t>
      </w:r>
      <w:r w:rsidR="00EE500E" w:rsidRPr="00D4296D">
        <w:t>BOTOX®</w:t>
      </w:r>
      <w:r w:rsidR="00142AF5" w:rsidRPr="00D4296D">
        <w:t xml:space="preserve"> to other muscle groups in the lower limb.</w:t>
      </w:r>
    </w:p>
    <w:p w:rsidR="00F6087A" w:rsidRPr="001A57E6" w:rsidRDefault="00F6087A" w:rsidP="00FB09E7">
      <w:pPr>
        <w:pStyle w:val="ListParagraph"/>
        <w:numPr>
          <w:ilvl w:val="0"/>
          <w:numId w:val="10"/>
        </w:numPr>
        <w:ind w:left="1134" w:hanging="425"/>
      </w:pPr>
      <w:r w:rsidRPr="001A57E6">
        <w:t xml:space="preserve">The proposed PBS criteria stated that </w:t>
      </w:r>
      <w:r w:rsidR="00EE500E">
        <w:t>BOTOX®</w:t>
      </w:r>
      <w:r w:rsidRPr="001A57E6">
        <w:t xml:space="preserve"> is only to be used after standard management ha</w:t>
      </w:r>
      <w:r w:rsidR="00C54959">
        <w:t>s</w:t>
      </w:r>
      <w:r w:rsidRPr="001A57E6">
        <w:t xml:space="preserve"> failed or used as an adjunct to physical therapy.</w:t>
      </w:r>
      <w:r w:rsidR="004A5FEC">
        <w:t xml:space="preserve"> </w:t>
      </w:r>
      <w:r w:rsidRPr="001A57E6">
        <w:t xml:space="preserve">In the included trials, the proportion of patients undergoing concomitant physical therapy varied widely; from </w:t>
      </w:r>
      <w:r w:rsidR="001C21E3">
        <w:rPr>
          <w:noProof/>
          <w:color w:val="000000"/>
          <w:highlight w:val="black"/>
        </w:rPr>
        <w:t>'''''''''</w:t>
      </w:r>
      <w:r w:rsidRPr="001A57E6">
        <w:t xml:space="preserve">% and </w:t>
      </w:r>
      <w:r w:rsidR="001C21E3">
        <w:rPr>
          <w:noProof/>
          <w:color w:val="000000"/>
          <w:highlight w:val="black"/>
        </w:rPr>
        <w:t>''''''''</w:t>
      </w:r>
      <w:r w:rsidRPr="001A57E6">
        <w:t xml:space="preserve">% in the </w:t>
      </w:r>
      <w:r w:rsidR="00EE500E">
        <w:t>BOTOX®</w:t>
      </w:r>
      <w:r w:rsidRPr="001A57E6">
        <w:t xml:space="preserve"> and placebo arm in REFLEX to 100% in Tao 2015.</w:t>
      </w:r>
      <w:r w:rsidR="004A5FEC">
        <w:t xml:space="preserve"> </w:t>
      </w:r>
      <w:r w:rsidR="006645FE">
        <w:t xml:space="preserve">The </w:t>
      </w:r>
      <w:r w:rsidRPr="001A57E6">
        <w:t xml:space="preserve">proportion of patients </w:t>
      </w:r>
      <w:r w:rsidR="006645FE">
        <w:t xml:space="preserve">who </w:t>
      </w:r>
      <w:r w:rsidRPr="001A57E6">
        <w:t>had failed standard management prior to trial entry</w:t>
      </w:r>
      <w:r w:rsidR="006645FE">
        <w:t xml:space="preserve"> was uncertain across the trials</w:t>
      </w:r>
      <w:r w:rsidRPr="001A57E6">
        <w:t>.</w:t>
      </w:r>
    </w:p>
    <w:p w:rsidR="00F6087A" w:rsidRPr="001A57E6" w:rsidRDefault="00F6087A" w:rsidP="00FB09E7">
      <w:pPr>
        <w:pStyle w:val="ListParagraph"/>
        <w:numPr>
          <w:ilvl w:val="0"/>
          <w:numId w:val="10"/>
        </w:numPr>
        <w:ind w:left="1134" w:hanging="425"/>
        <w:rPr>
          <w:i/>
          <w:iCs/>
        </w:rPr>
      </w:pPr>
      <w:r w:rsidRPr="001A57E6">
        <w:t>The secondary trials were generally highly heterogeneous, including patients with varying severity, dosing regimens, concomitant physical therapy, outcome measures, time points and study duration</w:t>
      </w:r>
      <w:r w:rsidR="00C54959">
        <w:t>.</w:t>
      </w:r>
      <w:r w:rsidRPr="001A57E6">
        <w:t xml:space="preserve"> </w:t>
      </w:r>
    </w:p>
    <w:p w:rsidR="00EE392A" w:rsidRPr="001A57E6" w:rsidRDefault="00EE392A" w:rsidP="00BB76A8">
      <w:pPr>
        <w:pStyle w:val="Heading2"/>
      </w:pPr>
      <w:bookmarkStart w:id="23" w:name="_Toc371170706"/>
      <w:bookmarkStart w:id="24" w:name="_Toc524523778"/>
      <w:r w:rsidRPr="001A57E6">
        <w:t>Comparative effectiveness</w:t>
      </w:r>
      <w:bookmarkEnd w:id="23"/>
      <w:bookmarkEnd w:id="24"/>
    </w:p>
    <w:p w:rsidR="006645FE" w:rsidRDefault="00F6087A" w:rsidP="00BB76A8">
      <w:pPr>
        <w:pStyle w:val="ListParagraph"/>
        <w:rPr>
          <w:snapToGrid/>
          <w:lang w:eastAsia="en-AU"/>
        </w:rPr>
      </w:pPr>
      <w:r w:rsidRPr="001A57E6">
        <w:rPr>
          <w:snapToGrid/>
          <w:lang w:eastAsia="en-AU"/>
        </w:rPr>
        <w:t xml:space="preserve">The main outcome </w:t>
      </w:r>
      <w:r w:rsidR="00522911" w:rsidRPr="001A57E6">
        <w:rPr>
          <w:snapToGrid/>
          <w:lang w:eastAsia="en-AU"/>
        </w:rPr>
        <w:t xml:space="preserve">reported in the trials </w:t>
      </w:r>
      <w:r w:rsidR="00E51EE8">
        <w:rPr>
          <w:snapToGrid/>
          <w:lang w:eastAsia="en-AU"/>
        </w:rPr>
        <w:t xml:space="preserve">was </w:t>
      </w:r>
      <w:r w:rsidR="006645FE">
        <w:rPr>
          <w:snapToGrid/>
          <w:lang w:eastAsia="en-AU"/>
        </w:rPr>
        <w:t xml:space="preserve">change in </w:t>
      </w:r>
      <w:r w:rsidR="00522911" w:rsidRPr="001A57E6">
        <w:rPr>
          <w:snapToGrid/>
          <w:lang w:eastAsia="en-AU"/>
        </w:rPr>
        <w:t>MAS score, which measures the level of resistance to passive movement, and evaluates a combination of soft tissue contracture and spastic dystonia, in addition to spasticity itself.</w:t>
      </w:r>
      <w:r w:rsidR="004A5FEC">
        <w:rPr>
          <w:snapToGrid/>
          <w:lang w:eastAsia="en-AU"/>
        </w:rPr>
        <w:t xml:space="preserve"> </w:t>
      </w:r>
      <w:r w:rsidR="006645FE">
        <w:rPr>
          <w:snapToGrid/>
          <w:lang w:eastAsia="en-AU"/>
        </w:rPr>
        <w:t xml:space="preserve">Scale </w:t>
      </w:r>
      <w:r w:rsidR="00BD5880">
        <w:rPr>
          <w:snapToGrid/>
          <w:lang w:eastAsia="en-AU"/>
        </w:rPr>
        <w:t>criteria are outlined in Table 5</w:t>
      </w:r>
      <w:r w:rsidR="006645FE">
        <w:rPr>
          <w:snapToGrid/>
          <w:lang w:eastAsia="en-AU"/>
        </w:rPr>
        <w:t>.</w:t>
      </w:r>
    </w:p>
    <w:p w:rsidR="006645FE" w:rsidRPr="007A5A38" w:rsidRDefault="006645FE" w:rsidP="004428BA">
      <w:pPr>
        <w:pStyle w:val="TableHeading0"/>
      </w:pPr>
      <w:r w:rsidRPr="007A5A38">
        <w:lastRenderedPageBreak/>
        <w:t>Table</w:t>
      </w:r>
      <w:r w:rsidR="00BD5880">
        <w:t xml:space="preserve"> 5</w:t>
      </w:r>
      <w:r w:rsidRPr="007A5A38">
        <w:rPr>
          <w:rStyle w:val="CommentReference"/>
          <w:b/>
          <w:bCs/>
          <w:szCs w:val="20"/>
        </w:rPr>
        <w:t>:</w:t>
      </w:r>
      <w:r w:rsidR="004A5FEC">
        <w:rPr>
          <w:rStyle w:val="CommentReference"/>
          <w:b/>
          <w:bCs/>
          <w:szCs w:val="20"/>
        </w:rPr>
        <w:t xml:space="preserve"> </w:t>
      </w:r>
      <w:r w:rsidRPr="007A5A38">
        <w:rPr>
          <w:rStyle w:val="CommentReference"/>
          <w:b/>
          <w:bCs/>
          <w:szCs w:val="20"/>
        </w:rPr>
        <w:t>Description of the Modified Ashworth Scale (MAS)</w:t>
      </w:r>
    </w:p>
    <w:tbl>
      <w:tblPr>
        <w:tblStyle w:val="TableGrid"/>
        <w:tblW w:w="9105" w:type="dxa"/>
        <w:tblInd w:w="-5" w:type="dxa"/>
        <w:tblLayout w:type="fixed"/>
        <w:tblLook w:val="04A0" w:firstRow="1" w:lastRow="0" w:firstColumn="1" w:lastColumn="0" w:noHBand="0" w:noVBand="1"/>
        <w:tblCaption w:val="Description of the modified ashworth scale"/>
      </w:tblPr>
      <w:tblGrid>
        <w:gridCol w:w="732"/>
        <w:gridCol w:w="861"/>
        <w:gridCol w:w="708"/>
        <w:gridCol w:w="6804"/>
      </w:tblGrid>
      <w:tr w:rsidR="00772E1E" w:rsidTr="00440603">
        <w:trPr>
          <w:cantSplit/>
          <w:tblHeader/>
        </w:trPr>
        <w:tc>
          <w:tcPr>
            <w:tcW w:w="732" w:type="dxa"/>
            <w:tcMar>
              <w:left w:w="28" w:type="dxa"/>
              <w:right w:w="28" w:type="dxa"/>
            </w:tcMar>
          </w:tcPr>
          <w:p w:rsidR="00772E1E" w:rsidRPr="00D4296D" w:rsidRDefault="00772E1E" w:rsidP="00FB09E7">
            <w:pPr>
              <w:keepNext/>
              <w:keepLines/>
              <w:widowControl/>
              <w:rPr>
                <w:rFonts w:ascii="Arial Narrow" w:hAnsi="Arial Narrow"/>
                <w:b/>
                <w:bCs/>
                <w:sz w:val="20"/>
                <w:szCs w:val="20"/>
              </w:rPr>
            </w:pPr>
            <w:r w:rsidRPr="00D4296D">
              <w:rPr>
                <w:rFonts w:ascii="Arial Narrow" w:hAnsi="Arial Narrow"/>
                <w:b/>
                <w:bCs/>
                <w:sz w:val="20"/>
                <w:szCs w:val="20"/>
              </w:rPr>
              <w:t>MAS score</w:t>
            </w:r>
          </w:p>
        </w:tc>
        <w:tc>
          <w:tcPr>
            <w:tcW w:w="861" w:type="dxa"/>
            <w:tcMar>
              <w:left w:w="28" w:type="dxa"/>
              <w:right w:w="28" w:type="dxa"/>
            </w:tcMar>
          </w:tcPr>
          <w:p w:rsidR="00772E1E" w:rsidRPr="00D4296D" w:rsidRDefault="00772E1E" w:rsidP="00FB09E7">
            <w:pPr>
              <w:keepNext/>
              <w:keepLines/>
              <w:widowControl/>
              <w:rPr>
                <w:rFonts w:ascii="Arial Narrow" w:hAnsi="Arial Narrow"/>
                <w:b/>
                <w:bCs/>
                <w:sz w:val="20"/>
                <w:szCs w:val="20"/>
              </w:rPr>
            </w:pPr>
            <w:r w:rsidRPr="00D4296D">
              <w:rPr>
                <w:rFonts w:ascii="Arial Narrow" w:hAnsi="Arial Narrow"/>
                <w:b/>
                <w:bCs/>
                <w:sz w:val="20"/>
                <w:szCs w:val="20"/>
              </w:rPr>
              <w:t>Historical code</w:t>
            </w:r>
          </w:p>
        </w:tc>
        <w:tc>
          <w:tcPr>
            <w:tcW w:w="708" w:type="dxa"/>
            <w:tcMar>
              <w:left w:w="28" w:type="dxa"/>
              <w:right w:w="28" w:type="dxa"/>
            </w:tcMar>
          </w:tcPr>
          <w:p w:rsidR="00772E1E" w:rsidRPr="00D4296D" w:rsidRDefault="00772E1E" w:rsidP="00FB09E7">
            <w:pPr>
              <w:keepNext/>
              <w:keepLines/>
              <w:widowControl/>
              <w:rPr>
                <w:rFonts w:ascii="Arial Narrow" w:hAnsi="Arial Narrow"/>
                <w:b/>
                <w:bCs/>
                <w:sz w:val="20"/>
                <w:szCs w:val="20"/>
              </w:rPr>
            </w:pPr>
            <w:r w:rsidRPr="00D4296D">
              <w:rPr>
                <w:rFonts w:ascii="Arial Narrow" w:hAnsi="Arial Narrow"/>
                <w:b/>
                <w:bCs/>
                <w:sz w:val="20"/>
                <w:szCs w:val="20"/>
              </w:rPr>
              <w:t>Derived</w:t>
            </w:r>
            <w:r w:rsidR="00FB6F9B" w:rsidRPr="00D4296D">
              <w:rPr>
                <w:rFonts w:ascii="Arial Narrow" w:hAnsi="Arial Narrow"/>
                <w:b/>
                <w:bCs/>
                <w:sz w:val="20"/>
                <w:szCs w:val="20"/>
              </w:rPr>
              <w:t xml:space="preserve"> </w:t>
            </w:r>
            <w:r w:rsidRPr="00D4296D">
              <w:rPr>
                <w:rFonts w:ascii="Arial Narrow" w:hAnsi="Arial Narrow"/>
                <w:b/>
                <w:bCs/>
                <w:sz w:val="20"/>
                <w:szCs w:val="20"/>
              </w:rPr>
              <w:t>code</w:t>
            </w:r>
          </w:p>
        </w:tc>
        <w:tc>
          <w:tcPr>
            <w:tcW w:w="6804" w:type="dxa"/>
            <w:tcMar>
              <w:left w:w="28" w:type="dxa"/>
              <w:right w:w="28" w:type="dxa"/>
            </w:tcMar>
          </w:tcPr>
          <w:p w:rsidR="00772E1E" w:rsidRPr="00D4296D" w:rsidRDefault="00772E1E" w:rsidP="00FB09E7">
            <w:pPr>
              <w:keepNext/>
              <w:keepLines/>
              <w:widowControl/>
              <w:rPr>
                <w:rFonts w:ascii="Arial Narrow" w:hAnsi="Arial Narrow"/>
                <w:b/>
                <w:bCs/>
                <w:sz w:val="20"/>
                <w:szCs w:val="20"/>
              </w:rPr>
            </w:pPr>
            <w:r w:rsidRPr="00D4296D">
              <w:rPr>
                <w:rFonts w:ascii="Arial Narrow" w:hAnsi="Arial Narrow"/>
                <w:b/>
                <w:bCs/>
                <w:sz w:val="20"/>
                <w:szCs w:val="20"/>
              </w:rPr>
              <w:t>Description</w:t>
            </w:r>
          </w:p>
        </w:tc>
      </w:tr>
      <w:tr w:rsidR="00772E1E" w:rsidTr="00D4296D">
        <w:trPr>
          <w:trHeight w:val="95"/>
        </w:trPr>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0</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0</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0</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Normal tone, no increase in muscle tone</w:t>
            </w:r>
          </w:p>
        </w:tc>
      </w:tr>
      <w:tr w:rsidR="00772E1E" w:rsidTr="00D4296D">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1</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1</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1</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Slight increase in muscle tone, manifested by a catch or by minimal resistance at the end of the range of motion (ROM) when the affected part(s) is (are) moved in flexion or extension</w:t>
            </w:r>
          </w:p>
        </w:tc>
      </w:tr>
      <w:tr w:rsidR="00772E1E" w:rsidTr="00D4296D">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1+</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1.5</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2</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Slight increase in muscle tone, manifested by a catch, followed by minimal resistance throughout the remainder (less than half) of the ROM</w:t>
            </w:r>
          </w:p>
        </w:tc>
      </w:tr>
      <w:tr w:rsidR="00772E1E" w:rsidTr="00D4296D">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2</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2</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3</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More marked increase in muscle tone through most of the ROM, but affected part(s) easily moved</w:t>
            </w:r>
          </w:p>
        </w:tc>
      </w:tr>
      <w:tr w:rsidR="00772E1E" w:rsidTr="00D4296D">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3</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3</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4</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Considerable increase in muscle tone, passive movement difficult</w:t>
            </w:r>
          </w:p>
        </w:tc>
      </w:tr>
      <w:tr w:rsidR="00772E1E" w:rsidRPr="009A197B" w:rsidTr="00D4296D">
        <w:tc>
          <w:tcPr>
            <w:tcW w:w="732"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4</w:t>
            </w:r>
          </w:p>
        </w:tc>
        <w:tc>
          <w:tcPr>
            <w:tcW w:w="861"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4</w:t>
            </w:r>
          </w:p>
        </w:tc>
        <w:tc>
          <w:tcPr>
            <w:tcW w:w="708"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5</w:t>
            </w:r>
          </w:p>
        </w:tc>
        <w:tc>
          <w:tcPr>
            <w:tcW w:w="6804" w:type="dxa"/>
            <w:tcMar>
              <w:left w:w="28" w:type="dxa"/>
              <w:right w:w="28" w:type="dxa"/>
            </w:tcMar>
          </w:tcPr>
          <w:p w:rsidR="00772E1E" w:rsidRPr="00D4296D" w:rsidRDefault="00772E1E" w:rsidP="00FB09E7">
            <w:pPr>
              <w:keepNext/>
              <w:keepLines/>
              <w:widowControl/>
              <w:rPr>
                <w:rFonts w:ascii="Arial Narrow" w:hAnsi="Arial Narrow"/>
                <w:sz w:val="20"/>
                <w:szCs w:val="20"/>
              </w:rPr>
            </w:pPr>
            <w:r w:rsidRPr="00D4296D">
              <w:rPr>
                <w:rFonts w:ascii="Arial Narrow" w:hAnsi="Arial Narrow"/>
                <w:sz w:val="20"/>
                <w:szCs w:val="20"/>
              </w:rPr>
              <w:t>Affected part(s) rigid in flexion or extension</w:t>
            </w:r>
          </w:p>
        </w:tc>
      </w:tr>
    </w:tbl>
    <w:p w:rsidR="006645FE" w:rsidRDefault="006645FE" w:rsidP="004428BA">
      <w:pPr>
        <w:pStyle w:val="TableFooter"/>
        <w:widowControl/>
      </w:pPr>
      <w:r w:rsidRPr="00CE1C69">
        <w:t xml:space="preserve">Source: </w:t>
      </w:r>
      <w:r>
        <w:t>Table 2.4-16, p88 of the submission</w:t>
      </w:r>
      <w:r w:rsidR="00772E1E">
        <w:t>, and compiled during evaluation</w:t>
      </w:r>
    </w:p>
    <w:p w:rsidR="00522911" w:rsidRPr="006645FE" w:rsidRDefault="00522911" w:rsidP="00FB09E7">
      <w:pPr>
        <w:pStyle w:val="TableFooter"/>
        <w:rPr>
          <w:snapToGrid/>
          <w:lang w:eastAsia="en-AU"/>
        </w:rPr>
      </w:pPr>
      <w:r w:rsidRPr="006645FE">
        <w:rPr>
          <w:snapToGrid/>
          <w:lang w:eastAsia="en-AU"/>
        </w:rPr>
        <w:t xml:space="preserve"> </w:t>
      </w:r>
    </w:p>
    <w:p w:rsidR="00772E1E" w:rsidRPr="00D4296D" w:rsidRDefault="00772E1E" w:rsidP="00BB76A8">
      <w:pPr>
        <w:pStyle w:val="ListParagraph"/>
        <w:rPr>
          <w:snapToGrid/>
          <w:lang w:eastAsia="en-AU"/>
        </w:rPr>
      </w:pPr>
      <w:r w:rsidRPr="00D4296D">
        <w:rPr>
          <w:snapToGrid/>
          <w:lang w:eastAsia="en-AU"/>
        </w:rPr>
        <w:t>The historical coding convention for the MAS was used in this submission. The proposed PBS listing for lower limb spasticity is based on the historical coding convention. The ESC questioned whether the historical or the more recent ‘derived MAS’ coding convention was most commonly used in clinical practice and the implications of this for the requested restriction.</w:t>
      </w:r>
    </w:p>
    <w:p w:rsidR="00522911" w:rsidRPr="001A57E6" w:rsidRDefault="00522911" w:rsidP="00BB76A8">
      <w:pPr>
        <w:pStyle w:val="ListParagraph"/>
        <w:rPr>
          <w:snapToGrid/>
          <w:lang w:eastAsia="en-AU"/>
        </w:rPr>
      </w:pPr>
      <w:r w:rsidRPr="00C5513D">
        <w:rPr>
          <w:snapToGrid/>
          <w:lang w:eastAsia="en-AU"/>
        </w:rPr>
        <w:t xml:space="preserve">The resubmission nominated a reduction of </w:t>
      </w:r>
      <w:r w:rsidR="00B66217">
        <w:rPr>
          <w:snapToGrid/>
          <w:lang w:eastAsia="en-AU"/>
        </w:rPr>
        <w:t>at least one point (</w:t>
      </w:r>
      <w:r w:rsidRPr="00C5513D">
        <w:rPr>
          <w:snapToGrid/>
          <w:lang w:eastAsia="en-AU"/>
        </w:rPr>
        <w:t xml:space="preserve">MAS </w:t>
      </w:r>
      <w:r w:rsidR="00C5513D">
        <w:rPr>
          <w:snapToGrid/>
          <w:lang w:eastAsia="en-AU"/>
        </w:rPr>
        <w:t>≥</w:t>
      </w:r>
      <w:r w:rsidR="00A63A1F">
        <w:rPr>
          <w:snapToGrid/>
          <w:lang w:eastAsia="en-AU"/>
        </w:rPr>
        <w:t xml:space="preserve"> </w:t>
      </w:r>
      <w:r w:rsidR="00C5513D">
        <w:rPr>
          <w:snapToGrid/>
          <w:lang w:eastAsia="en-AU"/>
        </w:rPr>
        <w:t>1</w:t>
      </w:r>
      <w:r w:rsidR="00B66217">
        <w:rPr>
          <w:snapToGrid/>
          <w:lang w:eastAsia="en-AU"/>
        </w:rPr>
        <w:t>)</w:t>
      </w:r>
      <w:r w:rsidR="00C5513D">
        <w:rPr>
          <w:snapToGrid/>
          <w:lang w:eastAsia="en-AU"/>
        </w:rPr>
        <w:t xml:space="preserve"> </w:t>
      </w:r>
      <w:r w:rsidRPr="00C5513D">
        <w:rPr>
          <w:snapToGrid/>
          <w:lang w:eastAsia="en-AU"/>
        </w:rPr>
        <w:t xml:space="preserve">to be </w:t>
      </w:r>
      <w:r w:rsidR="005061B3">
        <w:rPr>
          <w:snapToGrid/>
          <w:lang w:eastAsia="en-AU"/>
        </w:rPr>
        <w:t xml:space="preserve">the </w:t>
      </w:r>
      <w:r w:rsidRPr="00C5513D">
        <w:rPr>
          <w:snapToGrid/>
          <w:lang w:eastAsia="en-AU"/>
        </w:rPr>
        <w:t>minimally clinically meaningful</w:t>
      </w:r>
      <w:r w:rsidR="005061B3">
        <w:rPr>
          <w:snapToGrid/>
          <w:lang w:eastAsia="en-AU"/>
        </w:rPr>
        <w:t xml:space="preserve"> difference</w:t>
      </w:r>
      <w:r w:rsidR="005C5EF9">
        <w:rPr>
          <w:snapToGrid/>
          <w:lang w:eastAsia="en-AU"/>
        </w:rPr>
        <w:t xml:space="preserve"> (MCID)</w:t>
      </w:r>
      <w:r w:rsidRPr="00C5513D">
        <w:rPr>
          <w:snapToGrid/>
          <w:lang w:eastAsia="en-AU"/>
        </w:rPr>
        <w:t>.</w:t>
      </w:r>
      <w:r w:rsidR="004A5FEC">
        <w:rPr>
          <w:snapToGrid/>
          <w:lang w:eastAsia="en-AU"/>
        </w:rPr>
        <w:t xml:space="preserve"> </w:t>
      </w:r>
      <w:r w:rsidRPr="00C5513D">
        <w:rPr>
          <w:snapToGrid/>
          <w:lang w:eastAsia="en-AU"/>
        </w:rPr>
        <w:t>Patients attaining this reduction from baseline in MAS were considered responders in the clinical and modelled economic evaluations.</w:t>
      </w:r>
      <w:r w:rsidR="004A5FEC">
        <w:rPr>
          <w:snapToGrid/>
          <w:lang w:eastAsia="en-AU"/>
        </w:rPr>
        <w:t xml:space="preserve"> </w:t>
      </w:r>
      <w:r w:rsidR="00C5513D">
        <w:rPr>
          <w:snapToGrid/>
          <w:lang w:eastAsia="en-AU"/>
        </w:rPr>
        <w:t>The</w:t>
      </w:r>
      <w:r w:rsidRPr="00C5513D">
        <w:rPr>
          <w:snapToGrid/>
          <w:lang w:eastAsia="en-AU"/>
        </w:rPr>
        <w:t xml:space="preserve"> PBAC had previously considered the outcome of a decrease in MAS</w:t>
      </w:r>
      <w:r w:rsidR="00C5513D">
        <w:rPr>
          <w:snapToGrid/>
          <w:lang w:eastAsia="en-AU"/>
        </w:rPr>
        <w:t xml:space="preserve"> of </w:t>
      </w:r>
      <w:r w:rsidR="00C5513D" w:rsidRPr="003368CF">
        <w:rPr>
          <w:snapToGrid/>
          <w:lang w:eastAsia="en-AU"/>
        </w:rPr>
        <w:t>at least one</w:t>
      </w:r>
      <w:r w:rsidR="00C5513D" w:rsidRPr="00B66217">
        <w:rPr>
          <w:snapToGrid/>
          <w:lang w:eastAsia="en-AU"/>
        </w:rPr>
        <w:t xml:space="preserve"> </w:t>
      </w:r>
      <w:r w:rsidR="00C5513D">
        <w:rPr>
          <w:snapToGrid/>
          <w:lang w:eastAsia="en-AU"/>
        </w:rPr>
        <w:t>point,</w:t>
      </w:r>
      <w:r w:rsidRPr="00C5513D">
        <w:rPr>
          <w:snapToGrid/>
          <w:lang w:eastAsia="en-AU"/>
        </w:rPr>
        <w:t xml:space="preserve"> in at least one joint</w:t>
      </w:r>
      <w:r w:rsidR="00C5513D">
        <w:rPr>
          <w:snapToGrid/>
          <w:lang w:eastAsia="en-AU"/>
        </w:rPr>
        <w:t>,</w:t>
      </w:r>
      <w:r w:rsidRPr="00C5513D">
        <w:rPr>
          <w:snapToGrid/>
          <w:lang w:eastAsia="en-AU"/>
        </w:rPr>
        <w:t xml:space="preserve"> at Week 20 to be clinically significant (</w:t>
      </w:r>
      <w:r w:rsidR="003368CF">
        <w:rPr>
          <w:snapToGrid/>
          <w:lang w:eastAsia="en-AU"/>
        </w:rPr>
        <w:t xml:space="preserve">November 2007, </w:t>
      </w:r>
      <w:proofErr w:type="spellStart"/>
      <w:r w:rsidRPr="00C5513D">
        <w:rPr>
          <w:snapToGrid/>
          <w:lang w:eastAsia="en-AU"/>
        </w:rPr>
        <w:t>Dysport</w:t>
      </w:r>
      <w:proofErr w:type="spellEnd"/>
      <w:r w:rsidRPr="00C5513D">
        <w:rPr>
          <w:snapToGrid/>
          <w:lang w:eastAsia="en-AU"/>
        </w:rPr>
        <w:t>® PSD</w:t>
      </w:r>
      <w:r w:rsidR="003368CF">
        <w:rPr>
          <w:snapToGrid/>
          <w:lang w:eastAsia="en-AU"/>
        </w:rPr>
        <w:t>)</w:t>
      </w:r>
      <w:r w:rsidRPr="00C5513D">
        <w:rPr>
          <w:snapToGrid/>
          <w:lang w:eastAsia="en-AU"/>
        </w:rPr>
        <w:t xml:space="preserve">, </w:t>
      </w:r>
      <w:r w:rsidR="003368CF">
        <w:rPr>
          <w:snapToGrid/>
          <w:lang w:eastAsia="en-AU"/>
        </w:rPr>
        <w:t xml:space="preserve">and </w:t>
      </w:r>
      <w:r w:rsidRPr="00C5513D">
        <w:rPr>
          <w:snapToGrid/>
          <w:lang w:eastAsia="en-AU"/>
        </w:rPr>
        <w:t>where MAS was supported by improvements in Goal Attainment Scale (GAS) and Global Assessment of Benefit (GAB) scores.</w:t>
      </w:r>
      <w:r w:rsidR="004A5FEC">
        <w:rPr>
          <w:snapToGrid/>
          <w:lang w:eastAsia="en-AU"/>
        </w:rPr>
        <w:t xml:space="preserve"> </w:t>
      </w:r>
      <w:r w:rsidRPr="00C5513D">
        <w:rPr>
          <w:snapToGrid/>
          <w:lang w:eastAsia="en-AU"/>
        </w:rPr>
        <w:t>In an</w:t>
      </w:r>
      <w:r w:rsidRPr="001A57E6">
        <w:rPr>
          <w:snapToGrid/>
          <w:lang w:eastAsia="en-AU"/>
        </w:rPr>
        <w:t xml:space="preserve"> earlier determination for </w:t>
      </w:r>
      <w:r w:rsidR="00EE500E">
        <w:rPr>
          <w:snapToGrid/>
          <w:lang w:eastAsia="en-AU"/>
        </w:rPr>
        <w:t>BOTOX®</w:t>
      </w:r>
      <w:r w:rsidRPr="001A57E6">
        <w:rPr>
          <w:snapToGrid/>
          <w:lang w:eastAsia="en-AU"/>
        </w:rPr>
        <w:t>, the PBAC had considered a more stringent change from baseline of MAS</w:t>
      </w:r>
      <w:r w:rsidR="00B66217">
        <w:rPr>
          <w:snapToGrid/>
          <w:lang w:eastAsia="en-AU"/>
        </w:rPr>
        <w:t xml:space="preserve"> </w:t>
      </w:r>
      <w:r w:rsidRPr="001A57E6">
        <w:rPr>
          <w:snapToGrid/>
          <w:lang w:eastAsia="en-AU"/>
        </w:rPr>
        <w:t>≥</w:t>
      </w:r>
      <w:r w:rsidR="00A63A1F">
        <w:rPr>
          <w:snapToGrid/>
          <w:lang w:eastAsia="en-AU"/>
        </w:rPr>
        <w:t xml:space="preserve"> </w:t>
      </w:r>
      <w:r w:rsidRPr="001A57E6">
        <w:rPr>
          <w:snapToGrid/>
          <w:lang w:eastAsia="en-AU"/>
        </w:rPr>
        <w:t>2 to be meaningful as that was associated with improvement in limb function and hygiene on the Disability Assessment Scale (DAS) (</w:t>
      </w:r>
      <w:r w:rsidR="003368CF">
        <w:rPr>
          <w:snapToGrid/>
          <w:lang w:eastAsia="en-AU"/>
        </w:rPr>
        <w:t>July 2006,</w:t>
      </w:r>
      <w:r w:rsidR="003368CF" w:rsidRPr="001A57E6">
        <w:rPr>
          <w:snapToGrid/>
          <w:lang w:eastAsia="en-AU"/>
        </w:rPr>
        <w:t xml:space="preserve"> </w:t>
      </w:r>
      <w:r w:rsidR="00EE500E">
        <w:rPr>
          <w:snapToGrid/>
          <w:lang w:eastAsia="en-AU"/>
        </w:rPr>
        <w:t>BOTOX®</w:t>
      </w:r>
      <w:r w:rsidRPr="001A57E6">
        <w:rPr>
          <w:snapToGrid/>
          <w:lang w:eastAsia="en-AU"/>
        </w:rPr>
        <w:t xml:space="preserve"> PSD).</w:t>
      </w:r>
    </w:p>
    <w:p w:rsidR="00BF3738" w:rsidRPr="00D4296D" w:rsidRDefault="00BB0674" w:rsidP="00BB76A8">
      <w:pPr>
        <w:pStyle w:val="ListParagraph"/>
        <w:rPr>
          <w:snapToGrid/>
          <w:lang w:eastAsia="en-AU"/>
        </w:rPr>
      </w:pPr>
      <w:r>
        <w:rPr>
          <w:snapToGrid/>
          <w:lang w:eastAsia="en-AU"/>
        </w:rPr>
        <w:t>A</w:t>
      </w:r>
      <w:r w:rsidR="00076BE6">
        <w:rPr>
          <w:snapToGrid/>
          <w:lang w:eastAsia="en-AU"/>
        </w:rPr>
        <w:t xml:space="preserve"> change in </w:t>
      </w:r>
      <w:r w:rsidR="00522911" w:rsidRPr="001A57E6">
        <w:rPr>
          <w:snapToGrid/>
          <w:lang w:eastAsia="en-AU"/>
        </w:rPr>
        <w:t>MAS</w:t>
      </w:r>
      <w:r w:rsidR="00B66217">
        <w:rPr>
          <w:snapToGrid/>
          <w:lang w:eastAsia="en-AU"/>
        </w:rPr>
        <w:t xml:space="preserve"> </w:t>
      </w:r>
      <w:r w:rsidR="00522911" w:rsidRPr="001A57E6">
        <w:rPr>
          <w:snapToGrid/>
          <w:lang w:eastAsia="en-AU"/>
        </w:rPr>
        <w:t>≥</w:t>
      </w:r>
      <w:r w:rsidR="00A63A1F">
        <w:rPr>
          <w:snapToGrid/>
          <w:lang w:eastAsia="en-AU"/>
        </w:rPr>
        <w:t xml:space="preserve"> </w:t>
      </w:r>
      <w:r w:rsidR="00522911" w:rsidRPr="001A57E6">
        <w:rPr>
          <w:snapToGrid/>
          <w:lang w:eastAsia="en-AU"/>
        </w:rPr>
        <w:t xml:space="preserve">1 </w:t>
      </w:r>
      <w:r w:rsidR="00C907EA">
        <w:rPr>
          <w:snapToGrid/>
          <w:lang w:eastAsia="en-AU"/>
        </w:rPr>
        <w:t xml:space="preserve">from baseline </w:t>
      </w:r>
      <w:r w:rsidR="00522911" w:rsidRPr="001A57E6">
        <w:rPr>
          <w:snapToGrid/>
          <w:lang w:eastAsia="en-AU"/>
        </w:rPr>
        <w:t xml:space="preserve">was inconsistent with the </w:t>
      </w:r>
      <w:r>
        <w:rPr>
          <w:snapToGrid/>
          <w:lang w:eastAsia="en-AU"/>
        </w:rPr>
        <w:t xml:space="preserve">continuation criteria in the </w:t>
      </w:r>
      <w:r w:rsidR="00522911" w:rsidRPr="001A57E6">
        <w:rPr>
          <w:snapToGrid/>
          <w:lang w:eastAsia="en-AU"/>
        </w:rPr>
        <w:t xml:space="preserve">current PBS listing </w:t>
      </w:r>
      <w:r w:rsidR="00F85A27">
        <w:rPr>
          <w:snapToGrid/>
          <w:lang w:eastAsia="en-AU"/>
        </w:rPr>
        <w:t xml:space="preserve">for focal spasticity </w:t>
      </w:r>
      <w:r>
        <w:rPr>
          <w:snapToGrid/>
          <w:lang w:eastAsia="en-AU"/>
        </w:rPr>
        <w:t>of</w:t>
      </w:r>
      <w:r w:rsidR="00F85A27">
        <w:rPr>
          <w:snapToGrid/>
          <w:lang w:eastAsia="en-AU"/>
        </w:rPr>
        <w:t xml:space="preserve"> the upper limb</w:t>
      </w:r>
      <w:r w:rsidR="00522911" w:rsidRPr="001A57E6">
        <w:rPr>
          <w:snapToGrid/>
          <w:lang w:eastAsia="en-AU"/>
        </w:rPr>
        <w:t>.</w:t>
      </w:r>
      <w:r w:rsidR="004A5FEC">
        <w:rPr>
          <w:snapToGrid/>
          <w:lang w:eastAsia="en-AU"/>
        </w:rPr>
        <w:t xml:space="preserve"> </w:t>
      </w:r>
    </w:p>
    <w:p w:rsidR="00C82316" w:rsidRPr="00695AB3" w:rsidRDefault="00BF3738" w:rsidP="00BB76A8">
      <w:pPr>
        <w:pStyle w:val="ListParagraph"/>
        <w:rPr>
          <w:snapToGrid/>
          <w:lang w:eastAsia="en-AU"/>
        </w:rPr>
      </w:pPr>
      <w:r w:rsidRPr="00695AB3">
        <w:rPr>
          <w:snapToGrid/>
          <w:lang w:eastAsia="en-AU"/>
        </w:rPr>
        <w:t xml:space="preserve">Results from the primary and secondary trials are summarised below for: mean change in MAS from baseline, MAS responder, </w:t>
      </w:r>
      <w:r w:rsidRPr="00F11DA4">
        <w:rPr>
          <w:snapToGrid/>
          <w:lang w:eastAsia="en-AU"/>
        </w:rPr>
        <w:t>CGI, GAS</w:t>
      </w:r>
      <w:r w:rsidRPr="00695AB3">
        <w:rPr>
          <w:snapToGrid/>
          <w:lang w:eastAsia="en-AU"/>
        </w:rPr>
        <w:t xml:space="preserve"> and health related quality of life (</w:t>
      </w:r>
      <w:proofErr w:type="spellStart"/>
      <w:r w:rsidRPr="00695AB3">
        <w:rPr>
          <w:snapToGrid/>
          <w:lang w:eastAsia="en-AU"/>
        </w:rPr>
        <w:t>HRQoL</w:t>
      </w:r>
      <w:proofErr w:type="spellEnd"/>
      <w:r w:rsidRPr="00695AB3">
        <w:rPr>
          <w:snapToGrid/>
          <w:lang w:eastAsia="en-AU"/>
        </w:rPr>
        <w:t>).</w:t>
      </w:r>
      <w:r w:rsidR="004A5FEC">
        <w:rPr>
          <w:snapToGrid/>
          <w:lang w:eastAsia="en-AU"/>
        </w:rPr>
        <w:t xml:space="preserve"> </w:t>
      </w:r>
      <w:r w:rsidR="00695AB3" w:rsidRPr="00695AB3">
        <w:rPr>
          <w:snapToGrid/>
          <w:lang w:eastAsia="en-AU"/>
        </w:rPr>
        <w:t>Result</w:t>
      </w:r>
      <w:r w:rsidR="00BC5120">
        <w:rPr>
          <w:snapToGrid/>
          <w:lang w:eastAsia="en-AU"/>
        </w:rPr>
        <w:t>s</w:t>
      </w:r>
      <w:r w:rsidR="00695AB3" w:rsidRPr="00695AB3">
        <w:rPr>
          <w:snapToGrid/>
          <w:lang w:eastAsia="en-AU"/>
        </w:rPr>
        <w:t xml:space="preserve"> of subgroup analyses in REFLEX and meta-analyses for MAS/AS ≥</w:t>
      </w:r>
      <w:r w:rsidR="00A63A1F">
        <w:rPr>
          <w:snapToGrid/>
          <w:lang w:eastAsia="en-AU"/>
        </w:rPr>
        <w:t xml:space="preserve"> </w:t>
      </w:r>
      <w:r w:rsidR="00695AB3" w:rsidRPr="00695AB3">
        <w:rPr>
          <w:snapToGrid/>
          <w:lang w:eastAsia="en-AU"/>
        </w:rPr>
        <w:t>3 population in the trials are also presented.</w:t>
      </w:r>
      <w:r w:rsidR="004A5FEC">
        <w:rPr>
          <w:snapToGrid/>
          <w:lang w:eastAsia="en-AU"/>
        </w:rPr>
        <w:t xml:space="preserve"> </w:t>
      </w:r>
    </w:p>
    <w:p w:rsidR="002B5770" w:rsidRPr="001A57E6" w:rsidRDefault="002B5770" w:rsidP="004428BA">
      <w:pPr>
        <w:pStyle w:val="Heading4"/>
        <w:widowControl/>
        <w:spacing w:before="0" w:after="120"/>
        <w:rPr>
          <w:szCs w:val="26"/>
        </w:rPr>
      </w:pPr>
      <w:r w:rsidRPr="001A57E6">
        <w:rPr>
          <w:szCs w:val="26"/>
        </w:rPr>
        <w:t>Mean change in MAS from baseline</w:t>
      </w:r>
    </w:p>
    <w:p w:rsidR="00C82316" w:rsidRPr="001A57E6" w:rsidRDefault="00522911" w:rsidP="00BB76A8">
      <w:pPr>
        <w:pStyle w:val="ListParagraph"/>
        <w:rPr>
          <w:rFonts w:cs="Calibri"/>
          <w:snapToGrid/>
          <w:szCs w:val="24"/>
          <w:lang w:eastAsia="en-AU"/>
        </w:rPr>
      </w:pPr>
      <w:r w:rsidRPr="001A57E6">
        <w:rPr>
          <w:rFonts w:cs="Calibri"/>
          <w:snapToGrid/>
          <w:szCs w:val="24"/>
          <w:lang w:eastAsia="en-AU"/>
        </w:rPr>
        <w:t>Table</w:t>
      </w:r>
      <w:r w:rsidR="00BD5880">
        <w:rPr>
          <w:snapToGrid/>
          <w:lang w:eastAsia="en-AU"/>
        </w:rPr>
        <w:t xml:space="preserve"> 6</w:t>
      </w:r>
      <w:r w:rsidRPr="001A57E6">
        <w:rPr>
          <w:snapToGrid/>
          <w:lang w:eastAsia="en-AU"/>
        </w:rPr>
        <w:t xml:space="preserve"> summarises the results for mean change in MAS score from baseline in the primary trials.</w:t>
      </w:r>
      <w:r w:rsidR="004A5FEC">
        <w:rPr>
          <w:snapToGrid/>
          <w:lang w:eastAsia="en-AU"/>
        </w:rPr>
        <w:t xml:space="preserve"> </w:t>
      </w:r>
      <w:r w:rsidRPr="001A57E6">
        <w:rPr>
          <w:snapToGrid/>
          <w:lang w:eastAsia="en-AU"/>
        </w:rPr>
        <w:t>The main time points for assessment of MAS outcomes in REFLEX were at Week 4 and 6</w:t>
      </w:r>
      <w:r w:rsidR="000F4777">
        <w:rPr>
          <w:snapToGrid/>
          <w:lang w:eastAsia="en-AU"/>
        </w:rPr>
        <w:t xml:space="preserve"> and</w:t>
      </w:r>
      <w:r w:rsidRPr="001A57E6">
        <w:rPr>
          <w:snapToGrid/>
          <w:lang w:eastAsia="en-AU"/>
        </w:rPr>
        <w:t xml:space="preserve"> </w:t>
      </w:r>
      <w:r w:rsidR="006F689F">
        <w:rPr>
          <w:snapToGrid/>
          <w:lang w:eastAsia="en-AU"/>
        </w:rPr>
        <w:t>in</w:t>
      </w:r>
      <w:r w:rsidR="00C82316" w:rsidRPr="001A57E6">
        <w:rPr>
          <w:snapToGrid/>
          <w:lang w:eastAsia="en-AU"/>
        </w:rPr>
        <w:t xml:space="preserve"> Trial 512</w:t>
      </w:r>
      <w:r w:rsidR="000F4777">
        <w:rPr>
          <w:snapToGrid/>
          <w:lang w:eastAsia="en-AU"/>
        </w:rPr>
        <w:t>,</w:t>
      </w:r>
      <w:r w:rsidR="00C82316" w:rsidRPr="001A57E6">
        <w:rPr>
          <w:snapToGrid/>
          <w:lang w:eastAsia="en-AU"/>
        </w:rPr>
        <w:t xml:space="preserve"> area under the MAS curve (AUC) </w:t>
      </w:r>
      <w:r w:rsidR="000F4777">
        <w:rPr>
          <w:snapToGrid/>
          <w:lang w:eastAsia="en-AU"/>
        </w:rPr>
        <w:t xml:space="preserve">was measured </w:t>
      </w:r>
      <w:r w:rsidR="00C82316" w:rsidRPr="001A57E6">
        <w:rPr>
          <w:snapToGrid/>
          <w:lang w:eastAsia="en-AU"/>
        </w:rPr>
        <w:t>from baseline to Week 12</w:t>
      </w:r>
      <w:r w:rsidR="000F4777">
        <w:rPr>
          <w:snapToGrid/>
          <w:lang w:eastAsia="en-AU"/>
        </w:rPr>
        <w:t>. F</w:t>
      </w:r>
      <w:r w:rsidR="00C82316" w:rsidRPr="001A57E6">
        <w:rPr>
          <w:snapToGrid/>
          <w:lang w:eastAsia="en-AU"/>
        </w:rPr>
        <w:t xml:space="preserve">or comparability results for change to each time point </w:t>
      </w:r>
      <w:r w:rsidR="000F4777">
        <w:rPr>
          <w:snapToGrid/>
          <w:lang w:eastAsia="en-AU"/>
        </w:rPr>
        <w:t>are</w:t>
      </w:r>
      <w:r w:rsidR="000F4777" w:rsidRPr="001A57E6">
        <w:rPr>
          <w:snapToGrid/>
          <w:lang w:eastAsia="en-AU"/>
        </w:rPr>
        <w:t xml:space="preserve"> </w:t>
      </w:r>
      <w:r w:rsidR="00C82316" w:rsidRPr="001A57E6">
        <w:rPr>
          <w:snapToGrid/>
          <w:lang w:eastAsia="en-AU"/>
        </w:rPr>
        <w:t>presented.</w:t>
      </w:r>
    </w:p>
    <w:p w:rsidR="00C82316" w:rsidRPr="001A57E6" w:rsidRDefault="00BD5880" w:rsidP="004428BA">
      <w:pPr>
        <w:pStyle w:val="PBACHeading1"/>
        <w:keepNext/>
        <w:numPr>
          <w:ilvl w:val="0"/>
          <w:numId w:val="0"/>
        </w:numPr>
        <w:spacing w:after="0"/>
        <w:rPr>
          <w:rStyle w:val="CommentReference"/>
          <w:b/>
          <w:bCs/>
          <w:szCs w:val="20"/>
        </w:rPr>
      </w:pPr>
      <w:bookmarkStart w:id="25" w:name="_Toc523866656"/>
      <w:bookmarkStart w:id="26" w:name="_Toc524509815"/>
      <w:bookmarkStart w:id="27" w:name="_Toc524523779"/>
      <w:r>
        <w:rPr>
          <w:rStyle w:val="CommentReference"/>
          <w:b/>
          <w:bCs/>
          <w:szCs w:val="20"/>
        </w:rPr>
        <w:lastRenderedPageBreak/>
        <w:t>Table 6</w:t>
      </w:r>
      <w:r w:rsidR="00C82316" w:rsidRPr="001A57E6">
        <w:rPr>
          <w:rStyle w:val="CommentReference"/>
          <w:b/>
          <w:bCs/>
          <w:szCs w:val="20"/>
        </w:rPr>
        <w:t>: Mean change in MAS score from baseline in the primary trials</w:t>
      </w:r>
      <w:bookmarkEnd w:id="25"/>
      <w:bookmarkEnd w:id="26"/>
      <w:bookmarkEnd w:id="2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5"/>
        <w:gridCol w:w="482"/>
        <w:gridCol w:w="858"/>
        <w:gridCol w:w="420"/>
        <w:gridCol w:w="992"/>
        <w:gridCol w:w="425"/>
        <w:gridCol w:w="858"/>
        <w:gridCol w:w="420"/>
        <w:gridCol w:w="992"/>
        <w:gridCol w:w="2835"/>
      </w:tblGrid>
      <w:tr w:rsidR="00C82316" w:rsidRPr="001A57E6" w:rsidTr="002B5770">
        <w:trPr>
          <w:cantSplit/>
        </w:trPr>
        <w:tc>
          <w:tcPr>
            <w:tcW w:w="785" w:type="dxa"/>
            <w:vMerge w:val="restart"/>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Endpoint</w:t>
            </w:r>
          </w:p>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Weeks</w:t>
            </w:r>
          </w:p>
        </w:tc>
        <w:tc>
          <w:tcPr>
            <w:tcW w:w="2752" w:type="dxa"/>
            <w:gridSpan w:val="4"/>
            <w:shd w:val="clear" w:color="auto" w:fill="auto"/>
            <w:vAlign w:val="center"/>
          </w:tcPr>
          <w:p w:rsidR="00C82316" w:rsidRPr="001A57E6" w:rsidRDefault="00EE500E" w:rsidP="004428BA">
            <w:pPr>
              <w:keepNext/>
              <w:widowControl/>
              <w:jc w:val="center"/>
              <w:rPr>
                <w:rFonts w:ascii="Arial Narrow" w:hAnsi="Arial Narrow"/>
                <w:b/>
                <w:bCs/>
                <w:sz w:val="20"/>
                <w:szCs w:val="20"/>
              </w:rPr>
            </w:pPr>
            <w:r>
              <w:rPr>
                <w:rFonts w:ascii="Arial Narrow" w:hAnsi="Arial Narrow"/>
                <w:b/>
                <w:bCs/>
                <w:sz w:val="20"/>
                <w:szCs w:val="20"/>
              </w:rPr>
              <w:t>BOTOX®</w:t>
            </w:r>
            <w:r w:rsidR="00C82316" w:rsidRPr="001A57E6">
              <w:rPr>
                <w:rFonts w:ascii="Arial Narrow" w:hAnsi="Arial Narrow"/>
                <w:b/>
                <w:bCs/>
                <w:sz w:val="20"/>
                <w:szCs w:val="20"/>
              </w:rPr>
              <w:t xml:space="preserve"> 300-400 U</w:t>
            </w:r>
          </w:p>
        </w:tc>
        <w:tc>
          <w:tcPr>
            <w:tcW w:w="2695" w:type="dxa"/>
            <w:gridSpan w:val="4"/>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Placebo</w:t>
            </w:r>
          </w:p>
        </w:tc>
        <w:tc>
          <w:tcPr>
            <w:tcW w:w="2835" w:type="dxa"/>
            <w:vMerge w:val="restart"/>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Difference (95%CI), p value</w:t>
            </w:r>
          </w:p>
        </w:tc>
      </w:tr>
      <w:tr w:rsidR="00C82316" w:rsidRPr="001A57E6" w:rsidTr="002B5770">
        <w:trPr>
          <w:cantSplit/>
        </w:trPr>
        <w:tc>
          <w:tcPr>
            <w:tcW w:w="785" w:type="dxa"/>
            <w:vMerge/>
          </w:tcPr>
          <w:p w:rsidR="00C82316" w:rsidRPr="001A57E6" w:rsidRDefault="00C82316" w:rsidP="004428BA">
            <w:pPr>
              <w:keepNext/>
              <w:widowControl/>
              <w:rPr>
                <w:rFonts w:ascii="Arial Narrow" w:hAnsi="Arial Narrow"/>
                <w:b/>
                <w:bCs/>
                <w:sz w:val="20"/>
                <w:szCs w:val="20"/>
              </w:rPr>
            </w:pPr>
          </w:p>
        </w:tc>
        <w:tc>
          <w:tcPr>
            <w:tcW w:w="1340" w:type="dxa"/>
            <w:gridSpan w:val="2"/>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Baseline</w:t>
            </w:r>
          </w:p>
        </w:tc>
        <w:tc>
          <w:tcPr>
            <w:tcW w:w="1412" w:type="dxa"/>
            <w:gridSpan w:val="2"/>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Change</w:t>
            </w:r>
          </w:p>
        </w:tc>
        <w:tc>
          <w:tcPr>
            <w:tcW w:w="1283" w:type="dxa"/>
            <w:gridSpan w:val="2"/>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Baseline</w:t>
            </w:r>
          </w:p>
        </w:tc>
        <w:tc>
          <w:tcPr>
            <w:tcW w:w="1412" w:type="dxa"/>
            <w:gridSpan w:val="2"/>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Change</w:t>
            </w:r>
          </w:p>
        </w:tc>
        <w:tc>
          <w:tcPr>
            <w:tcW w:w="2835" w:type="dxa"/>
            <w:vMerge/>
            <w:shd w:val="clear" w:color="auto" w:fill="auto"/>
            <w:vAlign w:val="center"/>
          </w:tcPr>
          <w:p w:rsidR="00C82316" w:rsidRPr="001A57E6" w:rsidRDefault="00C82316" w:rsidP="004428BA">
            <w:pPr>
              <w:keepNext/>
              <w:widowControl/>
              <w:jc w:val="center"/>
              <w:rPr>
                <w:rFonts w:ascii="Arial Narrow" w:hAnsi="Arial Narrow"/>
                <w:b/>
                <w:bCs/>
                <w:sz w:val="20"/>
                <w:szCs w:val="20"/>
              </w:rPr>
            </w:pPr>
          </w:p>
        </w:tc>
      </w:tr>
      <w:tr w:rsidR="00C82316" w:rsidRPr="001A57E6" w:rsidTr="002B5770">
        <w:trPr>
          <w:cantSplit/>
        </w:trPr>
        <w:tc>
          <w:tcPr>
            <w:tcW w:w="785" w:type="dxa"/>
            <w:vMerge/>
          </w:tcPr>
          <w:p w:rsidR="00C82316" w:rsidRPr="001A57E6" w:rsidRDefault="00C82316" w:rsidP="004428BA">
            <w:pPr>
              <w:keepNext/>
              <w:widowControl/>
              <w:rPr>
                <w:rFonts w:ascii="Arial Narrow" w:hAnsi="Arial Narrow"/>
                <w:b/>
                <w:bCs/>
                <w:sz w:val="20"/>
                <w:szCs w:val="20"/>
              </w:rPr>
            </w:pP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N</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Mean (SD)</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N</w:t>
            </w:r>
          </w:p>
        </w:tc>
        <w:tc>
          <w:tcPr>
            <w:tcW w:w="99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Mean (SD)</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N</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Mean (SD)</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N</w:t>
            </w:r>
          </w:p>
        </w:tc>
        <w:tc>
          <w:tcPr>
            <w:tcW w:w="99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Mean (SD)</w:t>
            </w:r>
          </w:p>
        </w:tc>
        <w:tc>
          <w:tcPr>
            <w:tcW w:w="2835" w:type="dxa"/>
            <w:vMerge/>
            <w:shd w:val="clear" w:color="auto" w:fill="auto"/>
            <w:vAlign w:val="center"/>
          </w:tcPr>
          <w:p w:rsidR="00C82316" w:rsidRPr="001A57E6" w:rsidRDefault="00C82316" w:rsidP="004428BA">
            <w:pPr>
              <w:keepNext/>
              <w:widowControl/>
              <w:jc w:val="center"/>
              <w:rPr>
                <w:rFonts w:ascii="Arial Narrow" w:hAnsi="Arial Narrow"/>
                <w:b/>
                <w:bCs/>
                <w:sz w:val="20"/>
                <w:szCs w:val="20"/>
              </w:rPr>
            </w:pPr>
          </w:p>
        </w:tc>
      </w:tr>
      <w:tr w:rsidR="00C82316" w:rsidRPr="001A57E6" w:rsidTr="002B5770">
        <w:trPr>
          <w:cantSplit/>
        </w:trPr>
        <w:tc>
          <w:tcPr>
            <w:tcW w:w="9067" w:type="dxa"/>
            <w:gridSpan w:val="10"/>
            <w:vAlign w:val="center"/>
          </w:tcPr>
          <w:p w:rsidR="00C82316" w:rsidRPr="001A57E6" w:rsidRDefault="00C82316" w:rsidP="004428BA">
            <w:pPr>
              <w:keepNext/>
              <w:widowControl/>
              <w:rPr>
                <w:rFonts w:ascii="Arial Narrow" w:hAnsi="Arial Narrow"/>
                <w:b/>
                <w:bCs/>
                <w:sz w:val="20"/>
                <w:szCs w:val="20"/>
              </w:rPr>
            </w:pPr>
            <w:r w:rsidRPr="001A57E6">
              <w:rPr>
                <w:rFonts w:ascii="Arial Narrow" w:hAnsi="Arial Narrow"/>
                <w:b/>
                <w:bCs/>
                <w:sz w:val="20"/>
                <w:szCs w:val="20"/>
              </w:rPr>
              <w:t>REFLEX</w:t>
            </w:r>
          </w:p>
        </w:tc>
      </w:tr>
      <w:tr w:rsidR="00C82316" w:rsidRPr="001A57E6" w:rsidTr="002B5770">
        <w:trPr>
          <w:cantSplit/>
        </w:trPr>
        <w:tc>
          <w:tcPr>
            <w:tcW w:w="785" w:type="dxa"/>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2</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233</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(0.27)</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228</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0.7 (0.85)</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235</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233</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0.5 (0.79)</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-0.21 (-0.35, -</w:t>
            </w:r>
            <w:r w:rsidR="00C82316" w:rsidRPr="001A57E6">
              <w:rPr>
                <w:rFonts w:ascii="Arial Narrow" w:hAnsi="Arial Narrow"/>
                <w:b/>
                <w:bCs/>
                <w:sz w:val="20"/>
                <w:szCs w:val="20"/>
              </w:rPr>
              <w:t>0.06) p=0.006</w:t>
            </w:r>
          </w:p>
        </w:tc>
      </w:tr>
      <w:tr w:rsidR="00C82316" w:rsidRPr="001A57E6" w:rsidTr="002B5770">
        <w:trPr>
          <w:cantSplit/>
        </w:trPr>
        <w:tc>
          <w:tcPr>
            <w:tcW w:w="785" w:type="dxa"/>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4</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233</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(0.27)</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225</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0.8 (0.93)</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235</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229</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0.6 (0.86)</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w:t>
            </w:r>
            <w:r w:rsidR="00C82316" w:rsidRPr="001A57E6">
              <w:rPr>
                <w:rFonts w:ascii="Arial Narrow" w:hAnsi="Arial Narrow"/>
                <w:b/>
                <w:bCs/>
                <w:sz w:val="20"/>
                <w:szCs w:val="20"/>
              </w:rPr>
              <w:t>0.22 (</w:t>
            </w:r>
            <w:r>
              <w:rPr>
                <w:rFonts w:ascii="Arial Narrow" w:hAnsi="Arial Narrow"/>
                <w:b/>
                <w:bCs/>
                <w:sz w:val="20"/>
                <w:szCs w:val="20"/>
              </w:rPr>
              <w:t>-</w:t>
            </w:r>
            <w:r w:rsidR="00C82316" w:rsidRPr="001A57E6">
              <w:rPr>
                <w:rFonts w:ascii="Arial Narrow" w:hAnsi="Arial Narrow"/>
                <w:b/>
                <w:bCs/>
                <w:sz w:val="20"/>
                <w:szCs w:val="20"/>
              </w:rPr>
              <w:t>0.39, </w:t>
            </w:r>
            <w:r>
              <w:rPr>
                <w:rFonts w:ascii="Arial Narrow" w:hAnsi="Arial Narrow"/>
                <w:b/>
                <w:bCs/>
                <w:sz w:val="20"/>
                <w:szCs w:val="20"/>
              </w:rPr>
              <w:t>-</w:t>
            </w:r>
            <w:r w:rsidR="00C82316" w:rsidRPr="001A57E6">
              <w:rPr>
                <w:rFonts w:ascii="Arial Narrow" w:hAnsi="Arial Narrow"/>
                <w:b/>
                <w:bCs/>
                <w:sz w:val="20"/>
                <w:szCs w:val="20"/>
              </w:rPr>
              <w:t>0.06) p=0.007</w:t>
            </w:r>
          </w:p>
        </w:tc>
      </w:tr>
      <w:tr w:rsidR="00C82316" w:rsidRPr="001A57E6" w:rsidTr="002B5770">
        <w:trPr>
          <w:cantSplit/>
        </w:trPr>
        <w:tc>
          <w:tcPr>
            <w:tcW w:w="785" w:type="dxa"/>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4-6*</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233</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(0.27)</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233</w:t>
            </w:r>
          </w:p>
        </w:tc>
        <w:tc>
          <w:tcPr>
            <w:tcW w:w="99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-0.81 (0.87)</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235</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4.1 (0.25)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235</w:t>
            </w:r>
          </w:p>
        </w:tc>
        <w:tc>
          <w:tcPr>
            <w:tcW w:w="99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-0.61 (0.84)</w:t>
            </w:r>
          </w:p>
        </w:tc>
        <w:tc>
          <w:tcPr>
            <w:tcW w:w="283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-0.20 (-0.36, -0.05); p=0.01</w:t>
            </w:r>
          </w:p>
        </w:tc>
      </w:tr>
      <w:tr w:rsidR="00C82316" w:rsidRPr="001A57E6" w:rsidTr="002B5770">
        <w:trPr>
          <w:cantSplit/>
        </w:trPr>
        <w:tc>
          <w:tcPr>
            <w:tcW w:w="785" w:type="dxa"/>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6</w:t>
            </w:r>
          </w:p>
        </w:tc>
        <w:tc>
          <w:tcPr>
            <w:tcW w:w="482"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233</w:t>
            </w:r>
          </w:p>
        </w:tc>
        <w:tc>
          <w:tcPr>
            <w:tcW w:w="858"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4.1 (0.27)</w:t>
            </w:r>
          </w:p>
        </w:tc>
        <w:tc>
          <w:tcPr>
            <w:tcW w:w="420"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225</w:t>
            </w:r>
          </w:p>
        </w:tc>
        <w:tc>
          <w:tcPr>
            <w:tcW w:w="992" w:type="dxa"/>
            <w:shd w:val="clear" w:color="auto" w:fill="auto"/>
            <w:vAlign w:val="center"/>
          </w:tcPr>
          <w:p w:rsidR="00C82316" w:rsidRPr="001A57E6" w:rsidRDefault="003D4516" w:rsidP="004428BA">
            <w:pPr>
              <w:keepNext/>
              <w:widowControl/>
              <w:jc w:val="center"/>
              <w:rPr>
                <w:rFonts w:ascii="Arial Narrow" w:hAnsi="Arial Narrow"/>
                <w:sz w:val="20"/>
                <w:szCs w:val="20"/>
              </w:rPr>
            </w:pPr>
            <w:r>
              <w:rPr>
                <w:rFonts w:ascii="Arial Narrow" w:hAnsi="Arial Narrow"/>
                <w:sz w:val="20"/>
                <w:szCs w:val="20"/>
              </w:rPr>
              <w:t>-</w:t>
            </w:r>
            <w:r w:rsidR="00C82316" w:rsidRPr="001A57E6">
              <w:rPr>
                <w:rFonts w:ascii="Arial Narrow" w:hAnsi="Arial Narrow"/>
                <w:sz w:val="20"/>
                <w:szCs w:val="20"/>
              </w:rPr>
              <w:t>0.8 (0.97)</w:t>
            </w:r>
          </w:p>
        </w:tc>
        <w:tc>
          <w:tcPr>
            <w:tcW w:w="425"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235</w:t>
            </w:r>
          </w:p>
        </w:tc>
        <w:tc>
          <w:tcPr>
            <w:tcW w:w="858"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4.1 (0.25)</w:t>
            </w:r>
          </w:p>
        </w:tc>
        <w:tc>
          <w:tcPr>
            <w:tcW w:w="420"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224</w:t>
            </w:r>
          </w:p>
        </w:tc>
        <w:tc>
          <w:tcPr>
            <w:tcW w:w="992" w:type="dxa"/>
            <w:shd w:val="clear" w:color="auto" w:fill="auto"/>
            <w:vAlign w:val="center"/>
          </w:tcPr>
          <w:p w:rsidR="00C82316" w:rsidRPr="001A57E6" w:rsidRDefault="003D4516" w:rsidP="004428BA">
            <w:pPr>
              <w:keepNext/>
              <w:widowControl/>
              <w:jc w:val="center"/>
              <w:rPr>
                <w:rFonts w:ascii="Arial Narrow" w:hAnsi="Arial Narrow"/>
                <w:sz w:val="20"/>
                <w:szCs w:val="20"/>
              </w:rPr>
            </w:pPr>
            <w:r>
              <w:rPr>
                <w:rFonts w:ascii="Arial Narrow" w:hAnsi="Arial Narrow"/>
                <w:sz w:val="20"/>
                <w:szCs w:val="20"/>
              </w:rPr>
              <w:t>-</w:t>
            </w:r>
            <w:r w:rsidR="00C82316" w:rsidRPr="001A57E6">
              <w:rPr>
                <w:rFonts w:ascii="Arial Narrow" w:hAnsi="Arial Narrow"/>
                <w:sz w:val="20"/>
                <w:szCs w:val="20"/>
              </w:rPr>
              <w:t>0.6 (0.92)</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w:t>
            </w:r>
            <w:r w:rsidR="00C82316" w:rsidRPr="001A57E6">
              <w:rPr>
                <w:rFonts w:ascii="Arial Narrow" w:hAnsi="Arial Narrow"/>
                <w:b/>
                <w:bCs/>
                <w:sz w:val="20"/>
                <w:szCs w:val="20"/>
              </w:rPr>
              <w:t>0.19 (</w:t>
            </w:r>
            <w:r>
              <w:rPr>
                <w:rFonts w:ascii="Arial Narrow" w:hAnsi="Arial Narrow"/>
                <w:b/>
                <w:bCs/>
                <w:sz w:val="20"/>
                <w:szCs w:val="20"/>
              </w:rPr>
              <w:t>-</w:t>
            </w:r>
            <w:r w:rsidR="00C82316" w:rsidRPr="001A57E6">
              <w:rPr>
                <w:rFonts w:ascii="Arial Narrow" w:hAnsi="Arial Narrow"/>
                <w:b/>
                <w:bCs/>
                <w:sz w:val="20"/>
                <w:szCs w:val="20"/>
              </w:rPr>
              <w:t>0.37, </w:t>
            </w:r>
            <w:r>
              <w:rPr>
                <w:rFonts w:ascii="Arial Narrow" w:hAnsi="Arial Narrow"/>
                <w:b/>
                <w:bCs/>
                <w:sz w:val="20"/>
                <w:szCs w:val="20"/>
              </w:rPr>
              <w:t>-</w:t>
            </w:r>
            <w:r w:rsidR="00C82316" w:rsidRPr="001A57E6">
              <w:rPr>
                <w:rFonts w:ascii="Arial Narrow" w:hAnsi="Arial Narrow"/>
                <w:b/>
                <w:bCs/>
                <w:sz w:val="20"/>
                <w:szCs w:val="20"/>
              </w:rPr>
              <w:t>0.02) p=0.027</w:t>
            </w:r>
          </w:p>
        </w:tc>
      </w:tr>
      <w:tr w:rsidR="00C82316" w:rsidRPr="001A57E6" w:rsidTr="002B5770">
        <w:trPr>
          <w:cantSplit/>
        </w:trPr>
        <w:tc>
          <w:tcPr>
            <w:tcW w:w="785" w:type="dxa"/>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8</w:t>
            </w:r>
          </w:p>
        </w:tc>
        <w:tc>
          <w:tcPr>
            <w:tcW w:w="482"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233</w:t>
            </w:r>
          </w:p>
        </w:tc>
        <w:tc>
          <w:tcPr>
            <w:tcW w:w="858"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4.1 (0.27)</w:t>
            </w:r>
          </w:p>
        </w:tc>
        <w:tc>
          <w:tcPr>
            <w:tcW w:w="420"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227</w:t>
            </w:r>
          </w:p>
        </w:tc>
        <w:tc>
          <w:tcPr>
            <w:tcW w:w="992" w:type="dxa"/>
            <w:shd w:val="clear" w:color="auto" w:fill="auto"/>
            <w:vAlign w:val="center"/>
          </w:tcPr>
          <w:p w:rsidR="00C82316" w:rsidRPr="001A57E6" w:rsidRDefault="003D4516" w:rsidP="004428BA">
            <w:pPr>
              <w:keepNext/>
              <w:widowControl/>
              <w:jc w:val="center"/>
              <w:rPr>
                <w:rFonts w:ascii="Arial Narrow" w:hAnsi="Arial Narrow"/>
                <w:sz w:val="20"/>
                <w:szCs w:val="20"/>
              </w:rPr>
            </w:pPr>
            <w:r>
              <w:rPr>
                <w:rFonts w:ascii="Arial Narrow" w:hAnsi="Arial Narrow"/>
                <w:sz w:val="20"/>
                <w:szCs w:val="20"/>
              </w:rPr>
              <w:t>-</w:t>
            </w:r>
            <w:r w:rsidR="00C82316" w:rsidRPr="001A57E6">
              <w:rPr>
                <w:rFonts w:ascii="Arial Narrow" w:hAnsi="Arial Narrow"/>
                <w:sz w:val="20"/>
                <w:szCs w:val="20"/>
              </w:rPr>
              <w:t>0.7 (0.89)</w:t>
            </w:r>
          </w:p>
        </w:tc>
        <w:tc>
          <w:tcPr>
            <w:tcW w:w="425"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235</w:t>
            </w:r>
          </w:p>
        </w:tc>
        <w:tc>
          <w:tcPr>
            <w:tcW w:w="858"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4.1 (0.25)</w:t>
            </w:r>
          </w:p>
        </w:tc>
        <w:tc>
          <w:tcPr>
            <w:tcW w:w="420" w:type="dxa"/>
            <w:shd w:val="clear" w:color="auto" w:fill="auto"/>
            <w:vAlign w:val="center"/>
          </w:tcPr>
          <w:p w:rsidR="00C82316" w:rsidRPr="001A57E6" w:rsidRDefault="00C82316" w:rsidP="004428BA">
            <w:pPr>
              <w:keepNext/>
              <w:widowControl/>
              <w:jc w:val="center"/>
              <w:rPr>
                <w:rFonts w:ascii="Arial Narrow" w:hAnsi="Arial Narrow"/>
                <w:sz w:val="20"/>
                <w:szCs w:val="20"/>
              </w:rPr>
            </w:pPr>
            <w:r w:rsidRPr="001A57E6">
              <w:rPr>
                <w:rFonts w:ascii="Arial Narrow" w:hAnsi="Arial Narrow"/>
                <w:sz w:val="20"/>
                <w:szCs w:val="20"/>
              </w:rPr>
              <w:t>228</w:t>
            </w:r>
          </w:p>
        </w:tc>
        <w:tc>
          <w:tcPr>
            <w:tcW w:w="992" w:type="dxa"/>
            <w:shd w:val="clear" w:color="auto" w:fill="auto"/>
            <w:vAlign w:val="center"/>
          </w:tcPr>
          <w:p w:rsidR="00C82316" w:rsidRPr="001A57E6" w:rsidRDefault="003D4516" w:rsidP="004428BA">
            <w:pPr>
              <w:keepNext/>
              <w:widowControl/>
              <w:jc w:val="center"/>
              <w:rPr>
                <w:rFonts w:ascii="Arial Narrow" w:hAnsi="Arial Narrow"/>
                <w:sz w:val="20"/>
                <w:szCs w:val="20"/>
              </w:rPr>
            </w:pPr>
            <w:r>
              <w:rPr>
                <w:rFonts w:ascii="Arial Narrow" w:hAnsi="Arial Narrow"/>
                <w:sz w:val="20"/>
                <w:szCs w:val="20"/>
              </w:rPr>
              <w:t>-</w:t>
            </w:r>
            <w:r w:rsidR="00C82316" w:rsidRPr="001A57E6">
              <w:rPr>
                <w:rFonts w:ascii="Arial Narrow" w:hAnsi="Arial Narrow"/>
                <w:sz w:val="20"/>
                <w:szCs w:val="20"/>
              </w:rPr>
              <w:t>0.6 (0.87)</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-0.10 (-</w:t>
            </w:r>
            <w:r w:rsidR="00C82316" w:rsidRPr="001A57E6">
              <w:rPr>
                <w:rFonts w:ascii="Arial Narrow" w:hAnsi="Arial Narrow"/>
                <w:sz w:val="20"/>
                <w:szCs w:val="20"/>
              </w:rPr>
              <w:t>0.27, 0.06) p=0.220</w:t>
            </w:r>
          </w:p>
        </w:tc>
      </w:tr>
      <w:tr w:rsidR="00C82316" w:rsidRPr="001A57E6" w:rsidTr="002B5770">
        <w:trPr>
          <w:cantSplit/>
        </w:trPr>
        <w:tc>
          <w:tcPr>
            <w:tcW w:w="9067" w:type="dxa"/>
            <w:gridSpan w:val="10"/>
            <w:vAlign w:val="center"/>
          </w:tcPr>
          <w:p w:rsidR="00C82316" w:rsidRPr="001A57E6" w:rsidRDefault="00C82316" w:rsidP="004428BA">
            <w:pPr>
              <w:keepNext/>
              <w:widowControl/>
              <w:rPr>
                <w:rFonts w:ascii="Arial Narrow" w:hAnsi="Arial Narrow"/>
                <w:b/>
                <w:bCs/>
                <w:sz w:val="20"/>
                <w:szCs w:val="20"/>
              </w:rPr>
            </w:pPr>
            <w:r w:rsidRPr="001A57E6">
              <w:rPr>
                <w:rFonts w:ascii="Arial Narrow" w:hAnsi="Arial Narrow"/>
                <w:b/>
                <w:bCs/>
                <w:sz w:val="20"/>
                <w:szCs w:val="20"/>
              </w:rPr>
              <w:t>Trial 512</w:t>
            </w:r>
          </w:p>
        </w:tc>
      </w:tr>
      <w:tr w:rsidR="00C82316" w:rsidRPr="001A57E6" w:rsidTr="002B5770">
        <w:trPr>
          <w:cantSplit/>
        </w:trPr>
        <w:tc>
          <w:tcPr>
            <w:tcW w:w="785" w:type="dxa"/>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1</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58</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3.3 (0.45)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57</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0.61 (0.68)</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3.2 (0.43)</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0.5 (0.77)</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0.09 (NR) p=0.222</w:t>
            </w:r>
          </w:p>
        </w:tc>
      </w:tr>
      <w:tr w:rsidR="00C82316" w:rsidRPr="001A57E6" w:rsidTr="002B5770">
        <w:trPr>
          <w:cantSplit/>
        </w:trPr>
        <w:tc>
          <w:tcPr>
            <w:tcW w:w="785" w:type="dxa"/>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4</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58</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3.3 (0.45)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56</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0.88 (0.69)</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3.2 (0.43)</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0.43 (0.72)</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w:t>
            </w:r>
            <w:r w:rsidR="00C82316" w:rsidRPr="001A57E6">
              <w:rPr>
                <w:rFonts w:ascii="Arial Narrow" w:hAnsi="Arial Narrow"/>
                <w:b/>
                <w:bCs/>
                <w:sz w:val="20"/>
                <w:szCs w:val="20"/>
              </w:rPr>
              <w:t>0.46 (NR) p&lt;0.001</w:t>
            </w:r>
          </w:p>
        </w:tc>
      </w:tr>
      <w:tr w:rsidR="00C82316" w:rsidRPr="001A57E6" w:rsidTr="002B5770">
        <w:trPr>
          <w:cantSplit/>
        </w:trPr>
        <w:tc>
          <w:tcPr>
            <w:tcW w:w="785" w:type="dxa"/>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6*</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58</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3.3 (0.45)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57</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0.91 (0.73)</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3.2 (0.43)</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61</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0.47 (0.71)</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w:t>
            </w:r>
            <w:r w:rsidR="00C82316" w:rsidRPr="001A57E6">
              <w:rPr>
                <w:rFonts w:ascii="Arial Narrow" w:hAnsi="Arial Narrow"/>
                <w:b/>
                <w:bCs/>
                <w:sz w:val="20"/>
                <w:szCs w:val="20"/>
              </w:rPr>
              <w:t>0.45 (NR) p&lt;0.001</w:t>
            </w:r>
          </w:p>
        </w:tc>
      </w:tr>
      <w:tr w:rsidR="00C82316" w:rsidRPr="001A57E6" w:rsidTr="002B5770">
        <w:trPr>
          <w:cantSplit/>
        </w:trPr>
        <w:tc>
          <w:tcPr>
            <w:tcW w:w="785" w:type="dxa"/>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8</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58</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3.3 (0.45)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54</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0.82 (0.66)</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3.2 (0.43)</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61</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0.43 (0.68)</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b/>
                <w:bCs/>
                <w:sz w:val="20"/>
                <w:szCs w:val="20"/>
              </w:rPr>
              <w:t>-</w:t>
            </w:r>
            <w:r w:rsidR="00C82316" w:rsidRPr="001A57E6">
              <w:rPr>
                <w:rFonts w:ascii="Arial Narrow" w:hAnsi="Arial Narrow"/>
                <w:b/>
                <w:bCs/>
                <w:sz w:val="20"/>
                <w:szCs w:val="20"/>
              </w:rPr>
              <w:t>0.40 (NR) p&lt;0.001</w:t>
            </w:r>
          </w:p>
        </w:tc>
      </w:tr>
      <w:tr w:rsidR="00C82316" w:rsidRPr="001A57E6" w:rsidTr="002B5770">
        <w:trPr>
          <w:cantSplit/>
        </w:trPr>
        <w:tc>
          <w:tcPr>
            <w:tcW w:w="785" w:type="dxa"/>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b/>
                <w:bCs/>
                <w:sz w:val="20"/>
                <w:szCs w:val="20"/>
              </w:rPr>
              <w:t>12</w:t>
            </w:r>
          </w:p>
        </w:tc>
        <w:tc>
          <w:tcPr>
            <w:tcW w:w="48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58</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3.3 (0.45)</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54</w:t>
            </w:r>
          </w:p>
        </w:tc>
        <w:tc>
          <w:tcPr>
            <w:tcW w:w="992"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0.56 (0.69)</w:t>
            </w:r>
          </w:p>
        </w:tc>
        <w:tc>
          <w:tcPr>
            <w:tcW w:w="425"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62</w:t>
            </w:r>
          </w:p>
        </w:tc>
        <w:tc>
          <w:tcPr>
            <w:tcW w:w="858"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3.2 (0.43)</w:t>
            </w:r>
          </w:p>
        </w:tc>
        <w:tc>
          <w:tcPr>
            <w:tcW w:w="420"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61</w:t>
            </w:r>
          </w:p>
        </w:tc>
        <w:tc>
          <w:tcPr>
            <w:tcW w:w="992" w:type="dxa"/>
            <w:shd w:val="clear" w:color="auto" w:fill="auto"/>
            <w:vAlign w:val="center"/>
          </w:tcPr>
          <w:p w:rsidR="00C82316" w:rsidRPr="001A57E6" w:rsidRDefault="00C82316" w:rsidP="004428BA">
            <w:pPr>
              <w:keepNext/>
              <w:widowControl/>
              <w:jc w:val="center"/>
              <w:rPr>
                <w:rFonts w:ascii="Arial Narrow" w:hAnsi="Arial Narrow"/>
                <w:b/>
                <w:bCs/>
                <w:sz w:val="20"/>
                <w:szCs w:val="20"/>
              </w:rPr>
            </w:pPr>
            <w:r w:rsidRPr="001A57E6">
              <w:rPr>
                <w:rFonts w:ascii="Arial Narrow" w:hAnsi="Arial Narrow"/>
                <w:sz w:val="20"/>
                <w:szCs w:val="20"/>
              </w:rPr>
              <w:t>-0.40 (0.58)</w:t>
            </w:r>
          </w:p>
        </w:tc>
        <w:tc>
          <w:tcPr>
            <w:tcW w:w="2835" w:type="dxa"/>
            <w:shd w:val="clear" w:color="auto" w:fill="auto"/>
            <w:vAlign w:val="center"/>
          </w:tcPr>
          <w:p w:rsidR="00C82316" w:rsidRPr="001A57E6" w:rsidRDefault="003D4516" w:rsidP="004428BA">
            <w:pPr>
              <w:keepNext/>
              <w:widowControl/>
              <w:jc w:val="center"/>
              <w:rPr>
                <w:rFonts w:ascii="Arial Narrow" w:hAnsi="Arial Narrow"/>
                <w:b/>
                <w:bCs/>
                <w:sz w:val="20"/>
                <w:szCs w:val="20"/>
              </w:rPr>
            </w:pPr>
            <w:r>
              <w:rPr>
                <w:rFonts w:ascii="Arial Narrow" w:hAnsi="Arial Narrow"/>
                <w:sz w:val="20"/>
                <w:szCs w:val="20"/>
              </w:rPr>
              <w:t>-</w:t>
            </w:r>
            <w:r w:rsidR="00C82316" w:rsidRPr="001A57E6">
              <w:rPr>
                <w:rFonts w:ascii="Arial Narrow" w:hAnsi="Arial Narrow"/>
                <w:sz w:val="20"/>
                <w:szCs w:val="20"/>
              </w:rPr>
              <w:t>0.15 (NR) p=0.240</w:t>
            </w:r>
          </w:p>
        </w:tc>
      </w:tr>
    </w:tbl>
    <w:p w:rsidR="00C82316" w:rsidRPr="008C1EE4" w:rsidRDefault="00C82316" w:rsidP="004428BA">
      <w:pPr>
        <w:widowControl/>
        <w:rPr>
          <w:rFonts w:ascii="Arial Narrow" w:hAnsi="Arial Narrow"/>
          <w:sz w:val="18"/>
          <w:szCs w:val="18"/>
          <w:lang w:val="fr-FR"/>
        </w:rPr>
      </w:pPr>
      <w:proofErr w:type="spellStart"/>
      <w:r w:rsidRPr="008C1EE4">
        <w:rPr>
          <w:rFonts w:ascii="Arial Narrow" w:hAnsi="Arial Narrow"/>
          <w:sz w:val="18"/>
          <w:szCs w:val="18"/>
          <w:lang w:val="fr-FR"/>
        </w:rPr>
        <w:t>Abbreviations</w:t>
      </w:r>
      <w:proofErr w:type="spellEnd"/>
      <w:r w:rsidRPr="008C1EE4">
        <w:rPr>
          <w:rFonts w:ascii="Arial Narrow" w:hAnsi="Arial Narrow"/>
          <w:sz w:val="18"/>
          <w:szCs w:val="18"/>
          <w:lang w:val="fr-FR"/>
        </w:rPr>
        <w:t xml:space="preserve">: CI = confidence </w:t>
      </w:r>
      <w:proofErr w:type="spellStart"/>
      <w:r w:rsidRPr="008C1EE4">
        <w:rPr>
          <w:rFonts w:ascii="Arial Narrow" w:hAnsi="Arial Narrow"/>
          <w:sz w:val="18"/>
          <w:szCs w:val="18"/>
          <w:lang w:val="fr-FR"/>
        </w:rPr>
        <w:t>interval</w:t>
      </w:r>
      <w:proofErr w:type="spellEnd"/>
      <w:r w:rsidRPr="008C1EE4">
        <w:rPr>
          <w:rFonts w:ascii="Arial Narrow" w:hAnsi="Arial Narrow"/>
          <w:sz w:val="18"/>
          <w:szCs w:val="18"/>
          <w:lang w:val="fr-FR"/>
        </w:rPr>
        <w:t xml:space="preserve">; SD = standard </w:t>
      </w:r>
      <w:proofErr w:type="spellStart"/>
      <w:r w:rsidRPr="008C1EE4">
        <w:rPr>
          <w:rFonts w:ascii="Arial Narrow" w:hAnsi="Arial Narrow"/>
          <w:sz w:val="18"/>
          <w:szCs w:val="18"/>
          <w:lang w:val="fr-FR"/>
        </w:rPr>
        <w:t>deviation</w:t>
      </w:r>
      <w:proofErr w:type="spellEnd"/>
      <w:r w:rsidRPr="008C1EE4">
        <w:rPr>
          <w:rFonts w:ascii="Arial Narrow" w:hAnsi="Arial Narrow"/>
          <w:sz w:val="18"/>
          <w:szCs w:val="18"/>
          <w:lang w:val="fr-FR"/>
        </w:rPr>
        <w:t>.</w:t>
      </w:r>
    </w:p>
    <w:p w:rsidR="00C82316" w:rsidRPr="001A57E6" w:rsidRDefault="00C82316" w:rsidP="004428BA">
      <w:pPr>
        <w:widowControl/>
        <w:rPr>
          <w:rFonts w:ascii="Arial Narrow" w:hAnsi="Arial Narrow"/>
          <w:sz w:val="18"/>
          <w:szCs w:val="18"/>
        </w:rPr>
      </w:pPr>
      <w:r w:rsidRPr="001A57E6">
        <w:rPr>
          <w:rFonts w:ascii="Arial Narrow" w:hAnsi="Arial Narrow"/>
          <w:sz w:val="18"/>
          <w:szCs w:val="18"/>
        </w:rPr>
        <w:t>Analyses: as presented in the References. Note that the means in REFLEX are least-squares means.</w:t>
      </w:r>
    </w:p>
    <w:p w:rsidR="00C82316" w:rsidRPr="001A57E6" w:rsidRDefault="00C82316" w:rsidP="004428BA">
      <w:pPr>
        <w:widowControl/>
        <w:ind w:left="165" w:hanging="165"/>
        <w:rPr>
          <w:rFonts w:ascii="Arial Narrow" w:hAnsi="Arial Narrow"/>
          <w:sz w:val="18"/>
          <w:szCs w:val="18"/>
        </w:rPr>
      </w:pPr>
      <w:r w:rsidRPr="001A57E6">
        <w:rPr>
          <w:rFonts w:ascii="Arial Narrow" w:hAnsi="Arial Narrow"/>
          <w:sz w:val="18"/>
          <w:szCs w:val="18"/>
        </w:rPr>
        <w:t>*</w:t>
      </w:r>
      <w:r w:rsidRPr="001A57E6">
        <w:rPr>
          <w:rFonts w:ascii="Arial Narrow" w:hAnsi="Arial Narrow"/>
          <w:sz w:val="18"/>
          <w:szCs w:val="18"/>
        </w:rPr>
        <w:tab/>
        <w:t>denotes this was a trial primary outcome, P-values and 95% CIs for between-group comparisons were obtained from an ANCOVA model (ITT Population) including treatment and centre as factors, with baseline ankle MAS-B and muscle group injected as covariates.</w:t>
      </w:r>
    </w:p>
    <w:p w:rsidR="00C82316" w:rsidRDefault="00C82316" w:rsidP="004428BA">
      <w:pPr>
        <w:widowControl/>
        <w:rPr>
          <w:rFonts w:ascii="Arial Narrow" w:hAnsi="Arial Narrow"/>
          <w:sz w:val="18"/>
          <w:szCs w:val="18"/>
        </w:rPr>
      </w:pPr>
      <w:r w:rsidRPr="001A57E6">
        <w:rPr>
          <w:rFonts w:ascii="Arial Narrow" w:hAnsi="Arial Narrow"/>
          <w:sz w:val="18"/>
          <w:szCs w:val="18"/>
        </w:rPr>
        <w:t>Source: Table 2.5-1, p108 and Table 2.5.2, p109 of the submission.</w:t>
      </w:r>
    </w:p>
    <w:p w:rsidR="00C70917" w:rsidRPr="001A57E6" w:rsidRDefault="00C70917" w:rsidP="004428BA">
      <w:pPr>
        <w:widowControl/>
        <w:rPr>
          <w:rFonts w:ascii="Arial Narrow" w:hAnsi="Arial Narrow"/>
          <w:sz w:val="18"/>
          <w:szCs w:val="18"/>
        </w:rPr>
      </w:pPr>
    </w:p>
    <w:p w:rsidR="00C82316" w:rsidRDefault="00C82316" w:rsidP="00BB76A8">
      <w:pPr>
        <w:pStyle w:val="ListParagraph"/>
      </w:pPr>
      <w:r w:rsidRPr="001A57E6">
        <w:t xml:space="preserve">Peak change in ankle MAS from baseline was achieved at Weeks 4 and 6 in the REFLEX trial and at Week 6 in Trial 512, with significant between-group differences at these time points favouring </w:t>
      </w:r>
      <w:r w:rsidR="00EE500E">
        <w:t>BOTOX®</w:t>
      </w:r>
      <w:r w:rsidRPr="001A57E6">
        <w:t>.</w:t>
      </w:r>
      <w:r w:rsidR="004A5FEC">
        <w:t xml:space="preserve"> </w:t>
      </w:r>
      <w:r w:rsidR="00B80F67" w:rsidRPr="001A57E6">
        <w:t xml:space="preserve">However, despite the above results reaching statistical significance, the average difference between </w:t>
      </w:r>
      <w:r w:rsidR="00EE500E">
        <w:t>BOTOX®</w:t>
      </w:r>
      <w:r w:rsidR="00B80F67" w:rsidRPr="001A57E6">
        <w:t xml:space="preserve"> and placebo w</w:t>
      </w:r>
      <w:r w:rsidR="00995558">
        <w:t xml:space="preserve">as </w:t>
      </w:r>
      <w:r w:rsidR="00B80F67" w:rsidRPr="001A57E6">
        <w:t xml:space="preserve">small in magnitude and </w:t>
      </w:r>
      <w:r w:rsidR="003128A6">
        <w:t xml:space="preserve">the average incremental improvement </w:t>
      </w:r>
      <w:r w:rsidR="00B80F67" w:rsidRPr="001A57E6">
        <w:t xml:space="preserve">did not </w:t>
      </w:r>
      <w:r w:rsidR="000F4777">
        <w:t>exceed</w:t>
      </w:r>
      <w:r w:rsidR="000F4777" w:rsidRPr="001A57E6">
        <w:t xml:space="preserve"> </w:t>
      </w:r>
      <w:r w:rsidR="00B80F67" w:rsidRPr="001A57E6">
        <w:t>the predefined MCID of at leas</w:t>
      </w:r>
      <w:r w:rsidR="00B80F67">
        <w:t>t one point reduction in MAS.</w:t>
      </w:r>
      <w:r w:rsidR="004A5FEC">
        <w:t xml:space="preserve"> </w:t>
      </w:r>
      <w:r w:rsidR="003128A6">
        <w:t>T</w:t>
      </w:r>
      <w:r w:rsidRPr="001A57E6">
        <w:t xml:space="preserve">he effect of </w:t>
      </w:r>
      <w:r w:rsidR="00EE500E">
        <w:t>BOTOX®</w:t>
      </w:r>
      <w:r w:rsidRPr="001A57E6">
        <w:t xml:space="preserve"> waned at </w:t>
      </w:r>
      <w:r w:rsidR="00A63A1F">
        <w:t>eight</w:t>
      </w:r>
      <w:r w:rsidRPr="001A57E6">
        <w:t xml:space="preserve"> weeks </w:t>
      </w:r>
      <w:r w:rsidR="000F4777">
        <w:t xml:space="preserve">in </w:t>
      </w:r>
      <w:r w:rsidR="00F11DA4">
        <w:t>RE</w:t>
      </w:r>
      <w:r w:rsidRPr="001A57E6">
        <w:t xml:space="preserve">FLEX and </w:t>
      </w:r>
      <w:r w:rsidR="000F4777">
        <w:t xml:space="preserve">at </w:t>
      </w:r>
      <w:r w:rsidRPr="001A57E6">
        <w:t xml:space="preserve">12 weeks </w:t>
      </w:r>
      <w:r w:rsidR="000F4777">
        <w:t xml:space="preserve">in </w:t>
      </w:r>
      <w:r w:rsidRPr="001A57E6">
        <w:t>Trial 512.</w:t>
      </w:r>
      <w:r w:rsidR="00B80F67">
        <w:t xml:space="preserve"> </w:t>
      </w:r>
    </w:p>
    <w:p w:rsidR="00B67FEF" w:rsidRPr="00D4296D" w:rsidRDefault="00B67FEF" w:rsidP="00BB76A8">
      <w:pPr>
        <w:pStyle w:val="ListParagraph"/>
      </w:pPr>
      <w:r w:rsidRPr="00D4296D">
        <w:t xml:space="preserve">The PSCR stated that the application of the MCID to the mean change in MAS should not result in the interpretation that the treatment effect of </w:t>
      </w:r>
      <w:r w:rsidR="00EE500E" w:rsidRPr="00D4296D">
        <w:t>BOTOX®</w:t>
      </w:r>
      <w:r w:rsidRPr="00D4296D">
        <w:t xml:space="preserve"> </w:t>
      </w:r>
      <w:r w:rsidR="000F4777" w:rsidRPr="00D4296D">
        <w:t>wa</w:t>
      </w:r>
      <w:r w:rsidR="00F11DA4" w:rsidRPr="00D4296D">
        <w:t>s</w:t>
      </w:r>
      <w:r w:rsidRPr="00D4296D">
        <w:t xml:space="preserve"> not clinically meaningful. Instead, the difference between </w:t>
      </w:r>
      <w:r w:rsidR="00EE500E" w:rsidRPr="00D4296D">
        <w:t>BOTOX®</w:t>
      </w:r>
      <w:r w:rsidRPr="00D4296D">
        <w:t xml:space="preserve"> and placebo in the proportion of patients who achieve</w:t>
      </w:r>
      <w:r w:rsidR="000F4777" w:rsidRPr="00D4296D">
        <w:t>d</w:t>
      </w:r>
      <w:r w:rsidRPr="00D4296D">
        <w:t xml:space="preserve"> a clinically meaningful improvement in MAS (as defined by an improvement in MAS of ≥</w:t>
      </w:r>
      <w:r w:rsidR="00A63A1F">
        <w:t xml:space="preserve"> </w:t>
      </w:r>
      <w:r w:rsidRPr="00D4296D">
        <w:t>1 point) reflect</w:t>
      </w:r>
      <w:r w:rsidR="000F4777" w:rsidRPr="00D4296D">
        <w:t>ed</w:t>
      </w:r>
      <w:r w:rsidRPr="00D4296D">
        <w:t xml:space="preserve"> the appropriate application of the MCID. This </w:t>
      </w:r>
      <w:r w:rsidR="000F4777" w:rsidRPr="00D4296D">
        <w:t xml:space="preserve">is </w:t>
      </w:r>
      <w:r w:rsidRPr="00D4296D">
        <w:t>addressed in the MAS responder analysis below.</w:t>
      </w:r>
    </w:p>
    <w:p w:rsidR="00C82316" w:rsidRPr="00D4296D" w:rsidRDefault="00C82316" w:rsidP="00BB76A8">
      <w:pPr>
        <w:pStyle w:val="ListParagraph"/>
      </w:pPr>
      <w:r w:rsidRPr="001A57E6">
        <w:t xml:space="preserve">During the </w:t>
      </w:r>
      <w:r w:rsidR="000158E7">
        <w:t>open label (</w:t>
      </w:r>
      <w:r w:rsidRPr="001A57E6">
        <w:t>OL</w:t>
      </w:r>
      <w:r w:rsidR="000158E7">
        <w:t>)</w:t>
      </w:r>
      <w:r w:rsidRPr="001A57E6">
        <w:t xml:space="preserve"> phase of REFLEX, all patients received </w:t>
      </w:r>
      <w:r w:rsidR="00EE500E">
        <w:t>BOTOX®</w:t>
      </w:r>
      <w:r w:rsidRPr="001A57E6">
        <w:t xml:space="preserve"> for up to </w:t>
      </w:r>
      <w:r w:rsidR="00A63A1F">
        <w:t>three</w:t>
      </w:r>
      <w:r w:rsidRPr="001A57E6">
        <w:t xml:space="preserve"> treatment cycles.</w:t>
      </w:r>
      <w:r w:rsidR="004A5FEC">
        <w:t xml:space="preserve"> </w:t>
      </w:r>
      <w:r w:rsidRPr="001A57E6">
        <w:t xml:space="preserve">Reductions in MAS were maintained over the </w:t>
      </w:r>
      <w:r w:rsidR="00A63A1F">
        <w:t>three</w:t>
      </w:r>
      <w:r w:rsidRPr="001A57E6">
        <w:t xml:space="preserve"> treatment cycles for each respective time point, with mean reductions from baseline ranging between -1.2 and -1.4</w:t>
      </w:r>
      <w:r w:rsidR="00121D30">
        <w:t>, i.e. they were clinically significant.</w:t>
      </w:r>
      <w:r w:rsidR="004A5FEC">
        <w:t xml:space="preserve"> </w:t>
      </w:r>
      <w:r w:rsidRPr="001A57E6">
        <w:t>Similar trends were reported for the OL phase of Trial 512, with mean reductions from baseline ranging from −1.04 to −1.55.</w:t>
      </w:r>
      <w:r w:rsidR="004A5FEC">
        <w:t xml:space="preserve"> </w:t>
      </w:r>
      <w:r w:rsidRPr="001A57E6">
        <w:t xml:space="preserve">In REFLEX, change in MAS waned towards the end of each treatment period, but </w:t>
      </w:r>
      <w:r w:rsidR="003128A6" w:rsidRPr="000F4777">
        <w:t xml:space="preserve">responses were observed in those who chose to continue with subsequent treatments of </w:t>
      </w:r>
      <w:r w:rsidR="00EE500E">
        <w:t>BOTOX®</w:t>
      </w:r>
      <w:r w:rsidR="003128A6">
        <w:t>.</w:t>
      </w:r>
      <w:r w:rsidR="004A5FEC">
        <w:t xml:space="preserve"> </w:t>
      </w:r>
      <w:r w:rsidRPr="001A57E6">
        <w:t xml:space="preserve">In Trial 512, the change from baseline appeared to be maintained over time (with MAS change </w:t>
      </w:r>
      <w:r w:rsidR="000F6685">
        <w:t xml:space="preserve">&gt; 1 </w:t>
      </w:r>
      <w:r w:rsidRPr="001A57E6">
        <w:t xml:space="preserve">at </w:t>
      </w:r>
      <w:proofErr w:type="spellStart"/>
      <w:r w:rsidRPr="001A57E6">
        <w:t>all time</w:t>
      </w:r>
      <w:proofErr w:type="spellEnd"/>
      <w:r w:rsidR="00BB76A8">
        <w:t xml:space="preserve"> </w:t>
      </w:r>
      <w:r w:rsidRPr="001A57E6">
        <w:t>points).</w:t>
      </w:r>
      <w:r w:rsidR="004A5FEC">
        <w:t xml:space="preserve"> </w:t>
      </w:r>
      <w:r w:rsidRPr="001A57E6">
        <w:t xml:space="preserve">However, </w:t>
      </w:r>
      <w:r w:rsidR="000F6685">
        <w:t xml:space="preserve">as </w:t>
      </w:r>
      <w:r w:rsidRPr="001A57E6">
        <w:t>the number of patients treated declined considerably in successive cycles (from 97 at Cycle 1 to 27 at Cycle 3 of the OL phase</w:t>
      </w:r>
      <w:r w:rsidRPr="00D4296D">
        <w:t>)</w:t>
      </w:r>
      <w:r w:rsidR="000F6685" w:rsidRPr="00D4296D">
        <w:t>,</w:t>
      </w:r>
      <w:r w:rsidR="003128A6" w:rsidRPr="00D4296D">
        <w:t xml:space="preserve"> response rates during the OL studies should </w:t>
      </w:r>
      <w:r w:rsidR="003128A6" w:rsidRPr="00D4296D">
        <w:lastRenderedPageBreak/>
        <w:t>be interpreted in the context of the high rate of discontinuation</w:t>
      </w:r>
      <w:r w:rsidR="000F6685" w:rsidRPr="00D4296D">
        <w:t>,</w:t>
      </w:r>
      <w:r w:rsidR="003128A6" w:rsidRPr="00D4296D">
        <w:t xml:space="preserve"> which may have occurred due to non-response</w:t>
      </w:r>
      <w:r w:rsidRPr="00D4296D">
        <w:t>.</w:t>
      </w:r>
    </w:p>
    <w:p w:rsidR="00C82316" w:rsidRPr="001A57E6" w:rsidRDefault="00C82316" w:rsidP="00BB76A8">
      <w:pPr>
        <w:pStyle w:val="ListParagraph"/>
      </w:pPr>
      <w:r w:rsidRPr="001A57E6">
        <w:t xml:space="preserve">Most </w:t>
      </w:r>
      <w:r w:rsidR="000F6685">
        <w:t xml:space="preserve">of the </w:t>
      </w:r>
      <w:r w:rsidRPr="001A57E6">
        <w:t xml:space="preserve">secondary trials did not find any significant differences between </w:t>
      </w:r>
      <w:r w:rsidR="00EE500E">
        <w:t>BOTOX®</w:t>
      </w:r>
      <w:r w:rsidRPr="001A57E6">
        <w:t xml:space="preserve"> and placebo treatment for improvement in spasticity from baseline to the </w:t>
      </w:r>
      <w:r w:rsidR="008D6960">
        <w:t>timing of assessment</w:t>
      </w:r>
      <w:r w:rsidRPr="001A57E6">
        <w:t>.</w:t>
      </w:r>
      <w:r w:rsidR="004A5FEC">
        <w:t xml:space="preserve"> </w:t>
      </w:r>
      <w:r w:rsidRPr="001A57E6">
        <w:t>Some exceptions were:</w:t>
      </w:r>
    </w:p>
    <w:p w:rsidR="00C82316" w:rsidRPr="001A57E6" w:rsidRDefault="00C82316" w:rsidP="00FB09E7">
      <w:pPr>
        <w:pStyle w:val="ListParagraph"/>
        <w:numPr>
          <w:ilvl w:val="0"/>
          <w:numId w:val="11"/>
        </w:numPr>
        <w:ind w:left="1134" w:hanging="426"/>
      </w:pPr>
      <w:r w:rsidRPr="001A57E6">
        <w:t xml:space="preserve">Trial 030 reported a significant improvement in </w:t>
      </w:r>
      <w:r w:rsidR="000F6685">
        <w:t>Ashworth Scale (AS)</w:t>
      </w:r>
      <w:r w:rsidR="000F6685" w:rsidRPr="001A57E6">
        <w:t xml:space="preserve"> </w:t>
      </w:r>
      <w:r w:rsidRPr="001A57E6">
        <w:t>at Week 6 (</w:t>
      </w:r>
      <w:r w:rsidR="00EE500E">
        <w:t>BOTOX®</w:t>
      </w:r>
      <w:r w:rsidRPr="001A57E6">
        <w:t xml:space="preserve"> 240U versus placebo, difference: -0.6, p=0.009)</w:t>
      </w:r>
      <w:r w:rsidR="000F6685">
        <w:t>;</w:t>
      </w:r>
      <w:r w:rsidRPr="001A57E6">
        <w:t xml:space="preserve"> however</w:t>
      </w:r>
      <w:r w:rsidR="000F6685">
        <w:t>,</w:t>
      </w:r>
      <w:r w:rsidRPr="001A57E6">
        <w:t xml:space="preserve"> the higher dose of </w:t>
      </w:r>
      <w:r w:rsidR="00EE500E">
        <w:t>BOTOX®</w:t>
      </w:r>
      <w:r w:rsidRPr="001A57E6">
        <w:t xml:space="preserve"> </w:t>
      </w:r>
      <w:r w:rsidR="000F6685">
        <w:t>(</w:t>
      </w:r>
      <w:r w:rsidRPr="001A57E6">
        <w:t>360U</w:t>
      </w:r>
      <w:r w:rsidR="000F6685">
        <w:t>)</w:t>
      </w:r>
      <w:r w:rsidRPr="001A57E6">
        <w:t xml:space="preserve"> did not have a significant impact over placebo (difference: -0.4, p=0.361).</w:t>
      </w:r>
      <w:r w:rsidR="004A5FEC">
        <w:t xml:space="preserve"> </w:t>
      </w:r>
      <w:r w:rsidR="000F6685">
        <w:t>This</w:t>
      </w:r>
      <w:r w:rsidRPr="001A57E6">
        <w:t xml:space="preserve"> trial allowed treatment of upper limb and lower limb muscles at the discretion of the investigator and was powered to assess pulmonary function rather than efficacy.</w:t>
      </w:r>
      <w:r w:rsidR="004A5FEC">
        <w:t xml:space="preserve"> </w:t>
      </w:r>
      <w:r w:rsidRPr="001A57E6">
        <w:t>The authors stated that resulting heterogeneity limited the statistical power to detect differences between treatments for lower limb spasticity.</w:t>
      </w:r>
    </w:p>
    <w:p w:rsidR="00C82316" w:rsidRPr="001A57E6" w:rsidRDefault="00C82316" w:rsidP="00FB09E7">
      <w:pPr>
        <w:pStyle w:val="ListParagraph"/>
        <w:numPr>
          <w:ilvl w:val="0"/>
          <w:numId w:val="11"/>
        </w:numPr>
        <w:ind w:left="1134" w:hanging="426"/>
      </w:pPr>
      <w:r w:rsidRPr="001A57E6">
        <w:t xml:space="preserve">Tao 2015 reported a significant difference in MAS scores at Week 8 following </w:t>
      </w:r>
      <w:r w:rsidR="00EE500E">
        <w:t>BOTOX®</w:t>
      </w:r>
      <w:r w:rsidRPr="001A57E6">
        <w:t xml:space="preserve"> treatment compared with placebo (p&lt;0.05, actual change from baseline was not reported). The trial was small (</w:t>
      </w:r>
      <w:r w:rsidR="000F6685">
        <w:t>N</w:t>
      </w:r>
      <w:r w:rsidRPr="001A57E6">
        <w:t>=23</w:t>
      </w:r>
      <w:r w:rsidR="000F6685">
        <w:t>)</w:t>
      </w:r>
      <w:r w:rsidRPr="001A57E6">
        <w:t>.</w:t>
      </w:r>
    </w:p>
    <w:p w:rsidR="00C82316" w:rsidRPr="001A57E6" w:rsidRDefault="00C82316" w:rsidP="00FB09E7">
      <w:pPr>
        <w:pStyle w:val="ListParagraph"/>
        <w:numPr>
          <w:ilvl w:val="0"/>
          <w:numId w:val="11"/>
        </w:numPr>
        <w:ind w:left="1134" w:hanging="426"/>
      </w:pPr>
      <w:r w:rsidRPr="001A57E6">
        <w:t xml:space="preserve">Trial 702 found no significant difference between </w:t>
      </w:r>
      <w:r w:rsidR="00EE500E">
        <w:t>BOTOX®</w:t>
      </w:r>
      <w:r w:rsidRPr="001A57E6">
        <w:t xml:space="preserve"> and placebo treatment in its ITT population (patients with AS ≥</w:t>
      </w:r>
      <w:r w:rsidR="00A63A1F">
        <w:t xml:space="preserve"> </w:t>
      </w:r>
      <w:r w:rsidRPr="001A57E6">
        <w:t>2), results reached statistical significance in the subgroup of patients with AS ≥</w:t>
      </w:r>
      <w:r w:rsidR="00A63A1F">
        <w:t xml:space="preserve"> </w:t>
      </w:r>
      <w:r w:rsidRPr="001A57E6">
        <w:t>3 (</w:t>
      </w:r>
      <w:r w:rsidR="008D6960">
        <w:t xml:space="preserve">AS scale </w:t>
      </w:r>
      <w:r w:rsidRPr="001A57E6">
        <w:t>difference</w:t>
      </w:r>
      <w:r w:rsidR="008D6960">
        <w:t xml:space="preserve"> was</w:t>
      </w:r>
      <w:r w:rsidRPr="001A57E6">
        <w:t xml:space="preserve"> -0.25 and -0.68 for low and high dose </w:t>
      </w:r>
      <w:r w:rsidR="00EE500E">
        <w:t>BOTOX®</w:t>
      </w:r>
      <w:r w:rsidR="008D6960">
        <w:t>, respectively,</w:t>
      </w:r>
      <w:r w:rsidRPr="001A57E6">
        <w:t xml:space="preserve"> versus placebo, p=0.01).</w:t>
      </w:r>
    </w:p>
    <w:p w:rsidR="002B5770" w:rsidRPr="001A57E6" w:rsidRDefault="002B5770" w:rsidP="004428BA">
      <w:pPr>
        <w:pStyle w:val="Heading4"/>
        <w:widowControl/>
        <w:spacing w:before="0" w:after="120"/>
      </w:pPr>
      <w:r w:rsidRPr="001A57E6">
        <w:t>MAS responder analysis</w:t>
      </w:r>
    </w:p>
    <w:p w:rsidR="002B5770" w:rsidRPr="001A57E6" w:rsidRDefault="002B5770" w:rsidP="00BB76A8">
      <w:pPr>
        <w:pStyle w:val="ListParagraph"/>
      </w:pPr>
      <w:proofErr w:type="gramStart"/>
      <w:r w:rsidRPr="001A57E6">
        <w:t>MAS</w:t>
      </w:r>
      <w:proofErr w:type="gramEnd"/>
      <w:r w:rsidRPr="001A57E6">
        <w:t xml:space="preserve"> responders across various time points in the primary </w:t>
      </w:r>
      <w:r w:rsidR="00BD5880">
        <w:t>trials are summarised in Table 7</w:t>
      </w:r>
      <w:r w:rsidRPr="001A57E6">
        <w:t>.</w:t>
      </w:r>
      <w:r w:rsidR="004A5FEC">
        <w:t xml:space="preserve"> </w:t>
      </w:r>
      <w:r w:rsidRPr="001A57E6">
        <w:t>The definition of response was a decrease in MAS of at least 1 point from baseline.</w:t>
      </w:r>
    </w:p>
    <w:p w:rsidR="002B5770" w:rsidRPr="001A57E6" w:rsidRDefault="00BD5880" w:rsidP="004428BA">
      <w:pPr>
        <w:pStyle w:val="PBACHeading1"/>
        <w:keepNext/>
        <w:numPr>
          <w:ilvl w:val="0"/>
          <w:numId w:val="0"/>
        </w:numPr>
        <w:spacing w:after="40"/>
        <w:rPr>
          <w:rStyle w:val="CommentReference"/>
          <w:b/>
          <w:bCs/>
          <w:color w:val="000000" w:themeColor="text1"/>
        </w:rPr>
      </w:pPr>
      <w:bookmarkStart w:id="28" w:name="_Toc523866657"/>
      <w:bookmarkStart w:id="29" w:name="_Toc524509816"/>
      <w:bookmarkStart w:id="30" w:name="_Toc524523780"/>
      <w:r>
        <w:rPr>
          <w:rStyle w:val="CommentReference"/>
          <w:b/>
          <w:bCs/>
          <w:color w:val="000000" w:themeColor="text1"/>
        </w:rPr>
        <w:t>Table 7</w:t>
      </w:r>
      <w:r w:rsidR="002B5770" w:rsidRPr="001A57E6">
        <w:rPr>
          <w:rStyle w:val="CommentReference"/>
          <w:b/>
          <w:bCs/>
          <w:color w:val="000000" w:themeColor="text1"/>
        </w:rPr>
        <w:t>: MAS/AS responders across various time points (MAS reduction ≥1) in the primary trials, during DB phase</w:t>
      </w:r>
      <w:bookmarkEnd w:id="28"/>
      <w:bookmarkEnd w:id="29"/>
      <w:bookmarkEnd w:id="30"/>
    </w:p>
    <w:tbl>
      <w:tblPr>
        <w:tblStyle w:val="TableGrid"/>
        <w:tblW w:w="5000" w:type="pct"/>
        <w:tblCellMar>
          <w:left w:w="28" w:type="dxa"/>
          <w:right w:w="28" w:type="dxa"/>
        </w:tblCellMar>
        <w:tblLook w:val="04A0" w:firstRow="1" w:lastRow="0" w:firstColumn="1" w:lastColumn="0" w:noHBand="0" w:noVBand="1"/>
        <w:tblCaption w:val="MAS or AS responders across various time points (MAS reduction equal or greater than 1) in the primary trials during DB phase"/>
      </w:tblPr>
      <w:tblGrid>
        <w:gridCol w:w="1254"/>
        <w:gridCol w:w="462"/>
        <w:gridCol w:w="703"/>
        <w:gridCol w:w="985"/>
        <w:gridCol w:w="563"/>
        <w:gridCol w:w="703"/>
        <w:gridCol w:w="985"/>
        <w:gridCol w:w="3362"/>
      </w:tblGrid>
      <w:tr w:rsidR="002B5770" w:rsidRPr="001A57E6" w:rsidTr="00440603">
        <w:trPr>
          <w:cantSplit/>
          <w:tblHeader/>
        </w:trPr>
        <w:tc>
          <w:tcPr>
            <w:tcW w:w="696" w:type="pct"/>
            <w:vMerge w:val="restart"/>
          </w:tcPr>
          <w:p w:rsidR="002B5770" w:rsidRPr="001A57E6" w:rsidRDefault="000F6685" w:rsidP="00FB09E7">
            <w:pPr>
              <w:keepNext/>
              <w:keepLines/>
              <w:widowControl/>
              <w:jc w:val="left"/>
              <w:rPr>
                <w:rFonts w:ascii="Arial Narrow" w:hAnsi="Arial Narrow"/>
                <w:b/>
                <w:bCs/>
                <w:sz w:val="20"/>
                <w:szCs w:val="20"/>
              </w:rPr>
            </w:pPr>
            <w:r>
              <w:rPr>
                <w:rFonts w:ascii="Arial Narrow" w:hAnsi="Arial Narrow"/>
                <w:b/>
                <w:bCs/>
                <w:sz w:val="20"/>
                <w:szCs w:val="20"/>
              </w:rPr>
              <w:t>Week</w:t>
            </w:r>
            <w:r w:rsidR="002B5770" w:rsidRPr="001A57E6">
              <w:rPr>
                <w:rFonts w:ascii="Arial Narrow" w:hAnsi="Arial Narrow"/>
                <w:b/>
                <w:bCs/>
                <w:sz w:val="20"/>
                <w:szCs w:val="20"/>
              </w:rPr>
              <w:t xml:space="preserve"> </w:t>
            </w:r>
          </w:p>
        </w:tc>
        <w:tc>
          <w:tcPr>
            <w:tcW w:w="1192" w:type="pct"/>
            <w:gridSpan w:val="3"/>
            <w:shd w:val="clear" w:color="auto" w:fill="auto"/>
            <w:vAlign w:val="center"/>
          </w:tcPr>
          <w:p w:rsidR="002B5770" w:rsidRPr="001A57E6" w:rsidRDefault="00EE500E" w:rsidP="00FB09E7">
            <w:pPr>
              <w:keepNext/>
              <w:keepLines/>
              <w:widowControl/>
              <w:jc w:val="center"/>
              <w:rPr>
                <w:rFonts w:ascii="Arial Narrow" w:hAnsi="Arial Narrow"/>
                <w:b/>
                <w:bCs/>
                <w:sz w:val="20"/>
                <w:szCs w:val="20"/>
              </w:rPr>
            </w:pPr>
            <w:r>
              <w:rPr>
                <w:rFonts w:ascii="Arial Narrow" w:hAnsi="Arial Narrow"/>
                <w:b/>
                <w:bCs/>
                <w:sz w:val="20"/>
                <w:szCs w:val="20"/>
              </w:rPr>
              <w:t>BOTOX®</w:t>
            </w:r>
            <w:r w:rsidR="002B5770" w:rsidRPr="001A57E6">
              <w:rPr>
                <w:rFonts w:ascii="Arial Narrow" w:hAnsi="Arial Narrow"/>
                <w:b/>
                <w:bCs/>
                <w:sz w:val="20"/>
                <w:szCs w:val="20"/>
              </w:rPr>
              <w:t xml:space="preserve"> 300-400 U</w:t>
            </w:r>
          </w:p>
        </w:tc>
        <w:tc>
          <w:tcPr>
            <w:tcW w:w="1248" w:type="pct"/>
            <w:gridSpan w:val="3"/>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Placebo</w:t>
            </w:r>
          </w:p>
        </w:tc>
        <w:tc>
          <w:tcPr>
            <w:tcW w:w="1864" w:type="pct"/>
            <w:vMerge w:val="restart"/>
            <w:shd w:val="clear" w:color="auto" w:fill="auto"/>
            <w:vAlign w:val="center"/>
          </w:tcPr>
          <w:p w:rsidR="002B5770" w:rsidRPr="001A57E6" w:rsidRDefault="00EE500E" w:rsidP="00FB09E7">
            <w:pPr>
              <w:keepNext/>
              <w:keepLines/>
              <w:widowControl/>
              <w:jc w:val="center"/>
              <w:rPr>
                <w:rFonts w:ascii="Arial Narrow" w:hAnsi="Arial Narrow"/>
                <w:b/>
                <w:bCs/>
                <w:sz w:val="20"/>
                <w:szCs w:val="20"/>
              </w:rPr>
            </w:pPr>
            <w:r>
              <w:rPr>
                <w:rFonts w:ascii="Arial Narrow" w:hAnsi="Arial Narrow"/>
                <w:b/>
                <w:bCs/>
                <w:sz w:val="20"/>
                <w:szCs w:val="20"/>
              </w:rPr>
              <w:t>BOTOX®</w:t>
            </w:r>
            <w:r w:rsidR="002B5770" w:rsidRPr="001A57E6">
              <w:rPr>
                <w:rFonts w:ascii="Arial Narrow" w:hAnsi="Arial Narrow"/>
                <w:b/>
                <w:bCs/>
                <w:sz w:val="20"/>
                <w:szCs w:val="20"/>
              </w:rPr>
              <w:t xml:space="preserve"> vs. Placebo </w:t>
            </w:r>
          </w:p>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i/>
                <w:iCs/>
                <w:sz w:val="20"/>
                <w:szCs w:val="20"/>
              </w:rPr>
              <w:t>RD (95%CI),</w:t>
            </w:r>
            <w:r w:rsidRPr="001A57E6">
              <w:rPr>
                <w:rFonts w:ascii="Arial Narrow" w:hAnsi="Arial Narrow"/>
                <w:b/>
                <w:bCs/>
                <w:sz w:val="20"/>
                <w:szCs w:val="20"/>
              </w:rPr>
              <w:t xml:space="preserve"> p value</w:t>
            </w:r>
          </w:p>
        </w:tc>
      </w:tr>
      <w:tr w:rsidR="002B32D6" w:rsidRPr="001A57E6" w:rsidTr="00131835">
        <w:tc>
          <w:tcPr>
            <w:tcW w:w="696" w:type="pct"/>
            <w:vMerge/>
          </w:tcPr>
          <w:p w:rsidR="002B5770" w:rsidRPr="001A57E6" w:rsidRDefault="002B5770" w:rsidP="00FB09E7">
            <w:pPr>
              <w:keepNext/>
              <w:keepLines/>
              <w:widowControl/>
              <w:rPr>
                <w:rFonts w:ascii="Arial Narrow" w:hAnsi="Arial Narrow"/>
                <w:sz w:val="20"/>
                <w:szCs w:val="20"/>
              </w:rPr>
            </w:pPr>
          </w:p>
        </w:tc>
        <w:tc>
          <w:tcPr>
            <w:tcW w:w="256"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n</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N</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n</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N</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b/>
                <w:bCs/>
                <w:sz w:val="20"/>
                <w:szCs w:val="20"/>
              </w:rPr>
            </w:pPr>
            <w:r w:rsidRPr="001A57E6">
              <w:rPr>
                <w:rFonts w:ascii="Arial Narrow" w:hAnsi="Arial Narrow"/>
                <w:b/>
                <w:bCs/>
                <w:sz w:val="20"/>
                <w:szCs w:val="20"/>
              </w:rPr>
              <w:t>%</w:t>
            </w:r>
          </w:p>
        </w:tc>
        <w:tc>
          <w:tcPr>
            <w:tcW w:w="1864" w:type="pct"/>
            <w:vMerge/>
            <w:shd w:val="clear" w:color="auto" w:fill="auto"/>
            <w:vAlign w:val="center"/>
          </w:tcPr>
          <w:p w:rsidR="002B5770" w:rsidRPr="001A57E6" w:rsidRDefault="002B5770" w:rsidP="00FB09E7">
            <w:pPr>
              <w:keepNext/>
              <w:keepLines/>
              <w:widowControl/>
              <w:jc w:val="center"/>
              <w:rPr>
                <w:rFonts w:ascii="Arial Narrow" w:hAnsi="Arial Narrow"/>
                <w:sz w:val="20"/>
                <w:szCs w:val="20"/>
              </w:rPr>
            </w:pPr>
          </w:p>
        </w:tc>
      </w:tr>
      <w:tr w:rsidR="002B5770" w:rsidRPr="001A57E6" w:rsidTr="001649E7">
        <w:tc>
          <w:tcPr>
            <w:tcW w:w="5000" w:type="pct"/>
            <w:gridSpan w:val="8"/>
            <w:vAlign w:val="center"/>
          </w:tcPr>
          <w:p w:rsidR="002B5770" w:rsidRPr="001A57E6" w:rsidRDefault="002B5770" w:rsidP="00FB09E7">
            <w:pPr>
              <w:keepNext/>
              <w:keepLines/>
              <w:widowControl/>
              <w:rPr>
                <w:rFonts w:ascii="Arial Narrow" w:hAnsi="Arial Narrow"/>
                <w:b/>
                <w:bCs/>
                <w:sz w:val="20"/>
                <w:szCs w:val="20"/>
              </w:rPr>
            </w:pPr>
            <w:r w:rsidRPr="001A57E6">
              <w:rPr>
                <w:rFonts w:ascii="Arial Narrow" w:hAnsi="Arial Narrow"/>
                <w:b/>
                <w:bCs/>
                <w:sz w:val="20"/>
                <w:szCs w:val="20"/>
              </w:rPr>
              <w:t>REFLEX (MAS)</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2</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103</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45.2%</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75</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233</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32.2%</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sz w:val="20"/>
                <w:szCs w:val="20"/>
              </w:rPr>
            </w:pPr>
            <w:r w:rsidRPr="003D4516">
              <w:rPr>
                <w:rFonts w:ascii="Arial Narrow" w:hAnsi="Arial Narrow"/>
                <w:b/>
                <w:bCs/>
                <w:iCs/>
                <w:sz w:val="20"/>
                <w:szCs w:val="20"/>
              </w:rPr>
              <w:t xml:space="preserve">0.13 (0.04, 0.22); </w:t>
            </w:r>
            <w:r w:rsidRPr="003D4516">
              <w:rPr>
                <w:rFonts w:ascii="Arial Narrow" w:hAnsi="Arial Narrow"/>
                <w:b/>
                <w:bCs/>
                <w:sz w:val="20"/>
                <w:szCs w:val="20"/>
              </w:rPr>
              <w:t>p=0.004</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4</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117</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225</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52.0%</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89</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229</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38.9%</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sz w:val="20"/>
                <w:szCs w:val="20"/>
              </w:rPr>
            </w:pPr>
            <w:r w:rsidRPr="003D4516">
              <w:rPr>
                <w:rFonts w:ascii="Arial Narrow" w:hAnsi="Arial Narrow"/>
                <w:b/>
                <w:bCs/>
                <w:iCs/>
                <w:sz w:val="20"/>
                <w:szCs w:val="20"/>
              </w:rPr>
              <w:t>0.13 (0.04, 0.22);</w:t>
            </w:r>
            <w:r w:rsidRPr="003D4516">
              <w:rPr>
                <w:rFonts w:ascii="Arial Narrow" w:hAnsi="Arial Narrow"/>
                <w:b/>
                <w:bCs/>
                <w:sz w:val="20"/>
                <w:szCs w:val="20"/>
              </w:rPr>
              <w:t xml:space="preserve"> p=0.005</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6</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120</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225</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53.3%</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88</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224</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39.3%</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sz w:val="20"/>
                <w:szCs w:val="20"/>
              </w:rPr>
            </w:pPr>
            <w:r w:rsidRPr="003D4516">
              <w:rPr>
                <w:rFonts w:ascii="Arial Narrow" w:hAnsi="Arial Narrow"/>
                <w:b/>
                <w:bCs/>
                <w:iCs/>
                <w:sz w:val="20"/>
                <w:szCs w:val="20"/>
              </w:rPr>
              <w:t>0.14 (0.05, 0.23);</w:t>
            </w:r>
            <w:r w:rsidRPr="003D4516">
              <w:rPr>
                <w:rFonts w:ascii="Arial Narrow" w:hAnsi="Arial Narrow"/>
                <w:b/>
                <w:bCs/>
                <w:sz w:val="20"/>
                <w:szCs w:val="20"/>
              </w:rPr>
              <w:t xml:space="preserve"> p=0.003</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8</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111</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227</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48.9%</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90</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39.5%</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sz w:val="20"/>
                <w:szCs w:val="20"/>
              </w:rPr>
            </w:pPr>
            <w:r w:rsidRPr="003D4516">
              <w:rPr>
                <w:rFonts w:ascii="Arial Narrow" w:hAnsi="Arial Narrow"/>
                <w:b/>
                <w:bCs/>
                <w:iCs/>
                <w:sz w:val="20"/>
                <w:szCs w:val="20"/>
              </w:rPr>
              <w:t>0.09 (0.00, 0.019);</w:t>
            </w:r>
            <w:r w:rsidRPr="003D4516">
              <w:rPr>
                <w:rFonts w:ascii="Arial Narrow" w:hAnsi="Arial Narrow"/>
                <w:b/>
                <w:bCs/>
                <w:sz w:val="20"/>
                <w:szCs w:val="20"/>
              </w:rPr>
              <w:t xml:space="preserve"> p=0.04</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12</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73</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226</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32.3%</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52</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226</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23.0%</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b/>
                <w:bCs/>
                <w:sz w:val="20"/>
                <w:szCs w:val="20"/>
              </w:rPr>
            </w:pPr>
            <w:r w:rsidRPr="003D4516">
              <w:rPr>
                <w:rFonts w:ascii="Arial Narrow" w:hAnsi="Arial Narrow"/>
                <w:b/>
                <w:bCs/>
                <w:iCs/>
                <w:sz w:val="20"/>
                <w:szCs w:val="20"/>
              </w:rPr>
              <w:t>0.09 (0.01, 0.17);</w:t>
            </w:r>
            <w:r w:rsidRPr="003D4516">
              <w:rPr>
                <w:rFonts w:ascii="Arial Narrow" w:hAnsi="Arial Narrow"/>
                <w:b/>
                <w:bCs/>
                <w:sz w:val="20"/>
                <w:szCs w:val="20"/>
              </w:rPr>
              <w:t xml:space="preserve"> p=0.027</w:t>
            </w:r>
          </w:p>
        </w:tc>
      </w:tr>
      <w:tr w:rsidR="002B5770" w:rsidRPr="001A57E6" w:rsidTr="001649E7">
        <w:tc>
          <w:tcPr>
            <w:tcW w:w="5000" w:type="pct"/>
            <w:gridSpan w:val="8"/>
            <w:vAlign w:val="center"/>
          </w:tcPr>
          <w:p w:rsidR="002B5770" w:rsidRPr="003D4516" w:rsidRDefault="002B5770" w:rsidP="00FB09E7">
            <w:pPr>
              <w:keepNext/>
              <w:keepLines/>
              <w:widowControl/>
              <w:rPr>
                <w:rFonts w:ascii="Arial Narrow" w:hAnsi="Arial Narrow"/>
                <w:b/>
                <w:bCs/>
                <w:sz w:val="20"/>
                <w:szCs w:val="20"/>
              </w:rPr>
            </w:pPr>
            <w:r w:rsidRPr="003D4516">
              <w:rPr>
                <w:rFonts w:ascii="Arial Narrow" w:hAnsi="Arial Narrow"/>
                <w:b/>
                <w:bCs/>
                <w:sz w:val="20"/>
                <w:szCs w:val="20"/>
              </w:rPr>
              <w:t>Trial 512 (MAS)</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1</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30</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51.7%</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24</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38.7%</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iCs/>
                <w:sz w:val="20"/>
                <w:szCs w:val="20"/>
              </w:rPr>
              <w:t xml:space="preserve">0.13 (-0.05. 0.31); </w:t>
            </w:r>
            <w:r w:rsidRPr="003D4516">
              <w:rPr>
                <w:rFonts w:ascii="Arial Narrow" w:hAnsi="Arial Narrow"/>
                <w:sz w:val="20"/>
                <w:szCs w:val="20"/>
              </w:rPr>
              <w:t>p=0.378</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4</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38</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65.5%</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19</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30.6%</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b/>
                <w:bCs/>
                <w:iCs/>
                <w:sz w:val="20"/>
                <w:szCs w:val="20"/>
              </w:rPr>
              <w:t xml:space="preserve">0.35 (0.18, 0.52); </w:t>
            </w:r>
            <w:r w:rsidRPr="003D4516">
              <w:rPr>
                <w:rFonts w:ascii="Arial Narrow" w:hAnsi="Arial Narrow"/>
                <w:b/>
                <w:bCs/>
                <w:sz w:val="20"/>
                <w:szCs w:val="20"/>
              </w:rPr>
              <w:t>p=0.022</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6</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39</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67.2%</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22</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35.5%</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b/>
                <w:bCs/>
                <w:iCs/>
                <w:sz w:val="20"/>
                <w:szCs w:val="20"/>
              </w:rPr>
              <w:t xml:space="preserve">0.32 (0.15, 0.49); </w:t>
            </w:r>
            <w:r w:rsidRPr="003D4516">
              <w:rPr>
                <w:rFonts w:ascii="Arial Narrow" w:hAnsi="Arial Narrow"/>
                <w:b/>
                <w:bCs/>
                <w:sz w:val="20"/>
                <w:szCs w:val="20"/>
              </w:rPr>
              <w:t>p=0.047</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8</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36</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62.1%</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20</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32.3%</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b/>
                <w:bCs/>
                <w:iCs/>
                <w:sz w:val="20"/>
                <w:szCs w:val="20"/>
              </w:rPr>
              <w:t xml:space="preserve">0.30 (0.13, 0.47); </w:t>
            </w:r>
            <w:r w:rsidRPr="003D4516">
              <w:rPr>
                <w:rFonts w:ascii="Arial Narrow" w:hAnsi="Arial Narrow"/>
                <w:b/>
                <w:bCs/>
                <w:sz w:val="20"/>
                <w:szCs w:val="20"/>
              </w:rPr>
              <w:t>p=0.048</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12</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24</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58</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41.4%</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21</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33.9%</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iCs/>
                <w:sz w:val="20"/>
                <w:szCs w:val="20"/>
              </w:rPr>
              <w:t xml:space="preserve">0.08 (-0.10, 0.25); </w:t>
            </w:r>
            <w:r w:rsidRPr="003D4516">
              <w:rPr>
                <w:rFonts w:ascii="Arial Narrow" w:hAnsi="Arial Narrow"/>
                <w:sz w:val="20"/>
                <w:szCs w:val="20"/>
              </w:rPr>
              <w:t>p=0.567</w:t>
            </w:r>
          </w:p>
        </w:tc>
      </w:tr>
      <w:tr w:rsidR="002B5770" w:rsidRPr="001A57E6" w:rsidTr="001649E7">
        <w:tc>
          <w:tcPr>
            <w:tcW w:w="5000" w:type="pct"/>
            <w:gridSpan w:val="8"/>
            <w:vAlign w:val="center"/>
          </w:tcPr>
          <w:p w:rsidR="002B5770" w:rsidRPr="003D4516" w:rsidRDefault="002B5770" w:rsidP="00FB09E7">
            <w:pPr>
              <w:keepNext/>
              <w:keepLines/>
              <w:widowControl/>
              <w:rPr>
                <w:rFonts w:ascii="Arial Narrow" w:hAnsi="Arial Narrow"/>
                <w:b/>
                <w:iCs/>
                <w:sz w:val="20"/>
                <w:szCs w:val="20"/>
              </w:rPr>
            </w:pPr>
            <w:r w:rsidRPr="003D4516">
              <w:rPr>
                <w:rFonts w:ascii="Arial Narrow" w:hAnsi="Arial Narrow"/>
                <w:b/>
                <w:sz w:val="20"/>
                <w:szCs w:val="20"/>
              </w:rPr>
              <w:t>Trial 702 (AS)</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i/>
                <w:sz w:val="20"/>
                <w:szCs w:val="20"/>
              </w:rPr>
            </w:pPr>
            <w:r w:rsidRPr="001A57E6">
              <w:rPr>
                <w:rFonts w:ascii="Arial Narrow" w:hAnsi="Arial Narrow"/>
                <w:i/>
                <w:sz w:val="20"/>
                <w:szCs w:val="20"/>
              </w:rPr>
              <w:t>12 (AS</w:t>
            </w:r>
            <w:r w:rsidRPr="001A57E6">
              <w:rPr>
                <w:rFonts w:ascii="Arial Narrow" w:hAnsi="Arial Narrow"/>
                <w:i/>
                <w:sz w:val="20"/>
                <w:szCs w:val="20"/>
              </w:rPr>
              <w:sym w:font="Symbol" w:char="F0B3"/>
            </w:r>
            <w:r w:rsidRPr="001A57E6">
              <w:rPr>
                <w:rFonts w:ascii="Arial Narrow" w:hAnsi="Arial Narrow"/>
                <w:i/>
                <w:sz w:val="20"/>
                <w:szCs w:val="20"/>
              </w:rPr>
              <w:t>2)</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16</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54</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29.6%</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5</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29</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17.2%</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iCs/>
                <w:sz w:val="20"/>
                <w:szCs w:val="20"/>
              </w:rPr>
            </w:pPr>
            <w:r w:rsidRPr="003D4516">
              <w:rPr>
                <w:rFonts w:ascii="Arial Narrow" w:hAnsi="Arial Narrow"/>
                <w:iCs/>
                <w:sz w:val="20"/>
                <w:szCs w:val="20"/>
              </w:rPr>
              <w:t>0.12 (-0.06, 0.31); p=0.22</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sz w:val="20"/>
                <w:szCs w:val="20"/>
              </w:rPr>
            </w:pPr>
            <w:r w:rsidRPr="001A57E6">
              <w:rPr>
                <w:rFonts w:ascii="Arial Narrow" w:hAnsi="Arial Narrow"/>
                <w:sz w:val="20"/>
                <w:szCs w:val="20"/>
              </w:rPr>
              <w:t>8 (AS</w:t>
            </w:r>
            <w:r w:rsidRPr="001A57E6">
              <w:rPr>
                <w:rFonts w:ascii="Arial Narrow" w:hAnsi="Arial Narrow"/>
                <w:sz w:val="20"/>
                <w:szCs w:val="20"/>
              </w:rPr>
              <w:sym w:font="Symbol" w:char="F0B3"/>
            </w:r>
            <w:r w:rsidRPr="001A57E6">
              <w:rPr>
                <w:rFonts w:ascii="Arial Narrow" w:hAnsi="Arial Narrow"/>
                <w:sz w:val="20"/>
                <w:szCs w:val="20"/>
              </w:rPr>
              <w:t>3)</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16</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10</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62.5%</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16</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sz w:val="20"/>
                <w:szCs w:val="20"/>
              </w:rPr>
            </w:pPr>
            <w:r w:rsidRPr="001A57E6">
              <w:rPr>
                <w:rFonts w:ascii="Arial Narrow" w:hAnsi="Arial Narrow"/>
                <w:sz w:val="20"/>
                <w:szCs w:val="20"/>
              </w:rPr>
              <w:t>6.3%</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b/>
                <w:bCs/>
                <w:iCs/>
                <w:sz w:val="20"/>
                <w:szCs w:val="20"/>
              </w:rPr>
            </w:pPr>
            <w:r w:rsidRPr="003D4516">
              <w:rPr>
                <w:rFonts w:ascii="Arial Narrow" w:hAnsi="Arial Narrow"/>
                <w:b/>
                <w:bCs/>
                <w:iCs/>
                <w:sz w:val="20"/>
                <w:szCs w:val="20"/>
              </w:rPr>
              <w:t>0.56 (0.30, 0.83); p=0.001</w:t>
            </w:r>
          </w:p>
        </w:tc>
      </w:tr>
      <w:tr w:rsidR="002B5770" w:rsidRPr="001A57E6" w:rsidTr="00131835">
        <w:tc>
          <w:tcPr>
            <w:tcW w:w="696" w:type="pct"/>
            <w:vAlign w:val="center"/>
          </w:tcPr>
          <w:p w:rsidR="002B5770" w:rsidRPr="001A57E6" w:rsidRDefault="002B5770" w:rsidP="00FB09E7">
            <w:pPr>
              <w:keepNext/>
              <w:keepLines/>
              <w:widowControl/>
              <w:rPr>
                <w:rFonts w:ascii="Arial Narrow" w:hAnsi="Arial Narrow"/>
                <w:i/>
                <w:sz w:val="20"/>
                <w:szCs w:val="20"/>
              </w:rPr>
            </w:pPr>
            <w:r w:rsidRPr="001A57E6">
              <w:rPr>
                <w:rFonts w:ascii="Arial Narrow" w:hAnsi="Arial Narrow"/>
                <w:i/>
                <w:sz w:val="20"/>
                <w:szCs w:val="20"/>
              </w:rPr>
              <w:t>12 (AS</w:t>
            </w:r>
            <w:r w:rsidRPr="001A57E6">
              <w:rPr>
                <w:rFonts w:ascii="Arial Narrow" w:hAnsi="Arial Narrow"/>
                <w:i/>
                <w:sz w:val="20"/>
                <w:szCs w:val="20"/>
              </w:rPr>
              <w:sym w:font="Symbol" w:char="F0B3"/>
            </w:r>
            <w:r w:rsidRPr="001A57E6">
              <w:rPr>
                <w:rFonts w:ascii="Arial Narrow" w:hAnsi="Arial Narrow"/>
                <w:i/>
                <w:sz w:val="20"/>
                <w:szCs w:val="20"/>
              </w:rPr>
              <w:t>3)</w:t>
            </w:r>
          </w:p>
        </w:tc>
        <w:tc>
          <w:tcPr>
            <w:tcW w:w="25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14</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31</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45.2%</w:t>
            </w:r>
          </w:p>
        </w:tc>
        <w:tc>
          <w:tcPr>
            <w:tcW w:w="312"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1</w:t>
            </w:r>
          </w:p>
        </w:tc>
        <w:tc>
          <w:tcPr>
            <w:tcW w:w="390"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17</w:t>
            </w:r>
          </w:p>
        </w:tc>
        <w:tc>
          <w:tcPr>
            <w:tcW w:w="546" w:type="pct"/>
            <w:shd w:val="clear" w:color="auto" w:fill="auto"/>
            <w:vAlign w:val="center"/>
          </w:tcPr>
          <w:p w:rsidR="002B5770" w:rsidRPr="001A57E6" w:rsidRDefault="002B5770" w:rsidP="00FB09E7">
            <w:pPr>
              <w:keepNext/>
              <w:keepLines/>
              <w:widowControl/>
              <w:jc w:val="center"/>
              <w:rPr>
                <w:rFonts w:ascii="Arial Narrow" w:hAnsi="Arial Narrow"/>
                <w:i/>
                <w:sz w:val="20"/>
                <w:szCs w:val="20"/>
              </w:rPr>
            </w:pPr>
            <w:r w:rsidRPr="001A57E6">
              <w:rPr>
                <w:rFonts w:ascii="Arial Narrow" w:hAnsi="Arial Narrow"/>
                <w:i/>
                <w:sz w:val="20"/>
                <w:szCs w:val="20"/>
              </w:rPr>
              <w:t>5.9%</w:t>
            </w:r>
          </w:p>
        </w:tc>
        <w:tc>
          <w:tcPr>
            <w:tcW w:w="1864" w:type="pct"/>
            <w:shd w:val="clear" w:color="auto" w:fill="auto"/>
            <w:vAlign w:val="center"/>
          </w:tcPr>
          <w:p w:rsidR="002B5770" w:rsidRPr="003D4516" w:rsidRDefault="002B5770" w:rsidP="00FB09E7">
            <w:pPr>
              <w:keepNext/>
              <w:keepLines/>
              <w:widowControl/>
              <w:jc w:val="center"/>
              <w:rPr>
                <w:rFonts w:ascii="Arial Narrow" w:hAnsi="Arial Narrow"/>
                <w:b/>
                <w:bCs/>
                <w:iCs/>
                <w:sz w:val="20"/>
                <w:szCs w:val="20"/>
              </w:rPr>
            </w:pPr>
            <w:r w:rsidRPr="003D4516">
              <w:rPr>
                <w:rFonts w:ascii="Arial Narrow" w:hAnsi="Arial Narrow"/>
                <w:b/>
                <w:bCs/>
                <w:iCs/>
                <w:sz w:val="20"/>
                <w:szCs w:val="20"/>
              </w:rPr>
              <w:t>0.39 (0.18, 0.60); p=0.01</w:t>
            </w:r>
          </w:p>
        </w:tc>
      </w:tr>
    </w:tbl>
    <w:p w:rsidR="002B5770" w:rsidRPr="003D4516" w:rsidRDefault="002B5770" w:rsidP="004428BA">
      <w:pPr>
        <w:widowControl/>
        <w:rPr>
          <w:rFonts w:ascii="Arial Narrow" w:hAnsi="Arial Narrow"/>
          <w:iCs/>
          <w:sz w:val="18"/>
          <w:szCs w:val="18"/>
        </w:rPr>
      </w:pPr>
      <w:r w:rsidRPr="003D4516">
        <w:rPr>
          <w:rFonts w:ascii="Arial Narrow" w:hAnsi="Arial Narrow"/>
          <w:iCs/>
          <w:sz w:val="18"/>
          <w:szCs w:val="18"/>
        </w:rPr>
        <w:t>Abbreviations:</w:t>
      </w:r>
      <w:r w:rsidR="00381C46" w:rsidRPr="003D4516">
        <w:rPr>
          <w:rFonts w:ascii="Arial Narrow" w:hAnsi="Arial Narrow"/>
          <w:iCs/>
          <w:sz w:val="18"/>
          <w:szCs w:val="18"/>
        </w:rPr>
        <w:t xml:space="preserve"> AS =</w:t>
      </w:r>
      <w:r w:rsidR="00393F18" w:rsidRPr="003D4516">
        <w:rPr>
          <w:rFonts w:ascii="Arial Narrow" w:hAnsi="Arial Narrow"/>
          <w:iCs/>
          <w:sz w:val="18"/>
          <w:szCs w:val="18"/>
        </w:rPr>
        <w:t>Ashworth score</w:t>
      </w:r>
      <w:r w:rsidR="00381C46" w:rsidRPr="003D4516">
        <w:rPr>
          <w:rFonts w:ascii="Arial Narrow" w:hAnsi="Arial Narrow"/>
          <w:iCs/>
          <w:sz w:val="18"/>
          <w:szCs w:val="18"/>
        </w:rPr>
        <w:t xml:space="preserve">, </w:t>
      </w:r>
      <w:r w:rsidRPr="003D4516">
        <w:rPr>
          <w:rFonts w:ascii="Arial Narrow" w:hAnsi="Arial Narrow"/>
          <w:iCs/>
          <w:sz w:val="18"/>
          <w:szCs w:val="18"/>
        </w:rPr>
        <w:t>DB=double blind</w:t>
      </w:r>
      <w:r w:rsidR="00393F18" w:rsidRPr="003D4516">
        <w:rPr>
          <w:rFonts w:ascii="Arial Narrow" w:hAnsi="Arial Narrow"/>
          <w:iCs/>
          <w:sz w:val="18"/>
          <w:szCs w:val="18"/>
        </w:rPr>
        <w:t>,</w:t>
      </w:r>
      <w:r w:rsidR="00381C46" w:rsidRPr="003D4516">
        <w:rPr>
          <w:rFonts w:ascii="Arial Narrow" w:hAnsi="Arial Narrow"/>
          <w:iCs/>
          <w:sz w:val="18"/>
          <w:szCs w:val="18"/>
        </w:rPr>
        <w:t xml:space="preserve"> MAS = modified Ashworth score, RD= risk difference</w:t>
      </w:r>
    </w:p>
    <w:p w:rsidR="002B5770" w:rsidRPr="001A57E6" w:rsidRDefault="002B5770" w:rsidP="004428BA">
      <w:pPr>
        <w:widowControl/>
        <w:rPr>
          <w:rFonts w:ascii="Arial Narrow" w:hAnsi="Arial Narrow"/>
          <w:sz w:val="18"/>
          <w:szCs w:val="18"/>
        </w:rPr>
      </w:pPr>
      <w:r w:rsidRPr="001A57E6">
        <w:rPr>
          <w:rFonts w:ascii="Arial Narrow" w:hAnsi="Arial Narrow"/>
          <w:sz w:val="18"/>
          <w:szCs w:val="18"/>
        </w:rPr>
        <w:lastRenderedPageBreak/>
        <w:t>Note: All data as reported (N values were not adjusted to all randomised patients but was in the meta-analysis). For REFLEX, the same p-values were obtained using a Pearson’s chi-square or Fisher’s exact test (if ≥ 25% of the expected cell counts were &lt; 5) and a logistic regression model with treatment, baseline ankle MAS-B, and muscle group injected in the model.</w:t>
      </w:r>
      <w:r w:rsidR="004A5FEC">
        <w:rPr>
          <w:rFonts w:ascii="Arial Narrow" w:hAnsi="Arial Narrow"/>
          <w:sz w:val="18"/>
          <w:szCs w:val="18"/>
        </w:rPr>
        <w:t xml:space="preserve"> </w:t>
      </w:r>
      <w:r w:rsidRPr="001A57E6">
        <w:rPr>
          <w:rFonts w:ascii="Arial Narrow" w:hAnsi="Arial Narrow"/>
          <w:sz w:val="18"/>
          <w:szCs w:val="18"/>
        </w:rPr>
        <w:t>For Trial 512, Pearson’s chi-square tests were conducted for this submission.</w:t>
      </w:r>
    </w:p>
    <w:p w:rsidR="002B5770" w:rsidRPr="001A57E6" w:rsidRDefault="002B5770" w:rsidP="004428BA">
      <w:pPr>
        <w:widowControl/>
        <w:rPr>
          <w:rFonts w:ascii="Arial Narrow" w:hAnsi="Arial Narrow"/>
          <w:sz w:val="18"/>
          <w:szCs w:val="18"/>
        </w:rPr>
      </w:pPr>
      <w:r w:rsidRPr="001A57E6">
        <w:rPr>
          <w:rFonts w:ascii="Arial Narrow" w:hAnsi="Arial Narrow"/>
          <w:sz w:val="18"/>
          <w:szCs w:val="18"/>
        </w:rPr>
        <w:t>Source: Table 2.5.1, p115 of the submission, Dunne 2012 p792 for Trial 702, Table 2.6-15, p145 of the submission.</w:t>
      </w:r>
    </w:p>
    <w:p w:rsidR="009E495C" w:rsidRPr="001A57E6" w:rsidRDefault="009E495C" w:rsidP="004428BA">
      <w:pPr>
        <w:widowControl/>
        <w:rPr>
          <w:rFonts w:ascii="Arial Narrow" w:hAnsi="Arial Narrow"/>
          <w:sz w:val="18"/>
          <w:szCs w:val="18"/>
        </w:rPr>
      </w:pPr>
    </w:p>
    <w:p w:rsidR="008D6960" w:rsidRDefault="002B5770" w:rsidP="00BB76A8">
      <w:pPr>
        <w:pStyle w:val="ListParagraph"/>
        <w:rPr>
          <w:iCs/>
        </w:rPr>
      </w:pPr>
      <w:r w:rsidRPr="003D4516">
        <w:t xml:space="preserve">Statistically significant differences in proportion of MAS responders between </w:t>
      </w:r>
      <w:r w:rsidR="00EE500E">
        <w:t>BOTOX®</w:t>
      </w:r>
      <w:r w:rsidRPr="003D4516">
        <w:t xml:space="preserve"> and placebo were observed at Weeks 2, 4, 6, 8 and 12 in REFLEX and Weeks 4, 6 and 8 in Trial 512.</w:t>
      </w:r>
      <w:r w:rsidR="004A5FEC">
        <w:t xml:space="preserve"> </w:t>
      </w:r>
      <w:r w:rsidRPr="003D4516">
        <w:rPr>
          <w:iCs/>
        </w:rPr>
        <w:t xml:space="preserve">The difference between </w:t>
      </w:r>
      <w:r w:rsidR="00EE500E">
        <w:rPr>
          <w:iCs/>
        </w:rPr>
        <w:t>BOTOX®</w:t>
      </w:r>
      <w:r w:rsidRPr="003D4516">
        <w:rPr>
          <w:iCs/>
        </w:rPr>
        <w:t xml:space="preserve"> and placebo in responders was much smaller in REFLEX (max</w:t>
      </w:r>
      <w:r w:rsidR="00B96DFD">
        <w:rPr>
          <w:iCs/>
        </w:rPr>
        <w:t>imum</w:t>
      </w:r>
      <w:r w:rsidRPr="003D4516">
        <w:rPr>
          <w:iCs/>
        </w:rPr>
        <w:t xml:space="preserve"> difference of 14%) compared to Trial 512 (max</w:t>
      </w:r>
      <w:r w:rsidR="00B96DFD">
        <w:rPr>
          <w:iCs/>
        </w:rPr>
        <w:t>imum</w:t>
      </w:r>
      <w:r w:rsidRPr="003D4516">
        <w:rPr>
          <w:iCs/>
        </w:rPr>
        <w:t xml:space="preserve"> difference of 35%)</w:t>
      </w:r>
      <w:r w:rsidR="008D6960">
        <w:rPr>
          <w:iCs/>
        </w:rPr>
        <w:t>.</w:t>
      </w:r>
      <w:r w:rsidRPr="003D4516">
        <w:rPr>
          <w:iCs/>
        </w:rPr>
        <w:t xml:space="preserve"> </w:t>
      </w:r>
      <w:r w:rsidR="008D6960">
        <w:rPr>
          <w:iCs/>
        </w:rPr>
        <w:t>I</w:t>
      </w:r>
      <w:r w:rsidRPr="003D4516">
        <w:rPr>
          <w:iCs/>
        </w:rPr>
        <w:t xml:space="preserve">n </w:t>
      </w:r>
      <w:r w:rsidRPr="003D4516">
        <w:t>both</w:t>
      </w:r>
      <w:r w:rsidRPr="003D4516">
        <w:rPr>
          <w:iCs/>
        </w:rPr>
        <w:t xml:space="preserve"> trials the difference between </w:t>
      </w:r>
      <w:r w:rsidR="00EE500E">
        <w:rPr>
          <w:iCs/>
        </w:rPr>
        <w:t>BOTOX®</w:t>
      </w:r>
      <w:r w:rsidRPr="003D4516">
        <w:rPr>
          <w:iCs/>
        </w:rPr>
        <w:t xml:space="preserve"> and placebo reduced over time</w:t>
      </w:r>
      <w:r w:rsidR="00B96DFD">
        <w:rPr>
          <w:iCs/>
        </w:rPr>
        <w:t>,</w:t>
      </w:r>
      <w:r w:rsidRPr="003D4516">
        <w:rPr>
          <w:iCs/>
        </w:rPr>
        <w:t xml:space="preserve"> and by Week 12 the differences</w:t>
      </w:r>
      <w:r w:rsidR="008D6960">
        <w:rPr>
          <w:iCs/>
        </w:rPr>
        <w:t xml:space="preserve"> between </w:t>
      </w:r>
      <w:r w:rsidR="00EE500E">
        <w:rPr>
          <w:iCs/>
        </w:rPr>
        <w:t>BOTOX®</w:t>
      </w:r>
      <w:r w:rsidR="008D6960">
        <w:rPr>
          <w:iCs/>
        </w:rPr>
        <w:t xml:space="preserve"> and placebo</w:t>
      </w:r>
      <w:r w:rsidRPr="003D4516">
        <w:rPr>
          <w:iCs/>
        </w:rPr>
        <w:t xml:space="preserve"> in </w:t>
      </w:r>
      <w:r w:rsidR="008D6960">
        <w:rPr>
          <w:iCs/>
        </w:rPr>
        <w:t xml:space="preserve">the proportion of </w:t>
      </w:r>
      <w:r w:rsidRPr="003D4516">
        <w:rPr>
          <w:iCs/>
        </w:rPr>
        <w:t xml:space="preserve">responders </w:t>
      </w:r>
      <w:r w:rsidR="008D6960">
        <w:rPr>
          <w:iCs/>
        </w:rPr>
        <w:t xml:space="preserve">was </w:t>
      </w:r>
      <w:r w:rsidR="00F11DA4">
        <w:rPr>
          <w:iCs/>
        </w:rPr>
        <w:t xml:space="preserve">approximately </w:t>
      </w:r>
      <w:r w:rsidRPr="003D4516">
        <w:rPr>
          <w:iCs/>
        </w:rPr>
        <w:t>9% in both trials.</w:t>
      </w:r>
      <w:r w:rsidR="000B7680">
        <w:rPr>
          <w:iCs/>
        </w:rPr>
        <w:t xml:space="preserve"> </w:t>
      </w:r>
    </w:p>
    <w:p w:rsidR="002B5770" w:rsidRPr="001A57E6" w:rsidRDefault="00F11DA4" w:rsidP="00BB76A8">
      <w:pPr>
        <w:pStyle w:val="ListParagraph"/>
      </w:pPr>
      <w:r>
        <w:t xml:space="preserve">Results from </w:t>
      </w:r>
      <w:r w:rsidR="002B5770" w:rsidRPr="001A57E6">
        <w:t xml:space="preserve">Trial 702 </w:t>
      </w:r>
      <w:r>
        <w:t>suggested that there was no difference in</w:t>
      </w:r>
      <w:r w:rsidR="002B5770" w:rsidRPr="001A57E6">
        <w:t xml:space="preserve"> the</w:t>
      </w:r>
      <w:r w:rsidR="008955E1">
        <w:t xml:space="preserve"> proportion of responders</w:t>
      </w:r>
      <w:r>
        <w:t>,</w:t>
      </w:r>
      <w:r w:rsidR="008955E1">
        <w:t xml:space="preserve"> defined by the</w:t>
      </w:r>
      <w:r w:rsidR="002B5770" w:rsidRPr="001A57E6">
        <w:t xml:space="preserve"> </w:t>
      </w:r>
      <w:r>
        <w:t>AS</w:t>
      </w:r>
      <w:r w:rsidR="002B5770" w:rsidRPr="001A57E6">
        <w:t xml:space="preserve"> </w:t>
      </w:r>
      <w:r w:rsidR="008955E1">
        <w:t xml:space="preserve">for </w:t>
      </w:r>
      <w:r w:rsidR="002B5770" w:rsidRPr="001A57E6">
        <w:t>ankle plantar</w:t>
      </w:r>
      <w:r w:rsidR="00695AB3">
        <w:t xml:space="preserve"> </w:t>
      </w:r>
      <w:r w:rsidR="002B5770" w:rsidRPr="001A57E6">
        <w:t>flexor spasticity</w:t>
      </w:r>
      <w:r>
        <w:t>,</w:t>
      </w:r>
      <w:r w:rsidR="002B5770" w:rsidRPr="001A57E6">
        <w:t xml:space="preserve"> between the treatment groups at Week 4, 8, 12 or 16 post-injection. However, among </w:t>
      </w:r>
      <w:r w:rsidR="008955E1">
        <w:t xml:space="preserve">the subgroup of </w:t>
      </w:r>
      <w:r w:rsidR="002B5770" w:rsidRPr="001A57E6">
        <w:t>patients with a baseline MAS</w:t>
      </w:r>
      <w:r w:rsidR="00B96DFD">
        <w:t xml:space="preserve"> </w:t>
      </w:r>
      <w:r w:rsidR="00B96DFD">
        <w:rPr>
          <w:rFonts w:cs="Calibri"/>
        </w:rPr>
        <w:t>≥</w:t>
      </w:r>
      <w:r w:rsidR="002B5770" w:rsidRPr="001A57E6">
        <w:t xml:space="preserve"> 3, there were significant differences between treatment </w:t>
      </w:r>
      <w:r w:rsidR="00EE500E">
        <w:t>BOTOX®</w:t>
      </w:r>
      <w:r w:rsidR="002B5770" w:rsidRPr="001A57E6">
        <w:t xml:space="preserve"> and Placebo groups at Week 8 and Week 12.</w:t>
      </w:r>
    </w:p>
    <w:p w:rsidR="002B5770" w:rsidRDefault="002B5770" w:rsidP="004428BA">
      <w:pPr>
        <w:pStyle w:val="Heading4"/>
        <w:widowControl/>
        <w:spacing w:before="0" w:after="120"/>
        <w:rPr>
          <w:szCs w:val="26"/>
        </w:rPr>
      </w:pPr>
      <w:r w:rsidRPr="000B675D">
        <w:rPr>
          <w:szCs w:val="26"/>
        </w:rPr>
        <w:t>C</w:t>
      </w:r>
      <w:r w:rsidR="000158E7" w:rsidRPr="000B675D">
        <w:rPr>
          <w:szCs w:val="26"/>
        </w:rPr>
        <w:t xml:space="preserve">linical </w:t>
      </w:r>
      <w:r w:rsidRPr="000B675D">
        <w:rPr>
          <w:szCs w:val="26"/>
        </w:rPr>
        <w:t>G</w:t>
      </w:r>
      <w:r w:rsidR="000158E7" w:rsidRPr="000B675D">
        <w:rPr>
          <w:szCs w:val="26"/>
        </w:rPr>
        <w:t xml:space="preserve">lobal </w:t>
      </w:r>
      <w:r w:rsidRPr="000B675D">
        <w:rPr>
          <w:szCs w:val="26"/>
        </w:rPr>
        <w:t>I</w:t>
      </w:r>
      <w:r w:rsidR="000158E7" w:rsidRPr="000B675D">
        <w:rPr>
          <w:szCs w:val="26"/>
        </w:rPr>
        <w:t>mpression (CGI)</w:t>
      </w:r>
      <w:r w:rsidRPr="000B675D">
        <w:rPr>
          <w:szCs w:val="26"/>
        </w:rPr>
        <w:t xml:space="preserve"> </w:t>
      </w:r>
      <w:r w:rsidR="0000574B">
        <w:rPr>
          <w:szCs w:val="26"/>
        </w:rPr>
        <w:t>–</w:t>
      </w:r>
      <w:r w:rsidRPr="000B675D">
        <w:rPr>
          <w:szCs w:val="26"/>
        </w:rPr>
        <w:t xml:space="preserve"> physician</w:t>
      </w:r>
    </w:p>
    <w:p w:rsidR="002B5770" w:rsidRPr="00D4296D" w:rsidRDefault="002B5770" w:rsidP="00BB76A8">
      <w:pPr>
        <w:pStyle w:val="ListParagraph"/>
      </w:pPr>
      <w:r w:rsidRPr="001A57E6">
        <w:t xml:space="preserve">Results of CGI (by physician) change from baseline across the primary </w:t>
      </w:r>
      <w:r w:rsidR="00BD5880">
        <w:t>trials are summarised in Table 8</w:t>
      </w:r>
      <w:r w:rsidRPr="001A57E6">
        <w:t>.</w:t>
      </w:r>
      <w:r w:rsidR="004A5FEC">
        <w:t xml:space="preserve"> </w:t>
      </w:r>
      <w:r w:rsidRPr="001A57E6">
        <w:t>The CGI by physician scale u</w:t>
      </w:r>
      <w:r w:rsidR="00085F39">
        <w:t>sed in the REFLEX trial was a 9</w:t>
      </w:r>
      <w:r w:rsidR="00085F39">
        <w:noBreakHyphen/>
      </w:r>
      <w:r w:rsidRPr="001A57E6">
        <w:t>point scale indicating functional change from the patient’s baseline status from –4 (very marked worsening) to +4 (very marked improvement), whereas in the Trial 512 the CGI was an 11-point scale ranging from -5 (worst possible) to 5 (best possible</w:t>
      </w:r>
      <w:r w:rsidRPr="00D4296D">
        <w:t>).</w:t>
      </w:r>
      <w:r w:rsidR="004A5FEC" w:rsidRPr="00D4296D">
        <w:t xml:space="preserve"> </w:t>
      </w:r>
      <w:r w:rsidR="009C0FBC" w:rsidRPr="00D4296D">
        <w:t xml:space="preserve">As the CGI score rates response to treatment, there are no baseline scores reported. </w:t>
      </w:r>
    </w:p>
    <w:p w:rsidR="002B5770" w:rsidRPr="001A57E6" w:rsidRDefault="000158E7" w:rsidP="004428BA">
      <w:pPr>
        <w:pStyle w:val="TableHeading"/>
        <w:keepLines/>
        <w:spacing w:before="0"/>
        <w:jc w:val="both"/>
        <w:rPr>
          <w:rStyle w:val="CommentReference"/>
          <w:b/>
          <w:bCs w:val="0"/>
        </w:rPr>
      </w:pPr>
      <w:r>
        <w:rPr>
          <w:rStyle w:val="CommentReference"/>
          <w:b/>
          <w:bCs w:val="0"/>
        </w:rPr>
        <w:t xml:space="preserve">Table </w:t>
      </w:r>
      <w:r w:rsidR="009E495C">
        <w:rPr>
          <w:rStyle w:val="CommentReference"/>
          <w:b/>
          <w:bCs w:val="0"/>
        </w:rPr>
        <w:t>8</w:t>
      </w:r>
      <w:r w:rsidR="00BD5880">
        <w:rPr>
          <w:rStyle w:val="CommentReference"/>
          <w:b/>
          <w:bCs w:val="0"/>
        </w:rPr>
        <w:t>:</w:t>
      </w:r>
      <w:r w:rsidR="002B5770" w:rsidRPr="001A57E6">
        <w:rPr>
          <w:rStyle w:val="CommentReference"/>
          <w:b/>
          <w:bCs w:val="0"/>
        </w:rPr>
        <w:t xml:space="preserve"> Results of CGI (by physician) across the primary trials: continuous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
        <w:gridCol w:w="779"/>
        <w:gridCol w:w="1010"/>
        <w:gridCol w:w="1165"/>
        <w:gridCol w:w="1017"/>
        <w:gridCol w:w="812"/>
        <w:gridCol w:w="1055"/>
        <w:gridCol w:w="2281"/>
      </w:tblGrid>
      <w:tr w:rsidR="00820812" w:rsidRPr="00D4296D" w:rsidTr="00820812">
        <w:tc>
          <w:tcPr>
            <w:tcW w:w="498" w:type="pct"/>
            <w:vMerge w:val="restart"/>
            <w:vAlign w:val="center"/>
          </w:tcPr>
          <w:p w:rsidR="00820812" w:rsidRPr="00D4296D" w:rsidRDefault="00820812" w:rsidP="004428BA">
            <w:pPr>
              <w:pStyle w:val="Tabletext"/>
              <w:keepNext/>
              <w:keepLines/>
              <w:jc w:val="both"/>
              <w:rPr>
                <w:b/>
                <w:bCs/>
              </w:rPr>
            </w:pPr>
            <w:r w:rsidRPr="00D4296D">
              <w:rPr>
                <w:b/>
              </w:rPr>
              <w:t>Trial ID</w:t>
            </w:r>
          </w:p>
        </w:tc>
        <w:tc>
          <w:tcPr>
            <w:tcW w:w="1638" w:type="pct"/>
            <w:gridSpan w:val="3"/>
            <w:vAlign w:val="center"/>
          </w:tcPr>
          <w:p w:rsidR="00820812" w:rsidRPr="00D4296D" w:rsidRDefault="00EE500E" w:rsidP="004428BA">
            <w:pPr>
              <w:pStyle w:val="Tabletext"/>
              <w:keepNext/>
              <w:keepLines/>
              <w:jc w:val="center"/>
              <w:rPr>
                <w:b/>
                <w:iCs/>
              </w:rPr>
            </w:pPr>
            <w:r w:rsidRPr="00D4296D">
              <w:rPr>
                <w:b/>
                <w:iCs/>
              </w:rPr>
              <w:t>BOTOX®</w:t>
            </w:r>
            <w:r w:rsidR="00820812" w:rsidRPr="00D4296D">
              <w:rPr>
                <w:b/>
                <w:iCs/>
              </w:rPr>
              <w:t xml:space="preserve"> </w:t>
            </w:r>
            <w:r w:rsidR="00820812" w:rsidRPr="00D4296D">
              <w:rPr>
                <w:b/>
              </w:rPr>
              <w:t>Mean (SD)</w:t>
            </w:r>
          </w:p>
        </w:tc>
        <w:tc>
          <w:tcPr>
            <w:tcW w:w="1599" w:type="pct"/>
            <w:gridSpan w:val="3"/>
            <w:vAlign w:val="center"/>
          </w:tcPr>
          <w:p w:rsidR="00820812" w:rsidRPr="00D4296D" w:rsidRDefault="00820812" w:rsidP="004428BA">
            <w:pPr>
              <w:pStyle w:val="Tabletext"/>
              <w:keepNext/>
              <w:keepLines/>
              <w:jc w:val="center"/>
              <w:rPr>
                <w:b/>
                <w:iCs/>
              </w:rPr>
            </w:pPr>
            <w:r w:rsidRPr="00D4296D">
              <w:rPr>
                <w:b/>
                <w:iCs/>
              </w:rPr>
              <w:t>Placebo Mean (SD)</w:t>
            </w:r>
          </w:p>
        </w:tc>
        <w:tc>
          <w:tcPr>
            <w:tcW w:w="1265" w:type="pct"/>
            <w:vMerge w:val="restart"/>
            <w:vAlign w:val="center"/>
          </w:tcPr>
          <w:p w:rsidR="00820812" w:rsidRPr="00D4296D" w:rsidRDefault="00820812" w:rsidP="004428BA">
            <w:pPr>
              <w:pStyle w:val="Tabletext"/>
              <w:keepNext/>
              <w:keepLines/>
              <w:jc w:val="center"/>
              <w:rPr>
                <w:b/>
                <w:iCs/>
              </w:rPr>
            </w:pPr>
            <w:r w:rsidRPr="00D4296D">
              <w:rPr>
                <w:b/>
                <w:iCs/>
              </w:rPr>
              <w:t>Mean difference</w:t>
            </w:r>
            <w:r w:rsidRPr="00D4296D">
              <w:rPr>
                <w:iCs/>
              </w:rPr>
              <w:t>^</w:t>
            </w:r>
          </w:p>
          <w:p w:rsidR="00820812" w:rsidRPr="00D4296D" w:rsidRDefault="00820812" w:rsidP="004428BA">
            <w:pPr>
              <w:pStyle w:val="Tabletext"/>
              <w:keepNext/>
              <w:keepLines/>
              <w:jc w:val="center"/>
              <w:rPr>
                <w:b/>
                <w:bCs/>
              </w:rPr>
            </w:pPr>
            <w:r w:rsidRPr="00D4296D">
              <w:rPr>
                <w:b/>
                <w:iCs/>
              </w:rPr>
              <w:t>(95% CI), p value</w:t>
            </w:r>
          </w:p>
        </w:tc>
      </w:tr>
      <w:tr w:rsidR="00820812" w:rsidRPr="00D4296D" w:rsidTr="00820812">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rPr>
                <w:b/>
                <w:bCs/>
              </w:rPr>
            </w:pPr>
            <w:r w:rsidRPr="00D4296D">
              <w:rPr>
                <w:b/>
                <w:bCs/>
              </w:rPr>
              <w:t>N</w:t>
            </w:r>
          </w:p>
        </w:tc>
        <w:tc>
          <w:tcPr>
            <w:tcW w:w="560" w:type="pct"/>
            <w:vAlign w:val="center"/>
          </w:tcPr>
          <w:p w:rsidR="00820812" w:rsidRPr="00D4296D" w:rsidRDefault="00820812" w:rsidP="004428BA">
            <w:pPr>
              <w:pStyle w:val="Tabletext"/>
              <w:keepNext/>
              <w:keepLines/>
              <w:jc w:val="center"/>
              <w:rPr>
                <w:b/>
                <w:bCs/>
              </w:rPr>
            </w:pPr>
            <w:r w:rsidRPr="00D4296D">
              <w:rPr>
                <w:b/>
                <w:bCs/>
              </w:rPr>
              <w:t>Time point</w:t>
            </w:r>
          </w:p>
        </w:tc>
        <w:tc>
          <w:tcPr>
            <w:tcW w:w="646" w:type="pct"/>
            <w:vAlign w:val="center"/>
          </w:tcPr>
          <w:p w:rsidR="00820812" w:rsidRPr="00D4296D" w:rsidRDefault="00820812" w:rsidP="004428BA">
            <w:pPr>
              <w:pStyle w:val="Tabletext"/>
              <w:keepNext/>
              <w:keepLines/>
              <w:jc w:val="center"/>
              <w:rPr>
                <w:b/>
                <w:bCs/>
              </w:rPr>
            </w:pPr>
            <w:r w:rsidRPr="00D4296D">
              <w:rPr>
                <w:b/>
                <w:bCs/>
              </w:rPr>
              <w:t>Mean change</w:t>
            </w:r>
          </w:p>
        </w:tc>
        <w:tc>
          <w:tcPr>
            <w:tcW w:w="564" w:type="pct"/>
            <w:vAlign w:val="center"/>
          </w:tcPr>
          <w:p w:rsidR="00820812" w:rsidRPr="00D4296D" w:rsidRDefault="00820812" w:rsidP="004428BA">
            <w:pPr>
              <w:pStyle w:val="Tabletext"/>
              <w:keepNext/>
              <w:keepLines/>
              <w:jc w:val="center"/>
              <w:rPr>
                <w:b/>
                <w:bCs/>
              </w:rPr>
            </w:pPr>
            <w:r w:rsidRPr="00D4296D">
              <w:rPr>
                <w:b/>
                <w:bCs/>
              </w:rPr>
              <w:t>N</w:t>
            </w:r>
          </w:p>
        </w:tc>
        <w:tc>
          <w:tcPr>
            <w:tcW w:w="450" w:type="pct"/>
            <w:vAlign w:val="center"/>
          </w:tcPr>
          <w:p w:rsidR="00820812" w:rsidRPr="00D4296D" w:rsidRDefault="00820812" w:rsidP="004428BA">
            <w:pPr>
              <w:pStyle w:val="Tabletext"/>
              <w:keepNext/>
              <w:keepLines/>
              <w:jc w:val="center"/>
              <w:rPr>
                <w:b/>
                <w:bCs/>
              </w:rPr>
            </w:pPr>
            <w:r w:rsidRPr="00D4296D">
              <w:rPr>
                <w:b/>
                <w:bCs/>
              </w:rPr>
              <w:t>Time point</w:t>
            </w:r>
          </w:p>
        </w:tc>
        <w:tc>
          <w:tcPr>
            <w:tcW w:w="585" w:type="pct"/>
            <w:vAlign w:val="center"/>
          </w:tcPr>
          <w:p w:rsidR="00820812" w:rsidRPr="00D4296D" w:rsidRDefault="00820812" w:rsidP="004428BA">
            <w:pPr>
              <w:pStyle w:val="Tabletext"/>
              <w:keepNext/>
              <w:keepLines/>
              <w:jc w:val="center"/>
              <w:rPr>
                <w:b/>
                <w:bCs/>
              </w:rPr>
            </w:pPr>
            <w:r w:rsidRPr="00D4296D">
              <w:rPr>
                <w:b/>
                <w:bCs/>
              </w:rPr>
              <w:t>Mean change</w:t>
            </w:r>
          </w:p>
        </w:tc>
        <w:tc>
          <w:tcPr>
            <w:tcW w:w="1265" w:type="pct"/>
            <w:vMerge/>
            <w:vAlign w:val="center"/>
          </w:tcPr>
          <w:p w:rsidR="00820812" w:rsidRPr="00D4296D" w:rsidRDefault="00820812" w:rsidP="004428BA">
            <w:pPr>
              <w:pStyle w:val="Tabletext"/>
              <w:keepNext/>
              <w:keepLines/>
              <w:jc w:val="center"/>
              <w:rPr>
                <w:b/>
                <w:bCs/>
              </w:rPr>
            </w:pPr>
          </w:p>
        </w:tc>
      </w:tr>
      <w:tr w:rsidR="00820812" w:rsidRPr="00D4296D" w:rsidTr="00820812">
        <w:trPr>
          <w:trHeight w:val="223"/>
        </w:trPr>
        <w:tc>
          <w:tcPr>
            <w:tcW w:w="498" w:type="pct"/>
            <w:vMerge w:val="restart"/>
            <w:vAlign w:val="center"/>
          </w:tcPr>
          <w:p w:rsidR="00820812" w:rsidRPr="00D4296D" w:rsidRDefault="00820812" w:rsidP="004428BA">
            <w:pPr>
              <w:pStyle w:val="Tabletext"/>
              <w:keepNext/>
              <w:keepLines/>
              <w:jc w:val="both"/>
              <w:rPr>
                <w:b/>
                <w:bCs/>
              </w:rPr>
            </w:pPr>
            <w:proofErr w:type="spellStart"/>
            <w:r w:rsidRPr="00D4296D">
              <w:rPr>
                <w:b/>
                <w:bCs/>
              </w:rPr>
              <w:t>REFLEX</w:t>
            </w:r>
            <w:r w:rsidRPr="00D4296D">
              <w:rPr>
                <w:b/>
                <w:bCs/>
                <w:vertAlign w:val="superscript"/>
              </w:rPr>
              <w:t>a</w:t>
            </w:r>
            <w:proofErr w:type="spellEnd"/>
          </w:p>
        </w:tc>
        <w:tc>
          <w:tcPr>
            <w:tcW w:w="432" w:type="pct"/>
            <w:vAlign w:val="center"/>
          </w:tcPr>
          <w:p w:rsidR="00820812" w:rsidRPr="00D4296D" w:rsidRDefault="00820812" w:rsidP="004428BA">
            <w:pPr>
              <w:pStyle w:val="Tabletext"/>
              <w:keepNext/>
              <w:keepLines/>
              <w:jc w:val="center"/>
              <w:rPr>
                <w:b/>
                <w:bCs/>
              </w:rPr>
            </w:pPr>
            <w:r w:rsidRPr="00D4296D">
              <w:rPr>
                <w:b/>
                <w:bCs/>
              </w:rPr>
              <w:t>228</w:t>
            </w:r>
          </w:p>
        </w:tc>
        <w:tc>
          <w:tcPr>
            <w:tcW w:w="560" w:type="pct"/>
            <w:vAlign w:val="center"/>
          </w:tcPr>
          <w:p w:rsidR="00820812" w:rsidRPr="00D4296D" w:rsidRDefault="00820812" w:rsidP="004428BA">
            <w:pPr>
              <w:pStyle w:val="Tabletext"/>
              <w:keepNext/>
              <w:keepLines/>
              <w:jc w:val="center"/>
              <w:rPr>
                <w:bCs/>
              </w:rPr>
            </w:pPr>
            <w:r w:rsidRPr="00D4296D">
              <w:rPr>
                <w:bCs/>
              </w:rPr>
              <w:t>W2</w:t>
            </w:r>
          </w:p>
        </w:tc>
        <w:tc>
          <w:tcPr>
            <w:tcW w:w="646" w:type="pct"/>
            <w:vAlign w:val="center"/>
          </w:tcPr>
          <w:p w:rsidR="00820812" w:rsidRPr="00D4296D" w:rsidRDefault="00820812" w:rsidP="004428BA">
            <w:pPr>
              <w:pStyle w:val="Tabletext"/>
              <w:keepNext/>
              <w:keepLines/>
              <w:jc w:val="center"/>
              <w:rPr>
                <w:b/>
                <w:bCs/>
              </w:rPr>
            </w:pPr>
            <w:r w:rsidRPr="00D4296D">
              <w:rPr>
                <w:b/>
                <w:bCs/>
              </w:rPr>
              <w:t>0.8 (0.9)</w:t>
            </w:r>
          </w:p>
        </w:tc>
        <w:tc>
          <w:tcPr>
            <w:tcW w:w="564" w:type="pct"/>
            <w:vAlign w:val="center"/>
          </w:tcPr>
          <w:p w:rsidR="00820812" w:rsidRPr="00D4296D" w:rsidRDefault="00820812" w:rsidP="004428BA">
            <w:pPr>
              <w:pStyle w:val="Tabletext"/>
              <w:keepNext/>
              <w:keepLines/>
              <w:jc w:val="center"/>
              <w:rPr>
                <w:b/>
                <w:bCs/>
              </w:rPr>
            </w:pPr>
            <w:r w:rsidRPr="00D4296D">
              <w:rPr>
                <w:b/>
                <w:bCs/>
              </w:rPr>
              <w:t>233</w:t>
            </w:r>
          </w:p>
        </w:tc>
        <w:tc>
          <w:tcPr>
            <w:tcW w:w="450" w:type="pct"/>
            <w:vAlign w:val="center"/>
          </w:tcPr>
          <w:p w:rsidR="00820812" w:rsidRPr="00D4296D" w:rsidRDefault="00820812" w:rsidP="004428BA">
            <w:pPr>
              <w:pStyle w:val="Tabletext"/>
              <w:keepNext/>
              <w:keepLines/>
              <w:jc w:val="center"/>
              <w:rPr>
                <w:b/>
                <w:bCs/>
              </w:rPr>
            </w:pPr>
            <w:r w:rsidRPr="00D4296D">
              <w:rPr>
                <w:b/>
                <w:bCs/>
              </w:rPr>
              <w:t>W2</w:t>
            </w:r>
          </w:p>
        </w:tc>
        <w:tc>
          <w:tcPr>
            <w:tcW w:w="585" w:type="pct"/>
            <w:vAlign w:val="center"/>
          </w:tcPr>
          <w:p w:rsidR="00820812" w:rsidRPr="00D4296D" w:rsidRDefault="00820812" w:rsidP="004428BA">
            <w:pPr>
              <w:pStyle w:val="Tabletext"/>
              <w:keepNext/>
              <w:keepLines/>
              <w:jc w:val="center"/>
              <w:rPr>
                <w:b/>
                <w:bCs/>
              </w:rPr>
            </w:pPr>
            <w:r w:rsidRPr="00D4296D">
              <w:rPr>
                <w:b/>
                <w:bCs/>
              </w:rPr>
              <w:t>0.5 (0.85)</w:t>
            </w:r>
          </w:p>
        </w:tc>
        <w:tc>
          <w:tcPr>
            <w:tcW w:w="1265" w:type="pct"/>
            <w:vAlign w:val="center"/>
          </w:tcPr>
          <w:p w:rsidR="00820812" w:rsidRPr="00D4296D" w:rsidRDefault="00820812" w:rsidP="004428BA">
            <w:pPr>
              <w:pStyle w:val="Tabletext"/>
              <w:keepNext/>
              <w:keepLines/>
              <w:jc w:val="center"/>
              <w:rPr>
                <w:b/>
                <w:bCs/>
                <w:iCs/>
              </w:rPr>
            </w:pPr>
            <w:r w:rsidRPr="00D4296D">
              <w:rPr>
                <w:b/>
                <w:bCs/>
                <w:iCs/>
              </w:rPr>
              <w:t>0.30 (0.14, 0.46)</w:t>
            </w:r>
          </w:p>
          <w:p w:rsidR="00820812" w:rsidRPr="00D4296D" w:rsidRDefault="00820812" w:rsidP="004428BA">
            <w:pPr>
              <w:pStyle w:val="Tabletext"/>
              <w:keepNext/>
              <w:keepLines/>
              <w:jc w:val="center"/>
              <w:rPr>
                <w:b/>
                <w:bCs/>
                <w:iCs/>
              </w:rPr>
            </w:pPr>
            <w:r w:rsidRPr="00D4296D">
              <w:rPr>
                <w:b/>
                <w:bCs/>
                <w:iCs/>
              </w:rPr>
              <w:t>p=0.003</w:t>
            </w:r>
          </w:p>
        </w:tc>
      </w:tr>
      <w:tr w:rsidR="00820812" w:rsidRPr="00D4296D" w:rsidTr="00820812">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pPr>
            <w:r w:rsidRPr="00D4296D">
              <w:t>233</w:t>
            </w:r>
          </w:p>
        </w:tc>
        <w:tc>
          <w:tcPr>
            <w:tcW w:w="560" w:type="pct"/>
            <w:vAlign w:val="center"/>
          </w:tcPr>
          <w:p w:rsidR="00820812" w:rsidRPr="00D4296D" w:rsidRDefault="00820812" w:rsidP="004428BA">
            <w:pPr>
              <w:pStyle w:val="Tabletext"/>
              <w:keepNext/>
              <w:keepLines/>
              <w:jc w:val="center"/>
            </w:pPr>
            <w:r w:rsidRPr="00D4296D">
              <w:t>W 4-6 average</w:t>
            </w:r>
          </w:p>
        </w:tc>
        <w:tc>
          <w:tcPr>
            <w:tcW w:w="646" w:type="pct"/>
            <w:vAlign w:val="center"/>
          </w:tcPr>
          <w:p w:rsidR="00820812" w:rsidRPr="00D4296D" w:rsidRDefault="00820812" w:rsidP="004428BA">
            <w:pPr>
              <w:pStyle w:val="Tabletext"/>
              <w:keepNext/>
              <w:keepLines/>
              <w:jc w:val="center"/>
            </w:pPr>
            <w:r w:rsidRPr="00D4296D">
              <w:t>0.86 (0.95)</w:t>
            </w:r>
          </w:p>
        </w:tc>
        <w:tc>
          <w:tcPr>
            <w:tcW w:w="564" w:type="pct"/>
            <w:vAlign w:val="center"/>
          </w:tcPr>
          <w:p w:rsidR="00820812" w:rsidRPr="00D4296D" w:rsidRDefault="00820812" w:rsidP="004428BA">
            <w:pPr>
              <w:pStyle w:val="Tabletext"/>
              <w:keepNext/>
              <w:keepLines/>
              <w:jc w:val="center"/>
            </w:pPr>
            <w:r w:rsidRPr="00D4296D">
              <w:t>235</w:t>
            </w:r>
          </w:p>
        </w:tc>
        <w:tc>
          <w:tcPr>
            <w:tcW w:w="450" w:type="pct"/>
            <w:vAlign w:val="center"/>
          </w:tcPr>
          <w:p w:rsidR="00820812" w:rsidRPr="00D4296D" w:rsidRDefault="00820812" w:rsidP="004428BA">
            <w:pPr>
              <w:pStyle w:val="Tabletext"/>
              <w:keepNext/>
              <w:keepLines/>
              <w:jc w:val="center"/>
            </w:pPr>
            <w:r w:rsidRPr="00D4296D">
              <w:t>W 4-6 average</w:t>
            </w:r>
          </w:p>
        </w:tc>
        <w:tc>
          <w:tcPr>
            <w:tcW w:w="585" w:type="pct"/>
            <w:vAlign w:val="center"/>
          </w:tcPr>
          <w:p w:rsidR="00820812" w:rsidRPr="00D4296D" w:rsidRDefault="00820812" w:rsidP="004428BA">
            <w:pPr>
              <w:pStyle w:val="Tabletext"/>
              <w:keepNext/>
              <w:keepLines/>
              <w:jc w:val="center"/>
              <w:rPr>
                <w:b/>
                <w:bCs/>
              </w:rPr>
            </w:pPr>
            <w:r w:rsidRPr="00D4296D">
              <w:t>0.65 (0.90)</w:t>
            </w:r>
          </w:p>
        </w:tc>
        <w:tc>
          <w:tcPr>
            <w:tcW w:w="1265" w:type="pct"/>
            <w:vAlign w:val="center"/>
          </w:tcPr>
          <w:p w:rsidR="00820812" w:rsidRPr="00D4296D" w:rsidRDefault="00820812" w:rsidP="004428BA">
            <w:pPr>
              <w:pStyle w:val="Tabletext"/>
              <w:keepNext/>
              <w:keepLines/>
              <w:jc w:val="center"/>
              <w:rPr>
                <w:b/>
                <w:bCs/>
              </w:rPr>
            </w:pPr>
            <w:r w:rsidRPr="00D4296D">
              <w:rPr>
                <w:b/>
                <w:bCs/>
              </w:rPr>
              <w:t>0.22 (0.0</w:t>
            </w:r>
            <w:r w:rsidR="0038286B" w:rsidRPr="00D4296D">
              <w:rPr>
                <w:b/>
                <w:bCs/>
              </w:rPr>
              <w:t>5</w:t>
            </w:r>
            <w:r w:rsidRPr="00D4296D">
              <w:rPr>
                <w:b/>
                <w:bCs/>
              </w:rPr>
              <w:t>, 0.38)</w:t>
            </w:r>
          </w:p>
          <w:p w:rsidR="00820812" w:rsidRPr="00D4296D" w:rsidRDefault="00820812" w:rsidP="004428BA">
            <w:pPr>
              <w:pStyle w:val="Tabletext"/>
              <w:keepNext/>
              <w:keepLines/>
              <w:jc w:val="center"/>
            </w:pPr>
            <w:r w:rsidRPr="00D4296D">
              <w:rPr>
                <w:b/>
                <w:bCs/>
              </w:rPr>
              <w:t>p=0.012</w:t>
            </w:r>
          </w:p>
        </w:tc>
      </w:tr>
      <w:tr w:rsidR="00820812" w:rsidRPr="00D4296D" w:rsidTr="0038286B">
        <w:trPr>
          <w:trHeight w:val="153"/>
        </w:trPr>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pPr>
            <w:r w:rsidRPr="00D4296D">
              <w:t>227</w:t>
            </w:r>
          </w:p>
        </w:tc>
        <w:tc>
          <w:tcPr>
            <w:tcW w:w="560" w:type="pct"/>
            <w:vAlign w:val="center"/>
          </w:tcPr>
          <w:p w:rsidR="00820812" w:rsidRPr="00D4296D" w:rsidDel="003D7A06" w:rsidRDefault="00820812" w:rsidP="004428BA">
            <w:pPr>
              <w:pStyle w:val="Tabletext"/>
              <w:keepNext/>
              <w:keepLines/>
              <w:jc w:val="center"/>
            </w:pPr>
            <w:r w:rsidRPr="00D4296D">
              <w:t>W8</w:t>
            </w:r>
          </w:p>
        </w:tc>
        <w:tc>
          <w:tcPr>
            <w:tcW w:w="646" w:type="pct"/>
            <w:vAlign w:val="center"/>
          </w:tcPr>
          <w:p w:rsidR="00820812" w:rsidRPr="00D4296D" w:rsidRDefault="00820812" w:rsidP="004428BA">
            <w:pPr>
              <w:pStyle w:val="Tabletext"/>
              <w:keepNext/>
              <w:keepLines/>
              <w:jc w:val="center"/>
            </w:pPr>
            <w:r w:rsidRPr="00D4296D">
              <w:t>0.9 (1.04)</w:t>
            </w:r>
          </w:p>
        </w:tc>
        <w:tc>
          <w:tcPr>
            <w:tcW w:w="564" w:type="pct"/>
            <w:vAlign w:val="center"/>
          </w:tcPr>
          <w:p w:rsidR="00820812" w:rsidRPr="00D4296D" w:rsidRDefault="00820812" w:rsidP="004428BA">
            <w:pPr>
              <w:pStyle w:val="Tabletext"/>
              <w:keepNext/>
              <w:keepLines/>
              <w:jc w:val="center"/>
            </w:pPr>
            <w:r w:rsidRPr="00D4296D">
              <w:t>228</w:t>
            </w:r>
          </w:p>
        </w:tc>
        <w:tc>
          <w:tcPr>
            <w:tcW w:w="450" w:type="pct"/>
            <w:vAlign w:val="center"/>
          </w:tcPr>
          <w:p w:rsidR="00820812" w:rsidRPr="00D4296D" w:rsidRDefault="00820812" w:rsidP="004428BA">
            <w:pPr>
              <w:pStyle w:val="Tabletext"/>
              <w:keepNext/>
              <w:keepLines/>
              <w:jc w:val="center"/>
            </w:pPr>
            <w:r w:rsidRPr="00D4296D">
              <w:t>W8</w:t>
            </w:r>
          </w:p>
        </w:tc>
        <w:tc>
          <w:tcPr>
            <w:tcW w:w="585" w:type="pct"/>
            <w:vAlign w:val="center"/>
          </w:tcPr>
          <w:p w:rsidR="00820812" w:rsidRPr="00D4296D" w:rsidRDefault="00820812" w:rsidP="004428BA">
            <w:pPr>
              <w:pStyle w:val="Tabletext"/>
              <w:keepNext/>
              <w:keepLines/>
              <w:jc w:val="center"/>
              <w:rPr>
                <w:b/>
                <w:bCs/>
              </w:rPr>
            </w:pPr>
            <w:r w:rsidRPr="00D4296D">
              <w:t>0.8 (0.99)</w:t>
            </w:r>
          </w:p>
        </w:tc>
        <w:tc>
          <w:tcPr>
            <w:tcW w:w="1265" w:type="pct"/>
            <w:vAlign w:val="center"/>
          </w:tcPr>
          <w:p w:rsidR="00820812" w:rsidRPr="00D4296D" w:rsidRDefault="00820812" w:rsidP="004428BA">
            <w:pPr>
              <w:pStyle w:val="Tabletext"/>
              <w:keepNext/>
              <w:keepLines/>
              <w:jc w:val="center"/>
            </w:pPr>
            <w:r w:rsidRPr="00D4296D">
              <w:t>0.12 (</w:t>
            </w:r>
            <w:r w:rsidR="0038286B" w:rsidRPr="00D4296D">
              <w:t>-</w:t>
            </w:r>
            <w:r w:rsidRPr="00D4296D">
              <w:t>0.0</w:t>
            </w:r>
            <w:r w:rsidR="0038286B" w:rsidRPr="00D4296D">
              <w:t>7</w:t>
            </w:r>
            <w:r w:rsidRPr="00D4296D">
              <w:t>, 0.31)</w:t>
            </w:r>
          </w:p>
          <w:p w:rsidR="00820812" w:rsidRPr="00D4296D" w:rsidRDefault="00820812" w:rsidP="004428BA">
            <w:pPr>
              <w:pStyle w:val="Tabletext"/>
              <w:keepNext/>
              <w:keepLines/>
              <w:jc w:val="center"/>
              <w:rPr>
                <w:b/>
                <w:bCs/>
              </w:rPr>
            </w:pPr>
            <w:r w:rsidRPr="00D4296D">
              <w:t>p=0.12</w:t>
            </w:r>
          </w:p>
        </w:tc>
      </w:tr>
      <w:tr w:rsidR="00820812" w:rsidRPr="00D4296D" w:rsidTr="0038286B">
        <w:trPr>
          <w:trHeight w:val="117"/>
        </w:trPr>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pPr>
            <w:r w:rsidRPr="00D4296D">
              <w:t>226</w:t>
            </w:r>
          </w:p>
        </w:tc>
        <w:tc>
          <w:tcPr>
            <w:tcW w:w="560" w:type="pct"/>
            <w:vAlign w:val="center"/>
          </w:tcPr>
          <w:p w:rsidR="00820812" w:rsidRPr="00D4296D" w:rsidRDefault="00820812" w:rsidP="004428BA">
            <w:pPr>
              <w:pStyle w:val="Tabletext"/>
              <w:keepNext/>
              <w:keepLines/>
              <w:jc w:val="center"/>
            </w:pPr>
            <w:r w:rsidRPr="00D4296D">
              <w:t>W12</w:t>
            </w:r>
          </w:p>
        </w:tc>
        <w:tc>
          <w:tcPr>
            <w:tcW w:w="646" w:type="pct"/>
            <w:vAlign w:val="center"/>
          </w:tcPr>
          <w:p w:rsidR="00820812" w:rsidRPr="00D4296D" w:rsidRDefault="00820812" w:rsidP="004428BA">
            <w:pPr>
              <w:pStyle w:val="Tabletext"/>
              <w:keepNext/>
              <w:keepLines/>
              <w:jc w:val="center"/>
            </w:pPr>
            <w:r w:rsidRPr="00D4296D">
              <w:t>0.6 (1.03)</w:t>
            </w:r>
          </w:p>
        </w:tc>
        <w:tc>
          <w:tcPr>
            <w:tcW w:w="564" w:type="pct"/>
            <w:vAlign w:val="center"/>
          </w:tcPr>
          <w:p w:rsidR="00820812" w:rsidRPr="00D4296D" w:rsidRDefault="00820812" w:rsidP="004428BA">
            <w:pPr>
              <w:pStyle w:val="Tabletext"/>
              <w:keepNext/>
              <w:keepLines/>
              <w:jc w:val="center"/>
            </w:pPr>
            <w:r w:rsidRPr="00D4296D">
              <w:t>226</w:t>
            </w:r>
          </w:p>
        </w:tc>
        <w:tc>
          <w:tcPr>
            <w:tcW w:w="450" w:type="pct"/>
            <w:vAlign w:val="center"/>
          </w:tcPr>
          <w:p w:rsidR="00820812" w:rsidRPr="00D4296D" w:rsidRDefault="00820812" w:rsidP="004428BA">
            <w:pPr>
              <w:pStyle w:val="Tabletext"/>
              <w:keepNext/>
              <w:keepLines/>
              <w:jc w:val="center"/>
            </w:pPr>
            <w:r w:rsidRPr="00D4296D">
              <w:t>W12</w:t>
            </w:r>
          </w:p>
        </w:tc>
        <w:tc>
          <w:tcPr>
            <w:tcW w:w="585" w:type="pct"/>
            <w:vAlign w:val="center"/>
          </w:tcPr>
          <w:p w:rsidR="00820812" w:rsidRPr="00D4296D" w:rsidRDefault="00820812" w:rsidP="004428BA">
            <w:pPr>
              <w:pStyle w:val="Tabletext"/>
              <w:keepNext/>
              <w:keepLines/>
              <w:jc w:val="center"/>
            </w:pPr>
            <w:r w:rsidRPr="00D4296D">
              <w:t>0.6 (0.96)</w:t>
            </w:r>
          </w:p>
        </w:tc>
        <w:tc>
          <w:tcPr>
            <w:tcW w:w="1265" w:type="pct"/>
            <w:vAlign w:val="center"/>
          </w:tcPr>
          <w:p w:rsidR="00820812" w:rsidRPr="00D4296D" w:rsidRDefault="00820812" w:rsidP="004428BA">
            <w:pPr>
              <w:pStyle w:val="Tabletext"/>
              <w:keepNext/>
              <w:keepLines/>
              <w:jc w:val="center"/>
            </w:pPr>
            <w:r w:rsidRPr="00D4296D">
              <w:t>0.00 (-0.18, 0.18)</w:t>
            </w:r>
          </w:p>
          <w:p w:rsidR="00820812" w:rsidRPr="00D4296D" w:rsidRDefault="00820812" w:rsidP="004428BA">
            <w:pPr>
              <w:pStyle w:val="Tabletext"/>
              <w:keepNext/>
              <w:keepLines/>
              <w:jc w:val="center"/>
            </w:pPr>
            <w:r w:rsidRPr="00D4296D">
              <w:t>p=0.594</w:t>
            </w:r>
          </w:p>
        </w:tc>
      </w:tr>
      <w:tr w:rsidR="00820812" w:rsidRPr="00D4296D" w:rsidTr="0038286B">
        <w:trPr>
          <w:trHeight w:val="67"/>
        </w:trPr>
        <w:tc>
          <w:tcPr>
            <w:tcW w:w="498" w:type="pct"/>
            <w:vMerge w:val="restart"/>
            <w:vAlign w:val="center"/>
          </w:tcPr>
          <w:p w:rsidR="00820812" w:rsidRPr="00D4296D" w:rsidRDefault="00820812" w:rsidP="004428BA">
            <w:pPr>
              <w:pStyle w:val="Tabletext"/>
              <w:keepNext/>
              <w:keepLines/>
              <w:jc w:val="both"/>
              <w:rPr>
                <w:b/>
                <w:bCs/>
              </w:rPr>
            </w:pPr>
            <w:r w:rsidRPr="00D4296D">
              <w:rPr>
                <w:b/>
                <w:bCs/>
              </w:rPr>
              <w:t>Trial 512</w:t>
            </w:r>
          </w:p>
        </w:tc>
        <w:tc>
          <w:tcPr>
            <w:tcW w:w="432" w:type="pct"/>
            <w:vAlign w:val="center"/>
          </w:tcPr>
          <w:p w:rsidR="00820812" w:rsidRPr="00D4296D" w:rsidRDefault="00820812" w:rsidP="004428BA">
            <w:pPr>
              <w:pStyle w:val="Tabletext"/>
              <w:keepNext/>
              <w:keepLines/>
              <w:jc w:val="center"/>
            </w:pPr>
            <w:r w:rsidRPr="00D4296D">
              <w:t>56</w:t>
            </w:r>
          </w:p>
        </w:tc>
        <w:tc>
          <w:tcPr>
            <w:tcW w:w="560" w:type="pct"/>
            <w:vAlign w:val="center"/>
          </w:tcPr>
          <w:p w:rsidR="00820812" w:rsidRPr="00D4296D" w:rsidRDefault="00820812" w:rsidP="004428BA">
            <w:pPr>
              <w:pStyle w:val="Tabletext"/>
              <w:keepNext/>
              <w:keepLines/>
              <w:jc w:val="center"/>
            </w:pPr>
            <w:r w:rsidRPr="00D4296D">
              <w:t>W4</w:t>
            </w:r>
          </w:p>
        </w:tc>
        <w:tc>
          <w:tcPr>
            <w:tcW w:w="646" w:type="pct"/>
            <w:vAlign w:val="center"/>
          </w:tcPr>
          <w:p w:rsidR="00820812" w:rsidRPr="00D4296D" w:rsidRDefault="00820812" w:rsidP="004428BA">
            <w:pPr>
              <w:pStyle w:val="Tabletext"/>
              <w:keepNext/>
              <w:keepLines/>
              <w:jc w:val="center"/>
            </w:pPr>
            <w:r w:rsidRPr="00D4296D">
              <w:t>1.09 (1.25)</w:t>
            </w:r>
          </w:p>
        </w:tc>
        <w:tc>
          <w:tcPr>
            <w:tcW w:w="564" w:type="pct"/>
            <w:vAlign w:val="center"/>
          </w:tcPr>
          <w:p w:rsidR="00820812" w:rsidRPr="00D4296D" w:rsidRDefault="00820812" w:rsidP="004428BA">
            <w:pPr>
              <w:pStyle w:val="Tabletext"/>
              <w:keepNext/>
              <w:keepLines/>
              <w:jc w:val="center"/>
            </w:pPr>
            <w:r w:rsidRPr="00D4296D">
              <w:t>61</w:t>
            </w:r>
          </w:p>
        </w:tc>
        <w:tc>
          <w:tcPr>
            <w:tcW w:w="450" w:type="pct"/>
            <w:vAlign w:val="center"/>
          </w:tcPr>
          <w:p w:rsidR="00820812" w:rsidRPr="00D4296D" w:rsidRDefault="00820812" w:rsidP="004428BA">
            <w:pPr>
              <w:pStyle w:val="Tabletext"/>
              <w:keepNext/>
              <w:keepLines/>
              <w:jc w:val="center"/>
            </w:pPr>
            <w:r w:rsidRPr="00D4296D">
              <w:t>W4</w:t>
            </w:r>
          </w:p>
        </w:tc>
        <w:tc>
          <w:tcPr>
            <w:tcW w:w="585" w:type="pct"/>
            <w:vAlign w:val="center"/>
          </w:tcPr>
          <w:p w:rsidR="00820812" w:rsidRPr="00D4296D" w:rsidRDefault="00820812" w:rsidP="004428BA">
            <w:pPr>
              <w:pStyle w:val="Tabletext"/>
              <w:keepNext/>
              <w:keepLines/>
              <w:jc w:val="center"/>
              <w:rPr>
                <w:b/>
                <w:bCs/>
              </w:rPr>
            </w:pPr>
            <w:r w:rsidRPr="00D4296D">
              <w:t>0.64 (1.07)</w:t>
            </w:r>
          </w:p>
        </w:tc>
        <w:tc>
          <w:tcPr>
            <w:tcW w:w="1265" w:type="pct"/>
            <w:vAlign w:val="center"/>
          </w:tcPr>
          <w:p w:rsidR="00820812" w:rsidRPr="00D4296D" w:rsidRDefault="00820812" w:rsidP="004428BA">
            <w:pPr>
              <w:pStyle w:val="Tabletext"/>
              <w:keepNext/>
              <w:keepLines/>
              <w:jc w:val="center"/>
            </w:pPr>
            <w:r w:rsidRPr="00D4296D">
              <w:rPr>
                <w:b/>
                <w:bCs/>
              </w:rPr>
              <w:t>0.45 (NR), p=0.048</w:t>
            </w:r>
          </w:p>
        </w:tc>
      </w:tr>
      <w:tr w:rsidR="00820812" w:rsidRPr="00D4296D" w:rsidTr="0038286B">
        <w:trPr>
          <w:trHeight w:val="113"/>
        </w:trPr>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pPr>
            <w:r w:rsidRPr="00D4296D">
              <w:t>56</w:t>
            </w:r>
          </w:p>
        </w:tc>
        <w:tc>
          <w:tcPr>
            <w:tcW w:w="560" w:type="pct"/>
            <w:vAlign w:val="center"/>
          </w:tcPr>
          <w:p w:rsidR="00820812" w:rsidRPr="00D4296D" w:rsidRDefault="00820812" w:rsidP="004428BA">
            <w:pPr>
              <w:pStyle w:val="Tabletext"/>
              <w:keepNext/>
              <w:keepLines/>
              <w:jc w:val="center"/>
            </w:pPr>
            <w:r w:rsidRPr="00D4296D">
              <w:t>W6</w:t>
            </w:r>
          </w:p>
        </w:tc>
        <w:tc>
          <w:tcPr>
            <w:tcW w:w="646" w:type="pct"/>
            <w:vAlign w:val="center"/>
          </w:tcPr>
          <w:p w:rsidR="00820812" w:rsidRPr="00D4296D" w:rsidRDefault="00820812" w:rsidP="004428BA">
            <w:pPr>
              <w:pStyle w:val="Tabletext"/>
              <w:keepNext/>
              <w:keepLines/>
              <w:jc w:val="center"/>
            </w:pPr>
            <w:r w:rsidRPr="00D4296D">
              <w:t>1.21 (1.56)</w:t>
            </w:r>
          </w:p>
        </w:tc>
        <w:tc>
          <w:tcPr>
            <w:tcW w:w="564" w:type="pct"/>
            <w:vAlign w:val="center"/>
          </w:tcPr>
          <w:p w:rsidR="00820812" w:rsidRPr="00D4296D" w:rsidRDefault="00820812" w:rsidP="004428BA">
            <w:pPr>
              <w:pStyle w:val="Tabletext"/>
              <w:keepNext/>
              <w:keepLines/>
              <w:jc w:val="center"/>
            </w:pPr>
            <w:r w:rsidRPr="00D4296D">
              <w:t>61</w:t>
            </w:r>
          </w:p>
        </w:tc>
        <w:tc>
          <w:tcPr>
            <w:tcW w:w="450" w:type="pct"/>
            <w:vAlign w:val="center"/>
          </w:tcPr>
          <w:p w:rsidR="00820812" w:rsidRPr="00D4296D" w:rsidRDefault="00820812" w:rsidP="004428BA">
            <w:pPr>
              <w:pStyle w:val="Tabletext"/>
              <w:keepNext/>
              <w:keepLines/>
              <w:jc w:val="center"/>
            </w:pPr>
            <w:r w:rsidRPr="00D4296D">
              <w:t>W6</w:t>
            </w:r>
          </w:p>
        </w:tc>
        <w:tc>
          <w:tcPr>
            <w:tcW w:w="585" w:type="pct"/>
            <w:vAlign w:val="center"/>
          </w:tcPr>
          <w:p w:rsidR="00820812" w:rsidRPr="00D4296D" w:rsidRDefault="00820812" w:rsidP="004428BA">
            <w:pPr>
              <w:pStyle w:val="Tabletext"/>
              <w:keepNext/>
              <w:keepLines/>
              <w:jc w:val="center"/>
            </w:pPr>
            <w:r w:rsidRPr="00D4296D">
              <w:t>0.66 (1.18)</w:t>
            </w:r>
          </w:p>
        </w:tc>
        <w:tc>
          <w:tcPr>
            <w:tcW w:w="1265" w:type="pct"/>
            <w:vAlign w:val="center"/>
          </w:tcPr>
          <w:p w:rsidR="00820812" w:rsidRPr="00D4296D" w:rsidRDefault="00820812" w:rsidP="004428BA">
            <w:pPr>
              <w:pStyle w:val="Tabletext"/>
              <w:keepNext/>
              <w:keepLines/>
              <w:jc w:val="center"/>
              <w:rPr>
                <w:b/>
                <w:bCs/>
              </w:rPr>
            </w:pPr>
            <w:r w:rsidRPr="00D4296D">
              <w:rPr>
                <w:b/>
                <w:bCs/>
              </w:rPr>
              <w:t>0.56 (NR), p=0.042</w:t>
            </w:r>
          </w:p>
        </w:tc>
      </w:tr>
      <w:tr w:rsidR="00820812" w:rsidRPr="00D4296D" w:rsidTr="0038286B">
        <w:trPr>
          <w:trHeight w:val="50"/>
        </w:trPr>
        <w:tc>
          <w:tcPr>
            <w:tcW w:w="498" w:type="pct"/>
            <w:vMerge/>
            <w:vAlign w:val="center"/>
          </w:tcPr>
          <w:p w:rsidR="00820812" w:rsidRPr="00D4296D" w:rsidRDefault="00820812" w:rsidP="004428BA">
            <w:pPr>
              <w:pStyle w:val="Tabletext"/>
              <w:keepNext/>
              <w:keepLines/>
              <w:jc w:val="both"/>
              <w:rPr>
                <w:b/>
                <w:bCs/>
              </w:rPr>
            </w:pPr>
          </w:p>
        </w:tc>
        <w:tc>
          <w:tcPr>
            <w:tcW w:w="432" w:type="pct"/>
            <w:vAlign w:val="center"/>
          </w:tcPr>
          <w:p w:rsidR="00820812" w:rsidRPr="00D4296D" w:rsidRDefault="00820812" w:rsidP="004428BA">
            <w:pPr>
              <w:pStyle w:val="Tabletext"/>
              <w:keepNext/>
              <w:keepLines/>
              <w:jc w:val="center"/>
            </w:pPr>
            <w:r w:rsidRPr="00D4296D">
              <w:t>54</w:t>
            </w:r>
          </w:p>
        </w:tc>
        <w:tc>
          <w:tcPr>
            <w:tcW w:w="560" w:type="pct"/>
            <w:vAlign w:val="center"/>
          </w:tcPr>
          <w:p w:rsidR="00820812" w:rsidRPr="00D4296D" w:rsidRDefault="00820812" w:rsidP="004428BA">
            <w:pPr>
              <w:pStyle w:val="Tabletext"/>
              <w:keepNext/>
              <w:keepLines/>
              <w:jc w:val="center"/>
            </w:pPr>
            <w:r w:rsidRPr="00D4296D">
              <w:t>W8</w:t>
            </w:r>
          </w:p>
        </w:tc>
        <w:tc>
          <w:tcPr>
            <w:tcW w:w="646" w:type="pct"/>
            <w:vAlign w:val="center"/>
          </w:tcPr>
          <w:p w:rsidR="00820812" w:rsidRPr="00D4296D" w:rsidRDefault="00820812" w:rsidP="004428BA">
            <w:pPr>
              <w:pStyle w:val="Tabletext"/>
              <w:keepNext/>
              <w:keepLines/>
              <w:jc w:val="center"/>
            </w:pPr>
            <w:r w:rsidRPr="00D4296D">
              <w:t>1.13 (1.32)</w:t>
            </w:r>
          </w:p>
        </w:tc>
        <w:tc>
          <w:tcPr>
            <w:tcW w:w="564" w:type="pct"/>
            <w:vAlign w:val="center"/>
          </w:tcPr>
          <w:p w:rsidR="00820812" w:rsidRPr="00D4296D" w:rsidRDefault="00820812" w:rsidP="004428BA">
            <w:pPr>
              <w:pStyle w:val="Tabletext"/>
              <w:keepNext/>
              <w:keepLines/>
              <w:jc w:val="center"/>
            </w:pPr>
            <w:r w:rsidRPr="00D4296D">
              <w:t>61</w:t>
            </w:r>
          </w:p>
        </w:tc>
        <w:tc>
          <w:tcPr>
            <w:tcW w:w="450" w:type="pct"/>
            <w:vAlign w:val="center"/>
          </w:tcPr>
          <w:p w:rsidR="00820812" w:rsidRPr="00D4296D" w:rsidRDefault="00820812" w:rsidP="004428BA">
            <w:pPr>
              <w:pStyle w:val="Tabletext"/>
              <w:keepNext/>
              <w:keepLines/>
              <w:jc w:val="center"/>
              <w:rPr>
                <w:iCs/>
              </w:rPr>
            </w:pPr>
            <w:r w:rsidRPr="00D4296D">
              <w:t>W8</w:t>
            </w:r>
          </w:p>
        </w:tc>
        <w:tc>
          <w:tcPr>
            <w:tcW w:w="585" w:type="pct"/>
            <w:vAlign w:val="center"/>
          </w:tcPr>
          <w:p w:rsidR="00820812" w:rsidRPr="00D4296D" w:rsidRDefault="00820812" w:rsidP="004428BA">
            <w:pPr>
              <w:pStyle w:val="Tabletext"/>
              <w:keepNext/>
              <w:keepLines/>
              <w:jc w:val="center"/>
              <w:rPr>
                <w:b/>
                <w:bCs/>
                <w:iCs/>
              </w:rPr>
            </w:pPr>
            <w:r w:rsidRPr="00D4296D">
              <w:rPr>
                <w:iCs/>
              </w:rPr>
              <w:t>0.59 (1.23)</w:t>
            </w:r>
          </w:p>
        </w:tc>
        <w:tc>
          <w:tcPr>
            <w:tcW w:w="1265" w:type="pct"/>
            <w:vAlign w:val="center"/>
          </w:tcPr>
          <w:p w:rsidR="00820812" w:rsidRPr="00D4296D" w:rsidRDefault="00820812" w:rsidP="004428BA">
            <w:pPr>
              <w:pStyle w:val="Tabletext"/>
              <w:keepNext/>
              <w:keepLines/>
              <w:jc w:val="center"/>
              <w:rPr>
                <w:b/>
                <w:bCs/>
                <w:iCs/>
              </w:rPr>
            </w:pPr>
            <w:r w:rsidRPr="00D4296D">
              <w:rPr>
                <w:b/>
                <w:bCs/>
                <w:iCs/>
              </w:rPr>
              <w:t>0.54</w:t>
            </w:r>
            <w:r w:rsidRPr="00D4296D">
              <w:rPr>
                <w:b/>
                <w:bCs/>
                <w:iCs/>
                <w:vertAlign w:val="superscript"/>
              </w:rPr>
              <w:t>b</w:t>
            </w:r>
            <w:r w:rsidRPr="00D4296D">
              <w:rPr>
                <w:b/>
                <w:bCs/>
                <w:iCs/>
              </w:rPr>
              <w:t xml:space="preserve"> (NR), p=0.016</w:t>
            </w:r>
          </w:p>
        </w:tc>
      </w:tr>
    </w:tbl>
    <w:p w:rsidR="00695AB3" w:rsidRPr="00D4296D" w:rsidRDefault="00695AB3" w:rsidP="004428BA">
      <w:pPr>
        <w:pStyle w:val="TableFooter"/>
        <w:widowControl/>
      </w:pPr>
      <w:r w:rsidRPr="00D4296D">
        <w:t>Note: scores indicate change from the patient’s baseline status, from −4 (very marked worsening) to 4 (very marked improvement).</w:t>
      </w:r>
    </w:p>
    <w:p w:rsidR="002B5770" w:rsidRPr="00D4296D" w:rsidRDefault="002B5770" w:rsidP="004428BA">
      <w:pPr>
        <w:pStyle w:val="TableFooter"/>
        <w:keepNext/>
        <w:keepLines/>
        <w:widowControl/>
      </w:pPr>
      <w:r w:rsidRPr="00D4296D">
        <w:t xml:space="preserve">Abbreviations: CI = confidence interval; </w:t>
      </w:r>
      <w:r w:rsidR="005834ED" w:rsidRPr="00D4296D">
        <w:t xml:space="preserve">NR= not reported; </w:t>
      </w:r>
      <w:r w:rsidRPr="00D4296D">
        <w:t>SD = standard deviation</w:t>
      </w:r>
    </w:p>
    <w:p w:rsidR="002B5770" w:rsidRPr="00D4296D" w:rsidRDefault="002B5770" w:rsidP="004428BA">
      <w:pPr>
        <w:pStyle w:val="TableFooter"/>
        <w:keepNext/>
        <w:keepLines/>
        <w:widowControl/>
        <w:ind w:left="165" w:hanging="165"/>
      </w:pPr>
      <w:proofErr w:type="gramStart"/>
      <w:r w:rsidRPr="00D4296D">
        <w:rPr>
          <w:vertAlign w:val="superscript"/>
        </w:rPr>
        <w:t>a</w:t>
      </w:r>
      <w:proofErr w:type="gramEnd"/>
      <w:r w:rsidRPr="00D4296D">
        <w:rPr>
          <w:vertAlign w:val="superscript"/>
        </w:rPr>
        <w:tab/>
      </w:r>
      <w:r w:rsidRPr="00D4296D">
        <w:t>Missing values at either week 4 or week 6 were replaced by the non</w:t>
      </w:r>
      <w:r w:rsidR="00F85A27">
        <w:t>-</w:t>
      </w:r>
      <w:r w:rsidRPr="00D4296D">
        <w:t>missing value. The change rate imputation method was used to impute missing values if both weeks 4 and 6 data were missing.</w:t>
      </w:r>
    </w:p>
    <w:p w:rsidR="002B5770" w:rsidRPr="00D4296D" w:rsidRDefault="002B5770" w:rsidP="001F1E01">
      <w:pPr>
        <w:pStyle w:val="TableFooter"/>
        <w:keepNext/>
        <w:keepLines/>
        <w:widowControl/>
      </w:pPr>
      <w:proofErr w:type="gramStart"/>
      <w:r w:rsidRPr="00D4296D">
        <w:rPr>
          <w:vertAlign w:val="superscript"/>
        </w:rPr>
        <w:t>b</w:t>
      </w:r>
      <w:proofErr w:type="gramEnd"/>
      <w:r w:rsidRPr="00D4296D">
        <w:rPr>
          <w:vertAlign w:val="superscript"/>
        </w:rPr>
        <w:tab/>
      </w:r>
      <w:r w:rsidRPr="00D4296D">
        <w:t xml:space="preserve">The submission had reported 0.12, </w:t>
      </w:r>
      <w:r w:rsidR="001F1E01">
        <w:t>and was corrected with data from the CSR</w:t>
      </w:r>
      <w:r w:rsidRPr="00D4296D">
        <w:t>.</w:t>
      </w:r>
    </w:p>
    <w:p w:rsidR="002B5770" w:rsidRPr="00D4296D" w:rsidRDefault="002B5770" w:rsidP="004428BA">
      <w:pPr>
        <w:pStyle w:val="TableFooter"/>
        <w:widowControl/>
        <w:rPr>
          <w:iCs/>
        </w:rPr>
      </w:pPr>
      <w:r w:rsidRPr="00D4296D">
        <w:rPr>
          <w:iCs/>
        </w:rPr>
        <w:t>^</w:t>
      </w:r>
      <w:r w:rsidRPr="00D4296D">
        <w:rPr>
          <w:iCs/>
        </w:rPr>
        <w:tab/>
        <w:t>estimated during the evaluation using Review Manager 5.3</w:t>
      </w:r>
    </w:p>
    <w:p w:rsidR="002B5770" w:rsidRDefault="002B5770" w:rsidP="004428BA">
      <w:pPr>
        <w:pStyle w:val="TableFooter"/>
        <w:keepNext/>
        <w:keepLines/>
        <w:widowControl/>
      </w:pPr>
      <w:r w:rsidRPr="001A57E6">
        <w:t>Source: Table 2.5-9, 2.5-10, pp 116 and 117 of the submission, CSR Trial 512 (Table 15, p76)</w:t>
      </w:r>
    </w:p>
    <w:p w:rsidR="002B5770" w:rsidRPr="001A57E6" w:rsidRDefault="002B5770" w:rsidP="004428BA">
      <w:pPr>
        <w:pStyle w:val="TableFooter"/>
        <w:widowControl/>
      </w:pPr>
    </w:p>
    <w:p w:rsidR="002B5770" w:rsidRPr="001A57E6" w:rsidRDefault="002B5770" w:rsidP="00BB76A8">
      <w:pPr>
        <w:pStyle w:val="ListParagraph"/>
      </w:pPr>
      <w:r w:rsidRPr="00562431">
        <w:rPr>
          <w:snapToGrid/>
          <w:lang w:eastAsia="en-AU"/>
        </w:rPr>
        <w:lastRenderedPageBreak/>
        <w:t>In</w:t>
      </w:r>
      <w:r w:rsidRPr="001A57E6">
        <w:t xml:space="preserve"> REFLEX, patients in the </w:t>
      </w:r>
      <w:r w:rsidR="00EE500E">
        <w:t>BOTOX®</w:t>
      </w:r>
      <w:r w:rsidRPr="001A57E6">
        <w:t xml:space="preserve"> group experienced a significant improvement on the CGI scale compared with those receiving placebo at Weeks 2</w:t>
      </w:r>
      <w:r w:rsidR="00B73719">
        <w:t xml:space="preserve"> and </w:t>
      </w:r>
      <w:r w:rsidRPr="001A57E6">
        <w:t>4</w:t>
      </w:r>
      <w:r w:rsidR="00B73719">
        <w:t>/6</w:t>
      </w:r>
      <w:r w:rsidRPr="001A57E6">
        <w:t>, but the difference between treatment groups was no longer significant at Week 8.</w:t>
      </w:r>
      <w:r w:rsidR="004A5FEC">
        <w:t xml:space="preserve"> </w:t>
      </w:r>
      <w:r w:rsidRPr="001A57E6">
        <w:t xml:space="preserve">Statistically significant treatment differences favouring </w:t>
      </w:r>
      <w:r w:rsidR="00EE500E">
        <w:t>BOTOX®</w:t>
      </w:r>
      <w:r w:rsidRPr="001A57E6">
        <w:t xml:space="preserve"> were found in Trial 512 at Week 4, 6, and 8.</w:t>
      </w:r>
    </w:p>
    <w:p w:rsidR="002B5770" w:rsidRPr="000B675D" w:rsidRDefault="002B5770" w:rsidP="004428BA">
      <w:pPr>
        <w:pStyle w:val="Heading4"/>
        <w:widowControl/>
        <w:spacing w:before="0" w:after="120"/>
        <w:rPr>
          <w:szCs w:val="26"/>
        </w:rPr>
      </w:pPr>
      <w:r w:rsidRPr="000B675D">
        <w:rPr>
          <w:szCs w:val="26"/>
        </w:rPr>
        <w:t>Goal Attainment Scale (GAS) - physician and patient</w:t>
      </w:r>
    </w:p>
    <w:p w:rsidR="002B5770" w:rsidRPr="001A57E6" w:rsidRDefault="002B5770" w:rsidP="00BB76A8">
      <w:pPr>
        <w:pStyle w:val="ListParagraph"/>
      </w:pPr>
      <w:r w:rsidRPr="001A57E6">
        <w:t xml:space="preserve">Results of the Goal Attainment Scale (GAS) in the REFLEX trial </w:t>
      </w:r>
      <w:r w:rsidR="0096333D">
        <w:t xml:space="preserve">were reported by patient and by physician. </w:t>
      </w:r>
      <w:r w:rsidRPr="001A57E6">
        <w:t>The GAS was used as a measure of functional improvement. Scores ranged from −3 (worse than start) to +2 (much more than expected, improvements clearly exceeded the defined therapeutic goal), based on a 6-point scale.</w:t>
      </w:r>
      <w:r w:rsidR="004A5FEC">
        <w:t xml:space="preserve"> </w:t>
      </w:r>
      <w:r w:rsidRPr="001A57E6">
        <w:t>Physicians and patients selected active and passive goals prior to treatment and assessed response following treatment.</w:t>
      </w:r>
      <w:r w:rsidR="004A5FEC">
        <w:t xml:space="preserve"> </w:t>
      </w:r>
    </w:p>
    <w:p w:rsidR="002B5770" w:rsidRPr="001A57E6" w:rsidRDefault="002B5770" w:rsidP="00BB76A8">
      <w:pPr>
        <w:pStyle w:val="ListParagraph"/>
      </w:pPr>
      <w:r w:rsidRPr="001A57E6">
        <w:t xml:space="preserve">At Week 8, </w:t>
      </w:r>
      <w:r w:rsidR="00734934">
        <w:t>a</w:t>
      </w:r>
      <w:r w:rsidR="00734934" w:rsidRPr="001A57E6">
        <w:t xml:space="preserve"> </w:t>
      </w:r>
      <w:r w:rsidRPr="001A57E6">
        <w:t xml:space="preserve">significantly greater proportion of </w:t>
      </w:r>
      <w:r w:rsidR="00EE500E">
        <w:t>BOTOX®</w:t>
      </w:r>
      <w:r w:rsidRPr="001A57E6">
        <w:t>-treated patients experienced goal improvement of at least 1 point (score ≥</w:t>
      </w:r>
      <w:r w:rsidR="00B96DFD">
        <w:t xml:space="preserve"> </w:t>
      </w:r>
      <w:r w:rsidRPr="001A57E6">
        <w:t>1) on the GAS based on physician assessment for active and passive goals and patient assessment for active goals compared with placebo-treated patients</w:t>
      </w:r>
      <w:r w:rsidR="00734934">
        <w:t>. However</w:t>
      </w:r>
      <w:r w:rsidRPr="001A57E6">
        <w:t xml:space="preserve">, there were no significant differences between </w:t>
      </w:r>
      <w:r w:rsidR="00EE500E">
        <w:t>BOTOX®</w:t>
      </w:r>
      <w:r w:rsidRPr="001A57E6">
        <w:t xml:space="preserve"> and placebo treated patients with respect to goal attainment</w:t>
      </w:r>
      <w:r w:rsidR="00B96DFD">
        <w:t xml:space="preserve"> at W</w:t>
      </w:r>
      <w:r w:rsidR="008E2B06">
        <w:t>eek 8</w:t>
      </w:r>
      <w:r w:rsidR="0096333D">
        <w:t>.</w:t>
      </w:r>
    </w:p>
    <w:p w:rsidR="002B5770" w:rsidRPr="003D4516" w:rsidRDefault="002B5770" w:rsidP="00BB76A8">
      <w:pPr>
        <w:pStyle w:val="ListParagraph"/>
        <w:rPr>
          <w:b/>
          <w:bCs/>
          <w:iCs/>
          <w:sz w:val="26"/>
          <w:szCs w:val="26"/>
        </w:rPr>
      </w:pPr>
      <w:r w:rsidRPr="003D4516">
        <w:t xml:space="preserve">At Week 12, the proportions of patients who achieved their passive goals (GAS ≥ 0) was significantly higher in the </w:t>
      </w:r>
      <w:r w:rsidR="00EE500E">
        <w:t>BOTOX®</w:t>
      </w:r>
      <w:r w:rsidRPr="003D4516">
        <w:t xml:space="preserve"> group than pla</w:t>
      </w:r>
      <w:r w:rsidR="00085F39">
        <w:t>cebo (40.4% v</w:t>
      </w:r>
      <w:r w:rsidR="00B96DFD">
        <w:t>ersu</w:t>
      </w:r>
      <w:r w:rsidR="00085F39">
        <w:t>s 30.6%, p = </w:t>
      </w:r>
      <w:r w:rsidRPr="003D4516">
        <w:t>0.033), as assessed by physician.</w:t>
      </w:r>
      <w:r w:rsidR="004A5FEC">
        <w:t xml:space="preserve"> </w:t>
      </w:r>
      <w:r w:rsidRPr="003D4516">
        <w:t>Over the course of the OL phase, both physician- and patient-assessed GAS for active and passive goals generally improved (</w:t>
      </w:r>
      <w:r w:rsidRPr="003D4516">
        <w:sym w:font="Symbol" w:char="F0BB"/>
      </w:r>
      <w:r w:rsidRPr="003D4516">
        <w:t>75-90% for both physician and patient assessed active and passive goals from Week 6 post OL treatment 1 to Week 12 post OL treatment 3</w:t>
      </w:r>
      <w:r w:rsidRPr="003D4516">
        <w:rPr>
          <w:rStyle w:val="FootnoteReference"/>
        </w:rPr>
        <w:footnoteReference w:id="2"/>
      </w:r>
      <w:r w:rsidRPr="003D4516">
        <w:t>).</w:t>
      </w:r>
    </w:p>
    <w:p w:rsidR="00A33E8D" w:rsidRPr="001A57E6" w:rsidRDefault="00A33E8D" w:rsidP="00BB76A8">
      <w:pPr>
        <w:pStyle w:val="ListParagraph"/>
        <w:rPr>
          <w:b/>
          <w:bCs/>
          <w:sz w:val="26"/>
          <w:szCs w:val="26"/>
        </w:rPr>
      </w:pPr>
      <w:r w:rsidRPr="001A57E6">
        <w:t>The primary efficacy variable in BEST was the attainment of the principal active functional goal as assessed by the physician at 10 weeks post-second injection (or Week 24 if no second injection was given).</w:t>
      </w:r>
      <w:r w:rsidR="004A5FEC">
        <w:t xml:space="preserve"> </w:t>
      </w:r>
      <w:r w:rsidRPr="001A57E6">
        <w:t xml:space="preserve">No significant differences between </w:t>
      </w:r>
      <w:r w:rsidR="00EE500E">
        <w:t>BOTOX®</w:t>
      </w:r>
      <w:r w:rsidRPr="001A57E6">
        <w:t xml:space="preserve"> and placebo were found for this outcome (odds ratio</w:t>
      </w:r>
      <w:r w:rsidR="00B96DFD">
        <w:t xml:space="preserve"> =</w:t>
      </w:r>
      <w:r w:rsidRPr="001A57E6">
        <w:t xml:space="preserve"> </w:t>
      </w:r>
      <w:r w:rsidRPr="001A57E6">
        <w:rPr>
          <w:rFonts w:cstheme="minorHAnsi"/>
        </w:rPr>
        <w:t>1.20, 95% C</w:t>
      </w:r>
      <w:proofErr w:type="gramStart"/>
      <w:r w:rsidR="00B96DFD">
        <w:rPr>
          <w:rFonts w:cstheme="minorHAnsi"/>
        </w:rPr>
        <w:t>:</w:t>
      </w:r>
      <w:r w:rsidRPr="001A57E6">
        <w:rPr>
          <w:rFonts w:cstheme="minorHAnsi"/>
        </w:rPr>
        <w:t>I</w:t>
      </w:r>
      <w:proofErr w:type="gramEnd"/>
      <w:r w:rsidRPr="001A57E6">
        <w:rPr>
          <w:rFonts w:cstheme="minorHAnsi"/>
        </w:rPr>
        <w:t xml:space="preserve"> 0.70</w:t>
      </w:r>
      <w:r w:rsidR="00B96DFD">
        <w:rPr>
          <w:rFonts w:cstheme="minorHAnsi"/>
        </w:rPr>
        <w:t xml:space="preserve">, </w:t>
      </w:r>
      <w:r w:rsidRPr="001A57E6">
        <w:rPr>
          <w:rFonts w:cstheme="minorHAnsi"/>
        </w:rPr>
        <w:t>2.06, p=0.511</w:t>
      </w:r>
      <w:r w:rsidRPr="001A57E6">
        <w:t>).</w:t>
      </w:r>
      <w:r w:rsidR="004A5FEC">
        <w:t xml:space="preserve"> </w:t>
      </w:r>
    </w:p>
    <w:p w:rsidR="00822B08" w:rsidRPr="000B675D" w:rsidRDefault="00822B08" w:rsidP="004428BA">
      <w:pPr>
        <w:pStyle w:val="Heading4"/>
        <w:widowControl/>
        <w:spacing w:before="0" w:after="120"/>
        <w:rPr>
          <w:szCs w:val="26"/>
        </w:rPr>
      </w:pPr>
      <w:proofErr w:type="spellStart"/>
      <w:r w:rsidRPr="000B675D">
        <w:rPr>
          <w:szCs w:val="26"/>
        </w:rPr>
        <w:t>HRQoL</w:t>
      </w:r>
      <w:proofErr w:type="spellEnd"/>
    </w:p>
    <w:p w:rsidR="00822B08" w:rsidRPr="001A57E6" w:rsidRDefault="00822B08" w:rsidP="00BB76A8">
      <w:pPr>
        <w:pStyle w:val="ListParagraph"/>
      </w:pPr>
      <w:proofErr w:type="spellStart"/>
      <w:r w:rsidRPr="001A57E6">
        <w:t>HRQoL</w:t>
      </w:r>
      <w:proofErr w:type="spellEnd"/>
      <w:r w:rsidRPr="001A57E6">
        <w:t xml:space="preserve"> results (EQ5D-3L and SF36) from the REFLEX trial </w:t>
      </w:r>
      <w:r w:rsidR="0038286B">
        <w:t>demonstrated o</w:t>
      </w:r>
      <w:r w:rsidRPr="001A57E6">
        <w:t xml:space="preserve">nly minimal changes from baseline to Week 6 across all </w:t>
      </w:r>
      <w:proofErr w:type="spellStart"/>
      <w:r w:rsidRPr="001A57E6">
        <w:t>HRQoL</w:t>
      </w:r>
      <w:proofErr w:type="spellEnd"/>
      <w:r w:rsidRPr="001A57E6">
        <w:t xml:space="preserve"> domains and instruments and no significant differences between treatment groups.</w:t>
      </w:r>
      <w:r w:rsidR="004A5FEC">
        <w:t xml:space="preserve"> </w:t>
      </w:r>
      <w:r w:rsidRPr="001A57E6">
        <w:t>EQ-5D-3L individual patient data (IPD) at Week 6, stratified by MAS response were applied to derive the health state utilities for the modelled economic</w:t>
      </w:r>
      <w:r w:rsidR="0038286B">
        <w:t xml:space="preserve"> evaluation. </w:t>
      </w:r>
    </w:p>
    <w:p w:rsidR="00822B08" w:rsidRPr="00695AB3" w:rsidRDefault="00822B08" w:rsidP="00FB09E7">
      <w:pPr>
        <w:pStyle w:val="NormalIndent"/>
        <w:keepNext/>
        <w:spacing w:line="240" w:lineRule="auto"/>
        <w:ind w:left="0"/>
        <w:outlineLvl w:val="2"/>
        <w:rPr>
          <w:b/>
          <w:bCs/>
          <w:i/>
          <w:iCs/>
          <w:sz w:val="26"/>
          <w:szCs w:val="26"/>
        </w:rPr>
      </w:pPr>
      <w:r w:rsidRPr="00695AB3">
        <w:rPr>
          <w:b/>
          <w:bCs/>
          <w:i/>
          <w:iCs/>
          <w:sz w:val="26"/>
          <w:szCs w:val="26"/>
        </w:rPr>
        <w:lastRenderedPageBreak/>
        <w:t>Subgroup analysis REFLEX: different injection sites and varying time since stroke</w:t>
      </w:r>
    </w:p>
    <w:p w:rsidR="00822B08" w:rsidRPr="001A57E6" w:rsidRDefault="00822B08" w:rsidP="00FB09E7">
      <w:pPr>
        <w:pStyle w:val="Heading4"/>
        <w:widowControl/>
        <w:spacing w:before="0" w:after="0"/>
      </w:pPr>
      <w:r w:rsidRPr="001A57E6">
        <w:t>Change in MAS</w:t>
      </w:r>
    </w:p>
    <w:p w:rsidR="00822B08" w:rsidRPr="001A57E6" w:rsidRDefault="00822B08" w:rsidP="00BB76A8">
      <w:pPr>
        <w:pStyle w:val="ListParagraph"/>
      </w:pPr>
      <w:r w:rsidRPr="001A57E6">
        <w:t xml:space="preserve">In REFLEX, patients received mandatory dosing of </w:t>
      </w:r>
      <w:r w:rsidR="00EE500E">
        <w:t>BOTOX®</w:t>
      </w:r>
      <w:r w:rsidRPr="001A57E6">
        <w:t xml:space="preserve"> or placebo</w:t>
      </w:r>
      <w:r w:rsidR="0000469F">
        <w:t xml:space="preserve">, </w:t>
      </w:r>
      <w:r w:rsidRPr="001A57E6">
        <w:t>injected at specified sites</w:t>
      </w:r>
      <w:r w:rsidR="0000469F">
        <w:t>,</w:t>
      </w:r>
      <w:r w:rsidRPr="001A57E6">
        <w:t xml:space="preserve"> totalling 300U and were able to receive up to an additional 100U at specified sites at the discretion of the clinician.</w:t>
      </w:r>
    </w:p>
    <w:p w:rsidR="00822B08" w:rsidRPr="003D4516" w:rsidRDefault="00822B08" w:rsidP="00BB76A8">
      <w:pPr>
        <w:pStyle w:val="ListParagraph"/>
        <w:rPr>
          <w:iCs/>
        </w:rPr>
      </w:pPr>
      <w:r w:rsidRPr="001A57E6">
        <w:t xml:space="preserve">A subgroup analysis considered response for patients receiving </w:t>
      </w:r>
      <w:r w:rsidR="00EE500E">
        <w:t>BOTOX®</w:t>
      </w:r>
      <w:r w:rsidRPr="001A57E6">
        <w:t xml:space="preserve"> in the toe flexors</w:t>
      </w:r>
      <w:r w:rsidR="00407D97">
        <w:t xml:space="preserve">, </w:t>
      </w:r>
      <w:r w:rsidRPr="001A57E6">
        <w:t xml:space="preserve">flexor </w:t>
      </w:r>
      <w:proofErr w:type="spellStart"/>
      <w:r w:rsidRPr="001A57E6">
        <w:t>digitorum</w:t>
      </w:r>
      <w:proofErr w:type="spellEnd"/>
      <w:r w:rsidRPr="001A57E6">
        <w:t xml:space="preserve"> longus (FDL) and/or flexor </w:t>
      </w:r>
      <w:proofErr w:type="spellStart"/>
      <w:r w:rsidRPr="001A57E6">
        <w:t>hallucis</w:t>
      </w:r>
      <w:proofErr w:type="spellEnd"/>
      <w:r w:rsidRPr="001A57E6">
        <w:t xml:space="preserve"> longus (FHL</w:t>
      </w:r>
      <w:r w:rsidRPr="001A57E6">
        <w:rPr>
          <w:iCs/>
        </w:rPr>
        <w:t>).</w:t>
      </w:r>
      <w:r w:rsidR="004A5FEC">
        <w:rPr>
          <w:i/>
          <w:iCs/>
        </w:rPr>
        <w:t xml:space="preserve"> </w:t>
      </w:r>
      <w:r w:rsidRPr="003D4516">
        <w:rPr>
          <w:iCs/>
        </w:rPr>
        <w:t xml:space="preserve">Subgroup results for MAS change from baseline to Week 4-6 in REFLEX based on injection sites </w:t>
      </w:r>
      <w:r w:rsidR="00A245DB" w:rsidRPr="003D4516">
        <w:rPr>
          <w:iCs/>
        </w:rPr>
        <w:t>are summarised in Table 9</w:t>
      </w:r>
      <w:r w:rsidRPr="003D4516">
        <w:rPr>
          <w:iCs/>
        </w:rPr>
        <w:t>.</w:t>
      </w:r>
    </w:p>
    <w:p w:rsidR="00822B08" w:rsidRPr="001A57E6" w:rsidRDefault="00A245DB" w:rsidP="004428BA">
      <w:pPr>
        <w:pStyle w:val="TableHeading"/>
        <w:spacing w:before="0" w:after="0"/>
        <w:jc w:val="both"/>
      </w:pPr>
      <w:r>
        <w:t xml:space="preserve">Table </w:t>
      </w:r>
      <w:r w:rsidR="00BD5880">
        <w:t>9</w:t>
      </w:r>
      <w:r w:rsidR="00822B08" w:rsidRPr="001A57E6">
        <w:t>: MAS change from baseline to Week 4-6: REFLEX subgroups based on injection sites</w:t>
      </w:r>
    </w:p>
    <w:tbl>
      <w:tblPr>
        <w:tblStyle w:val="TableGrid"/>
        <w:tblW w:w="5000" w:type="pct"/>
        <w:tblCellMar>
          <w:left w:w="28" w:type="dxa"/>
          <w:right w:w="28" w:type="dxa"/>
        </w:tblCellMar>
        <w:tblLook w:val="04A0" w:firstRow="1" w:lastRow="0" w:firstColumn="1" w:lastColumn="0" w:noHBand="0" w:noVBand="1"/>
        <w:tblCaption w:val="MAS change from baseline to Week 4-6: REFLEX subgroups based on injection sites"/>
      </w:tblPr>
      <w:tblGrid>
        <w:gridCol w:w="2956"/>
        <w:gridCol w:w="988"/>
        <w:gridCol w:w="1268"/>
        <w:gridCol w:w="849"/>
        <w:gridCol w:w="1127"/>
        <w:gridCol w:w="1829"/>
      </w:tblGrid>
      <w:tr w:rsidR="00822B08" w:rsidRPr="001A57E6" w:rsidTr="00440603">
        <w:trPr>
          <w:cantSplit/>
          <w:trHeight w:val="289"/>
          <w:tblHeader/>
        </w:trPr>
        <w:tc>
          <w:tcPr>
            <w:tcW w:w="1639" w:type="pct"/>
            <w:vMerge w:val="restart"/>
            <w:vAlign w:val="center"/>
          </w:tcPr>
          <w:p w:rsidR="00822B08" w:rsidRPr="001A57E6" w:rsidRDefault="00822B08" w:rsidP="004428BA">
            <w:pPr>
              <w:pStyle w:val="TableHeading"/>
              <w:spacing w:before="0" w:after="0"/>
            </w:pPr>
            <w:r w:rsidRPr="001A57E6">
              <w:t>Injection site</w:t>
            </w:r>
          </w:p>
        </w:tc>
        <w:tc>
          <w:tcPr>
            <w:tcW w:w="1251" w:type="pct"/>
            <w:gridSpan w:val="2"/>
            <w:vAlign w:val="center"/>
          </w:tcPr>
          <w:p w:rsidR="00822B08" w:rsidRPr="001A57E6" w:rsidRDefault="00EE500E" w:rsidP="004428BA">
            <w:pPr>
              <w:pStyle w:val="TableHeading"/>
              <w:spacing w:before="0" w:after="0"/>
              <w:jc w:val="center"/>
              <w:rPr>
                <w:rFonts w:cstheme="minorHAnsi"/>
              </w:rPr>
            </w:pPr>
            <w:r>
              <w:rPr>
                <w:rFonts w:cstheme="minorHAnsi"/>
              </w:rPr>
              <w:t>BOTOX®</w:t>
            </w:r>
            <w:r w:rsidR="00822B08" w:rsidRPr="001A57E6">
              <w:rPr>
                <w:rFonts w:cstheme="minorHAnsi"/>
              </w:rPr>
              <w:t xml:space="preserve"> N=231</w:t>
            </w:r>
          </w:p>
        </w:tc>
        <w:tc>
          <w:tcPr>
            <w:tcW w:w="1096" w:type="pct"/>
            <w:gridSpan w:val="2"/>
            <w:vAlign w:val="center"/>
          </w:tcPr>
          <w:p w:rsidR="00822B08" w:rsidRPr="001A57E6" w:rsidRDefault="00822B08" w:rsidP="004428BA">
            <w:pPr>
              <w:pStyle w:val="TableHeading"/>
              <w:spacing w:before="0" w:after="0"/>
              <w:jc w:val="center"/>
              <w:rPr>
                <w:rFonts w:cstheme="minorHAnsi"/>
              </w:rPr>
            </w:pPr>
            <w:r w:rsidRPr="001A57E6">
              <w:rPr>
                <w:rFonts w:cstheme="minorHAnsi"/>
              </w:rPr>
              <w:t>Placebo N=233</w:t>
            </w:r>
          </w:p>
        </w:tc>
        <w:tc>
          <w:tcPr>
            <w:tcW w:w="1015" w:type="pct"/>
            <w:vMerge w:val="restart"/>
            <w:vAlign w:val="center"/>
          </w:tcPr>
          <w:p w:rsidR="00822B08" w:rsidRPr="001A57E6" w:rsidRDefault="00822B08" w:rsidP="004428BA">
            <w:pPr>
              <w:pStyle w:val="TableHeading"/>
              <w:spacing w:before="0" w:after="0"/>
              <w:jc w:val="center"/>
              <w:rPr>
                <w:rFonts w:cstheme="minorHAnsi"/>
              </w:rPr>
            </w:pPr>
            <w:r w:rsidRPr="001A57E6">
              <w:rPr>
                <w:rFonts w:cstheme="minorHAnsi"/>
              </w:rPr>
              <w:t>Mean difference</w:t>
            </w:r>
          </w:p>
        </w:tc>
      </w:tr>
      <w:tr w:rsidR="00822B08" w:rsidRPr="001A57E6" w:rsidTr="008A18A2">
        <w:trPr>
          <w:trHeight w:val="150"/>
        </w:trPr>
        <w:tc>
          <w:tcPr>
            <w:tcW w:w="1639" w:type="pct"/>
            <w:vMerge/>
            <w:vAlign w:val="center"/>
          </w:tcPr>
          <w:p w:rsidR="00822B08" w:rsidRPr="001A57E6" w:rsidRDefault="00822B08" w:rsidP="004428BA">
            <w:pPr>
              <w:pStyle w:val="Tabletext"/>
              <w:keepNext/>
            </w:pPr>
          </w:p>
        </w:tc>
        <w:tc>
          <w:tcPr>
            <w:tcW w:w="548" w:type="pct"/>
            <w:vAlign w:val="center"/>
          </w:tcPr>
          <w:p w:rsidR="00822B08" w:rsidRPr="001A57E6" w:rsidRDefault="00822B08" w:rsidP="004428BA">
            <w:pPr>
              <w:pStyle w:val="Tabletext"/>
              <w:keepNext/>
              <w:snapToGrid w:val="0"/>
              <w:jc w:val="center"/>
              <w:rPr>
                <w:b/>
                <w:bCs/>
              </w:rPr>
            </w:pPr>
            <w:r w:rsidRPr="001A57E6">
              <w:rPr>
                <w:b/>
                <w:bCs/>
              </w:rPr>
              <w:t>N (%)</w:t>
            </w:r>
          </w:p>
        </w:tc>
        <w:tc>
          <w:tcPr>
            <w:tcW w:w="703" w:type="pct"/>
            <w:vAlign w:val="center"/>
          </w:tcPr>
          <w:p w:rsidR="00822B08" w:rsidRPr="001A57E6" w:rsidRDefault="00822B08" w:rsidP="004428BA">
            <w:pPr>
              <w:pStyle w:val="Tabletext"/>
              <w:keepNext/>
              <w:snapToGrid w:val="0"/>
              <w:jc w:val="center"/>
              <w:rPr>
                <w:b/>
                <w:bCs/>
              </w:rPr>
            </w:pPr>
            <w:r w:rsidRPr="001A57E6">
              <w:rPr>
                <w:b/>
                <w:bCs/>
              </w:rPr>
              <w:t>Mean change from baseline</w:t>
            </w:r>
          </w:p>
        </w:tc>
        <w:tc>
          <w:tcPr>
            <w:tcW w:w="471" w:type="pct"/>
            <w:vAlign w:val="center"/>
          </w:tcPr>
          <w:p w:rsidR="00822B08" w:rsidRPr="001A57E6" w:rsidRDefault="00822B08" w:rsidP="004428BA">
            <w:pPr>
              <w:pStyle w:val="Tabletext"/>
              <w:keepNext/>
              <w:snapToGrid w:val="0"/>
              <w:jc w:val="center"/>
              <w:rPr>
                <w:b/>
                <w:bCs/>
              </w:rPr>
            </w:pPr>
            <w:r w:rsidRPr="001A57E6">
              <w:rPr>
                <w:b/>
                <w:bCs/>
              </w:rPr>
              <w:t>N (%)</w:t>
            </w:r>
          </w:p>
        </w:tc>
        <w:tc>
          <w:tcPr>
            <w:tcW w:w="624" w:type="pct"/>
            <w:vAlign w:val="center"/>
          </w:tcPr>
          <w:p w:rsidR="00822B08" w:rsidRPr="001A57E6" w:rsidRDefault="00822B08" w:rsidP="004428BA">
            <w:pPr>
              <w:pStyle w:val="Tabletext"/>
              <w:keepNext/>
              <w:snapToGrid w:val="0"/>
              <w:jc w:val="center"/>
              <w:rPr>
                <w:b/>
                <w:bCs/>
              </w:rPr>
            </w:pPr>
            <w:r w:rsidRPr="001A57E6">
              <w:rPr>
                <w:b/>
                <w:bCs/>
              </w:rPr>
              <w:t>Mean change from baseline</w:t>
            </w:r>
          </w:p>
        </w:tc>
        <w:tc>
          <w:tcPr>
            <w:tcW w:w="1015" w:type="pct"/>
            <w:vMerge/>
            <w:vAlign w:val="center"/>
          </w:tcPr>
          <w:p w:rsidR="00822B08" w:rsidRPr="001A57E6" w:rsidRDefault="00822B08" w:rsidP="004428BA">
            <w:pPr>
              <w:pStyle w:val="Tabletext"/>
              <w:keepNext/>
              <w:jc w:val="center"/>
            </w:pPr>
          </w:p>
        </w:tc>
      </w:tr>
      <w:tr w:rsidR="00822B08" w:rsidRPr="001A57E6" w:rsidTr="008A18A2">
        <w:tc>
          <w:tcPr>
            <w:tcW w:w="1639" w:type="pct"/>
            <w:vAlign w:val="center"/>
          </w:tcPr>
          <w:p w:rsidR="00822B08" w:rsidRPr="001A57E6" w:rsidRDefault="00822B08" w:rsidP="004428BA">
            <w:pPr>
              <w:pStyle w:val="Tabletext"/>
              <w:keepNext/>
            </w:pPr>
            <w:r w:rsidRPr="001A57E6">
              <w:t>ITT population</w:t>
            </w:r>
          </w:p>
        </w:tc>
        <w:tc>
          <w:tcPr>
            <w:tcW w:w="548" w:type="pct"/>
            <w:vAlign w:val="center"/>
          </w:tcPr>
          <w:p w:rsidR="00822B08" w:rsidRPr="001A57E6" w:rsidRDefault="00822B08" w:rsidP="004428BA">
            <w:pPr>
              <w:pStyle w:val="Tabletext"/>
              <w:keepNext/>
              <w:jc w:val="center"/>
            </w:pPr>
            <w:r w:rsidRPr="001A57E6">
              <w:t>233 (100)</w:t>
            </w:r>
          </w:p>
        </w:tc>
        <w:tc>
          <w:tcPr>
            <w:tcW w:w="703" w:type="pct"/>
            <w:vAlign w:val="center"/>
          </w:tcPr>
          <w:p w:rsidR="00822B08" w:rsidRPr="001A57E6" w:rsidRDefault="00822B08" w:rsidP="004428BA">
            <w:pPr>
              <w:pStyle w:val="Tabletext"/>
              <w:keepNext/>
              <w:jc w:val="center"/>
            </w:pPr>
            <w:r w:rsidRPr="001A57E6">
              <w:t>-0.81</w:t>
            </w:r>
          </w:p>
        </w:tc>
        <w:tc>
          <w:tcPr>
            <w:tcW w:w="471" w:type="pct"/>
            <w:vAlign w:val="center"/>
          </w:tcPr>
          <w:p w:rsidR="00822B08" w:rsidRPr="001A57E6" w:rsidRDefault="00822B08" w:rsidP="004428BA">
            <w:pPr>
              <w:pStyle w:val="Tabletext"/>
              <w:keepNext/>
              <w:jc w:val="center"/>
            </w:pPr>
            <w:r w:rsidRPr="001A57E6">
              <w:t>235 (100)</w:t>
            </w:r>
          </w:p>
        </w:tc>
        <w:tc>
          <w:tcPr>
            <w:tcW w:w="624" w:type="pct"/>
            <w:vAlign w:val="center"/>
          </w:tcPr>
          <w:p w:rsidR="00822B08" w:rsidRPr="001A57E6" w:rsidRDefault="00822B08" w:rsidP="004428BA">
            <w:pPr>
              <w:pStyle w:val="Tabletext"/>
              <w:keepNext/>
              <w:jc w:val="center"/>
            </w:pPr>
            <w:r w:rsidRPr="001A57E6">
              <w:t>-0.61</w:t>
            </w:r>
          </w:p>
        </w:tc>
        <w:tc>
          <w:tcPr>
            <w:tcW w:w="1015" w:type="pct"/>
            <w:vAlign w:val="center"/>
          </w:tcPr>
          <w:p w:rsidR="00822B08" w:rsidRPr="001A57E6" w:rsidRDefault="00822B08" w:rsidP="004428BA">
            <w:pPr>
              <w:pStyle w:val="Tabletext"/>
              <w:keepNext/>
              <w:jc w:val="center"/>
              <w:rPr>
                <w:b/>
                <w:bCs/>
              </w:rPr>
            </w:pPr>
            <w:r w:rsidRPr="001A57E6">
              <w:rPr>
                <w:b/>
                <w:bCs/>
              </w:rPr>
              <w:t>-0.20 p=0.01</w:t>
            </w:r>
          </w:p>
        </w:tc>
      </w:tr>
      <w:tr w:rsidR="00822B08" w:rsidRPr="001A57E6" w:rsidTr="008A18A2">
        <w:tc>
          <w:tcPr>
            <w:tcW w:w="1639" w:type="pct"/>
            <w:vAlign w:val="center"/>
          </w:tcPr>
          <w:p w:rsidR="00822B08" w:rsidRPr="001A57E6" w:rsidRDefault="00822B08" w:rsidP="004428BA">
            <w:pPr>
              <w:pStyle w:val="Tabletext"/>
              <w:keepNext/>
            </w:pPr>
            <w:r w:rsidRPr="001A57E6">
              <w:t xml:space="preserve">Mandatory ankle only (300U) </w:t>
            </w:r>
          </w:p>
        </w:tc>
        <w:tc>
          <w:tcPr>
            <w:tcW w:w="548" w:type="pct"/>
            <w:vAlign w:val="center"/>
          </w:tcPr>
          <w:p w:rsidR="00822B08" w:rsidRPr="001A57E6" w:rsidRDefault="00822B08" w:rsidP="004428BA">
            <w:pPr>
              <w:pStyle w:val="Tabletext"/>
              <w:keepNext/>
              <w:jc w:val="center"/>
            </w:pPr>
            <w:r w:rsidRPr="001A57E6">
              <w:t>104 (44.6)</w:t>
            </w:r>
          </w:p>
        </w:tc>
        <w:tc>
          <w:tcPr>
            <w:tcW w:w="703" w:type="pct"/>
            <w:vAlign w:val="center"/>
          </w:tcPr>
          <w:p w:rsidR="00822B08" w:rsidRPr="001A57E6" w:rsidRDefault="00822B08" w:rsidP="004428BA">
            <w:pPr>
              <w:pStyle w:val="Tabletext"/>
              <w:keepNext/>
              <w:jc w:val="center"/>
            </w:pPr>
            <w:r w:rsidRPr="001A57E6">
              <w:t>-073</w:t>
            </w:r>
          </w:p>
        </w:tc>
        <w:tc>
          <w:tcPr>
            <w:tcW w:w="471" w:type="pct"/>
            <w:vAlign w:val="center"/>
          </w:tcPr>
          <w:p w:rsidR="00822B08" w:rsidRPr="001A57E6" w:rsidRDefault="00822B08" w:rsidP="004428BA">
            <w:pPr>
              <w:pStyle w:val="Tabletext"/>
              <w:keepNext/>
              <w:jc w:val="center"/>
            </w:pPr>
            <w:r w:rsidRPr="001A57E6">
              <w:t>107 (45.5)</w:t>
            </w:r>
          </w:p>
        </w:tc>
        <w:tc>
          <w:tcPr>
            <w:tcW w:w="624" w:type="pct"/>
            <w:vAlign w:val="center"/>
          </w:tcPr>
          <w:p w:rsidR="00822B08" w:rsidRPr="001A57E6" w:rsidRDefault="00822B08" w:rsidP="004428BA">
            <w:pPr>
              <w:pStyle w:val="Tabletext"/>
              <w:keepNext/>
              <w:jc w:val="center"/>
            </w:pPr>
            <w:r w:rsidRPr="001A57E6">
              <w:t>-0.58</w:t>
            </w:r>
          </w:p>
        </w:tc>
        <w:tc>
          <w:tcPr>
            <w:tcW w:w="1015" w:type="pct"/>
            <w:vAlign w:val="center"/>
          </w:tcPr>
          <w:p w:rsidR="00822B08" w:rsidRPr="001A57E6" w:rsidRDefault="00822B08" w:rsidP="004428BA">
            <w:pPr>
              <w:pStyle w:val="Tabletext"/>
              <w:keepNext/>
              <w:jc w:val="center"/>
              <w:rPr>
                <w:b/>
                <w:bCs/>
              </w:rPr>
            </w:pPr>
            <w:r w:rsidRPr="001A57E6">
              <w:t>-0.15 p=0.255</w:t>
            </w:r>
          </w:p>
        </w:tc>
      </w:tr>
      <w:tr w:rsidR="00822B08" w:rsidRPr="001A57E6" w:rsidTr="008A18A2">
        <w:tc>
          <w:tcPr>
            <w:tcW w:w="1639" w:type="pct"/>
            <w:vAlign w:val="center"/>
          </w:tcPr>
          <w:p w:rsidR="00822B08" w:rsidRPr="001A57E6" w:rsidRDefault="00822B08" w:rsidP="004428BA">
            <w:pPr>
              <w:pStyle w:val="Tabletext"/>
              <w:keepNext/>
            </w:pPr>
            <w:r w:rsidRPr="001A57E6">
              <w:t>Mandatory ankle + FHL + FDL (400U)</w:t>
            </w:r>
          </w:p>
        </w:tc>
        <w:tc>
          <w:tcPr>
            <w:tcW w:w="548" w:type="pct"/>
            <w:vAlign w:val="center"/>
          </w:tcPr>
          <w:p w:rsidR="00822B08" w:rsidRPr="001A57E6" w:rsidRDefault="00822B08" w:rsidP="004428BA">
            <w:pPr>
              <w:pStyle w:val="Tabletext"/>
              <w:keepNext/>
              <w:jc w:val="center"/>
            </w:pPr>
            <w:r w:rsidRPr="001A57E6">
              <w:t>62 (26.6)</w:t>
            </w:r>
          </w:p>
        </w:tc>
        <w:tc>
          <w:tcPr>
            <w:tcW w:w="703" w:type="pct"/>
            <w:vAlign w:val="center"/>
          </w:tcPr>
          <w:p w:rsidR="00822B08" w:rsidRPr="001A57E6" w:rsidRDefault="00822B08" w:rsidP="004428BA">
            <w:pPr>
              <w:pStyle w:val="Tabletext"/>
              <w:keepNext/>
              <w:jc w:val="center"/>
            </w:pPr>
            <w:r w:rsidRPr="001A57E6">
              <w:t>-0.98</w:t>
            </w:r>
          </w:p>
        </w:tc>
        <w:tc>
          <w:tcPr>
            <w:tcW w:w="471" w:type="pct"/>
            <w:vAlign w:val="center"/>
          </w:tcPr>
          <w:p w:rsidR="00822B08" w:rsidRPr="001A57E6" w:rsidRDefault="00822B08" w:rsidP="004428BA">
            <w:pPr>
              <w:pStyle w:val="Tabletext"/>
              <w:keepNext/>
              <w:jc w:val="center"/>
            </w:pPr>
            <w:r w:rsidRPr="001A57E6">
              <w:t>57 (24.2)</w:t>
            </w:r>
          </w:p>
        </w:tc>
        <w:tc>
          <w:tcPr>
            <w:tcW w:w="624" w:type="pct"/>
            <w:vAlign w:val="center"/>
          </w:tcPr>
          <w:p w:rsidR="00822B08" w:rsidRPr="001A57E6" w:rsidRDefault="00822B08" w:rsidP="004428BA">
            <w:pPr>
              <w:pStyle w:val="Tabletext"/>
              <w:keepNext/>
              <w:jc w:val="center"/>
            </w:pPr>
            <w:r w:rsidRPr="001A57E6">
              <w:t>-0.52</w:t>
            </w:r>
          </w:p>
        </w:tc>
        <w:tc>
          <w:tcPr>
            <w:tcW w:w="1015" w:type="pct"/>
            <w:vAlign w:val="center"/>
          </w:tcPr>
          <w:p w:rsidR="00822B08" w:rsidRPr="001A57E6" w:rsidRDefault="00822B08" w:rsidP="004428BA">
            <w:pPr>
              <w:pStyle w:val="Tabletext"/>
              <w:keepNext/>
              <w:jc w:val="center"/>
              <w:rPr>
                <w:b/>
                <w:bCs/>
              </w:rPr>
            </w:pPr>
            <w:r w:rsidRPr="001A57E6">
              <w:rPr>
                <w:b/>
                <w:bCs/>
              </w:rPr>
              <w:t>-0.46 p=0.002</w:t>
            </w:r>
          </w:p>
        </w:tc>
      </w:tr>
      <w:tr w:rsidR="00822B08" w:rsidRPr="001A57E6" w:rsidTr="008A18A2">
        <w:tc>
          <w:tcPr>
            <w:tcW w:w="1639" w:type="pct"/>
            <w:vAlign w:val="center"/>
          </w:tcPr>
          <w:p w:rsidR="00822B08" w:rsidRPr="001A57E6" w:rsidRDefault="00822B08" w:rsidP="004428BA">
            <w:pPr>
              <w:pStyle w:val="Tabletext"/>
              <w:keepNext/>
            </w:pPr>
            <w:r w:rsidRPr="001A57E6">
              <w:t xml:space="preserve">Mandatory ankle + FHL or FDL </w:t>
            </w:r>
            <w:r w:rsidR="003324CA">
              <w:t>+/-</w:t>
            </w:r>
            <w:r w:rsidRPr="001A57E6">
              <w:t xml:space="preserve"> other muscles (350U</w:t>
            </w:r>
            <w:r w:rsidR="00407D97">
              <w:t>-</w:t>
            </w:r>
            <w:r w:rsidRPr="001A57E6">
              <w:t>400U)</w:t>
            </w:r>
          </w:p>
        </w:tc>
        <w:tc>
          <w:tcPr>
            <w:tcW w:w="548" w:type="pct"/>
            <w:vAlign w:val="center"/>
          </w:tcPr>
          <w:p w:rsidR="00822B08" w:rsidRPr="001A57E6" w:rsidRDefault="00822B08" w:rsidP="004428BA">
            <w:pPr>
              <w:pStyle w:val="Tabletext"/>
              <w:keepNext/>
              <w:jc w:val="center"/>
            </w:pPr>
            <w:r w:rsidRPr="001A57E6">
              <w:t>87 (37.3)</w:t>
            </w:r>
          </w:p>
        </w:tc>
        <w:tc>
          <w:tcPr>
            <w:tcW w:w="703" w:type="pct"/>
            <w:vAlign w:val="center"/>
          </w:tcPr>
          <w:p w:rsidR="00822B08" w:rsidRPr="001A57E6" w:rsidRDefault="00822B08" w:rsidP="004428BA">
            <w:pPr>
              <w:pStyle w:val="Tabletext"/>
              <w:keepNext/>
              <w:jc w:val="center"/>
            </w:pPr>
            <w:r w:rsidRPr="001A57E6">
              <w:t>-1.08</w:t>
            </w:r>
          </w:p>
        </w:tc>
        <w:tc>
          <w:tcPr>
            <w:tcW w:w="471" w:type="pct"/>
            <w:vAlign w:val="center"/>
          </w:tcPr>
          <w:p w:rsidR="00822B08" w:rsidRPr="001A57E6" w:rsidRDefault="00822B08" w:rsidP="004428BA">
            <w:pPr>
              <w:pStyle w:val="Tabletext"/>
              <w:keepNext/>
              <w:jc w:val="center"/>
            </w:pPr>
            <w:r w:rsidRPr="001A57E6">
              <w:t>92 (39.1)</w:t>
            </w:r>
          </w:p>
        </w:tc>
        <w:tc>
          <w:tcPr>
            <w:tcW w:w="624" w:type="pct"/>
            <w:vAlign w:val="center"/>
          </w:tcPr>
          <w:p w:rsidR="00822B08" w:rsidRPr="001A57E6" w:rsidRDefault="00822B08" w:rsidP="004428BA">
            <w:pPr>
              <w:pStyle w:val="Tabletext"/>
              <w:keepNext/>
              <w:jc w:val="center"/>
            </w:pPr>
            <w:r w:rsidRPr="001A57E6">
              <w:t>-0.67</w:t>
            </w:r>
          </w:p>
        </w:tc>
        <w:tc>
          <w:tcPr>
            <w:tcW w:w="1015" w:type="pct"/>
            <w:vAlign w:val="center"/>
          </w:tcPr>
          <w:p w:rsidR="00822B08" w:rsidRPr="001A57E6" w:rsidRDefault="00822B08" w:rsidP="004428BA">
            <w:pPr>
              <w:pStyle w:val="Tabletext"/>
              <w:keepNext/>
              <w:jc w:val="center"/>
              <w:rPr>
                <w:b/>
                <w:bCs/>
              </w:rPr>
            </w:pPr>
            <w:r w:rsidRPr="001A57E6">
              <w:rPr>
                <w:b/>
                <w:bCs/>
              </w:rPr>
              <w:t>-0.41 p=0.001</w:t>
            </w:r>
          </w:p>
        </w:tc>
      </w:tr>
      <w:tr w:rsidR="00822B08" w:rsidRPr="001A57E6" w:rsidTr="008A18A2">
        <w:tc>
          <w:tcPr>
            <w:tcW w:w="1639" w:type="pct"/>
            <w:vAlign w:val="center"/>
          </w:tcPr>
          <w:p w:rsidR="00822B08" w:rsidRPr="001A57E6" w:rsidRDefault="00822B08" w:rsidP="004428BA">
            <w:pPr>
              <w:pStyle w:val="Tabletext"/>
              <w:keepNext/>
            </w:pPr>
            <w:r w:rsidRPr="001A57E6">
              <w:t xml:space="preserve">Mandatory ankle + FHL </w:t>
            </w:r>
            <w:r w:rsidR="003324CA">
              <w:t>+/-</w:t>
            </w:r>
            <w:r w:rsidRPr="001A57E6">
              <w:t xml:space="preserve"> other muscles (350U</w:t>
            </w:r>
            <w:r w:rsidR="00407D97">
              <w:t>-</w:t>
            </w:r>
            <w:r w:rsidRPr="001A57E6">
              <w:t>400U)</w:t>
            </w:r>
          </w:p>
        </w:tc>
        <w:tc>
          <w:tcPr>
            <w:tcW w:w="548" w:type="pct"/>
            <w:vAlign w:val="center"/>
          </w:tcPr>
          <w:p w:rsidR="00822B08" w:rsidRPr="001A57E6" w:rsidRDefault="00822B08" w:rsidP="004428BA">
            <w:pPr>
              <w:pStyle w:val="Tabletext"/>
              <w:keepNext/>
              <w:jc w:val="center"/>
            </w:pPr>
            <w:r w:rsidRPr="001A57E6">
              <w:t>74 (31.8)</w:t>
            </w:r>
          </w:p>
        </w:tc>
        <w:tc>
          <w:tcPr>
            <w:tcW w:w="703" w:type="pct"/>
            <w:vAlign w:val="center"/>
          </w:tcPr>
          <w:p w:rsidR="00822B08" w:rsidRPr="001A57E6" w:rsidRDefault="00822B08" w:rsidP="004428BA">
            <w:pPr>
              <w:pStyle w:val="Tabletext"/>
              <w:keepNext/>
              <w:jc w:val="center"/>
            </w:pPr>
            <w:r w:rsidRPr="001A57E6">
              <w:t>-0.95</w:t>
            </w:r>
          </w:p>
        </w:tc>
        <w:tc>
          <w:tcPr>
            <w:tcW w:w="471" w:type="pct"/>
            <w:vAlign w:val="center"/>
          </w:tcPr>
          <w:p w:rsidR="00822B08" w:rsidRPr="001A57E6" w:rsidRDefault="00822B08" w:rsidP="004428BA">
            <w:pPr>
              <w:pStyle w:val="Tabletext"/>
              <w:keepNext/>
              <w:jc w:val="center"/>
            </w:pPr>
            <w:r w:rsidRPr="001A57E6">
              <w:t>67 (28.5)</w:t>
            </w:r>
          </w:p>
        </w:tc>
        <w:tc>
          <w:tcPr>
            <w:tcW w:w="624" w:type="pct"/>
            <w:vAlign w:val="center"/>
          </w:tcPr>
          <w:p w:rsidR="00822B08" w:rsidRPr="001A57E6" w:rsidRDefault="00822B08" w:rsidP="004428BA">
            <w:pPr>
              <w:pStyle w:val="Tabletext"/>
              <w:keepNext/>
              <w:jc w:val="center"/>
            </w:pPr>
            <w:r w:rsidRPr="001A57E6">
              <w:t>-0.42</w:t>
            </w:r>
          </w:p>
        </w:tc>
        <w:tc>
          <w:tcPr>
            <w:tcW w:w="1015" w:type="pct"/>
            <w:vAlign w:val="center"/>
          </w:tcPr>
          <w:p w:rsidR="00822B08" w:rsidRPr="001A57E6" w:rsidRDefault="00822B08" w:rsidP="004428BA">
            <w:pPr>
              <w:pStyle w:val="Tabletext"/>
              <w:keepNext/>
              <w:jc w:val="center"/>
              <w:rPr>
                <w:b/>
                <w:bCs/>
              </w:rPr>
            </w:pPr>
            <w:r w:rsidRPr="001A57E6">
              <w:rPr>
                <w:b/>
                <w:bCs/>
              </w:rPr>
              <w:t>-0.53 p&lt;0.001</w:t>
            </w:r>
          </w:p>
        </w:tc>
      </w:tr>
      <w:tr w:rsidR="00822B08" w:rsidRPr="001A57E6" w:rsidTr="008A18A2">
        <w:tc>
          <w:tcPr>
            <w:tcW w:w="1639" w:type="pct"/>
            <w:vAlign w:val="center"/>
          </w:tcPr>
          <w:p w:rsidR="00822B08" w:rsidRPr="001A57E6" w:rsidRDefault="00822B08" w:rsidP="004428BA">
            <w:pPr>
              <w:pStyle w:val="Tabletext"/>
              <w:keepNext/>
            </w:pPr>
            <w:r w:rsidRPr="001A57E6">
              <w:t xml:space="preserve">Mandatory ankle + FDL </w:t>
            </w:r>
            <w:r w:rsidR="003324CA">
              <w:t>+/-</w:t>
            </w:r>
            <w:r w:rsidRPr="001A57E6">
              <w:t xml:space="preserve"> other muscles (350U</w:t>
            </w:r>
            <w:r w:rsidR="00407D97">
              <w:t>-</w:t>
            </w:r>
            <w:r w:rsidRPr="001A57E6">
              <w:t>400U)</w:t>
            </w:r>
          </w:p>
        </w:tc>
        <w:tc>
          <w:tcPr>
            <w:tcW w:w="548" w:type="pct"/>
            <w:vAlign w:val="center"/>
          </w:tcPr>
          <w:p w:rsidR="00822B08" w:rsidRPr="001A57E6" w:rsidRDefault="00822B08" w:rsidP="004428BA">
            <w:pPr>
              <w:pStyle w:val="Tabletext"/>
              <w:keepNext/>
              <w:jc w:val="center"/>
            </w:pPr>
            <w:r w:rsidRPr="001A57E6">
              <w:t>81 (34.8)</w:t>
            </w:r>
          </w:p>
        </w:tc>
        <w:tc>
          <w:tcPr>
            <w:tcW w:w="703" w:type="pct"/>
            <w:vAlign w:val="center"/>
          </w:tcPr>
          <w:p w:rsidR="00822B08" w:rsidRPr="001A57E6" w:rsidRDefault="00822B08" w:rsidP="004428BA">
            <w:pPr>
              <w:pStyle w:val="Tabletext"/>
              <w:keepNext/>
              <w:jc w:val="center"/>
            </w:pPr>
            <w:r w:rsidRPr="001A57E6">
              <w:t>-1.19</w:t>
            </w:r>
          </w:p>
        </w:tc>
        <w:tc>
          <w:tcPr>
            <w:tcW w:w="471" w:type="pct"/>
            <w:vAlign w:val="center"/>
          </w:tcPr>
          <w:p w:rsidR="00822B08" w:rsidRPr="001A57E6" w:rsidRDefault="00822B08" w:rsidP="004428BA">
            <w:pPr>
              <w:pStyle w:val="Tabletext"/>
              <w:keepNext/>
              <w:jc w:val="center"/>
            </w:pPr>
            <w:r w:rsidRPr="001A57E6">
              <w:t>83 (35.3)</w:t>
            </w:r>
          </w:p>
        </w:tc>
        <w:tc>
          <w:tcPr>
            <w:tcW w:w="624" w:type="pct"/>
            <w:vAlign w:val="center"/>
          </w:tcPr>
          <w:p w:rsidR="00822B08" w:rsidRPr="001A57E6" w:rsidRDefault="00822B08" w:rsidP="004428BA">
            <w:pPr>
              <w:pStyle w:val="Tabletext"/>
              <w:keepNext/>
              <w:jc w:val="center"/>
            </w:pPr>
            <w:r w:rsidRPr="001A57E6">
              <w:t>-0.80</w:t>
            </w:r>
          </w:p>
        </w:tc>
        <w:tc>
          <w:tcPr>
            <w:tcW w:w="1015" w:type="pct"/>
            <w:vAlign w:val="center"/>
          </w:tcPr>
          <w:p w:rsidR="00822B08" w:rsidRPr="001A57E6" w:rsidRDefault="00822B08" w:rsidP="004428BA">
            <w:pPr>
              <w:pStyle w:val="Tabletext"/>
              <w:keepNext/>
              <w:jc w:val="center"/>
              <w:rPr>
                <w:b/>
                <w:bCs/>
              </w:rPr>
            </w:pPr>
            <w:r w:rsidRPr="001A57E6">
              <w:rPr>
                <w:b/>
                <w:bCs/>
              </w:rPr>
              <w:t>-0.39 p=0.003</w:t>
            </w:r>
          </w:p>
        </w:tc>
      </w:tr>
    </w:tbl>
    <w:p w:rsidR="00822B08" w:rsidRPr="001A57E6" w:rsidRDefault="00822B08" w:rsidP="004428BA">
      <w:pPr>
        <w:pStyle w:val="TableFooter"/>
        <w:keepNext/>
        <w:widowControl/>
      </w:pPr>
      <w:r w:rsidRPr="001A57E6">
        <w:t xml:space="preserve">Abbreviations: FDL= flexor </w:t>
      </w:r>
      <w:proofErr w:type="spellStart"/>
      <w:r w:rsidRPr="001A57E6">
        <w:t>digitorum</w:t>
      </w:r>
      <w:proofErr w:type="spellEnd"/>
      <w:r w:rsidRPr="001A57E6">
        <w:t xml:space="preserve"> longus, FHL= flexor </w:t>
      </w:r>
      <w:proofErr w:type="spellStart"/>
      <w:r w:rsidRPr="001A57E6">
        <w:t>hallucis</w:t>
      </w:r>
      <w:proofErr w:type="spellEnd"/>
      <w:r w:rsidRPr="001A57E6">
        <w:t xml:space="preserve"> longus, ITT=intention to treat</w:t>
      </w:r>
    </w:p>
    <w:p w:rsidR="00822B08" w:rsidRPr="001A57E6" w:rsidRDefault="00822B08" w:rsidP="004428BA">
      <w:pPr>
        <w:pStyle w:val="TableFooter"/>
        <w:widowControl/>
      </w:pPr>
      <w:r w:rsidRPr="001A57E6">
        <w:t>Bold typography indicate statistically significant results.</w:t>
      </w:r>
    </w:p>
    <w:p w:rsidR="00822B08" w:rsidRPr="001A57E6" w:rsidRDefault="00822B08" w:rsidP="004428BA">
      <w:pPr>
        <w:pStyle w:val="TableFooter"/>
        <w:widowControl/>
      </w:pPr>
      <w:r w:rsidRPr="001A57E6">
        <w:t>Source: Table 2.6.2 (p131), Figure 2.6 2 (p132) of the resubmission.</w:t>
      </w:r>
    </w:p>
    <w:p w:rsidR="00822B08" w:rsidRPr="001A57E6" w:rsidRDefault="00822B08" w:rsidP="004428BA">
      <w:pPr>
        <w:pStyle w:val="TableFooter"/>
        <w:widowControl/>
      </w:pPr>
    </w:p>
    <w:p w:rsidR="00822B08" w:rsidRDefault="00822B08" w:rsidP="00BB76A8">
      <w:pPr>
        <w:pStyle w:val="ListParagraph"/>
      </w:pPr>
      <w:r w:rsidRPr="001A57E6">
        <w:t xml:space="preserve">The results of the subgroup analysis indicated that </w:t>
      </w:r>
      <w:r w:rsidR="00EE500E">
        <w:t>BOTOX®</w:t>
      </w:r>
      <w:r w:rsidRPr="001A57E6">
        <w:t xml:space="preserve"> injections to the mandatory ankle muscles alone did not lead to any significant differences between </w:t>
      </w:r>
      <w:r w:rsidR="00EE500E">
        <w:t>BOTOX®</w:t>
      </w:r>
      <w:r w:rsidRPr="001A57E6">
        <w:t xml:space="preserve"> and placebo treatment groups in terms of mean change in MAS at Week 4-6 from baseline.</w:t>
      </w:r>
      <w:r w:rsidR="004A5FEC">
        <w:t xml:space="preserve"> </w:t>
      </w:r>
      <w:r w:rsidR="00407D97">
        <w:t>However, s</w:t>
      </w:r>
      <w:r w:rsidRPr="001A57E6">
        <w:t xml:space="preserve">ignificant differences between </w:t>
      </w:r>
      <w:r w:rsidR="00EE500E">
        <w:t>BOTOX®</w:t>
      </w:r>
      <w:r w:rsidRPr="001A57E6">
        <w:t xml:space="preserve"> and placebo arms were observed when either FHL and or FDL were </w:t>
      </w:r>
      <w:r w:rsidR="00407D97">
        <w:t xml:space="preserve">also </w:t>
      </w:r>
      <w:r w:rsidRPr="001A57E6">
        <w:t>injected.</w:t>
      </w:r>
    </w:p>
    <w:p w:rsidR="00FE3317" w:rsidRPr="001A57E6" w:rsidRDefault="00FE3317" w:rsidP="00BB76A8">
      <w:pPr>
        <w:pStyle w:val="ListParagraph"/>
      </w:pPr>
      <w:r w:rsidRPr="00542F09">
        <w:rPr>
          <w:lang w:val="en-GB"/>
        </w:rPr>
        <w:t xml:space="preserve">The PBAC considered that the treatment effect of </w:t>
      </w:r>
      <w:r>
        <w:rPr>
          <w:lang w:val="en-GB"/>
        </w:rPr>
        <w:t>BOTOX</w:t>
      </w:r>
      <w:r>
        <w:rPr>
          <w:rFonts w:cstheme="minorHAnsi"/>
          <w:lang w:val="en-GB"/>
        </w:rPr>
        <w:t>®</w:t>
      </w:r>
      <w:r>
        <w:rPr>
          <w:lang w:val="en-GB"/>
        </w:rPr>
        <w:t xml:space="preserve"> co</w:t>
      </w:r>
      <w:r w:rsidRPr="00542F09">
        <w:rPr>
          <w:lang w:val="en-GB"/>
        </w:rPr>
        <w:t xml:space="preserve">uld </w:t>
      </w:r>
      <w:r w:rsidR="00BB0674">
        <w:rPr>
          <w:lang w:val="en-GB"/>
        </w:rPr>
        <w:t xml:space="preserve">potentially </w:t>
      </w:r>
      <w:r w:rsidRPr="00542F09">
        <w:rPr>
          <w:lang w:val="en-GB"/>
        </w:rPr>
        <w:t>be extrapolated to lower limb focal spasticity more broadly</w:t>
      </w:r>
      <w:r w:rsidR="00BB0674">
        <w:rPr>
          <w:lang w:val="en-GB"/>
        </w:rPr>
        <w:t xml:space="preserve"> regardless of aetiology</w:t>
      </w:r>
      <w:r w:rsidRPr="00542F09">
        <w:rPr>
          <w:lang w:val="en-GB"/>
        </w:rPr>
        <w:t xml:space="preserve">. However, the PBAC stated that this was based on biological </w:t>
      </w:r>
      <w:r w:rsidR="00BB0674">
        <w:rPr>
          <w:lang w:val="en-GB"/>
        </w:rPr>
        <w:t>plausibility</w:t>
      </w:r>
      <w:r w:rsidRPr="00542F09">
        <w:rPr>
          <w:lang w:val="en-GB"/>
        </w:rPr>
        <w:t xml:space="preserve"> rather than definitive trial evidence</w:t>
      </w:r>
      <w:r>
        <w:rPr>
          <w:lang w:val="en-GB"/>
        </w:rPr>
        <w:t>.</w:t>
      </w:r>
      <w:r w:rsidR="00BB0674">
        <w:rPr>
          <w:lang w:val="en-GB"/>
        </w:rPr>
        <w:t xml:space="preserve"> The PBAC noted that there was support for BOTOX</w:t>
      </w:r>
      <w:r w:rsidR="00CB6ACE">
        <w:rPr>
          <w:rFonts w:cstheme="minorHAnsi"/>
          <w:lang w:val="en-GB"/>
        </w:rPr>
        <w:t>®</w:t>
      </w:r>
      <w:r w:rsidR="00BB0674">
        <w:rPr>
          <w:lang w:val="en-GB"/>
        </w:rPr>
        <w:t xml:space="preserve"> use in the treatment of focal spasticity due to aetiologies other than stroke and noted the comments regarding equitable access for non-stroke patients.</w:t>
      </w:r>
    </w:p>
    <w:p w:rsidR="002B60C3" w:rsidRPr="001A57E6" w:rsidRDefault="002B60C3" w:rsidP="004428BA">
      <w:pPr>
        <w:pStyle w:val="NormalIndent"/>
        <w:ind w:left="0"/>
        <w:outlineLvl w:val="2"/>
        <w:rPr>
          <w:i/>
          <w:iCs/>
          <w:u w:val="single"/>
        </w:rPr>
      </w:pPr>
      <w:r w:rsidRPr="001A57E6">
        <w:rPr>
          <w:i/>
          <w:iCs/>
          <w:u w:val="single"/>
        </w:rPr>
        <w:t>Meta-analyses MAS/AS ≥3 population</w:t>
      </w:r>
    </w:p>
    <w:p w:rsidR="005A6479" w:rsidRPr="005A6479" w:rsidRDefault="00930F7B" w:rsidP="00BB76A8">
      <w:pPr>
        <w:pStyle w:val="ListParagraph"/>
      </w:pPr>
      <w:r w:rsidRPr="003D4516">
        <w:t xml:space="preserve">Results of a meta-analysis of patients in REFLEX, Study 702 and Study 512 with a baseline MAS/AS </w:t>
      </w:r>
      <w:r w:rsidRPr="003D4516">
        <w:rPr>
          <w:rFonts w:cs="Calibri"/>
        </w:rPr>
        <w:t>≥</w:t>
      </w:r>
      <w:r w:rsidR="00B96DFD">
        <w:rPr>
          <w:rFonts w:cs="Calibri"/>
        </w:rPr>
        <w:t xml:space="preserve"> </w:t>
      </w:r>
      <w:r w:rsidRPr="003D4516">
        <w:t xml:space="preserve">3 at Weeks 4, 6 and 8 demonstrated that patients treated with </w:t>
      </w:r>
      <w:r w:rsidR="00EE500E">
        <w:t>BOTOX®</w:t>
      </w:r>
      <w:r w:rsidRPr="003D4516">
        <w:t xml:space="preserve"> injections had a statistically significantly greater improvement in </w:t>
      </w:r>
      <w:r w:rsidR="009F4849" w:rsidRPr="003D4516">
        <w:t>MAS/</w:t>
      </w:r>
      <w:r w:rsidRPr="003D4516">
        <w:t xml:space="preserve">AS relative to patients who received placebo injections. </w:t>
      </w:r>
    </w:p>
    <w:p w:rsidR="002B60C3" w:rsidRDefault="00617957" w:rsidP="00BB76A8">
      <w:pPr>
        <w:pStyle w:val="ListParagraph"/>
      </w:pPr>
      <w:r>
        <w:t>The random effects meta-analysis of</w:t>
      </w:r>
      <w:r w:rsidR="004A5FEC">
        <w:t xml:space="preserve"> </w:t>
      </w:r>
      <w:r>
        <w:t xml:space="preserve">the </w:t>
      </w:r>
      <w:r w:rsidR="00930F7B" w:rsidRPr="003D4516">
        <w:t xml:space="preserve">difference in </w:t>
      </w:r>
      <w:r w:rsidR="00565FE6" w:rsidRPr="003D4516">
        <w:t xml:space="preserve">the </w:t>
      </w:r>
      <w:r w:rsidR="00930F7B" w:rsidRPr="003D4516">
        <w:t>proportion of responder</w:t>
      </w:r>
      <w:r w:rsidR="009F4849" w:rsidRPr="003D4516">
        <w:t>s</w:t>
      </w:r>
      <w:r w:rsidR="00930F7B" w:rsidRPr="003D4516">
        <w:t xml:space="preserve"> </w:t>
      </w:r>
      <w:r w:rsidR="009F4849" w:rsidRPr="003D4516">
        <w:t xml:space="preserve">(defined as </w:t>
      </w:r>
      <w:r w:rsidR="009F4849" w:rsidRPr="003D4516">
        <w:rPr>
          <w:rFonts w:cs="Calibri"/>
        </w:rPr>
        <w:t>≥</w:t>
      </w:r>
      <w:r w:rsidR="00B96DFD">
        <w:rPr>
          <w:rFonts w:cs="Calibri"/>
        </w:rPr>
        <w:t xml:space="preserve"> </w:t>
      </w:r>
      <w:r w:rsidR="009F4849" w:rsidRPr="003D4516">
        <w:t xml:space="preserve">1 point reduction in MAS/AS score from baseline) </w:t>
      </w:r>
      <w:r w:rsidR="00930F7B" w:rsidRPr="003D4516">
        <w:t xml:space="preserve">between </w:t>
      </w:r>
      <w:r w:rsidR="00EE500E">
        <w:t>BOTOX®</w:t>
      </w:r>
      <w:r w:rsidR="00930F7B" w:rsidRPr="003D4516">
        <w:t xml:space="preserve"> and </w:t>
      </w:r>
      <w:r w:rsidR="00930F7B" w:rsidRPr="003D4516">
        <w:lastRenderedPageBreak/>
        <w:t xml:space="preserve">placebo </w:t>
      </w:r>
      <w:r w:rsidR="009F4849" w:rsidRPr="003D4516">
        <w:t xml:space="preserve">was statistically significant and </w:t>
      </w:r>
      <w:r>
        <w:t>ranged from a pooled risk differe</w:t>
      </w:r>
      <w:r w:rsidR="00B96DFD">
        <w:t>nce of 21% at W</w:t>
      </w:r>
      <w:r w:rsidR="003E5082">
        <w:t>eek 6 to 29% at W</w:t>
      </w:r>
      <w:r>
        <w:t xml:space="preserve">eek 8. However, there was marked heterogeneity across the trials in terms of treatment effects and </w:t>
      </w:r>
      <w:r w:rsidR="00930F7B" w:rsidRPr="003D4516">
        <w:t xml:space="preserve">the robustness of </w:t>
      </w:r>
      <w:r>
        <w:t>the</w:t>
      </w:r>
      <w:r w:rsidRPr="003D4516">
        <w:t xml:space="preserve"> </w:t>
      </w:r>
      <w:r w:rsidR="00930F7B" w:rsidRPr="003D4516">
        <w:t xml:space="preserve">results may be questionable. </w:t>
      </w:r>
    </w:p>
    <w:p w:rsidR="00B67FEF" w:rsidRPr="00286E38" w:rsidRDefault="00B67FEF" w:rsidP="004428BA">
      <w:pPr>
        <w:pStyle w:val="PBACHeading1"/>
        <w:keepNext/>
        <w:numPr>
          <w:ilvl w:val="0"/>
          <w:numId w:val="0"/>
        </w:numPr>
        <w:spacing w:after="40"/>
        <w:rPr>
          <w:rStyle w:val="CommentReference"/>
          <w:b/>
        </w:rPr>
      </w:pPr>
      <w:bookmarkStart w:id="31" w:name="_Ref525101135"/>
      <w:bookmarkStart w:id="32" w:name="_Toc516239769"/>
      <w:r w:rsidRPr="00286E38">
        <w:rPr>
          <w:rStyle w:val="CommentReference"/>
          <w:b/>
        </w:rPr>
        <w:t xml:space="preserve">Table </w:t>
      </w:r>
      <w:bookmarkEnd w:id="31"/>
      <w:r w:rsidR="00BD5880">
        <w:rPr>
          <w:rStyle w:val="CommentReference"/>
          <w:b/>
        </w:rPr>
        <w:t>10</w:t>
      </w:r>
      <w:r w:rsidRPr="00286E38">
        <w:rPr>
          <w:rStyle w:val="CommentReference"/>
          <w:b/>
        </w:rPr>
        <w:t>: Results of responder analysis in PBS population: one-point improvement in MAS at Weeks 4</w:t>
      </w:r>
      <w:bookmarkEnd w:id="32"/>
      <w:r w:rsidRPr="00286E38">
        <w:rPr>
          <w:rStyle w:val="CommentReference"/>
          <w:b/>
        </w:rPr>
        <w:t>, 6 and 8</w:t>
      </w:r>
    </w:p>
    <w:tbl>
      <w:tblPr>
        <w:tblStyle w:val="Summarybox2"/>
        <w:tblW w:w="9072" w:type="dxa"/>
        <w:tblInd w:w="108" w:type="dxa"/>
        <w:tblLayout w:type="fixed"/>
        <w:tblLook w:val="04A0" w:firstRow="1" w:lastRow="0" w:firstColumn="1" w:lastColumn="0" w:noHBand="0" w:noVBand="1"/>
        <w:tblCaption w:val="Results of responder analysis in PBS population: one-point improvement in MAS at Weeks 4, 6 and 8"/>
      </w:tblPr>
      <w:tblGrid>
        <w:gridCol w:w="851"/>
        <w:gridCol w:w="992"/>
        <w:gridCol w:w="851"/>
        <w:gridCol w:w="992"/>
        <w:gridCol w:w="850"/>
        <w:gridCol w:w="1560"/>
        <w:gridCol w:w="850"/>
        <w:gridCol w:w="2126"/>
      </w:tblGrid>
      <w:tr w:rsidR="00B67FEF" w:rsidRPr="008F5D07" w:rsidTr="00440603">
        <w:trPr>
          <w:cantSplit/>
          <w:tblHeader/>
        </w:trPr>
        <w:tc>
          <w:tcPr>
            <w:tcW w:w="851" w:type="dxa"/>
            <w:vMerge w:val="restart"/>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Week</w:t>
            </w:r>
          </w:p>
        </w:tc>
        <w:tc>
          <w:tcPr>
            <w:tcW w:w="1843" w:type="dxa"/>
            <w:gridSpan w:val="2"/>
            <w:hideMark/>
          </w:tcPr>
          <w:p w:rsidR="00B67FEF" w:rsidRPr="009E495C" w:rsidRDefault="00EE500E" w:rsidP="004428BA">
            <w:pPr>
              <w:keepNext/>
              <w:widowControl/>
              <w:jc w:val="left"/>
              <w:rPr>
                <w:rFonts w:ascii="Arial Narrow" w:hAnsi="Arial Narrow"/>
                <w:b/>
                <w:sz w:val="20"/>
                <w:szCs w:val="20"/>
              </w:rPr>
            </w:pPr>
            <w:r>
              <w:rPr>
                <w:rFonts w:ascii="Arial Narrow" w:hAnsi="Arial Narrow"/>
                <w:b/>
                <w:sz w:val="20"/>
                <w:szCs w:val="20"/>
              </w:rPr>
              <w:t>BOTOX®</w:t>
            </w:r>
            <w:r w:rsidR="00B67FEF" w:rsidRPr="009E495C">
              <w:rPr>
                <w:rFonts w:ascii="Arial Narrow" w:hAnsi="Arial Narrow"/>
                <w:b/>
                <w:sz w:val="20"/>
                <w:szCs w:val="20"/>
              </w:rPr>
              <w:t xml:space="preserve"> 300-400 U</w:t>
            </w:r>
          </w:p>
        </w:tc>
        <w:tc>
          <w:tcPr>
            <w:tcW w:w="1842" w:type="dxa"/>
            <w:gridSpan w:val="2"/>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Placebo</w:t>
            </w:r>
          </w:p>
        </w:tc>
        <w:tc>
          <w:tcPr>
            <w:tcW w:w="4536" w:type="dxa"/>
            <w:gridSpan w:val="3"/>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 xml:space="preserve">Risk Difference (RD) </w:t>
            </w:r>
          </w:p>
        </w:tc>
      </w:tr>
      <w:tr w:rsidR="00B67FEF" w:rsidRPr="008F5D07" w:rsidTr="003E5082">
        <w:tc>
          <w:tcPr>
            <w:tcW w:w="851" w:type="dxa"/>
            <w:vMerge/>
            <w:hideMark/>
          </w:tcPr>
          <w:p w:rsidR="00B67FEF" w:rsidRPr="009E495C" w:rsidRDefault="00B67FEF" w:rsidP="004428BA">
            <w:pPr>
              <w:keepNext/>
              <w:widowControl/>
              <w:jc w:val="left"/>
              <w:rPr>
                <w:rFonts w:ascii="Arial Narrow" w:hAnsi="Arial Narrow"/>
                <w:b/>
                <w:sz w:val="20"/>
                <w:szCs w:val="20"/>
              </w:rPr>
            </w:pPr>
          </w:p>
        </w:tc>
        <w:tc>
          <w:tcPr>
            <w:tcW w:w="992"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n/N</w:t>
            </w:r>
          </w:p>
        </w:tc>
        <w:tc>
          <w:tcPr>
            <w:tcW w:w="851"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w:t>
            </w:r>
          </w:p>
        </w:tc>
        <w:tc>
          <w:tcPr>
            <w:tcW w:w="992"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n/N</w:t>
            </w:r>
          </w:p>
        </w:tc>
        <w:tc>
          <w:tcPr>
            <w:tcW w:w="850"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w:t>
            </w:r>
          </w:p>
        </w:tc>
        <w:tc>
          <w:tcPr>
            <w:tcW w:w="1560"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RD (95% CI)</w:t>
            </w:r>
          </w:p>
        </w:tc>
        <w:tc>
          <w:tcPr>
            <w:tcW w:w="850"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P value</w:t>
            </w:r>
          </w:p>
        </w:tc>
        <w:tc>
          <w:tcPr>
            <w:tcW w:w="2126" w:type="dxa"/>
            <w:hideMark/>
          </w:tcPr>
          <w:p w:rsidR="00B67FEF" w:rsidRPr="009E495C" w:rsidRDefault="00B67FEF" w:rsidP="004428BA">
            <w:pPr>
              <w:keepNext/>
              <w:widowControl/>
              <w:jc w:val="left"/>
              <w:rPr>
                <w:rFonts w:ascii="Arial Narrow" w:hAnsi="Arial Narrow"/>
                <w:b/>
                <w:sz w:val="20"/>
                <w:szCs w:val="20"/>
              </w:rPr>
            </w:pPr>
            <w:r w:rsidRPr="009E495C">
              <w:rPr>
                <w:rFonts w:ascii="Arial Narrow" w:hAnsi="Arial Narrow"/>
                <w:b/>
                <w:sz w:val="20"/>
                <w:szCs w:val="20"/>
              </w:rPr>
              <w:t>Heterogeneity</w:t>
            </w:r>
          </w:p>
        </w:tc>
      </w:tr>
      <w:tr w:rsidR="00B67FEF" w:rsidRPr="008F5D07" w:rsidTr="003E5082">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Week 4</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164/307</w:t>
            </w:r>
          </w:p>
        </w:tc>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53.4%</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112/313</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35.8%</w:t>
            </w:r>
          </w:p>
        </w:tc>
        <w:tc>
          <w:tcPr>
            <w:tcW w:w="156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0.24 (0.06, 0.41)</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0.007</w:t>
            </w:r>
          </w:p>
        </w:tc>
        <w:tc>
          <w:tcPr>
            <w:tcW w:w="2126"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 xml:space="preserve">Tau²=0.02; Chi²=6.09, </w:t>
            </w:r>
            <w:proofErr w:type="spellStart"/>
            <w:r w:rsidRPr="009E495C">
              <w:rPr>
                <w:rFonts w:ascii="Arial Narrow" w:hAnsi="Arial Narrow"/>
                <w:sz w:val="20"/>
                <w:szCs w:val="20"/>
              </w:rPr>
              <w:t>df</w:t>
            </w:r>
            <w:proofErr w:type="spellEnd"/>
            <w:r w:rsidRPr="009E495C">
              <w:rPr>
                <w:rFonts w:ascii="Arial Narrow" w:hAnsi="Arial Narrow"/>
                <w:sz w:val="20"/>
                <w:szCs w:val="20"/>
              </w:rPr>
              <w:t>=2 (P=0.05); I²=67%</w:t>
            </w:r>
          </w:p>
        </w:tc>
      </w:tr>
      <w:tr w:rsidR="00B67FEF" w:rsidRPr="008F5D07" w:rsidTr="003E5082">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Week 6</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159/291</w:t>
            </w:r>
          </w:p>
        </w:tc>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54.6%</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110/297</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37.0%</w:t>
            </w:r>
          </w:p>
        </w:tc>
        <w:tc>
          <w:tcPr>
            <w:tcW w:w="156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 xml:space="preserve">0.21 (0.04, 0.38) </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0.01</w:t>
            </w:r>
          </w:p>
        </w:tc>
        <w:tc>
          <w:tcPr>
            <w:tcW w:w="2126"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 xml:space="preserve">Tau²=0.01; Chi²=3.28, </w:t>
            </w:r>
            <w:proofErr w:type="spellStart"/>
            <w:r w:rsidRPr="009E495C">
              <w:rPr>
                <w:rFonts w:ascii="Arial Narrow" w:hAnsi="Arial Narrow"/>
                <w:sz w:val="20"/>
                <w:szCs w:val="20"/>
              </w:rPr>
              <w:t>df</w:t>
            </w:r>
            <w:proofErr w:type="spellEnd"/>
            <w:r w:rsidRPr="009E495C">
              <w:rPr>
                <w:rFonts w:ascii="Arial Narrow" w:hAnsi="Arial Narrow"/>
                <w:sz w:val="20"/>
                <w:szCs w:val="20"/>
              </w:rPr>
              <w:t>=1 (P=0.07); I²=70%</w:t>
            </w:r>
          </w:p>
        </w:tc>
      </w:tr>
      <w:tr w:rsidR="00B67FEF" w:rsidRPr="008F5D07" w:rsidTr="003E5082">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Week 8</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157/307</w:t>
            </w:r>
          </w:p>
        </w:tc>
        <w:tc>
          <w:tcPr>
            <w:tcW w:w="851"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51.1%</w:t>
            </w:r>
          </w:p>
        </w:tc>
        <w:tc>
          <w:tcPr>
            <w:tcW w:w="992"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111/313</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35.5%</w:t>
            </w:r>
          </w:p>
        </w:tc>
        <w:tc>
          <w:tcPr>
            <w:tcW w:w="156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0.29 (0.04, 0.54)</w:t>
            </w:r>
          </w:p>
        </w:tc>
        <w:tc>
          <w:tcPr>
            <w:tcW w:w="850"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0.02</w:t>
            </w:r>
          </w:p>
        </w:tc>
        <w:tc>
          <w:tcPr>
            <w:tcW w:w="2126" w:type="dxa"/>
            <w:hideMark/>
          </w:tcPr>
          <w:p w:rsidR="00B67FEF" w:rsidRPr="009E495C" w:rsidRDefault="00B67FEF" w:rsidP="004428BA">
            <w:pPr>
              <w:keepNext/>
              <w:widowControl/>
              <w:jc w:val="left"/>
              <w:rPr>
                <w:rFonts w:ascii="Arial Narrow" w:hAnsi="Arial Narrow"/>
                <w:sz w:val="20"/>
                <w:szCs w:val="20"/>
              </w:rPr>
            </w:pPr>
            <w:r w:rsidRPr="009E495C">
              <w:rPr>
                <w:rFonts w:ascii="Arial Narrow" w:hAnsi="Arial Narrow"/>
                <w:sz w:val="20"/>
                <w:szCs w:val="20"/>
              </w:rPr>
              <w:t xml:space="preserve">Tau²=0.04; Chi²=13.55, </w:t>
            </w:r>
            <w:proofErr w:type="spellStart"/>
            <w:r w:rsidRPr="009E495C">
              <w:rPr>
                <w:rFonts w:ascii="Arial Narrow" w:hAnsi="Arial Narrow"/>
                <w:sz w:val="20"/>
                <w:szCs w:val="20"/>
              </w:rPr>
              <w:t>df</w:t>
            </w:r>
            <w:proofErr w:type="spellEnd"/>
            <w:r w:rsidRPr="009E495C">
              <w:rPr>
                <w:rFonts w:ascii="Arial Narrow" w:hAnsi="Arial Narrow"/>
                <w:sz w:val="20"/>
                <w:szCs w:val="20"/>
              </w:rPr>
              <w:t>=2 (P=0.001); I²=85%</w:t>
            </w:r>
          </w:p>
        </w:tc>
      </w:tr>
    </w:tbl>
    <w:p w:rsidR="00B67FEF" w:rsidRPr="00286E38" w:rsidRDefault="00B67FEF" w:rsidP="004428BA">
      <w:pPr>
        <w:pStyle w:val="Tablefootnote"/>
        <w:keepNext/>
        <w:widowControl/>
        <w:rPr>
          <w:rFonts w:ascii="Arial Narrow" w:hAnsi="Arial Narrow"/>
        </w:rPr>
      </w:pPr>
      <w:r w:rsidRPr="00286E38">
        <w:rPr>
          <w:rFonts w:ascii="Arial Narrow" w:hAnsi="Arial Narrow"/>
        </w:rPr>
        <w:t>Abbreviation: CI = confidence interval; MAS= Modified Ashworth scale; RD= Risk Difference.</w:t>
      </w:r>
    </w:p>
    <w:p w:rsidR="00B67FEF" w:rsidRPr="00286E38" w:rsidRDefault="00B67FEF" w:rsidP="004428BA">
      <w:pPr>
        <w:pStyle w:val="Tablefootnote"/>
        <w:widowControl/>
        <w:rPr>
          <w:rFonts w:ascii="Arial Narrow" w:hAnsi="Arial Narrow"/>
        </w:rPr>
      </w:pPr>
      <w:r w:rsidRPr="00286E38">
        <w:rPr>
          <w:rFonts w:ascii="Arial Narrow" w:hAnsi="Arial Narrow"/>
        </w:rPr>
        <w:t xml:space="preserve">Source: </w:t>
      </w:r>
      <w:r w:rsidR="00617957">
        <w:rPr>
          <w:rFonts w:ascii="Arial Narrow" w:hAnsi="Arial Narrow"/>
        </w:rPr>
        <w:t xml:space="preserve">This condensed version of the meta-analysis was presented as </w:t>
      </w:r>
      <w:r w:rsidRPr="00286E38">
        <w:rPr>
          <w:rFonts w:ascii="Arial Narrow" w:hAnsi="Arial Narrow"/>
        </w:rPr>
        <w:t>Table 2, p7, PSCR</w:t>
      </w:r>
    </w:p>
    <w:p w:rsidR="00EE392A" w:rsidRPr="00BB76A8" w:rsidRDefault="00EE392A" w:rsidP="00BB76A8">
      <w:pPr>
        <w:pStyle w:val="Heading2"/>
      </w:pPr>
      <w:bookmarkStart w:id="33" w:name="_Toc371170707"/>
      <w:bookmarkStart w:id="34" w:name="_Toc524523781"/>
      <w:r w:rsidRPr="00BB76A8">
        <w:t>Comparative harms</w:t>
      </w:r>
      <w:bookmarkEnd w:id="33"/>
      <w:bookmarkEnd w:id="34"/>
    </w:p>
    <w:p w:rsidR="00E65291" w:rsidRPr="003D4516" w:rsidRDefault="002B60C3" w:rsidP="00BB76A8">
      <w:pPr>
        <w:pStyle w:val="ListParagraph"/>
      </w:pPr>
      <w:r w:rsidRPr="001A57E6">
        <w:t xml:space="preserve">Overall, more patients treated with </w:t>
      </w:r>
      <w:r w:rsidR="00EE500E">
        <w:t>BOTOX®</w:t>
      </w:r>
      <w:r w:rsidRPr="001A57E6">
        <w:t xml:space="preserve"> experienced AEs including serious AEs compared to patients in the placebo arm</w:t>
      </w:r>
      <w:r w:rsidR="00E063FB">
        <w:t>s of Trial 512 and REFLEX</w:t>
      </w:r>
      <w:r w:rsidRPr="001A57E6">
        <w:t xml:space="preserve">, but the differences did not reach statistical significance. Discontinuations due to AEs were higher </w:t>
      </w:r>
      <w:r w:rsidR="00484AD9">
        <w:t xml:space="preserve">in </w:t>
      </w:r>
      <w:r w:rsidRPr="001A57E6">
        <w:t xml:space="preserve">the </w:t>
      </w:r>
      <w:r w:rsidR="00EE500E">
        <w:t>BOTOX®</w:t>
      </w:r>
      <w:r w:rsidRPr="001A57E6">
        <w:t xml:space="preserve"> </w:t>
      </w:r>
      <w:r w:rsidR="002A15FB">
        <w:t>arms</w:t>
      </w:r>
      <w:r w:rsidRPr="001A57E6">
        <w:t>, but the rates were low in both trials.</w:t>
      </w:r>
      <w:r w:rsidR="004A5FEC">
        <w:t xml:space="preserve"> </w:t>
      </w:r>
      <w:r w:rsidRPr="001A57E6">
        <w:t>There were no deaths.</w:t>
      </w:r>
      <w:r w:rsidR="004A5FEC">
        <w:t xml:space="preserve"> </w:t>
      </w:r>
      <w:r w:rsidRPr="001A57E6">
        <w:t xml:space="preserve">The most common AEs reported were pain in extremity, </w:t>
      </w:r>
      <w:proofErr w:type="spellStart"/>
      <w:r w:rsidR="003E5082" w:rsidRPr="003D4516">
        <w:t>nasopharyngitis</w:t>
      </w:r>
      <w:proofErr w:type="spellEnd"/>
      <w:r w:rsidRPr="003D4516">
        <w:t xml:space="preserve"> and falls, but rates were similar in the </w:t>
      </w:r>
      <w:r w:rsidR="00EE500E">
        <w:t>BOTOX®</w:t>
      </w:r>
      <w:r w:rsidRPr="003D4516">
        <w:t xml:space="preserve"> and placebo groups.</w:t>
      </w:r>
      <w:r w:rsidR="004A5FEC">
        <w:t xml:space="preserve"> </w:t>
      </w:r>
      <w:r w:rsidRPr="003D4516">
        <w:t>In the trials, injection site pain for placebo arms would be associated with sham injections used to maintain blinding.</w:t>
      </w:r>
      <w:r w:rsidR="004A5FEC">
        <w:t xml:space="preserve"> </w:t>
      </w:r>
      <w:r w:rsidRPr="003D4516">
        <w:t xml:space="preserve">In clinical practice, patients not undergoing </w:t>
      </w:r>
      <w:r w:rsidR="00EE500E">
        <w:t>BOTOX®</w:t>
      </w:r>
      <w:r w:rsidRPr="003D4516">
        <w:t xml:space="preserve"> treatment </w:t>
      </w:r>
      <w:r w:rsidR="00484AD9" w:rsidRPr="003D4516">
        <w:t>would not experience</w:t>
      </w:r>
      <w:r w:rsidRPr="003D4516">
        <w:t xml:space="preserve"> discomfort.</w:t>
      </w:r>
      <w:r w:rsidR="004A5FEC">
        <w:t xml:space="preserve"> </w:t>
      </w:r>
      <w:r w:rsidRPr="003D4516">
        <w:t xml:space="preserve">It was noted that 2.2% and 5% of patients had reported injection site pain with </w:t>
      </w:r>
      <w:r w:rsidR="00EE500E">
        <w:t>BOTOX®</w:t>
      </w:r>
      <w:r w:rsidRPr="003D4516">
        <w:t xml:space="preserve"> treatment in REFLEX and Trial 512.</w:t>
      </w:r>
    </w:p>
    <w:p w:rsidR="002B60C3" w:rsidRPr="001A57E6" w:rsidRDefault="00E65291" w:rsidP="00BB76A8">
      <w:pPr>
        <w:pStyle w:val="ListParagraph"/>
        <w:rPr>
          <w:i/>
        </w:rPr>
      </w:pPr>
      <w:r w:rsidRPr="001A57E6">
        <w:t>The AE rates varied significantly across the secondary trials (with 10.1% to 27.6% of patients with treatment related AEs) and were higher than rates reported in the primary tr</w:t>
      </w:r>
      <w:r w:rsidR="00A245DB">
        <w:t>ials (</w:t>
      </w:r>
      <w:r w:rsidR="006D7BB5">
        <w:t>5.6</w:t>
      </w:r>
      <w:r w:rsidRPr="001A57E6">
        <w:t>% and 12</w:t>
      </w:r>
      <w:r w:rsidR="006D7BB5">
        <w:t>.1</w:t>
      </w:r>
      <w:r w:rsidRPr="001A57E6">
        <w:t>% for REFLEX and Trial 512</w:t>
      </w:r>
      <w:r w:rsidR="00617957">
        <w:t>,</w:t>
      </w:r>
      <w:r w:rsidRPr="001A57E6">
        <w:t xml:space="preserve"> respectively).</w:t>
      </w:r>
      <w:r w:rsidR="004A5FEC">
        <w:t xml:space="preserve"> </w:t>
      </w:r>
      <w:r w:rsidRPr="001A57E6">
        <w:t xml:space="preserve">In the double-blind phase of BEST, the rate of treatment-related AEs was also significantly higher in the </w:t>
      </w:r>
      <w:r w:rsidR="00EE500E">
        <w:t>BOTOX®</w:t>
      </w:r>
      <w:r w:rsidRPr="001A57E6">
        <w:t xml:space="preserve"> group 14 (10.1%) versus placebo 5 (3.7%) (Pearson's Chi square test p=0.05).</w:t>
      </w:r>
    </w:p>
    <w:p w:rsidR="00EE392A" w:rsidRPr="001A57E6" w:rsidRDefault="00EE392A" w:rsidP="00BB76A8">
      <w:pPr>
        <w:pStyle w:val="Heading2"/>
      </w:pPr>
      <w:bookmarkStart w:id="35" w:name="_Toc371170708"/>
      <w:bookmarkStart w:id="36" w:name="_Toc524523782"/>
      <w:r w:rsidRPr="001A57E6">
        <w:t>Benefits/harms</w:t>
      </w:r>
      <w:bookmarkEnd w:id="35"/>
      <w:bookmarkEnd w:id="36"/>
    </w:p>
    <w:p w:rsidR="008A18A2" w:rsidRPr="001A57E6" w:rsidRDefault="008A18A2" w:rsidP="00BB76A8">
      <w:pPr>
        <w:pStyle w:val="ListParagraph"/>
      </w:pPr>
      <w:r w:rsidRPr="001A57E6">
        <w:t xml:space="preserve">A summary of the comparative benefits and harms for </w:t>
      </w:r>
      <w:r w:rsidR="00EE500E">
        <w:t>BOTOX®</w:t>
      </w:r>
      <w:r w:rsidRPr="001A57E6">
        <w:t xml:space="preserve"> versus placebo </w:t>
      </w:r>
      <w:r w:rsidR="00A245DB">
        <w:t>is presented in Table 11</w:t>
      </w:r>
      <w:r w:rsidRPr="001A57E6">
        <w:t>.</w:t>
      </w:r>
      <w:r w:rsidR="004A5FEC">
        <w:t xml:space="preserve"> </w:t>
      </w:r>
      <w:r w:rsidRPr="001A57E6">
        <w:t>The main endpoints described in the trials have been used.</w:t>
      </w:r>
    </w:p>
    <w:p w:rsidR="008A18A2" w:rsidRPr="001A57E6" w:rsidRDefault="00A245DB" w:rsidP="004428BA">
      <w:pPr>
        <w:keepNext/>
        <w:widowControl/>
        <w:rPr>
          <w:rStyle w:val="CommentReference"/>
        </w:rPr>
      </w:pPr>
      <w:r>
        <w:rPr>
          <w:rStyle w:val="CommentReference"/>
        </w:rPr>
        <w:lastRenderedPageBreak/>
        <w:t>Table 1</w:t>
      </w:r>
      <w:r w:rsidR="00BD5880">
        <w:rPr>
          <w:rStyle w:val="CommentReference"/>
        </w:rPr>
        <w:t>1</w:t>
      </w:r>
      <w:r w:rsidR="008A18A2" w:rsidRPr="001A57E6">
        <w:rPr>
          <w:rStyle w:val="CommentReference"/>
        </w:rPr>
        <w:t xml:space="preserve">: Summary of comparative benefits and harms for </w:t>
      </w:r>
      <w:r w:rsidR="00EE500E">
        <w:rPr>
          <w:rStyle w:val="CommentReference"/>
        </w:rPr>
        <w:t>BOTOX®</w:t>
      </w:r>
      <w:r w:rsidR="008A18A2" w:rsidRPr="001A57E6">
        <w:rPr>
          <w:rStyle w:val="CommentReference"/>
        </w:rPr>
        <w:t xml:space="preserve"> and PBO</w:t>
      </w:r>
    </w:p>
    <w:tbl>
      <w:tblPr>
        <w:tblW w:w="5000" w:type="pct"/>
        <w:tblLayout w:type="fixed"/>
        <w:tblCellMar>
          <w:left w:w="28" w:type="dxa"/>
          <w:right w:w="28" w:type="dxa"/>
        </w:tblCellMar>
        <w:tblLook w:val="04A0" w:firstRow="1" w:lastRow="0" w:firstColumn="1" w:lastColumn="0" w:noHBand="0" w:noVBand="1"/>
      </w:tblPr>
      <w:tblGrid>
        <w:gridCol w:w="1633"/>
        <w:gridCol w:w="683"/>
        <w:gridCol w:w="1093"/>
        <w:gridCol w:w="13"/>
        <w:gridCol w:w="806"/>
        <w:gridCol w:w="819"/>
        <w:gridCol w:w="1369"/>
        <w:gridCol w:w="819"/>
        <w:gridCol w:w="1782"/>
      </w:tblGrid>
      <w:tr w:rsidR="008A18A2" w:rsidRPr="001A57E6" w:rsidTr="008A18A2">
        <w:trPr>
          <w:trHeight w:val="150"/>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b/>
                <w:color w:val="000000"/>
                <w:sz w:val="20"/>
                <w:szCs w:val="18"/>
              </w:rPr>
            </w:pPr>
          </w:p>
        </w:tc>
        <w:tc>
          <w:tcPr>
            <w:tcW w:w="379" w:type="pct"/>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b/>
                <w:color w:val="000000"/>
                <w:sz w:val="20"/>
                <w:szCs w:val="18"/>
              </w:rPr>
            </w:pPr>
            <w:r>
              <w:rPr>
                <w:rFonts w:ascii="Arial Narrow" w:hAnsi="Arial Narrow"/>
                <w:b/>
                <w:color w:val="000000"/>
                <w:sz w:val="20"/>
                <w:szCs w:val="18"/>
              </w:rPr>
              <w:t>BOTOX®</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n/N</w:t>
            </w:r>
          </w:p>
        </w:tc>
        <w:tc>
          <w:tcPr>
            <w:tcW w:w="613" w:type="pct"/>
            <w:gridSpan w:val="2"/>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PBO</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n/N</w:t>
            </w:r>
          </w:p>
        </w:tc>
        <w:tc>
          <w:tcPr>
            <w:tcW w:w="901" w:type="pct"/>
            <w:gridSpan w:val="2"/>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RR</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(95% CI)</w:t>
            </w:r>
          </w:p>
        </w:tc>
        <w:tc>
          <w:tcPr>
            <w:tcW w:w="1213"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 xml:space="preserve">Event rate/100 patients* </w:t>
            </w:r>
          </w:p>
        </w:tc>
        <w:tc>
          <w:tcPr>
            <w:tcW w:w="988" w:type="pct"/>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RD (95% CI)</w:t>
            </w:r>
          </w:p>
        </w:tc>
      </w:tr>
      <w:tr w:rsidR="008A18A2" w:rsidRPr="001A57E6" w:rsidTr="008A18A2">
        <w:trPr>
          <w:trHeight w:val="53"/>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b/>
                <w:color w:val="000000"/>
                <w:sz w:val="20"/>
                <w:szCs w:val="18"/>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p>
        </w:tc>
        <w:tc>
          <w:tcPr>
            <w:tcW w:w="613" w:type="pct"/>
            <w:gridSpan w:val="2"/>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p>
        </w:tc>
        <w:tc>
          <w:tcPr>
            <w:tcW w:w="901" w:type="pct"/>
            <w:gridSpan w:val="2"/>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b/>
                <w:color w:val="000000"/>
                <w:sz w:val="20"/>
                <w:szCs w:val="18"/>
              </w:rPr>
            </w:pPr>
            <w:r>
              <w:rPr>
                <w:rFonts w:ascii="Arial Narrow" w:hAnsi="Arial Narrow"/>
                <w:b/>
                <w:color w:val="000000"/>
                <w:sz w:val="20"/>
                <w:szCs w:val="18"/>
              </w:rPr>
              <w:t>BOTOX®</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PBO</w:t>
            </w:r>
          </w:p>
        </w:tc>
        <w:tc>
          <w:tcPr>
            <w:tcW w:w="988" w:type="pct"/>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p>
        </w:tc>
      </w:tr>
      <w:tr w:rsidR="008A18A2" w:rsidRPr="001A57E6" w:rsidTr="008A18A2">
        <w:tc>
          <w:tcPr>
            <w:tcW w:w="5000" w:type="pct"/>
            <w:gridSpan w:val="9"/>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A18A2" w:rsidRPr="001A57E6" w:rsidRDefault="008A18A2" w:rsidP="004428BA">
            <w:pPr>
              <w:keepNext/>
              <w:widowControl/>
              <w:rPr>
                <w:rFonts w:ascii="Arial Narrow" w:hAnsi="Arial Narrow"/>
                <w:b/>
                <w:color w:val="000000"/>
                <w:sz w:val="20"/>
                <w:szCs w:val="18"/>
              </w:rPr>
            </w:pPr>
            <w:r w:rsidRPr="001A57E6">
              <w:rPr>
                <w:rFonts w:ascii="Arial Narrow" w:hAnsi="Arial Narrow"/>
                <w:b/>
                <w:color w:val="000000"/>
                <w:sz w:val="20"/>
                <w:szCs w:val="18"/>
              </w:rPr>
              <w:t>Benefits</w:t>
            </w:r>
          </w:p>
        </w:tc>
      </w:tr>
      <w:tr w:rsidR="008A18A2" w:rsidRPr="001A57E6" w:rsidTr="008A18A2">
        <w:tc>
          <w:tcPr>
            <w:tcW w:w="5000" w:type="pct"/>
            <w:gridSpan w:val="9"/>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A2" w:rsidRPr="001A57E6" w:rsidRDefault="008A18A2" w:rsidP="004428BA">
            <w:pPr>
              <w:keepNext/>
              <w:widowControl/>
              <w:rPr>
                <w:rFonts w:ascii="Arial Narrow" w:hAnsi="Arial Narrow"/>
                <w:b/>
                <w:color w:val="000000"/>
                <w:sz w:val="20"/>
                <w:szCs w:val="18"/>
              </w:rPr>
            </w:pPr>
            <w:r w:rsidRPr="001A57E6">
              <w:rPr>
                <w:rFonts w:ascii="Arial Narrow" w:hAnsi="Arial Narrow"/>
                <w:b/>
                <w:color w:val="000000"/>
                <w:sz w:val="20"/>
                <w:szCs w:val="18"/>
              </w:rPr>
              <w:t xml:space="preserve">Continuous outcome: MAS change from baseline to Week 4-6 </w:t>
            </w:r>
          </w:p>
        </w:tc>
      </w:tr>
      <w:tr w:rsidR="008A18A2" w:rsidRPr="001A57E6" w:rsidTr="008A18A2">
        <w:trPr>
          <w:trHeight w:val="225"/>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p>
        </w:tc>
        <w:tc>
          <w:tcPr>
            <w:tcW w:w="1439" w:type="pct"/>
            <w:gridSpan w:val="4"/>
            <w:tcBorders>
              <w:top w:val="single" w:sz="4" w:space="0" w:color="auto"/>
              <w:left w:val="single" w:sz="4" w:space="0" w:color="auto"/>
              <w:bottom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color w:val="000000"/>
                <w:sz w:val="20"/>
                <w:szCs w:val="18"/>
              </w:rPr>
            </w:pPr>
            <w:r>
              <w:rPr>
                <w:rFonts w:ascii="Arial Narrow" w:hAnsi="Arial Narrow"/>
                <w:b/>
                <w:color w:val="000000"/>
                <w:sz w:val="20"/>
                <w:szCs w:val="18"/>
              </w:rPr>
              <w:t>BOTOX®</w:t>
            </w:r>
            <w:r w:rsidR="008A18A2" w:rsidRPr="001A57E6">
              <w:rPr>
                <w:rFonts w:ascii="Arial Narrow" w:hAnsi="Arial Narrow"/>
                <w:b/>
                <w:color w:val="000000"/>
                <w:sz w:val="20"/>
                <w:szCs w:val="18"/>
              </w:rPr>
              <w:t xml:space="preserve"> </w:t>
            </w:r>
          </w:p>
        </w:tc>
        <w:tc>
          <w:tcPr>
            <w:tcW w:w="1667" w:type="pct"/>
            <w:gridSpan w:val="3"/>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b/>
                <w:color w:val="000000"/>
                <w:sz w:val="20"/>
                <w:szCs w:val="18"/>
              </w:rPr>
              <w:t>PBO</w:t>
            </w:r>
          </w:p>
        </w:tc>
        <w:tc>
          <w:tcPr>
            <w:tcW w:w="988" w:type="pct"/>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 xml:space="preserve">Mean difference </w:t>
            </w:r>
          </w:p>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 xml:space="preserve"> (95% CI)</w:t>
            </w:r>
          </w:p>
        </w:tc>
      </w:tr>
      <w:tr w:rsidR="008A18A2" w:rsidRPr="001A57E6" w:rsidTr="008A18A2">
        <w:trPr>
          <w:trHeight w:val="265"/>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w:t>
            </w:r>
          </w:p>
        </w:tc>
        <w:tc>
          <w:tcPr>
            <w:tcW w:w="606"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Mean ∆ baseline</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SD</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 xml:space="preserve">Mean ∆ baseline </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SD</w:t>
            </w:r>
          </w:p>
        </w:tc>
        <w:tc>
          <w:tcPr>
            <w:tcW w:w="988" w:type="pct"/>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jc w:val="left"/>
              <w:rPr>
                <w:rFonts w:ascii="Arial Narrow" w:hAnsi="Arial Narrow"/>
                <w:sz w:val="20"/>
                <w:szCs w:val="18"/>
              </w:rPr>
            </w:pPr>
            <w:r w:rsidRPr="001A57E6">
              <w:rPr>
                <w:rFonts w:ascii="Arial Narrow" w:hAnsi="Arial Narrow"/>
                <w:b/>
                <w:bCs/>
                <w:color w:val="000000"/>
                <w:sz w:val="20"/>
                <w:szCs w:val="18"/>
              </w:rPr>
              <w:t>Average of Week 4-6</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REFLEX:</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233</w:t>
            </w:r>
          </w:p>
        </w:tc>
        <w:tc>
          <w:tcPr>
            <w:tcW w:w="606"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−0.81</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0.87</w:t>
            </w:r>
          </w:p>
        </w:tc>
        <w:tc>
          <w:tcPr>
            <w:tcW w:w="454" w:type="pct"/>
            <w:tcBorders>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235</w:t>
            </w:r>
          </w:p>
        </w:tc>
        <w:tc>
          <w:tcPr>
            <w:tcW w:w="759" w:type="pct"/>
            <w:tcBorders>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−0.61</w:t>
            </w:r>
          </w:p>
        </w:tc>
        <w:tc>
          <w:tcPr>
            <w:tcW w:w="454" w:type="pct"/>
            <w:tcBorders>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0.84</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3D4516" w:rsidP="004428BA">
            <w:pPr>
              <w:keepNext/>
              <w:widowControl/>
              <w:jc w:val="center"/>
              <w:rPr>
                <w:rFonts w:ascii="Arial Narrow" w:hAnsi="Arial Narrow"/>
                <w:b/>
                <w:bCs/>
                <w:sz w:val="20"/>
                <w:szCs w:val="18"/>
              </w:rPr>
            </w:pPr>
            <w:r>
              <w:rPr>
                <w:rFonts w:ascii="Arial Narrow" w:hAnsi="Arial Narrow"/>
                <w:b/>
                <w:bCs/>
                <w:sz w:val="20"/>
                <w:szCs w:val="18"/>
              </w:rPr>
              <w:t>-0.20 (-0.36, -</w:t>
            </w:r>
            <w:r w:rsidR="008A18A2" w:rsidRPr="001A57E6">
              <w:rPr>
                <w:rFonts w:ascii="Arial Narrow" w:hAnsi="Arial Narrow"/>
                <w:b/>
                <w:bCs/>
                <w:sz w:val="20"/>
                <w:szCs w:val="18"/>
              </w:rPr>
              <w:t>0.05)</w:t>
            </w: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jc w:val="left"/>
              <w:rPr>
                <w:rFonts w:ascii="Arial Narrow" w:hAnsi="Arial Narrow"/>
                <w:b/>
                <w:bCs/>
                <w:sz w:val="20"/>
                <w:szCs w:val="18"/>
              </w:rPr>
            </w:pPr>
            <w:r w:rsidRPr="001A57E6">
              <w:rPr>
                <w:rFonts w:ascii="Arial Narrow" w:hAnsi="Arial Narrow"/>
                <w:b/>
                <w:bCs/>
                <w:sz w:val="20"/>
                <w:szCs w:val="18"/>
              </w:rPr>
              <w:t>Week 6</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Trial 512</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57</w:t>
            </w:r>
          </w:p>
        </w:tc>
        <w:tc>
          <w:tcPr>
            <w:tcW w:w="606"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−0.91</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0.73</w:t>
            </w:r>
          </w:p>
        </w:tc>
        <w:tc>
          <w:tcPr>
            <w:tcW w:w="454"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61</w:t>
            </w:r>
          </w:p>
        </w:tc>
        <w:tc>
          <w:tcPr>
            <w:tcW w:w="759"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−0.47</w:t>
            </w:r>
          </w:p>
        </w:tc>
        <w:tc>
          <w:tcPr>
            <w:tcW w:w="454"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0.71</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3D4516" w:rsidP="004428BA">
            <w:pPr>
              <w:keepNext/>
              <w:widowControl/>
              <w:jc w:val="center"/>
              <w:rPr>
                <w:rFonts w:ascii="Arial Narrow" w:hAnsi="Arial Narrow"/>
                <w:b/>
                <w:bCs/>
                <w:sz w:val="20"/>
                <w:szCs w:val="18"/>
              </w:rPr>
            </w:pPr>
            <w:r>
              <w:rPr>
                <w:rFonts w:ascii="Arial Narrow" w:hAnsi="Arial Narrow"/>
                <w:b/>
                <w:bCs/>
                <w:sz w:val="20"/>
                <w:szCs w:val="18"/>
              </w:rPr>
              <w:t>-0.45 (-0.70, -</w:t>
            </w:r>
            <w:r w:rsidR="008A18A2" w:rsidRPr="001A57E6">
              <w:rPr>
                <w:rFonts w:ascii="Arial Narrow" w:hAnsi="Arial Narrow"/>
                <w:b/>
                <w:bCs/>
                <w:sz w:val="20"/>
                <w:szCs w:val="18"/>
              </w:rPr>
              <w:t>0.18)</w:t>
            </w:r>
          </w:p>
        </w:tc>
      </w:tr>
      <w:tr w:rsidR="008A18A2" w:rsidRPr="001A57E6" w:rsidTr="008A18A2">
        <w:tc>
          <w:tcPr>
            <w:tcW w:w="906" w:type="pct"/>
            <w:vMerge w:val="restart"/>
            <w:tcBorders>
              <w:top w:val="double" w:sz="4" w:space="0" w:color="auto"/>
              <w:left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b/>
                <w:color w:val="000000"/>
                <w:sz w:val="20"/>
                <w:szCs w:val="18"/>
              </w:rPr>
            </w:pPr>
          </w:p>
        </w:tc>
        <w:tc>
          <w:tcPr>
            <w:tcW w:w="379" w:type="pct"/>
            <w:vMerge w:val="restart"/>
            <w:tcBorders>
              <w:top w:val="double" w:sz="4" w:space="0" w:color="auto"/>
              <w:left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b/>
                <w:color w:val="000000"/>
                <w:sz w:val="20"/>
                <w:szCs w:val="18"/>
              </w:rPr>
            </w:pPr>
            <w:r>
              <w:rPr>
                <w:rFonts w:ascii="Arial Narrow" w:hAnsi="Arial Narrow"/>
                <w:b/>
                <w:color w:val="000000"/>
                <w:sz w:val="20"/>
                <w:szCs w:val="18"/>
              </w:rPr>
              <w:t>BOTOX®</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n/N</w:t>
            </w:r>
          </w:p>
        </w:tc>
        <w:tc>
          <w:tcPr>
            <w:tcW w:w="613" w:type="pct"/>
            <w:gridSpan w:val="2"/>
            <w:vMerge w:val="restart"/>
            <w:tcBorders>
              <w:top w:val="doub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PBO</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n/N</w:t>
            </w:r>
          </w:p>
        </w:tc>
        <w:tc>
          <w:tcPr>
            <w:tcW w:w="901" w:type="pct"/>
            <w:gridSpan w:val="2"/>
            <w:vMerge w:val="restart"/>
            <w:tcBorders>
              <w:top w:val="doub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RR</w:t>
            </w:r>
          </w:p>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(95% CI)</w:t>
            </w:r>
          </w:p>
        </w:tc>
        <w:tc>
          <w:tcPr>
            <w:tcW w:w="1213" w:type="pct"/>
            <w:gridSpan w:val="2"/>
            <w:tcBorders>
              <w:top w:val="doub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b/>
                <w:color w:val="000000"/>
                <w:sz w:val="20"/>
                <w:szCs w:val="18"/>
              </w:rPr>
              <w:t>Event rate/100 patients*</w:t>
            </w:r>
          </w:p>
        </w:tc>
        <w:tc>
          <w:tcPr>
            <w:tcW w:w="988" w:type="pct"/>
            <w:vMerge w:val="restart"/>
            <w:tcBorders>
              <w:top w:val="doub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RD</w:t>
            </w:r>
          </w:p>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color w:val="000000"/>
                <w:sz w:val="20"/>
                <w:szCs w:val="18"/>
              </w:rPr>
              <w:t>(95% CI)</w:t>
            </w:r>
          </w:p>
        </w:tc>
      </w:tr>
      <w:tr w:rsidR="008A18A2" w:rsidRPr="001A57E6" w:rsidTr="008A18A2">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p>
        </w:tc>
        <w:tc>
          <w:tcPr>
            <w:tcW w:w="613" w:type="pct"/>
            <w:gridSpan w:val="2"/>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p>
        </w:tc>
        <w:tc>
          <w:tcPr>
            <w:tcW w:w="901" w:type="pct"/>
            <w:gridSpan w:val="2"/>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color w:val="000000"/>
                <w:sz w:val="20"/>
                <w:szCs w:val="18"/>
              </w:rPr>
            </w:pPr>
            <w:r>
              <w:rPr>
                <w:rFonts w:ascii="Arial Narrow" w:hAnsi="Arial Narrow"/>
                <w:b/>
                <w:color w:val="000000"/>
                <w:sz w:val="20"/>
                <w:szCs w:val="18"/>
              </w:rPr>
              <w:t>BOTOX®</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b/>
                <w:color w:val="000000"/>
                <w:sz w:val="20"/>
                <w:szCs w:val="18"/>
              </w:rPr>
              <w:t>PBO</w:t>
            </w:r>
          </w:p>
        </w:tc>
        <w:tc>
          <w:tcPr>
            <w:tcW w:w="988" w:type="pct"/>
            <w:vMerge/>
            <w:tcBorders>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A2" w:rsidRPr="001A57E6" w:rsidRDefault="008A18A2" w:rsidP="004428BA">
            <w:pPr>
              <w:keepNext/>
              <w:widowControl/>
              <w:jc w:val="left"/>
              <w:rPr>
                <w:rFonts w:ascii="Arial Narrow" w:hAnsi="Arial Narrow"/>
                <w:b/>
                <w:bCs/>
                <w:color w:val="000000"/>
                <w:sz w:val="20"/>
                <w:szCs w:val="18"/>
              </w:rPr>
            </w:pPr>
            <w:r w:rsidRPr="001A57E6">
              <w:rPr>
                <w:rFonts w:ascii="Arial Narrow" w:hAnsi="Arial Narrow"/>
                <w:b/>
                <w:color w:val="000000"/>
                <w:sz w:val="20"/>
                <w:szCs w:val="18"/>
              </w:rPr>
              <w:t>Dichotomous outcome: MAS responder (</w:t>
            </w:r>
            <w:r w:rsidRPr="001A57E6">
              <w:rPr>
                <w:rFonts w:ascii="Arial Narrow" w:hAnsi="Arial Narrow"/>
                <w:b/>
                <w:sz w:val="20"/>
                <w:szCs w:val="18"/>
              </w:rPr>
              <w:t>∆≥1) Week 6</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jc w:val="left"/>
              <w:rPr>
                <w:rFonts w:ascii="Arial Narrow" w:hAnsi="Arial Narrow"/>
                <w:color w:val="000000"/>
                <w:sz w:val="20"/>
                <w:szCs w:val="18"/>
              </w:rPr>
            </w:pPr>
            <w:r w:rsidRPr="001A57E6">
              <w:rPr>
                <w:rFonts w:ascii="Arial Narrow" w:hAnsi="Arial Narrow"/>
                <w:color w:val="000000"/>
                <w:sz w:val="20"/>
                <w:szCs w:val="18"/>
              </w:rPr>
              <w:t>REFLEX</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120/225</w:t>
            </w:r>
          </w:p>
        </w:tc>
        <w:tc>
          <w:tcPr>
            <w:tcW w:w="613" w:type="pct"/>
            <w:gridSpan w:val="2"/>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88/224</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1.36 (1.11, 1.66)</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53.3</w:t>
            </w:r>
          </w:p>
        </w:tc>
        <w:tc>
          <w:tcPr>
            <w:tcW w:w="454"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39.3</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bCs/>
                <w:color w:val="000000"/>
                <w:sz w:val="20"/>
                <w:szCs w:val="18"/>
              </w:rPr>
              <w:t>0.14 (0.05, 0.23)</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Trial 512</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39/58</w:t>
            </w:r>
          </w:p>
        </w:tc>
        <w:tc>
          <w:tcPr>
            <w:tcW w:w="613"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22/62</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1.89 (1.30, 2.77)</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67.2</w:t>
            </w:r>
          </w:p>
        </w:tc>
        <w:tc>
          <w:tcPr>
            <w:tcW w:w="454" w:type="pct"/>
            <w:tcBorders>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35.5</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bCs/>
                <w:color w:val="000000"/>
                <w:sz w:val="20"/>
                <w:szCs w:val="18"/>
              </w:rPr>
              <w:t>0.32 (0.15, 0.49)</w:t>
            </w: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b/>
                <w:color w:val="000000"/>
                <w:sz w:val="20"/>
                <w:szCs w:val="18"/>
              </w:rPr>
              <w:t xml:space="preserve">Dichotomous outcome: GAS </w:t>
            </w:r>
            <w:r w:rsidRPr="001A57E6">
              <w:rPr>
                <w:rFonts w:ascii="Arial Narrow" w:hAnsi="Arial Narrow"/>
                <w:b/>
                <w:sz w:val="20"/>
                <w:szCs w:val="18"/>
              </w:rPr>
              <w:t>REFLEX Week 8</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Physician Active</w:t>
            </w:r>
          </w:p>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Slight improvement</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153/225</w:t>
            </w:r>
          </w:p>
        </w:tc>
        <w:tc>
          <w:tcPr>
            <w:tcW w:w="613"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128/228</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1.21 (1.05, 1.40)</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68.0</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56.1</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bCs/>
                <w:color w:val="000000"/>
                <w:sz w:val="20"/>
                <w:szCs w:val="18"/>
              </w:rPr>
              <w:t>0.12 (0.03, 0.21)</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Physician Passive</w:t>
            </w:r>
          </w:p>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Slight improvement</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139/213</w:t>
            </w:r>
          </w:p>
        </w:tc>
        <w:tc>
          <w:tcPr>
            <w:tcW w:w="613"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121/217</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1.17 (1.00. 1.36)</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65.3</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55.8</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bCs/>
                <w:color w:val="000000"/>
                <w:sz w:val="20"/>
                <w:szCs w:val="18"/>
              </w:rPr>
              <w:t>0.09 (0.00, 0.19)</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Patient Active</w:t>
            </w:r>
          </w:p>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Slight improvement</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141/212</w:t>
            </w:r>
          </w:p>
        </w:tc>
        <w:tc>
          <w:tcPr>
            <w:tcW w:w="613"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118/215</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1.21 (1.04, 1.41)</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66.5</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54.9</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color w:val="000000"/>
                <w:sz w:val="20"/>
                <w:szCs w:val="18"/>
              </w:rPr>
            </w:pPr>
            <w:r w:rsidRPr="001A57E6">
              <w:rPr>
                <w:rFonts w:ascii="Arial Narrow" w:hAnsi="Arial Narrow"/>
                <w:b/>
                <w:bCs/>
                <w:color w:val="000000"/>
                <w:sz w:val="20"/>
                <w:szCs w:val="18"/>
              </w:rPr>
              <w:t>0.12 (0.02, 0.21)</w:t>
            </w:r>
          </w:p>
        </w:tc>
      </w:tr>
      <w:tr w:rsidR="008A18A2" w:rsidRPr="001A57E6" w:rsidTr="008A18A2">
        <w:tc>
          <w:tcPr>
            <w:tcW w:w="5000" w:type="pct"/>
            <w:gridSpan w:val="9"/>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A2" w:rsidRPr="001A57E6" w:rsidRDefault="008A18A2" w:rsidP="004428BA">
            <w:pPr>
              <w:keepNext/>
              <w:widowControl/>
              <w:rPr>
                <w:rFonts w:ascii="Arial Narrow" w:hAnsi="Arial Narrow"/>
                <w:b/>
                <w:color w:val="000000"/>
                <w:sz w:val="20"/>
                <w:szCs w:val="18"/>
              </w:rPr>
            </w:pPr>
            <w:r w:rsidRPr="001A57E6">
              <w:rPr>
                <w:rFonts w:ascii="Arial Narrow" w:hAnsi="Arial Narrow"/>
                <w:b/>
                <w:color w:val="000000"/>
                <w:sz w:val="20"/>
                <w:szCs w:val="18"/>
              </w:rPr>
              <w:t>Continuous outcome: CGI Physician to Week 4-6</w:t>
            </w:r>
          </w:p>
        </w:tc>
      </w:tr>
      <w:tr w:rsidR="008A18A2" w:rsidRPr="001A57E6" w:rsidTr="008A18A2">
        <w:trPr>
          <w:trHeight w:val="225"/>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p>
        </w:tc>
        <w:tc>
          <w:tcPr>
            <w:tcW w:w="1439" w:type="pct"/>
            <w:gridSpan w:val="4"/>
            <w:tcBorders>
              <w:top w:val="single" w:sz="4" w:space="0" w:color="auto"/>
              <w:left w:val="single" w:sz="4" w:space="0" w:color="auto"/>
              <w:bottom w:val="single" w:sz="4" w:space="0" w:color="auto"/>
              <w:right w:val="single" w:sz="4" w:space="0" w:color="auto"/>
            </w:tcBorders>
            <w:vAlign w:val="center"/>
          </w:tcPr>
          <w:p w:rsidR="008A18A2" w:rsidRPr="001A57E6" w:rsidRDefault="00EE500E" w:rsidP="004428BA">
            <w:pPr>
              <w:keepNext/>
              <w:widowControl/>
              <w:jc w:val="center"/>
              <w:rPr>
                <w:rFonts w:ascii="Arial Narrow" w:hAnsi="Arial Narrow"/>
                <w:color w:val="000000"/>
                <w:sz w:val="20"/>
                <w:szCs w:val="18"/>
              </w:rPr>
            </w:pPr>
            <w:r>
              <w:rPr>
                <w:rFonts w:ascii="Arial Narrow" w:hAnsi="Arial Narrow"/>
                <w:b/>
                <w:color w:val="000000"/>
                <w:sz w:val="20"/>
                <w:szCs w:val="18"/>
              </w:rPr>
              <w:t>BOTOX®</w:t>
            </w:r>
          </w:p>
        </w:tc>
        <w:tc>
          <w:tcPr>
            <w:tcW w:w="1667" w:type="pct"/>
            <w:gridSpan w:val="3"/>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b/>
                <w:color w:val="000000"/>
                <w:sz w:val="20"/>
                <w:szCs w:val="18"/>
              </w:rPr>
              <w:t>PBO</w:t>
            </w:r>
          </w:p>
        </w:tc>
        <w:tc>
          <w:tcPr>
            <w:tcW w:w="988" w:type="pct"/>
            <w:vMerge w:val="restar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Mean difference</w:t>
            </w:r>
          </w:p>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(95% CI)</w:t>
            </w:r>
          </w:p>
        </w:tc>
      </w:tr>
      <w:tr w:rsidR="008A18A2" w:rsidRPr="001A57E6" w:rsidTr="008A18A2">
        <w:trPr>
          <w:trHeight w:val="265"/>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w:t>
            </w:r>
          </w:p>
        </w:tc>
        <w:tc>
          <w:tcPr>
            <w:tcW w:w="606"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Mean</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SD</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color w:val="000000"/>
                <w:sz w:val="20"/>
                <w:szCs w:val="18"/>
              </w:rPr>
            </w:pPr>
            <w:r w:rsidRPr="001A57E6">
              <w:rPr>
                <w:rFonts w:ascii="Arial Narrow" w:hAnsi="Arial Narrow"/>
                <w:b/>
                <w:color w:val="000000"/>
                <w:sz w:val="20"/>
                <w:szCs w:val="18"/>
              </w:rPr>
              <w:t>N</w:t>
            </w:r>
          </w:p>
        </w:tc>
        <w:tc>
          <w:tcPr>
            <w:tcW w:w="75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 xml:space="preserve">Mean </w:t>
            </w:r>
          </w:p>
        </w:tc>
        <w:tc>
          <w:tcPr>
            <w:tcW w:w="454"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r w:rsidRPr="001A57E6">
              <w:rPr>
                <w:rFonts w:ascii="Arial Narrow" w:hAnsi="Arial Narrow"/>
                <w:b/>
                <w:sz w:val="20"/>
                <w:szCs w:val="18"/>
              </w:rPr>
              <w:t>SD</w:t>
            </w:r>
          </w:p>
        </w:tc>
        <w:tc>
          <w:tcPr>
            <w:tcW w:w="988" w:type="pct"/>
            <w:vMerge/>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sz w:val="20"/>
                <w:szCs w:val="18"/>
              </w:rPr>
            </w:pP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jc w:val="left"/>
              <w:rPr>
                <w:rFonts w:ascii="Arial Narrow" w:hAnsi="Arial Narrow"/>
                <w:sz w:val="20"/>
                <w:szCs w:val="18"/>
              </w:rPr>
            </w:pPr>
            <w:r w:rsidRPr="001A57E6">
              <w:rPr>
                <w:rFonts w:ascii="Arial Narrow" w:hAnsi="Arial Narrow"/>
                <w:b/>
                <w:bCs/>
                <w:color w:val="000000"/>
                <w:sz w:val="20"/>
                <w:szCs w:val="18"/>
              </w:rPr>
              <w:t>Average of Week 4-6</w:t>
            </w:r>
          </w:p>
        </w:tc>
      </w:tr>
      <w:tr w:rsidR="008A18A2" w:rsidRPr="001A57E6" w:rsidTr="008A18A2">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REFLEX</w:t>
            </w:r>
          </w:p>
        </w:tc>
        <w:tc>
          <w:tcPr>
            <w:tcW w:w="379"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233</w:t>
            </w:r>
          </w:p>
        </w:tc>
        <w:tc>
          <w:tcPr>
            <w:tcW w:w="606"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0.86</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0.95</w:t>
            </w:r>
          </w:p>
        </w:tc>
        <w:tc>
          <w:tcPr>
            <w:tcW w:w="454"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235</w:t>
            </w:r>
          </w:p>
        </w:tc>
        <w:tc>
          <w:tcPr>
            <w:tcW w:w="759"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0.65</w:t>
            </w:r>
          </w:p>
        </w:tc>
        <w:tc>
          <w:tcPr>
            <w:tcW w:w="454" w:type="pct"/>
            <w:tcBorders>
              <w:top w:val="single" w:sz="4" w:space="0" w:color="auto"/>
              <w:left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0.90</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pStyle w:val="Tabletext"/>
              <w:keepNext/>
              <w:keepLines/>
              <w:jc w:val="center"/>
              <w:rPr>
                <w:b/>
                <w:bCs/>
                <w:highlight w:val="yellow"/>
              </w:rPr>
            </w:pPr>
            <w:r w:rsidRPr="001A57E6">
              <w:rPr>
                <w:b/>
                <w:bCs/>
              </w:rPr>
              <w:t>0.22 (0.048, 0.383)</w:t>
            </w:r>
          </w:p>
        </w:tc>
      </w:tr>
      <w:tr w:rsidR="008A18A2" w:rsidRPr="001A57E6" w:rsidTr="008A18A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18A2" w:rsidRPr="001A57E6" w:rsidRDefault="008A18A2" w:rsidP="004428BA">
            <w:pPr>
              <w:keepNext/>
              <w:widowControl/>
              <w:jc w:val="left"/>
              <w:rPr>
                <w:rFonts w:ascii="Arial Narrow" w:hAnsi="Arial Narrow"/>
                <w:b/>
                <w:bCs/>
                <w:sz w:val="20"/>
                <w:szCs w:val="18"/>
              </w:rPr>
            </w:pPr>
            <w:r w:rsidRPr="001A57E6">
              <w:rPr>
                <w:rFonts w:ascii="Arial Narrow" w:hAnsi="Arial Narrow"/>
                <w:b/>
                <w:bCs/>
                <w:sz w:val="20"/>
                <w:szCs w:val="18"/>
              </w:rPr>
              <w:t>Week 6</w:t>
            </w:r>
          </w:p>
        </w:tc>
      </w:tr>
      <w:tr w:rsidR="008A18A2" w:rsidRPr="001A57E6" w:rsidTr="008A18A2">
        <w:tc>
          <w:tcPr>
            <w:tcW w:w="906" w:type="pct"/>
            <w:tcBorders>
              <w:top w:val="single" w:sz="4" w:space="0" w:color="auto"/>
              <w:left w:val="single" w:sz="4" w:space="0" w:color="auto"/>
              <w:bottom w:val="double" w:sz="4" w:space="0" w:color="auto"/>
              <w:right w:val="single" w:sz="4" w:space="0" w:color="auto"/>
            </w:tcBorders>
            <w:shd w:val="clear" w:color="auto" w:fill="auto"/>
            <w:vAlign w:val="center"/>
          </w:tcPr>
          <w:p w:rsidR="008A18A2" w:rsidRPr="001A57E6" w:rsidRDefault="008A18A2" w:rsidP="004428BA">
            <w:pPr>
              <w:keepNext/>
              <w:widowControl/>
              <w:rPr>
                <w:rFonts w:ascii="Arial Narrow" w:hAnsi="Arial Narrow"/>
                <w:color w:val="000000"/>
                <w:sz w:val="20"/>
                <w:szCs w:val="18"/>
              </w:rPr>
            </w:pPr>
            <w:r w:rsidRPr="001A57E6">
              <w:rPr>
                <w:rFonts w:ascii="Arial Narrow" w:hAnsi="Arial Narrow"/>
                <w:color w:val="000000"/>
                <w:sz w:val="20"/>
                <w:szCs w:val="18"/>
              </w:rPr>
              <w:t>Trial 512</w:t>
            </w:r>
          </w:p>
        </w:tc>
        <w:tc>
          <w:tcPr>
            <w:tcW w:w="379" w:type="pct"/>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56</w:t>
            </w:r>
          </w:p>
        </w:tc>
        <w:tc>
          <w:tcPr>
            <w:tcW w:w="606" w:type="pct"/>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1.21</w:t>
            </w:r>
          </w:p>
        </w:tc>
        <w:tc>
          <w:tcPr>
            <w:tcW w:w="454" w:type="pct"/>
            <w:gridSpan w:val="2"/>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1.56</w:t>
            </w:r>
          </w:p>
        </w:tc>
        <w:tc>
          <w:tcPr>
            <w:tcW w:w="454" w:type="pct"/>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61</w:t>
            </w:r>
          </w:p>
        </w:tc>
        <w:tc>
          <w:tcPr>
            <w:tcW w:w="759" w:type="pct"/>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0.66</w:t>
            </w:r>
          </w:p>
        </w:tc>
        <w:tc>
          <w:tcPr>
            <w:tcW w:w="454" w:type="pct"/>
            <w:tcBorders>
              <w:top w:val="single" w:sz="4" w:space="0" w:color="auto"/>
              <w:left w:val="single" w:sz="4" w:space="0" w:color="auto"/>
              <w:bottom w:val="double" w:sz="4" w:space="0" w:color="auto"/>
              <w:right w:val="single" w:sz="4" w:space="0" w:color="auto"/>
            </w:tcBorders>
            <w:vAlign w:val="center"/>
          </w:tcPr>
          <w:p w:rsidR="008A18A2" w:rsidRPr="001A57E6" w:rsidRDefault="008A18A2" w:rsidP="004428BA">
            <w:pPr>
              <w:keepNext/>
              <w:widowControl/>
              <w:jc w:val="center"/>
              <w:rPr>
                <w:rFonts w:ascii="Arial Narrow" w:hAnsi="Arial Narrow"/>
                <w:color w:val="000000"/>
                <w:sz w:val="20"/>
                <w:szCs w:val="18"/>
              </w:rPr>
            </w:pPr>
            <w:r w:rsidRPr="001A57E6">
              <w:rPr>
                <w:rFonts w:ascii="Arial Narrow" w:hAnsi="Arial Narrow"/>
                <w:color w:val="000000"/>
                <w:sz w:val="20"/>
                <w:szCs w:val="18"/>
              </w:rPr>
              <w:t>1.18</w:t>
            </w:r>
          </w:p>
        </w:tc>
        <w:tc>
          <w:tcPr>
            <w:tcW w:w="988" w:type="pct"/>
            <w:tcBorders>
              <w:top w:val="single" w:sz="4" w:space="0" w:color="auto"/>
              <w:left w:val="single" w:sz="4" w:space="0" w:color="auto"/>
              <w:bottom w:val="single" w:sz="4" w:space="0" w:color="auto"/>
              <w:right w:val="single" w:sz="4" w:space="0" w:color="auto"/>
            </w:tcBorders>
            <w:vAlign w:val="center"/>
          </w:tcPr>
          <w:p w:rsidR="008A18A2" w:rsidRPr="001A57E6" w:rsidRDefault="008A18A2" w:rsidP="004428BA">
            <w:pPr>
              <w:keepNext/>
              <w:widowControl/>
              <w:jc w:val="center"/>
              <w:rPr>
                <w:rFonts w:ascii="Arial Narrow" w:hAnsi="Arial Narrow"/>
                <w:b/>
                <w:bCs/>
                <w:sz w:val="20"/>
                <w:szCs w:val="18"/>
              </w:rPr>
            </w:pPr>
            <w:r w:rsidRPr="001A57E6">
              <w:rPr>
                <w:rFonts w:ascii="Arial Narrow" w:hAnsi="Arial Narrow"/>
                <w:b/>
                <w:bCs/>
                <w:sz w:val="20"/>
                <w:szCs w:val="18"/>
              </w:rPr>
              <w:t>0.56 (0.05,1.05)</w:t>
            </w:r>
          </w:p>
        </w:tc>
      </w:tr>
    </w:tbl>
    <w:p w:rsidR="008A18A2" w:rsidRPr="001A57E6" w:rsidRDefault="008A18A2" w:rsidP="004428BA">
      <w:pPr>
        <w:pStyle w:val="TableFooter"/>
        <w:widowControl/>
      </w:pPr>
      <w:r w:rsidRPr="001A57E6">
        <w:t>Abbreviations: MAS=modified Ashworth scale; GAS=goal attainment scale, CGI=clinical global impression; RD = risk difference; RR = risk ratio;</w:t>
      </w:r>
      <w:r w:rsidRPr="001A57E6">
        <w:rPr>
          <w:b/>
          <w:bCs/>
          <w:szCs w:val="18"/>
        </w:rPr>
        <w:t xml:space="preserve"> </w:t>
      </w:r>
      <w:r w:rsidRPr="001A57E6">
        <w:t>TEAE=treatment emergent adverse event, NR=not reported.</w:t>
      </w:r>
    </w:p>
    <w:p w:rsidR="008A18A2" w:rsidRPr="001A57E6" w:rsidRDefault="008A18A2" w:rsidP="004428BA">
      <w:pPr>
        <w:pStyle w:val="TableFooter"/>
        <w:widowControl/>
      </w:pPr>
      <w:r w:rsidRPr="001A57E6">
        <w:t>Source: compiled during the evaluation based on efficacy results reported in the submission.</w:t>
      </w:r>
    </w:p>
    <w:p w:rsidR="008A18A2" w:rsidRPr="00397B67" w:rsidRDefault="008A18A2" w:rsidP="004428BA">
      <w:pPr>
        <w:widowControl/>
        <w:jc w:val="left"/>
        <w:rPr>
          <w:rStyle w:val="CommentReference"/>
          <w:sz w:val="18"/>
          <w:szCs w:val="18"/>
        </w:rPr>
      </w:pPr>
    </w:p>
    <w:p w:rsidR="008A18A2" w:rsidRPr="001A57E6" w:rsidRDefault="008A18A2" w:rsidP="00BB76A8">
      <w:pPr>
        <w:pStyle w:val="ListParagraph"/>
      </w:pPr>
      <w:r w:rsidRPr="001A57E6">
        <w:t xml:space="preserve">On the basis of direct evidence presented by the resubmission the comparison of </w:t>
      </w:r>
      <w:r w:rsidR="00EE500E">
        <w:t>BOTOX®</w:t>
      </w:r>
      <w:r w:rsidRPr="001A57E6">
        <w:t xml:space="preserve"> and </w:t>
      </w:r>
      <w:r w:rsidR="002A15FB">
        <w:t>placebo</w:t>
      </w:r>
      <w:r w:rsidR="00573754">
        <w:t xml:space="preserve"> after one dose</w:t>
      </w:r>
      <w:r w:rsidRPr="001A57E6">
        <w:t xml:space="preserve"> in:</w:t>
      </w:r>
    </w:p>
    <w:p w:rsidR="008A18A2" w:rsidRPr="001A57E6" w:rsidRDefault="008A18A2" w:rsidP="004428BA">
      <w:pPr>
        <w:widowControl/>
        <w:spacing w:after="120"/>
        <w:ind w:left="153" w:firstLine="170"/>
        <w:rPr>
          <w:b/>
          <w:bCs/>
        </w:rPr>
      </w:pPr>
      <w:r w:rsidRPr="001A57E6">
        <w:rPr>
          <w:b/>
          <w:bCs/>
        </w:rPr>
        <w:t xml:space="preserve">A) REFLEX </w:t>
      </w:r>
      <w:r w:rsidR="00476504" w:rsidRPr="001A57E6">
        <w:rPr>
          <w:b/>
          <w:bCs/>
        </w:rPr>
        <w:t>r</w:t>
      </w:r>
      <w:r w:rsidRPr="001A57E6">
        <w:rPr>
          <w:b/>
          <w:bCs/>
        </w:rPr>
        <w:t>esulted in:</w:t>
      </w:r>
    </w:p>
    <w:p w:rsidR="008A18A2" w:rsidRPr="001A57E6" w:rsidRDefault="008E3E97" w:rsidP="00BB76A8">
      <w:pPr>
        <w:pStyle w:val="ListParagraph"/>
        <w:numPr>
          <w:ilvl w:val="0"/>
          <w:numId w:val="14"/>
        </w:numPr>
      </w:pPr>
      <w:r w:rsidRPr="00D4296D">
        <w:rPr>
          <w:snapToGrid/>
          <w:lang w:eastAsia="en-AU"/>
        </w:rPr>
        <w:t>A</w:t>
      </w:r>
      <w:r w:rsidR="000E551F" w:rsidRPr="00D4296D">
        <w:rPr>
          <w:snapToGrid/>
          <w:lang w:eastAsia="en-AU"/>
        </w:rPr>
        <w:t>n additional 0.2 point reduction</w:t>
      </w:r>
      <w:r w:rsidR="008A18A2" w:rsidRPr="00D4296D">
        <w:rPr>
          <w:snapToGrid/>
          <w:lang w:eastAsia="en-AU"/>
        </w:rPr>
        <w:t xml:space="preserve"> </w:t>
      </w:r>
      <w:r w:rsidR="008A18A2" w:rsidRPr="001A57E6">
        <w:rPr>
          <w:snapToGrid/>
          <w:lang w:eastAsia="en-AU"/>
        </w:rPr>
        <w:t xml:space="preserve">in MAS score from baseline to Week 4-6. </w:t>
      </w:r>
      <w:r w:rsidR="003A287C">
        <w:rPr>
          <w:snapToGrid/>
          <w:lang w:eastAsia="en-AU"/>
        </w:rPr>
        <w:t>Although</w:t>
      </w:r>
      <w:r w:rsidR="00484AD9">
        <w:rPr>
          <w:snapToGrid/>
          <w:lang w:eastAsia="en-AU"/>
        </w:rPr>
        <w:t xml:space="preserve"> this was a statistically significant reduction</w:t>
      </w:r>
      <w:r w:rsidR="00476504" w:rsidRPr="001A57E6">
        <w:rPr>
          <w:snapToGrid/>
          <w:lang w:eastAsia="en-AU"/>
        </w:rPr>
        <w:t>, the selected MC</w:t>
      </w:r>
      <w:r w:rsidR="008A18A2" w:rsidRPr="001A57E6">
        <w:rPr>
          <w:snapToGrid/>
          <w:lang w:eastAsia="en-AU"/>
        </w:rPr>
        <w:t>I</w:t>
      </w:r>
      <w:r w:rsidR="00476504" w:rsidRPr="001A57E6">
        <w:rPr>
          <w:snapToGrid/>
          <w:lang w:eastAsia="en-AU"/>
        </w:rPr>
        <w:t>D</w:t>
      </w:r>
      <w:r w:rsidR="008A18A2" w:rsidRPr="001A57E6">
        <w:rPr>
          <w:snapToGrid/>
          <w:lang w:eastAsia="en-AU"/>
        </w:rPr>
        <w:t xml:space="preserve"> (MAS </w:t>
      </w:r>
      <w:r w:rsidR="008A18A2" w:rsidRPr="001A57E6">
        <w:rPr>
          <w:rFonts w:cs="Calibri"/>
          <w:snapToGrid/>
          <w:lang w:eastAsia="en-AU"/>
        </w:rPr>
        <w:t>≥</w:t>
      </w:r>
      <w:r w:rsidR="00B96DFD">
        <w:rPr>
          <w:rFonts w:cs="Calibri"/>
          <w:snapToGrid/>
          <w:lang w:eastAsia="en-AU"/>
        </w:rPr>
        <w:t xml:space="preserve"> </w:t>
      </w:r>
      <w:r w:rsidR="008A18A2" w:rsidRPr="001A57E6">
        <w:rPr>
          <w:rFonts w:cs="Calibri"/>
          <w:snapToGrid/>
          <w:lang w:eastAsia="en-AU"/>
        </w:rPr>
        <w:t xml:space="preserve">1 reduction) was not met, and therefore the clinical significance of this result </w:t>
      </w:r>
      <w:r w:rsidR="002A15FB">
        <w:rPr>
          <w:rFonts w:cs="Calibri"/>
          <w:snapToGrid/>
          <w:lang w:eastAsia="en-AU"/>
        </w:rPr>
        <w:t>wa</w:t>
      </w:r>
      <w:r w:rsidR="008A18A2" w:rsidRPr="001A57E6">
        <w:rPr>
          <w:rFonts w:cs="Calibri"/>
          <w:snapToGrid/>
          <w:lang w:eastAsia="en-AU"/>
        </w:rPr>
        <w:t xml:space="preserve">s </w:t>
      </w:r>
      <w:r w:rsidR="003F33D9">
        <w:rPr>
          <w:rFonts w:cs="Calibri"/>
          <w:snapToGrid/>
          <w:lang w:eastAsia="en-AU"/>
        </w:rPr>
        <w:t>uncertain</w:t>
      </w:r>
      <w:r w:rsidR="008A18A2" w:rsidRPr="001A57E6">
        <w:rPr>
          <w:rFonts w:cs="Calibri"/>
          <w:snapToGrid/>
          <w:lang w:eastAsia="en-AU"/>
        </w:rPr>
        <w:t>.</w:t>
      </w:r>
    </w:p>
    <w:p w:rsidR="008A18A2" w:rsidRPr="001A57E6" w:rsidRDefault="008A18A2" w:rsidP="00BB76A8">
      <w:pPr>
        <w:pStyle w:val="ListParagraph"/>
        <w:numPr>
          <w:ilvl w:val="0"/>
          <w:numId w:val="14"/>
        </w:numPr>
      </w:pPr>
      <w:r w:rsidRPr="001A57E6">
        <w:t xml:space="preserve">For every 100 patients treated with </w:t>
      </w:r>
      <w:r w:rsidR="00EE500E">
        <w:t>BOTOX®</w:t>
      </w:r>
      <w:r w:rsidRPr="001A57E6">
        <w:t xml:space="preserve"> in comparison to </w:t>
      </w:r>
      <w:r w:rsidR="0034470C">
        <w:t>placebo</w:t>
      </w:r>
      <w:r w:rsidRPr="001A57E6">
        <w:t>, approximately 14 additional pat</w:t>
      </w:r>
      <w:r w:rsidR="00476504" w:rsidRPr="001A57E6">
        <w:t xml:space="preserve">ients would have </w:t>
      </w:r>
      <w:r w:rsidR="008E3E97">
        <w:t xml:space="preserve">a </w:t>
      </w:r>
      <w:r w:rsidR="00476504" w:rsidRPr="001A57E6">
        <w:t xml:space="preserve">MAS response (reduction </w:t>
      </w:r>
      <w:r w:rsidRPr="001A57E6">
        <w:t>≥</w:t>
      </w:r>
      <w:r w:rsidR="00B96DFD">
        <w:t xml:space="preserve"> </w:t>
      </w:r>
      <w:r w:rsidRPr="001A57E6">
        <w:t>1)</w:t>
      </w:r>
      <w:r w:rsidR="0034470C">
        <w:t xml:space="preserve"> at 6 weeks</w:t>
      </w:r>
      <w:r w:rsidRPr="001A57E6">
        <w:t>.</w:t>
      </w:r>
    </w:p>
    <w:p w:rsidR="008A18A2" w:rsidRPr="001A57E6" w:rsidRDefault="003F33D9" w:rsidP="00BB76A8">
      <w:pPr>
        <w:pStyle w:val="ListParagraph"/>
        <w:numPr>
          <w:ilvl w:val="0"/>
          <w:numId w:val="14"/>
        </w:numPr>
      </w:pPr>
      <w:r>
        <w:rPr>
          <w:snapToGrid/>
          <w:lang w:eastAsia="en-AU"/>
        </w:rPr>
        <w:t>A</w:t>
      </w:r>
      <w:r w:rsidR="008A18A2" w:rsidRPr="001A57E6">
        <w:rPr>
          <w:snapToGrid/>
          <w:lang w:eastAsia="en-AU"/>
        </w:rPr>
        <w:t xml:space="preserve"> </w:t>
      </w:r>
      <w:r w:rsidRPr="001A57E6">
        <w:t xml:space="preserve">mean difference </w:t>
      </w:r>
      <w:r>
        <w:t xml:space="preserve">of </w:t>
      </w:r>
      <w:r w:rsidR="008A18A2" w:rsidRPr="001A57E6">
        <w:t>0.22 point</w:t>
      </w:r>
      <w:r w:rsidR="0034470C">
        <w:t>s</w:t>
      </w:r>
      <w:r w:rsidR="008A18A2" w:rsidRPr="001A57E6">
        <w:t xml:space="preserve"> on the </w:t>
      </w:r>
      <w:r w:rsidR="00476504" w:rsidRPr="001A57E6">
        <w:rPr>
          <w:snapToGrid/>
          <w:lang w:eastAsia="en-AU"/>
        </w:rPr>
        <w:t xml:space="preserve">CGI score </w:t>
      </w:r>
      <w:r w:rsidR="0034470C">
        <w:rPr>
          <w:snapToGrid/>
          <w:lang w:eastAsia="en-AU"/>
        </w:rPr>
        <w:t>at</w:t>
      </w:r>
      <w:r w:rsidR="0034470C" w:rsidRPr="001A57E6">
        <w:rPr>
          <w:snapToGrid/>
          <w:lang w:eastAsia="en-AU"/>
        </w:rPr>
        <w:t xml:space="preserve"> </w:t>
      </w:r>
      <w:r w:rsidR="00476504" w:rsidRPr="001A57E6">
        <w:rPr>
          <w:snapToGrid/>
          <w:lang w:eastAsia="en-AU"/>
        </w:rPr>
        <w:t>Week 4-6</w:t>
      </w:r>
      <w:r w:rsidR="008A18A2" w:rsidRPr="001A57E6">
        <w:rPr>
          <w:snapToGrid/>
          <w:lang w:eastAsia="en-AU"/>
        </w:rPr>
        <w:t>, ind</w:t>
      </w:r>
      <w:r w:rsidR="00476504" w:rsidRPr="001A57E6">
        <w:rPr>
          <w:snapToGrid/>
          <w:lang w:eastAsia="en-AU"/>
        </w:rPr>
        <w:t>icating functional improvement.</w:t>
      </w:r>
    </w:p>
    <w:p w:rsidR="008A18A2" w:rsidRPr="001A57E6" w:rsidRDefault="008A18A2" w:rsidP="00BB76A8">
      <w:pPr>
        <w:pStyle w:val="ListParagraph"/>
        <w:numPr>
          <w:ilvl w:val="0"/>
          <w:numId w:val="14"/>
        </w:numPr>
      </w:pPr>
      <w:r w:rsidRPr="001A57E6">
        <w:lastRenderedPageBreak/>
        <w:t xml:space="preserve">For every 100 patients treated with </w:t>
      </w:r>
      <w:r w:rsidR="00EE500E">
        <w:t>BOTOX®</w:t>
      </w:r>
      <w:r w:rsidRPr="001A57E6">
        <w:t xml:space="preserve"> in comparison to </w:t>
      </w:r>
      <w:r w:rsidR="0034470C">
        <w:t>placebo</w:t>
      </w:r>
      <w:r w:rsidRPr="001A57E6">
        <w:t xml:space="preserve">, approximately 12 additional patients reported a </w:t>
      </w:r>
      <w:r w:rsidR="00476504" w:rsidRPr="001A57E6">
        <w:t>“</w:t>
      </w:r>
      <w:r w:rsidRPr="001A57E6">
        <w:t>slight improvement</w:t>
      </w:r>
      <w:r w:rsidR="00476504" w:rsidRPr="001A57E6">
        <w:t>”</w:t>
      </w:r>
      <w:r w:rsidRPr="001A57E6">
        <w:t xml:space="preserve"> t</w:t>
      </w:r>
      <w:r w:rsidR="00476504" w:rsidRPr="001A57E6">
        <w:t>owards achieving their goals on the GAS</w:t>
      </w:r>
      <w:r w:rsidR="0034470C">
        <w:t xml:space="preserve"> at 8 weeks</w:t>
      </w:r>
      <w:r w:rsidR="00476504" w:rsidRPr="001A57E6">
        <w:t>.</w:t>
      </w:r>
    </w:p>
    <w:p w:rsidR="008A18A2" w:rsidRPr="001A57E6" w:rsidRDefault="008A18A2" w:rsidP="004428BA">
      <w:pPr>
        <w:widowControl/>
        <w:spacing w:after="120"/>
        <w:ind w:left="153" w:firstLine="170"/>
        <w:rPr>
          <w:b/>
          <w:bCs/>
        </w:rPr>
      </w:pPr>
      <w:r w:rsidRPr="001A57E6">
        <w:rPr>
          <w:b/>
          <w:bCs/>
        </w:rPr>
        <w:t>B) Trial 512 resulted in:</w:t>
      </w:r>
    </w:p>
    <w:p w:rsidR="008A18A2" w:rsidRPr="001A57E6" w:rsidRDefault="003F33D9" w:rsidP="00BB76A8">
      <w:pPr>
        <w:pStyle w:val="ListParagraph"/>
        <w:numPr>
          <w:ilvl w:val="0"/>
          <w:numId w:val="14"/>
        </w:numPr>
      </w:pPr>
      <w:r w:rsidRPr="00D4296D">
        <w:rPr>
          <w:snapToGrid/>
          <w:lang w:eastAsia="en-AU"/>
        </w:rPr>
        <w:t>A</w:t>
      </w:r>
      <w:r w:rsidR="000E551F" w:rsidRPr="00D4296D">
        <w:rPr>
          <w:snapToGrid/>
          <w:lang w:eastAsia="en-AU"/>
        </w:rPr>
        <w:t>n additional 0.45</w:t>
      </w:r>
      <w:r w:rsidRPr="00D4296D">
        <w:rPr>
          <w:snapToGrid/>
          <w:lang w:eastAsia="en-AU"/>
        </w:rPr>
        <w:t xml:space="preserve"> </w:t>
      </w:r>
      <w:r w:rsidR="000E551F" w:rsidRPr="00D4296D">
        <w:rPr>
          <w:snapToGrid/>
          <w:lang w:eastAsia="en-AU"/>
        </w:rPr>
        <w:t xml:space="preserve">point reduction </w:t>
      </w:r>
      <w:r w:rsidR="008A18A2" w:rsidRPr="001A57E6">
        <w:rPr>
          <w:snapToGrid/>
          <w:lang w:eastAsia="en-AU"/>
        </w:rPr>
        <w:t>in MAS score from baseline to Week 6.</w:t>
      </w:r>
      <w:r w:rsidR="004A5FEC">
        <w:rPr>
          <w:snapToGrid/>
          <w:lang w:eastAsia="en-AU"/>
        </w:rPr>
        <w:t xml:space="preserve"> </w:t>
      </w:r>
      <w:r w:rsidR="008A18A2" w:rsidRPr="001A57E6">
        <w:rPr>
          <w:snapToGrid/>
          <w:lang w:eastAsia="en-AU"/>
        </w:rPr>
        <w:t>Even though, there was a significant differenc</w:t>
      </w:r>
      <w:r w:rsidR="00476504" w:rsidRPr="001A57E6">
        <w:rPr>
          <w:snapToGrid/>
          <w:lang w:eastAsia="en-AU"/>
        </w:rPr>
        <w:t>e with placebo, the selected MC</w:t>
      </w:r>
      <w:r w:rsidR="008A18A2" w:rsidRPr="001A57E6">
        <w:rPr>
          <w:snapToGrid/>
          <w:lang w:eastAsia="en-AU"/>
        </w:rPr>
        <w:t>I</w:t>
      </w:r>
      <w:r w:rsidR="00476504" w:rsidRPr="001A57E6">
        <w:rPr>
          <w:snapToGrid/>
          <w:lang w:eastAsia="en-AU"/>
        </w:rPr>
        <w:t>D</w:t>
      </w:r>
      <w:r w:rsidR="008A18A2" w:rsidRPr="001A57E6">
        <w:rPr>
          <w:snapToGrid/>
          <w:lang w:eastAsia="en-AU"/>
        </w:rPr>
        <w:t xml:space="preserve"> (MAS </w:t>
      </w:r>
      <w:r w:rsidR="008A18A2" w:rsidRPr="001A57E6">
        <w:rPr>
          <w:rFonts w:cs="Calibri"/>
          <w:snapToGrid/>
          <w:lang w:eastAsia="en-AU"/>
        </w:rPr>
        <w:t>≥</w:t>
      </w:r>
      <w:r w:rsidR="00B96DFD">
        <w:rPr>
          <w:rFonts w:cs="Calibri"/>
          <w:snapToGrid/>
          <w:lang w:eastAsia="en-AU"/>
        </w:rPr>
        <w:t xml:space="preserve"> </w:t>
      </w:r>
      <w:r w:rsidR="008A18A2" w:rsidRPr="001A57E6">
        <w:rPr>
          <w:rFonts w:cs="Calibri"/>
          <w:snapToGrid/>
          <w:lang w:eastAsia="en-AU"/>
        </w:rPr>
        <w:t>1 reduction) was not met, and therefore the clinical significance of this result is</w:t>
      </w:r>
      <w:r>
        <w:rPr>
          <w:rFonts w:cs="Calibri"/>
          <w:snapToGrid/>
          <w:lang w:eastAsia="en-AU"/>
        </w:rPr>
        <w:t xml:space="preserve"> uncertain</w:t>
      </w:r>
      <w:r w:rsidR="008A18A2" w:rsidRPr="001A57E6">
        <w:rPr>
          <w:rFonts w:cs="Calibri"/>
          <w:snapToGrid/>
          <w:lang w:eastAsia="en-AU"/>
        </w:rPr>
        <w:t>.</w:t>
      </w:r>
    </w:p>
    <w:p w:rsidR="00476504" w:rsidRPr="001A57E6" w:rsidRDefault="00476504" w:rsidP="00BB76A8">
      <w:pPr>
        <w:pStyle w:val="ListParagraph"/>
        <w:numPr>
          <w:ilvl w:val="0"/>
          <w:numId w:val="14"/>
        </w:numPr>
      </w:pPr>
      <w:r w:rsidRPr="001A57E6">
        <w:t xml:space="preserve">For every 100 patients treated with </w:t>
      </w:r>
      <w:r w:rsidR="00EE500E">
        <w:t>BOTOX®</w:t>
      </w:r>
      <w:r w:rsidRPr="001A57E6">
        <w:t xml:space="preserve"> in comparison to </w:t>
      </w:r>
      <w:r w:rsidR="0034470C">
        <w:t>placebo</w:t>
      </w:r>
      <w:r w:rsidRPr="001A57E6">
        <w:t>, approximately 32 additional patients would have MAS response (reduction ≥</w:t>
      </w:r>
      <w:r w:rsidR="00B96DFD">
        <w:t xml:space="preserve"> </w:t>
      </w:r>
      <w:r w:rsidRPr="001A57E6">
        <w:t>1)</w:t>
      </w:r>
      <w:r w:rsidR="0034470C">
        <w:t xml:space="preserve"> at 6 weeks</w:t>
      </w:r>
      <w:r w:rsidRPr="001A57E6">
        <w:t>.</w:t>
      </w:r>
    </w:p>
    <w:p w:rsidR="008A18A2" w:rsidRPr="001A57E6" w:rsidRDefault="003F33D9" w:rsidP="00BB76A8">
      <w:pPr>
        <w:pStyle w:val="ListParagraph"/>
        <w:numPr>
          <w:ilvl w:val="0"/>
          <w:numId w:val="14"/>
        </w:numPr>
      </w:pPr>
      <w:r>
        <w:rPr>
          <w:snapToGrid/>
          <w:lang w:eastAsia="en-AU"/>
        </w:rPr>
        <w:t>A</w:t>
      </w:r>
      <w:r w:rsidR="00476504" w:rsidRPr="001A57E6">
        <w:rPr>
          <w:snapToGrid/>
          <w:lang w:eastAsia="en-AU"/>
        </w:rPr>
        <w:t xml:space="preserve"> </w:t>
      </w:r>
      <w:r w:rsidRPr="001A57E6">
        <w:t xml:space="preserve">mean difference </w:t>
      </w:r>
      <w:r>
        <w:t xml:space="preserve">of </w:t>
      </w:r>
      <w:r w:rsidR="00476504" w:rsidRPr="001A57E6">
        <w:t>0.56 point</w:t>
      </w:r>
      <w:r>
        <w:t>s</w:t>
      </w:r>
      <w:r w:rsidR="00476504" w:rsidRPr="001A57E6">
        <w:t xml:space="preserve"> on the </w:t>
      </w:r>
      <w:r w:rsidR="00476504" w:rsidRPr="001A57E6">
        <w:rPr>
          <w:snapToGrid/>
          <w:lang w:eastAsia="en-AU"/>
        </w:rPr>
        <w:t xml:space="preserve">CGI score </w:t>
      </w:r>
      <w:r w:rsidR="0034470C">
        <w:rPr>
          <w:snapToGrid/>
          <w:lang w:eastAsia="en-AU"/>
        </w:rPr>
        <w:t>at</w:t>
      </w:r>
      <w:r w:rsidR="0034470C" w:rsidRPr="001A57E6">
        <w:rPr>
          <w:snapToGrid/>
          <w:lang w:eastAsia="en-AU"/>
        </w:rPr>
        <w:t xml:space="preserve"> </w:t>
      </w:r>
      <w:r w:rsidR="00476504" w:rsidRPr="001A57E6">
        <w:rPr>
          <w:snapToGrid/>
          <w:lang w:eastAsia="en-AU"/>
        </w:rPr>
        <w:t>Week 6, indicating functional improvement.</w:t>
      </w:r>
    </w:p>
    <w:p w:rsidR="00EE392A" w:rsidRPr="001A57E6" w:rsidRDefault="00EE392A" w:rsidP="00BB76A8">
      <w:pPr>
        <w:pStyle w:val="Heading2"/>
      </w:pPr>
      <w:bookmarkStart w:id="37" w:name="_Toc371170709"/>
      <w:bookmarkStart w:id="38" w:name="_Toc524523783"/>
      <w:r w:rsidRPr="001A57E6">
        <w:t>Clinical claim</w:t>
      </w:r>
      <w:bookmarkEnd w:id="37"/>
      <w:bookmarkEnd w:id="38"/>
    </w:p>
    <w:p w:rsidR="00387233" w:rsidRPr="003D4516" w:rsidRDefault="00387233" w:rsidP="00BB76A8">
      <w:pPr>
        <w:pStyle w:val="ListParagraph"/>
      </w:pPr>
      <w:r w:rsidRPr="003D4516">
        <w:t xml:space="preserve">The resubmission described </w:t>
      </w:r>
      <w:r w:rsidR="00EE500E">
        <w:t>BOTOX®</w:t>
      </w:r>
      <w:r w:rsidRPr="003D4516">
        <w:t xml:space="preserve"> </w:t>
      </w:r>
      <w:r w:rsidR="006E1440" w:rsidRPr="003D4516">
        <w:t>added</w:t>
      </w:r>
      <w:r w:rsidRPr="003D4516">
        <w:t xml:space="preserve"> to standard management as superior in terms of effectiveness and non-inferior in terms of safety compared to placebo (or standard management alone).</w:t>
      </w:r>
    </w:p>
    <w:p w:rsidR="00387233" w:rsidRPr="003D4516" w:rsidRDefault="00387233" w:rsidP="00BB76A8">
      <w:pPr>
        <w:pStyle w:val="ListParagraph"/>
      </w:pPr>
      <w:r w:rsidRPr="003D4516">
        <w:t xml:space="preserve">The resubmission made </w:t>
      </w:r>
      <w:r w:rsidR="0034470C">
        <w:t xml:space="preserve">a number of </w:t>
      </w:r>
      <w:r w:rsidRPr="003D4516">
        <w:t>specific claims</w:t>
      </w:r>
      <w:r w:rsidR="0034470C">
        <w:t>, including</w:t>
      </w:r>
      <w:r w:rsidRPr="003D4516">
        <w:t>:</w:t>
      </w:r>
    </w:p>
    <w:p w:rsidR="00387233" w:rsidRPr="00D4296D" w:rsidRDefault="00387233" w:rsidP="004428BA">
      <w:pPr>
        <w:pStyle w:val="NormalIndent"/>
        <w:numPr>
          <w:ilvl w:val="0"/>
          <w:numId w:val="7"/>
        </w:numPr>
        <w:spacing w:after="40" w:line="240" w:lineRule="auto"/>
        <w:ind w:left="1077" w:hanging="357"/>
        <w:jc w:val="both"/>
        <w:rPr>
          <w:iCs/>
        </w:rPr>
      </w:pPr>
      <w:r w:rsidRPr="00D4296D">
        <w:t xml:space="preserve">The results of the MAS analyses indicate that </w:t>
      </w:r>
      <w:r w:rsidR="00EE500E" w:rsidRPr="00D4296D">
        <w:t>BOTOX®</w:t>
      </w:r>
      <w:r w:rsidRPr="00D4296D">
        <w:t xml:space="preserve"> treatment, added to standard management</w:t>
      </w:r>
      <w:r w:rsidR="00840C53">
        <w:t>,</w:t>
      </w:r>
      <w:r w:rsidRPr="00D4296D">
        <w:t xml:space="preserve"> reduces the severity of spasticity to a significantly greater extent than placebo.</w:t>
      </w:r>
      <w:r w:rsidR="004A5FEC" w:rsidRPr="00D4296D">
        <w:t xml:space="preserve"> </w:t>
      </w:r>
      <w:r w:rsidR="00DC159D" w:rsidRPr="00D4296D">
        <w:t xml:space="preserve">The ESC noted that although the trials </w:t>
      </w:r>
      <w:r w:rsidR="00DC159D" w:rsidRPr="00D4296D">
        <w:rPr>
          <w:iCs/>
        </w:rPr>
        <w:t>demonstrated</w:t>
      </w:r>
      <w:r w:rsidRPr="00D4296D">
        <w:rPr>
          <w:iCs/>
        </w:rPr>
        <w:t xml:space="preserve"> significant differences between </w:t>
      </w:r>
      <w:r w:rsidR="00EE500E" w:rsidRPr="00D4296D">
        <w:rPr>
          <w:iCs/>
        </w:rPr>
        <w:t>BOTOX®</w:t>
      </w:r>
      <w:r w:rsidRPr="00D4296D">
        <w:rPr>
          <w:iCs/>
        </w:rPr>
        <w:t xml:space="preserve"> and placebo in mean change from baseline in MAS, the differences were small</w:t>
      </w:r>
      <w:r w:rsidR="006B7F13">
        <w:rPr>
          <w:iCs/>
        </w:rPr>
        <w:t xml:space="preserve"> and did not exceed the predefined MCID</w:t>
      </w:r>
      <w:r w:rsidRPr="00D4296D">
        <w:rPr>
          <w:iCs/>
        </w:rPr>
        <w:t>.</w:t>
      </w:r>
    </w:p>
    <w:p w:rsidR="00387233" w:rsidRPr="00D4296D" w:rsidRDefault="00387233" w:rsidP="004428BA">
      <w:pPr>
        <w:pStyle w:val="NormalIndent"/>
        <w:numPr>
          <w:ilvl w:val="0"/>
          <w:numId w:val="7"/>
        </w:numPr>
        <w:spacing w:after="40" w:line="240" w:lineRule="auto"/>
        <w:ind w:left="1077" w:hanging="357"/>
        <w:jc w:val="both"/>
        <w:rPr>
          <w:iCs/>
        </w:rPr>
      </w:pPr>
      <w:r w:rsidRPr="00D4296D">
        <w:t>A significantly greater number of patients achieve</w:t>
      </w:r>
      <w:r w:rsidR="00573754" w:rsidRPr="00D4296D">
        <w:t>d</w:t>
      </w:r>
      <w:r w:rsidRPr="00D4296D">
        <w:t xml:space="preserve"> a response measured as a</w:t>
      </w:r>
      <w:r w:rsidR="00F61568" w:rsidRPr="00D4296D">
        <w:t xml:space="preserve">t least </w:t>
      </w:r>
      <w:r w:rsidR="002D2C5B" w:rsidRPr="00D4296D">
        <w:t>one</w:t>
      </w:r>
      <w:r w:rsidRPr="00D4296D">
        <w:t xml:space="preserve"> point reduction in MAS from baseline following </w:t>
      </w:r>
      <w:r w:rsidR="00EE500E" w:rsidRPr="00D4296D">
        <w:t>BOTOX®</w:t>
      </w:r>
      <w:r w:rsidRPr="00D4296D">
        <w:t xml:space="preserve"> treatment versus placebo</w:t>
      </w:r>
      <w:r w:rsidR="009D64DB" w:rsidRPr="00D4296D">
        <w:t xml:space="preserve"> (</w:t>
      </w:r>
      <w:r w:rsidR="001D329E" w:rsidRPr="00D4296D">
        <w:t>see Table 6)</w:t>
      </w:r>
      <w:r w:rsidRPr="00D4296D">
        <w:t>.</w:t>
      </w:r>
      <w:r w:rsidR="004A5FEC" w:rsidRPr="00D4296D">
        <w:t xml:space="preserve"> </w:t>
      </w:r>
      <w:r w:rsidR="00FA7D71" w:rsidRPr="00D4296D">
        <w:rPr>
          <w:iCs/>
        </w:rPr>
        <w:t>I</w:t>
      </w:r>
      <w:r w:rsidRPr="00D4296D">
        <w:rPr>
          <w:iCs/>
        </w:rPr>
        <w:t xml:space="preserve">n </w:t>
      </w:r>
      <w:r w:rsidR="00FA7D71" w:rsidRPr="00D4296D">
        <w:rPr>
          <w:iCs/>
        </w:rPr>
        <w:t xml:space="preserve">the </w:t>
      </w:r>
      <w:r w:rsidRPr="00D4296D">
        <w:rPr>
          <w:iCs/>
        </w:rPr>
        <w:t xml:space="preserve">REFLEX </w:t>
      </w:r>
      <w:r w:rsidR="00FA7D71" w:rsidRPr="00D4296D">
        <w:rPr>
          <w:iCs/>
        </w:rPr>
        <w:t xml:space="preserve">trial, </w:t>
      </w:r>
      <w:r w:rsidRPr="00D4296D">
        <w:rPr>
          <w:iCs/>
        </w:rPr>
        <w:t xml:space="preserve">the maximum difference </w:t>
      </w:r>
      <w:r w:rsidR="00FA7D71" w:rsidRPr="00D4296D">
        <w:rPr>
          <w:iCs/>
        </w:rPr>
        <w:t xml:space="preserve">in the proportion of responders </w:t>
      </w:r>
      <w:r w:rsidRPr="00D4296D">
        <w:rPr>
          <w:iCs/>
        </w:rPr>
        <w:t xml:space="preserve">between </w:t>
      </w:r>
      <w:r w:rsidR="00EE500E" w:rsidRPr="00D4296D">
        <w:rPr>
          <w:iCs/>
        </w:rPr>
        <w:t>BOTOX®</w:t>
      </w:r>
      <w:r w:rsidRPr="00D4296D">
        <w:rPr>
          <w:iCs/>
        </w:rPr>
        <w:t xml:space="preserve"> and placebo wa</w:t>
      </w:r>
      <w:r w:rsidR="00A15FE7" w:rsidRPr="00D4296D">
        <w:rPr>
          <w:iCs/>
        </w:rPr>
        <w:t>s 14%, 95%</w:t>
      </w:r>
      <w:r w:rsidR="006B7F13">
        <w:rPr>
          <w:iCs/>
        </w:rPr>
        <w:t xml:space="preserve"> </w:t>
      </w:r>
      <w:r w:rsidR="00A15FE7" w:rsidRPr="00D4296D">
        <w:rPr>
          <w:iCs/>
        </w:rPr>
        <w:t>CI: 0.05, 0.23</w:t>
      </w:r>
      <w:r w:rsidR="00FA7D71" w:rsidRPr="00D4296D">
        <w:rPr>
          <w:iCs/>
        </w:rPr>
        <w:t>, at 6 weeks</w:t>
      </w:r>
      <w:r w:rsidR="00A15FE7" w:rsidRPr="00D4296D">
        <w:rPr>
          <w:iCs/>
        </w:rPr>
        <w:t>.</w:t>
      </w:r>
      <w:r w:rsidR="004A5FEC" w:rsidRPr="00D4296D">
        <w:rPr>
          <w:iCs/>
        </w:rPr>
        <w:t xml:space="preserve"> </w:t>
      </w:r>
      <w:r w:rsidR="007C2DC9" w:rsidRPr="00D4296D">
        <w:rPr>
          <w:iCs/>
        </w:rPr>
        <w:t>The ESC considered this magnitude of difference to be small.</w:t>
      </w:r>
    </w:p>
    <w:p w:rsidR="000E551F" w:rsidRPr="003D4516" w:rsidRDefault="00387233" w:rsidP="004428BA">
      <w:pPr>
        <w:pStyle w:val="NormalIndent"/>
        <w:numPr>
          <w:ilvl w:val="0"/>
          <w:numId w:val="7"/>
        </w:numPr>
        <w:spacing w:after="120" w:line="240" w:lineRule="auto"/>
        <w:ind w:left="1077" w:hanging="357"/>
        <w:jc w:val="both"/>
      </w:pPr>
      <w:r w:rsidRPr="00D4296D">
        <w:t xml:space="preserve">There were no significant differences between </w:t>
      </w:r>
      <w:r w:rsidR="00EE500E" w:rsidRPr="00D4296D">
        <w:t>BOTOX®</w:t>
      </w:r>
      <w:r w:rsidRPr="00D4296D">
        <w:t xml:space="preserve"> and placebo groups in adverse events and no safety signals identified in the extended safety review.</w:t>
      </w:r>
      <w:r w:rsidR="004A5FEC" w:rsidRPr="00D4296D">
        <w:t xml:space="preserve"> </w:t>
      </w:r>
      <w:r w:rsidRPr="00D4296D">
        <w:t xml:space="preserve">While this was an accurate description of the data, it was noted that total AEs were </w:t>
      </w:r>
      <w:r w:rsidR="008955E1" w:rsidRPr="00D4296D">
        <w:t xml:space="preserve">numerically </w:t>
      </w:r>
      <w:r w:rsidRPr="00D4296D">
        <w:t>higher in those treated</w:t>
      </w:r>
      <w:r w:rsidRPr="003D4516">
        <w:t xml:space="preserve"> with </w:t>
      </w:r>
      <w:r w:rsidR="00EE500E">
        <w:t>BOTOX®</w:t>
      </w:r>
      <w:r w:rsidRPr="003D4516">
        <w:t xml:space="preserve"> than placebo.</w:t>
      </w:r>
      <w:r w:rsidR="004A5FEC">
        <w:t xml:space="preserve"> </w:t>
      </w:r>
      <w:r w:rsidRPr="003D4516">
        <w:t>In addition, to maintain blind</w:t>
      </w:r>
      <w:r w:rsidR="002C29C1">
        <w:t>ing</w:t>
      </w:r>
      <w:r w:rsidRPr="003D4516">
        <w:t xml:space="preserve">, the trials had compared </w:t>
      </w:r>
      <w:r w:rsidR="00EE500E">
        <w:t>BOTOX®</w:t>
      </w:r>
      <w:r w:rsidRPr="003D4516">
        <w:t xml:space="preserve"> injections with sham injections to the targeted muscles</w:t>
      </w:r>
      <w:r w:rsidR="00131CA0">
        <w:t xml:space="preserve">, which will not occur in </w:t>
      </w:r>
      <w:r w:rsidRPr="003D4516">
        <w:t>clinical practice</w:t>
      </w:r>
      <w:r w:rsidR="00131CA0">
        <w:t>.</w:t>
      </w:r>
      <w:r w:rsidR="004A5FEC">
        <w:t xml:space="preserve"> </w:t>
      </w:r>
      <w:r w:rsidR="0004604B" w:rsidRPr="003D4516">
        <w:t>It was</w:t>
      </w:r>
      <w:r w:rsidRPr="003D4516">
        <w:t xml:space="preserve"> note</w:t>
      </w:r>
      <w:r w:rsidR="0004604B" w:rsidRPr="003D4516">
        <w:t>d</w:t>
      </w:r>
      <w:r w:rsidRPr="003D4516">
        <w:t xml:space="preserve"> that 2.2% and 5% of patients had reported injection site pain with </w:t>
      </w:r>
      <w:r w:rsidR="00EE500E">
        <w:t>BOTOX®</w:t>
      </w:r>
      <w:r w:rsidRPr="003D4516">
        <w:t xml:space="preserve"> treatment in REFLEX and Trial 512.</w:t>
      </w:r>
    </w:p>
    <w:p w:rsidR="00387233" w:rsidRPr="00D4296D" w:rsidRDefault="00387233" w:rsidP="00BB76A8">
      <w:pPr>
        <w:pStyle w:val="ListParagraph"/>
      </w:pPr>
      <w:r w:rsidRPr="00D4296D">
        <w:t xml:space="preserve">Overall, </w:t>
      </w:r>
      <w:r w:rsidR="0015613C" w:rsidRPr="00D4296D">
        <w:t xml:space="preserve">the ESC considered the </w:t>
      </w:r>
      <w:r w:rsidRPr="00D4296D">
        <w:t xml:space="preserve">resubmission’s claim of superior efficacy over placebo </w:t>
      </w:r>
      <w:r w:rsidR="0015613C" w:rsidRPr="00D4296D">
        <w:t xml:space="preserve">was uncertain. Although </w:t>
      </w:r>
      <w:r w:rsidR="00EE500E" w:rsidRPr="00D4296D">
        <w:t>BOTOX®</w:t>
      </w:r>
      <w:r w:rsidR="0015613C" w:rsidRPr="00D4296D">
        <w:t xml:space="preserve"> resulted in a </w:t>
      </w:r>
      <w:r w:rsidRPr="00D4296D">
        <w:t>statistically significant</w:t>
      </w:r>
      <w:r w:rsidR="00D24715" w:rsidRPr="00D4296D">
        <w:t>ly</w:t>
      </w:r>
      <w:r w:rsidRPr="00D4296D">
        <w:t xml:space="preserve"> greater reduction in MAS score from baseline</w:t>
      </w:r>
      <w:r w:rsidR="00CF3D1D" w:rsidRPr="00D4296D">
        <w:t xml:space="preserve">, clinically meaningful improvements in MAS </w:t>
      </w:r>
      <w:r w:rsidR="00CF3D1D" w:rsidRPr="00D4296D">
        <w:lastRenderedPageBreak/>
        <w:t xml:space="preserve">occurred in </w:t>
      </w:r>
      <w:r w:rsidR="00B96DFD">
        <w:t xml:space="preserve">only </w:t>
      </w:r>
      <w:r w:rsidR="00CF3D1D" w:rsidRPr="00D4296D">
        <w:t xml:space="preserve">14% more patients in the </w:t>
      </w:r>
      <w:r w:rsidR="00EE500E" w:rsidRPr="00D4296D">
        <w:t>BOTOX®</w:t>
      </w:r>
      <w:r w:rsidR="00CF3D1D" w:rsidRPr="00D4296D">
        <w:t xml:space="preserve"> arm compared with the placebo arm in the main study (REFLEX).</w:t>
      </w:r>
    </w:p>
    <w:p w:rsidR="00673EB8" w:rsidRDefault="00387233" w:rsidP="00BB76A8">
      <w:pPr>
        <w:pStyle w:val="ListParagraph"/>
      </w:pPr>
      <w:r w:rsidRPr="00D4296D">
        <w:t xml:space="preserve">The </w:t>
      </w:r>
      <w:r w:rsidR="0015613C" w:rsidRPr="00D4296D">
        <w:t xml:space="preserve">ESC considered the </w:t>
      </w:r>
      <w:r w:rsidRPr="00D4296D">
        <w:t xml:space="preserve">resubmission’s claim of non-inferior safety compared to placebo was not reasonable given that at the very least, </w:t>
      </w:r>
      <w:r w:rsidR="00EE500E" w:rsidRPr="00D4296D">
        <w:t>BOTOX®</w:t>
      </w:r>
      <w:r w:rsidRPr="00D4296D">
        <w:t xml:space="preserve"> injections would be associated with additional injection site pain compared to patients who do not receive injections.</w:t>
      </w:r>
      <w:r w:rsidR="00CF3D1D" w:rsidRPr="00D4296D">
        <w:t xml:space="preserve"> </w:t>
      </w:r>
    </w:p>
    <w:p w:rsidR="00EE392A" w:rsidRPr="001A57E6" w:rsidRDefault="00EE392A" w:rsidP="00BB76A8">
      <w:pPr>
        <w:pStyle w:val="Heading2"/>
      </w:pPr>
      <w:bookmarkStart w:id="39" w:name="_Toc371170710"/>
      <w:bookmarkStart w:id="40" w:name="_Toc524523784"/>
      <w:r w:rsidRPr="001A57E6">
        <w:t>Economic analysis</w:t>
      </w:r>
      <w:bookmarkEnd w:id="39"/>
      <w:bookmarkEnd w:id="40"/>
      <w:r w:rsidRPr="001A57E6">
        <w:t xml:space="preserve"> </w:t>
      </w:r>
    </w:p>
    <w:p w:rsidR="00D030D2" w:rsidRPr="001A57E6" w:rsidRDefault="00D030D2" w:rsidP="00BB76A8">
      <w:pPr>
        <w:pStyle w:val="ListParagraph"/>
      </w:pPr>
      <w:r w:rsidRPr="001A57E6">
        <w:t>The resubmission presented a stepped economic evaluation based on direct randomised trials:</w:t>
      </w:r>
    </w:p>
    <w:p w:rsidR="00D030D2" w:rsidRPr="001A57E6" w:rsidRDefault="00D030D2" w:rsidP="00BB76A8">
      <w:pPr>
        <w:pStyle w:val="ListParagraph"/>
        <w:numPr>
          <w:ilvl w:val="1"/>
          <w:numId w:val="12"/>
        </w:numPr>
      </w:pPr>
      <w:r w:rsidRPr="001A57E6">
        <w:t>Step 1: A 12-week cost-effectiveness (cost per responder) analysis based on results from the randomised placebo-controlled phase of the REFLEX trial.</w:t>
      </w:r>
    </w:p>
    <w:p w:rsidR="00D030D2" w:rsidRPr="001A57E6" w:rsidRDefault="00D030D2" w:rsidP="00BB76A8">
      <w:pPr>
        <w:pStyle w:val="ListParagraph"/>
        <w:numPr>
          <w:ilvl w:val="1"/>
          <w:numId w:val="12"/>
        </w:numPr>
      </w:pPr>
      <w:r w:rsidRPr="001A57E6">
        <w:t>Step 2: A 24-week cost-effectiveness (cost per responder) analysis based on the proposed PBS restriction and results from the randomised and extension phases of the REFLEX trial</w:t>
      </w:r>
      <w:r w:rsidR="009566C8" w:rsidRPr="001A57E6">
        <w:t>.</w:t>
      </w:r>
    </w:p>
    <w:p w:rsidR="00D030D2" w:rsidRDefault="00D030D2" w:rsidP="00BB76A8">
      <w:pPr>
        <w:pStyle w:val="ListParagraph"/>
        <w:numPr>
          <w:ilvl w:val="1"/>
          <w:numId w:val="12"/>
        </w:numPr>
      </w:pPr>
      <w:r w:rsidRPr="001A57E6">
        <w:t>Step 3: A 5-year modelled cost-utility analysis, based on extrapolated and transformed results of the REFLEX trial, in conjunction with other inputs from appropriate local</w:t>
      </w:r>
      <w:r w:rsidR="0053375D">
        <w:t xml:space="preserve"> and </w:t>
      </w:r>
      <w:r w:rsidRPr="001A57E6">
        <w:t>global sources.</w:t>
      </w:r>
    </w:p>
    <w:p w:rsidR="00D030D2" w:rsidRPr="001A57E6" w:rsidRDefault="00A245DB" w:rsidP="004428BA">
      <w:pPr>
        <w:pStyle w:val="TableHeading"/>
        <w:spacing w:before="0" w:after="0"/>
      </w:pPr>
      <w:r>
        <w:lastRenderedPageBreak/>
        <w:t>Table 1</w:t>
      </w:r>
      <w:r w:rsidR="00BD5880">
        <w:t>2</w:t>
      </w:r>
      <w:r w:rsidR="00D030D2" w:rsidRPr="001A57E6">
        <w:t>:</w:t>
      </w:r>
      <w:r w:rsidR="004A5FEC">
        <w:t xml:space="preserve"> </w:t>
      </w:r>
      <w:r w:rsidR="00D030D2" w:rsidRPr="001A57E6">
        <w:t>Key components of the economic evaluation</w:t>
      </w:r>
    </w:p>
    <w:tbl>
      <w:tblPr>
        <w:tblStyle w:val="TableGrid"/>
        <w:tblW w:w="0" w:type="auto"/>
        <w:tblCellMar>
          <w:left w:w="28" w:type="dxa"/>
          <w:right w:w="28" w:type="dxa"/>
        </w:tblCellMar>
        <w:tblLook w:val="04A0" w:firstRow="1" w:lastRow="0" w:firstColumn="1" w:lastColumn="0" w:noHBand="0" w:noVBand="1"/>
        <w:tblCaption w:val="Key components of the economic evaluation"/>
      </w:tblPr>
      <w:tblGrid>
        <w:gridCol w:w="1413"/>
        <w:gridCol w:w="1276"/>
        <w:gridCol w:w="2693"/>
        <w:gridCol w:w="3635"/>
      </w:tblGrid>
      <w:tr w:rsidR="00D030D2" w:rsidRPr="00D4296D" w:rsidTr="00FF3637">
        <w:trPr>
          <w:tblHeader/>
        </w:trPr>
        <w:tc>
          <w:tcPr>
            <w:tcW w:w="1413" w:type="dxa"/>
          </w:tcPr>
          <w:p w:rsidR="00D030D2" w:rsidRPr="00D4296D" w:rsidRDefault="00D030D2" w:rsidP="004428BA">
            <w:pPr>
              <w:pStyle w:val="Tabletext"/>
              <w:keepNext/>
              <w:rPr>
                <w:b/>
                <w:bCs/>
              </w:rPr>
            </w:pPr>
            <w:r w:rsidRPr="00D4296D">
              <w:rPr>
                <w:b/>
                <w:bCs/>
              </w:rPr>
              <w:t>Component</w:t>
            </w:r>
          </w:p>
        </w:tc>
        <w:tc>
          <w:tcPr>
            <w:tcW w:w="1276" w:type="dxa"/>
          </w:tcPr>
          <w:p w:rsidR="00D030D2" w:rsidRPr="00D4296D" w:rsidRDefault="00D030D2" w:rsidP="004428BA">
            <w:pPr>
              <w:pStyle w:val="Tabletext"/>
              <w:keepNext/>
              <w:jc w:val="center"/>
              <w:rPr>
                <w:b/>
                <w:bCs/>
              </w:rPr>
            </w:pPr>
            <w:r w:rsidRPr="00D4296D">
              <w:rPr>
                <w:b/>
                <w:bCs/>
              </w:rPr>
              <w:t>Steps 1 and 2</w:t>
            </w:r>
          </w:p>
        </w:tc>
        <w:tc>
          <w:tcPr>
            <w:tcW w:w="2693" w:type="dxa"/>
          </w:tcPr>
          <w:p w:rsidR="00D030D2" w:rsidRPr="00D4296D" w:rsidRDefault="00D030D2" w:rsidP="004428BA">
            <w:pPr>
              <w:pStyle w:val="Tabletext"/>
              <w:keepNext/>
              <w:jc w:val="center"/>
              <w:rPr>
                <w:b/>
                <w:bCs/>
              </w:rPr>
            </w:pPr>
            <w:r w:rsidRPr="00D4296D">
              <w:rPr>
                <w:b/>
                <w:bCs/>
              </w:rPr>
              <w:t>Step 3</w:t>
            </w:r>
          </w:p>
        </w:tc>
        <w:tc>
          <w:tcPr>
            <w:tcW w:w="3635" w:type="dxa"/>
          </w:tcPr>
          <w:p w:rsidR="00D030D2" w:rsidRPr="00D4296D" w:rsidRDefault="00D030D2" w:rsidP="004428BA">
            <w:pPr>
              <w:pStyle w:val="Tabletext"/>
              <w:keepNext/>
              <w:rPr>
                <w:b/>
                <w:bCs/>
              </w:rPr>
            </w:pPr>
            <w:r w:rsidRPr="00D4296D">
              <w:rPr>
                <w:b/>
                <w:bCs/>
              </w:rPr>
              <w:t>Justification/comments</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Type of analysis</w:t>
            </w:r>
          </w:p>
        </w:tc>
        <w:tc>
          <w:tcPr>
            <w:tcW w:w="1276" w:type="dxa"/>
          </w:tcPr>
          <w:p w:rsidR="00D030D2" w:rsidRPr="00D4296D" w:rsidRDefault="00D030D2" w:rsidP="004428BA">
            <w:pPr>
              <w:pStyle w:val="Tabletext"/>
              <w:keepNext/>
              <w:rPr>
                <w:rFonts w:eastAsia="Calibri"/>
              </w:rPr>
            </w:pPr>
            <w:r w:rsidRPr="00D4296D">
              <w:rPr>
                <w:rFonts w:eastAsia="Calibri"/>
              </w:rPr>
              <w:t>Cost-effectiveness analysis (CEA)</w:t>
            </w:r>
          </w:p>
        </w:tc>
        <w:tc>
          <w:tcPr>
            <w:tcW w:w="2693" w:type="dxa"/>
          </w:tcPr>
          <w:p w:rsidR="00D030D2" w:rsidRPr="00D4296D" w:rsidRDefault="00D030D2" w:rsidP="004428BA">
            <w:pPr>
              <w:pStyle w:val="Tabletext"/>
              <w:keepNext/>
              <w:rPr>
                <w:rFonts w:eastAsia="Calibri"/>
              </w:rPr>
            </w:pPr>
            <w:r w:rsidRPr="00D4296D">
              <w:rPr>
                <w:rFonts w:eastAsia="Calibri"/>
              </w:rPr>
              <w:t>Cost-utility analysis (CUA)</w:t>
            </w:r>
          </w:p>
        </w:tc>
        <w:tc>
          <w:tcPr>
            <w:tcW w:w="3635" w:type="dxa"/>
          </w:tcPr>
          <w:p w:rsidR="00D030D2" w:rsidRPr="00D4296D" w:rsidRDefault="00D030D2" w:rsidP="004428BA">
            <w:pPr>
              <w:pStyle w:val="Tabletext"/>
              <w:keepNext/>
              <w:rPr>
                <w:rFonts w:eastAsia="Calibri"/>
                <w:iCs/>
              </w:rPr>
            </w:pPr>
            <w:r w:rsidRPr="00D4296D">
              <w:rPr>
                <w:rFonts w:eastAsia="Calibri"/>
                <w:iCs/>
              </w:rPr>
              <w:t>This was appropriate</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Outcomes</w:t>
            </w:r>
          </w:p>
        </w:tc>
        <w:tc>
          <w:tcPr>
            <w:tcW w:w="1276" w:type="dxa"/>
          </w:tcPr>
          <w:p w:rsidR="00D030D2" w:rsidRPr="00D4296D" w:rsidRDefault="00D030D2" w:rsidP="004428BA">
            <w:pPr>
              <w:pStyle w:val="Tabletext"/>
              <w:keepNext/>
              <w:rPr>
                <w:rFonts w:eastAsia="Calibri"/>
              </w:rPr>
            </w:pPr>
            <w:r w:rsidRPr="00D4296D">
              <w:rPr>
                <w:rFonts w:eastAsia="Calibri"/>
              </w:rPr>
              <w:t>Responder analysis</w:t>
            </w:r>
          </w:p>
          <w:p w:rsidR="00D030D2" w:rsidRPr="00D4296D" w:rsidRDefault="00D030D2" w:rsidP="004428BA">
            <w:pPr>
              <w:pStyle w:val="Tabletext"/>
              <w:keepNext/>
              <w:rPr>
                <w:rFonts w:eastAsia="Calibri"/>
              </w:rPr>
            </w:pPr>
            <w:r w:rsidRPr="00D4296D">
              <w:rPr>
                <w:rFonts w:eastAsia="Calibri"/>
              </w:rPr>
              <w:t>(improvement of ≥</w:t>
            </w:r>
            <w:r w:rsidR="00B96DFD">
              <w:rPr>
                <w:rFonts w:eastAsia="Calibri"/>
              </w:rPr>
              <w:t xml:space="preserve"> </w:t>
            </w:r>
            <w:r w:rsidRPr="00D4296D">
              <w:rPr>
                <w:rFonts w:eastAsia="Calibri"/>
              </w:rPr>
              <w:t xml:space="preserve">1 MAS </w:t>
            </w:r>
            <w:r w:rsidR="008D5B4C" w:rsidRPr="00D4296D">
              <w:rPr>
                <w:rFonts w:eastAsia="Calibri"/>
              </w:rPr>
              <w:t>point</w:t>
            </w:r>
            <w:r w:rsidRPr="00D4296D">
              <w:rPr>
                <w:rFonts w:eastAsia="Calibri"/>
              </w:rPr>
              <w:t>)</w:t>
            </w:r>
          </w:p>
        </w:tc>
        <w:tc>
          <w:tcPr>
            <w:tcW w:w="2693" w:type="dxa"/>
          </w:tcPr>
          <w:p w:rsidR="00D030D2" w:rsidRPr="00D4296D" w:rsidRDefault="00D030D2" w:rsidP="004428BA">
            <w:pPr>
              <w:pStyle w:val="Tabletext"/>
              <w:keepNext/>
              <w:rPr>
                <w:rFonts w:eastAsia="Calibri"/>
              </w:rPr>
            </w:pPr>
            <w:r w:rsidRPr="00D4296D">
              <w:rPr>
                <w:rFonts w:eastAsia="Calibri"/>
              </w:rPr>
              <w:t>Quality adjusted life years (QALYs) gained</w:t>
            </w:r>
          </w:p>
        </w:tc>
        <w:tc>
          <w:tcPr>
            <w:tcW w:w="3635" w:type="dxa"/>
          </w:tcPr>
          <w:p w:rsidR="00D030D2" w:rsidRPr="00D4296D" w:rsidRDefault="00D030D2" w:rsidP="00B96DFD">
            <w:pPr>
              <w:pStyle w:val="Tabletext"/>
              <w:keepNext/>
              <w:rPr>
                <w:rFonts w:eastAsia="Calibri"/>
              </w:rPr>
            </w:pPr>
            <w:r w:rsidRPr="00D4296D">
              <w:rPr>
                <w:rFonts w:eastAsia="Calibri"/>
                <w:iCs/>
              </w:rPr>
              <w:t>Although this was consistent with the clinical data</w:t>
            </w:r>
            <w:r w:rsidR="00FF3637">
              <w:rPr>
                <w:rFonts w:eastAsia="Calibri"/>
                <w:iCs/>
              </w:rPr>
              <w:t xml:space="preserve"> and the updated proposed PBS restriction requested in the PSCR</w:t>
            </w:r>
            <w:r w:rsidRPr="00D4296D">
              <w:rPr>
                <w:rFonts w:eastAsia="Calibri"/>
                <w:iCs/>
              </w:rPr>
              <w:t xml:space="preserve">, it conflicted with the </w:t>
            </w:r>
            <w:r w:rsidR="00FF3637">
              <w:rPr>
                <w:rFonts w:eastAsia="Calibri"/>
                <w:iCs/>
              </w:rPr>
              <w:t>current upper limb restriction, which defined</w:t>
            </w:r>
            <w:r w:rsidRPr="00D4296D">
              <w:rPr>
                <w:rFonts w:eastAsia="Calibri"/>
                <w:iCs/>
              </w:rPr>
              <w:t xml:space="preserve"> response as a reduction in MAS of </w:t>
            </w:r>
            <w:r w:rsidR="00B96DFD">
              <w:rPr>
                <w:rFonts w:eastAsia="Calibri"/>
                <w:iCs/>
              </w:rPr>
              <w:t>&gt;</w:t>
            </w:r>
            <w:r w:rsidRPr="00D4296D">
              <w:rPr>
                <w:rFonts w:eastAsia="Calibri"/>
                <w:iCs/>
              </w:rPr>
              <w:t xml:space="preserve"> 1.</w:t>
            </w:r>
            <w:r w:rsidR="004A5FEC" w:rsidRPr="00D4296D">
              <w:rPr>
                <w:rFonts w:eastAsia="Calibri"/>
                <w:iCs/>
              </w:rPr>
              <w:t xml:space="preserve"> </w:t>
            </w:r>
            <w:r w:rsidRPr="00D4296D">
              <w:rPr>
                <w:rFonts w:eastAsia="Calibri"/>
                <w:iCs/>
              </w:rPr>
              <w:t>A sensitivity analysis was not presented in the submission for response defined as MAS</w:t>
            </w:r>
            <w:r w:rsidR="00B96DFD">
              <w:rPr>
                <w:rFonts w:eastAsia="Calibri"/>
                <w:iCs/>
              </w:rPr>
              <w:t xml:space="preserve"> </w:t>
            </w:r>
            <w:r w:rsidRPr="00D4296D">
              <w:rPr>
                <w:rFonts w:eastAsia="Calibri"/>
                <w:iCs/>
              </w:rPr>
              <w:t>&gt;</w:t>
            </w:r>
            <w:r w:rsidR="00B96DFD">
              <w:rPr>
                <w:rFonts w:eastAsia="Calibri"/>
                <w:iCs/>
              </w:rPr>
              <w:t xml:space="preserve"> </w:t>
            </w:r>
            <w:r w:rsidRPr="00D4296D">
              <w:rPr>
                <w:rFonts w:eastAsia="Calibri"/>
                <w:iCs/>
              </w:rPr>
              <w:t>1.</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Time horizon</w:t>
            </w:r>
          </w:p>
        </w:tc>
        <w:tc>
          <w:tcPr>
            <w:tcW w:w="1276" w:type="dxa"/>
          </w:tcPr>
          <w:p w:rsidR="00D030D2" w:rsidRPr="00D4296D" w:rsidRDefault="00D030D2" w:rsidP="004428BA">
            <w:pPr>
              <w:pStyle w:val="Tabletext"/>
              <w:keepNext/>
              <w:rPr>
                <w:rFonts w:eastAsia="Calibri"/>
              </w:rPr>
            </w:pPr>
            <w:r w:rsidRPr="00D4296D">
              <w:rPr>
                <w:rFonts w:eastAsia="Calibri"/>
              </w:rPr>
              <w:t xml:space="preserve">12 weeks AND 24 weeks </w:t>
            </w:r>
          </w:p>
        </w:tc>
        <w:tc>
          <w:tcPr>
            <w:tcW w:w="2693" w:type="dxa"/>
          </w:tcPr>
          <w:p w:rsidR="00D030D2" w:rsidRPr="00D4296D" w:rsidRDefault="00D030D2" w:rsidP="004428BA">
            <w:pPr>
              <w:pStyle w:val="Tabletext"/>
              <w:keepNext/>
              <w:rPr>
                <w:rFonts w:eastAsia="Calibri"/>
              </w:rPr>
            </w:pPr>
            <w:r w:rsidRPr="00D4296D">
              <w:rPr>
                <w:rFonts w:eastAsia="Calibri"/>
              </w:rPr>
              <w:t>5 years</w:t>
            </w:r>
            <w:r w:rsidR="000436E8" w:rsidRPr="00D4296D">
              <w:rPr>
                <w:rFonts w:eastAsia="Calibri"/>
              </w:rPr>
              <w:t xml:space="preserve"> in the model versus 12 weeks in the double blind phase (REFLEX) and an additional 48 weeks in the open label extension.</w:t>
            </w:r>
          </w:p>
        </w:tc>
        <w:tc>
          <w:tcPr>
            <w:tcW w:w="3635" w:type="dxa"/>
          </w:tcPr>
          <w:p w:rsidR="00D030D2" w:rsidRPr="00D4296D" w:rsidRDefault="00D030D2" w:rsidP="004428BA">
            <w:pPr>
              <w:pStyle w:val="Tabletext"/>
              <w:keepNext/>
              <w:rPr>
                <w:rFonts w:eastAsia="Calibri"/>
              </w:rPr>
            </w:pPr>
            <w:r w:rsidRPr="00D4296D">
              <w:rPr>
                <w:rFonts w:eastAsia="Calibri"/>
                <w:iCs/>
              </w:rPr>
              <w:t>This was appropriate</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 xml:space="preserve">Method(s) used </w:t>
            </w:r>
          </w:p>
        </w:tc>
        <w:tc>
          <w:tcPr>
            <w:tcW w:w="1276" w:type="dxa"/>
          </w:tcPr>
          <w:p w:rsidR="00D030D2" w:rsidRPr="00D4296D" w:rsidRDefault="00D030D2" w:rsidP="004428BA">
            <w:pPr>
              <w:pStyle w:val="Tabletext"/>
              <w:keepNext/>
              <w:rPr>
                <w:rFonts w:eastAsia="Calibri"/>
              </w:rPr>
            </w:pPr>
            <w:r w:rsidRPr="00D4296D">
              <w:rPr>
                <w:rFonts w:eastAsia="Calibri"/>
              </w:rPr>
              <w:t xml:space="preserve">Decision analysis </w:t>
            </w:r>
          </w:p>
        </w:tc>
        <w:tc>
          <w:tcPr>
            <w:tcW w:w="2693" w:type="dxa"/>
          </w:tcPr>
          <w:p w:rsidR="00D030D2" w:rsidRPr="00D4296D" w:rsidRDefault="009566C8" w:rsidP="004428BA">
            <w:pPr>
              <w:pStyle w:val="Tabletext"/>
              <w:keepNext/>
              <w:rPr>
                <w:rFonts w:eastAsia="Calibri"/>
              </w:rPr>
            </w:pPr>
            <w:r w:rsidRPr="00D4296D">
              <w:rPr>
                <w:rFonts w:eastAsia="Calibri"/>
              </w:rPr>
              <w:t>Markov cohort model</w:t>
            </w:r>
            <w:r w:rsidR="000436E8" w:rsidRPr="00D4296D">
              <w:rPr>
                <w:rFonts w:eastAsia="Calibri"/>
              </w:rPr>
              <w:t>, cohort expected value analysis.</w:t>
            </w:r>
          </w:p>
        </w:tc>
        <w:tc>
          <w:tcPr>
            <w:tcW w:w="3635" w:type="dxa"/>
          </w:tcPr>
          <w:p w:rsidR="00D030D2" w:rsidRPr="00D4296D" w:rsidRDefault="00D030D2" w:rsidP="004428BA">
            <w:pPr>
              <w:pStyle w:val="Tabletext"/>
              <w:keepNext/>
              <w:rPr>
                <w:rFonts w:eastAsia="Calibri"/>
              </w:rPr>
            </w:pPr>
            <w:r w:rsidRPr="00D4296D">
              <w:rPr>
                <w:rFonts w:eastAsia="Calibri"/>
              </w:rPr>
              <w:t>This was appropriate</w:t>
            </w:r>
          </w:p>
        </w:tc>
      </w:tr>
      <w:tr w:rsidR="00D030D2" w:rsidRPr="00D4296D" w:rsidTr="00D030D2">
        <w:trPr>
          <w:trHeight w:val="290"/>
        </w:trPr>
        <w:tc>
          <w:tcPr>
            <w:tcW w:w="1413" w:type="dxa"/>
          </w:tcPr>
          <w:p w:rsidR="00D030D2" w:rsidRPr="00D4296D" w:rsidRDefault="00D030D2" w:rsidP="004428BA">
            <w:pPr>
              <w:pStyle w:val="Tabletext"/>
              <w:keepNext/>
              <w:rPr>
                <w:rFonts w:eastAsia="Calibri"/>
              </w:rPr>
            </w:pPr>
            <w:r w:rsidRPr="00D4296D">
              <w:rPr>
                <w:rFonts w:eastAsia="Calibri"/>
              </w:rPr>
              <w:t>Health states</w:t>
            </w:r>
            <w:r w:rsidR="001D25F2" w:rsidRPr="00D4296D">
              <w:rPr>
                <w:rFonts w:eastAsia="Calibri"/>
              </w:rPr>
              <w:t>/ Utilities</w:t>
            </w:r>
          </w:p>
        </w:tc>
        <w:tc>
          <w:tcPr>
            <w:tcW w:w="1276" w:type="dxa"/>
          </w:tcPr>
          <w:p w:rsidR="00D030D2" w:rsidRPr="00D4296D" w:rsidRDefault="00D030D2" w:rsidP="004428BA">
            <w:pPr>
              <w:pStyle w:val="Tabletext"/>
              <w:keepNext/>
              <w:rPr>
                <w:rFonts w:eastAsia="Calibri"/>
              </w:rPr>
            </w:pPr>
            <w:r w:rsidRPr="00D4296D">
              <w:rPr>
                <w:rFonts w:eastAsia="Calibri"/>
              </w:rPr>
              <w:t>Not applicable</w:t>
            </w:r>
          </w:p>
        </w:tc>
        <w:tc>
          <w:tcPr>
            <w:tcW w:w="2693" w:type="dxa"/>
          </w:tcPr>
          <w:p w:rsidR="00D030D2" w:rsidRPr="00D4296D" w:rsidRDefault="00D030D2" w:rsidP="004428BA">
            <w:pPr>
              <w:pStyle w:val="Tabletext"/>
              <w:keepNext/>
              <w:numPr>
                <w:ilvl w:val="0"/>
                <w:numId w:val="13"/>
              </w:numPr>
              <w:ind w:left="117" w:hanging="142"/>
            </w:pPr>
            <w:r w:rsidRPr="00D4296D">
              <w:t xml:space="preserve">Entry </w:t>
            </w:r>
            <w:r w:rsidR="001D25F2" w:rsidRPr="00D4296D">
              <w:t>(0.504)</w:t>
            </w:r>
          </w:p>
          <w:p w:rsidR="00D030D2" w:rsidRPr="00D4296D" w:rsidRDefault="00D030D2" w:rsidP="004428BA">
            <w:pPr>
              <w:pStyle w:val="Tabletext"/>
              <w:keepNext/>
              <w:numPr>
                <w:ilvl w:val="0"/>
                <w:numId w:val="13"/>
              </w:numPr>
              <w:ind w:left="117" w:hanging="142"/>
            </w:pPr>
            <w:r w:rsidRPr="00D4296D">
              <w:t xml:space="preserve">Response </w:t>
            </w:r>
            <w:r w:rsidR="001D25F2" w:rsidRPr="00D4296D">
              <w:t>(0.553)</w:t>
            </w:r>
          </w:p>
          <w:p w:rsidR="00D030D2" w:rsidRPr="00D4296D" w:rsidRDefault="00D030D2" w:rsidP="004428BA">
            <w:pPr>
              <w:pStyle w:val="Tabletext"/>
              <w:keepNext/>
              <w:numPr>
                <w:ilvl w:val="0"/>
                <w:numId w:val="13"/>
              </w:numPr>
              <w:ind w:left="117" w:hanging="142"/>
            </w:pPr>
            <w:r w:rsidRPr="00D4296D">
              <w:t xml:space="preserve">Non-response </w:t>
            </w:r>
            <w:r w:rsidR="001D25F2" w:rsidRPr="00D4296D">
              <w:t>(0.525)</w:t>
            </w:r>
          </w:p>
          <w:p w:rsidR="00D030D2" w:rsidRPr="00D4296D" w:rsidRDefault="00D030D2" w:rsidP="004428BA">
            <w:pPr>
              <w:pStyle w:val="Tabletext"/>
              <w:keepNext/>
              <w:numPr>
                <w:ilvl w:val="0"/>
                <w:numId w:val="13"/>
              </w:numPr>
              <w:ind w:left="117" w:hanging="142"/>
            </w:pPr>
            <w:r w:rsidRPr="00D4296D">
              <w:t>Last line treatment</w:t>
            </w:r>
            <w:r w:rsidR="001D25F2" w:rsidRPr="00D4296D">
              <w:t xml:space="preserve"> (0.504)</w:t>
            </w:r>
          </w:p>
          <w:p w:rsidR="00D030D2" w:rsidRPr="00D4296D" w:rsidRDefault="00D030D2" w:rsidP="004428BA">
            <w:pPr>
              <w:pStyle w:val="Tabletext"/>
              <w:keepNext/>
              <w:numPr>
                <w:ilvl w:val="0"/>
                <w:numId w:val="13"/>
              </w:numPr>
              <w:ind w:left="117" w:hanging="142"/>
            </w:pPr>
            <w:r w:rsidRPr="00D4296D">
              <w:t xml:space="preserve">Dead </w:t>
            </w:r>
          </w:p>
        </w:tc>
        <w:tc>
          <w:tcPr>
            <w:tcW w:w="3635" w:type="dxa"/>
          </w:tcPr>
          <w:p w:rsidR="00EF2E07" w:rsidRPr="00D4296D" w:rsidRDefault="00EF2E07" w:rsidP="004428BA">
            <w:pPr>
              <w:pStyle w:val="Tabletext"/>
              <w:keepNext/>
            </w:pPr>
            <w:r w:rsidRPr="00D4296D">
              <w:t xml:space="preserve">The </w:t>
            </w:r>
            <w:r w:rsidR="003E5082" w:rsidRPr="00D4296D">
              <w:t xml:space="preserve">ESC considered </w:t>
            </w:r>
            <w:r w:rsidRPr="00D4296D">
              <w:t>application of a utility based on response across an entire cycle when response does not occur at the beginning of the cycle and begins to wane by the end of the cycle overestimates the utility gain</w:t>
            </w:r>
            <w:r w:rsidR="001D25F2" w:rsidRPr="00D4296D">
              <w:t>, and recommended a half cycle correction.</w:t>
            </w:r>
          </w:p>
          <w:p w:rsidR="006E1522" w:rsidRPr="00D4296D" w:rsidRDefault="006E1522" w:rsidP="004428BA">
            <w:pPr>
              <w:pStyle w:val="Tabletext"/>
              <w:keepNext/>
              <w:rPr>
                <w:highlight w:val="yellow"/>
              </w:rPr>
            </w:pPr>
            <w:r w:rsidRPr="00D4296D">
              <w:t xml:space="preserve">The ESC considered that the last line health state might be better represented by the utility value applied in the non-response health state, </w:t>
            </w:r>
            <w:r w:rsidR="0015613C" w:rsidRPr="00D4296D">
              <w:t>as</w:t>
            </w:r>
            <w:r w:rsidRPr="00D4296D">
              <w:t xml:space="preserve"> treatment is still given.</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Cycle length</w:t>
            </w:r>
          </w:p>
        </w:tc>
        <w:tc>
          <w:tcPr>
            <w:tcW w:w="1276" w:type="dxa"/>
          </w:tcPr>
          <w:p w:rsidR="00D030D2" w:rsidRPr="00D4296D" w:rsidRDefault="00D030D2" w:rsidP="004428BA">
            <w:pPr>
              <w:pStyle w:val="Tabletext"/>
              <w:keepNext/>
              <w:rPr>
                <w:rFonts w:eastAsia="Calibri"/>
              </w:rPr>
            </w:pPr>
            <w:r w:rsidRPr="00D4296D">
              <w:rPr>
                <w:rFonts w:eastAsia="Calibri"/>
              </w:rPr>
              <w:t>Not applicable</w:t>
            </w:r>
          </w:p>
        </w:tc>
        <w:tc>
          <w:tcPr>
            <w:tcW w:w="2693" w:type="dxa"/>
          </w:tcPr>
          <w:p w:rsidR="00D030D2" w:rsidRPr="00D4296D" w:rsidRDefault="00D030D2" w:rsidP="004428BA">
            <w:pPr>
              <w:pStyle w:val="Tabletext"/>
              <w:keepNext/>
              <w:rPr>
                <w:rFonts w:eastAsia="Calibri"/>
              </w:rPr>
            </w:pPr>
            <w:r w:rsidRPr="00D4296D">
              <w:rPr>
                <w:rFonts w:eastAsia="Calibri"/>
              </w:rPr>
              <w:t>12 weeks</w:t>
            </w:r>
          </w:p>
        </w:tc>
        <w:tc>
          <w:tcPr>
            <w:tcW w:w="3635" w:type="dxa"/>
          </w:tcPr>
          <w:p w:rsidR="00D030D2" w:rsidRPr="00D4296D" w:rsidRDefault="00D030D2" w:rsidP="004428BA">
            <w:pPr>
              <w:pStyle w:val="Tabletext"/>
              <w:keepNext/>
              <w:rPr>
                <w:rFonts w:eastAsia="Calibri"/>
              </w:rPr>
            </w:pPr>
            <w:r w:rsidRPr="00D4296D">
              <w:rPr>
                <w:rFonts w:eastAsia="Calibri"/>
              </w:rPr>
              <w:t>This was appropriate</w:t>
            </w:r>
            <w:r w:rsidR="001D25F2" w:rsidRPr="00D4296D">
              <w:rPr>
                <w:rFonts w:eastAsia="Calibri"/>
              </w:rPr>
              <w:t>.</w:t>
            </w:r>
          </w:p>
          <w:p w:rsidR="001D25F2" w:rsidRPr="00D4296D" w:rsidRDefault="001D25F2" w:rsidP="004428BA">
            <w:pPr>
              <w:pStyle w:val="Tabletext"/>
              <w:keepNext/>
              <w:rPr>
                <w:rFonts w:eastAsia="Calibri"/>
              </w:rPr>
            </w:pPr>
            <w:r w:rsidRPr="00D4296D">
              <w:rPr>
                <w:rFonts w:eastAsia="Calibri"/>
              </w:rPr>
              <w:t>The ESC noted that there was no half cycle correction.</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Transition probabilities</w:t>
            </w:r>
          </w:p>
        </w:tc>
        <w:tc>
          <w:tcPr>
            <w:tcW w:w="1276" w:type="dxa"/>
          </w:tcPr>
          <w:p w:rsidR="00D030D2" w:rsidRPr="00D4296D" w:rsidRDefault="00D030D2" w:rsidP="004428BA">
            <w:pPr>
              <w:pStyle w:val="Tabletext"/>
              <w:keepNext/>
              <w:rPr>
                <w:rFonts w:eastAsia="Calibri"/>
              </w:rPr>
            </w:pPr>
            <w:r w:rsidRPr="00D4296D">
              <w:rPr>
                <w:rFonts w:eastAsia="Calibri"/>
              </w:rPr>
              <w:t>Not applicable</w:t>
            </w:r>
          </w:p>
        </w:tc>
        <w:tc>
          <w:tcPr>
            <w:tcW w:w="2693" w:type="dxa"/>
          </w:tcPr>
          <w:p w:rsidR="00652D23" w:rsidRPr="00D4296D" w:rsidRDefault="00155E79" w:rsidP="004428BA">
            <w:pPr>
              <w:pStyle w:val="Tabletext"/>
              <w:keepNext/>
              <w:numPr>
                <w:ilvl w:val="0"/>
                <w:numId w:val="15"/>
              </w:numPr>
              <w:ind w:left="117" w:hanging="142"/>
              <w:rPr>
                <w:rFonts w:eastAsia="Calibri"/>
              </w:rPr>
            </w:pPr>
            <w:r w:rsidRPr="00D4296D">
              <w:rPr>
                <w:rFonts w:eastAsia="Calibri"/>
              </w:rPr>
              <w:t>Probability of response at entry was based on MAS response in the DB phase of REFLEX.</w:t>
            </w:r>
          </w:p>
          <w:p w:rsidR="009566C8" w:rsidRPr="00D4296D" w:rsidRDefault="009566C8" w:rsidP="004428BA">
            <w:pPr>
              <w:pStyle w:val="Tabletext"/>
              <w:keepNext/>
              <w:numPr>
                <w:ilvl w:val="0"/>
                <w:numId w:val="15"/>
              </w:numPr>
              <w:ind w:left="117" w:hanging="142"/>
              <w:rPr>
                <w:rFonts w:eastAsia="Calibri"/>
              </w:rPr>
            </w:pPr>
            <w:r w:rsidRPr="00D4296D">
              <w:rPr>
                <w:rFonts w:eastAsia="Calibri"/>
              </w:rPr>
              <w:t>IPD data f</w:t>
            </w:r>
            <w:r w:rsidR="00652D23" w:rsidRPr="00D4296D">
              <w:rPr>
                <w:rFonts w:eastAsia="Calibri"/>
              </w:rPr>
              <w:t xml:space="preserve">rom REFLEX were used to derive: </w:t>
            </w:r>
            <w:proofErr w:type="spellStart"/>
            <w:r w:rsidR="00652D23" w:rsidRPr="00D4296D">
              <w:rPr>
                <w:rFonts w:eastAsia="Calibri"/>
              </w:rPr>
              <w:t>i</w:t>
            </w:r>
            <w:proofErr w:type="spellEnd"/>
            <w:r w:rsidR="00652D23" w:rsidRPr="00D4296D">
              <w:rPr>
                <w:rFonts w:eastAsia="Calibri"/>
              </w:rPr>
              <w:t xml:space="preserve">) the probabilities of continued response in the </w:t>
            </w:r>
            <w:r w:rsidR="00EE500E" w:rsidRPr="00D4296D">
              <w:rPr>
                <w:rFonts w:eastAsia="Calibri"/>
              </w:rPr>
              <w:t>BOTOX®</w:t>
            </w:r>
            <w:r w:rsidR="00652D23" w:rsidRPr="00D4296D">
              <w:rPr>
                <w:rFonts w:eastAsia="Calibri"/>
              </w:rPr>
              <w:t xml:space="preserve"> group and ii) h</w:t>
            </w:r>
            <w:r w:rsidRPr="00D4296D">
              <w:t xml:space="preserve">ealth state </w:t>
            </w:r>
            <w:r w:rsidRPr="00D4296D">
              <w:rPr>
                <w:rFonts w:eastAsia="Calibri"/>
              </w:rPr>
              <w:t xml:space="preserve">utilities </w:t>
            </w:r>
            <w:r w:rsidR="00652D23" w:rsidRPr="00D4296D">
              <w:rPr>
                <w:rFonts w:eastAsia="Calibri"/>
              </w:rPr>
              <w:t xml:space="preserve">according to response (using </w:t>
            </w:r>
            <w:r w:rsidR="00A15FE7" w:rsidRPr="00D4296D">
              <w:rPr>
                <w:rFonts w:eastAsia="Calibri"/>
              </w:rPr>
              <w:t>EQ5D-3</w:t>
            </w:r>
            <w:r w:rsidRPr="00D4296D">
              <w:rPr>
                <w:rFonts w:eastAsia="Calibri"/>
              </w:rPr>
              <w:t>L data collected in the trial and transf</w:t>
            </w:r>
            <w:r w:rsidR="00652D23" w:rsidRPr="00D4296D">
              <w:rPr>
                <w:rFonts w:eastAsia="Calibri"/>
              </w:rPr>
              <w:t xml:space="preserve">ormed using Australian weights </w:t>
            </w:r>
            <w:proofErr w:type="spellStart"/>
            <w:r w:rsidRPr="00D4296D">
              <w:rPr>
                <w:rFonts w:eastAsia="Calibri"/>
              </w:rPr>
              <w:t>Viney</w:t>
            </w:r>
            <w:proofErr w:type="spellEnd"/>
            <w:r w:rsidRPr="00D4296D">
              <w:rPr>
                <w:rFonts w:eastAsia="Calibri"/>
              </w:rPr>
              <w:t xml:space="preserve"> 2011</w:t>
            </w:r>
            <w:r w:rsidR="00652D23" w:rsidRPr="00D4296D">
              <w:rPr>
                <w:rFonts w:eastAsia="Calibri"/>
              </w:rPr>
              <w:t>)</w:t>
            </w:r>
            <w:r w:rsidRPr="00D4296D">
              <w:rPr>
                <w:rFonts w:eastAsia="Calibri"/>
              </w:rPr>
              <w:t>.</w:t>
            </w:r>
          </w:p>
          <w:p w:rsidR="00D030D2" w:rsidRPr="00D4296D" w:rsidRDefault="00D030D2" w:rsidP="004428BA">
            <w:pPr>
              <w:pStyle w:val="Tabletext"/>
              <w:keepNext/>
              <w:numPr>
                <w:ilvl w:val="0"/>
                <w:numId w:val="15"/>
              </w:numPr>
              <w:ind w:left="117" w:hanging="142"/>
              <w:rPr>
                <w:rFonts w:eastAsia="Calibri"/>
              </w:rPr>
            </w:pPr>
            <w:r w:rsidRPr="00D4296D">
              <w:rPr>
                <w:rFonts w:eastAsia="Calibri"/>
              </w:rPr>
              <w:t>Post-stroke adjusted Australian mortality rates</w:t>
            </w:r>
            <w:r w:rsidR="000436E8" w:rsidRPr="00D4296D">
              <w:rPr>
                <w:rFonts w:eastAsia="Calibri"/>
              </w:rPr>
              <w:t xml:space="preserve"> were from ABS data</w:t>
            </w:r>
            <w:r w:rsidRPr="00D4296D">
              <w:rPr>
                <w:rFonts w:eastAsia="Calibri"/>
              </w:rPr>
              <w:t>.</w:t>
            </w:r>
            <w:r w:rsidR="004A5FEC" w:rsidRPr="00D4296D">
              <w:t xml:space="preserve"> </w:t>
            </w:r>
          </w:p>
        </w:tc>
        <w:tc>
          <w:tcPr>
            <w:tcW w:w="3635" w:type="dxa"/>
          </w:tcPr>
          <w:p w:rsidR="00D030D2" w:rsidRPr="00D4296D" w:rsidRDefault="00D030D2" w:rsidP="004428BA">
            <w:pPr>
              <w:pStyle w:val="Tabletext"/>
              <w:keepNext/>
              <w:rPr>
                <w:rFonts w:eastAsia="Calibri"/>
              </w:rPr>
            </w:pPr>
            <w:r w:rsidRPr="00D4296D">
              <w:rPr>
                <w:rFonts w:eastAsia="Calibri"/>
              </w:rPr>
              <w:t xml:space="preserve">There is a high level of uncertainty regarding the probability of continued response in both branches </w:t>
            </w:r>
            <w:r w:rsidR="00CD0F7D" w:rsidRPr="00D4296D">
              <w:rPr>
                <w:rFonts w:eastAsia="Calibri"/>
              </w:rPr>
              <w:t xml:space="preserve">of the model </w:t>
            </w:r>
            <w:r w:rsidRPr="00D4296D">
              <w:rPr>
                <w:rFonts w:eastAsia="Calibri"/>
              </w:rPr>
              <w:t>due to the lack of long-term data.</w:t>
            </w:r>
            <w:r w:rsidR="004A5FEC" w:rsidRPr="00D4296D">
              <w:rPr>
                <w:rFonts w:eastAsia="Calibri"/>
              </w:rPr>
              <w:t xml:space="preserve"> </w:t>
            </w:r>
            <w:r w:rsidR="00C1223E" w:rsidRPr="00D4296D">
              <w:rPr>
                <w:rFonts w:eastAsia="Calibri"/>
              </w:rPr>
              <w:t xml:space="preserve">The probabilities of continued response were derived from REFLEX data, but the trial only included 4 treatment cycles for </w:t>
            </w:r>
            <w:r w:rsidR="00EE500E" w:rsidRPr="00D4296D">
              <w:rPr>
                <w:rFonts w:eastAsia="Calibri"/>
              </w:rPr>
              <w:t>BOTOX®</w:t>
            </w:r>
            <w:r w:rsidR="00C1223E" w:rsidRPr="00D4296D">
              <w:rPr>
                <w:rFonts w:eastAsia="Calibri"/>
              </w:rPr>
              <w:t xml:space="preserve"> and one treatment cycle for placebo (DB phase only). Therefore, there was no data on continued response in the placebo group, and approximately 1-year data for </w:t>
            </w:r>
            <w:r w:rsidR="00EE500E" w:rsidRPr="00D4296D">
              <w:rPr>
                <w:rFonts w:eastAsia="Calibri"/>
              </w:rPr>
              <w:t>BOTOX®</w:t>
            </w:r>
            <w:r w:rsidR="00C1223E" w:rsidRPr="00D4296D">
              <w:rPr>
                <w:rFonts w:eastAsia="Calibri"/>
              </w:rPr>
              <w:t xml:space="preserve"> treatment.</w:t>
            </w:r>
            <w:r w:rsidR="00347263" w:rsidRPr="00D4296D">
              <w:rPr>
                <w:rFonts w:eastAsia="Calibri"/>
              </w:rPr>
              <w:t xml:space="preserve"> Furthermore, in the study, only responders tended to continue therapy, so the results are likely to favour </w:t>
            </w:r>
            <w:r w:rsidR="00EE500E" w:rsidRPr="00D4296D">
              <w:rPr>
                <w:rFonts w:eastAsia="Calibri"/>
              </w:rPr>
              <w:t>BOTOX®</w:t>
            </w:r>
            <w:r w:rsidR="00347263" w:rsidRPr="00D4296D">
              <w:rPr>
                <w:rFonts w:eastAsia="Calibri"/>
              </w:rPr>
              <w:t>.</w:t>
            </w:r>
            <w:r w:rsidR="00EF2E07" w:rsidRPr="00D4296D">
              <w:rPr>
                <w:rFonts w:eastAsia="Calibri"/>
              </w:rPr>
              <w:t xml:space="preserve"> </w:t>
            </w:r>
            <w:r w:rsidR="0015613C" w:rsidRPr="00D4296D">
              <w:rPr>
                <w:rFonts w:eastAsia="Calibri"/>
              </w:rPr>
              <w:t>The ESC noted that t</w:t>
            </w:r>
            <w:r w:rsidR="00EF2E07" w:rsidRPr="00D4296D">
              <w:rPr>
                <w:rFonts w:eastAsia="Calibri"/>
              </w:rPr>
              <w:t>he model does not adequately account for the natural history of stroke by incorporating the likelihood of non-fatal recurrent stroke.</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Costs</w:t>
            </w:r>
          </w:p>
        </w:tc>
        <w:tc>
          <w:tcPr>
            <w:tcW w:w="1276" w:type="dxa"/>
          </w:tcPr>
          <w:p w:rsidR="00D030D2" w:rsidRPr="00D4296D" w:rsidRDefault="00D030D2" w:rsidP="004428BA">
            <w:pPr>
              <w:pStyle w:val="Tabletext"/>
              <w:keepNext/>
              <w:rPr>
                <w:rFonts w:eastAsia="Calibri"/>
              </w:rPr>
            </w:pPr>
            <w:r w:rsidRPr="00D4296D">
              <w:rPr>
                <w:rFonts w:eastAsia="Calibri"/>
              </w:rPr>
              <w:t>Drug and administration</w:t>
            </w:r>
            <w:r w:rsidR="00CA13AF" w:rsidRPr="00D4296D">
              <w:rPr>
                <w:rFonts w:eastAsia="Calibri"/>
              </w:rPr>
              <w:t xml:space="preserve"> and physiotherapy cost</w:t>
            </w:r>
          </w:p>
        </w:tc>
        <w:tc>
          <w:tcPr>
            <w:tcW w:w="2693" w:type="dxa"/>
          </w:tcPr>
          <w:p w:rsidR="00D030D2" w:rsidRPr="00D4296D" w:rsidRDefault="00D030D2" w:rsidP="004428BA">
            <w:pPr>
              <w:pStyle w:val="Tabletext"/>
              <w:keepNext/>
              <w:rPr>
                <w:rFonts w:eastAsia="Calibri"/>
              </w:rPr>
            </w:pPr>
            <w:r w:rsidRPr="00D4296D">
              <w:rPr>
                <w:rFonts w:eastAsia="Calibri"/>
              </w:rPr>
              <w:t>Drug and administration cost</w:t>
            </w:r>
            <w:r w:rsidR="000436E8" w:rsidRPr="00D4296D">
              <w:rPr>
                <w:rFonts w:eastAsia="Calibri"/>
              </w:rPr>
              <w:t>s</w:t>
            </w:r>
            <w:r w:rsidRPr="00D4296D">
              <w:rPr>
                <w:rFonts w:eastAsia="Calibri"/>
              </w:rPr>
              <w:t xml:space="preserve">, </w:t>
            </w:r>
            <w:r w:rsidR="00CA13AF" w:rsidRPr="00D4296D">
              <w:rPr>
                <w:rFonts w:eastAsia="Calibri"/>
              </w:rPr>
              <w:t xml:space="preserve">physiotherapy cost, </w:t>
            </w:r>
            <w:r w:rsidRPr="00D4296D">
              <w:rPr>
                <w:rFonts w:eastAsia="Calibri"/>
              </w:rPr>
              <w:t>cost for transition to last line therapy ($</w:t>
            </w:r>
            <w:r w:rsidR="001C21E3">
              <w:rPr>
                <w:rFonts w:eastAsia="Calibri"/>
                <w:noProof/>
                <w:color w:val="000000"/>
                <w:highlight w:val="black"/>
              </w:rPr>
              <w:t>''''''''''''''''''</w:t>
            </w:r>
            <w:r w:rsidRPr="00D4296D">
              <w:rPr>
                <w:rFonts w:eastAsia="Calibri"/>
              </w:rPr>
              <w:t>), last line management cost (physiotherapy).</w:t>
            </w:r>
          </w:p>
        </w:tc>
        <w:tc>
          <w:tcPr>
            <w:tcW w:w="3635" w:type="dxa"/>
          </w:tcPr>
          <w:p w:rsidR="00D030D2" w:rsidRPr="00D4296D" w:rsidRDefault="00D030D2" w:rsidP="004428BA">
            <w:pPr>
              <w:pStyle w:val="Tabletext"/>
              <w:keepNext/>
              <w:rPr>
                <w:rFonts w:eastAsia="Calibri"/>
              </w:rPr>
            </w:pPr>
            <w:r w:rsidRPr="00D4296D">
              <w:rPr>
                <w:rFonts w:eastAsia="Calibri"/>
              </w:rPr>
              <w:t>Unit costs used were reasonable.</w:t>
            </w:r>
          </w:p>
          <w:p w:rsidR="001D25F2" w:rsidRPr="00D4296D" w:rsidRDefault="001D25F2" w:rsidP="004428BA">
            <w:pPr>
              <w:pStyle w:val="Tabletext"/>
              <w:keepNext/>
              <w:rPr>
                <w:rFonts w:eastAsia="Calibri"/>
              </w:rPr>
            </w:pPr>
            <w:r w:rsidRPr="00D4296D">
              <w:rPr>
                <w:rFonts w:eastAsia="Calibri"/>
              </w:rPr>
              <w:t>The ESC noted that the adjunctive physiotherapy cost per cycles of $105.08 was for one session only. Patients would likely receive multiple sessions.</w:t>
            </w:r>
          </w:p>
        </w:tc>
      </w:tr>
      <w:tr w:rsidR="00D030D2" w:rsidRPr="00D4296D" w:rsidTr="00D030D2">
        <w:tc>
          <w:tcPr>
            <w:tcW w:w="1413" w:type="dxa"/>
          </w:tcPr>
          <w:p w:rsidR="00D030D2" w:rsidRPr="00D4296D" w:rsidRDefault="00D030D2" w:rsidP="004428BA">
            <w:pPr>
              <w:pStyle w:val="Tabletext"/>
              <w:keepNext/>
              <w:rPr>
                <w:rFonts w:eastAsia="Calibri"/>
              </w:rPr>
            </w:pPr>
            <w:r w:rsidRPr="00D4296D">
              <w:rPr>
                <w:rFonts w:eastAsia="Calibri"/>
              </w:rPr>
              <w:t>Software</w:t>
            </w:r>
          </w:p>
        </w:tc>
        <w:tc>
          <w:tcPr>
            <w:tcW w:w="1276" w:type="dxa"/>
          </w:tcPr>
          <w:p w:rsidR="00D030D2" w:rsidRPr="00D4296D" w:rsidRDefault="00D030D2" w:rsidP="004428BA">
            <w:pPr>
              <w:pStyle w:val="Tabletext"/>
              <w:keepNext/>
              <w:rPr>
                <w:rFonts w:eastAsia="Calibri"/>
              </w:rPr>
            </w:pPr>
            <w:r w:rsidRPr="00D4296D">
              <w:rPr>
                <w:rFonts w:eastAsia="Calibri"/>
              </w:rPr>
              <w:t>Microsoft Excel 2016</w:t>
            </w:r>
          </w:p>
        </w:tc>
        <w:tc>
          <w:tcPr>
            <w:tcW w:w="2693" w:type="dxa"/>
          </w:tcPr>
          <w:p w:rsidR="00D030D2" w:rsidRPr="00D4296D" w:rsidRDefault="00D030D2" w:rsidP="004428BA">
            <w:pPr>
              <w:pStyle w:val="Tabletext"/>
              <w:keepNext/>
              <w:rPr>
                <w:rFonts w:eastAsia="Calibri"/>
              </w:rPr>
            </w:pPr>
            <w:proofErr w:type="spellStart"/>
            <w:r w:rsidRPr="00D4296D">
              <w:rPr>
                <w:rFonts w:eastAsia="Calibri"/>
              </w:rPr>
              <w:t>TreeAge</w:t>
            </w:r>
            <w:proofErr w:type="spellEnd"/>
            <w:r w:rsidRPr="00D4296D">
              <w:rPr>
                <w:rFonts w:eastAsia="Calibri"/>
              </w:rPr>
              <w:t xml:space="preserve"> Pro 2018</w:t>
            </w:r>
          </w:p>
        </w:tc>
        <w:tc>
          <w:tcPr>
            <w:tcW w:w="3635" w:type="dxa"/>
          </w:tcPr>
          <w:p w:rsidR="00D030D2" w:rsidRPr="00D4296D" w:rsidRDefault="00D030D2" w:rsidP="004428BA">
            <w:pPr>
              <w:pStyle w:val="Tabletext"/>
              <w:keepNext/>
              <w:rPr>
                <w:rFonts w:eastAsia="Calibri"/>
              </w:rPr>
            </w:pPr>
            <w:r w:rsidRPr="00D4296D">
              <w:rPr>
                <w:rFonts w:eastAsia="Calibri"/>
              </w:rPr>
              <w:t>This was appropriate</w:t>
            </w:r>
          </w:p>
        </w:tc>
      </w:tr>
    </w:tbl>
    <w:p w:rsidR="00D030D2" w:rsidRPr="00D4296D" w:rsidRDefault="000436E8" w:rsidP="004428BA">
      <w:pPr>
        <w:pStyle w:val="TableFooter"/>
        <w:widowControl/>
      </w:pPr>
      <w:r w:rsidRPr="00D4296D">
        <w:lastRenderedPageBreak/>
        <w:t>Abbreviations:</w:t>
      </w:r>
      <w:r w:rsidR="001305B1" w:rsidRPr="00D4296D">
        <w:t xml:space="preserve"> DB=double-blind,</w:t>
      </w:r>
      <w:r w:rsidRPr="00D4296D">
        <w:t xml:space="preserve"> IPD=individual patient </w:t>
      </w:r>
      <w:r w:rsidR="00A15FE7" w:rsidRPr="00D4296D">
        <w:t>data, EQ5D-3L=</w:t>
      </w:r>
      <w:proofErr w:type="spellStart"/>
      <w:r w:rsidR="00A15FE7" w:rsidRPr="00D4296D">
        <w:t>EuroQol</w:t>
      </w:r>
      <w:proofErr w:type="spellEnd"/>
      <w:r w:rsidR="00A15FE7" w:rsidRPr="00D4296D">
        <w:t xml:space="preserve"> 5 domain 3</w:t>
      </w:r>
      <w:r w:rsidRPr="00D4296D">
        <w:t xml:space="preserve"> level multi-attribute utility instrument. ABS=Australian Bureau of Statistics.</w:t>
      </w:r>
      <w:r w:rsidR="000E551F" w:rsidRPr="00D4296D">
        <w:t xml:space="preserve"> </w:t>
      </w:r>
      <w:r w:rsidR="00D030D2" w:rsidRPr="00D4296D">
        <w:t>Source: Table 3.1-1, p157 of the resubmission.</w:t>
      </w:r>
    </w:p>
    <w:p w:rsidR="00CA13AF" w:rsidRPr="00397B67" w:rsidRDefault="00CA13AF" w:rsidP="004428BA">
      <w:pPr>
        <w:pStyle w:val="TableFooter"/>
        <w:widowControl/>
        <w:rPr>
          <w:szCs w:val="18"/>
        </w:rPr>
      </w:pPr>
    </w:p>
    <w:p w:rsidR="009566C8" w:rsidRDefault="0015613C" w:rsidP="00BB76A8">
      <w:pPr>
        <w:pStyle w:val="ListParagraph"/>
      </w:pPr>
      <w:r>
        <w:t>P</w:t>
      </w:r>
      <w:r w:rsidR="009566C8" w:rsidRPr="001A57E6">
        <w:t xml:space="preserve">atients with moderate to severe spasticity of the lower limb </w:t>
      </w:r>
      <w:r>
        <w:t>(</w:t>
      </w:r>
      <w:r w:rsidR="009566C8" w:rsidRPr="001A57E6">
        <w:t>MAS ≥</w:t>
      </w:r>
      <w:r w:rsidR="00B96DFD">
        <w:t xml:space="preserve"> </w:t>
      </w:r>
      <w:r w:rsidR="009566C8" w:rsidRPr="001A57E6">
        <w:t>3</w:t>
      </w:r>
      <w:r>
        <w:t>)</w:t>
      </w:r>
      <w:r w:rsidR="009566C8" w:rsidRPr="001A57E6">
        <w:t xml:space="preserve"> began the model in the entry state and received their first treatment (</w:t>
      </w:r>
      <w:r>
        <w:t>C</w:t>
      </w:r>
      <w:r w:rsidR="009566C8" w:rsidRPr="001A57E6">
        <w:t>ycle 0).</w:t>
      </w:r>
      <w:r w:rsidR="004A5FEC">
        <w:t xml:space="preserve"> </w:t>
      </w:r>
      <w:r w:rsidR="009566C8" w:rsidRPr="001A57E6">
        <w:t xml:space="preserve">Patients who </w:t>
      </w:r>
      <w:r>
        <w:t xml:space="preserve">responded (MAS </w:t>
      </w:r>
      <w:r w:rsidR="00B96DFD">
        <w:rPr>
          <w:rFonts w:cs="Calibri"/>
        </w:rPr>
        <w:t>≥</w:t>
      </w:r>
      <w:r w:rsidR="00B96DFD">
        <w:t xml:space="preserve"> </w:t>
      </w:r>
      <w:r>
        <w:t xml:space="preserve">1) </w:t>
      </w:r>
      <w:r w:rsidR="009566C8" w:rsidRPr="001A57E6">
        <w:t>transitioned to the Response state</w:t>
      </w:r>
      <w:r w:rsidR="00AD1248" w:rsidRPr="001A57E6">
        <w:t xml:space="preserve">, </w:t>
      </w:r>
      <w:r w:rsidR="009566C8" w:rsidRPr="001A57E6">
        <w:t>while those who did not transitioned to the Non-response state.</w:t>
      </w:r>
      <w:r w:rsidR="004A5FEC">
        <w:t xml:space="preserve"> </w:t>
      </w:r>
      <w:r w:rsidR="009566C8" w:rsidRPr="001A57E6">
        <w:t>Patients in the Response state continued to receive treatment for as long as clinical benefit was maintained; moving to the Non-response state upon treatment failure.</w:t>
      </w:r>
      <w:r w:rsidR="004A5FEC">
        <w:t xml:space="preserve"> </w:t>
      </w:r>
      <w:r w:rsidR="009566C8" w:rsidRPr="001A57E6">
        <w:t xml:space="preserve">In </w:t>
      </w:r>
      <w:r w:rsidR="005212E2">
        <w:t>C</w:t>
      </w:r>
      <w:r w:rsidR="009566C8" w:rsidRPr="001A57E6">
        <w:t xml:space="preserve">ycle 1 only, patients in the Non-response state were assumed to receive another cycle of treatment and may register a “late” </w:t>
      </w:r>
      <w:r w:rsidR="005212E2">
        <w:t xml:space="preserve">response </w:t>
      </w:r>
      <w:r w:rsidR="009566C8" w:rsidRPr="001A57E6">
        <w:t>and transition to the Response state.</w:t>
      </w:r>
      <w:r w:rsidR="004A5FEC">
        <w:t xml:space="preserve"> </w:t>
      </w:r>
      <w:r w:rsidR="009566C8" w:rsidRPr="001A57E6">
        <w:t>In all subsequent cycles, patients transitioned through the Non-response state for a single cycle before transitioning to Last line.</w:t>
      </w:r>
      <w:r w:rsidR="004A5FEC">
        <w:t xml:space="preserve"> </w:t>
      </w:r>
      <w:r w:rsidR="009566C8" w:rsidRPr="001A57E6">
        <w:t xml:space="preserve">Background all-cause mortality, adjusted for the post-stroke population was applied equally to all treatment groups and health states from </w:t>
      </w:r>
      <w:r w:rsidR="005212E2">
        <w:t>C</w:t>
      </w:r>
      <w:r w:rsidR="009566C8" w:rsidRPr="001A57E6">
        <w:t>ycle 1.</w:t>
      </w:r>
    </w:p>
    <w:p w:rsidR="00AD1248" w:rsidRPr="00D4296D" w:rsidRDefault="00AD1248" w:rsidP="00BB76A8">
      <w:pPr>
        <w:pStyle w:val="ListParagraph"/>
      </w:pPr>
      <w:r w:rsidRPr="00D4296D">
        <w:t xml:space="preserve">The probabilities of response </w:t>
      </w:r>
      <w:r w:rsidR="0012696D" w:rsidRPr="00D4296D">
        <w:t>at</w:t>
      </w:r>
      <w:r w:rsidRPr="00D4296D">
        <w:t xml:space="preserve"> entry were obtained from a post hoc analysis of </w:t>
      </w:r>
      <w:r w:rsidR="00FF3637">
        <w:t>individual patient data</w:t>
      </w:r>
      <w:r w:rsidR="00FF3637" w:rsidRPr="00D4296D">
        <w:t xml:space="preserve"> </w:t>
      </w:r>
      <w:r w:rsidRPr="00D4296D">
        <w:t xml:space="preserve">from the randomised phase of REFLEX. </w:t>
      </w:r>
      <w:r w:rsidR="00A112C0" w:rsidRPr="00D4296D">
        <w:t>The ESC noted these were based on a patient achieving a response at any time during the 12 week cycle.</w:t>
      </w:r>
      <w:r w:rsidRPr="00D4296D">
        <w:t xml:space="preserve"> The probabilities of response in individuals who had previously responded to </w:t>
      </w:r>
      <w:r w:rsidR="00EE500E" w:rsidRPr="00D4296D">
        <w:t>BOTOX®</w:t>
      </w:r>
      <w:r w:rsidRPr="00D4296D">
        <w:t xml:space="preserve"> treatment were based on further post hoc analyses of </w:t>
      </w:r>
      <w:r w:rsidR="00FF3637">
        <w:t>independent patient data</w:t>
      </w:r>
      <w:r w:rsidR="00FF3637" w:rsidRPr="00D4296D">
        <w:t xml:space="preserve"> </w:t>
      </w:r>
      <w:r w:rsidRPr="00D4296D">
        <w:t xml:space="preserve">from the open label phase of REFLEX, which incorporates up to </w:t>
      </w:r>
      <w:r w:rsidR="00B96DFD">
        <w:t>four</w:t>
      </w:r>
      <w:r w:rsidRPr="00D4296D">
        <w:t xml:space="preserve"> cycles of treatment.</w:t>
      </w:r>
      <w:r w:rsidR="004A5FEC" w:rsidRPr="00D4296D">
        <w:t xml:space="preserve"> </w:t>
      </w:r>
      <w:r w:rsidRPr="00D4296D">
        <w:t xml:space="preserve">In the absence of long term follow up data, the continuation rate </w:t>
      </w:r>
      <w:r w:rsidR="00675078" w:rsidRPr="00D4296D">
        <w:t xml:space="preserve">applied in </w:t>
      </w:r>
      <w:r w:rsidR="005212E2" w:rsidRPr="00D4296D">
        <w:t>C</w:t>
      </w:r>
      <w:r w:rsidRPr="00D4296D">
        <w:t xml:space="preserve">ycle 4 was assumed to remain constant for the duration of the time horizon. </w:t>
      </w:r>
      <w:r w:rsidR="00A112C0" w:rsidRPr="00D4296D">
        <w:t>The ESC considered that the proportion of patients achieving a response in the model was considerably higher tha</w:t>
      </w:r>
      <w:r w:rsidR="001D25F2" w:rsidRPr="00D4296D">
        <w:t xml:space="preserve">n demonstrated in the clinical trials – see Figure </w:t>
      </w:r>
      <w:r w:rsidR="0000469F" w:rsidRPr="00D4296D">
        <w:t>1</w:t>
      </w:r>
      <w:r w:rsidR="001D25F2" w:rsidRPr="00D4296D">
        <w:t>.</w:t>
      </w:r>
      <w:r w:rsidRPr="00D4296D">
        <w:t xml:space="preserve"> </w:t>
      </w:r>
    </w:p>
    <w:p w:rsidR="00AD1248" w:rsidRDefault="00A245DB" w:rsidP="00BB76A8">
      <w:pPr>
        <w:pStyle w:val="ListParagraph"/>
      </w:pPr>
      <w:r w:rsidRPr="001A57E6">
        <w:t>In the absence of published evidence of the effectiveness of subsequent periods of standard of care, the model assumed that 50% of patients would continue to maintain clinical benefit to each subsequent treatment cycle, with 50% progressing to Last line</w:t>
      </w:r>
      <w:r>
        <w:t>.</w:t>
      </w:r>
    </w:p>
    <w:p w:rsidR="009566C8" w:rsidRPr="00BB76A8" w:rsidRDefault="009566C8" w:rsidP="00BB76A8">
      <w:pPr>
        <w:pStyle w:val="ListParagraph"/>
      </w:pPr>
      <w:r w:rsidRPr="00BB76A8">
        <w:t>A</w:t>
      </w:r>
      <w:r w:rsidR="005212E2" w:rsidRPr="00BB76A8">
        <w:t>E</w:t>
      </w:r>
      <w:r w:rsidRPr="00BB76A8">
        <w:t xml:space="preserve">s </w:t>
      </w:r>
      <w:r w:rsidR="005212E2" w:rsidRPr="00BB76A8">
        <w:t xml:space="preserve">and injection site reactions </w:t>
      </w:r>
      <w:r w:rsidRPr="00BB76A8">
        <w:t>were not considered in the model.</w:t>
      </w:r>
      <w:r w:rsidR="004A5FEC" w:rsidRPr="00BB76A8">
        <w:t xml:space="preserve"> </w:t>
      </w:r>
      <w:r w:rsidRPr="00BB76A8">
        <w:t xml:space="preserve">The resubmission’s justification for this was “the use of </w:t>
      </w:r>
      <w:r w:rsidR="00EE500E" w:rsidRPr="00BB76A8">
        <w:t>BOTOX®</w:t>
      </w:r>
      <w:r w:rsidRPr="00BB76A8">
        <w:t xml:space="preserve"> for treatment of focal spasticity is well established, with an acceptable safety profile and adverse event rates similar to placebo in randomised trials”.</w:t>
      </w:r>
      <w:r w:rsidR="004A5FEC" w:rsidRPr="00BB76A8">
        <w:t xml:space="preserve"> </w:t>
      </w:r>
      <w:r w:rsidR="008375FE" w:rsidRPr="00BB76A8">
        <w:t>The PSCR stated that the low rate of injection site reactions and the small impact on quality of life justified their omission from the CUA.</w:t>
      </w:r>
      <w:r w:rsidR="00675078" w:rsidRPr="00BB76A8">
        <w:t xml:space="preserve"> The ESC considered that the impact of such short-term </w:t>
      </w:r>
      <w:proofErr w:type="spellStart"/>
      <w:r w:rsidR="00675078" w:rsidRPr="00BB76A8">
        <w:t>disutilities</w:t>
      </w:r>
      <w:proofErr w:type="spellEnd"/>
      <w:r w:rsidR="00675078" w:rsidRPr="00BB76A8">
        <w:t xml:space="preserve"> (injection site reactions) would be unlikely to materially influence the model.</w:t>
      </w:r>
    </w:p>
    <w:p w:rsidR="00A112C0" w:rsidRDefault="00A112C0" w:rsidP="00BB76A8">
      <w:pPr>
        <w:pStyle w:val="ListParagraph"/>
      </w:pPr>
      <w:r w:rsidRPr="001A57E6">
        <w:t xml:space="preserve">Figure </w:t>
      </w:r>
      <w:r w:rsidR="00BD5880">
        <w:t>1</w:t>
      </w:r>
      <w:r w:rsidRPr="001A57E6">
        <w:t xml:space="preserve"> illustrates Markov traces from the </w:t>
      </w:r>
      <w:proofErr w:type="spellStart"/>
      <w:r w:rsidRPr="001A57E6">
        <w:t>TreeAge</w:t>
      </w:r>
      <w:proofErr w:type="spellEnd"/>
      <w:r w:rsidRPr="001A57E6">
        <w:t xml:space="preserve"> model.</w:t>
      </w:r>
    </w:p>
    <w:p w:rsidR="00A112C0" w:rsidRPr="001A57E6" w:rsidRDefault="00BD5880" w:rsidP="004428BA">
      <w:pPr>
        <w:pStyle w:val="TableHeading"/>
        <w:keepLines/>
        <w:spacing w:before="0"/>
      </w:pPr>
      <w:r>
        <w:lastRenderedPageBreak/>
        <w:t>Figure 1</w:t>
      </w:r>
      <w:r w:rsidR="00A112C0" w:rsidRPr="001A57E6">
        <w:t xml:space="preserve">: Comparative Markov traces over 5 years (60 months) for </w:t>
      </w:r>
      <w:r w:rsidR="00EE500E">
        <w:t>BOTOX®</w:t>
      </w:r>
      <w:r w:rsidR="00A112C0" w:rsidRPr="001A57E6">
        <w:t xml:space="preserve"> + SOC and SOC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Comparative Markov traces over 5 years (60 months) for BOTOX® + SOC and SOC"/>
      </w:tblPr>
      <w:tblGrid>
        <w:gridCol w:w="4564"/>
        <w:gridCol w:w="4463"/>
      </w:tblGrid>
      <w:tr w:rsidR="00A112C0" w:rsidRPr="001A57E6" w:rsidTr="005709E7">
        <w:tc>
          <w:tcPr>
            <w:tcW w:w="4593" w:type="dxa"/>
            <w:tcMar>
              <w:left w:w="28" w:type="dxa"/>
              <w:right w:w="28" w:type="dxa"/>
            </w:tcMar>
          </w:tcPr>
          <w:p w:rsidR="00A112C0" w:rsidRPr="001A57E6" w:rsidRDefault="00EE500E" w:rsidP="004428BA">
            <w:pPr>
              <w:pStyle w:val="NormalIndent"/>
              <w:keepNext/>
              <w:spacing w:line="240" w:lineRule="auto"/>
              <w:ind w:left="0"/>
              <w:jc w:val="center"/>
              <w:rPr>
                <w:rFonts w:ascii="Arial Narrow" w:hAnsi="Arial Narrow"/>
                <w:b/>
                <w:bCs/>
                <w:i/>
                <w:iCs/>
                <w:sz w:val="20"/>
                <w:szCs w:val="20"/>
              </w:rPr>
            </w:pPr>
            <w:r>
              <w:rPr>
                <w:rFonts w:ascii="Arial Narrow" w:hAnsi="Arial Narrow"/>
                <w:b/>
                <w:bCs/>
                <w:sz w:val="20"/>
                <w:szCs w:val="20"/>
              </w:rPr>
              <w:t>BOTOX®</w:t>
            </w:r>
            <w:r w:rsidR="00A112C0" w:rsidRPr="001A57E6">
              <w:rPr>
                <w:rFonts w:ascii="Arial Narrow" w:hAnsi="Arial Narrow"/>
                <w:b/>
                <w:bCs/>
                <w:sz w:val="20"/>
                <w:szCs w:val="20"/>
              </w:rPr>
              <w:t xml:space="preserve"> + SOC</w:t>
            </w:r>
          </w:p>
        </w:tc>
        <w:tc>
          <w:tcPr>
            <w:tcW w:w="4490" w:type="dxa"/>
            <w:tcMar>
              <w:left w:w="28" w:type="dxa"/>
              <w:right w:w="28" w:type="dxa"/>
            </w:tcMar>
          </w:tcPr>
          <w:p w:rsidR="00A112C0" w:rsidRPr="001A57E6" w:rsidRDefault="00A112C0" w:rsidP="004428BA">
            <w:pPr>
              <w:pStyle w:val="NormalIndent"/>
              <w:keepNext/>
              <w:spacing w:line="240" w:lineRule="auto"/>
              <w:ind w:left="0"/>
              <w:jc w:val="center"/>
              <w:rPr>
                <w:rFonts w:ascii="Arial Narrow" w:hAnsi="Arial Narrow"/>
                <w:b/>
                <w:bCs/>
                <w:i/>
                <w:iCs/>
                <w:sz w:val="20"/>
                <w:szCs w:val="20"/>
              </w:rPr>
            </w:pPr>
            <w:r w:rsidRPr="001A57E6">
              <w:rPr>
                <w:rFonts w:ascii="Arial Narrow" w:hAnsi="Arial Narrow"/>
                <w:b/>
                <w:bCs/>
                <w:sz w:val="20"/>
                <w:szCs w:val="20"/>
              </w:rPr>
              <w:t>SOC</w:t>
            </w:r>
          </w:p>
        </w:tc>
      </w:tr>
      <w:tr w:rsidR="00A112C0" w:rsidRPr="001A57E6" w:rsidTr="005709E7">
        <w:tc>
          <w:tcPr>
            <w:tcW w:w="4593" w:type="dxa"/>
            <w:tcMar>
              <w:left w:w="28" w:type="dxa"/>
              <w:right w:w="28" w:type="dxa"/>
            </w:tcMar>
          </w:tcPr>
          <w:p w:rsidR="00A112C0" w:rsidRPr="001A57E6" w:rsidRDefault="00A112C0" w:rsidP="004428BA">
            <w:pPr>
              <w:pStyle w:val="NormalIndent"/>
              <w:keepNext/>
              <w:spacing w:line="240" w:lineRule="auto"/>
              <w:ind w:left="0"/>
              <w:rPr>
                <w:i/>
                <w:iCs/>
              </w:rPr>
            </w:pPr>
            <w:r w:rsidRPr="001A57E6">
              <w:rPr>
                <w:noProof/>
                <w:lang w:eastAsia="en-AU"/>
              </w:rPr>
              <w:drawing>
                <wp:inline distT="0" distB="0" distL="0" distR="0" wp14:anchorId="6ED905D3" wp14:editId="16C15C87">
                  <wp:extent cx="2923994" cy="164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3863" cy="1655826"/>
                          </a:xfrm>
                          <a:prstGeom prst="rect">
                            <a:avLst/>
                          </a:prstGeom>
                        </pic:spPr>
                      </pic:pic>
                    </a:graphicData>
                  </a:graphic>
                </wp:inline>
              </w:drawing>
            </w:r>
          </w:p>
        </w:tc>
        <w:tc>
          <w:tcPr>
            <w:tcW w:w="4490" w:type="dxa"/>
            <w:tcMar>
              <w:left w:w="28" w:type="dxa"/>
              <w:right w:w="28" w:type="dxa"/>
            </w:tcMar>
          </w:tcPr>
          <w:p w:rsidR="00A112C0" w:rsidRPr="001A57E6" w:rsidRDefault="00A112C0" w:rsidP="004428BA">
            <w:pPr>
              <w:pStyle w:val="NormalIndent"/>
              <w:keepNext/>
              <w:spacing w:line="240" w:lineRule="auto"/>
              <w:ind w:left="0"/>
              <w:rPr>
                <w:i/>
                <w:iCs/>
              </w:rPr>
            </w:pPr>
            <w:r w:rsidRPr="001A57E6">
              <w:rPr>
                <w:noProof/>
                <w:lang w:eastAsia="en-AU"/>
              </w:rPr>
              <w:drawing>
                <wp:inline distT="0" distB="0" distL="0" distR="0" wp14:anchorId="130757AD" wp14:editId="1BBB36E8">
                  <wp:extent cx="2855595" cy="16446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820" cy="1650539"/>
                          </a:xfrm>
                          <a:prstGeom prst="rect">
                            <a:avLst/>
                          </a:prstGeom>
                        </pic:spPr>
                      </pic:pic>
                    </a:graphicData>
                  </a:graphic>
                </wp:inline>
              </w:drawing>
            </w:r>
          </w:p>
        </w:tc>
      </w:tr>
      <w:tr w:rsidR="00A112C0" w:rsidRPr="001A57E6" w:rsidTr="005709E7">
        <w:tc>
          <w:tcPr>
            <w:tcW w:w="4593" w:type="dxa"/>
            <w:tcMar>
              <w:left w:w="28" w:type="dxa"/>
              <w:right w:w="28" w:type="dxa"/>
            </w:tcMar>
          </w:tcPr>
          <w:p w:rsidR="00A112C0" w:rsidRDefault="00A112C0" w:rsidP="004428BA">
            <w:pPr>
              <w:pStyle w:val="TableFooter"/>
              <w:keepNext/>
              <w:widowControl/>
            </w:pPr>
            <w:r w:rsidRPr="001A57E6">
              <w:t xml:space="preserve">Source: </w:t>
            </w:r>
            <w:proofErr w:type="spellStart"/>
            <w:r w:rsidRPr="001A57E6">
              <w:t>TreeAge</w:t>
            </w:r>
            <w:proofErr w:type="spellEnd"/>
            <w:r w:rsidRPr="001A57E6">
              <w:t xml:space="preserve"> model file </w:t>
            </w:r>
          </w:p>
          <w:p w:rsidR="00A112C0" w:rsidRPr="001A57E6" w:rsidRDefault="00A112C0" w:rsidP="004428BA">
            <w:pPr>
              <w:pStyle w:val="TableFooter"/>
              <w:keepNext/>
              <w:widowControl/>
            </w:pPr>
          </w:p>
        </w:tc>
        <w:tc>
          <w:tcPr>
            <w:tcW w:w="4490" w:type="dxa"/>
            <w:tcMar>
              <w:left w:w="28" w:type="dxa"/>
              <w:right w:w="28" w:type="dxa"/>
            </w:tcMar>
          </w:tcPr>
          <w:p w:rsidR="00A112C0" w:rsidRPr="001A57E6" w:rsidRDefault="00A112C0" w:rsidP="004428BA">
            <w:pPr>
              <w:pStyle w:val="TableFooter"/>
              <w:keepNext/>
              <w:widowControl/>
            </w:pPr>
          </w:p>
        </w:tc>
      </w:tr>
    </w:tbl>
    <w:p w:rsidR="00187913" w:rsidRPr="00D4296D" w:rsidRDefault="00855E63" w:rsidP="00BB76A8">
      <w:pPr>
        <w:pStyle w:val="ListParagraph"/>
      </w:pPr>
      <w:r w:rsidRPr="00D4296D">
        <w:t xml:space="preserve">The </w:t>
      </w:r>
      <w:r w:rsidRPr="00D4296D">
        <w:rPr>
          <w:color w:val="000000" w:themeColor="text1"/>
        </w:rPr>
        <w:t>population</w:t>
      </w:r>
      <w:r w:rsidRPr="00D4296D">
        <w:t xml:space="preserve"> considered in the economic evaluation was based on </w:t>
      </w:r>
      <w:r w:rsidR="00397B67" w:rsidRPr="00D4296D">
        <w:t>the REFLEX trial.</w:t>
      </w:r>
      <w:r w:rsidR="00187913" w:rsidRPr="00D4296D">
        <w:t xml:space="preserve"> </w:t>
      </w:r>
      <w:r w:rsidR="00397B67" w:rsidRPr="00D4296D">
        <w:t>T</w:t>
      </w:r>
      <w:r w:rsidR="00187913" w:rsidRPr="00D4296D">
        <w:t>he</w:t>
      </w:r>
      <w:r w:rsidR="001D25F2" w:rsidRPr="00D4296D">
        <w:t xml:space="preserve"> ESC noted that the</w:t>
      </w:r>
      <w:r w:rsidR="00187913" w:rsidRPr="00D4296D">
        <w:t xml:space="preserve">re were a number of important discrepancies between </w:t>
      </w:r>
      <w:r w:rsidR="00AD1248" w:rsidRPr="00D4296D">
        <w:t>patient</w:t>
      </w:r>
      <w:r w:rsidR="00097F6D" w:rsidRPr="00D4296D">
        <w:t>s</w:t>
      </w:r>
      <w:r w:rsidR="00AD1248" w:rsidRPr="00D4296D">
        <w:t xml:space="preserve"> and </w:t>
      </w:r>
      <w:r w:rsidR="00187913" w:rsidRPr="00D4296D">
        <w:t xml:space="preserve">the </w:t>
      </w:r>
      <w:r w:rsidR="00AD1248" w:rsidRPr="00D4296D">
        <w:t xml:space="preserve">circumstance of use in the trial and the </w:t>
      </w:r>
      <w:r w:rsidR="00187913" w:rsidRPr="00D4296D">
        <w:t>model</w:t>
      </w:r>
      <w:r w:rsidR="00397B67" w:rsidRPr="00D4296D">
        <w:t>:</w:t>
      </w:r>
      <w:r w:rsidR="00187913" w:rsidRPr="00D4296D">
        <w:t xml:space="preserve"> </w:t>
      </w:r>
    </w:p>
    <w:p w:rsidR="00187913" w:rsidRPr="00D4296D" w:rsidRDefault="00187913" w:rsidP="00BB76A8">
      <w:pPr>
        <w:pStyle w:val="ListParagraph"/>
        <w:numPr>
          <w:ilvl w:val="0"/>
          <w:numId w:val="5"/>
        </w:numPr>
      </w:pPr>
      <w:r w:rsidRPr="00D4296D">
        <w:t xml:space="preserve">Patients in REFLEX had ankle spasticity, and the effectiveness of </w:t>
      </w:r>
      <w:r w:rsidR="00EE500E" w:rsidRPr="00D4296D">
        <w:t>BOTOX®</w:t>
      </w:r>
      <w:r w:rsidR="00652D23" w:rsidRPr="00D4296D">
        <w:t xml:space="preserve"> in this location may not be transferable</w:t>
      </w:r>
      <w:r w:rsidRPr="00D4296D">
        <w:t xml:space="preserve"> to other joints in the lower limb. </w:t>
      </w:r>
      <w:r w:rsidR="00675078" w:rsidRPr="00D4296D">
        <w:t xml:space="preserve">The PSCR </w:t>
      </w:r>
      <w:r w:rsidR="005212E2" w:rsidRPr="00D4296D">
        <w:t xml:space="preserve">argued </w:t>
      </w:r>
      <w:r w:rsidR="00675078" w:rsidRPr="00D4296D">
        <w:t xml:space="preserve">that the effectiveness of </w:t>
      </w:r>
      <w:r w:rsidR="00EE500E" w:rsidRPr="00D4296D">
        <w:t>BOTOX®</w:t>
      </w:r>
      <w:r w:rsidR="00675078" w:rsidRPr="00D4296D">
        <w:t xml:space="preserve"> may be transferable across lower limb muscle groups</w:t>
      </w:r>
      <w:r w:rsidR="005212E2" w:rsidRPr="00D4296D">
        <w:t xml:space="preserve"> (see paragraph </w:t>
      </w:r>
      <w:r w:rsidR="00840C53">
        <w:rPr>
          <w:rFonts w:hint="eastAsia"/>
          <w:cs/>
        </w:rPr>
        <w:t>‎</w:t>
      </w:r>
      <w:r w:rsidR="00840C53" w:rsidRPr="00B96DFD">
        <w:t>6.12</w:t>
      </w:r>
      <w:r w:rsidR="005212E2" w:rsidRPr="00D4296D">
        <w:t>)</w:t>
      </w:r>
      <w:r w:rsidR="00675078" w:rsidRPr="00D4296D">
        <w:t xml:space="preserve">. </w:t>
      </w:r>
    </w:p>
    <w:p w:rsidR="00187913" w:rsidRPr="00D4296D" w:rsidRDefault="00187913" w:rsidP="00BB76A8">
      <w:pPr>
        <w:pStyle w:val="ListParagraph"/>
        <w:numPr>
          <w:ilvl w:val="0"/>
          <w:numId w:val="5"/>
        </w:numPr>
      </w:pPr>
      <w:r w:rsidRPr="00D4296D">
        <w:t>The use of concomitant physical therapy in REFLEX (</w:t>
      </w:r>
      <w:r w:rsidR="00EE577B" w:rsidRPr="00D4296D">
        <w:t>approximately</w:t>
      </w:r>
      <w:r w:rsidRPr="00D4296D">
        <w:t xml:space="preserve"> </w:t>
      </w:r>
      <w:r w:rsidR="001C21E3">
        <w:rPr>
          <w:noProof/>
          <w:color w:val="000000"/>
          <w:highlight w:val="black"/>
        </w:rPr>
        <w:t>''''''</w:t>
      </w:r>
      <w:r w:rsidRPr="00D4296D">
        <w:t>%</w:t>
      </w:r>
      <w:r w:rsidR="00B96DFD">
        <w:t xml:space="preserve"> of the model population</w:t>
      </w:r>
      <w:r w:rsidRPr="00D4296D">
        <w:t>) might underestimate physical therapy/</w:t>
      </w:r>
      <w:r w:rsidR="0012696D" w:rsidRPr="00D4296D">
        <w:t xml:space="preserve">rehabilitation use in Australia as the </w:t>
      </w:r>
      <w:r w:rsidRPr="00D4296D">
        <w:t xml:space="preserve">RMSANZ recommends </w:t>
      </w:r>
      <w:r w:rsidR="003C011A" w:rsidRPr="00D4296D">
        <w:t xml:space="preserve">physical therapy </w:t>
      </w:r>
      <w:r w:rsidRPr="00D4296D">
        <w:t xml:space="preserve">for all patients treated with </w:t>
      </w:r>
      <w:r w:rsidR="00EE500E" w:rsidRPr="00D4296D">
        <w:t>BOTOX®</w:t>
      </w:r>
      <w:r w:rsidRPr="00D4296D">
        <w:t xml:space="preserve"> in Australia.</w:t>
      </w:r>
    </w:p>
    <w:p w:rsidR="00187913" w:rsidRPr="00D4296D" w:rsidRDefault="00187913" w:rsidP="00BB76A8">
      <w:pPr>
        <w:pStyle w:val="ListParagraph"/>
        <w:numPr>
          <w:ilvl w:val="0"/>
          <w:numId w:val="5"/>
        </w:numPr>
      </w:pPr>
      <w:r w:rsidRPr="00D4296D">
        <w:t xml:space="preserve">The </w:t>
      </w:r>
      <w:r w:rsidR="00EE577B" w:rsidRPr="00D4296D">
        <w:t xml:space="preserve">model applied a </w:t>
      </w:r>
      <w:r w:rsidRPr="00D4296D">
        <w:t xml:space="preserve">constant </w:t>
      </w:r>
      <w:r w:rsidR="00FE6F8C" w:rsidRPr="00D4296D">
        <w:t>probability of</w:t>
      </w:r>
      <w:r w:rsidR="00EE577B" w:rsidRPr="00D4296D">
        <w:t xml:space="preserve"> response of</w:t>
      </w:r>
      <w:r w:rsidR="00FE6F8C" w:rsidRPr="00D4296D">
        <w:t xml:space="preserve"> 0.9276 </w:t>
      </w:r>
      <w:r w:rsidRPr="00D4296D">
        <w:t xml:space="preserve">over </w:t>
      </w:r>
      <w:r w:rsidR="00EE577B" w:rsidRPr="00D4296D">
        <w:t xml:space="preserve">the </w:t>
      </w:r>
      <w:r w:rsidRPr="00D4296D">
        <w:t>5 year</w:t>
      </w:r>
      <w:r w:rsidR="00EE577B" w:rsidRPr="00D4296D">
        <w:t xml:space="preserve"> time horizon</w:t>
      </w:r>
      <w:r w:rsidRPr="00D4296D">
        <w:t>.</w:t>
      </w:r>
      <w:r w:rsidR="004A5FEC" w:rsidRPr="00D4296D">
        <w:t xml:space="preserve"> </w:t>
      </w:r>
      <w:r w:rsidR="00EE577B" w:rsidRPr="00D4296D">
        <w:t xml:space="preserve">This </w:t>
      </w:r>
      <w:r w:rsidR="00FE6F8C" w:rsidRPr="00D4296D">
        <w:t xml:space="preserve">also implied continuous use of </w:t>
      </w:r>
      <w:r w:rsidR="00EE500E" w:rsidRPr="00D4296D">
        <w:t>BOTOX®</w:t>
      </w:r>
      <w:r w:rsidR="00FE6F8C" w:rsidRPr="00D4296D">
        <w:t xml:space="preserve"> at a rate </w:t>
      </w:r>
      <w:r w:rsidR="00097F6D" w:rsidRPr="00D4296D">
        <w:t>of</w:t>
      </w:r>
      <w:r w:rsidR="00F37F14" w:rsidRPr="00D4296D">
        <w:t xml:space="preserve"> </w:t>
      </w:r>
      <w:r w:rsidR="00F37F14" w:rsidRPr="00D4296D">
        <w:sym w:font="Symbol" w:char="F0BB"/>
      </w:r>
      <w:r w:rsidR="00FE6F8C" w:rsidRPr="00D4296D">
        <w:t xml:space="preserve"> 9</w:t>
      </w:r>
      <w:r w:rsidR="00D74350" w:rsidRPr="00D4296D">
        <w:t>3</w:t>
      </w:r>
      <w:r w:rsidR="00FE6F8C" w:rsidRPr="00D4296D">
        <w:t xml:space="preserve">% of responders, which </w:t>
      </w:r>
      <w:r w:rsidR="00EE577B" w:rsidRPr="00D4296D">
        <w:t>wa</w:t>
      </w:r>
      <w:r w:rsidR="00FE6F8C" w:rsidRPr="00D4296D">
        <w:t xml:space="preserve">s much higher than the </w:t>
      </w:r>
      <w:r w:rsidR="00EE500E" w:rsidRPr="00D4296D">
        <w:t>BOTOX®</w:t>
      </w:r>
      <w:r w:rsidR="00FE6F8C" w:rsidRPr="00D4296D">
        <w:t xml:space="preserve"> utilisation rate reported in the DUSC report</w:t>
      </w:r>
      <w:r w:rsidR="001A6885" w:rsidRPr="00D4296D">
        <w:t xml:space="preserve"> </w:t>
      </w:r>
      <w:r w:rsidR="00EE577B" w:rsidRPr="00D4296D">
        <w:t xml:space="preserve">in which </w:t>
      </w:r>
      <w:r w:rsidR="00FE6F8C" w:rsidRPr="00D4296D">
        <w:t>68%</w:t>
      </w:r>
      <w:r w:rsidR="001A6885" w:rsidRPr="00D4296D">
        <w:t xml:space="preserve"> </w:t>
      </w:r>
      <w:r w:rsidR="00EE577B" w:rsidRPr="00D4296D">
        <w:t xml:space="preserve">of patients </w:t>
      </w:r>
      <w:r w:rsidR="001A6885" w:rsidRPr="00D4296D">
        <w:t xml:space="preserve">received less than </w:t>
      </w:r>
      <w:r w:rsidR="00B96DFD">
        <w:t>four</w:t>
      </w:r>
      <w:r w:rsidR="00FE6F8C" w:rsidRPr="00D4296D">
        <w:t xml:space="preserve"> treatment cycles of</w:t>
      </w:r>
      <w:r w:rsidR="00EE577B" w:rsidRPr="00D4296D">
        <w:t xml:space="preserve"> </w:t>
      </w:r>
      <w:r w:rsidR="009864E8">
        <w:t>botulinum</w:t>
      </w:r>
      <w:r w:rsidR="00B96DFD">
        <w:t xml:space="preserve"> toxin</w:t>
      </w:r>
      <w:r w:rsidR="00FE6F8C" w:rsidRPr="00D4296D">
        <w:t>.</w:t>
      </w:r>
      <w:r w:rsidR="004A5FEC" w:rsidRPr="00D4296D">
        <w:t xml:space="preserve"> </w:t>
      </w:r>
      <w:r w:rsidR="00FE6F8C" w:rsidRPr="00D4296D">
        <w:t>In REFLEX, 18% of patients who entered the open label phase had discontinued by the end of the last treatment cycle.</w:t>
      </w:r>
      <w:r w:rsidR="004A5FEC" w:rsidRPr="00D4296D">
        <w:t xml:space="preserve"> </w:t>
      </w:r>
      <w:r w:rsidR="00FE6F8C" w:rsidRPr="00D4296D">
        <w:t>This proportion was even higher in Trial 512, where 72% of patients who started the open label phase had dropped out by the last evaluation.</w:t>
      </w:r>
      <w:r w:rsidR="004A5FEC" w:rsidRPr="00D4296D">
        <w:t xml:space="preserve"> </w:t>
      </w:r>
      <w:r w:rsidRPr="00D4296D">
        <w:t xml:space="preserve">Patients in the </w:t>
      </w:r>
      <w:r w:rsidR="00EE500E" w:rsidRPr="00D4296D">
        <w:t>BOTOX®</w:t>
      </w:r>
      <w:r w:rsidRPr="00D4296D">
        <w:t xml:space="preserve"> branch of the model </w:t>
      </w:r>
      <w:r w:rsidR="00FE6F8C" w:rsidRPr="00D4296D">
        <w:t xml:space="preserve">have </w:t>
      </w:r>
      <w:r w:rsidRPr="00D4296D">
        <w:t xml:space="preserve">no option for discontinuation or decline in utilisation of </w:t>
      </w:r>
      <w:r w:rsidR="00EE500E" w:rsidRPr="00D4296D">
        <w:t>BOTOX®</w:t>
      </w:r>
      <w:r w:rsidRPr="00D4296D">
        <w:t xml:space="preserve"> over time.</w:t>
      </w:r>
      <w:r w:rsidR="00121D30" w:rsidRPr="00D4296D">
        <w:t xml:space="preserve"> The PSCR stated that the continued response rate was estimated from the OL extension phase of the REFLEX trial, in which patients received up to </w:t>
      </w:r>
      <w:r w:rsidR="00B96DFD">
        <w:t>four</w:t>
      </w:r>
      <w:r w:rsidR="00121D30" w:rsidRPr="00D4296D">
        <w:t xml:space="preserve"> cycles of treatment, and that this continuation rate was only applied to patients who met the proposed PBS continuing criteria (decrease in MAS of at least 1).</w:t>
      </w:r>
      <w:r w:rsidR="008375FE" w:rsidRPr="00D4296D">
        <w:t xml:space="preserve"> Additionally, the PSCR stated that there was no reason to believe that the treatment effect wo</w:t>
      </w:r>
      <w:r w:rsidR="008220D6" w:rsidRPr="00D4296D">
        <w:t>u</w:t>
      </w:r>
      <w:r w:rsidR="008375FE" w:rsidRPr="00D4296D">
        <w:t>ld diminish over time.</w:t>
      </w:r>
      <w:r w:rsidR="00A112C0" w:rsidRPr="00D4296D">
        <w:t xml:space="preserve"> The ESC considered that this approach resulted in a considerably higher proportion of patients achieving a response in the model compared with the trials.</w:t>
      </w:r>
    </w:p>
    <w:p w:rsidR="00187913" w:rsidRPr="00D4296D" w:rsidRDefault="00187913" w:rsidP="00BB76A8">
      <w:pPr>
        <w:pStyle w:val="ListParagraph"/>
        <w:numPr>
          <w:ilvl w:val="0"/>
          <w:numId w:val="5"/>
        </w:numPr>
      </w:pPr>
      <w:r w:rsidRPr="00D4296D">
        <w:lastRenderedPageBreak/>
        <w:t>The model assumed that all patients who do not respond to treatment transition to last line</w:t>
      </w:r>
      <w:r w:rsidR="008220D6" w:rsidRPr="00D4296D">
        <w:t>. A proportion of patients in the last-line health state were expected to undergo tendon transfer surgery (5%) or receive an intrathecal baclofen pump (5%).</w:t>
      </w:r>
    </w:p>
    <w:p w:rsidR="00AD1248" w:rsidRPr="001A57E6" w:rsidRDefault="00AD1248" w:rsidP="00BB76A8">
      <w:pPr>
        <w:pStyle w:val="ListParagraph"/>
      </w:pPr>
      <w:r w:rsidRPr="001A57E6">
        <w:t>Table 1</w:t>
      </w:r>
      <w:r w:rsidR="00A245DB">
        <w:t>3</w:t>
      </w:r>
      <w:r w:rsidRPr="001A57E6">
        <w:t xml:space="preserve"> provides a summary of the key drivers in the modelled economic evaluation.</w:t>
      </w:r>
    </w:p>
    <w:p w:rsidR="00EE392A" w:rsidRPr="001A57E6" w:rsidRDefault="00AD1248" w:rsidP="004428BA">
      <w:pPr>
        <w:keepNext/>
        <w:widowControl/>
        <w:rPr>
          <w:rStyle w:val="CommentReference"/>
        </w:rPr>
      </w:pPr>
      <w:r w:rsidRPr="001A57E6">
        <w:rPr>
          <w:rStyle w:val="CommentReference"/>
        </w:rPr>
        <w:t>Table 1</w:t>
      </w:r>
      <w:r w:rsidR="00BD5880">
        <w:rPr>
          <w:rStyle w:val="CommentReference"/>
        </w:rPr>
        <w:t>3</w:t>
      </w:r>
      <w:r w:rsidR="00EE392A" w:rsidRPr="001A57E6">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4"/>
        <w:gridCol w:w="6895"/>
        <w:gridCol w:w="1108"/>
      </w:tblGrid>
      <w:tr w:rsidR="00EE392A" w:rsidRPr="001A57E6" w:rsidTr="004042AF">
        <w:trPr>
          <w:tblHeader/>
        </w:trPr>
        <w:tc>
          <w:tcPr>
            <w:tcW w:w="561" w:type="pct"/>
            <w:shd w:val="clear" w:color="auto" w:fill="auto"/>
            <w:vAlign w:val="center"/>
          </w:tcPr>
          <w:p w:rsidR="00EE392A" w:rsidRPr="001A57E6" w:rsidRDefault="00EE392A" w:rsidP="004428BA">
            <w:pPr>
              <w:pStyle w:val="Tabletext"/>
              <w:keepNext/>
              <w:rPr>
                <w:b/>
              </w:rPr>
            </w:pPr>
            <w:r w:rsidRPr="001A57E6">
              <w:rPr>
                <w:b/>
              </w:rPr>
              <w:t>Description</w:t>
            </w:r>
          </w:p>
        </w:tc>
        <w:tc>
          <w:tcPr>
            <w:tcW w:w="3824" w:type="pct"/>
            <w:shd w:val="clear" w:color="auto" w:fill="auto"/>
            <w:vAlign w:val="center"/>
          </w:tcPr>
          <w:p w:rsidR="00EE392A" w:rsidRPr="001A57E6" w:rsidRDefault="00EE392A" w:rsidP="004428BA">
            <w:pPr>
              <w:pStyle w:val="Tabletext"/>
              <w:keepNext/>
              <w:jc w:val="center"/>
              <w:rPr>
                <w:b/>
              </w:rPr>
            </w:pPr>
            <w:r w:rsidRPr="001A57E6">
              <w:rPr>
                <w:b/>
              </w:rPr>
              <w:t>Method/Value</w:t>
            </w:r>
          </w:p>
        </w:tc>
        <w:tc>
          <w:tcPr>
            <w:tcW w:w="615" w:type="pct"/>
            <w:shd w:val="clear" w:color="auto" w:fill="auto"/>
            <w:vAlign w:val="center"/>
          </w:tcPr>
          <w:p w:rsidR="00EE392A" w:rsidRPr="001A57E6" w:rsidRDefault="00EE392A" w:rsidP="004428BA">
            <w:pPr>
              <w:pStyle w:val="Tabletext"/>
              <w:keepNext/>
              <w:jc w:val="center"/>
              <w:rPr>
                <w:b/>
              </w:rPr>
            </w:pPr>
            <w:r w:rsidRPr="001A57E6">
              <w:rPr>
                <w:b/>
              </w:rPr>
              <w:t>Impact</w:t>
            </w:r>
          </w:p>
        </w:tc>
      </w:tr>
      <w:tr w:rsidR="00EE392A" w:rsidRPr="001A57E6" w:rsidTr="004042AF">
        <w:tc>
          <w:tcPr>
            <w:tcW w:w="561" w:type="pct"/>
            <w:shd w:val="clear" w:color="auto" w:fill="auto"/>
            <w:vAlign w:val="center"/>
          </w:tcPr>
          <w:p w:rsidR="00EE392A" w:rsidRPr="001A57E6" w:rsidRDefault="00EE392A" w:rsidP="004428BA">
            <w:pPr>
              <w:pStyle w:val="Tabletext"/>
              <w:keepNext/>
            </w:pPr>
            <w:r w:rsidRPr="001A57E6">
              <w:t>Extrapolation</w:t>
            </w:r>
          </w:p>
        </w:tc>
        <w:tc>
          <w:tcPr>
            <w:tcW w:w="3824" w:type="pct"/>
            <w:shd w:val="clear" w:color="auto" w:fill="auto"/>
            <w:vAlign w:val="center"/>
          </w:tcPr>
          <w:p w:rsidR="00EE392A" w:rsidRPr="001A57E6" w:rsidRDefault="00FE6F8C" w:rsidP="004428BA">
            <w:pPr>
              <w:pStyle w:val="Tabletext"/>
              <w:keepNext/>
            </w:pPr>
            <w:r w:rsidRPr="001A57E6">
              <w:t xml:space="preserve">The probabilities of response in individuals who had previously responded to </w:t>
            </w:r>
            <w:r w:rsidR="00EE500E">
              <w:t>BOTOX®</w:t>
            </w:r>
            <w:r w:rsidRPr="001A57E6">
              <w:t xml:space="preserve"> treatment were based on further post hoc analyses of IPD from the open label phase of REFLEX, which incorporates up to 4 cycles of treatment.</w:t>
            </w:r>
            <w:r w:rsidR="004A5FEC">
              <w:t xml:space="preserve"> </w:t>
            </w:r>
            <w:r w:rsidRPr="001A57E6">
              <w:t>In the absence of long term follow up data, the continuation rate from cycle 4 to 5 was assumed to remain constant for the duration of the time horizon.</w:t>
            </w:r>
            <w:r w:rsidR="004A5FEC">
              <w:t xml:space="preserve"> </w:t>
            </w:r>
            <w:r w:rsidRPr="001A57E6">
              <w:t xml:space="preserve">Continued response was </w:t>
            </w:r>
            <w:r w:rsidR="00415396" w:rsidRPr="001A57E6">
              <w:t>assumed to be 9</w:t>
            </w:r>
            <w:r w:rsidR="00D74350">
              <w:t>3</w:t>
            </w:r>
            <w:r w:rsidRPr="001A57E6">
              <w:t xml:space="preserve">% </w:t>
            </w:r>
            <w:r w:rsidR="006E1522">
              <w:t xml:space="preserve">of responders remaining in the response health state each cycle </w:t>
            </w:r>
            <w:r w:rsidRPr="001A57E6">
              <w:t>in the model over 5</w:t>
            </w:r>
            <w:r w:rsidR="00A245DB">
              <w:t xml:space="preserve"> </w:t>
            </w:r>
            <w:r w:rsidRPr="001A57E6">
              <w:t>years.</w:t>
            </w:r>
            <w:r w:rsidR="004A5FEC">
              <w:t xml:space="preserve"> </w:t>
            </w:r>
            <w:r w:rsidR="00A71A5F" w:rsidRPr="001A57E6">
              <w:t xml:space="preserve">When lower hypothetical continued response rates were used, the ICER increased considerably (in one scenario a 10 fold increase from base case). </w:t>
            </w:r>
          </w:p>
        </w:tc>
        <w:tc>
          <w:tcPr>
            <w:tcW w:w="615" w:type="pct"/>
            <w:shd w:val="clear" w:color="auto" w:fill="auto"/>
            <w:vAlign w:val="center"/>
          </w:tcPr>
          <w:p w:rsidR="00EE392A" w:rsidRPr="001A57E6" w:rsidRDefault="001D7AA8" w:rsidP="004428BA">
            <w:pPr>
              <w:pStyle w:val="Tabletext"/>
              <w:keepNext/>
            </w:pPr>
            <w:r w:rsidRPr="001A57E6">
              <w:t xml:space="preserve">Very </w:t>
            </w:r>
            <w:r w:rsidR="00EE392A" w:rsidRPr="001A57E6">
              <w:t xml:space="preserve">High, favours </w:t>
            </w:r>
            <w:r w:rsidR="00EE500E">
              <w:t>BOTOX®</w:t>
            </w:r>
            <w:r w:rsidR="00FE6F8C" w:rsidRPr="001A57E6">
              <w:t>.</w:t>
            </w:r>
          </w:p>
        </w:tc>
      </w:tr>
      <w:tr w:rsidR="00EE392A" w:rsidRPr="001A57E6" w:rsidTr="004042AF">
        <w:tc>
          <w:tcPr>
            <w:tcW w:w="561" w:type="pct"/>
            <w:shd w:val="clear" w:color="auto" w:fill="auto"/>
            <w:vAlign w:val="center"/>
          </w:tcPr>
          <w:p w:rsidR="00EE392A" w:rsidRPr="001A57E6" w:rsidRDefault="00415396" w:rsidP="004428BA">
            <w:pPr>
              <w:pStyle w:val="Tabletext"/>
              <w:keepNext/>
            </w:pPr>
            <w:r w:rsidRPr="001A57E6">
              <w:t>Costs</w:t>
            </w:r>
          </w:p>
        </w:tc>
        <w:tc>
          <w:tcPr>
            <w:tcW w:w="3824" w:type="pct"/>
            <w:shd w:val="clear" w:color="auto" w:fill="auto"/>
            <w:vAlign w:val="center"/>
          </w:tcPr>
          <w:p w:rsidR="00EE392A" w:rsidRPr="001A57E6" w:rsidRDefault="00415396" w:rsidP="004428BA">
            <w:pPr>
              <w:pStyle w:val="Tabletext"/>
              <w:keepNext/>
            </w:pPr>
            <w:r w:rsidRPr="001A57E6">
              <w:t xml:space="preserve">The proportion of patients using physiotherapy in REFLEX was low (around 30%). In the base case the same physiotherapy rate (average) for the </w:t>
            </w:r>
            <w:r w:rsidR="00EE500E">
              <w:t>BOTOX®</w:t>
            </w:r>
            <w:r w:rsidRPr="001A57E6">
              <w:t xml:space="preserve"> and SOC groups were used in both </w:t>
            </w:r>
            <w:r w:rsidR="00EE500E">
              <w:t>BOTOX®</w:t>
            </w:r>
            <w:r w:rsidRPr="001A57E6">
              <w:t xml:space="preserve"> and SOC groups.</w:t>
            </w:r>
            <w:r w:rsidR="004A5FEC">
              <w:t xml:space="preserve"> </w:t>
            </w:r>
            <w:r w:rsidRPr="001A57E6">
              <w:t>Applying actual per treatment arm rates of physiotherapy had increased the ICER, furthermore as the proportion of patients using physiotherapy increased (such as when rates Trials 501/502</w:t>
            </w:r>
            <w:r w:rsidR="00EE5980" w:rsidRPr="001A57E6">
              <w:t xml:space="preserve"> which was </w:t>
            </w:r>
            <w:r w:rsidRPr="001A57E6">
              <w:t xml:space="preserve">closer to </w:t>
            </w:r>
            <w:r w:rsidR="00EE5980" w:rsidRPr="001A57E6">
              <w:t xml:space="preserve">rates reported based in the ASPIRE registry study), the ICER increased considerably (3 fold increase). </w:t>
            </w:r>
          </w:p>
        </w:tc>
        <w:tc>
          <w:tcPr>
            <w:tcW w:w="615" w:type="pct"/>
            <w:shd w:val="clear" w:color="auto" w:fill="auto"/>
            <w:vAlign w:val="center"/>
          </w:tcPr>
          <w:p w:rsidR="00EE392A" w:rsidRPr="001A57E6" w:rsidRDefault="001D7AA8" w:rsidP="004428BA">
            <w:pPr>
              <w:pStyle w:val="Tabletext"/>
              <w:keepNext/>
            </w:pPr>
            <w:r w:rsidRPr="001A57E6">
              <w:t>High</w:t>
            </w:r>
            <w:r w:rsidR="00EE5980" w:rsidRPr="001A57E6">
              <w:t xml:space="preserve">, favours </w:t>
            </w:r>
            <w:r w:rsidR="00EE500E">
              <w:t>BOTOX®</w:t>
            </w:r>
          </w:p>
        </w:tc>
      </w:tr>
      <w:tr w:rsidR="008220D6" w:rsidRPr="00D4296D" w:rsidTr="004042AF">
        <w:tc>
          <w:tcPr>
            <w:tcW w:w="561" w:type="pct"/>
            <w:shd w:val="clear" w:color="auto" w:fill="auto"/>
            <w:vAlign w:val="center"/>
          </w:tcPr>
          <w:p w:rsidR="008220D6" w:rsidRPr="00D4296D" w:rsidRDefault="008220D6" w:rsidP="004428BA">
            <w:pPr>
              <w:pStyle w:val="Tabletext"/>
              <w:keepNext/>
            </w:pPr>
            <w:r w:rsidRPr="00D4296D">
              <w:t>Utilities</w:t>
            </w:r>
          </w:p>
        </w:tc>
        <w:tc>
          <w:tcPr>
            <w:tcW w:w="3824" w:type="pct"/>
            <w:shd w:val="clear" w:color="auto" w:fill="auto"/>
            <w:vAlign w:val="center"/>
          </w:tcPr>
          <w:p w:rsidR="008220D6" w:rsidRPr="00D4296D" w:rsidRDefault="0012696D" w:rsidP="004428BA">
            <w:pPr>
              <w:pStyle w:val="Tabletext"/>
              <w:keepNext/>
            </w:pPr>
            <w:r w:rsidRPr="00D4296D">
              <w:t>The ESC considered application of a utility based on response across an entire cycle when response does not occur immediately and begins to wane by the end of the cycle overestimated the utility gain</w:t>
            </w:r>
            <w:r w:rsidR="001D25F2" w:rsidRPr="00D4296D">
              <w:t>. The ESC suggested half cycle correction.</w:t>
            </w:r>
            <w:r w:rsidR="0000469F" w:rsidRPr="00D4296D">
              <w:t xml:space="preserve"> </w:t>
            </w:r>
            <w:r w:rsidR="003E5082" w:rsidRPr="00D4296D">
              <w:t xml:space="preserve">The ESC considered that </w:t>
            </w:r>
            <w:r w:rsidR="008220D6" w:rsidRPr="00D4296D">
              <w:t xml:space="preserve">use of baseline utility for last line </w:t>
            </w:r>
            <w:r w:rsidRPr="00D4296D">
              <w:t>was</w:t>
            </w:r>
            <w:r w:rsidR="008220D6" w:rsidRPr="00D4296D">
              <w:t xml:space="preserve"> not consistent with the clinical evidence </w:t>
            </w:r>
            <w:r w:rsidRPr="00D4296D">
              <w:t xml:space="preserve">and didn’t account for the </w:t>
            </w:r>
            <w:r w:rsidR="008220D6" w:rsidRPr="00D4296D">
              <w:t>likely benefit of alternative treatments in last line (including surgery).</w:t>
            </w:r>
          </w:p>
        </w:tc>
        <w:tc>
          <w:tcPr>
            <w:tcW w:w="615" w:type="pct"/>
            <w:shd w:val="clear" w:color="auto" w:fill="auto"/>
            <w:vAlign w:val="center"/>
          </w:tcPr>
          <w:p w:rsidR="008220D6" w:rsidRPr="00D4296D" w:rsidRDefault="008220D6" w:rsidP="004428BA">
            <w:pPr>
              <w:pStyle w:val="Tabletext"/>
              <w:keepNext/>
            </w:pPr>
            <w:r w:rsidRPr="00D4296D">
              <w:t xml:space="preserve">High, favours </w:t>
            </w:r>
            <w:r w:rsidR="00EE500E" w:rsidRPr="00D4296D">
              <w:t>BOTOX®</w:t>
            </w:r>
          </w:p>
        </w:tc>
      </w:tr>
    </w:tbl>
    <w:p w:rsidR="00EE392A" w:rsidRDefault="00EE392A" w:rsidP="004428BA">
      <w:pPr>
        <w:pStyle w:val="TableFooter"/>
        <w:widowControl/>
      </w:pPr>
      <w:r w:rsidRPr="001A57E6">
        <w:t xml:space="preserve">Source: </w:t>
      </w:r>
      <w:r w:rsidR="00EE5980" w:rsidRPr="001A57E6">
        <w:t>compiled during the evaluation.</w:t>
      </w:r>
    </w:p>
    <w:p w:rsidR="00397B67" w:rsidRPr="001A57E6" w:rsidRDefault="00397B67" w:rsidP="004428BA">
      <w:pPr>
        <w:pStyle w:val="TableFooter"/>
        <w:widowControl/>
      </w:pPr>
    </w:p>
    <w:p w:rsidR="00EE392A" w:rsidRDefault="00A245DB" w:rsidP="00BB76A8">
      <w:pPr>
        <w:pStyle w:val="ListParagraph"/>
      </w:pPr>
      <w:r>
        <w:t>Table 14</w:t>
      </w:r>
      <w:r w:rsidR="00EE5980" w:rsidRPr="001A57E6">
        <w:t xml:space="preserve"> provides the results of the stepped economic evaluation.</w:t>
      </w:r>
      <w:r w:rsidR="004A5FEC">
        <w:t xml:space="preserve"> </w:t>
      </w:r>
      <w:r w:rsidR="00EE5980" w:rsidRPr="001A57E6">
        <w:t>The base case values were corrected during the evaluation to</w:t>
      </w:r>
      <w:r w:rsidR="00CA13AF" w:rsidRPr="001A57E6">
        <w:t>:</w:t>
      </w:r>
      <w:r w:rsidR="00EE5980" w:rsidRPr="001A57E6">
        <w:t xml:space="preserve"> </w:t>
      </w:r>
      <w:proofErr w:type="spellStart"/>
      <w:r w:rsidR="00EE5980" w:rsidRPr="001A57E6">
        <w:t>i</w:t>
      </w:r>
      <w:proofErr w:type="spellEnd"/>
      <w:r w:rsidR="00EE5980" w:rsidRPr="001A57E6">
        <w:t xml:space="preserve">) </w:t>
      </w:r>
      <w:r w:rsidR="00CA13AF" w:rsidRPr="001A57E6">
        <w:t xml:space="preserve">correct a </w:t>
      </w:r>
      <w:r w:rsidR="005F5BB7" w:rsidRPr="001A57E6">
        <w:t xml:space="preserve">misalignment </w:t>
      </w:r>
      <w:r w:rsidR="00CA13AF" w:rsidRPr="001A57E6">
        <w:t xml:space="preserve">between reported and applied </w:t>
      </w:r>
      <w:r w:rsidR="005F5BB7" w:rsidRPr="001A57E6">
        <w:t xml:space="preserve">continued response rate in </w:t>
      </w:r>
      <w:r w:rsidR="00043886">
        <w:t>C</w:t>
      </w:r>
      <w:r w:rsidR="005F5BB7" w:rsidRPr="001A57E6">
        <w:t>ycle 1 (applying 9</w:t>
      </w:r>
      <w:r w:rsidR="00D74350">
        <w:t>3</w:t>
      </w:r>
      <w:r w:rsidR="005F5BB7" w:rsidRPr="001A57E6">
        <w:t>% rather than 100%)</w:t>
      </w:r>
      <w:r w:rsidR="00043886">
        <w:t>;</w:t>
      </w:r>
      <w:r w:rsidR="005F5BB7" w:rsidRPr="001A57E6">
        <w:t xml:space="preserve"> and ii) </w:t>
      </w:r>
      <w:r w:rsidR="00EE5980" w:rsidRPr="001A57E6">
        <w:t>reflect the differential physiotherapy utilisation rates in the REFLEX trial.</w:t>
      </w:r>
      <w:r w:rsidR="004A5FEC">
        <w:t xml:space="preserve"> </w:t>
      </w:r>
      <w:r w:rsidR="00EE5980" w:rsidRPr="001A57E6">
        <w:t xml:space="preserve">These values were applied to </w:t>
      </w:r>
      <w:r w:rsidR="00043886">
        <w:t>S</w:t>
      </w:r>
      <w:r w:rsidR="00EE5980" w:rsidRPr="001A57E6">
        <w:t xml:space="preserve">tep 3 (CUA) and should </w:t>
      </w:r>
      <w:r w:rsidR="00043886">
        <w:t xml:space="preserve">have </w:t>
      </w:r>
      <w:r w:rsidR="00FF716D">
        <w:t>been</w:t>
      </w:r>
      <w:r w:rsidR="00EE5980" w:rsidRPr="001A57E6">
        <w:t xml:space="preserve"> used in </w:t>
      </w:r>
      <w:r w:rsidR="00043886">
        <w:t>S</w:t>
      </w:r>
      <w:r w:rsidR="00043886" w:rsidRPr="001A57E6">
        <w:t>tep</w:t>
      </w:r>
      <w:r w:rsidR="00043886">
        <w:t>s</w:t>
      </w:r>
      <w:r w:rsidR="00043886" w:rsidRPr="001A57E6">
        <w:t xml:space="preserve"> </w:t>
      </w:r>
      <w:r w:rsidR="00EE5980" w:rsidRPr="001A57E6">
        <w:t>1 and 2.</w:t>
      </w:r>
      <w:r w:rsidR="004A5FEC">
        <w:t xml:space="preserve"> </w:t>
      </w:r>
      <w:r w:rsidR="00EE5980" w:rsidRPr="001A57E6">
        <w:t xml:space="preserve">Instead, the resubmission had applied the average of the two (35.3%), </w:t>
      </w:r>
      <w:r w:rsidR="00CA13AF" w:rsidRPr="001A57E6">
        <w:t>which</w:t>
      </w:r>
      <w:r w:rsidR="00EE5980" w:rsidRPr="001A57E6">
        <w:t xml:space="preserve"> was not appropriate.</w:t>
      </w:r>
      <w:r w:rsidR="00043886">
        <w:t xml:space="preserve"> </w:t>
      </w:r>
    </w:p>
    <w:p w:rsidR="008375FE" w:rsidRPr="00D4296D" w:rsidRDefault="008375FE" w:rsidP="00BB76A8">
      <w:pPr>
        <w:pStyle w:val="ListParagraph"/>
      </w:pPr>
      <w:r w:rsidRPr="00D4296D">
        <w:t>In the PSCR</w:t>
      </w:r>
      <w:r w:rsidR="002958B9">
        <w:t>,</w:t>
      </w:r>
      <w:r w:rsidRPr="00D4296D">
        <w:t xml:space="preserve"> the sponsor noted that they accepted the minor amendments </w:t>
      </w:r>
      <w:r w:rsidR="009A19CB" w:rsidRPr="00D4296D">
        <w:t>relating to differential physiotherapy. However, the sponsor clarified that th</w:t>
      </w:r>
      <w:r w:rsidR="005709E7" w:rsidRPr="00D4296D">
        <w:t>e proposed PBS listing permits two</w:t>
      </w:r>
      <w:r w:rsidR="009A19CB" w:rsidRPr="00D4296D">
        <w:t xml:space="preserve"> treatments to determine response, and maintained that 100% of patients would receive two injections in the base case of the model</w:t>
      </w:r>
      <w:r w:rsidR="00043886" w:rsidRPr="00D4296D">
        <w:t>.</w:t>
      </w:r>
      <w:r w:rsidR="004D0C49" w:rsidRPr="00D4296D">
        <w:t xml:space="preserve"> </w:t>
      </w:r>
      <w:r w:rsidRPr="00D4296D">
        <w:t xml:space="preserve">Those in the non-response state </w:t>
      </w:r>
      <w:r w:rsidR="009A19CB" w:rsidRPr="00D4296D">
        <w:t xml:space="preserve">after </w:t>
      </w:r>
      <w:r w:rsidR="00043886" w:rsidRPr="00D4296D">
        <w:t>C</w:t>
      </w:r>
      <w:r w:rsidR="009A19CB" w:rsidRPr="00D4296D">
        <w:t xml:space="preserve">ycle </w:t>
      </w:r>
      <w:r w:rsidR="00043886" w:rsidRPr="00D4296D">
        <w:t>0</w:t>
      </w:r>
      <w:r w:rsidR="009A19CB" w:rsidRPr="00D4296D">
        <w:t xml:space="preserve"> </w:t>
      </w:r>
      <w:r w:rsidRPr="00D4296D">
        <w:t>can ent</w:t>
      </w:r>
      <w:r w:rsidR="00043886" w:rsidRPr="00D4296D">
        <w:t xml:space="preserve">er the response state </w:t>
      </w:r>
      <w:r w:rsidR="00FF716D" w:rsidRPr="00D4296D">
        <w:t>after</w:t>
      </w:r>
      <w:r w:rsidR="00043886" w:rsidRPr="00D4296D">
        <w:t xml:space="preserve"> Cycle 1</w:t>
      </w:r>
      <w:r w:rsidRPr="00D4296D">
        <w:t xml:space="preserve"> only</w:t>
      </w:r>
      <w:r w:rsidR="009A19CB" w:rsidRPr="00D4296D">
        <w:t xml:space="preserve">. </w:t>
      </w:r>
      <w:r w:rsidR="005709E7" w:rsidRPr="00D4296D">
        <w:t>Updated results are presented below.</w:t>
      </w:r>
    </w:p>
    <w:p w:rsidR="00EE5980" w:rsidRPr="001A57E6" w:rsidRDefault="00A245DB" w:rsidP="004428BA">
      <w:pPr>
        <w:pStyle w:val="TableHeader"/>
        <w:keepNext/>
        <w:keepLines/>
        <w:widowControl/>
        <w:rPr>
          <w:rStyle w:val="CommentReference"/>
          <w:b/>
          <w:bCs/>
        </w:rPr>
      </w:pPr>
      <w:r>
        <w:rPr>
          <w:rStyle w:val="CommentReference"/>
          <w:b/>
          <w:bCs/>
        </w:rPr>
        <w:lastRenderedPageBreak/>
        <w:t>Table 1</w:t>
      </w:r>
      <w:r w:rsidR="00BD5880">
        <w:rPr>
          <w:rStyle w:val="CommentReference"/>
          <w:b/>
          <w:bCs/>
        </w:rPr>
        <w:t>4</w:t>
      </w:r>
      <w:r w:rsidR="00EE5980" w:rsidRPr="001A57E6">
        <w:rPr>
          <w:rStyle w:val="CommentReference"/>
          <w:b/>
          <w:bCs/>
        </w:rPr>
        <w:t>:</w:t>
      </w:r>
      <w:r w:rsidR="004A5FEC">
        <w:rPr>
          <w:rStyle w:val="CommentReference"/>
          <w:b/>
          <w:bCs/>
        </w:rPr>
        <w:t xml:space="preserve"> </w:t>
      </w:r>
      <w:r w:rsidR="00EE5980" w:rsidRPr="001A57E6">
        <w:rPr>
          <w:rStyle w:val="CommentReference"/>
          <w:b/>
          <w:bCs/>
        </w:rPr>
        <w:t>Results of the stepped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234"/>
        <w:gridCol w:w="1049"/>
        <w:gridCol w:w="953"/>
        <w:gridCol w:w="857"/>
        <w:gridCol w:w="891"/>
        <w:gridCol w:w="613"/>
        <w:gridCol w:w="840"/>
        <w:gridCol w:w="1580"/>
      </w:tblGrid>
      <w:tr w:rsidR="00EE5980" w:rsidRPr="001A57E6" w:rsidTr="001D7AA8">
        <w:trPr>
          <w:cantSplit/>
          <w:tblHeader/>
        </w:trPr>
        <w:tc>
          <w:tcPr>
            <w:tcW w:w="0" w:type="auto"/>
            <w:vMerge w:val="restart"/>
            <w:shd w:val="clear" w:color="auto" w:fill="FFFFFF" w:themeFill="background1"/>
            <w:vAlign w:val="center"/>
          </w:tcPr>
          <w:p w:rsidR="00EE5980" w:rsidRPr="00D4296D" w:rsidRDefault="00EE5980" w:rsidP="004428BA">
            <w:pPr>
              <w:pStyle w:val="Tabletext"/>
              <w:keepNext/>
              <w:keepLines/>
              <w:rPr>
                <w:b/>
              </w:rPr>
            </w:pPr>
            <w:r w:rsidRPr="00D4296D">
              <w:rPr>
                <w:b/>
              </w:rPr>
              <w:t>Data</w:t>
            </w:r>
          </w:p>
        </w:tc>
        <w:tc>
          <w:tcPr>
            <w:tcW w:w="0" w:type="auto"/>
            <w:gridSpan w:val="3"/>
            <w:shd w:val="clear" w:color="auto" w:fill="FFFFFF" w:themeFill="background1"/>
            <w:vAlign w:val="center"/>
          </w:tcPr>
          <w:p w:rsidR="00EE5980" w:rsidRPr="00D4296D" w:rsidRDefault="00EE5980" w:rsidP="004428BA">
            <w:pPr>
              <w:pStyle w:val="Tabletext"/>
              <w:keepNext/>
              <w:keepLines/>
              <w:jc w:val="center"/>
              <w:rPr>
                <w:b/>
              </w:rPr>
            </w:pPr>
            <w:r w:rsidRPr="00D4296D">
              <w:rPr>
                <w:b/>
              </w:rPr>
              <w:t>Costs</w:t>
            </w:r>
          </w:p>
        </w:tc>
        <w:tc>
          <w:tcPr>
            <w:tcW w:w="0" w:type="auto"/>
            <w:gridSpan w:val="3"/>
            <w:shd w:val="clear" w:color="auto" w:fill="FFFFFF" w:themeFill="background1"/>
            <w:vAlign w:val="center"/>
          </w:tcPr>
          <w:p w:rsidR="00EE5980" w:rsidRPr="00D4296D" w:rsidRDefault="00EE5980" w:rsidP="004428BA">
            <w:pPr>
              <w:pStyle w:val="Tabletext"/>
              <w:keepNext/>
              <w:keepLines/>
              <w:jc w:val="center"/>
              <w:rPr>
                <w:b/>
              </w:rPr>
            </w:pPr>
            <w:r w:rsidRPr="00D4296D">
              <w:rPr>
                <w:b/>
              </w:rPr>
              <w:t>Health outcomes</w:t>
            </w:r>
          </w:p>
        </w:tc>
        <w:tc>
          <w:tcPr>
            <w:tcW w:w="0" w:type="auto"/>
            <w:vMerge w:val="restart"/>
            <w:shd w:val="clear" w:color="auto" w:fill="FFFFFF" w:themeFill="background1"/>
            <w:vAlign w:val="center"/>
          </w:tcPr>
          <w:p w:rsidR="00EE5980" w:rsidRPr="00D4296D" w:rsidRDefault="00EE5980" w:rsidP="004428BA">
            <w:pPr>
              <w:pStyle w:val="Tabletext"/>
              <w:keepNext/>
              <w:keepLines/>
              <w:jc w:val="center"/>
              <w:rPr>
                <w:b/>
              </w:rPr>
            </w:pPr>
            <w:r w:rsidRPr="00D4296D">
              <w:rPr>
                <w:b/>
              </w:rPr>
              <w:t>Incremental cost-effectiveness ratio</w:t>
            </w:r>
          </w:p>
        </w:tc>
      </w:tr>
      <w:tr w:rsidR="00EE5980" w:rsidRPr="001A57E6" w:rsidTr="001D7AA8">
        <w:trPr>
          <w:cantSplit/>
          <w:tblHeader/>
        </w:trPr>
        <w:tc>
          <w:tcPr>
            <w:tcW w:w="0" w:type="auto"/>
            <w:vMerge/>
            <w:shd w:val="clear" w:color="auto" w:fill="FFFFFF" w:themeFill="background1"/>
            <w:vAlign w:val="center"/>
          </w:tcPr>
          <w:p w:rsidR="00EE5980" w:rsidRPr="00D4296D" w:rsidRDefault="00EE5980" w:rsidP="004428BA">
            <w:pPr>
              <w:pStyle w:val="Tabletext"/>
              <w:keepNext/>
              <w:keepLines/>
            </w:pPr>
          </w:p>
        </w:tc>
        <w:tc>
          <w:tcPr>
            <w:tcW w:w="0" w:type="auto"/>
            <w:shd w:val="clear" w:color="auto" w:fill="FFFFFF" w:themeFill="background1"/>
            <w:vAlign w:val="center"/>
          </w:tcPr>
          <w:p w:rsidR="00EE5980" w:rsidRPr="00D4296D" w:rsidRDefault="00EE500E" w:rsidP="004428BA">
            <w:pPr>
              <w:pStyle w:val="Tabletext"/>
              <w:keepNext/>
              <w:keepLines/>
              <w:jc w:val="center"/>
              <w:rPr>
                <w:rFonts w:ascii="Times" w:hAnsi="Times"/>
                <w:b/>
              </w:rPr>
            </w:pPr>
            <w:r w:rsidRPr="00D4296D">
              <w:rPr>
                <w:b/>
              </w:rPr>
              <w:t>BOTOX®</w:t>
            </w:r>
            <w:r w:rsidR="00EE5980" w:rsidRPr="00D4296D">
              <w:rPr>
                <w:b/>
              </w:rPr>
              <w:t xml:space="preserve"> + SOC</w:t>
            </w:r>
          </w:p>
        </w:tc>
        <w:tc>
          <w:tcPr>
            <w:tcW w:w="0" w:type="auto"/>
            <w:shd w:val="clear" w:color="auto" w:fill="FFFFFF" w:themeFill="background1"/>
            <w:vAlign w:val="center"/>
          </w:tcPr>
          <w:p w:rsidR="00EE5980" w:rsidRPr="00D4296D" w:rsidRDefault="00EE5980" w:rsidP="004428BA">
            <w:pPr>
              <w:pStyle w:val="Tabletext"/>
              <w:keepNext/>
              <w:keepLines/>
              <w:jc w:val="center"/>
              <w:rPr>
                <w:rFonts w:ascii="Times" w:hAnsi="Times"/>
                <w:b/>
              </w:rPr>
            </w:pPr>
            <w:r w:rsidRPr="00D4296D">
              <w:rPr>
                <w:b/>
              </w:rPr>
              <w:t>SOC</w:t>
            </w:r>
          </w:p>
        </w:tc>
        <w:tc>
          <w:tcPr>
            <w:tcW w:w="0" w:type="auto"/>
            <w:shd w:val="clear" w:color="auto" w:fill="FFFFFF" w:themeFill="background1"/>
            <w:vAlign w:val="center"/>
          </w:tcPr>
          <w:p w:rsidR="00EE5980" w:rsidRPr="00D4296D" w:rsidRDefault="00EE5980" w:rsidP="004428BA">
            <w:pPr>
              <w:pStyle w:val="Tabletext"/>
              <w:keepNext/>
              <w:keepLines/>
              <w:jc w:val="center"/>
              <w:rPr>
                <w:rFonts w:ascii="Times" w:hAnsi="Times"/>
                <w:b/>
              </w:rPr>
            </w:pPr>
            <w:r w:rsidRPr="00D4296D">
              <w:rPr>
                <w:b/>
              </w:rPr>
              <w:t>Increment</w:t>
            </w:r>
          </w:p>
        </w:tc>
        <w:tc>
          <w:tcPr>
            <w:tcW w:w="0" w:type="auto"/>
            <w:shd w:val="clear" w:color="auto" w:fill="FFFFFF" w:themeFill="background1"/>
            <w:vAlign w:val="center"/>
          </w:tcPr>
          <w:p w:rsidR="00EE5980" w:rsidRPr="00D4296D" w:rsidRDefault="00EE500E" w:rsidP="004428BA">
            <w:pPr>
              <w:pStyle w:val="Tabletext"/>
              <w:keepNext/>
              <w:keepLines/>
              <w:jc w:val="center"/>
              <w:rPr>
                <w:rFonts w:ascii="Times" w:hAnsi="Times"/>
                <w:b/>
              </w:rPr>
            </w:pPr>
            <w:r w:rsidRPr="00D4296D">
              <w:rPr>
                <w:b/>
              </w:rPr>
              <w:t>BOTOX®</w:t>
            </w:r>
            <w:r w:rsidR="00EE5980" w:rsidRPr="00D4296D">
              <w:rPr>
                <w:b/>
              </w:rPr>
              <w:t xml:space="preserve"> + SOC</w:t>
            </w:r>
          </w:p>
        </w:tc>
        <w:tc>
          <w:tcPr>
            <w:tcW w:w="0" w:type="auto"/>
            <w:shd w:val="clear" w:color="auto" w:fill="FFFFFF" w:themeFill="background1"/>
            <w:vAlign w:val="center"/>
          </w:tcPr>
          <w:p w:rsidR="00EE5980" w:rsidRPr="00D4296D" w:rsidRDefault="00EE5980" w:rsidP="004428BA">
            <w:pPr>
              <w:pStyle w:val="Tabletext"/>
              <w:keepNext/>
              <w:keepLines/>
              <w:jc w:val="center"/>
              <w:rPr>
                <w:b/>
              </w:rPr>
            </w:pPr>
            <w:r w:rsidRPr="00D4296D">
              <w:rPr>
                <w:b/>
              </w:rPr>
              <w:t>SOC</w:t>
            </w:r>
          </w:p>
        </w:tc>
        <w:tc>
          <w:tcPr>
            <w:tcW w:w="0" w:type="auto"/>
            <w:shd w:val="clear" w:color="auto" w:fill="FFFFFF" w:themeFill="background1"/>
            <w:vAlign w:val="center"/>
          </w:tcPr>
          <w:p w:rsidR="00EE5980" w:rsidRPr="00D4296D" w:rsidRDefault="00EE5980" w:rsidP="004428BA">
            <w:pPr>
              <w:pStyle w:val="Tabletext"/>
              <w:keepNext/>
              <w:keepLines/>
              <w:jc w:val="center"/>
              <w:rPr>
                <w:b/>
              </w:rPr>
            </w:pPr>
            <w:r w:rsidRPr="00D4296D">
              <w:rPr>
                <w:b/>
              </w:rPr>
              <w:t>Increment</w:t>
            </w:r>
          </w:p>
        </w:tc>
        <w:tc>
          <w:tcPr>
            <w:tcW w:w="0" w:type="auto"/>
            <w:vMerge/>
            <w:shd w:val="clear" w:color="auto" w:fill="FFFFFF" w:themeFill="background1"/>
            <w:vAlign w:val="center"/>
          </w:tcPr>
          <w:p w:rsidR="00EE5980" w:rsidRPr="00D4296D" w:rsidRDefault="00EE5980" w:rsidP="004428BA">
            <w:pPr>
              <w:pStyle w:val="Tabletext"/>
              <w:keepNext/>
              <w:keepLines/>
              <w:jc w:val="center"/>
            </w:pPr>
          </w:p>
        </w:tc>
      </w:tr>
      <w:tr w:rsidR="00EE5980" w:rsidRPr="001A57E6" w:rsidTr="001D7AA8">
        <w:trPr>
          <w:cantSplit/>
        </w:trPr>
        <w:tc>
          <w:tcPr>
            <w:tcW w:w="0" w:type="auto"/>
            <w:vMerge w:val="restart"/>
            <w:shd w:val="clear" w:color="auto" w:fill="FFFFFF" w:themeFill="background1"/>
            <w:vAlign w:val="center"/>
          </w:tcPr>
          <w:p w:rsidR="00EE5980" w:rsidRPr="00D4296D" w:rsidRDefault="00EE5980" w:rsidP="004428BA">
            <w:pPr>
              <w:pStyle w:val="Tabletext"/>
              <w:keepNext/>
              <w:keepLines/>
              <w:rPr>
                <w:bCs/>
              </w:rPr>
            </w:pPr>
            <w:r w:rsidRPr="00D4296D">
              <w:rPr>
                <w:bCs/>
              </w:rPr>
              <w:t xml:space="preserve">Step 1: 12 Week double-blind trial based CEA, MAS response at any </w:t>
            </w:r>
            <w:proofErr w:type="spellStart"/>
            <w:r w:rsidRPr="00D4296D">
              <w:rPr>
                <w:bCs/>
              </w:rPr>
              <w:t>time</w:t>
            </w:r>
            <w:r w:rsidRPr="00D4296D">
              <w:rPr>
                <w:bCs/>
                <w:vertAlign w:val="superscript"/>
              </w:rPr>
              <w:t>a</w:t>
            </w:r>
            <w:proofErr w:type="spellEnd"/>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Drug, administration and physiotherapy costs</w:t>
            </w:r>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Proportion of responders</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t>Cost/responder</w:t>
            </w:r>
          </w:p>
        </w:tc>
      </w:tr>
      <w:tr w:rsidR="00EE5980" w:rsidRPr="001A57E6" w:rsidTr="001D7AA8">
        <w:trPr>
          <w:cantSplit/>
        </w:trPr>
        <w:tc>
          <w:tcPr>
            <w:tcW w:w="0" w:type="auto"/>
            <w:vMerge/>
            <w:shd w:val="clear" w:color="auto" w:fill="FFFFFF" w:themeFill="background1"/>
            <w:vAlign w:val="center"/>
          </w:tcPr>
          <w:p w:rsidR="00EE5980" w:rsidRPr="00D4296D" w:rsidRDefault="00EE5980" w:rsidP="004428BA">
            <w:pPr>
              <w:pStyle w:val="Tabletext"/>
              <w:keepNext/>
              <w:keepLines/>
              <w:rPr>
                <w:bCs/>
              </w:rPr>
            </w:pP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 xml:space="preserve"> $</w:t>
            </w:r>
            <w:r w:rsidR="001C21E3">
              <w:rPr>
                <w:noProof/>
                <w:color w:val="000000"/>
                <w:szCs w:val="20"/>
                <w:highlight w:val="black"/>
              </w:rPr>
              <w:t>'''''''''''''''''''</w:t>
            </w:r>
            <w:r w:rsidRPr="00D4296D">
              <w:rPr>
                <w:color w:val="000000"/>
                <w:szCs w:val="20"/>
              </w:rPr>
              <w:t xml:space="preserve"> </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65.80%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51.50%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14.30%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r>
      <w:tr w:rsidR="00EE5980" w:rsidRPr="001A57E6" w:rsidTr="001D7AA8">
        <w:trPr>
          <w:cantSplit/>
        </w:trPr>
        <w:tc>
          <w:tcPr>
            <w:tcW w:w="0" w:type="auto"/>
            <w:shd w:val="clear" w:color="auto" w:fill="FFFFFF" w:themeFill="background1"/>
            <w:vAlign w:val="center"/>
          </w:tcPr>
          <w:p w:rsidR="00EE5980" w:rsidRPr="00D4296D" w:rsidRDefault="00EE5980" w:rsidP="004428BA">
            <w:pPr>
              <w:pStyle w:val="Tabletext"/>
              <w:keepNext/>
              <w:keepLines/>
              <w:rPr>
                <w:bCs/>
              </w:rPr>
            </w:pPr>
            <w:r w:rsidRPr="00D4296D">
              <w:rPr>
                <w:bCs/>
              </w:rPr>
              <w:t xml:space="preserve">Step 2 – 24 Weeks extended double-blind + open label based CEA, MAS response at any </w:t>
            </w:r>
            <w:proofErr w:type="spellStart"/>
            <w:r w:rsidRPr="00D4296D">
              <w:rPr>
                <w:bCs/>
              </w:rPr>
              <w:t>time</w:t>
            </w:r>
            <w:r w:rsidRPr="00D4296D">
              <w:rPr>
                <w:bCs/>
                <w:vertAlign w:val="superscript"/>
              </w:rPr>
              <w:t>a</w:t>
            </w:r>
            <w:proofErr w:type="spellEnd"/>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t>$</w:t>
            </w:r>
            <w:r w:rsidR="001C21E3">
              <w:rPr>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89.60%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51.50%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38.10%</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rPr>
                <w:color w:val="000000"/>
                <w:szCs w:val="20"/>
              </w:rPr>
              <w:t>$</w:t>
            </w:r>
            <w:r w:rsidR="001C21E3">
              <w:rPr>
                <w:noProof/>
                <w:color w:val="000000"/>
                <w:szCs w:val="20"/>
                <w:highlight w:val="black"/>
              </w:rPr>
              <w:t>'''''''''''''</w:t>
            </w:r>
          </w:p>
        </w:tc>
      </w:tr>
      <w:tr w:rsidR="00EE5980" w:rsidRPr="001A57E6" w:rsidTr="001D7AA8">
        <w:trPr>
          <w:cantSplit/>
        </w:trPr>
        <w:tc>
          <w:tcPr>
            <w:tcW w:w="0" w:type="auto"/>
            <w:vMerge w:val="restart"/>
            <w:shd w:val="clear" w:color="auto" w:fill="FFFFFF" w:themeFill="background1"/>
            <w:vAlign w:val="center"/>
          </w:tcPr>
          <w:p w:rsidR="00EE5980" w:rsidRPr="00D4296D" w:rsidRDefault="00EE5980" w:rsidP="004428BA">
            <w:pPr>
              <w:pStyle w:val="Tabletext"/>
              <w:keepNext/>
              <w:keepLines/>
              <w:rPr>
                <w:bCs/>
              </w:rPr>
            </w:pPr>
            <w:r w:rsidRPr="00D4296D">
              <w:rPr>
                <w:bCs/>
              </w:rPr>
              <w:t>Step 3: CUA, 5-year Markov Cohort Model</w:t>
            </w:r>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Discounted costs</w:t>
            </w:r>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Discounted QALYs</w:t>
            </w:r>
          </w:p>
        </w:tc>
        <w:tc>
          <w:tcPr>
            <w:tcW w:w="0" w:type="auto"/>
            <w:shd w:val="clear" w:color="auto" w:fill="FFFFFF" w:themeFill="background1"/>
            <w:vAlign w:val="center"/>
          </w:tcPr>
          <w:p w:rsidR="00EE5980" w:rsidRPr="00D4296D" w:rsidRDefault="00EE5980" w:rsidP="004428BA">
            <w:pPr>
              <w:pStyle w:val="Tabletext"/>
              <w:keepNext/>
              <w:keepLines/>
              <w:jc w:val="center"/>
              <w:rPr>
                <w:b/>
              </w:rPr>
            </w:pPr>
            <w:r w:rsidRPr="00D4296D">
              <w:rPr>
                <w:b/>
              </w:rPr>
              <w:t>Cost/QALY</w:t>
            </w:r>
          </w:p>
        </w:tc>
      </w:tr>
      <w:tr w:rsidR="00EE5980" w:rsidRPr="001A57E6" w:rsidTr="001D7AA8">
        <w:trPr>
          <w:cantSplit/>
        </w:trPr>
        <w:tc>
          <w:tcPr>
            <w:tcW w:w="0" w:type="auto"/>
            <w:vMerge/>
            <w:shd w:val="clear" w:color="auto" w:fill="FFFFFF" w:themeFill="background1"/>
            <w:vAlign w:val="center"/>
          </w:tcPr>
          <w:p w:rsidR="00EE5980" w:rsidRPr="00D4296D" w:rsidRDefault="00EE5980" w:rsidP="004428BA">
            <w:pPr>
              <w:pStyle w:val="Tabletext"/>
              <w:keepNext/>
              <w:keepLines/>
              <w:rPr>
                <w:b/>
                <w:bCs/>
              </w:rPr>
            </w:pP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5709E7" w:rsidP="004428BA">
            <w:pPr>
              <w:pStyle w:val="Tabletext"/>
              <w:keepNext/>
              <w:keepLines/>
              <w:jc w:val="center"/>
              <w:rPr>
                <w:iCs/>
              </w:rPr>
            </w:pPr>
            <w:r w:rsidRPr="00D4296D">
              <w:rPr>
                <w:iCs/>
              </w:rPr>
              <w:t>2.4019</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2.3</w:t>
            </w:r>
            <w:r w:rsidR="005709E7" w:rsidRPr="00D4296D">
              <w:rPr>
                <w:iCs/>
              </w:rPr>
              <w:t>102</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0.09</w:t>
            </w:r>
            <w:r w:rsidR="005709E7" w:rsidRPr="00D4296D">
              <w:rPr>
                <w:iCs/>
              </w:rPr>
              <w:t>18</w:t>
            </w:r>
          </w:p>
        </w:tc>
        <w:tc>
          <w:tcPr>
            <w:tcW w:w="0" w:type="auto"/>
            <w:shd w:val="clear" w:color="auto" w:fill="FFFFFF" w:themeFill="background1"/>
            <w:vAlign w:val="center"/>
          </w:tcPr>
          <w:p w:rsidR="005709E7" w:rsidRPr="00D4296D" w:rsidRDefault="005709E7" w:rsidP="004428BA">
            <w:pPr>
              <w:pStyle w:val="Tabletext"/>
              <w:keepNext/>
              <w:keepLines/>
              <w:jc w:val="center"/>
              <w:rPr>
                <w:b/>
                <w:iCs/>
              </w:rPr>
            </w:pPr>
            <w:r w:rsidRPr="00D4296D">
              <w:rPr>
                <w:b/>
                <w:iCs/>
              </w:rPr>
              <w:t>$</w:t>
            </w:r>
            <w:r w:rsidR="001C21E3">
              <w:rPr>
                <w:b/>
                <w:iCs/>
                <w:noProof/>
                <w:color w:val="000000"/>
                <w:highlight w:val="black"/>
              </w:rPr>
              <w:t>'''''''''''''''</w:t>
            </w:r>
          </w:p>
        </w:tc>
      </w:tr>
      <w:tr w:rsidR="00EE5980" w:rsidRPr="001A57E6" w:rsidTr="001D7AA8">
        <w:trPr>
          <w:cantSplit/>
        </w:trPr>
        <w:tc>
          <w:tcPr>
            <w:tcW w:w="0" w:type="auto"/>
            <w:vMerge/>
            <w:shd w:val="clear" w:color="auto" w:fill="FFFFFF" w:themeFill="background1"/>
            <w:vAlign w:val="center"/>
          </w:tcPr>
          <w:p w:rsidR="00EE5980" w:rsidRPr="00D4296D" w:rsidRDefault="00EE5980" w:rsidP="004428BA">
            <w:pPr>
              <w:pStyle w:val="Tabletext"/>
              <w:keepNext/>
              <w:keepLines/>
              <w:rPr>
                <w:b/>
                <w:bCs/>
              </w:rPr>
            </w:pPr>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Undiscounted costs</w:t>
            </w:r>
          </w:p>
        </w:tc>
        <w:tc>
          <w:tcPr>
            <w:tcW w:w="0" w:type="auto"/>
            <w:gridSpan w:val="3"/>
            <w:shd w:val="clear" w:color="auto" w:fill="FFFFFF" w:themeFill="background1"/>
            <w:vAlign w:val="center"/>
          </w:tcPr>
          <w:p w:rsidR="00EE5980" w:rsidRPr="00D4296D" w:rsidRDefault="00EE5980" w:rsidP="004428BA">
            <w:pPr>
              <w:pStyle w:val="Tabletext"/>
              <w:keepNext/>
              <w:keepLines/>
              <w:jc w:val="center"/>
            </w:pPr>
            <w:r w:rsidRPr="00D4296D">
              <w:t>Undiscounted QALYs</w:t>
            </w:r>
          </w:p>
        </w:tc>
        <w:tc>
          <w:tcPr>
            <w:tcW w:w="0" w:type="auto"/>
            <w:shd w:val="clear" w:color="auto" w:fill="FFFFFF" w:themeFill="background1"/>
            <w:vAlign w:val="center"/>
          </w:tcPr>
          <w:p w:rsidR="00EE5980" w:rsidRPr="00D4296D" w:rsidRDefault="00EE5980" w:rsidP="004428BA">
            <w:pPr>
              <w:pStyle w:val="Tabletext"/>
              <w:keepNext/>
              <w:keepLines/>
              <w:jc w:val="center"/>
            </w:pPr>
            <w:r w:rsidRPr="00D4296D">
              <w:t>Cost/QALY</w:t>
            </w:r>
          </w:p>
        </w:tc>
      </w:tr>
      <w:tr w:rsidR="00EE5980" w:rsidRPr="001A57E6" w:rsidTr="001D7AA8">
        <w:trPr>
          <w:cantSplit/>
        </w:trPr>
        <w:tc>
          <w:tcPr>
            <w:tcW w:w="0" w:type="auto"/>
            <w:vMerge/>
            <w:shd w:val="clear" w:color="auto" w:fill="FFFFFF" w:themeFill="background1"/>
            <w:vAlign w:val="center"/>
          </w:tcPr>
          <w:p w:rsidR="00EE5980" w:rsidRPr="00D4296D" w:rsidRDefault="00EE5980" w:rsidP="004428BA">
            <w:pPr>
              <w:pStyle w:val="Tabletext"/>
              <w:keepNext/>
              <w:keepLines/>
              <w:rPr>
                <w:b/>
                <w:bCs/>
              </w:rPr>
            </w:pP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w:t>
            </w:r>
            <w:r w:rsidR="001C21E3">
              <w:rPr>
                <w:iCs/>
                <w:noProof/>
                <w:color w:val="000000"/>
                <w:highlight w:val="black"/>
              </w:rPr>
              <w:t>'''''''''''''''''''</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2.6</w:t>
            </w:r>
            <w:r w:rsidR="005709E7" w:rsidRPr="00D4296D">
              <w:rPr>
                <w:iCs/>
              </w:rPr>
              <w:t>308</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2.5</w:t>
            </w:r>
            <w:r w:rsidR="005709E7" w:rsidRPr="00D4296D">
              <w:rPr>
                <w:iCs/>
              </w:rPr>
              <w:t>309</w:t>
            </w:r>
          </w:p>
        </w:tc>
        <w:tc>
          <w:tcPr>
            <w:tcW w:w="0" w:type="auto"/>
            <w:shd w:val="clear" w:color="auto" w:fill="FFFFFF" w:themeFill="background1"/>
            <w:vAlign w:val="center"/>
          </w:tcPr>
          <w:p w:rsidR="00EE5980" w:rsidRPr="00D4296D" w:rsidRDefault="00EE5980" w:rsidP="004428BA">
            <w:pPr>
              <w:pStyle w:val="Tabletext"/>
              <w:keepNext/>
              <w:keepLines/>
              <w:jc w:val="center"/>
              <w:rPr>
                <w:iCs/>
              </w:rPr>
            </w:pPr>
            <w:r w:rsidRPr="00D4296D">
              <w:rPr>
                <w:iCs/>
              </w:rPr>
              <w:t>0.</w:t>
            </w:r>
            <w:r w:rsidR="005709E7" w:rsidRPr="00D4296D">
              <w:rPr>
                <w:iCs/>
              </w:rPr>
              <w:t>0999</w:t>
            </w:r>
          </w:p>
        </w:tc>
        <w:tc>
          <w:tcPr>
            <w:tcW w:w="0" w:type="auto"/>
            <w:shd w:val="clear" w:color="auto" w:fill="FFFFFF" w:themeFill="background1"/>
            <w:vAlign w:val="center"/>
          </w:tcPr>
          <w:p w:rsidR="00EE5980" w:rsidRPr="00D4296D" w:rsidRDefault="005709E7" w:rsidP="004428BA">
            <w:pPr>
              <w:pStyle w:val="Tabletext"/>
              <w:keepNext/>
              <w:keepLines/>
              <w:jc w:val="center"/>
              <w:rPr>
                <w:iCs/>
              </w:rPr>
            </w:pPr>
            <w:r w:rsidRPr="00D4296D">
              <w:rPr>
                <w:iCs/>
              </w:rPr>
              <w:t>$</w:t>
            </w:r>
            <w:r w:rsidR="001C21E3">
              <w:rPr>
                <w:iCs/>
                <w:noProof/>
                <w:color w:val="000000"/>
                <w:highlight w:val="black"/>
              </w:rPr>
              <w:t>''''''''''''''''</w:t>
            </w:r>
          </w:p>
        </w:tc>
      </w:tr>
    </w:tbl>
    <w:p w:rsidR="00EE5980" w:rsidRPr="001A57E6" w:rsidRDefault="00EE5980" w:rsidP="004428BA">
      <w:pPr>
        <w:pStyle w:val="TableFooter"/>
        <w:keepNext/>
        <w:keepLines/>
        <w:widowControl/>
      </w:pPr>
      <w:r w:rsidRPr="001A57E6">
        <w:t>CEA = cost-effectiveness analysis, CUA= cost-utility analysis, QALY = quality-adjusted life year, SOC = standard of care</w:t>
      </w:r>
    </w:p>
    <w:p w:rsidR="00EE5980" w:rsidRPr="001A57E6" w:rsidRDefault="00EE5980" w:rsidP="004428BA">
      <w:pPr>
        <w:pStyle w:val="TableFooter"/>
        <w:keepNext/>
        <w:keepLines/>
        <w:widowControl/>
      </w:pPr>
      <w:proofErr w:type="gramStart"/>
      <w:r w:rsidRPr="001A57E6">
        <w:rPr>
          <w:vertAlign w:val="superscript"/>
        </w:rPr>
        <w:t>a</w:t>
      </w:r>
      <w:proofErr w:type="gramEnd"/>
      <w:r w:rsidRPr="001A57E6">
        <w:rPr>
          <w:vertAlign w:val="superscript"/>
        </w:rPr>
        <w:tab/>
        <w:t xml:space="preserve"> </w:t>
      </w:r>
      <w:r w:rsidRPr="001A57E6">
        <w:t xml:space="preserve">Proportion of physiotherapy was amended to </w:t>
      </w:r>
      <w:r w:rsidR="001C21E3">
        <w:rPr>
          <w:iCs/>
          <w:noProof/>
          <w:color w:val="000000"/>
          <w:highlight w:val="black"/>
        </w:rPr>
        <w:t>'''''''''''</w:t>
      </w:r>
      <w:r w:rsidRPr="004364CE">
        <w:rPr>
          <w:iCs/>
        </w:rPr>
        <w:t xml:space="preserve">% and </w:t>
      </w:r>
      <w:r w:rsidR="001C21E3">
        <w:rPr>
          <w:iCs/>
          <w:noProof/>
          <w:color w:val="000000"/>
          <w:highlight w:val="black"/>
        </w:rPr>
        <w:t>'''''''''''</w:t>
      </w:r>
      <w:r w:rsidRPr="004364CE">
        <w:rPr>
          <w:iCs/>
        </w:rPr>
        <w:t>% for</w:t>
      </w:r>
      <w:r w:rsidRPr="001A57E6">
        <w:rPr>
          <w:i/>
          <w:iCs/>
        </w:rPr>
        <w:t xml:space="preserve"> </w:t>
      </w:r>
      <w:r w:rsidR="00EE500E">
        <w:t>BOTOX®</w:t>
      </w:r>
      <w:r w:rsidRPr="001A57E6">
        <w:t xml:space="preserve"> and SOC, respectively.</w:t>
      </w:r>
    </w:p>
    <w:p w:rsidR="00EE5980" w:rsidRDefault="00EE5980" w:rsidP="004428BA">
      <w:pPr>
        <w:pStyle w:val="TableFooter"/>
        <w:keepNext/>
        <w:keepLines/>
        <w:widowControl/>
      </w:pPr>
      <w:r w:rsidRPr="001A57E6">
        <w:t>Source: Table 3.8.1, p179, and Table 3.8.6, p187 of the resubmission.</w:t>
      </w:r>
    </w:p>
    <w:p w:rsidR="00397B67" w:rsidRPr="00E07920" w:rsidRDefault="00B710A7" w:rsidP="00E07920">
      <w:pPr>
        <w:pStyle w:val="TableFooter"/>
        <w:keepNext/>
        <w:keepLines/>
        <w:widowControl/>
        <w:spacing w:before="120" w:after="120"/>
        <w:rPr>
          <w:rFonts w:asciiTheme="minorHAnsi" w:hAnsiTheme="minorHAnsi" w:cstheme="minorHAnsi"/>
          <w:sz w:val="24"/>
          <w:szCs w:val="24"/>
        </w:rPr>
      </w:pPr>
      <w:r w:rsidRPr="00E07920">
        <w:rPr>
          <w:rFonts w:asciiTheme="minorHAnsi" w:hAnsiTheme="minorHAnsi" w:cstheme="minorHAnsi"/>
          <w:sz w:val="24"/>
          <w:szCs w:val="24"/>
        </w:rPr>
        <w:t xml:space="preserve">The redacted table shows ICERs in the range of less than $15,000 per QALY to </w:t>
      </w:r>
      <w:r w:rsidR="00E07920" w:rsidRPr="00E07920">
        <w:rPr>
          <w:rFonts w:asciiTheme="minorHAnsi" w:hAnsiTheme="minorHAnsi" w:cstheme="minorHAnsi"/>
          <w:sz w:val="24"/>
          <w:szCs w:val="24"/>
        </w:rPr>
        <w:t>$15,000/QALY - $45,000/QALY.</w:t>
      </w:r>
    </w:p>
    <w:p w:rsidR="00A71A5F" w:rsidRPr="00D4296D" w:rsidRDefault="001D7AA8" w:rsidP="00BB76A8">
      <w:pPr>
        <w:pStyle w:val="ListParagraph"/>
      </w:pPr>
      <w:r w:rsidRPr="00D4296D">
        <w:t xml:space="preserve">Overall, the ICER </w:t>
      </w:r>
      <w:r w:rsidR="00043886" w:rsidRPr="00D4296D">
        <w:t xml:space="preserve">was potentially </w:t>
      </w:r>
      <w:r w:rsidRPr="00D4296D">
        <w:t>higher than th</w:t>
      </w:r>
      <w:r w:rsidR="00043886" w:rsidRPr="00D4296D">
        <w:t xml:space="preserve">at </w:t>
      </w:r>
      <w:r w:rsidRPr="00D4296D">
        <w:t>estimated in the base case</w:t>
      </w:r>
      <w:r w:rsidR="001103CA" w:rsidRPr="00D4296D">
        <w:t>.</w:t>
      </w:r>
      <w:r w:rsidR="004A5FEC" w:rsidRPr="00D4296D">
        <w:t xml:space="preserve"> </w:t>
      </w:r>
      <w:r w:rsidRPr="00D4296D">
        <w:t xml:space="preserve">The probability of continued response in the </w:t>
      </w:r>
      <w:r w:rsidR="00EE500E" w:rsidRPr="00D4296D">
        <w:t>BOTOX®</w:t>
      </w:r>
      <w:r w:rsidRPr="00D4296D">
        <w:t xml:space="preserve"> group was the key driver of the model, with slight decreases having a great impact on the ICER.</w:t>
      </w:r>
      <w:r w:rsidR="004A5FEC" w:rsidRPr="00D4296D">
        <w:t xml:space="preserve"> </w:t>
      </w:r>
      <w:r w:rsidR="00043886" w:rsidRPr="00D4296D">
        <w:t>A sensitivity analysis in which the continued response rate was decrease</w:t>
      </w:r>
      <w:r w:rsidR="00FF3637">
        <w:t>d</w:t>
      </w:r>
      <w:r w:rsidR="00043886" w:rsidRPr="00D4296D">
        <w:t xml:space="preserve"> to </w:t>
      </w:r>
      <w:r w:rsidR="00D24715" w:rsidRPr="00D4296D">
        <w:t>0</w:t>
      </w:r>
      <w:r w:rsidR="00D51370" w:rsidRPr="00D4296D">
        <w:t>.90</w:t>
      </w:r>
      <w:r w:rsidR="00921333" w:rsidRPr="00D4296D">
        <w:t xml:space="preserve"> </w:t>
      </w:r>
      <w:r w:rsidR="00043886" w:rsidRPr="00D4296D">
        <w:t>in C</w:t>
      </w:r>
      <w:r w:rsidR="00921333" w:rsidRPr="00D4296D">
        <w:t>ycle 2</w:t>
      </w:r>
      <w:r w:rsidR="00043886" w:rsidRPr="00D4296D">
        <w:t xml:space="preserve"> and</w:t>
      </w:r>
      <w:r w:rsidR="00921333" w:rsidRPr="00D4296D">
        <w:t xml:space="preserve"> </w:t>
      </w:r>
      <w:r w:rsidR="00D24715" w:rsidRPr="00D4296D">
        <w:t>0</w:t>
      </w:r>
      <w:r w:rsidR="00D51370" w:rsidRPr="00D4296D">
        <w:t>.80</w:t>
      </w:r>
      <w:r w:rsidR="00043886" w:rsidRPr="00D4296D">
        <w:t xml:space="preserve"> in C</w:t>
      </w:r>
      <w:r w:rsidR="00921333" w:rsidRPr="00D4296D">
        <w:t xml:space="preserve">ycle 3 </w:t>
      </w:r>
      <w:r w:rsidR="00A71A5F" w:rsidRPr="00D4296D">
        <w:t xml:space="preserve">increased the ICER </w:t>
      </w:r>
      <w:r w:rsidR="00B710A7">
        <w:t>$45,000/QALY - $75,000/QALY</w:t>
      </w:r>
      <w:r w:rsidR="00A71A5F" w:rsidRPr="00D4296D">
        <w:t xml:space="preserve">; assuming a gradual reduction in response to </w:t>
      </w:r>
      <w:r w:rsidR="00D24715" w:rsidRPr="00D4296D">
        <w:t>0</w:t>
      </w:r>
      <w:r w:rsidR="00D51370" w:rsidRPr="00D4296D">
        <w:t>.68</w:t>
      </w:r>
      <w:r w:rsidR="00A71A5F" w:rsidRPr="00D4296D">
        <w:t xml:space="preserve">, increased </w:t>
      </w:r>
      <w:r w:rsidR="00043886" w:rsidRPr="00D4296D">
        <w:t xml:space="preserve">the ICER </w:t>
      </w:r>
      <w:r w:rsidR="00A71A5F" w:rsidRPr="00D4296D">
        <w:t xml:space="preserve">to </w:t>
      </w:r>
      <w:r w:rsidR="00B710A7">
        <w:t>$105,000/QALY - $200,000/QALY</w:t>
      </w:r>
      <w:r w:rsidR="00A71A5F" w:rsidRPr="00D4296D">
        <w:t xml:space="preserve">. </w:t>
      </w:r>
    </w:p>
    <w:p w:rsidR="005709E7" w:rsidRPr="00D4296D" w:rsidRDefault="005709E7" w:rsidP="00BB76A8">
      <w:pPr>
        <w:pStyle w:val="ListParagraph"/>
      </w:pPr>
      <w:r w:rsidRPr="00D4296D">
        <w:t>A sensitivity analysis in which the utility value for the last line health state was changed to that for a non-responder (i.e. from 0.504 to 0.525) increased the ICER to</w:t>
      </w:r>
      <w:r w:rsidR="00B710A7">
        <w:t>$15,000/QALY - $45,000/QALY</w:t>
      </w:r>
      <w:r w:rsidRPr="00D4296D">
        <w:t>.</w:t>
      </w:r>
    </w:p>
    <w:p w:rsidR="00EE392A" w:rsidRPr="001A57E6" w:rsidRDefault="00EE392A" w:rsidP="00BB76A8">
      <w:pPr>
        <w:pStyle w:val="Heading2"/>
      </w:pPr>
      <w:bookmarkStart w:id="41" w:name="_Toc371170711"/>
      <w:bookmarkStart w:id="42" w:name="_Toc524523785"/>
      <w:r w:rsidRPr="001A57E6">
        <w:t>Drug cost/patient</w:t>
      </w:r>
      <w:bookmarkEnd w:id="41"/>
      <w:r w:rsidR="00C7083F" w:rsidRPr="001A57E6">
        <w:t xml:space="preserve">/treatment cycle: </w:t>
      </w:r>
      <w:r w:rsidR="00C7083F" w:rsidRPr="001A57E6">
        <w:rPr>
          <w:bCs/>
        </w:rPr>
        <w:t>$</w:t>
      </w:r>
      <w:r w:rsidR="001C21E3">
        <w:rPr>
          <w:bCs/>
          <w:noProof/>
          <w:color w:val="000000"/>
          <w:highlight w:val="black"/>
        </w:rPr>
        <w:t>'''''''''''''''''</w:t>
      </w:r>
      <w:r w:rsidR="00C7083F" w:rsidRPr="001A57E6">
        <w:rPr>
          <w:bCs/>
        </w:rPr>
        <w:t xml:space="preserve"> </w:t>
      </w:r>
      <w:bookmarkEnd w:id="42"/>
    </w:p>
    <w:p w:rsidR="00EE392A" w:rsidRPr="001A57E6" w:rsidRDefault="00190513" w:rsidP="00BB76A8">
      <w:pPr>
        <w:pStyle w:val="ListParagraph"/>
      </w:pPr>
      <w:r w:rsidRPr="001A57E6">
        <w:t xml:space="preserve">This was calculated in the model based on the DPMQs weighted for </w:t>
      </w:r>
      <w:r w:rsidR="00036666">
        <w:t xml:space="preserve">proportional </w:t>
      </w:r>
      <w:r w:rsidRPr="001A57E6">
        <w:t>private and public use</w:t>
      </w:r>
      <w:r w:rsidRPr="001A57E6">
        <w:rPr>
          <w:rFonts w:cs="Calibri"/>
          <w:snapToGrid/>
          <w:szCs w:val="24"/>
          <w:lang w:eastAsia="en-AU"/>
        </w:rPr>
        <w:t>.</w:t>
      </w:r>
    </w:p>
    <w:p w:rsidR="00EE392A" w:rsidRPr="001A57E6" w:rsidRDefault="00EE392A" w:rsidP="00BB76A8">
      <w:pPr>
        <w:pStyle w:val="Heading2"/>
      </w:pPr>
      <w:bookmarkStart w:id="43" w:name="_Toc371170712"/>
      <w:bookmarkStart w:id="44" w:name="_Toc524523786"/>
      <w:r w:rsidRPr="001A57E6">
        <w:t>Estimated PBS usage &amp; financial implications</w:t>
      </w:r>
      <w:bookmarkEnd w:id="43"/>
      <w:bookmarkEnd w:id="44"/>
    </w:p>
    <w:p w:rsidR="00D4296D" w:rsidRPr="00D4296D" w:rsidRDefault="00D4296D" w:rsidP="00BB76A8">
      <w:pPr>
        <w:pStyle w:val="ListParagraph"/>
        <w:rPr>
          <w:iCs/>
        </w:rPr>
      </w:pPr>
      <w:r w:rsidRPr="001A57E6">
        <w:t xml:space="preserve">A market share approach using a combination of PBS utilisation and published epidemiological data were adopted to estimate financial impacts of the proposed listing.  </w:t>
      </w:r>
      <w:r w:rsidRPr="00D4296D">
        <w:rPr>
          <w:iCs/>
        </w:rPr>
        <w:t>This was reasonable.</w:t>
      </w:r>
    </w:p>
    <w:p w:rsidR="00D4296D" w:rsidRPr="001A57E6" w:rsidRDefault="00D4296D" w:rsidP="00BB76A8">
      <w:pPr>
        <w:pStyle w:val="ListParagraph"/>
      </w:pPr>
      <w:r w:rsidRPr="001A57E6">
        <w:t xml:space="preserve">The resubmission’s estimates had included utilisation and costs associated with treatment of </w:t>
      </w:r>
      <w:r w:rsidR="00CB6ACE">
        <w:t>lower limb</w:t>
      </w:r>
      <w:r w:rsidRPr="001A57E6">
        <w:t xml:space="preserve"> spasticity associated with causes other than stroke, i.e. traumatic brain injury (TBI) and spinal cord injury (SCI).  This was not appropriate in the base case</w:t>
      </w:r>
      <w:r w:rsidR="009864E8">
        <w:t xml:space="preserve"> as</w:t>
      </w:r>
      <w:r w:rsidRPr="001A57E6">
        <w:t xml:space="preserve"> the requested listing was specific to </w:t>
      </w:r>
      <w:r w:rsidR="00CB6ACE">
        <w:t>lower limb focal spasticity</w:t>
      </w:r>
      <w:r w:rsidRPr="001A57E6">
        <w:t xml:space="preserve"> post</w:t>
      </w:r>
      <w:r>
        <w:t>-</w:t>
      </w:r>
      <w:r w:rsidRPr="001A57E6">
        <w:t>stroke</w:t>
      </w:r>
      <w:r w:rsidR="009864E8">
        <w:t>. The</w:t>
      </w:r>
      <w:r w:rsidR="00044A43">
        <w:t xml:space="preserve"> financial imp</w:t>
      </w:r>
      <w:r w:rsidR="008E2B06">
        <w:t>lications below are relevant to the post-stroke population</w:t>
      </w:r>
      <w:r w:rsidR="00DC774F">
        <w:t xml:space="preserve"> only</w:t>
      </w:r>
      <w:r w:rsidR="008E2B06">
        <w:t>.</w:t>
      </w:r>
      <w:r w:rsidRPr="001A57E6">
        <w:t xml:space="preserve"> </w:t>
      </w:r>
    </w:p>
    <w:p w:rsidR="00D4296D" w:rsidRPr="00D4296D" w:rsidRDefault="00D4296D" w:rsidP="00BB76A8">
      <w:pPr>
        <w:pStyle w:val="ListParagraph"/>
      </w:pPr>
      <w:r w:rsidRPr="00D4296D">
        <w:lastRenderedPageBreak/>
        <w:t>Table 15 presents the estimated net financial implications for the proposed listing of BOTOX</w:t>
      </w:r>
      <w:r w:rsidR="00CB6ACE">
        <w:rPr>
          <w:rFonts w:cs="Calibri"/>
        </w:rPr>
        <w:t>®</w:t>
      </w:r>
      <w:r w:rsidRPr="00D4296D">
        <w:t xml:space="preserve"> for </w:t>
      </w:r>
      <w:r w:rsidR="00CB6ACE">
        <w:t>lower limb spasticity</w:t>
      </w:r>
      <w:r w:rsidRPr="00D4296D">
        <w:t xml:space="preserve"> </w:t>
      </w:r>
      <w:r w:rsidRPr="00D4296D">
        <w:rPr>
          <w:iCs/>
        </w:rPr>
        <w:t>following</w:t>
      </w:r>
      <w:r w:rsidRPr="00D4296D">
        <w:t xml:space="preserve"> stroke over the first </w:t>
      </w:r>
      <w:r w:rsidR="00DC774F">
        <w:t>six</w:t>
      </w:r>
      <w:r w:rsidRPr="00D4296D">
        <w:t xml:space="preserve"> years of listing.  </w:t>
      </w:r>
      <w:r w:rsidRPr="00D4296D">
        <w:rPr>
          <w:iCs/>
        </w:rPr>
        <w:t>A number of coding errors and inappropriate assumptions were made by the resubmission in its estimates</w:t>
      </w:r>
      <w:r w:rsidR="00DC774F">
        <w:rPr>
          <w:iCs/>
        </w:rPr>
        <w:t xml:space="preserve"> and </w:t>
      </w:r>
      <w:r w:rsidRPr="00D4296D">
        <w:rPr>
          <w:iCs/>
        </w:rPr>
        <w:t>the results presented below were corrected:</w:t>
      </w:r>
    </w:p>
    <w:p w:rsidR="00D4296D" w:rsidRPr="00D4296D" w:rsidRDefault="00DC774F" w:rsidP="00D4296D">
      <w:pPr>
        <w:pStyle w:val="NormalIndent"/>
        <w:numPr>
          <w:ilvl w:val="0"/>
          <w:numId w:val="25"/>
        </w:numPr>
        <w:spacing w:after="40" w:line="240" w:lineRule="auto"/>
        <w:ind w:left="1077" w:hanging="357"/>
        <w:jc w:val="both"/>
        <w:rPr>
          <w:iCs/>
        </w:rPr>
      </w:pPr>
      <w:r>
        <w:rPr>
          <w:iCs/>
        </w:rPr>
        <w:t>for a</w:t>
      </w:r>
      <w:r w:rsidR="008467AD">
        <w:rPr>
          <w:iCs/>
        </w:rPr>
        <w:t xml:space="preserve">n </w:t>
      </w:r>
      <w:r w:rsidR="00D4296D" w:rsidRPr="00D4296D">
        <w:rPr>
          <w:iCs/>
        </w:rPr>
        <w:t xml:space="preserve">error </w:t>
      </w:r>
      <w:r w:rsidR="008467AD">
        <w:rPr>
          <w:iCs/>
        </w:rPr>
        <w:t>that</w:t>
      </w:r>
      <w:r w:rsidR="008467AD" w:rsidRPr="00D4296D">
        <w:rPr>
          <w:iCs/>
        </w:rPr>
        <w:t xml:space="preserve"> </w:t>
      </w:r>
      <w:r w:rsidR="00D4296D" w:rsidRPr="00D4296D">
        <w:rPr>
          <w:iCs/>
        </w:rPr>
        <w:t xml:space="preserve">led to a double counting of the number of new scripts in patients with </w:t>
      </w:r>
      <w:r w:rsidR="00CB6ACE">
        <w:rPr>
          <w:iCs/>
        </w:rPr>
        <w:t>lower limb focal spasticity</w:t>
      </w:r>
      <w:r w:rsidR="00D4296D" w:rsidRPr="00D4296D">
        <w:rPr>
          <w:iCs/>
        </w:rPr>
        <w:t xml:space="preserve"> in the resubmission’s estimates; and</w:t>
      </w:r>
    </w:p>
    <w:p w:rsidR="00D4296D" w:rsidRPr="00D4296D" w:rsidRDefault="00DC774F" w:rsidP="00D4296D">
      <w:pPr>
        <w:pStyle w:val="NormalIndent"/>
        <w:numPr>
          <w:ilvl w:val="0"/>
          <w:numId w:val="25"/>
        </w:numPr>
        <w:spacing w:after="120" w:line="240" w:lineRule="auto"/>
        <w:ind w:left="1077" w:hanging="357"/>
        <w:jc w:val="both"/>
        <w:rPr>
          <w:iCs/>
        </w:rPr>
      </w:pPr>
      <w:proofErr w:type="gramStart"/>
      <w:r>
        <w:rPr>
          <w:iCs/>
        </w:rPr>
        <w:t>u</w:t>
      </w:r>
      <w:r w:rsidR="00D4296D" w:rsidRPr="00D4296D">
        <w:rPr>
          <w:iCs/>
        </w:rPr>
        <w:t>sing</w:t>
      </w:r>
      <w:proofErr w:type="gramEnd"/>
      <w:r w:rsidR="00D4296D" w:rsidRPr="00D4296D">
        <w:rPr>
          <w:iCs/>
        </w:rPr>
        <w:t xml:space="preserve"> recalculated proportion of patients accessing RPBS script based on PBS item 10999X (BOTOX</w:t>
      </w:r>
      <w:r w:rsidR="00A63A1F">
        <w:rPr>
          <w:rFonts w:cs="Calibri"/>
          <w:iCs/>
        </w:rPr>
        <w:t>®</w:t>
      </w:r>
      <w:r w:rsidR="00D4296D" w:rsidRPr="00D4296D">
        <w:rPr>
          <w:iCs/>
        </w:rPr>
        <w:t xml:space="preserve"> in </w:t>
      </w:r>
      <w:r w:rsidR="00A63A1F">
        <w:rPr>
          <w:iCs/>
        </w:rPr>
        <w:t>upper limb focal spasticity</w:t>
      </w:r>
      <w:r w:rsidR="00D4296D" w:rsidRPr="00D4296D">
        <w:rPr>
          <w:iCs/>
        </w:rPr>
        <w:t>) of 0.6% instead of 0.3%.</w:t>
      </w:r>
    </w:p>
    <w:p w:rsidR="00D4296D" w:rsidRPr="00D4296D" w:rsidRDefault="00D4296D" w:rsidP="00D4296D">
      <w:pPr>
        <w:pStyle w:val="TableFooter"/>
        <w:keepNext/>
        <w:rPr>
          <w:b/>
          <w:bCs/>
          <w:iCs/>
          <w:sz w:val="20"/>
          <w:szCs w:val="20"/>
        </w:rPr>
      </w:pPr>
      <w:r w:rsidRPr="00D4296D">
        <w:rPr>
          <w:b/>
          <w:bCs/>
          <w:iCs/>
          <w:sz w:val="20"/>
          <w:szCs w:val="20"/>
        </w:rPr>
        <w:t>Table 15: Estimated net cost of BOTOX</w:t>
      </w:r>
      <w:r w:rsidR="00A63A1F" w:rsidRPr="00A63A1F">
        <w:rPr>
          <w:b/>
          <w:bCs/>
          <w:iCs/>
          <w:sz w:val="20"/>
          <w:szCs w:val="20"/>
          <w:vertAlign w:val="superscript"/>
        </w:rPr>
        <w:t>®</w:t>
      </w:r>
      <w:r w:rsidRPr="00D4296D">
        <w:rPr>
          <w:b/>
          <w:bCs/>
          <w:iCs/>
          <w:sz w:val="20"/>
          <w:szCs w:val="20"/>
        </w:rPr>
        <w:t xml:space="preserve"> to the PBS/RPBS (LLFS post-stroke population)</w:t>
      </w:r>
    </w:p>
    <w:tbl>
      <w:tblPr>
        <w:tblStyle w:val="TableGrid"/>
        <w:tblW w:w="9067" w:type="dxa"/>
        <w:jc w:val="center"/>
        <w:tblLayout w:type="fixed"/>
        <w:tblCellMar>
          <w:left w:w="28" w:type="dxa"/>
          <w:right w:w="28" w:type="dxa"/>
        </w:tblCellMar>
        <w:tblLook w:val="04A0" w:firstRow="1" w:lastRow="0" w:firstColumn="1" w:lastColumn="0" w:noHBand="0" w:noVBand="1"/>
        <w:tblCaption w:val="Estimated net cost of BOTOX® to the PBS/RPBS (LLFS post-stroke population)"/>
      </w:tblPr>
      <w:tblGrid>
        <w:gridCol w:w="3114"/>
        <w:gridCol w:w="992"/>
        <w:gridCol w:w="992"/>
        <w:gridCol w:w="992"/>
        <w:gridCol w:w="992"/>
        <w:gridCol w:w="992"/>
        <w:gridCol w:w="993"/>
      </w:tblGrid>
      <w:tr w:rsidR="00D4296D" w:rsidRPr="00D4296D" w:rsidTr="00440603">
        <w:trPr>
          <w:cantSplit/>
          <w:trHeight w:val="255"/>
          <w:tblHeader/>
          <w:jc w:val="center"/>
        </w:trPr>
        <w:tc>
          <w:tcPr>
            <w:tcW w:w="3114" w:type="dxa"/>
            <w:noWrap/>
            <w:vAlign w:val="center"/>
            <w:hideMark/>
          </w:tcPr>
          <w:p w:rsidR="00D4296D" w:rsidRPr="00D4296D" w:rsidRDefault="00D4296D" w:rsidP="00D4296D">
            <w:pPr>
              <w:pStyle w:val="TableFooter"/>
              <w:keepNext/>
              <w:jc w:val="left"/>
              <w:rPr>
                <w:b/>
                <w:bCs/>
                <w:sz w:val="20"/>
                <w:szCs w:val="20"/>
              </w:rPr>
            </w:pPr>
            <w:r w:rsidRPr="00D4296D">
              <w:rPr>
                <w:b/>
                <w:bCs/>
                <w:sz w:val="20"/>
                <w:szCs w:val="20"/>
              </w:rPr>
              <w:t>Estimates</w:t>
            </w:r>
          </w:p>
        </w:tc>
        <w:tc>
          <w:tcPr>
            <w:tcW w:w="992"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1</w:t>
            </w:r>
          </w:p>
          <w:p w:rsidR="00D4296D" w:rsidRPr="00D4296D" w:rsidRDefault="00D4296D" w:rsidP="00D4296D">
            <w:pPr>
              <w:pStyle w:val="TableFooter"/>
              <w:keepNext/>
              <w:jc w:val="center"/>
              <w:rPr>
                <w:iCs/>
                <w:sz w:val="20"/>
                <w:szCs w:val="20"/>
              </w:rPr>
            </w:pPr>
            <w:r w:rsidRPr="00D4296D">
              <w:rPr>
                <w:b/>
                <w:iCs/>
                <w:sz w:val="20"/>
                <w:szCs w:val="20"/>
              </w:rPr>
              <w:t>(2019)</w:t>
            </w:r>
          </w:p>
        </w:tc>
        <w:tc>
          <w:tcPr>
            <w:tcW w:w="992"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2</w:t>
            </w:r>
          </w:p>
          <w:p w:rsidR="00D4296D" w:rsidRPr="00D4296D" w:rsidRDefault="00D4296D" w:rsidP="00D4296D">
            <w:pPr>
              <w:pStyle w:val="TableFooter"/>
              <w:keepNext/>
              <w:jc w:val="center"/>
              <w:rPr>
                <w:iCs/>
                <w:sz w:val="20"/>
                <w:szCs w:val="20"/>
              </w:rPr>
            </w:pPr>
            <w:r w:rsidRPr="00D4296D">
              <w:rPr>
                <w:b/>
                <w:iCs/>
                <w:sz w:val="20"/>
                <w:szCs w:val="20"/>
              </w:rPr>
              <w:t>(2020)</w:t>
            </w:r>
          </w:p>
        </w:tc>
        <w:tc>
          <w:tcPr>
            <w:tcW w:w="992"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3</w:t>
            </w:r>
          </w:p>
          <w:p w:rsidR="00D4296D" w:rsidRPr="00D4296D" w:rsidRDefault="00D4296D" w:rsidP="00D4296D">
            <w:pPr>
              <w:pStyle w:val="TableFooter"/>
              <w:keepNext/>
              <w:jc w:val="center"/>
              <w:rPr>
                <w:iCs/>
                <w:sz w:val="20"/>
                <w:szCs w:val="20"/>
              </w:rPr>
            </w:pPr>
            <w:r w:rsidRPr="00D4296D">
              <w:rPr>
                <w:b/>
                <w:iCs/>
                <w:sz w:val="20"/>
                <w:szCs w:val="20"/>
              </w:rPr>
              <w:t>(2021)</w:t>
            </w:r>
          </w:p>
        </w:tc>
        <w:tc>
          <w:tcPr>
            <w:tcW w:w="992"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4</w:t>
            </w:r>
          </w:p>
          <w:p w:rsidR="00D4296D" w:rsidRPr="00D4296D" w:rsidRDefault="00D4296D" w:rsidP="00D4296D">
            <w:pPr>
              <w:pStyle w:val="TableFooter"/>
              <w:keepNext/>
              <w:jc w:val="center"/>
              <w:rPr>
                <w:iCs/>
                <w:sz w:val="20"/>
                <w:szCs w:val="20"/>
              </w:rPr>
            </w:pPr>
            <w:r w:rsidRPr="00D4296D">
              <w:rPr>
                <w:b/>
                <w:iCs/>
                <w:sz w:val="20"/>
                <w:szCs w:val="20"/>
              </w:rPr>
              <w:t>(2022)</w:t>
            </w:r>
          </w:p>
        </w:tc>
        <w:tc>
          <w:tcPr>
            <w:tcW w:w="992"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5</w:t>
            </w:r>
          </w:p>
          <w:p w:rsidR="00D4296D" w:rsidRPr="00D4296D" w:rsidRDefault="00D4296D" w:rsidP="00D4296D">
            <w:pPr>
              <w:pStyle w:val="TableFooter"/>
              <w:keepNext/>
              <w:jc w:val="center"/>
              <w:rPr>
                <w:iCs/>
                <w:sz w:val="20"/>
                <w:szCs w:val="20"/>
              </w:rPr>
            </w:pPr>
            <w:r w:rsidRPr="00D4296D">
              <w:rPr>
                <w:b/>
                <w:iCs/>
                <w:sz w:val="20"/>
                <w:szCs w:val="20"/>
              </w:rPr>
              <w:t>(2023)</w:t>
            </w:r>
          </w:p>
        </w:tc>
        <w:tc>
          <w:tcPr>
            <w:tcW w:w="993" w:type="dxa"/>
            <w:noWrap/>
            <w:vAlign w:val="center"/>
            <w:hideMark/>
          </w:tcPr>
          <w:p w:rsidR="00D4296D" w:rsidRPr="00D4296D" w:rsidRDefault="00D4296D" w:rsidP="00D4296D">
            <w:pPr>
              <w:pStyle w:val="TableFooter"/>
              <w:keepNext/>
              <w:jc w:val="center"/>
              <w:rPr>
                <w:b/>
                <w:iCs/>
                <w:sz w:val="20"/>
                <w:szCs w:val="20"/>
              </w:rPr>
            </w:pPr>
            <w:r w:rsidRPr="00D4296D">
              <w:rPr>
                <w:b/>
                <w:iCs/>
                <w:sz w:val="20"/>
                <w:szCs w:val="20"/>
              </w:rPr>
              <w:t>Year 6</w:t>
            </w:r>
          </w:p>
          <w:p w:rsidR="00D4296D" w:rsidRPr="00D4296D" w:rsidRDefault="00D4296D" w:rsidP="00D4296D">
            <w:pPr>
              <w:pStyle w:val="TableFooter"/>
              <w:keepNext/>
              <w:jc w:val="center"/>
              <w:rPr>
                <w:iCs/>
                <w:sz w:val="20"/>
                <w:szCs w:val="20"/>
              </w:rPr>
            </w:pPr>
            <w:r w:rsidRPr="00D4296D">
              <w:rPr>
                <w:b/>
                <w:iCs/>
                <w:sz w:val="20"/>
                <w:szCs w:val="20"/>
              </w:rPr>
              <w:t>(2024)</w:t>
            </w:r>
          </w:p>
        </w:tc>
      </w:tr>
      <w:tr w:rsidR="00D4296D" w:rsidRPr="00D4296D" w:rsidTr="00D4296D">
        <w:trPr>
          <w:trHeight w:val="255"/>
          <w:jc w:val="center"/>
        </w:trPr>
        <w:tc>
          <w:tcPr>
            <w:tcW w:w="3114" w:type="dxa"/>
            <w:noWrap/>
            <w:vAlign w:val="center"/>
          </w:tcPr>
          <w:p w:rsidR="00D4296D" w:rsidRPr="00D4296D" w:rsidRDefault="00D4296D" w:rsidP="00D4296D">
            <w:pPr>
              <w:pStyle w:val="TableFooter"/>
              <w:keepNext/>
              <w:jc w:val="left"/>
              <w:rPr>
                <w:sz w:val="20"/>
                <w:szCs w:val="20"/>
              </w:rPr>
            </w:pPr>
            <w:r w:rsidRPr="00D4296D">
              <w:rPr>
                <w:sz w:val="20"/>
                <w:szCs w:val="20"/>
              </w:rPr>
              <w:t>Total numbers of vials for BOTOX</w:t>
            </w:r>
            <w:r w:rsidR="00A63A1F" w:rsidRPr="00A63A1F">
              <w:rPr>
                <w:sz w:val="20"/>
                <w:szCs w:val="20"/>
                <w:vertAlign w:val="superscript"/>
              </w:rPr>
              <w:t>®</w:t>
            </w:r>
            <w:r w:rsidRPr="00D4296D">
              <w:rPr>
                <w:sz w:val="20"/>
                <w:szCs w:val="20"/>
              </w:rPr>
              <w:t xml:space="preserve"> for ULFS following stroke</w:t>
            </w:r>
          </w:p>
        </w:tc>
        <w:tc>
          <w:tcPr>
            <w:tcW w:w="992"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c>
          <w:tcPr>
            <w:tcW w:w="992"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c>
          <w:tcPr>
            <w:tcW w:w="992"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c>
          <w:tcPr>
            <w:tcW w:w="992"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c>
          <w:tcPr>
            <w:tcW w:w="992"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c>
          <w:tcPr>
            <w:tcW w:w="993" w:type="dxa"/>
            <w:noWrap/>
            <w:vAlign w:val="center"/>
          </w:tcPr>
          <w:p w:rsidR="00D4296D" w:rsidRPr="001C21E3" w:rsidRDefault="001C21E3" w:rsidP="00D4296D">
            <w:pPr>
              <w:pStyle w:val="TableFooter"/>
              <w:keepNext/>
              <w:jc w:val="center"/>
              <w:rPr>
                <w:b/>
                <w:iCs/>
                <w:sz w:val="20"/>
                <w:szCs w:val="20"/>
                <w:highlight w:val="black"/>
              </w:rPr>
            </w:pPr>
            <w:r>
              <w:rPr>
                <w:noProof/>
                <w:color w:val="000000"/>
                <w:sz w:val="20"/>
                <w:szCs w:val="20"/>
                <w:highlight w:val="black"/>
              </w:rPr>
              <w:t>''''''''''''''''''</w:t>
            </w:r>
          </w:p>
        </w:tc>
      </w:tr>
      <w:tr w:rsidR="00D4296D" w:rsidRPr="00D4296D" w:rsidTr="00D4296D">
        <w:trPr>
          <w:trHeight w:val="255"/>
          <w:jc w:val="center"/>
        </w:trPr>
        <w:tc>
          <w:tcPr>
            <w:tcW w:w="3114" w:type="dxa"/>
            <w:noWrap/>
            <w:vAlign w:val="center"/>
            <w:hideMark/>
          </w:tcPr>
          <w:p w:rsidR="00D4296D" w:rsidRPr="00D4296D" w:rsidRDefault="00D4296D" w:rsidP="00D4296D">
            <w:pPr>
              <w:pStyle w:val="Tabletext"/>
              <w:keepNext/>
              <w:rPr>
                <w:szCs w:val="20"/>
                <w:vertAlign w:val="superscript"/>
              </w:rPr>
            </w:pPr>
            <w:r w:rsidRPr="00D4296D">
              <w:rPr>
                <w:szCs w:val="20"/>
              </w:rPr>
              <w:t xml:space="preserve">Total number of vial numbers with introduction of LLFS post </w:t>
            </w:r>
            <w:proofErr w:type="spellStart"/>
            <w:r w:rsidRPr="00D4296D">
              <w:rPr>
                <w:szCs w:val="20"/>
              </w:rPr>
              <w:t>stroke</w:t>
            </w:r>
            <w:r w:rsidRPr="00D4296D">
              <w:rPr>
                <w:szCs w:val="20"/>
                <w:vertAlign w:val="superscript"/>
              </w:rPr>
              <w:t>a</w:t>
            </w:r>
            <w:proofErr w:type="spellEnd"/>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3"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r>
      <w:tr w:rsidR="00D4296D" w:rsidRPr="00D4296D" w:rsidTr="00D4296D">
        <w:trPr>
          <w:trHeight w:val="255"/>
          <w:jc w:val="center"/>
        </w:trPr>
        <w:tc>
          <w:tcPr>
            <w:tcW w:w="3114" w:type="dxa"/>
            <w:noWrap/>
            <w:vAlign w:val="center"/>
            <w:hideMark/>
          </w:tcPr>
          <w:p w:rsidR="00D4296D" w:rsidRPr="00D4296D" w:rsidRDefault="00D4296D" w:rsidP="00D4296D">
            <w:pPr>
              <w:pStyle w:val="Tabletext"/>
              <w:keepNext/>
              <w:rPr>
                <w:iCs/>
                <w:szCs w:val="20"/>
                <w:vertAlign w:val="superscript"/>
              </w:rPr>
            </w:pPr>
            <w:r w:rsidRPr="00D4296D">
              <w:rPr>
                <w:iCs/>
                <w:szCs w:val="20"/>
              </w:rPr>
              <w:t>Total script numbers</w:t>
            </w:r>
            <w:r w:rsidRPr="00D4296D">
              <w:rPr>
                <w:szCs w:val="20"/>
                <w:vertAlign w:val="superscript"/>
              </w:rPr>
              <w:t xml:space="preserve"> a, b</w:t>
            </w:r>
            <w:r w:rsidRPr="00D4296D" w:rsidDel="00D3435F">
              <w:rPr>
                <w:iCs/>
                <w:szCs w:val="20"/>
                <w:vertAlign w:val="superscript"/>
              </w:rPr>
              <w:t xml:space="preserve"> </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2"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c>
          <w:tcPr>
            <w:tcW w:w="993" w:type="dxa"/>
            <w:noWrap/>
            <w:vAlign w:val="center"/>
            <w:hideMark/>
          </w:tcPr>
          <w:p w:rsidR="00D4296D" w:rsidRPr="001C21E3" w:rsidRDefault="001C21E3" w:rsidP="00D4296D">
            <w:pPr>
              <w:pStyle w:val="Tabletext"/>
              <w:keepNext/>
              <w:jc w:val="center"/>
              <w:rPr>
                <w:iCs/>
                <w:szCs w:val="20"/>
                <w:highlight w:val="black"/>
              </w:rPr>
            </w:pPr>
            <w:r>
              <w:rPr>
                <w:iCs/>
                <w:noProof/>
                <w:color w:val="000000"/>
                <w:szCs w:val="20"/>
                <w:highlight w:val="black"/>
              </w:rPr>
              <w:t>'''''''''''''''</w:t>
            </w:r>
          </w:p>
        </w:tc>
      </w:tr>
      <w:tr w:rsidR="00D4296D" w:rsidRPr="00D4296D" w:rsidTr="00D4296D">
        <w:trPr>
          <w:trHeight w:val="255"/>
          <w:jc w:val="center"/>
        </w:trPr>
        <w:tc>
          <w:tcPr>
            <w:tcW w:w="3114" w:type="dxa"/>
            <w:noWrap/>
            <w:vAlign w:val="center"/>
          </w:tcPr>
          <w:p w:rsidR="00D4296D" w:rsidRPr="00D4296D" w:rsidRDefault="00D4296D" w:rsidP="00D4296D">
            <w:pPr>
              <w:pStyle w:val="Tabletext"/>
              <w:keepNext/>
              <w:rPr>
                <w:iCs/>
                <w:szCs w:val="20"/>
                <w:vertAlign w:val="superscript"/>
              </w:rPr>
            </w:pPr>
            <w:r w:rsidRPr="00D4296D">
              <w:rPr>
                <w:iCs/>
                <w:szCs w:val="20"/>
              </w:rPr>
              <w:t>Patient co-payment</w:t>
            </w:r>
            <w:r w:rsidRPr="00D4296D">
              <w:rPr>
                <w:szCs w:val="20"/>
                <w:vertAlign w:val="superscript"/>
              </w:rPr>
              <w:t xml:space="preserve"> a, b</w:t>
            </w:r>
          </w:p>
        </w:tc>
        <w:tc>
          <w:tcPr>
            <w:tcW w:w="992"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3" w:type="dxa"/>
            <w:noWrap/>
            <w:vAlign w:val="center"/>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r>
      <w:tr w:rsidR="00D4296D" w:rsidRPr="00D4296D" w:rsidTr="00D4296D">
        <w:trPr>
          <w:trHeight w:val="255"/>
          <w:jc w:val="center"/>
        </w:trPr>
        <w:tc>
          <w:tcPr>
            <w:tcW w:w="3114" w:type="dxa"/>
            <w:noWrap/>
            <w:vAlign w:val="center"/>
          </w:tcPr>
          <w:p w:rsidR="00D4296D" w:rsidRPr="00D4296D" w:rsidRDefault="00D4296D" w:rsidP="00D4296D">
            <w:pPr>
              <w:pStyle w:val="Tabletext"/>
              <w:keepNext/>
              <w:rPr>
                <w:iCs/>
                <w:szCs w:val="20"/>
                <w:vertAlign w:val="superscript"/>
              </w:rPr>
            </w:pPr>
            <w:r w:rsidRPr="00D4296D">
              <w:rPr>
                <w:szCs w:val="20"/>
              </w:rPr>
              <w:t xml:space="preserve">PBS cost (net </w:t>
            </w:r>
            <w:proofErr w:type="spellStart"/>
            <w:r w:rsidRPr="00D4296D">
              <w:rPr>
                <w:szCs w:val="20"/>
              </w:rPr>
              <w:t>copayments</w:t>
            </w:r>
            <w:proofErr w:type="spellEnd"/>
            <w:r w:rsidRPr="00D4296D">
              <w:rPr>
                <w:szCs w:val="20"/>
              </w:rPr>
              <w:t>)</w:t>
            </w:r>
            <w:r w:rsidRPr="00D4296D">
              <w:rPr>
                <w:szCs w:val="20"/>
                <w:vertAlign w:val="superscript"/>
              </w:rPr>
              <w:t>a, b</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3"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r>
      <w:tr w:rsidR="00D4296D" w:rsidRPr="00D4296D" w:rsidTr="00D4296D">
        <w:trPr>
          <w:trHeight w:val="255"/>
          <w:jc w:val="center"/>
        </w:trPr>
        <w:tc>
          <w:tcPr>
            <w:tcW w:w="3114" w:type="dxa"/>
            <w:noWrap/>
            <w:vAlign w:val="center"/>
          </w:tcPr>
          <w:p w:rsidR="00D4296D" w:rsidRPr="00D4296D" w:rsidRDefault="00D4296D" w:rsidP="00D4296D">
            <w:pPr>
              <w:pStyle w:val="Tabletext"/>
              <w:keepNext/>
              <w:rPr>
                <w:iCs/>
                <w:szCs w:val="20"/>
                <w:vertAlign w:val="superscript"/>
              </w:rPr>
            </w:pPr>
            <w:r w:rsidRPr="00D4296D">
              <w:rPr>
                <w:szCs w:val="20"/>
                <w:lang w:eastAsia="zh-CN"/>
              </w:rPr>
              <w:t xml:space="preserve">RBPS cost (net </w:t>
            </w:r>
            <w:proofErr w:type="spellStart"/>
            <w:r w:rsidRPr="00D4296D">
              <w:rPr>
                <w:szCs w:val="20"/>
                <w:lang w:eastAsia="zh-CN"/>
              </w:rPr>
              <w:t>copayment</w:t>
            </w:r>
            <w:proofErr w:type="spellEnd"/>
            <w:r w:rsidRPr="00D4296D">
              <w:rPr>
                <w:szCs w:val="20"/>
                <w:lang w:eastAsia="zh-CN"/>
              </w:rPr>
              <w:t>)</w:t>
            </w:r>
            <w:r w:rsidRPr="00D4296D">
              <w:rPr>
                <w:szCs w:val="20"/>
                <w:vertAlign w:val="superscript"/>
                <w:lang w:eastAsia="zh-CN"/>
              </w:rPr>
              <w:t>a, b, c</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2"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c>
          <w:tcPr>
            <w:tcW w:w="993" w:type="dxa"/>
            <w:noWrap/>
            <w:vAlign w:val="center"/>
          </w:tcPr>
          <w:p w:rsidR="00D4296D" w:rsidRPr="00D4296D" w:rsidRDefault="00D4296D" w:rsidP="00D4296D">
            <w:pPr>
              <w:pStyle w:val="Tabletext"/>
              <w:keepNext/>
              <w:jc w:val="center"/>
              <w:rPr>
                <w:iCs/>
                <w:szCs w:val="20"/>
              </w:rPr>
            </w:pPr>
            <w:r w:rsidRPr="00D4296D">
              <w:rPr>
                <w:iCs/>
                <w:szCs w:val="20"/>
                <w:lang w:eastAsia="zh-CN"/>
              </w:rPr>
              <w:t>$</w:t>
            </w:r>
            <w:r w:rsidR="001C21E3">
              <w:rPr>
                <w:iCs/>
                <w:noProof/>
                <w:color w:val="000000"/>
                <w:szCs w:val="20"/>
                <w:highlight w:val="black"/>
                <w:lang w:eastAsia="zh-CN"/>
              </w:rPr>
              <w:t>'''''''''''''''''''</w:t>
            </w:r>
          </w:p>
        </w:tc>
      </w:tr>
      <w:tr w:rsidR="00D4296D" w:rsidRPr="00D4296D" w:rsidTr="00D4296D">
        <w:trPr>
          <w:trHeight w:val="255"/>
          <w:jc w:val="center"/>
        </w:trPr>
        <w:tc>
          <w:tcPr>
            <w:tcW w:w="3114" w:type="dxa"/>
            <w:noWrap/>
            <w:vAlign w:val="center"/>
            <w:hideMark/>
          </w:tcPr>
          <w:p w:rsidR="00D4296D" w:rsidRPr="00D4296D" w:rsidRDefault="00D4296D" w:rsidP="00D4296D">
            <w:pPr>
              <w:pStyle w:val="Tabletext"/>
              <w:keepNext/>
              <w:rPr>
                <w:iCs/>
                <w:szCs w:val="20"/>
              </w:rPr>
            </w:pPr>
            <w:r w:rsidRPr="00D4296D">
              <w:rPr>
                <w:iCs/>
                <w:szCs w:val="20"/>
              </w:rPr>
              <w:t>Net PBS/RPBS cost</w:t>
            </w:r>
            <w:r w:rsidRPr="00D4296D">
              <w:rPr>
                <w:iCs/>
                <w:szCs w:val="20"/>
                <w:vertAlign w:val="superscript"/>
              </w:rPr>
              <w:t>a, b, c</w:t>
            </w:r>
          </w:p>
        </w:tc>
        <w:tc>
          <w:tcPr>
            <w:tcW w:w="992"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2"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c>
          <w:tcPr>
            <w:tcW w:w="993" w:type="dxa"/>
            <w:noWrap/>
            <w:vAlign w:val="center"/>
            <w:hideMark/>
          </w:tcPr>
          <w:p w:rsidR="00D4296D" w:rsidRPr="00D4296D" w:rsidRDefault="00D4296D" w:rsidP="00D4296D">
            <w:pPr>
              <w:pStyle w:val="Tabletext"/>
              <w:keepNext/>
              <w:jc w:val="center"/>
              <w:rPr>
                <w:iCs/>
                <w:szCs w:val="20"/>
              </w:rPr>
            </w:pPr>
            <w:r w:rsidRPr="00D4296D">
              <w:rPr>
                <w:iCs/>
                <w:szCs w:val="20"/>
              </w:rPr>
              <w:t>$</w:t>
            </w:r>
            <w:r w:rsidR="001C21E3">
              <w:rPr>
                <w:iCs/>
                <w:noProof/>
                <w:color w:val="000000"/>
                <w:szCs w:val="20"/>
                <w:highlight w:val="black"/>
              </w:rPr>
              <w:t>''''''''''''''''''''''''''</w:t>
            </w:r>
          </w:p>
        </w:tc>
      </w:tr>
      <w:tr w:rsidR="00D4296D" w:rsidRPr="00D4296D" w:rsidTr="00D4296D">
        <w:trPr>
          <w:trHeight w:val="255"/>
          <w:jc w:val="center"/>
        </w:trPr>
        <w:tc>
          <w:tcPr>
            <w:tcW w:w="3114" w:type="dxa"/>
            <w:noWrap/>
            <w:vAlign w:val="center"/>
          </w:tcPr>
          <w:p w:rsidR="00D4296D" w:rsidRPr="00D4296D" w:rsidRDefault="00D4296D" w:rsidP="00D4296D">
            <w:pPr>
              <w:pStyle w:val="Tabletext"/>
              <w:keepNext/>
              <w:rPr>
                <w:b/>
                <w:bCs/>
                <w:iCs/>
                <w:szCs w:val="20"/>
              </w:rPr>
            </w:pPr>
            <w:r w:rsidRPr="00D4296D">
              <w:rPr>
                <w:szCs w:val="20"/>
                <w:lang w:eastAsia="zh-CN"/>
              </w:rPr>
              <w:t xml:space="preserve">Net MBS </w:t>
            </w:r>
            <w:proofErr w:type="spellStart"/>
            <w:r w:rsidRPr="00D4296D">
              <w:rPr>
                <w:szCs w:val="20"/>
                <w:lang w:eastAsia="zh-CN"/>
              </w:rPr>
              <w:t>cost</w:t>
            </w:r>
            <w:r w:rsidRPr="00D4296D">
              <w:rPr>
                <w:szCs w:val="20"/>
                <w:vertAlign w:val="superscript"/>
                <w:lang w:eastAsia="zh-CN"/>
              </w:rPr>
              <w:t>a,</w:t>
            </w:r>
            <w:r w:rsidRPr="00D4296D">
              <w:rPr>
                <w:iCs/>
                <w:szCs w:val="20"/>
                <w:vertAlign w:val="superscript"/>
              </w:rPr>
              <w:t>b</w:t>
            </w:r>
            <w:proofErr w:type="spellEnd"/>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3"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r>
      <w:tr w:rsidR="00D4296D" w:rsidRPr="00D4296D" w:rsidTr="00D4296D">
        <w:trPr>
          <w:trHeight w:val="255"/>
          <w:jc w:val="center"/>
        </w:trPr>
        <w:tc>
          <w:tcPr>
            <w:tcW w:w="3114" w:type="dxa"/>
            <w:noWrap/>
            <w:vAlign w:val="center"/>
          </w:tcPr>
          <w:p w:rsidR="00D4296D" w:rsidRPr="00D4296D" w:rsidRDefault="00D4296D" w:rsidP="00D4296D">
            <w:pPr>
              <w:pStyle w:val="Tabletext"/>
              <w:keepNext/>
              <w:rPr>
                <w:iCs/>
                <w:szCs w:val="20"/>
              </w:rPr>
            </w:pPr>
            <w:r w:rsidRPr="00D4296D">
              <w:rPr>
                <w:szCs w:val="20"/>
                <w:lang w:eastAsia="zh-CN"/>
              </w:rPr>
              <w:t xml:space="preserve">Net cost to health budget </w:t>
            </w:r>
            <w:r w:rsidRPr="00D4296D">
              <w:rPr>
                <w:iCs/>
                <w:szCs w:val="20"/>
                <w:vertAlign w:val="superscript"/>
              </w:rPr>
              <w:t>a, b, c</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 xml:space="preserve"> $</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w:t>
            </w:r>
            <w:r w:rsidR="001C21E3">
              <w:rPr>
                <w:noProof/>
                <w:color w:val="000000"/>
                <w:highlight w:val="black"/>
              </w:rPr>
              <w:t>'''''''''''''''''''''''''</w:t>
            </w:r>
            <w:r w:rsidRPr="00D4296D">
              <w:t xml:space="preserve"> </w:t>
            </w:r>
          </w:p>
        </w:tc>
        <w:tc>
          <w:tcPr>
            <w:tcW w:w="992" w:type="dxa"/>
            <w:noWrap/>
          </w:tcPr>
          <w:p w:rsidR="00D4296D" w:rsidRPr="00D4296D" w:rsidRDefault="00D4296D" w:rsidP="00D4296D">
            <w:pPr>
              <w:pStyle w:val="Tabletext"/>
              <w:keepNext/>
              <w:jc w:val="center"/>
              <w:rPr>
                <w:iCs/>
                <w:szCs w:val="20"/>
              </w:rPr>
            </w:pPr>
            <w:r w:rsidRPr="00D4296D">
              <w:t>$</w:t>
            </w:r>
            <w:r w:rsidR="001C21E3">
              <w:rPr>
                <w:noProof/>
                <w:color w:val="000000"/>
                <w:highlight w:val="black"/>
              </w:rPr>
              <w:t>'''''''''''''''''''''''''</w:t>
            </w:r>
            <w:r w:rsidRPr="00D4296D">
              <w:t xml:space="preserve"> </w:t>
            </w:r>
          </w:p>
        </w:tc>
        <w:tc>
          <w:tcPr>
            <w:tcW w:w="993" w:type="dxa"/>
            <w:noWrap/>
          </w:tcPr>
          <w:p w:rsidR="00D4296D" w:rsidRPr="00D4296D" w:rsidRDefault="00D4296D" w:rsidP="00D4296D">
            <w:pPr>
              <w:pStyle w:val="Tabletext"/>
              <w:keepNext/>
              <w:jc w:val="center"/>
              <w:rPr>
                <w:iCs/>
                <w:szCs w:val="20"/>
              </w:rPr>
            </w:pPr>
            <w:r w:rsidRPr="00D4296D">
              <w:t>$</w:t>
            </w:r>
            <w:r w:rsidR="001C21E3">
              <w:rPr>
                <w:noProof/>
                <w:color w:val="000000"/>
                <w:highlight w:val="black"/>
              </w:rPr>
              <w:t>'''''''''''''''''''''''</w:t>
            </w:r>
            <w:r w:rsidRPr="00D4296D">
              <w:t xml:space="preserve"> </w:t>
            </w:r>
          </w:p>
        </w:tc>
      </w:tr>
    </w:tbl>
    <w:p w:rsidR="00D4296D" w:rsidRPr="00D4296D" w:rsidRDefault="00D4296D" w:rsidP="00D4296D">
      <w:pPr>
        <w:pStyle w:val="TableFooter"/>
        <w:rPr>
          <w:iCs/>
        </w:rPr>
      </w:pPr>
      <w:r w:rsidRPr="00D4296D">
        <w:rPr>
          <w:iCs/>
        </w:rPr>
        <w:t>Abbreviations: LLFS = lower limb focal spasticity</w:t>
      </w:r>
    </w:p>
    <w:p w:rsidR="00D4296D" w:rsidRPr="00D4296D" w:rsidRDefault="00D4296D" w:rsidP="00D4296D">
      <w:pPr>
        <w:pStyle w:val="TableFooter"/>
        <w:rPr>
          <w:iCs/>
        </w:rPr>
      </w:pPr>
      <w:r w:rsidRPr="00D4296D">
        <w:rPr>
          <w:iCs/>
        </w:rPr>
        <w:t>Italics indicate results generated during the evaluation using the “Financial implications” spreadsheet provided with the resubmission.</w:t>
      </w:r>
    </w:p>
    <w:p w:rsidR="00D4296D" w:rsidRPr="00D4296D" w:rsidRDefault="00D4296D" w:rsidP="00D4296D">
      <w:pPr>
        <w:pStyle w:val="TableFooter"/>
        <w:rPr>
          <w:iCs/>
        </w:rPr>
      </w:pPr>
      <w:proofErr w:type="gramStart"/>
      <w:r w:rsidRPr="00D4296D">
        <w:rPr>
          <w:iCs/>
          <w:vertAlign w:val="superscript"/>
        </w:rPr>
        <w:t>a</w:t>
      </w:r>
      <w:proofErr w:type="gramEnd"/>
      <w:r w:rsidRPr="00D4296D">
        <w:rPr>
          <w:iCs/>
          <w:vertAlign w:val="superscript"/>
        </w:rPr>
        <w:tab/>
      </w:r>
      <w:r w:rsidRPr="00D4296D">
        <w:rPr>
          <w:iCs/>
        </w:rPr>
        <w:t>calculation using the</w:t>
      </w:r>
      <w:r w:rsidR="00B252F0">
        <w:rPr>
          <w:iCs/>
        </w:rPr>
        <w:t xml:space="preserve"> corrected value</w:t>
      </w:r>
      <w:r w:rsidRPr="00D4296D">
        <w:rPr>
          <w:iCs/>
        </w:rPr>
        <w:t xml:space="preserve"> </w:t>
      </w:r>
      <w:r w:rsidR="001C21E3">
        <w:rPr>
          <w:iCs/>
          <w:noProof/>
          <w:color w:val="000000"/>
          <w:highlight w:val="black"/>
        </w:rPr>
        <w:t>''''''''</w:t>
      </w:r>
      <w:r w:rsidRPr="00D4296D">
        <w:rPr>
          <w:iCs/>
        </w:rPr>
        <w:t xml:space="preserve">% annual increase instead of </w:t>
      </w:r>
      <w:r w:rsidR="001C21E3">
        <w:rPr>
          <w:iCs/>
          <w:noProof/>
          <w:color w:val="000000"/>
          <w:highlight w:val="black"/>
        </w:rPr>
        <w:t>''''''''</w:t>
      </w:r>
      <w:r w:rsidRPr="00D4296D">
        <w:rPr>
          <w:iCs/>
        </w:rPr>
        <w:t>%, Excel file ‘Financial implications’.</w:t>
      </w:r>
    </w:p>
    <w:p w:rsidR="00D4296D" w:rsidRPr="00D4296D" w:rsidRDefault="00D4296D" w:rsidP="00D4296D">
      <w:pPr>
        <w:pStyle w:val="TableFooter"/>
        <w:rPr>
          <w:iCs/>
        </w:rPr>
      </w:pPr>
      <w:proofErr w:type="gramStart"/>
      <w:r w:rsidRPr="00D4296D">
        <w:rPr>
          <w:iCs/>
          <w:vertAlign w:val="superscript"/>
        </w:rPr>
        <w:t>b</w:t>
      </w:r>
      <w:proofErr w:type="gramEnd"/>
      <w:r w:rsidRPr="00D4296D">
        <w:rPr>
          <w:iCs/>
          <w:vertAlign w:val="superscript"/>
        </w:rPr>
        <w:tab/>
      </w:r>
      <w:r w:rsidRPr="00D4296D">
        <w:rPr>
          <w:iCs/>
        </w:rPr>
        <w:t xml:space="preserve">amended during the evaluation to only reflect estimates for the requested population of patients with LLFS post-stroke </w:t>
      </w:r>
    </w:p>
    <w:p w:rsidR="00D4296D" w:rsidRPr="00D4296D" w:rsidRDefault="00D4296D" w:rsidP="00D4296D">
      <w:pPr>
        <w:pStyle w:val="TableFooter"/>
        <w:rPr>
          <w:iCs/>
        </w:rPr>
      </w:pPr>
      <w:proofErr w:type="gramStart"/>
      <w:r w:rsidRPr="00D4296D">
        <w:rPr>
          <w:iCs/>
          <w:vertAlign w:val="superscript"/>
        </w:rPr>
        <w:t>c</w:t>
      </w:r>
      <w:proofErr w:type="gramEnd"/>
      <w:r w:rsidRPr="00D4296D">
        <w:rPr>
          <w:iCs/>
          <w:vertAlign w:val="superscript"/>
        </w:rPr>
        <w:tab/>
      </w:r>
      <w:r w:rsidRPr="00D4296D">
        <w:rPr>
          <w:iCs/>
        </w:rPr>
        <w:t xml:space="preserve"> RPBS cost estimated from the 0.6% access rate versus PBS.</w:t>
      </w:r>
    </w:p>
    <w:p w:rsidR="00D4296D" w:rsidRPr="00D4296D" w:rsidRDefault="00D4296D" w:rsidP="00D4296D">
      <w:pPr>
        <w:pStyle w:val="TableFooter"/>
        <w:rPr>
          <w:iCs/>
        </w:rPr>
      </w:pPr>
      <w:r w:rsidRPr="00D4296D">
        <w:rPr>
          <w:iCs/>
        </w:rPr>
        <w:t>Source: Re-estimated during the evaluation applying the above corrections and using the provided Financial implications” Excel file.</w:t>
      </w:r>
    </w:p>
    <w:p w:rsidR="00D4296D" w:rsidRPr="009718A6" w:rsidRDefault="009718A6" w:rsidP="009718A6">
      <w:pPr>
        <w:pStyle w:val="TableFooter"/>
        <w:spacing w:before="120" w:after="120"/>
        <w:rPr>
          <w:rFonts w:asciiTheme="minorHAnsi" w:hAnsiTheme="minorHAnsi" w:cstheme="minorHAnsi"/>
          <w:iCs/>
          <w:sz w:val="24"/>
          <w:szCs w:val="24"/>
        </w:rPr>
      </w:pPr>
      <w:r>
        <w:rPr>
          <w:rFonts w:asciiTheme="minorHAnsi" w:hAnsiTheme="minorHAnsi" w:cstheme="minorHAnsi"/>
          <w:iCs/>
          <w:sz w:val="24"/>
          <w:szCs w:val="24"/>
        </w:rPr>
        <w:t>The redacted table shows that at Year 6 the estimated number of scripts dispensed would be 10,000 – 50,000 per year, and the net cost to the PBS would be $10 – $20 million per year.</w:t>
      </w:r>
    </w:p>
    <w:p w:rsidR="00D4296D" w:rsidRPr="008C07A8" w:rsidRDefault="00D4296D" w:rsidP="00BB76A8">
      <w:pPr>
        <w:pStyle w:val="ListParagraph"/>
      </w:pPr>
      <w:r w:rsidRPr="008C07A8">
        <w:t>The total estimated cost to government was $</w:t>
      </w:r>
      <w:r w:rsidR="001C21E3">
        <w:rPr>
          <w:noProof/>
          <w:color w:val="000000"/>
          <w:highlight w:val="black"/>
        </w:rPr>
        <w:t>'''''</w:t>
      </w:r>
      <w:r w:rsidRPr="008C07A8">
        <w:t xml:space="preserve"> million over the first </w:t>
      </w:r>
      <w:r w:rsidR="00D04B36" w:rsidRPr="008C07A8">
        <w:t>six</w:t>
      </w:r>
      <w:r w:rsidRPr="008C07A8">
        <w:t xml:space="preserve"> years of listing for </w:t>
      </w:r>
      <w:r w:rsidR="00CB6ACE" w:rsidRPr="008C07A8">
        <w:t xml:space="preserve">lower limb focal spasticity </w:t>
      </w:r>
      <w:r w:rsidRPr="008C07A8">
        <w:t>post-</w:t>
      </w:r>
      <w:r w:rsidR="00CB6ACE" w:rsidRPr="008C07A8">
        <w:t>stroke</w:t>
      </w:r>
      <w:r w:rsidRPr="008C07A8">
        <w:t>.  The resubmission included MBS item 18360 for BOTOX</w:t>
      </w:r>
      <w:r w:rsidR="00A63A1F" w:rsidRPr="008C07A8">
        <w:rPr>
          <w:rFonts w:cs="Calibri"/>
        </w:rPr>
        <w:t>®</w:t>
      </w:r>
      <w:r w:rsidRPr="008C07A8">
        <w:t xml:space="preserve"> injection, but had omitted the cost associated with specialist follow-up consultations associated with BOTOX</w:t>
      </w:r>
      <w:r w:rsidR="00A63A1F" w:rsidRPr="008C07A8">
        <w:rPr>
          <w:rFonts w:cs="Calibri"/>
        </w:rPr>
        <w:t>®</w:t>
      </w:r>
      <w:r w:rsidRPr="008C07A8">
        <w:t xml:space="preserve"> injections.  When this was added during the evaluation (MBS 116, $65.20 at 85% benefit) the cost increased to $</w:t>
      </w:r>
      <w:r w:rsidR="001C21E3">
        <w:rPr>
          <w:noProof/>
          <w:color w:val="000000"/>
          <w:highlight w:val="black"/>
        </w:rPr>
        <w:t>''''''</w:t>
      </w:r>
      <w:r w:rsidRPr="008C07A8">
        <w:t xml:space="preserve"> million over </w:t>
      </w:r>
      <w:r w:rsidR="00D04B36" w:rsidRPr="008C07A8">
        <w:t>six</w:t>
      </w:r>
      <w:r w:rsidRPr="008C07A8">
        <w:t xml:space="preserve"> years.  </w:t>
      </w:r>
    </w:p>
    <w:p w:rsidR="00044A43" w:rsidRPr="00DC774F" w:rsidRDefault="00044A43" w:rsidP="00BB76A8">
      <w:pPr>
        <w:pStyle w:val="ListParagraph"/>
      </w:pPr>
      <w:r w:rsidRPr="00DC774F">
        <w:t xml:space="preserve">The DUSC advised that the following assumptions may underestimate the actual utilisation of </w:t>
      </w:r>
      <w:r w:rsidR="00DC774F">
        <w:t>BOTOX</w:t>
      </w:r>
      <w:r w:rsidR="00DC774F" w:rsidRPr="00D4296D">
        <w:t>®</w:t>
      </w:r>
      <w:r w:rsidRPr="00DC774F">
        <w:t>:</w:t>
      </w:r>
    </w:p>
    <w:p w:rsidR="00044A43" w:rsidRPr="00DC774F" w:rsidRDefault="00044A43" w:rsidP="00BB76A8">
      <w:pPr>
        <w:pStyle w:val="ListParagraph"/>
        <w:numPr>
          <w:ilvl w:val="0"/>
          <w:numId w:val="5"/>
        </w:numPr>
      </w:pPr>
      <w:r w:rsidRPr="00DC774F">
        <w:rPr>
          <w:iCs/>
        </w:rPr>
        <w:t xml:space="preserve">The submission requested a grandfathering listing, but did not include an estimate of </w:t>
      </w:r>
      <w:r w:rsidR="00DC774F" w:rsidRPr="00DC774F">
        <w:rPr>
          <w:iCs/>
        </w:rPr>
        <w:t xml:space="preserve">the number of </w:t>
      </w:r>
      <w:r w:rsidRPr="00DC774F">
        <w:t>grandfathered patients. The DUSC considered that there may be a significant number of grandfathered patients.</w:t>
      </w:r>
    </w:p>
    <w:p w:rsidR="00044A43" w:rsidRPr="00DC774F" w:rsidRDefault="00044A43" w:rsidP="00BB76A8">
      <w:pPr>
        <w:pStyle w:val="ListParagraph"/>
        <w:numPr>
          <w:ilvl w:val="0"/>
          <w:numId w:val="5"/>
        </w:numPr>
      </w:pPr>
      <w:r w:rsidRPr="00DC774F">
        <w:lastRenderedPageBreak/>
        <w:t xml:space="preserve">The submission assumed that the removal of the four treatment limit in the lower limb would increase utilisation by </w:t>
      </w:r>
      <w:r w:rsidR="001C21E3">
        <w:rPr>
          <w:noProof/>
          <w:color w:val="000000"/>
          <w:highlight w:val="black"/>
        </w:rPr>
        <w:t>'''''</w:t>
      </w:r>
      <w:r w:rsidRPr="00DC774F">
        <w:t>%. The DUSC considered that this increase may be higher in practice as patients are living longer following stroke and rehabilitation practices are changing.</w:t>
      </w:r>
    </w:p>
    <w:p w:rsidR="00044A43" w:rsidRPr="00DC774F" w:rsidRDefault="00044A43" w:rsidP="00BB76A8">
      <w:pPr>
        <w:pStyle w:val="ListParagraph"/>
        <w:numPr>
          <w:ilvl w:val="0"/>
          <w:numId w:val="5"/>
        </w:numPr>
      </w:pPr>
      <w:r w:rsidRPr="00DC774F">
        <w:t>DUSC considered that prescribers may make treatment continuation decisions on the basis of functional improvements rather than the MAS improvement criterion. This may increase utilisation.</w:t>
      </w:r>
    </w:p>
    <w:p w:rsidR="00044A43" w:rsidRPr="00DC774F" w:rsidRDefault="00044A43" w:rsidP="00BB76A8">
      <w:pPr>
        <w:pStyle w:val="ListParagraph"/>
      </w:pPr>
      <w:r w:rsidRPr="00DC774F">
        <w:t>The DUSC considered that the following factors may result in an overestimation of utilisation:</w:t>
      </w:r>
    </w:p>
    <w:p w:rsidR="00044A43" w:rsidRPr="00DC774F" w:rsidRDefault="00044A43" w:rsidP="00BB76A8">
      <w:pPr>
        <w:pStyle w:val="ListParagraph"/>
        <w:numPr>
          <w:ilvl w:val="0"/>
          <w:numId w:val="5"/>
        </w:numPr>
      </w:pPr>
      <w:r w:rsidRPr="00DC774F">
        <w:rPr>
          <w:iCs/>
        </w:rPr>
        <w:t>The discontinuation rate is likely to be higher in clinical practice than was estimated (</w:t>
      </w:r>
      <w:r w:rsidR="001C21E3">
        <w:rPr>
          <w:iCs/>
          <w:noProof/>
          <w:color w:val="000000"/>
          <w:highlight w:val="black"/>
        </w:rPr>
        <w:t>'''''</w:t>
      </w:r>
      <w:r w:rsidRPr="00DC774F">
        <w:rPr>
          <w:iCs/>
        </w:rPr>
        <w:t xml:space="preserve">%). </w:t>
      </w:r>
      <w:r w:rsidRPr="00DC774F">
        <w:t xml:space="preserve">Treatment uptake was assumed to be </w:t>
      </w:r>
      <w:r w:rsidR="001C21E3">
        <w:rPr>
          <w:noProof/>
          <w:color w:val="000000"/>
          <w:highlight w:val="black"/>
        </w:rPr>
        <w:t>''''''</w:t>
      </w:r>
      <w:r w:rsidRPr="00DC774F">
        <w:t>%</w:t>
      </w:r>
      <w:r w:rsidR="00DC774F" w:rsidRPr="00DC774F">
        <w:t>;</w:t>
      </w:r>
      <w:r w:rsidRPr="00DC774F">
        <w:t xml:space="preserve"> however</w:t>
      </w:r>
      <w:r w:rsidR="00DC774F" w:rsidRPr="00DC774F">
        <w:t>,</w:t>
      </w:r>
      <w:r w:rsidRPr="00DC774F">
        <w:t xml:space="preserve"> it is likely to be lower in clinical practice.</w:t>
      </w:r>
    </w:p>
    <w:p w:rsidR="00044A43" w:rsidRPr="00DC774F" w:rsidRDefault="00044A43" w:rsidP="00BB76A8">
      <w:pPr>
        <w:pStyle w:val="ListParagraph"/>
        <w:numPr>
          <w:ilvl w:val="0"/>
          <w:numId w:val="5"/>
        </w:numPr>
        <w:rPr>
          <w:iCs/>
        </w:rPr>
      </w:pPr>
      <w:r w:rsidRPr="00DC774F">
        <w:t xml:space="preserve">An annual increase of </w:t>
      </w:r>
      <w:r w:rsidR="001C21E3">
        <w:rPr>
          <w:noProof/>
          <w:color w:val="000000"/>
          <w:highlight w:val="black"/>
        </w:rPr>
        <w:t>''''''</w:t>
      </w:r>
      <w:r w:rsidRPr="00DC774F">
        <w:t>% in the number of vials dispensed was assumed to remain constant over</w:t>
      </w:r>
      <w:r w:rsidRPr="00DC774F">
        <w:rPr>
          <w:iCs/>
        </w:rPr>
        <w:t xml:space="preserve"> the first </w:t>
      </w:r>
      <w:r w:rsidR="00DC774F">
        <w:rPr>
          <w:iCs/>
        </w:rPr>
        <w:t>six</w:t>
      </w:r>
      <w:r w:rsidRPr="00DC774F">
        <w:rPr>
          <w:iCs/>
        </w:rPr>
        <w:t xml:space="preserve"> years. This </w:t>
      </w:r>
      <w:r w:rsidR="00DC774F">
        <w:rPr>
          <w:iCs/>
        </w:rPr>
        <w:t>wa</w:t>
      </w:r>
      <w:r w:rsidRPr="00DC774F">
        <w:rPr>
          <w:iCs/>
        </w:rPr>
        <w:t>s uncertain.</w:t>
      </w:r>
    </w:p>
    <w:p w:rsidR="00EE392A" w:rsidRPr="00673EB8" w:rsidRDefault="00EE392A" w:rsidP="00BB76A8">
      <w:pPr>
        <w:pStyle w:val="Heading2"/>
      </w:pPr>
      <w:bookmarkStart w:id="45" w:name="_Toc371170713"/>
      <w:bookmarkStart w:id="46" w:name="_Toc524523787"/>
      <w:r w:rsidRPr="00673EB8">
        <w:t>Quality Use of Medicines</w:t>
      </w:r>
      <w:bookmarkEnd w:id="45"/>
      <w:bookmarkEnd w:id="46"/>
    </w:p>
    <w:p w:rsidR="007C2DC9" w:rsidRPr="00D4296D" w:rsidRDefault="000237D6" w:rsidP="00BB76A8">
      <w:pPr>
        <w:pStyle w:val="ListParagraph"/>
      </w:pPr>
      <w:r w:rsidRPr="00D4296D">
        <w:t>The resubmission stated there would be no changes to the Botulinum Toxin Program arrangements resulting from the current submission.</w:t>
      </w:r>
      <w:r w:rsidR="004A5FEC" w:rsidRPr="00D4296D">
        <w:t xml:space="preserve"> </w:t>
      </w:r>
      <w:r w:rsidRPr="00D4296D">
        <w:t xml:space="preserve">The Botulinum Toxin Program ensures that PBS supplies of </w:t>
      </w:r>
      <w:r w:rsidR="00EE500E" w:rsidRPr="00D4296D">
        <w:t>BOTOX®</w:t>
      </w:r>
      <w:r w:rsidRPr="00D4296D">
        <w:t xml:space="preserve"> are supplied directly to doctors responsible for performing the injections, and removes the ability for individual patients to handle the packs.</w:t>
      </w:r>
      <w:r w:rsidR="007C2DC9" w:rsidRPr="00D4296D">
        <w:t xml:space="preserve"> </w:t>
      </w:r>
    </w:p>
    <w:p w:rsidR="00EE392A" w:rsidRPr="00673EB8" w:rsidRDefault="007C2DC9" w:rsidP="00BB76A8">
      <w:pPr>
        <w:pStyle w:val="ListParagraph"/>
      </w:pPr>
      <w:r w:rsidRPr="00D4296D">
        <w:t>The PSCR reported that localisation techniques, such as electromyography, muscle ultrasound or electrical stimulation, are commonly used in Australia to facilitate needle placement.</w:t>
      </w:r>
      <w:r w:rsidR="004A5FEC" w:rsidRPr="00D4296D">
        <w:t xml:space="preserve"> </w:t>
      </w:r>
      <w:r w:rsidRPr="00D4296D">
        <w:t>The ESC acknowledged that sub-optimal targeting of botulinum toxin injections to the affected muscles may occur in clinical practice</w:t>
      </w:r>
      <w:r w:rsidR="00BF24FF" w:rsidRPr="00D4296D">
        <w:t>.</w:t>
      </w:r>
    </w:p>
    <w:p w:rsidR="00673EB8" w:rsidRPr="00BB76A8" w:rsidRDefault="00673EB8" w:rsidP="00BB76A8">
      <w:pPr>
        <w:pStyle w:val="ListParagraph"/>
        <w:numPr>
          <w:ilvl w:val="0"/>
          <w:numId w:val="0"/>
        </w:numPr>
        <w:ind w:left="709"/>
        <w:rPr>
          <w:i/>
        </w:rPr>
      </w:pPr>
      <w:r w:rsidRPr="00BB76A8">
        <w:rPr>
          <w:i/>
        </w:rPr>
        <w:t>For more detail on PBAC’s view, see Section 7 PBAC outcome.</w:t>
      </w:r>
    </w:p>
    <w:p w:rsidR="00673EB8" w:rsidRPr="00BB76A8" w:rsidRDefault="00673EB8" w:rsidP="00BB76A8">
      <w:pPr>
        <w:pStyle w:val="Heading1"/>
      </w:pPr>
      <w:bookmarkStart w:id="47" w:name="_Toc524467528"/>
      <w:bookmarkStart w:id="48" w:name="_Toc371170717"/>
      <w:r w:rsidRPr="00BB76A8">
        <w:t>PBAC Outcome</w:t>
      </w:r>
    </w:p>
    <w:p w:rsidR="002463B9" w:rsidRPr="00542F09" w:rsidRDefault="00A4043D" w:rsidP="00673EB8">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deferred making a recommendation on the </w:t>
      </w:r>
      <w:r w:rsidR="00BD7D66" w:rsidRPr="00542F09">
        <w:rPr>
          <w:rFonts w:asciiTheme="minorHAnsi" w:hAnsiTheme="minorHAnsi"/>
          <w:bCs/>
          <w:lang w:val="en-GB"/>
        </w:rPr>
        <w:t xml:space="preserve">Section 100 Authority Required </w:t>
      </w:r>
      <w:r w:rsidRPr="00542F09">
        <w:rPr>
          <w:rFonts w:asciiTheme="minorHAnsi" w:hAnsiTheme="minorHAnsi"/>
          <w:bCs/>
          <w:lang w:val="en-GB"/>
        </w:rPr>
        <w:t xml:space="preserve">listing of </w:t>
      </w:r>
      <w:r w:rsidR="000F30D3">
        <w:rPr>
          <w:rFonts w:asciiTheme="minorHAnsi" w:hAnsiTheme="minorHAnsi"/>
          <w:bCs/>
          <w:lang w:val="en-GB"/>
        </w:rPr>
        <w:t>b</w:t>
      </w:r>
      <w:r w:rsidR="00BD7D66" w:rsidRPr="00542F09">
        <w:rPr>
          <w:rFonts w:asciiTheme="minorHAnsi" w:hAnsiTheme="minorHAnsi"/>
          <w:bCs/>
          <w:lang w:val="en-GB"/>
        </w:rPr>
        <w:t xml:space="preserve">otulinum </w:t>
      </w:r>
      <w:r w:rsidR="000F30D3">
        <w:rPr>
          <w:rFonts w:asciiTheme="minorHAnsi" w:hAnsiTheme="minorHAnsi"/>
          <w:bCs/>
          <w:lang w:val="en-GB"/>
        </w:rPr>
        <w:t>t</w:t>
      </w:r>
      <w:r w:rsidR="00BD7D66" w:rsidRPr="00542F09">
        <w:rPr>
          <w:rFonts w:asciiTheme="minorHAnsi" w:hAnsiTheme="minorHAnsi"/>
          <w:bCs/>
          <w:lang w:val="en-GB"/>
        </w:rPr>
        <w:t xml:space="preserve">oxin </w:t>
      </w:r>
      <w:r w:rsidR="007A27B4">
        <w:rPr>
          <w:rFonts w:asciiTheme="minorHAnsi" w:hAnsiTheme="minorHAnsi"/>
          <w:bCs/>
          <w:lang w:val="en-GB"/>
        </w:rPr>
        <w:t>t</w:t>
      </w:r>
      <w:r w:rsidR="002463B9" w:rsidRPr="00542F09">
        <w:rPr>
          <w:rFonts w:asciiTheme="minorHAnsi" w:hAnsiTheme="minorHAnsi"/>
          <w:bCs/>
          <w:lang w:val="en-GB"/>
        </w:rPr>
        <w:t>ype A</w:t>
      </w:r>
      <w:r w:rsidR="00D04B36">
        <w:rPr>
          <w:rFonts w:asciiTheme="minorHAnsi" w:hAnsiTheme="minorHAnsi"/>
          <w:bCs/>
          <w:lang w:val="en-GB"/>
        </w:rPr>
        <w:t xml:space="preserve"> (BOTOX</w:t>
      </w:r>
      <w:r w:rsidR="00D04B36" w:rsidRPr="00D4296D">
        <w:t>®</w:t>
      </w:r>
      <w:r w:rsidR="00D04B36">
        <w:t>)</w:t>
      </w:r>
      <w:r w:rsidR="002463B9" w:rsidRPr="00542F09">
        <w:rPr>
          <w:rFonts w:asciiTheme="minorHAnsi" w:hAnsiTheme="minorHAnsi"/>
          <w:bCs/>
          <w:lang w:val="en-GB"/>
        </w:rPr>
        <w:t xml:space="preserve"> </w:t>
      </w:r>
      <w:r w:rsidR="00BD7D66" w:rsidRPr="00542F09">
        <w:rPr>
          <w:rFonts w:asciiTheme="minorHAnsi" w:hAnsiTheme="minorHAnsi"/>
          <w:bCs/>
          <w:lang w:val="en-GB"/>
        </w:rPr>
        <w:t xml:space="preserve">for the treatment of </w:t>
      </w:r>
      <w:r w:rsidR="003E6094" w:rsidRPr="00542F09">
        <w:rPr>
          <w:rFonts w:asciiTheme="minorHAnsi" w:hAnsiTheme="minorHAnsi"/>
          <w:bCs/>
          <w:lang w:val="en-GB"/>
        </w:rPr>
        <w:t xml:space="preserve">lower limb focal spasticity following stroke. </w:t>
      </w:r>
      <w:r w:rsidR="007D3DCC" w:rsidRPr="00542F09">
        <w:rPr>
          <w:rFonts w:asciiTheme="minorHAnsi" w:hAnsiTheme="minorHAnsi"/>
          <w:bCs/>
          <w:lang w:val="en-GB"/>
        </w:rPr>
        <w:t xml:space="preserve">The PBAC requested that the sponsor address issues raised by the Committee regarding the proposed listing, </w:t>
      </w:r>
      <w:r w:rsidR="003C6DF8">
        <w:rPr>
          <w:rFonts w:asciiTheme="minorHAnsi" w:hAnsiTheme="minorHAnsi"/>
          <w:bCs/>
          <w:lang w:val="en-GB"/>
        </w:rPr>
        <w:t>economic model</w:t>
      </w:r>
      <w:r w:rsidR="007D3DCC" w:rsidRPr="00542F09">
        <w:rPr>
          <w:rFonts w:asciiTheme="minorHAnsi" w:hAnsiTheme="minorHAnsi"/>
          <w:bCs/>
          <w:lang w:val="en-GB"/>
        </w:rPr>
        <w:t xml:space="preserve"> and pricing</w:t>
      </w:r>
      <w:r w:rsidR="002463B9" w:rsidRPr="00542F09">
        <w:rPr>
          <w:rFonts w:asciiTheme="minorHAnsi" w:hAnsiTheme="minorHAnsi"/>
          <w:bCs/>
          <w:lang w:val="en-GB"/>
        </w:rPr>
        <w:t>.</w:t>
      </w:r>
    </w:p>
    <w:p w:rsidR="00A96F2E" w:rsidRDefault="002463B9" w:rsidP="00542F09">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In deciding to defer, the PBAC noted the clinical need in the proposed population and acknowledged </w:t>
      </w:r>
      <w:r w:rsidR="00A96F2E" w:rsidRPr="00542F09">
        <w:rPr>
          <w:rFonts w:asciiTheme="minorHAnsi" w:hAnsiTheme="minorHAnsi"/>
          <w:bCs/>
          <w:lang w:val="en-GB"/>
        </w:rPr>
        <w:t xml:space="preserve">that, for some patients, a clinically meaningful response defined by an improvement in the </w:t>
      </w:r>
      <w:r w:rsidR="00BF7828">
        <w:rPr>
          <w:rFonts w:asciiTheme="minorHAnsi" w:hAnsiTheme="minorHAnsi"/>
          <w:bCs/>
          <w:lang w:val="en-GB"/>
        </w:rPr>
        <w:t>M</w:t>
      </w:r>
      <w:r w:rsidR="00A96F2E" w:rsidRPr="00542F09">
        <w:rPr>
          <w:rFonts w:asciiTheme="minorHAnsi" w:hAnsiTheme="minorHAnsi"/>
          <w:bCs/>
          <w:lang w:val="en-GB"/>
        </w:rPr>
        <w:t xml:space="preserve">odified Ashworth Scale </w:t>
      </w:r>
      <w:r w:rsidR="00DA6BF1">
        <w:rPr>
          <w:rFonts w:asciiTheme="minorHAnsi" w:hAnsiTheme="minorHAnsi"/>
          <w:bCs/>
          <w:lang w:val="en-GB"/>
        </w:rPr>
        <w:t xml:space="preserve">(MAS) </w:t>
      </w:r>
      <w:r w:rsidR="00A96F2E" w:rsidRPr="00542F09">
        <w:rPr>
          <w:rFonts w:asciiTheme="minorHAnsi" w:hAnsiTheme="minorHAnsi"/>
          <w:bCs/>
          <w:lang w:val="en-GB"/>
        </w:rPr>
        <w:t xml:space="preserve">of </w:t>
      </w:r>
      <w:r w:rsidR="00DA6BF1">
        <w:rPr>
          <w:rFonts w:asciiTheme="minorHAnsi" w:hAnsiTheme="minorHAnsi"/>
          <w:bCs/>
          <w:lang w:val="en-GB"/>
        </w:rPr>
        <w:t>at least one</w:t>
      </w:r>
      <w:r w:rsidR="00A96F2E" w:rsidRPr="00542F09">
        <w:rPr>
          <w:rFonts w:asciiTheme="minorHAnsi" w:hAnsiTheme="minorHAnsi"/>
          <w:bCs/>
          <w:lang w:val="en-GB"/>
        </w:rPr>
        <w:t xml:space="preserve"> </w:t>
      </w:r>
      <w:r w:rsidR="00FC190C" w:rsidRPr="00542F09">
        <w:rPr>
          <w:rFonts w:asciiTheme="minorHAnsi" w:hAnsiTheme="minorHAnsi"/>
          <w:bCs/>
          <w:lang w:val="en-GB"/>
        </w:rPr>
        <w:t>was</w:t>
      </w:r>
      <w:r w:rsidR="00A96F2E" w:rsidRPr="00542F09">
        <w:rPr>
          <w:rFonts w:asciiTheme="minorHAnsi" w:hAnsiTheme="minorHAnsi"/>
          <w:bCs/>
          <w:lang w:val="en-GB"/>
        </w:rPr>
        <w:t xml:space="preserve"> achieved, and </w:t>
      </w:r>
      <w:r w:rsidR="00FC190C" w:rsidRPr="00542F09">
        <w:rPr>
          <w:rFonts w:asciiTheme="minorHAnsi" w:hAnsiTheme="minorHAnsi"/>
          <w:bCs/>
          <w:lang w:val="en-GB"/>
        </w:rPr>
        <w:t xml:space="preserve">that improvements in MAS </w:t>
      </w:r>
      <w:r w:rsidR="00F25EE1">
        <w:rPr>
          <w:rFonts w:asciiTheme="minorHAnsi" w:hAnsiTheme="minorHAnsi"/>
          <w:bCs/>
          <w:lang w:val="en-GB"/>
        </w:rPr>
        <w:t>we</w:t>
      </w:r>
      <w:r w:rsidR="00FC190C" w:rsidRPr="00542F09">
        <w:rPr>
          <w:rFonts w:asciiTheme="minorHAnsi" w:hAnsiTheme="minorHAnsi"/>
          <w:bCs/>
          <w:lang w:val="en-GB"/>
        </w:rPr>
        <w:t xml:space="preserve">re accompanied by </w:t>
      </w:r>
      <w:r w:rsidR="00AD05BD" w:rsidRPr="00542F09">
        <w:rPr>
          <w:rFonts w:asciiTheme="minorHAnsi" w:hAnsiTheme="minorHAnsi"/>
          <w:bCs/>
          <w:lang w:val="en-GB"/>
        </w:rPr>
        <w:t>other functional improvements.</w:t>
      </w:r>
      <w:r w:rsidR="00A96F2E" w:rsidRPr="00542F09">
        <w:rPr>
          <w:rFonts w:asciiTheme="minorHAnsi" w:hAnsiTheme="minorHAnsi"/>
          <w:bCs/>
          <w:lang w:val="en-GB"/>
        </w:rPr>
        <w:t xml:space="preserve"> </w:t>
      </w:r>
    </w:p>
    <w:p w:rsidR="00DB0E7C" w:rsidRPr="00542F09" w:rsidRDefault="00DB0E7C" w:rsidP="00542F09">
      <w:pPr>
        <w:numPr>
          <w:ilvl w:val="1"/>
          <w:numId w:val="1"/>
        </w:numPr>
        <w:spacing w:after="120"/>
        <w:ind w:left="720"/>
        <w:rPr>
          <w:rFonts w:asciiTheme="minorHAnsi" w:hAnsiTheme="minorHAnsi"/>
          <w:bCs/>
          <w:lang w:val="en-GB"/>
        </w:rPr>
      </w:pPr>
      <w:r>
        <w:rPr>
          <w:rFonts w:asciiTheme="minorHAnsi" w:hAnsiTheme="minorHAnsi"/>
          <w:bCs/>
          <w:lang w:val="en-GB"/>
        </w:rPr>
        <w:t>The PBAC acknowledged the consumer comments, which were supportive of listing BOTOX</w:t>
      </w:r>
      <w:r w:rsidR="00DD6926">
        <w:rPr>
          <w:rFonts w:asciiTheme="minorHAnsi" w:hAnsiTheme="minorHAnsi" w:cstheme="minorHAnsi"/>
          <w:bCs/>
          <w:lang w:val="en-GB"/>
        </w:rPr>
        <w:t>®</w:t>
      </w:r>
      <w:r>
        <w:rPr>
          <w:rFonts w:asciiTheme="minorHAnsi" w:hAnsiTheme="minorHAnsi"/>
          <w:bCs/>
          <w:lang w:val="en-GB"/>
        </w:rPr>
        <w:t xml:space="preserve"> for lower limb spasticity following a stroke</w:t>
      </w:r>
      <w:r w:rsidR="00DD6926">
        <w:rPr>
          <w:rFonts w:asciiTheme="minorHAnsi" w:hAnsiTheme="minorHAnsi"/>
          <w:bCs/>
          <w:lang w:val="en-GB"/>
        </w:rPr>
        <w:t>. The PBAC also noted that the St</w:t>
      </w:r>
      <w:r w:rsidR="00BB0674">
        <w:rPr>
          <w:rFonts w:asciiTheme="minorHAnsi" w:hAnsiTheme="minorHAnsi"/>
          <w:bCs/>
          <w:lang w:val="en-GB"/>
        </w:rPr>
        <w:t>r</w:t>
      </w:r>
      <w:r w:rsidR="00DD6926">
        <w:rPr>
          <w:rFonts w:asciiTheme="minorHAnsi" w:hAnsiTheme="minorHAnsi"/>
          <w:bCs/>
          <w:lang w:val="en-GB"/>
        </w:rPr>
        <w:t>oke Recovery Association, NSW endorsed the use of BOTOX</w:t>
      </w:r>
      <w:r w:rsidR="00DD6926">
        <w:rPr>
          <w:rFonts w:asciiTheme="minorHAnsi" w:hAnsiTheme="minorHAnsi" w:cstheme="minorHAnsi"/>
          <w:bCs/>
          <w:lang w:val="en-GB"/>
        </w:rPr>
        <w:t>®</w:t>
      </w:r>
      <w:r w:rsidR="00DD6926">
        <w:rPr>
          <w:rFonts w:asciiTheme="minorHAnsi" w:hAnsiTheme="minorHAnsi"/>
          <w:bCs/>
          <w:lang w:val="en-GB"/>
        </w:rPr>
        <w:t xml:space="preserve"> in this population and </w:t>
      </w:r>
      <w:r w:rsidR="001B1DAE">
        <w:rPr>
          <w:rFonts w:asciiTheme="minorHAnsi" w:hAnsiTheme="minorHAnsi"/>
          <w:bCs/>
          <w:lang w:val="en-GB"/>
        </w:rPr>
        <w:lastRenderedPageBreak/>
        <w:t xml:space="preserve">considered </w:t>
      </w:r>
      <w:r w:rsidR="00DD6926">
        <w:rPr>
          <w:rFonts w:asciiTheme="minorHAnsi" w:hAnsiTheme="minorHAnsi"/>
          <w:bCs/>
          <w:lang w:val="en-GB"/>
        </w:rPr>
        <w:t>the advice received during the sponsor hearing</w:t>
      </w:r>
      <w:r w:rsidR="001B1DAE">
        <w:rPr>
          <w:rFonts w:asciiTheme="minorHAnsi" w:hAnsiTheme="minorHAnsi"/>
          <w:bCs/>
          <w:lang w:val="en-GB"/>
        </w:rPr>
        <w:t xml:space="preserve"> was informative</w:t>
      </w:r>
      <w:r w:rsidR="00DD6926">
        <w:rPr>
          <w:rFonts w:asciiTheme="minorHAnsi" w:hAnsiTheme="minorHAnsi"/>
          <w:bCs/>
          <w:lang w:val="en-GB"/>
        </w:rPr>
        <w:t>.</w:t>
      </w:r>
    </w:p>
    <w:p w:rsidR="008505B3" w:rsidRPr="00542F09" w:rsidRDefault="008505B3" w:rsidP="008505B3">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noted that the </w:t>
      </w:r>
      <w:r w:rsidR="00FE154A">
        <w:rPr>
          <w:rFonts w:asciiTheme="minorHAnsi" w:hAnsiTheme="minorHAnsi"/>
          <w:bCs/>
          <w:lang w:val="en-GB"/>
        </w:rPr>
        <w:t xml:space="preserve">two </w:t>
      </w:r>
      <w:r w:rsidRPr="00542F09">
        <w:rPr>
          <w:rFonts w:asciiTheme="minorHAnsi" w:hAnsiTheme="minorHAnsi"/>
          <w:bCs/>
          <w:lang w:val="en-GB"/>
        </w:rPr>
        <w:t>key trial</w:t>
      </w:r>
      <w:r w:rsidR="00FE154A">
        <w:rPr>
          <w:rFonts w:asciiTheme="minorHAnsi" w:hAnsiTheme="minorHAnsi"/>
          <w:bCs/>
          <w:lang w:val="en-GB"/>
        </w:rPr>
        <w:t xml:space="preserve">s, </w:t>
      </w:r>
      <w:r w:rsidRPr="00542F09">
        <w:rPr>
          <w:rFonts w:asciiTheme="minorHAnsi" w:hAnsiTheme="minorHAnsi"/>
          <w:bCs/>
          <w:lang w:val="en-GB"/>
        </w:rPr>
        <w:t>REFLEX</w:t>
      </w:r>
      <w:r w:rsidR="00FE154A">
        <w:rPr>
          <w:rFonts w:asciiTheme="minorHAnsi" w:hAnsiTheme="minorHAnsi"/>
          <w:bCs/>
          <w:lang w:val="en-GB"/>
        </w:rPr>
        <w:t xml:space="preserve"> and Trial 512,</w:t>
      </w:r>
      <w:r w:rsidRPr="00542F09">
        <w:rPr>
          <w:rFonts w:asciiTheme="minorHAnsi" w:hAnsiTheme="minorHAnsi"/>
          <w:bCs/>
          <w:lang w:val="en-GB"/>
        </w:rPr>
        <w:t xml:space="preserve"> con</w:t>
      </w:r>
      <w:r>
        <w:rPr>
          <w:rFonts w:asciiTheme="minorHAnsi" w:hAnsiTheme="minorHAnsi"/>
          <w:bCs/>
          <w:lang w:val="en-GB"/>
        </w:rPr>
        <w:t>sisted of</w:t>
      </w:r>
      <w:r w:rsidRPr="00542F09">
        <w:rPr>
          <w:rFonts w:asciiTheme="minorHAnsi" w:hAnsiTheme="minorHAnsi"/>
          <w:bCs/>
          <w:lang w:val="en-GB"/>
        </w:rPr>
        <w:t xml:space="preserve"> a single injection during </w:t>
      </w:r>
      <w:r w:rsidR="00FE154A">
        <w:rPr>
          <w:rFonts w:asciiTheme="minorHAnsi" w:hAnsiTheme="minorHAnsi"/>
          <w:bCs/>
          <w:lang w:val="en-GB"/>
        </w:rPr>
        <w:t>a</w:t>
      </w:r>
      <w:r w:rsidRPr="00542F09">
        <w:rPr>
          <w:rFonts w:asciiTheme="minorHAnsi" w:hAnsiTheme="minorHAnsi"/>
          <w:bCs/>
          <w:lang w:val="en-GB"/>
        </w:rPr>
        <w:t xml:space="preserve"> </w:t>
      </w:r>
      <w:r w:rsidR="00FE154A">
        <w:rPr>
          <w:rFonts w:asciiTheme="minorHAnsi" w:hAnsiTheme="minorHAnsi"/>
          <w:bCs/>
          <w:lang w:val="en-GB"/>
        </w:rPr>
        <w:t xml:space="preserve">randomised, </w:t>
      </w:r>
      <w:r w:rsidRPr="00542F09">
        <w:rPr>
          <w:rFonts w:asciiTheme="minorHAnsi" w:hAnsiTheme="minorHAnsi"/>
          <w:bCs/>
          <w:lang w:val="en-GB"/>
        </w:rPr>
        <w:t xml:space="preserve">double blind phase, </w:t>
      </w:r>
      <w:r w:rsidR="00FE154A">
        <w:rPr>
          <w:rFonts w:asciiTheme="minorHAnsi" w:hAnsiTheme="minorHAnsi"/>
          <w:bCs/>
          <w:lang w:val="en-GB"/>
        </w:rPr>
        <w:t>followed by up to three</w:t>
      </w:r>
      <w:r w:rsidRPr="00542F09">
        <w:rPr>
          <w:rFonts w:asciiTheme="minorHAnsi" w:hAnsiTheme="minorHAnsi"/>
          <w:bCs/>
          <w:lang w:val="en-GB"/>
        </w:rPr>
        <w:t xml:space="preserve"> injections in an open label phase. The PBAC considered that there was a lack of </w:t>
      </w:r>
      <w:r w:rsidR="00FE154A">
        <w:rPr>
          <w:rFonts w:asciiTheme="minorHAnsi" w:hAnsiTheme="minorHAnsi"/>
          <w:bCs/>
          <w:lang w:val="en-GB"/>
        </w:rPr>
        <w:t xml:space="preserve">comparative </w:t>
      </w:r>
      <w:r w:rsidRPr="00542F09">
        <w:rPr>
          <w:rFonts w:asciiTheme="minorHAnsi" w:hAnsiTheme="minorHAnsi"/>
          <w:bCs/>
          <w:lang w:val="en-GB"/>
        </w:rPr>
        <w:t xml:space="preserve">evidence </w:t>
      </w:r>
      <w:r w:rsidR="00FE154A">
        <w:rPr>
          <w:rFonts w:asciiTheme="minorHAnsi" w:hAnsiTheme="minorHAnsi"/>
          <w:bCs/>
          <w:lang w:val="en-GB"/>
        </w:rPr>
        <w:t xml:space="preserve">beyond the first injection and insufficient evidence </w:t>
      </w:r>
      <w:r w:rsidRPr="00542F09">
        <w:rPr>
          <w:rFonts w:asciiTheme="minorHAnsi" w:hAnsiTheme="minorHAnsi"/>
          <w:bCs/>
          <w:lang w:val="en-GB"/>
        </w:rPr>
        <w:t xml:space="preserve">to inform dosing intervals </w:t>
      </w:r>
      <w:r w:rsidR="00FE154A">
        <w:rPr>
          <w:rFonts w:asciiTheme="minorHAnsi" w:hAnsiTheme="minorHAnsi"/>
          <w:bCs/>
          <w:lang w:val="en-GB"/>
        </w:rPr>
        <w:t>or the benefit of continuing therapy, particularly beyond the first year of treatment</w:t>
      </w:r>
      <w:r w:rsidRPr="00542F09">
        <w:rPr>
          <w:rFonts w:asciiTheme="minorHAnsi" w:hAnsiTheme="minorHAnsi"/>
          <w:bCs/>
          <w:lang w:val="en-GB"/>
        </w:rPr>
        <w:t xml:space="preserve">. </w:t>
      </w:r>
      <w:r w:rsidR="00CB17A0">
        <w:rPr>
          <w:rFonts w:asciiTheme="minorHAnsi" w:hAnsiTheme="minorHAnsi"/>
          <w:bCs/>
          <w:lang w:val="en-GB"/>
        </w:rPr>
        <w:t xml:space="preserve">The PBAC also noted the limited data for the treatment of spasticity other than that causing plantar flexion of the ankle or </w:t>
      </w:r>
      <w:proofErr w:type="spellStart"/>
      <w:r w:rsidR="00CB17A0">
        <w:rPr>
          <w:rFonts w:asciiTheme="minorHAnsi" w:hAnsiTheme="minorHAnsi"/>
          <w:bCs/>
          <w:lang w:val="en-GB"/>
        </w:rPr>
        <w:t>equinovarus</w:t>
      </w:r>
      <w:proofErr w:type="spellEnd"/>
      <w:r w:rsidR="00CB17A0">
        <w:rPr>
          <w:rFonts w:asciiTheme="minorHAnsi" w:hAnsiTheme="minorHAnsi"/>
          <w:bCs/>
          <w:lang w:val="en-GB"/>
        </w:rPr>
        <w:t xml:space="preserve"> foot deformity.</w:t>
      </w:r>
    </w:p>
    <w:p w:rsidR="007600D5" w:rsidRDefault="007600D5" w:rsidP="00DF7B2A">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w:t>
      </w:r>
      <w:r>
        <w:rPr>
          <w:rFonts w:asciiTheme="minorHAnsi" w:hAnsiTheme="minorHAnsi"/>
          <w:bCs/>
          <w:lang w:val="en-GB"/>
        </w:rPr>
        <w:t>considered</w:t>
      </w:r>
      <w:r w:rsidRPr="00542F09">
        <w:rPr>
          <w:rFonts w:asciiTheme="minorHAnsi" w:hAnsiTheme="minorHAnsi"/>
          <w:bCs/>
          <w:lang w:val="en-GB"/>
        </w:rPr>
        <w:t xml:space="preserve"> that standard </w:t>
      </w:r>
      <w:r>
        <w:rPr>
          <w:rFonts w:asciiTheme="minorHAnsi" w:hAnsiTheme="minorHAnsi"/>
          <w:bCs/>
          <w:lang w:val="en-GB"/>
        </w:rPr>
        <w:t>of care</w:t>
      </w:r>
      <w:r w:rsidR="00454806">
        <w:rPr>
          <w:rFonts w:asciiTheme="minorHAnsi" w:hAnsiTheme="minorHAnsi"/>
          <w:bCs/>
          <w:lang w:val="en-GB"/>
        </w:rPr>
        <w:t>/placebo</w:t>
      </w:r>
      <w:r>
        <w:rPr>
          <w:rFonts w:asciiTheme="minorHAnsi" w:hAnsiTheme="minorHAnsi"/>
          <w:bCs/>
          <w:lang w:val="en-GB"/>
        </w:rPr>
        <w:t xml:space="preserve"> </w:t>
      </w:r>
      <w:r w:rsidRPr="00542F09">
        <w:rPr>
          <w:rFonts w:asciiTheme="minorHAnsi" w:hAnsiTheme="minorHAnsi"/>
          <w:bCs/>
          <w:lang w:val="en-GB"/>
        </w:rPr>
        <w:t xml:space="preserve">was </w:t>
      </w:r>
      <w:r>
        <w:rPr>
          <w:rFonts w:asciiTheme="minorHAnsi" w:hAnsiTheme="minorHAnsi"/>
          <w:bCs/>
          <w:lang w:val="en-GB"/>
        </w:rPr>
        <w:t>the</w:t>
      </w:r>
      <w:r w:rsidRPr="00542F09">
        <w:rPr>
          <w:rFonts w:asciiTheme="minorHAnsi" w:hAnsiTheme="minorHAnsi"/>
          <w:bCs/>
          <w:lang w:val="en-GB"/>
        </w:rPr>
        <w:t xml:space="preserve"> appropriate comparator.</w:t>
      </w:r>
    </w:p>
    <w:p w:rsidR="007600D5" w:rsidRDefault="007600D5" w:rsidP="00DF7B2A">
      <w:pPr>
        <w:numPr>
          <w:ilvl w:val="1"/>
          <w:numId w:val="1"/>
        </w:numPr>
        <w:spacing w:after="120"/>
        <w:ind w:left="720"/>
        <w:rPr>
          <w:rFonts w:asciiTheme="minorHAnsi" w:hAnsiTheme="minorHAnsi"/>
          <w:bCs/>
          <w:lang w:val="en-GB"/>
        </w:rPr>
      </w:pPr>
      <w:r>
        <w:rPr>
          <w:rFonts w:asciiTheme="minorHAnsi" w:hAnsiTheme="minorHAnsi"/>
          <w:bCs/>
          <w:lang w:val="en-GB"/>
        </w:rPr>
        <w:t xml:space="preserve">The PBAC noted that the primary outcome of the trials, which was a reduction in MAS score of at least one, and which was the proposed </w:t>
      </w:r>
      <w:r w:rsidR="00DF2ED3">
        <w:rPr>
          <w:rFonts w:asciiTheme="minorHAnsi" w:hAnsiTheme="minorHAnsi"/>
          <w:bCs/>
          <w:lang w:val="en-GB"/>
        </w:rPr>
        <w:t xml:space="preserve">PBS </w:t>
      </w:r>
      <w:r>
        <w:rPr>
          <w:rFonts w:asciiTheme="minorHAnsi" w:hAnsiTheme="minorHAnsi"/>
          <w:bCs/>
          <w:lang w:val="en-GB"/>
        </w:rPr>
        <w:t>continuation criteria</w:t>
      </w:r>
      <w:r w:rsidR="00DF2ED3">
        <w:rPr>
          <w:rFonts w:asciiTheme="minorHAnsi" w:hAnsiTheme="minorHAnsi"/>
          <w:bCs/>
          <w:lang w:val="en-GB"/>
        </w:rPr>
        <w:t xml:space="preserve">, </w:t>
      </w:r>
      <w:r>
        <w:rPr>
          <w:rFonts w:asciiTheme="minorHAnsi" w:hAnsiTheme="minorHAnsi"/>
          <w:bCs/>
          <w:lang w:val="en-GB"/>
        </w:rPr>
        <w:t>was not consistent with the continuation criteria for BOTOX</w:t>
      </w:r>
      <w:r>
        <w:rPr>
          <w:rFonts w:asciiTheme="minorHAnsi" w:hAnsiTheme="minorHAnsi" w:cstheme="minorHAnsi"/>
          <w:bCs/>
          <w:lang w:val="en-GB"/>
        </w:rPr>
        <w:t>®</w:t>
      </w:r>
      <w:r>
        <w:rPr>
          <w:rFonts w:asciiTheme="minorHAnsi" w:hAnsiTheme="minorHAnsi"/>
          <w:bCs/>
          <w:lang w:val="en-GB"/>
        </w:rPr>
        <w:t xml:space="preserve"> use in the treatment of focal spasticity following stroke in the upper limb</w:t>
      </w:r>
      <w:r w:rsidR="00DF2ED3">
        <w:rPr>
          <w:rFonts w:asciiTheme="minorHAnsi" w:hAnsiTheme="minorHAnsi"/>
          <w:bCs/>
          <w:lang w:val="en-GB"/>
        </w:rPr>
        <w:t>, which required a reduction in MAS of greater than one.</w:t>
      </w:r>
    </w:p>
    <w:p w:rsidR="00F25EE1" w:rsidRDefault="00BB0674" w:rsidP="00DF7B2A">
      <w:pPr>
        <w:numPr>
          <w:ilvl w:val="1"/>
          <w:numId w:val="1"/>
        </w:numPr>
        <w:spacing w:after="120"/>
        <w:ind w:left="720"/>
        <w:rPr>
          <w:rFonts w:asciiTheme="minorHAnsi" w:hAnsiTheme="minorHAnsi"/>
          <w:bCs/>
          <w:lang w:val="en-GB"/>
        </w:rPr>
      </w:pPr>
      <w:r>
        <w:rPr>
          <w:rFonts w:asciiTheme="minorHAnsi" w:hAnsiTheme="minorHAnsi"/>
          <w:bCs/>
          <w:lang w:val="en-GB"/>
        </w:rPr>
        <w:t>The PBAC considered that there were aspects of the proposed restriction that would benefit from further clinical input, including</w:t>
      </w:r>
      <w:r w:rsidR="00F25EE1">
        <w:rPr>
          <w:rFonts w:asciiTheme="minorHAnsi" w:hAnsiTheme="minorHAnsi"/>
          <w:bCs/>
          <w:lang w:val="en-GB"/>
        </w:rPr>
        <w:t>:</w:t>
      </w:r>
      <w:r>
        <w:rPr>
          <w:rFonts w:asciiTheme="minorHAnsi" w:hAnsiTheme="minorHAnsi"/>
          <w:bCs/>
          <w:lang w:val="en-GB"/>
        </w:rPr>
        <w:t xml:space="preserve"> </w:t>
      </w:r>
    </w:p>
    <w:p w:rsidR="00F25EE1" w:rsidRPr="00A93939" w:rsidRDefault="00F25EE1" w:rsidP="00A93939">
      <w:pPr>
        <w:numPr>
          <w:ilvl w:val="1"/>
          <w:numId w:val="46"/>
        </w:numPr>
        <w:spacing w:after="120"/>
        <w:ind w:left="1077" w:hanging="357"/>
        <w:rPr>
          <w:rFonts w:asciiTheme="minorHAnsi" w:hAnsiTheme="minorHAnsi"/>
          <w:bCs/>
          <w:lang w:val="en-GB"/>
        </w:rPr>
      </w:pPr>
      <w:r>
        <w:rPr>
          <w:rFonts w:asciiTheme="minorHAnsi" w:hAnsiTheme="minorHAnsi"/>
          <w:bCs/>
          <w:lang w:val="en-GB"/>
        </w:rPr>
        <w:t>c</w:t>
      </w:r>
      <w:r w:rsidR="00BB0674">
        <w:rPr>
          <w:rFonts w:asciiTheme="minorHAnsi" w:hAnsiTheme="minorHAnsi"/>
          <w:bCs/>
          <w:lang w:val="en-GB"/>
        </w:rPr>
        <w:t>onfirm</w:t>
      </w:r>
      <w:r>
        <w:rPr>
          <w:rFonts w:asciiTheme="minorHAnsi" w:hAnsiTheme="minorHAnsi"/>
          <w:bCs/>
          <w:lang w:val="en-GB"/>
        </w:rPr>
        <w:t>ation of how BOTOX</w:t>
      </w:r>
      <w:r>
        <w:rPr>
          <w:rFonts w:asciiTheme="minorHAnsi" w:hAnsiTheme="minorHAnsi" w:cstheme="minorHAnsi"/>
          <w:bCs/>
          <w:lang w:val="en-GB"/>
        </w:rPr>
        <w:t>®</w:t>
      </w:r>
      <w:r>
        <w:rPr>
          <w:rFonts w:asciiTheme="minorHAnsi" w:hAnsiTheme="minorHAnsi"/>
          <w:bCs/>
          <w:lang w:val="en-GB"/>
        </w:rPr>
        <w:t xml:space="preserve"> is used in patients who continue to respond to treatment and the appropriateness of limiting use to four treatments in the first year and two treatment per year from Year 2; </w:t>
      </w:r>
      <w:r w:rsidR="00BB0674" w:rsidRPr="00A93939">
        <w:rPr>
          <w:rFonts w:asciiTheme="minorHAnsi" w:hAnsiTheme="minorHAnsi"/>
          <w:bCs/>
          <w:lang w:val="en-GB"/>
        </w:rPr>
        <w:t xml:space="preserve">and </w:t>
      </w:r>
    </w:p>
    <w:p w:rsidR="00BB0674" w:rsidRDefault="00BB0674" w:rsidP="00F25EE1">
      <w:pPr>
        <w:numPr>
          <w:ilvl w:val="1"/>
          <w:numId w:val="46"/>
        </w:numPr>
        <w:spacing w:after="120"/>
        <w:ind w:left="1077" w:hanging="357"/>
        <w:rPr>
          <w:rFonts w:asciiTheme="minorHAnsi" w:hAnsiTheme="minorHAnsi"/>
          <w:bCs/>
          <w:lang w:val="en-GB"/>
        </w:rPr>
      </w:pPr>
      <w:proofErr w:type="gramStart"/>
      <w:r>
        <w:rPr>
          <w:rFonts w:asciiTheme="minorHAnsi" w:hAnsiTheme="minorHAnsi"/>
          <w:bCs/>
          <w:lang w:val="en-GB"/>
        </w:rPr>
        <w:t>the</w:t>
      </w:r>
      <w:proofErr w:type="gramEnd"/>
      <w:r>
        <w:rPr>
          <w:rFonts w:asciiTheme="minorHAnsi" w:hAnsiTheme="minorHAnsi"/>
          <w:bCs/>
          <w:lang w:val="en-GB"/>
        </w:rPr>
        <w:t xml:space="preserve"> change from baseline </w:t>
      </w:r>
      <w:r w:rsidR="00F25EE1">
        <w:rPr>
          <w:rFonts w:asciiTheme="minorHAnsi" w:hAnsiTheme="minorHAnsi"/>
          <w:bCs/>
          <w:lang w:val="en-GB"/>
        </w:rPr>
        <w:t xml:space="preserve">in </w:t>
      </w:r>
      <w:r>
        <w:rPr>
          <w:rFonts w:asciiTheme="minorHAnsi" w:hAnsiTheme="minorHAnsi"/>
          <w:bCs/>
          <w:lang w:val="en-GB"/>
        </w:rPr>
        <w:t xml:space="preserve">MAS </w:t>
      </w:r>
      <w:r w:rsidR="00F25EE1">
        <w:rPr>
          <w:rFonts w:asciiTheme="minorHAnsi" w:hAnsiTheme="minorHAnsi"/>
          <w:bCs/>
          <w:lang w:val="en-GB"/>
        </w:rPr>
        <w:t xml:space="preserve">score </w:t>
      </w:r>
      <w:r>
        <w:rPr>
          <w:rFonts w:asciiTheme="minorHAnsi" w:hAnsiTheme="minorHAnsi"/>
          <w:bCs/>
          <w:lang w:val="en-GB"/>
        </w:rPr>
        <w:t>after two treatments that would most accurately reflect a</w:t>
      </w:r>
      <w:r w:rsidR="00F25EE1">
        <w:rPr>
          <w:rFonts w:asciiTheme="minorHAnsi" w:hAnsiTheme="minorHAnsi"/>
          <w:bCs/>
          <w:lang w:val="en-GB"/>
        </w:rPr>
        <w:t xml:space="preserve"> patient relevant </w:t>
      </w:r>
      <w:r>
        <w:rPr>
          <w:rFonts w:asciiTheme="minorHAnsi" w:hAnsiTheme="minorHAnsi"/>
          <w:bCs/>
          <w:lang w:val="en-GB"/>
        </w:rPr>
        <w:t xml:space="preserve">clinical response (currently proposed as </w:t>
      </w:r>
      <w:r w:rsidR="009551F3">
        <w:rPr>
          <w:rFonts w:asciiTheme="minorHAnsi" w:hAnsiTheme="minorHAnsi"/>
          <w:bCs/>
          <w:lang w:val="en-GB"/>
        </w:rPr>
        <w:t xml:space="preserve">a change in MAS of </w:t>
      </w:r>
      <w:r>
        <w:rPr>
          <w:rFonts w:asciiTheme="minorHAnsi" w:hAnsiTheme="minorHAnsi"/>
          <w:bCs/>
          <w:lang w:val="en-GB"/>
        </w:rPr>
        <w:t>at least one point).</w:t>
      </w:r>
    </w:p>
    <w:p w:rsidR="009558EF" w:rsidRDefault="009558EF" w:rsidP="00DF7B2A">
      <w:pPr>
        <w:numPr>
          <w:ilvl w:val="1"/>
          <w:numId w:val="1"/>
        </w:numPr>
        <w:spacing w:after="120"/>
        <w:ind w:left="720"/>
        <w:rPr>
          <w:rFonts w:asciiTheme="minorHAnsi" w:hAnsiTheme="minorHAnsi"/>
          <w:bCs/>
          <w:lang w:val="en-GB"/>
        </w:rPr>
      </w:pPr>
      <w:r>
        <w:rPr>
          <w:rFonts w:asciiTheme="minorHAnsi" w:hAnsiTheme="minorHAnsi"/>
          <w:bCs/>
          <w:lang w:val="en-GB"/>
        </w:rPr>
        <w:t>In considering the comparative evidence following the first injection cycle, t</w:t>
      </w:r>
      <w:r w:rsidR="006B7F13">
        <w:rPr>
          <w:rFonts w:asciiTheme="minorHAnsi" w:hAnsiTheme="minorHAnsi"/>
          <w:bCs/>
          <w:lang w:val="en-GB"/>
        </w:rPr>
        <w:t>he PBAC noted that</w:t>
      </w:r>
      <w:r>
        <w:rPr>
          <w:rFonts w:asciiTheme="minorHAnsi" w:hAnsiTheme="minorHAnsi"/>
          <w:bCs/>
          <w:lang w:val="en-GB"/>
        </w:rPr>
        <w:t xml:space="preserve"> BOTOX</w:t>
      </w:r>
      <w:r w:rsidR="006B5227">
        <w:rPr>
          <w:rFonts w:asciiTheme="minorHAnsi" w:hAnsiTheme="minorHAnsi" w:cstheme="minorHAnsi"/>
          <w:bCs/>
          <w:lang w:val="en-GB"/>
        </w:rPr>
        <w:t>®</w:t>
      </w:r>
      <w:r w:rsidR="006B5227">
        <w:rPr>
          <w:rFonts w:asciiTheme="minorHAnsi" w:hAnsiTheme="minorHAnsi"/>
          <w:bCs/>
          <w:lang w:val="en-GB"/>
        </w:rPr>
        <w:t xml:space="preserve"> treatment</w:t>
      </w:r>
      <w:r>
        <w:rPr>
          <w:rFonts w:asciiTheme="minorHAnsi" w:hAnsiTheme="minorHAnsi"/>
          <w:bCs/>
          <w:lang w:val="en-GB"/>
        </w:rPr>
        <w:t xml:space="preserve"> </w:t>
      </w:r>
      <w:r w:rsidR="006B5227">
        <w:rPr>
          <w:rFonts w:asciiTheme="minorHAnsi" w:hAnsiTheme="minorHAnsi"/>
          <w:bCs/>
          <w:lang w:val="en-GB"/>
        </w:rPr>
        <w:t>resulted in</w:t>
      </w:r>
      <w:r>
        <w:rPr>
          <w:rFonts w:asciiTheme="minorHAnsi" w:hAnsiTheme="minorHAnsi"/>
          <w:bCs/>
          <w:lang w:val="en-GB"/>
        </w:rPr>
        <w:t>:</w:t>
      </w:r>
      <w:r w:rsidR="00397F19">
        <w:rPr>
          <w:rFonts w:asciiTheme="minorHAnsi" w:hAnsiTheme="minorHAnsi"/>
          <w:bCs/>
          <w:lang w:val="en-GB"/>
        </w:rPr>
        <w:t xml:space="preserve"> </w:t>
      </w:r>
    </w:p>
    <w:p w:rsidR="009558EF" w:rsidRDefault="006B5227" w:rsidP="006B5227">
      <w:pPr>
        <w:numPr>
          <w:ilvl w:val="1"/>
          <w:numId w:val="39"/>
        </w:numPr>
        <w:spacing w:after="120"/>
        <w:ind w:left="1077" w:hanging="357"/>
        <w:rPr>
          <w:rFonts w:asciiTheme="minorHAnsi" w:hAnsiTheme="minorHAnsi"/>
          <w:bCs/>
          <w:lang w:val="en-GB"/>
        </w:rPr>
      </w:pPr>
      <w:r>
        <w:rPr>
          <w:rFonts w:asciiTheme="minorHAnsi" w:hAnsiTheme="minorHAnsi"/>
          <w:bCs/>
          <w:lang w:val="en-GB"/>
        </w:rPr>
        <w:t>a</w:t>
      </w:r>
      <w:r w:rsidR="009558EF">
        <w:rPr>
          <w:rFonts w:asciiTheme="minorHAnsi" w:hAnsiTheme="minorHAnsi"/>
          <w:bCs/>
          <w:lang w:val="en-GB"/>
        </w:rPr>
        <w:t xml:space="preserve"> statistically significantly greater reduction in MAS from baseline compared to placebo, </w:t>
      </w:r>
      <w:r w:rsidR="00397F19">
        <w:rPr>
          <w:rFonts w:asciiTheme="minorHAnsi" w:hAnsiTheme="minorHAnsi"/>
          <w:bCs/>
          <w:lang w:val="en-GB"/>
        </w:rPr>
        <w:t xml:space="preserve">although </w:t>
      </w:r>
      <w:r w:rsidR="009558EF">
        <w:rPr>
          <w:rFonts w:asciiTheme="minorHAnsi" w:hAnsiTheme="minorHAnsi"/>
          <w:bCs/>
          <w:lang w:val="en-GB"/>
        </w:rPr>
        <w:t xml:space="preserve">this difference did </w:t>
      </w:r>
      <w:r w:rsidR="00397F19">
        <w:rPr>
          <w:rFonts w:asciiTheme="minorHAnsi" w:hAnsiTheme="minorHAnsi"/>
          <w:bCs/>
          <w:lang w:val="en-GB"/>
        </w:rPr>
        <w:t>not exceed the predefined minimal clinically important difference (MCID) of at least a one point reduction in MAS score</w:t>
      </w:r>
      <w:r>
        <w:rPr>
          <w:rFonts w:asciiTheme="minorHAnsi" w:hAnsiTheme="minorHAnsi"/>
          <w:bCs/>
          <w:lang w:val="en-GB"/>
        </w:rPr>
        <w:t>;</w:t>
      </w:r>
    </w:p>
    <w:p w:rsidR="009558EF" w:rsidRDefault="00397F19" w:rsidP="006B5227">
      <w:pPr>
        <w:numPr>
          <w:ilvl w:val="1"/>
          <w:numId w:val="39"/>
        </w:numPr>
        <w:spacing w:after="120"/>
        <w:ind w:left="1077" w:hanging="357"/>
        <w:rPr>
          <w:rFonts w:asciiTheme="minorHAnsi" w:hAnsiTheme="minorHAnsi"/>
          <w:bCs/>
          <w:lang w:val="en-GB"/>
        </w:rPr>
      </w:pPr>
      <w:r>
        <w:rPr>
          <w:rFonts w:asciiTheme="minorHAnsi" w:hAnsiTheme="minorHAnsi"/>
          <w:bCs/>
          <w:lang w:val="en-GB"/>
        </w:rPr>
        <w:t>a small, but statistically significant, proportion of MAS responders in both the REFLEX (</w:t>
      </w:r>
      <w:r w:rsidR="00F92019">
        <w:rPr>
          <w:rFonts w:asciiTheme="minorHAnsi" w:hAnsiTheme="minorHAnsi"/>
          <w:bCs/>
          <w:lang w:val="en-GB"/>
        </w:rPr>
        <w:t>maximum risk difference (RD) = 0.14; 95% confidence interval (CI): 0.05, 0.23) and 512 (maximum RD</w:t>
      </w:r>
      <w:r w:rsidR="009551F3">
        <w:rPr>
          <w:rFonts w:asciiTheme="minorHAnsi" w:hAnsiTheme="minorHAnsi"/>
          <w:bCs/>
          <w:lang w:val="en-GB"/>
        </w:rPr>
        <w:t xml:space="preserve"> =</w:t>
      </w:r>
      <w:r w:rsidR="00F92019">
        <w:rPr>
          <w:rFonts w:asciiTheme="minorHAnsi" w:hAnsiTheme="minorHAnsi"/>
          <w:bCs/>
          <w:lang w:val="en-GB"/>
        </w:rPr>
        <w:t xml:space="preserve"> 0.35; 95% CI: 0.18, 0.52) trials</w:t>
      </w:r>
      <w:r w:rsidR="009558EF">
        <w:rPr>
          <w:rFonts w:asciiTheme="minorHAnsi" w:hAnsiTheme="minorHAnsi"/>
          <w:bCs/>
          <w:lang w:val="en-GB"/>
        </w:rPr>
        <w:t xml:space="preserve">; </w:t>
      </w:r>
      <w:r w:rsidR="006B5227">
        <w:rPr>
          <w:rFonts w:asciiTheme="minorHAnsi" w:hAnsiTheme="minorHAnsi"/>
          <w:bCs/>
          <w:lang w:val="en-GB"/>
        </w:rPr>
        <w:t>and</w:t>
      </w:r>
      <w:r w:rsidR="00F92019">
        <w:rPr>
          <w:rFonts w:asciiTheme="minorHAnsi" w:hAnsiTheme="minorHAnsi"/>
          <w:bCs/>
          <w:lang w:val="en-GB"/>
        </w:rPr>
        <w:t xml:space="preserve"> </w:t>
      </w:r>
    </w:p>
    <w:p w:rsidR="009558EF" w:rsidRDefault="009558EF" w:rsidP="006B5227">
      <w:pPr>
        <w:numPr>
          <w:ilvl w:val="1"/>
          <w:numId w:val="39"/>
        </w:numPr>
        <w:spacing w:after="120"/>
        <w:ind w:left="1077" w:hanging="357"/>
        <w:rPr>
          <w:rFonts w:asciiTheme="minorHAnsi" w:hAnsiTheme="minorHAnsi"/>
          <w:bCs/>
          <w:lang w:val="en-GB"/>
        </w:rPr>
      </w:pPr>
      <w:proofErr w:type="gramStart"/>
      <w:r>
        <w:rPr>
          <w:rFonts w:asciiTheme="minorHAnsi" w:hAnsiTheme="minorHAnsi"/>
          <w:bCs/>
          <w:lang w:val="en-GB"/>
        </w:rPr>
        <w:t>some</w:t>
      </w:r>
      <w:proofErr w:type="gramEnd"/>
      <w:r>
        <w:rPr>
          <w:rFonts w:asciiTheme="minorHAnsi" w:hAnsiTheme="minorHAnsi"/>
          <w:bCs/>
          <w:lang w:val="en-GB"/>
        </w:rPr>
        <w:t xml:space="preserve"> </w:t>
      </w:r>
      <w:r w:rsidR="00E626D6">
        <w:rPr>
          <w:rFonts w:asciiTheme="minorHAnsi" w:hAnsiTheme="minorHAnsi"/>
          <w:bCs/>
          <w:lang w:val="en-GB"/>
        </w:rPr>
        <w:t xml:space="preserve">statistically </w:t>
      </w:r>
      <w:r>
        <w:rPr>
          <w:rFonts w:asciiTheme="minorHAnsi" w:hAnsiTheme="minorHAnsi"/>
          <w:bCs/>
          <w:lang w:val="en-GB"/>
        </w:rPr>
        <w:t>significant improvements in Clinical Global Impression scores and Goal Attainment Scores</w:t>
      </w:r>
      <w:r w:rsidR="006B5227">
        <w:rPr>
          <w:rFonts w:asciiTheme="minorHAnsi" w:hAnsiTheme="minorHAnsi"/>
          <w:bCs/>
          <w:lang w:val="en-GB"/>
        </w:rPr>
        <w:t>.</w:t>
      </w:r>
      <w:r>
        <w:rPr>
          <w:rFonts w:asciiTheme="minorHAnsi" w:hAnsiTheme="minorHAnsi"/>
          <w:bCs/>
          <w:lang w:val="en-GB"/>
        </w:rPr>
        <w:t xml:space="preserve">  </w:t>
      </w:r>
    </w:p>
    <w:p w:rsidR="00DF2ED3" w:rsidRDefault="00DF2ED3" w:rsidP="00FB09E7">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w:t>
      </w:r>
      <w:r>
        <w:rPr>
          <w:rFonts w:asciiTheme="minorHAnsi" w:hAnsiTheme="minorHAnsi"/>
          <w:bCs/>
          <w:lang w:val="en-GB"/>
        </w:rPr>
        <w:t xml:space="preserve">considered that the </w:t>
      </w:r>
      <w:r w:rsidRPr="00542F09">
        <w:rPr>
          <w:rFonts w:asciiTheme="minorHAnsi" w:hAnsiTheme="minorHAnsi"/>
          <w:bCs/>
          <w:lang w:val="en-GB"/>
        </w:rPr>
        <w:t xml:space="preserve">magnitude of the benefit </w:t>
      </w:r>
      <w:r>
        <w:rPr>
          <w:rFonts w:asciiTheme="minorHAnsi" w:hAnsiTheme="minorHAnsi"/>
          <w:bCs/>
          <w:lang w:val="en-GB"/>
        </w:rPr>
        <w:t>of BOTOX</w:t>
      </w:r>
      <w:r>
        <w:rPr>
          <w:rFonts w:asciiTheme="minorHAnsi" w:hAnsiTheme="minorHAnsi" w:cstheme="minorHAnsi"/>
          <w:bCs/>
          <w:lang w:val="en-GB"/>
        </w:rPr>
        <w:t>®</w:t>
      </w:r>
      <w:r>
        <w:rPr>
          <w:rFonts w:asciiTheme="minorHAnsi" w:hAnsiTheme="minorHAnsi"/>
          <w:bCs/>
          <w:lang w:val="en-GB"/>
        </w:rPr>
        <w:t xml:space="preserve"> </w:t>
      </w:r>
      <w:r w:rsidRPr="00542F09">
        <w:rPr>
          <w:rFonts w:asciiTheme="minorHAnsi" w:hAnsiTheme="minorHAnsi"/>
          <w:bCs/>
          <w:lang w:val="en-GB"/>
        </w:rPr>
        <w:t>was s</w:t>
      </w:r>
      <w:r>
        <w:rPr>
          <w:rFonts w:asciiTheme="minorHAnsi" w:hAnsiTheme="minorHAnsi"/>
          <w:bCs/>
          <w:lang w:val="en-GB"/>
        </w:rPr>
        <w:t xml:space="preserve">mall following the first cycle and, although comparative data were unavailable beyond the first cycle, the PBAC </w:t>
      </w:r>
      <w:r w:rsidR="001E4897">
        <w:rPr>
          <w:rFonts w:asciiTheme="minorHAnsi" w:hAnsiTheme="minorHAnsi"/>
          <w:bCs/>
          <w:lang w:val="en-GB"/>
        </w:rPr>
        <w:t xml:space="preserve">noted </w:t>
      </w:r>
      <w:r w:rsidR="008E2A52">
        <w:rPr>
          <w:rFonts w:asciiTheme="minorHAnsi" w:hAnsiTheme="minorHAnsi"/>
          <w:bCs/>
          <w:lang w:val="en-GB"/>
        </w:rPr>
        <w:t xml:space="preserve">that continued </w:t>
      </w:r>
      <w:r w:rsidR="001E4897">
        <w:rPr>
          <w:rFonts w:asciiTheme="minorHAnsi" w:hAnsiTheme="minorHAnsi"/>
          <w:bCs/>
          <w:lang w:val="en-GB"/>
        </w:rPr>
        <w:t>responses were observed in those who chose to continue with subsequent treatments</w:t>
      </w:r>
      <w:r w:rsidRPr="00542F09">
        <w:rPr>
          <w:rFonts w:asciiTheme="minorHAnsi" w:hAnsiTheme="minorHAnsi"/>
          <w:bCs/>
          <w:lang w:val="en-GB"/>
        </w:rPr>
        <w:t>.</w:t>
      </w:r>
      <w:r w:rsidR="009558EF">
        <w:rPr>
          <w:rFonts w:asciiTheme="minorHAnsi" w:hAnsiTheme="minorHAnsi"/>
          <w:bCs/>
          <w:lang w:val="en-GB"/>
        </w:rPr>
        <w:t xml:space="preserve"> </w:t>
      </w:r>
    </w:p>
    <w:p w:rsidR="00DF2ED3" w:rsidRDefault="00DF2ED3" w:rsidP="00DF2ED3">
      <w:pPr>
        <w:numPr>
          <w:ilvl w:val="1"/>
          <w:numId w:val="1"/>
        </w:numPr>
        <w:spacing w:after="120"/>
        <w:ind w:left="720"/>
        <w:rPr>
          <w:rFonts w:asciiTheme="minorHAnsi" w:hAnsiTheme="minorHAnsi"/>
          <w:bCs/>
          <w:lang w:val="en-GB"/>
        </w:rPr>
      </w:pPr>
      <w:r>
        <w:rPr>
          <w:rFonts w:asciiTheme="minorHAnsi" w:hAnsiTheme="minorHAnsi"/>
          <w:bCs/>
          <w:lang w:val="en-GB"/>
        </w:rPr>
        <w:t>The PBAC considered that BOTOX</w:t>
      </w:r>
      <w:r>
        <w:rPr>
          <w:rFonts w:asciiTheme="minorHAnsi" w:hAnsiTheme="minorHAnsi" w:cstheme="minorHAnsi"/>
          <w:bCs/>
          <w:lang w:val="en-GB"/>
        </w:rPr>
        <w:t>®</w:t>
      </w:r>
      <w:r>
        <w:rPr>
          <w:rFonts w:asciiTheme="minorHAnsi" w:hAnsiTheme="minorHAnsi"/>
          <w:bCs/>
          <w:lang w:val="en-GB"/>
        </w:rPr>
        <w:t xml:space="preserve"> was inferior in terms of safety </w:t>
      </w:r>
      <w:r w:rsidR="00454806">
        <w:rPr>
          <w:rFonts w:asciiTheme="minorHAnsi" w:hAnsiTheme="minorHAnsi"/>
          <w:bCs/>
          <w:lang w:val="en-GB"/>
        </w:rPr>
        <w:t xml:space="preserve">compared </w:t>
      </w:r>
      <w:r>
        <w:rPr>
          <w:rFonts w:asciiTheme="minorHAnsi" w:hAnsiTheme="minorHAnsi"/>
          <w:bCs/>
          <w:lang w:val="en-GB"/>
        </w:rPr>
        <w:t xml:space="preserve">to standard </w:t>
      </w:r>
      <w:r w:rsidR="001E4897">
        <w:rPr>
          <w:rFonts w:asciiTheme="minorHAnsi" w:hAnsiTheme="minorHAnsi"/>
          <w:bCs/>
          <w:lang w:val="en-GB"/>
        </w:rPr>
        <w:t>of care</w:t>
      </w:r>
      <w:r w:rsidR="00454806">
        <w:rPr>
          <w:rFonts w:asciiTheme="minorHAnsi" w:hAnsiTheme="minorHAnsi"/>
          <w:bCs/>
          <w:lang w:val="en-GB"/>
        </w:rPr>
        <w:t>/placebo</w:t>
      </w:r>
      <w:r>
        <w:rPr>
          <w:rFonts w:asciiTheme="minorHAnsi" w:hAnsiTheme="minorHAnsi"/>
          <w:bCs/>
          <w:lang w:val="en-GB"/>
        </w:rPr>
        <w:t>.</w:t>
      </w:r>
    </w:p>
    <w:p w:rsidR="00673FCD" w:rsidRPr="00B638AF" w:rsidRDefault="00105A7A" w:rsidP="00673EB8">
      <w:pPr>
        <w:numPr>
          <w:ilvl w:val="1"/>
          <w:numId w:val="1"/>
        </w:numPr>
        <w:spacing w:after="120"/>
        <w:ind w:left="720"/>
        <w:rPr>
          <w:rFonts w:asciiTheme="minorHAnsi" w:hAnsiTheme="minorHAnsi"/>
          <w:bCs/>
          <w:lang w:val="en-GB"/>
        </w:rPr>
      </w:pPr>
      <w:r w:rsidRPr="00B638AF">
        <w:rPr>
          <w:rFonts w:asciiTheme="minorHAnsi" w:hAnsiTheme="minorHAnsi"/>
          <w:bCs/>
          <w:lang w:val="en-GB"/>
        </w:rPr>
        <w:lastRenderedPageBreak/>
        <w:t xml:space="preserve">The PBAC noted that the economic model </w:t>
      </w:r>
      <w:r w:rsidR="00977813" w:rsidRPr="00B638AF">
        <w:rPr>
          <w:rFonts w:asciiTheme="minorHAnsi" w:hAnsiTheme="minorHAnsi"/>
          <w:bCs/>
          <w:lang w:val="en-GB"/>
        </w:rPr>
        <w:t xml:space="preserve">was </w:t>
      </w:r>
      <w:r w:rsidR="00673FCD" w:rsidRPr="00B638AF">
        <w:rPr>
          <w:rFonts w:asciiTheme="minorHAnsi" w:hAnsiTheme="minorHAnsi"/>
          <w:bCs/>
          <w:lang w:val="en-GB"/>
        </w:rPr>
        <w:t>a cost-utility analysis based on a stepped evaluation of the MAS results from the REFLEX trial. The PBAC considered that the approach was appropriate</w:t>
      </w:r>
      <w:r w:rsidR="00B638AF" w:rsidRPr="00B638AF">
        <w:rPr>
          <w:rFonts w:asciiTheme="minorHAnsi" w:hAnsiTheme="minorHAnsi"/>
          <w:bCs/>
          <w:lang w:val="en-GB"/>
        </w:rPr>
        <w:t xml:space="preserve"> and that the </w:t>
      </w:r>
      <w:r w:rsidR="00FB4C52">
        <w:rPr>
          <w:rFonts w:asciiTheme="minorHAnsi" w:hAnsiTheme="minorHAnsi"/>
          <w:bCs/>
          <w:lang w:val="en-GB"/>
        </w:rPr>
        <w:t>model time horizon (five</w:t>
      </w:r>
      <w:r w:rsidR="00673FCD" w:rsidRPr="00B638AF">
        <w:rPr>
          <w:rFonts w:asciiTheme="minorHAnsi" w:hAnsiTheme="minorHAnsi"/>
          <w:bCs/>
          <w:lang w:val="en-GB"/>
        </w:rPr>
        <w:t xml:space="preserve"> years) was consistent with the clinical view.</w:t>
      </w:r>
    </w:p>
    <w:p w:rsidR="00A10658" w:rsidRDefault="00512807" w:rsidP="00673EB8">
      <w:pPr>
        <w:numPr>
          <w:ilvl w:val="1"/>
          <w:numId w:val="1"/>
        </w:numPr>
        <w:spacing w:after="120"/>
        <w:ind w:left="720"/>
        <w:rPr>
          <w:rFonts w:asciiTheme="minorHAnsi" w:hAnsiTheme="minorHAnsi"/>
          <w:bCs/>
          <w:lang w:val="en-GB"/>
        </w:rPr>
      </w:pPr>
      <w:r>
        <w:rPr>
          <w:rFonts w:asciiTheme="minorHAnsi" w:hAnsiTheme="minorHAnsi"/>
          <w:bCs/>
          <w:lang w:val="en-GB"/>
        </w:rPr>
        <w:t xml:space="preserve">The PBAC noted that the model was based on the proposed continuation criteria, that is, those who had a reduction in MAS of at least one were considered to continue receive treatment beyond two cycles. </w:t>
      </w:r>
      <w:r w:rsidR="00FB4C52" w:rsidRPr="009551F3">
        <w:rPr>
          <w:rFonts w:asciiTheme="minorHAnsi" w:hAnsiTheme="minorHAnsi"/>
          <w:bCs/>
          <w:lang w:val="en-GB"/>
        </w:rPr>
        <w:t>The PBAC considered th</w:t>
      </w:r>
      <w:r w:rsidR="00FC78C5" w:rsidRPr="009551F3">
        <w:rPr>
          <w:rFonts w:asciiTheme="minorHAnsi" w:hAnsiTheme="minorHAnsi"/>
          <w:bCs/>
          <w:lang w:val="en-GB"/>
        </w:rPr>
        <w:t xml:space="preserve">e use of the </w:t>
      </w:r>
      <w:r w:rsidR="00DA6BF1" w:rsidRPr="009551F3">
        <w:rPr>
          <w:rFonts w:asciiTheme="minorHAnsi" w:hAnsiTheme="minorHAnsi"/>
          <w:bCs/>
          <w:lang w:val="en-GB"/>
        </w:rPr>
        <w:t xml:space="preserve">proposed </w:t>
      </w:r>
      <w:r w:rsidR="00FC78C5" w:rsidRPr="009551F3">
        <w:rPr>
          <w:rFonts w:asciiTheme="minorHAnsi" w:hAnsiTheme="minorHAnsi"/>
          <w:bCs/>
          <w:lang w:val="en-GB"/>
        </w:rPr>
        <w:t xml:space="preserve">continuation criteria in the model was </w:t>
      </w:r>
      <w:r w:rsidR="002B678B" w:rsidRPr="009551F3">
        <w:rPr>
          <w:rFonts w:asciiTheme="minorHAnsi" w:hAnsiTheme="minorHAnsi"/>
          <w:bCs/>
          <w:lang w:val="en-GB"/>
        </w:rPr>
        <w:t>reasonable</w:t>
      </w:r>
      <w:r w:rsidR="00DA6BF1" w:rsidRPr="009551F3">
        <w:rPr>
          <w:rFonts w:asciiTheme="minorHAnsi" w:hAnsiTheme="minorHAnsi"/>
          <w:bCs/>
          <w:lang w:val="en-GB"/>
        </w:rPr>
        <w:t xml:space="preserve"> and that a change in MAS score of </w:t>
      </w:r>
      <w:r w:rsidR="002B678B" w:rsidRPr="009551F3">
        <w:rPr>
          <w:rFonts w:asciiTheme="minorHAnsi" w:hAnsiTheme="minorHAnsi"/>
          <w:bCs/>
          <w:lang w:val="en-GB"/>
        </w:rPr>
        <w:t>at least</w:t>
      </w:r>
      <w:r w:rsidR="00DA6BF1" w:rsidRPr="009551F3">
        <w:rPr>
          <w:rFonts w:asciiTheme="minorHAnsi" w:hAnsiTheme="minorHAnsi"/>
          <w:bCs/>
          <w:lang w:val="en-GB"/>
        </w:rPr>
        <w:t xml:space="preserve"> one, </w:t>
      </w:r>
      <w:r w:rsidR="002B678B" w:rsidRPr="009551F3">
        <w:rPr>
          <w:rFonts w:asciiTheme="minorHAnsi" w:hAnsiTheme="minorHAnsi"/>
          <w:bCs/>
          <w:lang w:val="en-GB"/>
        </w:rPr>
        <w:t>although inc</w:t>
      </w:r>
      <w:r w:rsidR="00DA6BF1" w:rsidRPr="009551F3">
        <w:rPr>
          <w:rFonts w:asciiTheme="minorHAnsi" w:hAnsiTheme="minorHAnsi"/>
          <w:bCs/>
          <w:lang w:val="en-GB"/>
        </w:rPr>
        <w:t>onsistent with the current continuing cr</w:t>
      </w:r>
      <w:r w:rsidR="00654BBC" w:rsidRPr="009551F3">
        <w:rPr>
          <w:rFonts w:asciiTheme="minorHAnsi" w:hAnsiTheme="minorHAnsi"/>
          <w:bCs/>
          <w:lang w:val="en-GB"/>
        </w:rPr>
        <w:t>i</w:t>
      </w:r>
      <w:r w:rsidR="00DA6BF1" w:rsidRPr="009551F3">
        <w:rPr>
          <w:rFonts w:asciiTheme="minorHAnsi" w:hAnsiTheme="minorHAnsi"/>
          <w:bCs/>
          <w:lang w:val="en-GB"/>
        </w:rPr>
        <w:t xml:space="preserve">teria for upper limb spasticity, </w:t>
      </w:r>
      <w:r w:rsidR="002B678B" w:rsidRPr="009551F3">
        <w:rPr>
          <w:rFonts w:asciiTheme="minorHAnsi" w:hAnsiTheme="minorHAnsi"/>
          <w:bCs/>
          <w:lang w:val="en-GB"/>
        </w:rPr>
        <w:t>was consistent with the trial evidence.</w:t>
      </w:r>
      <w:r w:rsidR="00FB4C52">
        <w:rPr>
          <w:rFonts w:asciiTheme="minorHAnsi" w:hAnsiTheme="minorHAnsi"/>
          <w:bCs/>
          <w:lang w:val="en-GB"/>
        </w:rPr>
        <w:t xml:space="preserve"> However,</w:t>
      </w:r>
      <w:r w:rsidR="002B678B">
        <w:rPr>
          <w:rFonts w:asciiTheme="minorHAnsi" w:hAnsiTheme="minorHAnsi"/>
          <w:bCs/>
          <w:lang w:val="en-GB"/>
        </w:rPr>
        <w:t xml:space="preserve"> given the inconsistency with the existing upper limb continuation criteria, </w:t>
      </w:r>
      <w:r w:rsidR="009551F3">
        <w:rPr>
          <w:rFonts w:asciiTheme="minorHAnsi" w:hAnsiTheme="minorHAnsi"/>
          <w:bCs/>
          <w:lang w:val="en-GB"/>
        </w:rPr>
        <w:t xml:space="preserve">the PBAC considered that </w:t>
      </w:r>
      <w:r w:rsidR="002B678B">
        <w:rPr>
          <w:rFonts w:asciiTheme="minorHAnsi" w:hAnsiTheme="minorHAnsi"/>
          <w:bCs/>
          <w:lang w:val="en-GB"/>
        </w:rPr>
        <w:t>applying alternative criteria as sensitivity analyses would be informative. T</w:t>
      </w:r>
      <w:r w:rsidR="00FB4C52">
        <w:rPr>
          <w:rFonts w:asciiTheme="minorHAnsi" w:hAnsiTheme="minorHAnsi"/>
          <w:bCs/>
          <w:lang w:val="en-GB"/>
        </w:rPr>
        <w:t xml:space="preserve">he model applied a constant probability of response </w:t>
      </w:r>
      <w:r w:rsidR="00A10658">
        <w:rPr>
          <w:rFonts w:asciiTheme="minorHAnsi" w:hAnsiTheme="minorHAnsi"/>
          <w:bCs/>
          <w:lang w:val="en-GB"/>
        </w:rPr>
        <w:t>0.9276 over the five year time horizon.</w:t>
      </w:r>
      <w:r w:rsidR="00FB4C52">
        <w:rPr>
          <w:rFonts w:asciiTheme="minorHAnsi" w:hAnsiTheme="minorHAnsi"/>
          <w:bCs/>
          <w:lang w:val="en-GB"/>
        </w:rPr>
        <w:t xml:space="preserve"> The PBAC considered that this approach resulted </w:t>
      </w:r>
      <w:r w:rsidR="00867294">
        <w:rPr>
          <w:rFonts w:asciiTheme="minorHAnsi" w:hAnsiTheme="minorHAnsi"/>
          <w:bCs/>
          <w:lang w:val="en-GB"/>
        </w:rPr>
        <w:t xml:space="preserve">in </w:t>
      </w:r>
      <w:r w:rsidR="00FB4C52">
        <w:rPr>
          <w:rFonts w:asciiTheme="minorHAnsi" w:hAnsiTheme="minorHAnsi"/>
          <w:bCs/>
          <w:lang w:val="en-GB"/>
        </w:rPr>
        <w:t xml:space="preserve">a considerably higher proportion of patients achieving a </w:t>
      </w:r>
      <w:r w:rsidR="00A10658">
        <w:rPr>
          <w:rFonts w:asciiTheme="minorHAnsi" w:hAnsiTheme="minorHAnsi"/>
          <w:bCs/>
          <w:lang w:val="en-GB"/>
        </w:rPr>
        <w:t xml:space="preserve">continued </w:t>
      </w:r>
      <w:r w:rsidR="00FB4C52">
        <w:rPr>
          <w:rFonts w:asciiTheme="minorHAnsi" w:hAnsiTheme="minorHAnsi"/>
          <w:bCs/>
          <w:lang w:val="en-GB"/>
        </w:rPr>
        <w:t>response in the model compared to</w:t>
      </w:r>
      <w:r w:rsidR="00FC78C5">
        <w:rPr>
          <w:rFonts w:asciiTheme="minorHAnsi" w:hAnsiTheme="minorHAnsi"/>
          <w:bCs/>
          <w:lang w:val="en-GB"/>
        </w:rPr>
        <w:t xml:space="preserve"> in</w:t>
      </w:r>
      <w:r w:rsidR="00FB4C52">
        <w:rPr>
          <w:rFonts w:asciiTheme="minorHAnsi" w:hAnsiTheme="minorHAnsi"/>
          <w:bCs/>
          <w:lang w:val="en-GB"/>
        </w:rPr>
        <w:t xml:space="preserve"> the </w:t>
      </w:r>
      <w:r w:rsidR="00867294">
        <w:rPr>
          <w:rFonts w:asciiTheme="minorHAnsi" w:hAnsiTheme="minorHAnsi"/>
          <w:bCs/>
          <w:lang w:val="en-GB"/>
        </w:rPr>
        <w:t xml:space="preserve">REFLEX </w:t>
      </w:r>
      <w:r w:rsidR="00FB4C52">
        <w:rPr>
          <w:rFonts w:asciiTheme="minorHAnsi" w:hAnsiTheme="minorHAnsi"/>
          <w:bCs/>
          <w:lang w:val="en-GB"/>
        </w:rPr>
        <w:t>trial</w:t>
      </w:r>
      <w:r w:rsidR="00867294">
        <w:rPr>
          <w:rFonts w:asciiTheme="minorHAnsi" w:hAnsiTheme="minorHAnsi"/>
          <w:bCs/>
          <w:lang w:val="en-GB"/>
        </w:rPr>
        <w:t xml:space="preserve"> (in which 18% of patients discontinued treatment in the open label phase) and the May 2018 DUSC report (in which 68% of patients received less than four cycles of botulinum toxin). </w:t>
      </w:r>
      <w:r w:rsidR="00DD6926">
        <w:rPr>
          <w:rFonts w:asciiTheme="minorHAnsi" w:hAnsiTheme="minorHAnsi"/>
          <w:bCs/>
          <w:lang w:val="en-GB"/>
        </w:rPr>
        <w:t xml:space="preserve">In addition, the PBAC noted that the incremental cost-effectiveness ratio was highly sensitive to changes to the probability of response. </w:t>
      </w:r>
    </w:p>
    <w:p w:rsidR="00DD6926" w:rsidRDefault="00DD6926" w:rsidP="00673EB8">
      <w:pPr>
        <w:numPr>
          <w:ilvl w:val="1"/>
          <w:numId w:val="1"/>
        </w:numPr>
        <w:spacing w:after="120"/>
        <w:ind w:left="720"/>
        <w:rPr>
          <w:rFonts w:asciiTheme="minorHAnsi" w:hAnsiTheme="minorHAnsi"/>
          <w:bCs/>
          <w:lang w:val="en-GB"/>
        </w:rPr>
      </w:pPr>
      <w:r>
        <w:rPr>
          <w:rFonts w:asciiTheme="minorHAnsi" w:hAnsiTheme="minorHAnsi"/>
          <w:bCs/>
          <w:lang w:val="en-GB"/>
        </w:rPr>
        <w:t>The PBAC considered that a more appropriate base case would:</w:t>
      </w:r>
    </w:p>
    <w:p w:rsidR="00BE4727" w:rsidRDefault="009551F3" w:rsidP="00BE4727">
      <w:pPr>
        <w:numPr>
          <w:ilvl w:val="1"/>
          <w:numId w:val="40"/>
        </w:numPr>
        <w:spacing w:after="120"/>
        <w:ind w:left="1077" w:hanging="357"/>
        <w:rPr>
          <w:rFonts w:asciiTheme="minorHAnsi" w:hAnsiTheme="minorHAnsi"/>
          <w:bCs/>
          <w:lang w:val="en-GB"/>
        </w:rPr>
      </w:pPr>
      <w:r>
        <w:rPr>
          <w:rFonts w:asciiTheme="minorHAnsi" w:hAnsiTheme="minorHAnsi"/>
          <w:bCs/>
          <w:lang w:val="en-GB"/>
        </w:rPr>
        <w:t>i</w:t>
      </w:r>
      <w:r w:rsidR="00356BAF">
        <w:rPr>
          <w:rFonts w:asciiTheme="minorHAnsi" w:hAnsiTheme="minorHAnsi"/>
          <w:bCs/>
          <w:lang w:val="en-GB"/>
        </w:rPr>
        <w:t>ncorporate the discontinuations observed in the open label phase of the REFLEX trial (18%) as non-responders</w:t>
      </w:r>
      <w:r w:rsidR="00BE4727">
        <w:rPr>
          <w:rFonts w:asciiTheme="minorHAnsi" w:hAnsiTheme="minorHAnsi"/>
          <w:bCs/>
          <w:lang w:val="en-GB"/>
        </w:rPr>
        <w:t>;</w:t>
      </w:r>
    </w:p>
    <w:p w:rsidR="00BE4727" w:rsidRDefault="009551F3" w:rsidP="008B0C93">
      <w:pPr>
        <w:numPr>
          <w:ilvl w:val="1"/>
          <w:numId w:val="40"/>
        </w:numPr>
        <w:spacing w:after="120"/>
        <w:ind w:left="1077" w:hanging="357"/>
        <w:rPr>
          <w:rFonts w:asciiTheme="minorHAnsi" w:hAnsiTheme="minorHAnsi"/>
          <w:bCs/>
          <w:lang w:val="en-GB"/>
        </w:rPr>
      </w:pPr>
      <w:r>
        <w:rPr>
          <w:rFonts w:asciiTheme="minorHAnsi" w:hAnsiTheme="minorHAnsi"/>
          <w:bCs/>
          <w:lang w:val="en-GB"/>
        </w:rPr>
        <w:t>a</w:t>
      </w:r>
      <w:r w:rsidR="00BE4727">
        <w:rPr>
          <w:rFonts w:asciiTheme="minorHAnsi" w:hAnsiTheme="minorHAnsi"/>
          <w:bCs/>
          <w:lang w:val="en-GB"/>
        </w:rPr>
        <w:t>pply a</w:t>
      </w:r>
      <w:r w:rsidR="00DD6926">
        <w:rPr>
          <w:rFonts w:asciiTheme="minorHAnsi" w:hAnsiTheme="minorHAnsi"/>
          <w:bCs/>
          <w:lang w:val="en-GB"/>
        </w:rPr>
        <w:t xml:space="preserve"> frequency of retreatment that was consistent with th</w:t>
      </w:r>
      <w:r>
        <w:rPr>
          <w:rFonts w:asciiTheme="minorHAnsi" w:hAnsiTheme="minorHAnsi"/>
          <w:bCs/>
          <w:lang w:val="en-GB"/>
        </w:rPr>
        <w:t>at suggested by the PBAC, i.e. four</w:t>
      </w:r>
      <w:r w:rsidR="00DD6926">
        <w:rPr>
          <w:rFonts w:asciiTheme="minorHAnsi" w:hAnsiTheme="minorHAnsi"/>
          <w:bCs/>
          <w:lang w:val="en-GB"/>
        </w:rPr>
        <w:t xml:space="preserve"> treatments </w:t>
      </w:r>
      <w:r>
        <w:rPr>
          <w:rFonts w:asciiTheme="minorHAnsi" w:hAnsiTheme="minorHAnsi"/>
          <w:bCs/>
          <w:lang w:val="en-GB"/>
        </w:rPr>
        <w:t>in the first year, followed by two</w:t>
      </w:r>
      <w:r w:rsidR="00BE4727">
        <w:rPr>
          <w:rFonts w:asciiTheme="minorHAnsi" w:hAnsiTheme="minorHAnsi"/>
          <w:bCs/>
          <w:lang w:val="en-GB"/>
        </w:rPr>
        <w:t xml:space="preserve"> treatments in subsequent years</w:t>
      </w:r>
      <w:r w:rsidR="0053184F">
        <w:rPr>
          <w:rFonts w:asciiTheme="minorHAnsi" w:hAnsiTheme="minorHAnsi"/>
          <w:bCs/>
          <w:lang w:val="en-GB"/>
        </w:rPr>
        <w:t xml:space="preserve">; </w:t>
      </w:r>
    </w:p>
    <w:p w:rsidR="00356BAF" w:rsidRDefault="009551F3" w:rsidP="008B0C93">
      <w:pPr>
        <w:numPr>
          <w:ilvl w:val="1"/>
          <w:numId w:val="40"/>
        </w:numPr>
        <w:spacing w:after="120"/>
        <w:ind w:left="1077" w:hanging="357"/>
        <w:rPr>
          <w:rFonts w:asciiTheme="minorHAnsi" w:hAnsiTheme="minorHAnsi"/>
          <w:bCs/>
          <w:lang w:val="en-GB"/>
        </w:rPr>
      </w:pPr>
      <w:r>
        <w:rPr>
          <w:rFonts w:asciiTheme="minorHAnsi" w:hAnsiTheme="minorHAnsi"/>
          <w:bCs/>
          <w:lang w:val="en-GB"/>
        </w:rPr>
        <w:t>a</w:t>
      </w:r>
      <w:r w:rsidR="00356BAF">
        <w:rPr>
          <w:rFonts w:asciiTheme="minorHAnsi" w:hAnsiTheme="minorHAnsi"/>
          <w:bCs/>
          <w:lang w:val="en-GB"/>
        </w:rPr>
        <w:t>pply the non-responder utility value to the last-line health state, as recommended by ESC</w:t>
      </w:r>
      <w:r w:rsidR="00A20421">
        <w:rPr>
          <w:rFonts w:asciiTheme="minorHAnsi" w:hAnsiTheme="minorHAnsi"/>
          <w:bCs/>
          <w:lang w:val="en-GB"/>
        </w:rPr>
        <w:t>;</w:t>
      </w:r>
      <w:r>
        <w:rPr>
          <w:rFonts w:asciiTheme="minorHAnsi" w:hAnsiTheme="minorHAnsi"/>
          <w:bCs/>
          <w:lang w:val="en-GB"/>
        </w:rPr>
        <w:t xml:space="preserve"> and</w:t>
      </w:r>
    </w:p>
    <w:p w:rsidR="00A20421" w:rsidRPr="008B0C93" w:rsidRDefault="009551F3" w:rsidP="008B0C93">
      <w:pPr>
        <w:numPr>
          <w:ilvl w:val="1"/>
          <w:numId w:val="40"/>
        </w:numPr>
        <w:spacing w:after="120"/>
        <w:ind w:left="1077" w:hanging="357"/>
        <w:rPr>
          <w:rFonts w:asciiTheme="minorHAnsi" w:hAnsiTheme="minorHAnsi"/>
          <w:bCs/>
          <w:lang w:val="en-GB"/>
        </w:rPr>
      </w:pPr>
      <w:proofErr w:type="gramStart"/>
      <w:r>
        <w:rPr>
          <w:rFonts w:asciiTheme="minorHAnsi" w:hAnsiTheme="minorHAnsi"/>
          <w:bCs/>
          <w:lang w:val="en-GB"/>
        </w:rPr>
        <w:t>r</w:t>
      </w:r>
      <w:r w:rsidR="00A20421">
        <w:rPr>
          <w:rFonts w:asciiTheme="minorHAnsi" w:hAnsiTheme="minorHAnsi"/>
          <w:bCs/>
          <w:lang w:val="en-GB"/>
        </w:rPr>
        <w:t>esult</w:t>
      </w:r>
      <w:proofErr w:type="gramEnd"/>
      <w:r w:rsidR="00A20421">
        <w:rPr>
          <w:rFonts w:asciiTheme="minorHAnsi" w:hAnsiTheme="minorHAnsi"/>
          <w:bCs/>
          <w:lang w:val="en-GB"/>
        </w:rPr>
        <w:t xml:space="preserve"> in an ICER of </w:t>
      </w:r>
      <w:r w:rsidR="008800EE">
        <w:rPr>
          <w:rFonts w:asciiTheme="minorHAnsi" w:hAnsiTheme="minorHAnsi"/>
          <w:bCs/>
          <w:lang w:val="en-GB"/>
        </w:rPr>
        <w:t>$15,000</w:t>
      </w:r>
      <w:r w:rsidR="008D7638">
        <w:rPr>
          <w:rFonts w:asciiTheme="minorHAnsi" w:hAnsiTheme="minorHAnsi"/>
          <w:bCs/>
          <w:lang w:val="en-GB"/>
        </w:rPr>
        <w:t xml:space="preserve"> - $45,000</w:t>
      </w:r>
      <w:r w:rsidR="008800EE">
        <w:rPr>
          <w:rFonts w:asciiTheme="minorHAnsi" w:hAnsiTheme="minorHAnsi"/>
          <w:bCs/>
          <w:lang w:val="en-GB"/>
        </w:rPr>
        <w:t xml:space="preserve"> per quality adjusted life year.</w:t>
      </w:r>
    </w:p>
    <w:p w:rsidR="00AA6729" w:rsidRDefault="00977813" w:rsidP="007E4988">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w:t>
      </w:r>
      <w:r w:rsidR="00AA6729" w:rsidRPr="00542F09">
        <w:rPr>
          <w:rFonts w:asciiTheme="minorHAnsi" w:hAnsiTheme="minorHAnsi"/>
          <w:bCs/>
          <w:lang w:val="en-GB"/>
        </w:rPr>
        <w:t xml:space="preserve">noted the advice from DUSC that utilisation estimates were likely reasonable, although </w:t>
      </w:r>
      <w:r w:rsidR="007E4988" w:rsidRPr="00542F09">
        <w:rPr>
          <w:rFonts w:asciiTheme="minorHAnsi" w:hAnsiTheme="minorHAnsi"/>
          <w:bCs/>
          <w:lang w:val="en-GB"/>
        </w:rPr>
        <w:t>were not without concerns of both under- and over-estimation of utilisation.</w:t>
      </w:r>
      <w:r w:rsidR="008302ED" w:rsidRPr="00542F09">
        <w:rPr>
          <w:rFonts w:asciiTheme="minorHAnsi" w:hAnsiTheme="minorHAnsi"/>
          <w:bCs/>
          <w:lang w:val="en-GB"/>
        </w:rPr>
        <w:t xml:space="preserve">  </w:t>
      </w:r>
    </w:p>
    <w:p w:rsidR="009551F3" w:rsidRPr="00542F09" w:rsidRDefault="009551F3" w:rsidP="007E4988">
      <w:pPr>
        <w:numPr>
          <w:ilvl w:val="1"/>
          <w:numId w:val="1"/>
        </w:numPr>
        <w:spacing w:after="120"/>
        <w:ind w:left="720"/>
        <w:rPr>
          <w:rFonts w:asciiTheme="minorHAnsi" w:hAnsiTheme="minorHAnsi"/>
          <w:bCs/>
          <w:lang w:val="en-GB"/>
        </w:rPr>
      </w:pPr>
      <w:r>
        <w:rPr>
          <w:rFonts w:asciiTheme="minorHAnsi" w:hAnsiTheme="minorHAnsi"/>
          <w:bCs/>
          <w:lang w:val="en-GB"/>
        </w:rPr>
        <w:t>The PBAC noted the relative lack of clinical evidence in patients with spasticity due to aetiologies other than stroke. The PBAC considered that while there was a biologically plausible rationale for the use of BOTOX</w:t>
      </w:r>
      <w:r>
        <w:rPr>
          <w:rFonts w:asciiTheme="minorHAnsi" w:hAnsiTheme="minorHAnsi" w:cstheme="minorHAnsi"/>
          <w:bCs/>
          <w:lang w:val="en-GB"/>
        </w:rPr>
        <w:t>®</w:t>
      </w:r>
      <w:r>
        <w:rPr>
          <w:rFonts w:asciiTheme="minorHAnsi" w:hAnsiTheme="minorHAnsi"/>
          <w:bCs/>
          <w:lang w:val="en-GB"/>
        </w:rPr>
        <w:t xml:space="preserve"> in these patients, there was a high level of uncertainty in effect, cost-effectiveness and expected utilisation.</w:t>
      </w:r>
    </w:p>
    <w:p w:rsidR="00E626D6" w:rsidRDefault="0075394D" w:rsidP="001B2A7B">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w:t>
      </w:r>
      <w:r w:rsidR="00174F45">
        <w:rPr>
          <w:rFonts w:asciiTheme="minorHAnsi" w:hAnsiTheme="minorHAnsi"/>
          <w:bCs/>
          <w:lang w:val="en-GB"/>
        </w:rPr>
        <w:t>considered</w:t>
      </w:r>
      <w:r w:rsidRPr="00542F09">
        <w:rPr>
          <w:rFonts w:asciiTheme="minorHAnsi" w:hAnsiTheme="minorHAnsi"/>
          <w:bCs/>
          <w:lang w:val="en-GB"/>
        </w:rPr>
        <w:t xml:space="preserve"> that </w:t>
      </w:r>
      <w:r w:rsidR="00E626D6">
        <w:rPr>
          <w:rFonts w:asciiTheme="minorHAnsi" w:hAnsiTheme="minorHAnsi"/>
          <w:bCs/>
          <w:lang w:val="en-GB"/>
        </w:rPr>
        <w:t xml:space="preserve">the uncertainty surrounding the magnitude of the treatment effect </w:t>
      </w:r>
      <w:r w:rsidR="00174F45">
        <w:rPr>
          <w:rFonts w:asciiTheme="minorHAnsi" w:hAnsiTheme="minorHAnsi"/>
          <w:bCs/>
          <w:lang w:val="en-GB"/>
        </w:rPr>
        <w:t>of BOTOX</w:t>
      </w:r>
      <w:r w:rsidR="00174F45">
        <w:rPr>
          <w:rFonts w:asciiTheme="minorHAnsi" w:hAnsiTheme="minorHAnsi" w:cstheme="minorHAnsi"/>
          <w:bCs/>
          <w:lang w:val="en-GB"/>
        </w:rPr>
        <w:t>®</w:t>
      </w:r>
      <w:r w:rsidR="00174F45">
        <w:rPr>
          <w:rFonts w:asciiTheme="minorHAnsi" w:hAnsiTheme="minorHAnsi"/>
          <w:bCs/>
          <w:lang w:val="en-GB"/>
        </w:rPr>
        <w:t xml:space="preserve"> </w:t>
      </w:r>
      <w:r w:rsidR="00E626D6">
        <w:rPr>
          <w:rFonts w:asciiTheme="minorHAnsi" w:hAnsiTheme="minorHAnsi"/>
          <w:bCs/>
          <w:lang w:val="en-GB"/>
        </w:rPr>
        <w:t xml:space="preserve">was unlikely to </w:t>
      </w:r>
      <w:r w:rsidR="00174F45">
        <w:rPr>
          <w:rFonts w:asciiTheme="minorHAnsi" w:hAnsiTheme="minorHAnsi"/>
          <w:bCs/>
          <w:lang w:val="en-GB"/>
        </w:rPr>
        <w:t xml:space="preserve">be reduced by future high quality data. The </w:t>
      </w:r>
      <w:r w:rsidR="00E626D6">
        <w:rPr>
          <w:rFonts w:asciiTheme="minorHAnsi" w:hAnsiTheme="minorHAnsi"/>
          <w:bCs/>
          <w:lang w:val="en-GB"/>
        </w:rPr>
        <w:t xml:space="preserve">PBAC considered that </w:t>
      </w:r>
      <w:r w:rsidR="00174F45">
        <w:rPr>
          <w:rFonts w:asciiTheme="minorHAnsi" w:hAnsiTheme="minorHAnsi"/>
          <w:bCs/>
          <w:lang w:val="en-GB"/>
        </w:rPr>
        <w:t>the uncertainty surrounding the incremental benefit of BOTOX</w:t>
      </w:r>
      <w:r w:rsidR="00A63A1F">
        <w:rPr>
          <w:rFonts w:asciiTheme="minorHAnsi" w:hAnsiTheme="minorHAnsi" w:cstheme="minorHAnsi"/>
          <w:bCs/>
          <w:lang w:val="en-GB"/>
        </w:rPr>
        <w:t>®</w:t>
      </w:r>
      <w:r w:rsidR="00174F45">
        <w:rPr>
          <w:rFonts w:asciiTheme="minorHAnsi" w:hAnsiTheme="minorHAnsi"/>
          <w:bCs/>
          <w:lang w:val="en-GB"/>
        </w:rPr>
        <w:t xml:space="preserve"> could be mitigated through the requested price or the implementation of a</w:t>
      </w:r>
      <w:r w:rsidR="00E15E99">
        <w:rPr>
          <w:rFonts w:asciiTheme="minorHAnsi" w:hAnsiTheme="minorHAnsi"/>
          <w:bCs/>
          <w:lang w:val="en-GB"/>
        </w:rPr>
        <w:t>n</w:t>
      </w:r>
      <w:r w:rsidR="00174F45">
        <w:rPr>
          <w:rFonts w:asciiTheme="minorHAnsi" w:hAnsiTheme="minorHAnsi"/>
          <w:bCs/>
          <w:lang w:val="en-GB"/>
        </w:rPr>
        <w:t xml:space="preserve"> </w:t>
      </w:r>
      <w:r w:rsidR="00174F45">
        <w:rPr>
          <w:rFonts w:asciiTheme="minorHAnsi" w:hAnsiTheme="minorHAnsi"/>
          <w:bCs/>
          <w:lang w:val="en-GB"/>
        </w:rPr>
        <w:lastRenderedPageBreak/>
        <w:t>utilisation cap.</w:t>
      </w:r>
      <w:r w:rsidRPr="00542F09">
        <w:rPr>
          <w:rFonts w:asciiTheme="minorHAnsi" w:hAnsiTheme="minorHAnsi"/>
          <w:bCs/>
          <w:lang w:val="en-GB"/>
        </w:rPr>
        <w:t xml:space="preserve"> </w:t>
      </w:r>
    </w:p>
    <w:p w:rsidR="00646991" w:rsidRDefault="00646991" w:rsidP="00646991">
      <w:pPr>
        <w:numPr>
          <w:ilvl w:val="1"/>
          <w:numId w:val="1"/>
        </w:numPr>
        <w:spacing w:after="120"/>
        <w:ind w:left="720"/>
        <w:rPr>
          <w:rFonts w:asciiTheme="minorHAnsi" w:hAnsiTheme="minorHAnsi"/>
          <w:bCs/>
          <w:lang w:val="en-GB"/>
        </w:rPr>
      </w:pPr>
      <w:r w:rsidRPr="00542F09">
        <w:rPr>
          <w:rFonts w:asciiTheme="minorHAnsi" w:hAnsiTheme="minorHAnsi"/>
          <w:bCs/>
          <w:lang w:val="en-GB"/>
        </w:rPr>
        <w:t>In considering the proposed listing, the PBAC</w:t>
      </w:r>
      <w:r>
        <w:rPr>
          <w:rFonts w:asciiTheme="minorHAnsi" w:hAnsiTheme="minorHAnsi"/>
          <w:bCs/>
          <w:lang w:val="en-GB"/>
        </w:rPr>
        <w:t>:</w:t>
      </w:r>
      <w:r w:rsidRPr="00542F09">
        <w:rPr>
          <w:rFonts w:asciiTheme="minorHAnsi" w:hAnsiTheme="minorHAnsi"/>
          <w:bCs/>
          <w:lang w:val="en-GB"/>
        </w:rPr>
        <w:t xml:space="preserve"> </w:t>
      </w:r>
    </w:p>
    <w:p w:rsidR="00646991" w:rsidRDefault="00646991" w:rsidP="00646991">
      <w:pPr>
        <w:numPr>
          <w:ilvl w:val="1"/>
          <w:numId w:val="38"/>
        </w:numPr>
        <w:spacing w:after="120"/>
        <w:ind w:left="1077" w:hanging="357"/>
        <w:rPr>
          <w:rFonts w:asciiTheme="minorHAnsi" w:hAnsiTheme="minorHAnsi"/>
          <w:bCs/>
          <w:lang w:val="en-GB"/>
        </w:rPr>
      </w:pPr>
      <w:r w:rsidRPr="00542F09">
        <w:rPr>
          <w:rFonts w:asciiTheme="minorHAnsi" w:hAnsiTheme="minorHAnsi"/>
          <w:bCs/>
          <w:lang w:val="en-GB"/>
        </w:rPr>
        <w:t>agreed that patients should be permitted up to two cycles to achieve the continuation criterion</w:t>
      </w:r>
      <w:r>
        <w:rPr>
          <w:rFonts w:asciiTheme="minorHAnsi" w:hAnsiTheme="minorHAnsi"/>
          <w:bCs/>
          <w:lang w:val="en-GB"/>
        </w:rPr>
        <w:t>;</w:t>
      </w:r>
    </w:p>
    <w:p w:rsidR="00646991" w:rsidRPr="009551F3" w:rsidRDefault="00646991" w:rsidP="00646991">
      <w:pPr>
        <w:numPr>
          <w:ilvl w:val="1"/>
          <w:numId w:val="38"/>
        </w:numPr>
        <w:spacing w:after="120"/>
        <w:ind w:left="1077" w:hanging="357"/>
        <w:rPr>
          <w:rFonts w:asciiTheme="minorHAnsi" w:hAnsiTheme="minorHAnsi"/>
          <w:bCs/>
          <w:lang w:val="en-GB"/>
        </w:rPr>
      </w:pPr>
      <w:r>
        <w:rPr>
          <w:rFonts w:asciiTheme="minorHAnsi" w:hAnsiTheme="minorHAnsi"/>
          <w:bCs/>
          <w:lang w:val="en-GB"/>
        </w:rPr>
        <w:t xml:space="preserve">noted that the proposed continuation criteria, which was based on a reduction in MAS of at least one was consistent with the clinical evidence presented in the resubmission, but was inconsistent with the current restriction for upper limb spasticity following a stroke, which requires a reduction in MAS of greater than one. </w:t>
      </w:r>
      <w:r w:rsidR="00041F22" w:rsidRPr="009551F3">
        <w:rPr>
          <w:rFonts w:asciiTheme="minorHAnsi" w:hAnsiTheme="minorHAnsi"/>
          <w:bCs/>
          <w:lang w:val="en-GB"/>
        </w:rPr>
        <w:t>The PBAC considered that further clinical input would be informative, while being of a mind to ensure consistency of the restriction with the trial evidence</w:t>
      </w:r>
      <w:r w:rsidR="009551F3" w:rsidRPr="009551F3">
        <w:rPr>
          <w:rFonts w:asciiTheme="minorHAnsi" w:hAnsiTheme="minorHAnsi"/>
          <w:bCs/>
          <w:lang w:val="en-GB"/>
        </w:rPr>
        <w:t>.</w:t>
      </w:r>
      <w:r w:rsidR="00041F22" w:rsidRPr="009551F3">
        <w:rPr>
          <w:rFonts w:asciiTheme="minorHAnsi" w:hAnsiTheme="minorHAnsi"/>
          <w:bCs/>
          <w:lang w:val="en-GB"/>
        </w:rPr>
        <w:t xml:space="preserve"> The PBAC noted that this may have implications for upper limb spasticity restrictions and that similar input on BOTOX</w:t>
      </w:r>
      <w:r w:rsidR="00A63A1F" w:rsidRPr="009551F3">
        <w:rPr>
          <w:rFonts w:asciiTheme="minorHAnsi" w:hAnsiTheme="minorHAnsi" w:cstheme="minorHAnsi"/>
          <w:bCs/>
          <w:lang w:val="en-GB"/>
        </w:rPr>
        <w:t>®</w:t>
      </w:r>
      <w:r w:rsidR="00041F22" w:rsidRPr="009551F3">
        <w:rPr>
          <w:rFonts w:asciiTheme="minorHAnsi" w:hAnsiTheme="minorHAnsi"/>
          <w:bCs/>
          <w:lang w:val="en-GB"/>
        </w:rPr>
        <w:t xml:space="preserve"> use in upper limb spasticity would also be helpful.</w:t>
      </w:r>
    </w:p>
    <w:p w:rsidR="00646991" w:rsidRPr="00437E97" w:rsidRDefault="00646991" w:rsidP="00646991">
      <w:pPr>
        <w:numPr>
          <w:ilvl w:val="1"/>
          <w:numId w:val="38"/>
        </w:numPr>
        <w:spacing w:after="120"/>
        <w:ind w:left="1077" w:hanging="357"/>
        <w:rPr>
          <w:rFonts w:asciiTheme="minorHAnsi" w:hAnsiTheme="minorHAnsi"/>
          <w:bCs/>
          <w:lang w:val="en-GB"/>
        </w:rPr>
      </w:pPr>
      <w:proofErr w:type="gramStart"/>
      <w:r w:rsidRPr="00437E97">
        <w:rPr>
          <w:rFonts w:asciiTheme="minorHAnsi" w:hAnsiTheme="minorHAnsi"/>
          <w:bCs/>
          <w:lang w:val="en-GB"/>
        </w:rPr>
        <w:t>noted</w:t>
      </w:r>
      <w:proofErr w:type="gramEnd"/>
      <w:r w:rsidRPr="00437E97">
        <w:rPr>
          <w:rFonts w:asciiTheme="minorHAnsi" w:hAnsiTheme="minorHAnsi"/>
          <w:bCs/>
          <w:lang w:val="en-GB"/>
        </w:rPr>
        <w:t xml:space="preserve"> that the frequency of retreatment was likely to be variable </w:t>
      </w:r>
      <w:r>
        <w:rPr>
          <w:rFonts w:asciiTheme="minorHAnsi" w:hAnsiTheme="minorHAnsi"/>
          <w:bCs/>
          <w:lang w:val="en-GB"/>
        </w:rPr>
        <w:t xml:space="preserve">depending on response </w:t>
      </w:r>
      <w:r w:rsidRPr="00437E97">
        <w:rPr>
          <w:rFonts w:asciiTheme="minorHAnsi" w:hAnsiTheme="minorHAnsi"/>
          <w:bCs/>
          <w:lang w:val="en-GB"/>
        </w:rPr>
        <w:t xml:space="preserve">and was </w:t>
      </w:r>
      <w:r w:rsidR="00041F22">
        <w:rPr>
          <w:rFonts w:asciiTheme="minorHAnsi" w:hAnsiTheme="minorHAnsi"/>
          <w:bCs/>
          <w:lang w:val="en-GB"/>
        </w:rPr>
        <w:t xml:space="preserve">not informed by </w:t>
      </w:r>
      <w:r w:rsidRPr="00437E97">
        <w:rPr>
          <w:rFonts w:asciiTheme="minorHAnsi" w:hAnsiTheme="minorHAnsi"/>
          <w:bCs/>
          <w:lang w:val="en-GB"/>
        </w:rPr>
        <w:t xml:space="preserve">evidence presented in the submission. The PBAC considered expert opinion that indicated that the reinjection interval increased with continued treatment and </w:t>
      </w:r>
      <w:r>
        <w:rPr>
          <w:rFonts w:asciiTheme="minorHAnsi" w:hAnsiTheme="minorHAnsi"/>
          <w:bCs/>
          <w:lang w:val="en-GB"/>
        </w:rPr>
        <w:t>determined</w:t>
      </w:r>
      <w:r w:rsidRPr="00437E97">
        <w:rPr>
          <w:rFonts w:asciiTheme="minorHAnsi" w:hAnsiTheme="minorHAnsi"/>
          <w:bCs/>
          <w:lang w:val="en-GB"/>
        </w:rPr>
        <w:t xml:space="preserve"> that a limit of four treatment periods per lower limb in the first year and two treatment periods per lower limb per year from Year 2 onwards </w:t>
      </w:r>
      <w:r w:rsidR="009551F3">
        <w:rPr>
          <w:rFonts w:asciiTheme="minorHAnsi" w:hAnsiTheme="minorHAnsi"/>
          <w:bCs/>
          <w:lang w:val="en-GB"/>
        </w:rPr>
        <w:t>might</w:t>
      </w:r>
      <w:r>
        <w:rPr>
          <w:rFonts w:asciiTheme="minorHAnsi" w:hAnsiTheme="minorHAnsi"/>
          <w:bCs/>
          <w:lang w:val="en-GB"/>
        </w:rPr>
        <w:t xml:space="preserve"> be</w:t>
      </w:r>
      <w:r w:rsidRPr="00437E97">
        <w:rPr>
          <w:rFonts w:asciiTheme="minorHAnsi" w:hAnsiTheme="minorHAnsi"/>
          <w:bCs/>
          <w:lang w:val="en-GB"/>
        </w:rPr>
        <w:t xml:space="preserve"> reasonable. </w:t>
      </w:r>
    </w:p>
    <w:p w:rsidR="00174F45" w:rsidRDefault="00174F45" w:rsidP="00154D7E">
      <w:pPr>
        <w:numPr>
          <w:ilvl w:val="1"/>
          <w:numId w:val="1"/>
        </w:numPr>
        <w:spacing w:after="120"/>
        <w:ind w:left="720"/>
        <w:rPr>
          <w:rFonts w:asciiTheme="minorHAnsi" w:hAnsiTheme="minorHAnsi"/>
          <w:bCs/>
          <w:lang w:val="en-GB"/>
        </w:rPr>
      </w:pPr>
      <w:r>
        <w:rPr>
          <w:rFonts w:asciiTheme="minorHAnsi" w:hAnsiTheme="minorHAnsi"/>
          <w:bCs/>
          <w:lang w:val="en-GB"/>
        </w:rPr>
        <w:t xml:space="preserve">The PBAC advised that a minor resubmission would be required to address the </w:t>
      </w:r>
      <w:r w:rsidR="00E15E99">
        <w:rPr>
          <w:rFonts w:asciiTheme="minorHAnsi" w:hAnsiTheme="minorHAnsi"/>
          <w:bCs/>
          <w:lang w:val="en-GB"/>
        </w:rPr>
        <w:t>recommended changes to the restriction and the economic model and the PBAC’s pricing concerns.</w:t>
      </w:r>
    </w:p>
    <w:p w:rsidR="00E03161" w:rsidRPr="00542F09" w:rsidRDefault="00E03161" w:rsidP="00E03161">
      <w:pPr>
        <w:numPr>
          <w:ilvl w:val="1"/>
          <w:numId w:val="1"/>
        </w:numPr>
        <w:spacing w:after="120"/>
        <w:ind w:left="720"/>
        <w:rPr>
          <w:rFonts w:asciiTheme="minorHAnsi" w:hAnsiTheme="minorHAnsi"/>
          <w:bCs/>
          <w:lang w:val="en-GB"/>
        </w:rPr>
      </w:pPr>
      <w:r w:rsidRPr="00542F09">
        <w:rPr>
          <w:rFonts w:asciiTheme="minorHAnsi" w:hAnsiTheme="minorHAnsi"/>
          <w:bCs/>
          <w:lang w:val="en-GB"/>
        </w:rPr>
        <w:t>The PBAC recommend</w:t>
      </w:r>
      <w:r w:rsidR="00E15E99">
        <w:rPr>
          <w:rFonts w:asciiTheme="minorHAnsi" w:hAnsiTheme="minorHAnsi"/>
          <w:bCs/>
          <w:lang w:val="en-GB"/>
        </w:rPr>
        <w:t>ed that</w:t>
      </w:r>
      <w:r w:rsidR="00916A99">
        <w:rPr>
          <w:rFonts w:asciiTheme="minorHAnsi" w:hAnsiTheme="minorHAnsi"/>
          <w:bCs/>
          <w:lang w:val="en-GB"/>
        </w:rPr>
        <w:t>, if recommended for listing,</w:t>
      </w:r>
      <w:r w:rsidR="00E15E99">
        <w:rPr>
          <w:rFonts w:asciiTheme="minorHAnsi" w:hAnsiTheme="minorHAnsi"/>
          <w:bCs/>
          <w:lang w:val="en-GB"/>
        </w:rPr>
        <w:t xml:space="preserve"> the Early Supply Rule should not apply.</w:t>
      </w:r>
      <w:r w:rsidRPr="00542F09">
        <w:rPr>
          <w:rFonts w:asciiTheme="minorHAnsi" w:hAnsiTheme="minorHAnsi"/>
          <w:bCs/>
          <w:lang w:val="en-GB"/>
        </w:rPr>
        <w:t xml:space="preserve"> </w:t>
      </w:r>
    </w:p>
    <w:p w:rsidR="00E15E99" w:rsidRPr="00542F09" w:rsidRDefault="00E03161" w:rsidP="00E03161">
      <w:pPr>
        <w:numPr>
          <w:ilvl w:val="1"/>
          <w:numId w:val="1"/>
        </w:numPr>
        <w:spacing w:after="120"/>
        <w:ind w:left="720"/>
        <w:rPr>
          <w:rFonts w:asciiTheme="minorHAnsi" w:hAnsiTheme="minorHAnsi"/>
          <w:bCs/>
          <w:lang w:val="en-GB"/>
        </w:rPr>
      </w:pPr>
      <w:r w:rsidRPr="00542F09">
        <w:rPr>
          <w:rFonts w:asciiTheme="minorHAnsi" w:hAnsiTheme="minorHAnsi"/>
          <w:bCs/>
          <w:lang w:val="en-GB"/>
        </w:rPr>
        <w:t xml:space="preserve">The PBAC </w:t>
      </w:r>
      <w:r w:rsidR="00E15E99">
        <w:rPr>
          <w:rFonts w:asciiTheme="minorHAnsi" w:hAnsiTheme="minorHAnsi"/>
          <w:bCs/>
          <w:lang w:val="en-GB"/>
        </w:rPr>
        <w:t>recommended that</w:t>
      </w:r>
      <w:r w:rsidR="00916A99">
        <w:rPr>
          <w:rFonts w:asciiTheme="minorHAnsi" w:hAnsiTheme="minorHAnsi"/>
          <w:bCs/>
          <w:lang w:val="en-GB"/>
        </w:rPr>
        <w:t>, if recommended for listing,</w:t>
      </w:r>
      <w:r w:rsidR="00E15E99">
        <w:rPr>
          <w:rFonts w:asciiTheme="minorHAnsi" w:hAnsiTheme="minorHAnsi"/>
          <w:bCs/>
          <w:lang w:val="en-GB"/>
        </w:rPr>
        <w:t xml:space="preserve"> </w:t>
      </w:r>
      <w:r w:rsidRPr="00542F09">
        <w:rPr>
          <w:rFonts w:asciiTheme="minorHAnsi" w:hAnsiTheme="minorHAnsi"/>
          <w:bCs/>
          <w:lang w:val="en-GB"/>
        </w:rPr>
        <w:t xml:space="preserve">botulinum toxin type A should </w:t>
      </w:r>
      <w:r w:rsidR="00E15E99">
        <w:rPr>
          <w:rFonts w:asciiTheme="minorHAnsi" w:hAnsiTheme="minorHAnsi"/>
          <w:bCs/>
          <w:lang w:val="en-GB"/>
        </w:rPr>
        <w:t xml:space="preserve">not </w:t>
      </w:r>
      <w:r w:rsidRPr="00542F09">
        <w:rPr>
          <w:rFonts w:asciiTheme="minorHAnsi" w:hAnsiTheme="minorHAnsi"/>
          <w:bCs/>
          <w:lang w:val="en-GB"/>
        </w:rPr>
        <w:t>be eligible for prescribing by nurse practitioners.</w:t>
      </w:r>
    </w:p>
    <w:p w:rsidR="00673EB8" w:rsidRDefault="00C6053B" w:rsidP="00673EB8">
      <w:pPr>
        <w:numPr>
          <w:ilvl w:val="1"/>
          <w:numId w:val="1"/>
        </w:numPr>
        <w:spacing w:after="120"/>
        <w:ind w:left="720"/>
        <w:rPr>
          <w:rFonts w:asciiTheme="minorHAnsi" w:hAnsiTheme="minorHAnsi"/>
          <w:bCs/>
          <w:lang w:val="en-GB"/>
        </w:rPr>
      </w:pPr>
      <w:r>
        <w:rPr>
          <w:rFonts w:asciiTheme="minorHAnsi" w:hAnsiTheme="minorHAnsi"/>
          <w:bCs/>
          <w:lang w:val="en-GB"/>
        </w:rPr>
        <w:t xml:space="preserve">The </w:t>
      </w:r>
      <w:r w:rsidR="004751A2" w:rsidRPr="00EF5D81">
        <w:rPr>
          <w:rFonts w:asciiTheme="minorHAnsi" w:hAnsiTheme="minorHAnsi"/>
          <w:bCs/>
          <w:lang w:val="en-GB"/>
        </w:rPr>
        <w:t xml:space="preserve">PBAC </w:t>
      </w:r>
      <w:r w:rsidR="00AC409B">
        <w:rPr>
          <w:rFonts w:asciiTheme="minorHAnsi" w:hAnsiTheme="minorHAnsi"/>
          <w:bCs/>
          <w:lang w:val="en-GB"/>
        </w:rPr>
        <w:t>recommended</w:t>
      </w:r>
      <w:r w:rsidR="00AC409B" w:rsidRPr="00EF5D81">
        <w:rPr>
          <w:rFonts w:asciiTheme="minorHAnsi" w:hAnsiTheme="minorHAnsi"/>
          <w:bCs/>
          <w:lang w:val="en-GB"/>
        </w:rPr>
        <w:t xml:space="preserve"> </w:t>
      </w:r>
      <w:r w:rsidR="004751A2" w:rsidRPr="00EF5D81">
        <w:rPr>
          <w:rFonts w:asciiTheme="minorHAnsi" w:hAnsiTheme="minorHAnsi"/>
          <w:bCs/>
          <w:lang w:val="en-GB"/>
        </w:rPr>
        <w:t xml:space="preserve">that botulinum toxin type A </w:t>
      </w:r>
      <w:r w:rsidR="00AC409B">
        <w:rPr>
          <w:rFonts w:asciiTheme="minorHAnsi" w:hAnsiTheme="minorHAnsi"/>
          <w:bCs/>
          <w:lang w:val="en-GB"/>
        </w:rPr>
        <w:t>should be treated as</w:t>
      </w:r>
      <w:r w:rsidR="004751A2" w:rsidRPr="00287FCF">
        <w:rPr>
          <w:rFonts w:asciiTheme="minorHAnsi" w:hAnsiTheme="minorHAnsi"/>
          <w:bCs/>
          <w:highlight w:val="yellow"/>
          <w:lang w:val="en-GB"/>
        </w:rPr>
        <w:t xml:space="preserve"> </w:t>
      </w:r>
      <w:r w:rsidR="004751A2" w:rsidRPr="00AC409B">
        <w:rPr>
          <w:rFonts w:asciiTheme="minorHAnsi" w:hAnsiTheme="minorHAnsi"/>
          <w:bCs/>
          <w:lang w:val="en-GB"/>
        </w:rPr>
        <w:t>interchangeable</w:t>
      </w:r>
      <w:r w:rsidR="004751A2" w:rsidRPr="00EF5D81">
        <w:rPr>
          <w:rFonts w:asciiTheme="minorHAnsi" w:hAnsiTheme="minorHAnsi"/>
          <w:bCs/>
          <w:lang w:val="en-GB"/>
        </w:rPr>
        <w:t xml:space="preserve"> </w:t>
      </w:r>
      <w:r w:rsidR="00AC409B">
        <w:rPr>
          <w:rFonts w:asciiTheme="minorHAnsi" w:hAnsiTheme="minorHAnsi"/>
          <w:bCs/>
          <w:lang w:val="en-GB"/>
        </w:rPr>
        <w:t xml:space="preserve">on an individual patient basis </w:t>
      </w:r>
      <w:r w:rsidR="004751A2" w:rsidRPr="00EF5D81">
        <w:rPr>
          <w:rFonts w:asciiTheme="minorHAnsi" w:hAnsiTheme="minorHAnsi"/>
          <w:bCs/>
          <w:lang w:val="en-GB"/>
        </w:rPr>
        <w:t>with other forms of botulinum toxin</w:t>
      </w:r>
      <w:r w:rsidR="00AC409B">
        <w:rPr>
          <w:rFonts w:asciiTheme="minorHAnsi" w:hAnsiTheme="minorHAnsi"/>
          <w:bCs/>
          <w:lang w:val="en-GB"/>
        </w:rPr>
        <w:t xml:space="preserve"> (</w:t>
      </w:r>
      <w:proofErr w:type="spellStart"/>
      <w:r w:rsidR="00AC409B">
        <w:rPr>
          <w:rFonts w:asciiTheme="minorHAnsi" w:hAnsiTheme="minorHAnsi"/>
          <w:bCs/>
          <w:lang w:val="en-GB"/>
        </w:rPr>
        <w:t>Dysport</w:t>
      </w:r>
      <w:proofErr w:type="spellEnd"/>
      <w:r w:rsidR="00AC409B">
        <w:rPr>
          <w:rFonts w:asciiTheme="minorHAnsi" w:hAnsiTheme="minorHAnsi" w:cstheme="minorHAnsi"/>
          <w:bCs/>
          <w:lang w:val="en-GB"/>
        </w:rPr>
        <w:t>®</w:t>
      </w:r>
      <w:r w:rsidR="00AC409B">
        <w:rPr>
          <w:rFonts w:asciiTheme="minorHAnsi" w:hAnsiTheme="minorHAnsi"/>
          <w:bCs/>
          <w:lang w:val="en-GB"/>
        </w:rPr>
        <w:t xml:space="preserve"> and </w:t>
      </w:r>
      <w:proofErr w:type="spellStart"/>
      <w:r w:rsidR="00AC409B">
        <w:rPr>
          <w:rFonts w:asciiTheme="minorHAnsi" w:hAnsiTheme="minorHAnsi"/>
          <w:bCs/>
          <w:lang w:val="en-GB"/>
        </w:rPr>
        <w:t>Xeomin</w:t>
      </w:r>
      <w:proofErr w:type="spellEnd"/>
      <w:r w:rsidR="00AC409B">
        <w:rPr>
          <w:rFonts w:asciiTheme="minorHAnsi" w:hAnsiTheme="minorHAnsi" w:cstheme="minorHAnsi"/>
          <w:bCs/>
          <w:lang w:val="en-GB"/>
        </w:rPr>
        <w:t>®)</w:t>
      </w:r>
      <w:r w:rsidR="004751A2" w:rsidRPr="00EF5D81">
        <w:rPr>
          <w:rFonts w:asciiTheme="minorHAnsi" w:hAnsiTheme="minorHAnsi"/>
          <w:bCs/>
          <w:lang w:val="en-GB"/>
        </w:rPr>
        <w:t>.</w:t>
      </w:r>
    </w:p>
    <w:p w:rsidR="00673EB8" w:rsidRPr="009864E8" w:rsidRDefault="00673EB8" w:rsidP="00673EB8">
      <w:pPr>
        <w:spacing w:before="240"/>
        <w:rPr>
          <w:rFonts w:asciiTheme="minorHAnsi" w:hAnsiTheme="minorHAnsi"/>
          <w:b/>
          <w:bCs/>
          <w:lang w:val="en-GB"/>
        </w:rPr>
      </w:pPr>
      <w:r w:rsidRPr="009864E8">
        <w:rPr>
          <w:rFonts w:asciiTheme="minorHAnsi" w:hAnsiTheme="minorHAnsi"/>
          <w:b/>
          <w:bCs/>
          <w:lang w:val="en-GB"/>
        </w:rPr>
        <w:t>Outcome:</w:t>
      </w:r>
    </w:p>
    <w:p w:rsidR="00673EB8" w:rsidRPr="009864E8" w:rsidRDefault="00673EB8" w:rsidP="00673EB8">
      <w:pPr>
        <w:rPr>
          <w:rFonts w:asciiTheme="minorHAnsi" w:hAnsiTheme="minorHAnsi"/>
          <w:bCs/>
          <w:lang w:val="en-GB"/>
        </w:rPr>
      </w:pPr>
      <w:r w:rsidRPr="009864E8">
        <w:rPr>
          <w:rFonts w:asciiTheme="minorHAnsi" w:hAnsiTheme="minorHAnsi"/>
          <w:bCs/>
          <w:lang w:val="en-GB"/>
        </w:rPr>
        <w:t>Deferred</w:t>
      </w:r>
    </w:p>
    <w:bookmarkEnd w:id="0"/>
    <w:bookmarkEnd w:id="1"/>
    <w:bookmarkEnd w:id="2"/>
    <w:bookmarkEnd w:id="3"/>
    <w:bookmarkEnd w:id="4"/>
    <w:bookmarkEnd w:id="47"/>
    <w:bookmarkEnd w:id="48"/>
    <w:p w:rsidR="005004B8" w:rsidRPr="00C07617" w:rsidRDefault="005004B8" w:rsidP="005004B8">
      <w:pPr>
        <w:pStyle w:val="Heading1"/>
        <w:rPr>
          <w:rFonts w:asciiTheme="minorHAnsi" w:hAnsiTheme="minorHAnsi"/>
          <w:b w:val="0"/>
        </w:rPr>
      </w:pPr>
      <w:r w:rsidRPr="00C07617">
        <w:rPr>
          <w:rFonts w:asciiTheme="minorHAnsi" w:hAnsiTheme="minorHAnsi"/>
        </w:rPr>
        <w:t>Context for Decision</w:t>
      </w:r>
    </w:p>
    <w:p w:rsidR="005004B8" w:rsidRPr="005004B8" w:rsidRDefault="005004B8" w:rsidP="005004B8">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004B8" w:rsidRPr="00C07617" w:rsidRDefault="005004B8" w:rsidP="005004B8">
      <w:pPr>
        <w:pStyle w:val="Heading1"/>
        <w:rPr>
          <w:rFonts w:asciiTheme="minorHAnsi" w:hAnsiTheme="minorHAnsi"/>
          <w:b w:val="0"/>
        </w:rPr>
      </w:pPr>
      <w:r>
        <w:rPr>
          <w:rFonts w:asciiTheme="minorHAnsi" w:hAnsiTheme="minorHAnsi"/>
        </w:rPr>
        <w:lastRenderedPageBreak/>
        <w:t>Sponsor’s Comment</w:t>
      </w:r>
    </w:p>
    <w:p w:rsidR="00B60D30" w:rsidRPr="00673EB8" w:rsidRDefault="005004B8" w:rsidP="00B94BC1">
      <w:pPr>
        <w:spacing w:after="120"/>
        <w:rPr>
          <w:rFonts w:asciiTheme="minorHAnsi" w:hAnsiTheme="minorHAnsi"/>
          <w:b/>
          <w:bCs/>
          <w:highlight w:val="yellow"/>
        </w:rPr>
      </w:pPr>
      <w:r w:rsidRPr="00C07617">
        <w:rPr>
          <w:rFonts w:asciiTheme="minorHAnsi" w:hAnsiTheme="minorHAnsi"/>
          <w:bCs/>
        </w:rPr>
        <w:t>The sponsor had no comment.</w:t>
      </w:r>
    </w:p>
    <w:sectPr w:rsidR="00B60D30" w:rsidRPr="00673EB8" w:rsidSect="00E2135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2A4160" w16cid:durableId="1F853DA8"/>
  <w16cid:commentId w16cid:paraId="0232737B" w16cid:durableId="1F85FC63"/>
  <w16cid:commentId w16cid:paraId="1435864D" w16cid:durableId="1F85FD01"/>
  <w16cid:commentId w16cid:paraId="7E15B156" w16cid:durableId="1F85FD3A"/>
  <w16cid:commentId w16cid:paraId="285531CB" w16cid:durableId="1F853E2E"/>
  <w16cid:commentId w16cid:paraId="4150ED2D" w16cid:durableId="1F853F74"/>
  <w16cid:commentId w16cid:paraId="64CFD583" w16cid:durableId="1F85FC3F"/>
  <w16cid:commentId w16cid:paraId="1DEAD71C" w16cid:durableId="1F860382"/>
  <w16cid:commentId w16cid:paraId="6218808F" w16cid:durableId="1F853C5A"/>
  <w16cid:commentId w16cid:paraId="2DBBEE83" w16cid:durableId="1F854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1E3" w:rsidRDefault="001C21E3" w:rsidP="00124A51">
      <w:r>
        <w:separator/>
      </w:r>
    </w:p>
    <w:p w:rsidR="001C21E3" w:rsidRDefault="001C21E3"/>
  </w:endnote>
  <w:endnote w:type="continuationSeparator" w:id="0">
    <w:p w:rsidR="001C21E3" w:rsidRDefault="001C21E3" w:rsidP="00124A51">
      <w:r>
        <w:continuationSeparator/>
      </w:r>
    </w:p>
    <w:p w:rsidR="001C21E3" w:rsidRDefault="001C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A8" w:rsidRDefault="008C0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010111"/>
      <w:docPartObj>
        <w:docPartGallery w:val="Page Numbers (Bottom of Page)"/>
        <w:docPartUnique/>
      </w:docPartObj>
    </w:sdtPr>
    <w:sdtEndPr>
      <w:rPr>
        <w:noProof/>
      </w:rPr>
    </w:sdtEndPr>
    <w:sdtContent>
      <w:p w:rsidR="008C07A8" w:rsidRDefault="008C07A8">
        <w:pPr>
          <w:pStyle w:val="Footer"/>
          <w:jc w:val="center"/>
        </w:pPr>
        <w:r>
          <w:fldChar w:fldCharType="begin"/>
        </w:r>
        <w:r>
          <w:instrText xml:space="preserve"> PAGE   \* MERGEFORMAT </w:instrText>
        </w:r>
        <w:r>
          <w:fldChar w:fldCharType="separate"/>
        </w:r>
        <w:r w:rsidR="00440603">
          <w:rPr>
            <w:noProof/>
          </w:rPr>
          <w:t>1</w:t>
        </w:r>
        <w:r>
          <w:rPr>
            <w:noProof/>
          </w:rPr>
          <w:fldChar w:fldCharType="end"/>
        </w:r>
      </w:p>
    </w:sdtContent>
  </w:sdt>
  <w:p w:rsidR="008C07A8" w:rsidRDefault="008C0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A8" w:rsidRDefault="008C0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1E3" w:rsidRDefault="001C21E3" w:rsidP="00124A51">
      <w:r>
        <w:separator/>
      </w:r>
    </w:p>
    <w:p w:rsidR="001C21E3" w:rsidRDefault="001C21E3"/>
  </w:footnote>
  <w:footnote w:type="continuationSeparator" w:id="0">
    <w:p w:rsidR="001C21E3" w:rsidRDefault="001C21E3" w:rsidP="00124A51">
      <w:r>
        <w:continuationSeparator/>
      </w:r>
    </w:p>
    <w:p w:rsidR="001C21E3" w:rsidRDefault="001C21E3"/>
  </w:footnote>
  <w:footnote w:id="1">
    <w:p w:rsidR="008C07A8" w:rsidRDefault="008C07A8">
      <w:pPr>
        <w:pStyle w:val="FootnoteText"/>
      </w:pPr>
      <w:r>
        <w:rPr>
          <w:rStyle w:val="FootnoteReference"/>
        </w:rPr>
        <w:footnoteRef/>
      </w:r>
      <w:r>
        <w:t xml:space="preserve"> </w:t>
      </w:r>
      <w:proofErr w:type="spellStart"/>
      <w:r w:rsidRPr="00E061C7">
        <w:t>Olver</w:t>
      </w:r>
      <w:proofErr w:type="spellEnd"/>
      <w:r w:rsidRPr="00E061C7">
        <w:t xml:space="preserve">, J., </w:t>
      </w:r>
      <w:proofErr w:type="spellStart"/>
      <w:r w:rsidRPr="00E061C7">
        <w:t>Esquenazi</w:t>
      </w:r>
      <w:proofErr w:type="spellEnd"/>
      <w:r w:rsidRPr="00E061C7">
        <w:t>, A. &amp; Fung, V. S., 2010. Botulinum toxin assessment, intervention and aftercare for lower limb disorders of movement and muscle tone in adults: International consensus statement. European Journal of Neurology, 17(Suppl. 2), p. 57–73.</w:t>
      </w:r>
    </w:p>
  </w:footnote>
  <w:footnote w:id="2">
    <w:p w:rsidR="008C07A8" w:rsidRDefault="008C07A8" w:rsidP="002B5770">
      <w:pPr>
        <w:pStyle w:val="FootnoteText"/>
      </w:pPr>
      <w:r>
        <w:rPr>
          <w:rStyle w:val="FootnoteReference"/>
        </w:rPr>
        <w:footnoteRef/>
      </w:r>
      <w:r>
        <w:t xml:space="preserve"> See REFLEX CSR, Table </w:t>
      </w:r>
      <w:r w:rsidRPr="0082208B">
        <w:t>14.2-5.4</w:t>
      </w:r>
      <w:r>
        <w:t xml:space="preserve">, p443 and Table </w:t>
      </w:r>
      <w:r w:rsidRPr="00096459">
        <w:t>14.2-4.4</w:t>
      </w:r>
      <w:r>
        <w:t>, p430.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A8" w:rsidRDefault="008C0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A8" w:rsidRDefault="008C07A8" w:rsidP="00673EB8">
    <w:pPr>
      <w:pStyle w:val="Header"/>
      <w:jc w:val="center"/>
      <w:rPr>
        <w:i/>
      </w:rPr>
    </w:pPr>
    <w:r>
      <w:rPr>
        <w:i/>
      </w:rPr>
      <w:t>Public Summary Document – Novem</w:t>
    </w:r>
    <w:r w:rsidRPr="00673EB8">
      <w:rPr>
        <w:i/>
      </w:rPr>
      <w:t xml:space="preserve">ber 2018 PBAC </w:t>
    </w:r>
    <w:r>
      <w:rPr>
        <w:i/>
      </w:rPr>
      <w:t>Meeting</w:t>
    </w:r>
  </w:p>
  <w:p w:rsidR="008C07A8" w:rsidRPr="00673EB8" w:rsidRDefault="008C07A8" w:rsidP="00673EB8">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A8" w:rsidRDefault="008C0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407C"/>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4F50CC"/>
    <w:multiLevelType w:val="hybridMultilevel"/>
    <w:tmpl w:val="F39430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ED38A1"/>
    <w:multiLevelType w:val="hybridMultilevel"/>
    <w:tmpl w:val="045CAE12"/>
    <w:lvl w:ilvl="0" w:tplc="07F80B20">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F860CC"/>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A42DF9"/>
    <w:multiLevelType w:val="hybridMultilevel"/>
    <w:tmpl w:val="C2FCF5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A454DD5"/>
    <w:multiLevelType w:val="multilevel"/>
    <w:tmpl w:val="595805E2"/>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B82198"/>
    <w:multiLevelType w:val="hybridMultilevel"/>
    <w:tmpl w:val="E97CCC78"/>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54D2A"/>
    <w:multiLevelType w:val="hybridMultilevel"/>
    <w:tmpl w:val="FF863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763ED4"/>
    <w:multiLevelType w:val="hybridMultilevel"/>
    <w:tmpl w:val="AF364B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C34E2"/>
    <w:multiLevelType w:val="hybridMultilevel"/>
    <w:tmpl w:val="E820C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0B6ECC"/>
    <w:multiLevelType w:val="hybridMultilevel"/>
    <w:tmpl w:val="0374C18E"/>
    <w:lvl w:ilvl="0" w:tplc="7B6E8760">
      <w:start w:val="1"/>
      <w:numFmt w:val="bullet"/>
      <w:pStyle w:val="NormalBulletList"/>
      <w:lvlText w:val=""/>
      <w:lvlJc w:val="left"/>
      <w:pPr>
        <w:ind w:left="360" w:hanging="360"/>
      </w:pPr>
      <w:rPr>
        <w:rFonts w:ascii="Symbol" w:hAnsi="Symbol" w:hint="default"/>
      </w:rPr>
    </w:lvl>
    <w:lvl w:ilvl="1" w:tplc="853CC43C">
      <w:start w:val="1"/>
      <w:numFmt w:val="bullet"/>
      <w:pStyle w:val="NormalBulletList2"/>
      <w:lvlText w:val="o"/>
      <w:lvlJc w:val="left"/>
      <w:pPr>
        <w:ind w:left="1080" w:hanging="360"/>
      </w:pPr>
      <w:rPr>
        <w:rFonts w:ascii="Courier New" w:hAnsi="Courier New" w:cs="Courier New" w:hint="default"/>
      </w:rPr>
    </w:lvl>
    <w:lvl w:ilvl="2" w:tplc="61E61A46">
      <w:start w:val="1"/>
      <w:numFmt w:val="bullet"/>
      <w:lvlText w:val=""/>
      <w:lvlJc w:val="left"/>
      <w:pPr>
        <w:ind w:left="1800" w:hanging="360"/>
      </w:pPr>
      <w:rPr>
        <w:rFonts w:ascii="Wingdings" w:hAnsi="Wingdings" w:hint="default"/>
      </w:rPr>
    </w:lvl>
    <w:lvl w:ilvl="3" w:tplc="48E8658E" w:tentative="1">
      <w:start w:val="1"/>
      <w:numFmt w:val="bullet"/>
      <w:lvlText w:val=""/>
      <w:lvlJc w:val="left"/>
      <w:pPr>
        <w:ind w:left="2520" w:hanging="360"/>
      </w:pPr>
      <w:rPr>
        <w:rFonts w:ascii="Symbol" w:hAnsi="Symbol" w:hint="default"/>
      </w:rPr>
    </w:lvl>
    <w:lvl w:ilvl="4" w:tplc="4EE87910" w:tentative="1">
      <w:start w:val="1"/>
      <w:numFmt w:val="bullet"/>
      <w:lvlText w:val="o"/>
      <w:lvlJc w:val="left"/>
      <w:pPr>
        <w:ind w:left="3240" w:hanging="360"/>
      </w:pPr>
      <w:rPr>
        <w:rFonts w:ascii="Courier New" w:hAnsi="Courier New" w:cs="Courier New" w:hint="default"/>
      </w:rPr>
    </w:lvl>
    <w:lvl w:ilvl="5" w:tplc="E2D8FC36" w:tentative="1">
      <w:start w:val="1"/>
      <w:numFmt w:val="bullet"/>
      <w:lvlText w:val=""/>
      <w:lvlJc w:val="left"/>
      <w:pPr>
        <w:ind w:left="3960" w:hanging="360"/>
      </w:pPr>
      <w:rPr>
        <w:rFonts w:ascii="Wingdings" w:hAnsi="Wingdings" w:hint="default"/>
      </w:rPr>
    </w:lvl>
    <w:lvl w:ilvl="6" w:tplc="4B22A9DC" w:tentative="1">
      <w:start w:val="1"/>
      <w:numFmt w:val="bullet"/>
      <w:lvlText w:val=""/>
      <w:lvlJc w:val="left"/>
      <w:pPr>
        <w:ind w:left="4680" w:hanging="360"/>
      </w:pPr>
      <w:rPr>
        <w:rFonts w:ascii="Symbol" w:hAnsi="Symbol" w:hint="default"/>
      </w:rPr>
    </w:lvl>
    <w:lvl w:ilvl="7" w:tplc="02445202" w:tentative="1">
      <w:start w:val="1"/>
      <w:numFmt w:val="bullet"/>
      <w:lvlText w:val="o"/>
      <w:lvlJc w:val="left"/>
      <w:pPr>
        <w:ind w:left="5400" w:hanging="360"/>
      </w:pPr>
      <w:rPr>
        <w:rFonts w:ascii="Courier New" w:hAnsi="Courier New" w:cs="Courier New" w:hint="default"/>
      </w:rPr>
    </w:lvl>
    <w:lvl w:ilvl="8" w:tplc="947490A4" w:tentative="1">
      <w:start w:val="1"/>
      <w:numFmt w:val="bullet"/>
      <w:lvlText w:val=""/>
      <w:lvlJc w:val="left"/>
      <w:pPr>
        <w:ind w:left="612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pStyle w:val="Bulletpoin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122E7"/>
    <w:multiLevelType w:val="multilevel"/>
    <w:tmpl w:val="8102A04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67627"/>
    <w:multiLevelType w:val="hybridMultilevel"/>
    <w:tmpl w:val="35B25C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070D3"/>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84AA6"/>
    <w:multiLevelType w:val="hybridMultilevel"/>
    <w:tmpl w:val="0FB29642"/>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02D31"/>
    <w:multiLevelType w:val="hybridMultilevel"/>
    <w:tmpl w:val="E7C641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3D52D43"/>
    <w:multiLevelType w:val="hybridMultilevel"/>
    <w:tmpl w:val="AA423E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6B3E6F"/>
    <w:multiLevelType w:val="hybridMultilevel"/>
    <w:tmpl w:val="EF4A9B1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975E65"/>
    <w:multiLevelType w:val="hybridMultilevel"/>
    <w:tmpl w:val="4118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A06505"/>
    <w:multiLevelType w:val="hybridMultilevel"/>
    <w:tmpl w:val="8662EB52"/>
    <w:lvl w:ilvl="0" w:tplc="30D6E98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43E28034"/>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5824" w:hanging="720"/>
      </w:pPr>
      <w:rPr>
        <w:rFonts w:asciiTheme="minorHAnsi" w:hAnsiTheme="minorHAnsi" w:cstheme="minorHAnsi"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6"/>
  </w:num>
  <w:num w:numId="3">
    <w:abstractNumId w:val="3"/>
  </w:num>
  <w:num w:numId="4">
    <w:abstractNumId w:val="15"/>
  </w:num>
  <w:num w:numId="5">
    <w:abstractNumId w:val="13"/>
  </w:num>
  <w:num w:numId="6">
    <w:abstractNumId w:val="26"/>
  </w:num>
  <w:num w:numId="7">
    <w:abstractNumId w:val="25"/>
  </w:num>
  <w:num w:numId="8">
    <w:abstractNumId w:val="4"/>
  </w:num>
  <w:num w:numId="9">
    <w:abstractNumId w:val="17"/>
  </w:num>
  <w:num w:numId="10">
    <w:abstractNumId w:val="18"/>
  </w:num>
  <w:num w:numId="11">
    <w:abstractNumId w:val="23"/>
  </w:num>
  <w:num w:numId="12">
    <w:abstractNumId w:val="11"/>
  </w:num>
  <w:num w:numId="13">
    <w:abstractNumId w:val="27"/>
  </w:num>
  <w:num w:numId="14">
    <w:abstractNumId w:val="24"/>
  </w:num>
  <w:num w:numId="15">
    <w:abstractNumId w:val="22"/>
  </w:num>
  <w:num w:numId="16">
    <w:abstractNumId w:val="10"/>
  </w:num>
  <w:num w:numId="17">
    <w:abstractNumId w:val="5"/>
  </w:num>
  <w:num w:numId="18">
    <w:abstractNumId w:val="28"/>
  </w:num>
  <w:num w:numId="19">
    <w:abstractNumId w:val="28"/>
  </w:num>
  <w:num w:numId="20">
    <w:abstractNumId w:val="28"/>
  </w:num>
  <w:num w:numId="21">
    <w:abstractNumId w:val="28"/>
  </w:num>
  <w:num w:numId="22">
    <w:abstractNumId w:val="28"/>
  </w:num>
  <w:num w:numId="23">
    <w:abstractNumId w:val="28"/>
  </w:num>
  <w:num w:numId="24">
    <w:abstractNumId w:val="14"/>
  </w:num>
  <w:num w:numId="25">
    <w:abstractNumId w:val="12"/>
  </w:num>
  <w:num w:numId="26">
    <w:abstractNumId w:val="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 w:numId="30">
    <w:abstractNumId w:val="1"/>
  </w:num>
  <w:num w:numId="31">
    <w:abstractNumId w:val="0"/>
  </w:num>
  <w:num w:numId="32">
    <w:abstractNumId w:val="6"/>
  </w:num>
  <w:num w:numId="33">
    <w:abstractNumId w:val="28"/>
  </w:num>
  <w:num w:numId="34">
    <w:abstractNumId w:val="28"/>
  </w:num>
  <w:num w:numId="35">
    <w:abstractNumId w:val="28"/>
  </w:num>
  <w:num w:numId="36">
    <w:abstractNumId w:val="28"/>
  </w:num>
  <w:num w:numId="37">
    <w:abstractNumId w:val="28"/>
  </w:num>
  <w:num w:numId="38">
    <w:abstractNumId w:val="7"/>
  </w:num>
  <w:num w:numId="39">
    <w:abstractNumId w:val="21"/>
  </w:num>
  <w:num w:numId="40">
    <w:abstractNumId w:val="2"/>
  </w:num>
  <w:num w:numId="41">
    <w:abstractNumId w:val="28"/>
  </w:num>
  <w:num w:numId="42">
    <w:abstractNumId w:val="28"/>
  </w:num>
  <w:num w:numId="43">
    <w:abstractNumId w:val="28"/>
  </w:num>
  <w:num w:numId="44">
    <w:abstractNumId w:val="28"/>
  </w:num>
  <w:num w:numId="45">
    <w:abstractNumId w:val="28"/>
  </w:num>
  <w:num w:numId="46">
    <w:abstractNumId w:val="9"/>
  </w:num>
  <w:num w:numId="47">
    <w:abstractNumId w:val="28"/>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MX"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s-MX" w:vendorID="64" w:dllVersion="131078" w:nlCheck="1" w:checkStyle="0"/>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A78"/>
    <w:rsid w:val="00003499"/>
    <w:rsid w:val="00003996"/>
    <w:rsid w:val="000039B7"/>
    <w:rsid w:val="00003D75"/>
    <w:rsid w:val="0000469F"/>
    <w:rsid w:val="00005117"/>
    <w:rsid w:val="00005148"/>
    <w:rsid w:val="0000574B"/>
    <w:rsid w:val="00013247"/>
    <w:rsid w:val="00013EEB"/>
    <w:rsid w:val="00014858"/>
    <w:rsid w:val="00015886"/>
    <w:rsid w:val="000158E7"/>
    <w:rsid w:val="00015BD7"/>
    <w:rsid w:val="000162EF"/>
    <w:rsid w:val="00021DA9"/>
    <w:rsid w:val="0002225F"/>
    <w:rsid w:val="00023763"/>
    <w:rsid w:val="000237D6"/>
    <w:rsid w:val="00031183"/>
    <w:rsid w:val="0003227C"/>
    <w:rsid w:val="00033863"/>
    <w:rsid w:val="00035065"/>
    <w:rsid w:val="00035DC0"/>
    <w:rsid w:val="00036666"/>
    <w:rsid w:val="00036829"/>
    <w:rsid w:val="00040895"/>
    <w:rsid w:val="00041F22"/>
    <w:rsid w:val="000436E8"/>
    <w:rsid w:val="00043886"/>
    <w:rsid w:val="00043C37"/>
    <w:rsid w:val="00044A43"/>
    <w:rsid w:val="00045017"/>
    <w:rsid w:val="000455ED"/>
    <w:rsid w:val="00045A2B"/>
    <w:rsid w:val="0004604B"/>
    <w:rsid w:val="0004698F"/>
    <w:rsid w:val="00047028"/>
    <w:rsid w:val="000471D5"/>
    <w:rsid w:val="000512A6"/>
    <w:rsid w:val="000539CB"/>
    <w:rsid w:val="000539D0"/>
    <w:rsid w:val="00054621"/>
    <w:rsid w:val="000546D7"/>
    <w:rsid w:val="00055075"/>
    <w:rsid w:val="00056743"/>
    <w:rsid w:val="00060010"/>
    <w:rsid w:val="00061A72"/>
    <w:rsid w:val="00062705"/>
    <w:rsid w:val="00063D4F"/>
    <w:rsid w:val="00066360"/>
    <w:rsid w:val="00071248"/>
    <w:rsid w:val="00071D7B"/>
    <w:rsid w:val="000720B9"/>
    <w:rsid w:val="000737F7"/>
    <w:rsid w:val="000751F6"/>
    <w:rsid w:val="0007672F"/>
    <w:rsid w:val="00076BE6"/>
    <w:rsid w:val="00077024"/>
    <w:rsid w:val="000774F0"/>
    <w:rsid w:val="00080909"/>
    <w:rsid w:val="000812CA"/>
    <w:rsid w:val="0008258D"/>
    <w:rsid w:val="000836B6"/>
    <w:rsid w:val="00083E99"/>
    <w:rsid w:val="000856C5"/>
    <w:rsid w:val="00085F39"/>
    <w:rsid w:val="00090C7E"/>
    <w:rsid w:val="00091964"/>
    <w:rsid w:val="00092600"/>
    <w:rsid w:val="0009262B"/>
    <w:rsid w:val="00093310"/>
    <w:rsid w:val="0009445C"/>
    <w:rsid w:val="0009469F"/>
    <w:rsid w:val="00095FE5"/>
    <w:rsid w:val="00096284"/>
    <w:rsid w:val="000962DD"/>
    <w:rsid w:val="000973F1"/>
    <w:rsid w:val="00097876"/>
    <w:rsid w:val="00097931"/>
    <w:rsid w:val="00097F6D"/>
    <w:rsid w:val="000A1760"/>
    <w:rsid w:val="000A468B"/>
    <w:rsid w:val="000A7D08"/>
    <w:rsid w:val="000B0670"/>
    <w:rsid w:val="000B0915"/>
    <w:rsid w:val="000B0E75"/>
    <w:rsid w:val="000B4A8C"/>
    <w:rsid w:val="000B675D"/>
    <w:rsid w:val="000B6CAC"/>
    <w:rsid w:val="000B7612"/>
    <w:rsid w:val="000B7680"/>
    <w:rsid w:val="000C2B75"/>
    <w:rsid w:val="000C3DF9"/>
    <w:rsid w:val="000C6713"/>
    <w:rsid w:val="000D11CD"/>
    <w:rsid w:val="000D1BFC"/>
    <w:rsid w:val="000D281A"/>
    <w:rsid w:val="000D326A"/>
    <w:rsid w:val="000D51FB"/>
    <w:rsid w:val="000E078D"/>
    <w:rsid w:val="000E135D"/>
    <w:rsid w:val="000E349C"/>
    <w:rsid w:val="000E4C7C"/>
    <w:rsid w:val="000E518A"/>
    <w:rsid w:val="000E551F"/>
    <w:rsid w:val="000F00BA"/>
    <w:rsid w:val="000F18A0"/>
    <w:rsid w:val="000F30D3"/>
    <w:rsid w:val="000F316A"/>
    <w:rsid w:val="000F3C74"/>
    <w:rsid w:val="000F4777"/>
    <w:rsid w:val="000F4BB8"/>
    <w:rsid w:val="000F6685"/>
    <w:rsid w:val="000F7127"/>
    <w:rsid w:val="000F7821"/>
    <w:rsid w:val="00100F8A"/>
    <w:rsid w:val="00101F96"/>
    <w:rsid w:val="00105A7A"/>
    <w:rsid w:val="00105AE2"/>
    <w:rsid w:val="00106B80"/>
    <w:rsid w:val="00107108"/>
    <w:rsid w:val="0011032E"/>
    <w:rsid w:val="001103CA"/>
    <w:rsid w:val="00111CBC"/>
    <w:rsid w:val="00112176"/>
    <w:rsid w:val="0011348B"/>
    <w:rsid w:val="001157A6"/>
    <w:rsid w:val="00115982"/>
    <w:rsid w:val="00116C53"/>
    <w:rsid w:val="00121799"/>
    <w:rsid w:val="00121D30"/>
    <w:rsid w:val="001222FC"/>
    <w:rsid w:val="00122FBC"/>
    <w:rsid w:val="00124A51"/>
    <w:rsid w:val="00124CC8"/>
    <w:rsid w:val="00126621"/>
    <w:rsid w:val="0012696D"/>
    <w:rsid w:val="001301E9"/>
    <w:rsid w:val="001305B1"/>
    <w:rsid w:val="00131835"/>
    <w:rsid w:val="00131CA0"/>
    <w:rsid w:val="00131D82"/>
    <w:rsid w:val="001323FF"/>
    <w:rsid w:val="00132627"/>
    <w:rsid w:val="00133D36"/>
    <w:rsid w:val="00133E72"/>
    <w:rsid w:val="001358A8"/>
    <w:rsid w:val="00137645"/>
    <w:rsid w:val="0014015A"/>
    <w:rsid w:val="0014039C"/>
    <w:rsid w:val="00140E99"/>
    <w:rsid w:val="00142AF5"/>
    <w:rsid w:val="00143731"/>
    <w:rsid w:val="00144714"/>
    <w:rsid w:val="00145540"/>
    <w:rsid w:val="001456B0"/>
    <w:rsid w:val="001463A0"/>
    <w:rsid w:val="00151A4D"/>
    <w:rsid w:val="00153FED"/>
    <w:rsid w:val="00154D7E"/>
    <w:rsid w:val="00155E79"/>
    <w:rsid w:val="0015613C"/>
    <w:rsid w:val="00157130"/>
    <w:rsid w:val="001576B1"/>
    <w:rsid w:val="001608D5"/>
    <w:rsid w:val="00160A4C"/>
    <w:rsid w:val="0016185C"/>
    <w:rsid w:val="00162913"/>
    <w:rsid w:val="00163EFF"/>
    <w:rsid w:val="001649E7"/>
    <w:rsid w:val="00164D59"/>
    <w:rsid w:val="001661FB"/>
    <w:rsid w:val="001665AA"/>
    <w:rsid w:val="00172BEC"/>
    <w:rsid w:val="00173565"/>
    <w:rsid w:val="0017369D"/>
    <w:rsid w:val="00173B07"/>
    <w:rsid w:val="00174F45"/>
    <w:rsid w:val="00181D9C"/>
    <w:rsid w:val="00183B0B"/>
    <w:rsid w:val="0018752F"/>
    <w:rsid w:val="00187913"/>
    <w:rsid w:val="00190513"/>
    <w:rsid w:val="00190C80"/>
    <w:rsid w:val="001925D8"/>
    <w:rsid w:val="00195222"/>
    <w:rsid w:val="00197458"/>
    <w:rsid w:val="001975D8"/>
    <w:rsid w:val="001A361E"/>
    <w:rsid w:val="001A37D0"/>
    <w:rsid w:val="001A43FA"/>
    <w:rsid w:val="001A57E6"/>
    <w:rsid w:val="001A59FB"/>
    <w:rsid w:val="001A6354"/>
    <w:rsid w:val="001A6468"/>
    <w:rsid w:val="001A6885"/>
    <w:rsid w:val="001A7A76"/>
    <w:rsid w:val="001A7AE8"/>
    <w:rsid w:val="001B108B"/>
    <w:rsid w:val="001B1BC2"/>
    <w:rsid w:val="001B1DAE"/>
    <w:rsid w:val="001B204E"/>
    <w:rsid w:val="001B262C"/>
    <w:rsid w:val="001B2A7B"/>
    <w:rsid w:val="001B3331"/>
    <w:rsid w:val="001B3443"/>
    <w:rsid w:val="001B4D20"/>
    <w:rsid w:val="001C028F"/>
    <w:rsid w:val="001C21E3"/>
    <w:rsid w:val="001C2A9B"/>
    <w:rsid w:val="001C4299"/>
    <w:rsid w:val="001C4764"/>
    <w:rsid w:val="001C5BAC"/>
    <w:rsid w:val="001C5F94"/>
    <w:rsid w:val="001C67AD"/>
    <w:rsid w:val="001C6E66"/>
    <w:rsid w:val="001C78BF"/>
    <w:rsid w:val="001D22F4"/>
    <w:rsid w:val="001D25F2"/>
    <w:rsid w:val="001D329E"/>
    <w:rsid w:val="001D42CE"/>
    <w:rsid w:val="001D51FF"/>
    <w:rsid w:val="001D6119"/>
    <w:rsid w:val="001D6493"/>
    <w:rsid w:val="001D7AA8"/>
    <w:rsid w:val="001E238E"/>
    <w:rsid w:val="001E2483"/>
    <w:rsid w:val="001E2B1E"/>
    <w:rsid w:val="001E30D4"/>
    <w:rsid w:val="001E4897"/>
    <w:rsid w:val="001E52EB"/>
    <w:rsid w:val="001E594E"/>
    <w:rsid w:val="001E61D2"/>
    <w:rsid w:val="001E740C"/>
    <w:rsid w:val="001F1235"/>
    <w:rsid w:val="001F1CB3"/>
    <w:rsid w:val="001F1E01"/>
    <w:rsid w:val="001F38B5"/>
    <w:rsid w:val="001F5CA2"/>
    <w:rsid w:val="001F616F"/>
    <w:rsid w:val="001F7361"/>
    <w:rsid w:val="002011B0"/>
    <w:rsid w:val="00201891"/>
    <w:rsid w:val="00203181"/>
    <w:rsid w:val="00203783"/>
    <w:rsid w:val="0020385F"/>
    <w:rsid w:val="00205EFC"/>
    <w:rsid w:val="00206099"/>
    <w:rsid w:val="00207021"/>
    <w:rsid w:val="0020732F"/>
    <w:rsid w:val="00207D00"/>
    <w:rsid w:val="002105C1"/>
    <w:rsid w:val="00213150"/>
    <w:rsid w:val="0021563F"/>
    <w:rsid w:val="002209B6"/>
    <w:rsid w:val="00223B49"/>
    <w:rsid w:val="00224DD4"/>
    <w:rsid w:val="002309CC"/>
    <w:rsid w:val="0023209F"/>
    <w:rsid w:val="00234049"/>
    <w:rsid w:val="00234059"/>
    <w:rsid w:val="0023629D"/>
    <w:rsid w:val="00237255"/>
    <w:rsid w:val="002424AF"/>
    <w:rsid w:val="002439DC"/>
    <w:rsid w:val="00243FF3"/>
    <w:rsid w:val="0024462A"/>
    <w:rsid w:val="00244DC8"/>
    <w:rsid w:val="002458BA"/>
    <w:rsid w:val="002458CE"/>
    <w:rsid w:val="0024636C"/>
    <w:rsid w:val="002463B9"/>
    <w:rsid w:val="00247925"/>
    <w:rsid w:val="0025233C"/>
    <w:rsid w:val="00252482"/>
    <w:rsid w:val="00253670"/>
    <w:rsid w:val="00254DCF"/>
    <w:rsid w:val="0025534B"/>
    <w:rsid w:val="00255BB7"/>
    <w:rsid w:val="00256CB2"/>
    <w:rsid w:val="00257541"/>
    <w:rsid w:val="00262A1A"/>
    <w:rsid w:val="00262A87"/>
    <w:rsid w:val="00264D26"/>
    <w:rsid w:val="00267642"/>
    <w:rsid w:val="00267AEA"/>
    <w:rsid w:val="002700E6"/>
    <w:rsid w:val="0027294B"/>
    <w:rsid w:val="00273767"/>
    <w:rsid w:val="0027587F"/>
    <w:rsid w:val="00275C5A"/>
    <w:rsid w:val="002801DE"/>
    <w:rsid w:val="0028053D"/>
    <w:rsid w:val="00281014"/>
    <w:rsid w:val="00286AB0"/>
    <w:rsid w:val="00286BDE"/>
    <w:rsid w:val="00286E38"/>
    <w:rsid w:val="00287FCF"/>
    <w:rsid w:val="00294AB0"/>
    <w:rsid w:val="002958B9"/>
    <w:rsid w:val="00296956"/>
    <w:rsid w:val="002A14AB"/>
    <w:rsid w:val="002A15FB"/>
    <w:rsid w:val="002A2F50"/>
    <w:rsid w:val="002A3254"/>
    <w:rsid w:val="002A593B"/>
    <w:rsid w:val="002B09A4"/>
    <w:rsid w:val="002B1AC6"/>
    <w:rsid w:val="002B1C1F"/>
    <w:rsid w:val="002B32D6"/>
    <w:rsid w:val="002B432F"/>
    <w:rsid w:val="002B5288"/>
    <w:rsid w:val="002B5770"/>
    <w:rsid w:val="002B5EFE"/>
    <w:rsid w:val="002B60C3"/>
    <w:rsid w:val="002B62B3"/>
    <w:rsid w:val="002B6754"/>
    <w:rsid w:val="002B678B"/>
    <w:rsid w:val="002B6CCE"/>
    <w:rsid w:val="002B7FB9"/>
    <w:rsid w:val="002C04CF"/>
    <w:rsid w:val="002C1AC2"/>
    <w:rsid w:val="002C1BA2"/>
    <w:rsid w:val="002C2510"/>
    <w:rsid w:val="002C2560"/>
    <w:rsid w:val="002C2775"/>
    <w:rsid w:val="002C27C1"/>
    <w:rsid w:val="002C29C1"/>
    <w:rsid w:val="002C32B8"/>
    <w:rsid w:val="002C5099"/>
    <w:rsid w:val="002C5889"/>
    <w:rsid w:val="002C71CE"/>
    <w:rsid w:val="002C7AD4"/>
    <w:rsid w:val="002D023F"/>
    <w:rsid w:val="002D06D8"/>
    <w:rsid w:val="002D1F61"/>
    <w:rsid w:val="002D22C3"/>
    <w:rsid w:val="002D24EF"/>
    <w:rsid w:val="002D2AB5"/>
    <w:rsid w:val="002D2C5B"/>
    <w:rsid w:val="002D39EB"/>
    <w:rsid w:val="002D4861"/>
    <w:rsid w:val="002D49D0"/>
    <w:rsid w:val="002D577C"/>
    <w:rsid w:val="002D5CBE"/>
    <w:rsid w:val="002D5DEE"/>
    <w:rsid w:val="002E100C"/>
    <w:rsid w:val="002E15B9"/>
    <w:rsid w:val="002E1D97"/>
    <w:rsid w:val="002E2158"/>
    <w:rsid w:val="002E4344"/>
    <w:rsid w:val="002E5450"/>
    <w:rsid w:val="002E6148"/>
    <w:rsid w:val="002E6EFA"/>
    <w:rsid w:val="002E7722"/>
    <w:rsid w:val="002E7CEB"/>
    <w:rsid w:val="002F03F4"/>
    <w:rsid w:val="002F07BA"/>
    <w:rsid w:val="002F0CAD"/>
    <w:rsid w:val="002F0DA9"/>
    <w:rsid w:val="002F587F"/>
    <w:rsid w:val="002F643C"/>
    <w:rsid w:val="002F71C0"/>
    <w:rsid w:val="002F7387"/>
    <w:rsid w:val="00300903"/>
    <w:rsid w:val="0030095A"/>
    <w:rsid w:val="00301017"/>
    <w:rsid w:val="0030155F"/>
    <w:rsid w:val="003026BF"/>
    <w:rsid w:val="0030587B"/>
    <w:rsid w:val="00306D98"/>
    <w:rsid w:val="0030786C"/>
    <w:rsid w:val="0031031A"/>
    <w:rsid w:val="003105C7"/>
    <w:rsid w:val="00310981"/>
    <w:rsid w:val="00310E56"/>
    <w:rsid w:val="00310F3E"/>
    <w:rsid w:val="00310F73"/>
    <w:rsid w:val="00312333"/>
    <w:rsid w:val="003128A6"/>
    <w:rsid w:val="0031411D"/>
    <w:rsid w:val="00315498"/>
    <w:rsid w:val="00317268"/>
    <w:rsid w:val="00321056"/>
    <w:rsid w:val="0032160D"/>
    <w:rsid w:val="00321B75"/>
    <w:rsid w:val="00321EC7"/>
    <w:rsid w:val="00322107"/>
    <w:rsid w:val="00322846"/>
    <w:rsid w:val="003233E5"/>
    <w:rsid w:val="00324CDC"/>
    <w:rsid w:val="00326DA7"/>
    <w:rsid w:val="003270E4"/>
    <w:rsid w:val="003275EC"/>
    <w:rsid w:val="00330BC2"/>
    <w:rsid w:val="00330F5C"/>
    <w:rsid w:val="003324CA"/>
    <w:rsid w:val="00334BE4"/>
    <w:rsid w:val="003366C9"/>
    <w:rsid w:val="003368CF"/>
    <w:rsid w:val="00336F68"/>
    <w:rsid w:val="003371B0"/>
    <w:rsid w:val="00340DF1"/>
    <w:rsid w:val="0034379B"/>
    <w:rsid w:val="0034470C"/>
    <w:rsid w:val="00347263"/>
    <w:rsid w:val="00350EC9"/>
    <w:rsid w:val="003517F9"/>
    <w:rsid w:val="0035299C"/>
    <w:rsid w:val="00354140"/>
    <w:rsid w:val="0035620E"/>
    <w:rsid w:val="00356BAF"/>
    <w:rsid w:val="00357AA3"/>
    <w:rsid w:val="003624C4"/>
    <w:rsid w:val="003654AC"/>
    <w:rsid w:val="00366D43"/>
    <w:rsid w:val="003710CF"/>
    <w:rsid w:val="00372D08"/>
    <w:rsid w:val="0037358A"/>
    <w:rsid w:val="003737BF"/>
    <w:rsid w:val="003750F6"/>
    <w:rsid w:val="00375555"/>
    <w:rsid w:val="003760FC"/>
    <w:rsid w:val="00377459"/>
    <w:rsid w:val="00380750"/>
    <w:rsid w:val="00381158"/>
    <w:rsid w:val="00381C46"/>
    <w:rsid w:val="0038286B"/>
    <w:rsid w:val="0038365C"/>
    <w:rsid w:val="0038369B"/>
    <w:rsid w:val="00383B78"/>
    <w:rsid w:val="003845DB"/>
    <w:rsid w:val="00385A9D"/>
    <w:rsid w:val="00387233"/>
    <w:rsid w:val="003902B1"/>
    <w:rsid w:val="00393F18"/>
    <w:rsid w:val="00396896"/>
    <w:rsid w:val="00396FD0"/>
    <w:rsid w:val="00397B67"/>
    <w:rsid w:val="00397F19"/>
    <w:rsid w:val="003A1A7A"/>
    <w:rsid w:val="003A21AE"/>
    <w:rsid w:val="003A2392"/>
    <w:rsid w:val="003A2831"/>
    <w:rsid w:val="003A287C"/>
    <w:rsid w:val="003A2AE0"/>
    <w:rsid w:val="003A3B48"/>
    <w:rsid w:val="003A3ED1"/>
    <w:rsid w:val="003A5A33"/>
    <w:rsid w:val="003B0240"/>
    <w:rsid w:val="003B2378"/>
    <w:rsid w:val="003B50B7"/>
    <w:rsid w:val="003B5B61"/>
    <w:rsid w:val="003B7075"/>
    <w:rsid w:val="003C011A"/>
    <w:rsid w:val="003C1654"/>
    <w:rsid w:val="003C3A9D"/>
    <w:rsid w:val="003C6DF8"/>
    <w:rsid w:val="003C7D19"/>
    <w:rsid w:val="003D0E48"/>
    <w:rsid w:val="003D1828"/>
    <w:rsid w:val="003D1C3C"/>
    <w:rsid w:val="003D1DE4"/>
    <w:rsid w:val="003D2422"/>
    <w:rsid w:val="003D39A1"/>
    <w:rsid w:val="003D3FBF"/>
    <w:rsid w:val="003D4516"/>
    <w:rsid w:val="003D4A30"/>
    <w:rsid w:val="003D79BB"/>
    <w:rsid w:val="003D7C98"/>
    <w:rsid w:val="003E0543"/>
    <w:rsid w:val="003E09FA"/>
    <w:rsid w:val="003E14D8"/>
    <w:rsid w:val="003E5082"/>
    <w:rsid w:val="003E6094"/>
    <w:rsid w:val="003F33D9"/>
    <w:rsid w:val="003F3550"/>
    <w:rsid w:val="003F4156"/>
    <w:rsid w:val="003F7516"/>
    <w:rsid w:val="00400B29"/>
    <w:rsid w:val="004042AF"/>
    <w:rsid w:val="0040504B"/>
    <w:rsid w:val="00407D97"/>
    <w:rsid w:val="00410708"/>
    <w:rsid w:val="00410EC7"/>
    <w:rsid w:val="00411B39"/>
    <w:rsid w:val="0041372B"/>
    <w:rsid w:val="00413A1E"/>
    <w:rsid w:val="00414476"/>
    <w:rsid w:val="00414C2E"/>
    <w:rsid w:val="004151CF"/>
    <w:rsid w:val="00415396"/>
    <w:rsid w:val="00416364"/>
    <w:rsid w:val="00420312"/>
    <w:rsid w:val="00420AA6"/>
    <w:rsid w:val="00420B9F"/>
    <w:rsid w:val="00421332"/>
    <w:rsid w:val="00421DE6"/>
    <w:rsid w:val="00422260"/>
    <w:rsid w:val="004238FC"/>
    <w:rsid w:val="0042413F"/>
    <w:rsid w:val="004319F8"/>
    <w:rsid w:val="00431E55"/>
    <w:rsid w:val="004321F6"/>
    <w:rsid w:val="00433044"/>
    <w:rsid w:val="004346D0"/>
    <w:rsid w:val="004364CE"/>
    <w:rsid w:val="004375B9"/>
    <w:rsid w:val="00437E97"/>
    <w:rsid w:val="00440603"/>
    <w:rsid w:val="004423F0"/>
    <w:rsid w:val="004428BA"/>
    <w:rsid w:val="004428D0"/>
    <w:rsid w:val="004443A7"/>
    <w:rsid w:val="0044442C"/>
    <w:rsid w:val="00445941"/>
    <w:rsid w:val="00446247"/>
    <w:rsid w:val="0044648D"/>
    <w:rsid w:val="004464EB"/>
    <w:rsid w:val="00447D26"/>
    <w:rsid w:val="004509CA"/>
    <w:rsid w:val="0045409B"/>
    <w:rsid w:val="00454150"/>
    <w:rsid w:val="00454806"/>
    <w:rsid w:val="00455D45"/>
    <w:rsid w:val="00464595"/>
    <w:rsid w:val="004729E7"/>
    <w:rsid w:val="00472A79"/>
    <w:rsid w:val="00473EE8"/>
    <w:rsid w:val="00473F19"/>
    <w:rsid w:val="00474497"/>
    <w:rsid w:val="004751A2"/>
    <w:rsid w:val="00475E22"/>
    <w:rsid w:val="00476504"/>
    <w:rsid w:val="0048088E"/>
    <w:rsid w:val="00481AF4"/>
    <w:rsid w:val="00482110"/>
    <w:rsid w:val="00482720"/>
    <w:rsid w:val="004835E7"/>
    <w:rsid w:val="00484447"/>
    <w:rsid w:val="00484AD9"/>
    <w:rsid w:val="00484B6D"/>
    <w:rsid w:val="004867E2"/>
    <w:rsid w:val="00491B3A"/>
    <w:rsid w:val="00492336"/>
    <w:rsid w:val="00492CFD"/>
    <w:rsid w:val="00493CF7"/>
    <w:rsid w:val="0049493A"/>
    <w:rsid w:val="004949DD"/>
    <w:rsid w:val="00494DD5"/>
    <w:rsid w:val="004962D2"/>
    <w:rsid w:val="004A0DA1"/>
    <w:rsid w:val="004A3222"/>
    <w:rsid w:val="004A3A91"/>
    <w:rsid w:val="004A47B0"/>
    <w:rsid w:val="004A511D"/>
    <w:rsid w:val="004A52E9"/>
    <w:rsid w:val="004A5FEC"/>
    <w:rsid w:val="004A6597"/>
    <w:rsid w:val="004A7848"/>
    <w:rsid w:val="004B1CB4"/>
    <w:rsid w:val="004B2F18"/>
    <w:rsid w:val="004B3DDB"/>
    <w:rsid w:val="004B44FD"/>
    <w:rsid w:val="004B5CFC"/>
    <w:rsid w:val="004B774D"/>
    <w:rsid w:val="004C0D39"/>
    <w:rsid w:val="004C2D10"/>
    <w:rsid w:val="004C4594"/>
    <w:rsid w:val="004C4AED"/>
    <w:rsid w:val="004C7D3A"/>
    <w:rsid w:val="004D0C49"/>
    <w:rsid w:val="004D2C2D"/>
    <w:rsid w:val="004D4C54"/>
    <w:rsid w:val="004D7227"/>
    <w:rsid w:val="004E0E7F"/>
    <w:rsid w:val="004E0EB8"/>
    <w:rsid w:val="004E1935"/>
    <w:rsid w:val="004E1A21"/>
    <w:rsid w:val="004E2ADC"/>
    <w:rsid w:val="004E348A"/>
    <w:rsid w:val="004E43B2"/>
    <w:rsid w:val="004E4A49"/>
    <w:rsid w:val="004F00CD"/>
    <w:rsid w:val="004F0862"/>
    <w:rsid w:val="004F1CED"/>
    <w:rsid w:val="004F1D02"/>
    <w:rsid w:val="004F2679"/>
    <w:rsid w:val="004F2F21"/>
    <w:rsid w:val="004F3DDF"/>
    <w:rsid w:val="004F459C"/>
    <w:rsid w:val="004F6913"/>
    <w:rsid w:val="004F7865"/>
    <w:rsid w:val="005004B8"/>
    <w:rsid w:val="0050219B"/>
    <w:rsid w:val="00503F17"/>
    <w:rsid w:val="005061B3"/>
    <w:rsid w:val="00506928"/>
    <w:rsid w:val="00506BBA"/>
    <w:rsid w:val="00512807"/>
    <w:rsid w:val="00514108"/>
    <w:rsid w:val="0051465A"/>
    <w:rsid w:val="005151BC"/>
    <w:rsid w:val="005152B5"/>
    <w:rsid w:val="00520A0D"/>
    <w:rsid w:val="00521278"/>
    <w:rsid w:val="005212E2"/>
    <w:rsid w:val="00521319"/>
    <w:rsid w:val="00522911"/>
    <w:rsid w:val="00522BC8"/>
    <w:rsid w:val="00523C28"/>
    <w:rsid w:val="0053184F"/>
    <w:rsid w:val="0053375D"/>
    <w:rsid w:val="00534E94"/>
    <w:rsid w:val="00535944"/>
    <w:rsid w:val="00535FD0"/>
    <w:rsid w:val="00536F42"/>
    <w:rsid w:val="00537182"/>
    <w:rsid w:val="0054183F"/>
    <w:rsid w:val="00542743"/>
    <w:rsid w:val="00542C2D"/>
    <w:rsid w:val="00542F09"/>
    <w:rsid w:val="005440FB"/>
    <w:rsid w:val="00544A46"/>
    <w:rsid w:val="00547364"/>
    <w:rsid w:val="0055113D"/>
    <w:rsid w:val="00551985"/>
    <w:rsid w:val="00552BD3"/>
    <w:rsid w:val="00553A22"/>
    <w:rsid w:val="00554C74"/>
    <w:rsid w:val="00555109"/>
    <w:rsid w:val="00555E81"/>
    <w:rsid w:val="005616B5"/>
    <w:rsid w:val="00562431"/>
    <w:rsid w:val="0056312D"/>
    <w:rsid w:val="00563288"/>
    <w:rsid w:val="005645E6"/>
    <w:rsid w:val="00565FE6"/>
    <w:rsid w:val="0056696F"/>
    <w:rsid w:val="005709E7"/>
    <w:rsid w:val="00572269"/>
    <w:rsid w:val="0057244A"/>
    <w:rsid w:val="005724DA"/>
    <w:rsid w:val="0057356B"/>
    <w:rsid w:val="00573754"/>
    <w:rsid w:val="00575D8D"/>
    <w:rsid w:val="00576972"/>
    <w:rsid w:val="00577A1F"/>
    <w:rsid w:val="00582CC8"/>
    <w:rsid w:val="005834ED"/>
    <w:rsid w:val="00583699"/>
    <w:rsid w:val="00585361"/>
    <w:rsid w:val="00585CDD"/>
    <w:rsid w:val="00587058"/>
    <w:rsid w:val="005874B9"/>
    <w:rsid w:val="00591957"/>
    <w:rsid w:val="00593754"/>
    <w:rsid w:val="00595E60"/>
    <w:rsid w:val="005960D6"/>
    <w:rsid w:val="00596995"/>
    <w:rsid w:val="00597BF9"/>
    <w:rsid w:val="005A373D"/>
    <w:rsid w:val="005A4A19"/>
    <w:rsid w:val="005A6479"/>
    <w:rsid w:val="005B04F5"/>
    <w:rsid w:val="005B0B1C"/>
    <w:rsid w:val="005B4CF1"/>
    <w:rsid w:val="005B5857"/>
    <w:rsid w:val="005C059E"/>
    <w:rsid w:val="005C1B83"/>
    <w:rsid w:val="005C2D55"/>
    <w:rsid w:val="005C346B"/>
    <w:rsid w:val="005C5A7F"/>
    <w:rsid w:val="005C5E84"/>
    <w:rsid w:val="005C5EF9"/>
    <w:rsid w:val="005D044D"/>
    <w:rsid w:val="005D0ABD"/>
    <w:rsid w:val="005D18AD"/>
    <w:rsid w:val="005D26B4"/>
    <w:rsid w:val="005D2E5B"/>
    <w:rsid w:val="005D2FF7"/>
    <w:rsid w:val="005E0537"/>
    <w:rsid w:val="005E1355"/>
    <w:rsid w:val="005E2949"/>
    <w:rsid w:val="005E3758"/>
    <w:rsid w:val="005E63F6"/>
    <w:rsid w:val="005E6CBC"/>
    <w:rsid w:val="005E73C0"/>
    <w:rsid w:val="005E73E7"/>
    <w:rsid w:val="005F128E"/>
    <w:rsid w:val="005F1542"/>
    <w:rsid w:val="005F2424"/>
    <w:rsid w:val="005F2458"/>
    <w:rsid w:val="005F2706"/>
    <w:rsid w:val="005F2E62"/>
    <w:rsid w:val="005F5BB7"/>
    <w:rsid w:val="005F6A8F"/>
    <w:rsid w:val="00603DB9"/>
    <w:rsid w:val="00607669"/>
    <w:rsid w:val="00607AFD"/>
    <w:rsid w:val="006113C3"/>
    <w:rsid w:val="00612F97"/>
    <w:rsid w:val="0061345D"/>
    <w:rsid w:val="00616802"/>
    <w:rsid w:val="00617957"/>
    <w:rsid w:val="00617E12"/>
    <w:rsid w:val="00621477"/>
    <w:rsid w:val="00621660"/>
    <w:rsid w:val="0062683E"/>
    <w:rsid w:val="0063158F"/>
    <w:rsid w:val="00631D6B"/>
    <w:rsid w:val="006330A1"/>
    <w:rsid w:val="00634186"/>
    <w:rsid w:val="0063479F"/>
    <w:rsid w:val="006353F0"/>
    <w:rsid w:val="00636266"/>
    <w:rsid w:val="006364A1"/>
    <w:rsid w:val="00637BFD"/>
    <w:rsid w:val="00641C4E"/>
    <w:rsid w:val="00642A77"/>
    <w:rsid w:val="00645D47"/>
    <w:rsid w:val="00646991"/>
    <w:rsid w:val="006471CC"/>
    <w:rsid w:val="00647373"/>
    <w:rsid w:val="0065079F"/>
    <w:rsid w:val="00652D23"/>
    <w:rsid w:val="0065362E"/>
    <w:rsid w:val="0065379F"/>
    <w:rsid w:val="00654BBC"/>
    <w:rsid w:val="00657D3A"/>
    <w:rsid w:val="00661C6B"/>
    <w:rsid w:val="00662331"/>
    <w:rsid w:val="006645FE"/>
    <w:rsid w:val="00666C24"/>
    <w:rsid w:val="00670F7F"/>
    <w:rsid w:val="00672731"/>
    <w:rsid w:val="00673EB8"/>
    <w:rsid w:val="00673FCD"/>
    <w:rsid w:val="00674725"/>
    <w:rsid w:val="00674E42"/>
    <w:rsid w:val="00675078"/>
    <w:rsid w:val="00677E7D"/>
    <w:rsid w:val="00681A3A"/>
    <w:rsid w:val="00682112"/>
    <w:rsid w:val="00686957"/>
    <w:rsid w:val="006872BA"/>
    <w:rsid w:val="00690B61"/>
    <w:rsid w:val="00691648"/>
    <w:rsid w:val="006917D7"/>
    <w:rsid w:val="00692D23"/>
    <w:rsid w:val="006935EE"/>
    <w:rsid w:val="00694F44"/>
    <w:rsid w:val="006953F4"/>
    <w:rsid w:val="006956B6"/>
    <w:rsid w:val="00695AB3"/>
    <w:rsid w:val="00697CF7"/>
    <w:rsid w:val="00697F26"/>
    <w:rsid w:val="006A1527"/>
    <w:rsid w:val="006A55E4"/>
    <w:rsid w:val="006A6113"/>
    <w:rsid w:val="006A64F3"/>
    <w:rsid w:val="006A7E5F"/>
    <w:rsid w:val="006B0D8A"/>
    <w:rsid w:val="006B261B"/>
    <w:rsid w:val="006B2C90"/>
    <w:rsid w:val="006B2E92"/>
    <w:rsid w:val="006B309B"/>
    <w:rsid w:val="006B5227"/>
    <w:rsid w:val="006B6DD0"/>
    <w:rsid w:val="006B6FA9"/>
    <w:rsid w:val="006B7F13"/>
    <w:rsid w:val="006C0413"/>
    <w:rsid w:val="006C2A8E"/>
    <w:rsid w:val="006C7460"/>
    <w:rsid w:val="006C751C"/>
    <w:rsid w:val="006D166B"/>
    <w:rsid w:val="006D3C7D"/>
    <w:rsid w:val="006D5D5F"/>
    <w:rsid w:val="006D7BB5"/>
    <w:rsid w:val="006D7D73"/>
    <w:rsid w:val="006E1440"/>
    <w:rsid w:val="006E1522"/>
    <w:rsid w:val="006E28A3"/>
    <w:rsid w:val="006E31D7"/>
    <w:rsid w:val="006F060C"/>
    <w:rsid w:val="006F2A3B"/>
    <w:rsid w:val="006F306C"/>
    <w:rsid w:val="006F5680"/>
    <w:rsid w:val="006F5687"/>
    <w:rsid w:val="006F63A5"/>
    <w:rsid w:val="006F689F"/>
    <w:rsid w:val="0070142B"/>
    <w:rsid w:val="00701AF1"/>
    <w:rsid w:val="00701E6C"/>
    <w:rsid w:val="0070276E"/>
    <w:rsid w:val="00702D7F"/>
    <w:rsid w:val="00702F8F"/>
    <w:rsid w:val="007051FF"/>
    <w:rsid w:val="00711A36"/>
    <w:rsid w:val="00712FCB"/>
    <w:rsid w:val="00713341"/>
    <w:rsid w:val="0071529C"/>
    <w:rsid w:val="00715AFA"/>
    <w:rsid w:val="007172AD"/>
    <w:rsid w:val="00722B1B"/>
    <w:rsid w:val="00723367"/>
    <w:rsid w:val="0072416F"/>
    <w:rsid w:val="00724434"/>
    <w:rsid w:val="007258F6"/>
    <w:rsid w:val="00727C94"/>
    <w:rsid w:val="007300B5"/>
    <w:rsid w:val="00731EAE"/>
    <w:rsid w:val="00731FB6"/>
    <w:rsid w:val="00734934"/>
    <w:rsid w:val="00735033"/>
    <w:rsid w:val="00735328"/>
    <w:rsid w:val="0073685B"/>
    <w:rsid w:val="00742573"/>
    <w:rsid w:val="00744631"/>
    <w:rsid w:val="007464C5"/>
    <w:rsid w:val="007502C3"/>
    <w:rsid w:val="00750944"/>
    <w:rsid w:val="007513EE"/>
    <w:rsid w:val="00752142"/>
    <w:rsid w:val="007523F9"/>
    <w:rsid w:val="0075394D"/>
    <w:rsid w:val="00754A52"/>
    <w:rsid w:val="00756050"/>
    <w:rsid w:val="007573E8"/>
    <w:rsid w:val="007600D5"/>
    <w:rsid w:val="00760C4E"/>
    <w:rsid w:val="007612F7"/>
    <w:rsid w:val="00763574"/>
    <w:rsid w:val="00765B1A"/>
    <w:rsid w:val="00767391"/>
    <w:rsid w:val="0076755F"/>
    <w:rsid w:val="00770398"/>
    <w:rsid w:val="00772E1E"/>
    <w:rsid w:val="007816AA"/>
    <w:rsid w:val="00782193"/>
    <w:rsid w:val="007843F2"/>
    <w:rsid w:val="007848FB"/>
    <w:rsid w:val="00786A5F"/>
    <w:rsid w:val="007877E4"/>
    <w:rsid w:val="00795DAC"/>
    <w:rsid w:val="007A09A6"/>
    <w:rsid w:val="007A0A12"/>
    <w:rsid w:val="007A132D"/>
    <w:rsid w:val="007A27B4"/>
    <w:rsid w:val="007A4F07"/>
    <w:rsid w:val="007A7C93"/>
    <w:rsid w:val="007B0D68"/>
    <w:rsid w:val="007B251D"/>
    <w:rsid w:val="007B3813"/>
    <w:rsid w:val="007B38FD"/>
    <w:rsid w:val="007B4714"/>
    <w:rsid w:val="007B4F58"/>
    <w:rsid w:val="007B528D"/>
    <w:rsid w:val="007B75D5"/>
    <w:rsid w:val="007B77D1"/>
    <w:rsid w:val="007B7DAC"/>
    <w:rsid w:val="007C1CD9"/>
    <w:rsid w:val="007C2AD9"/>
    <w:rsid w:val="007C2DC9"/>
    <w:rsid w:val="007C33CD"/>
    <w:rsid w:val="007C361D"/>
    <w:rsid w:val="007C4944"/>
    <w:rsid w:val="007C4B84"/>
    <w:rsid w:val="007C705A"/>
    <w:rsid w:val="007D004F"/>
    <w:rsid w:val="007D0B38"/>
    <w:rsid w:val="007D397D"/>
    <w:rsid w:val="007D3DCC"/>
    <w:rsid w:val="007D5440"/>
    <w:rsid w:val="007D7E3A"/>
    <w:rsid w:val="007E0FF6"/>
    <w:rsid w:val="007E1F67"/>
    <w:rsid w:val="007E3553"/>
    <w:rsid w:val="007E3CFE"/>
    <w:rsid w:val="007E4988"/>
    <w:rsid w:val="007E60EA"/>
    <w:rsid w:val="007E7E0C"/>
    <w:rsid w:val="007F1017"/>
    <w:rsid w:val="007F4A3F"/>
    <w:rsid w:val="007F4A61"/>
    <w:rsid w:val="007F61C2"/>
    <w:rsid w:val="007F6732"/>
    <w:rsid w:val="007F6C3F"/>
    <w:rsid w:val="007F76C3"/>
    <w:rsid w:val="00804C71"/>
    <w:rsid w:val="00805142"/>
    <w:rsid w:val="00807A8B"/>
    <w:rsid w:val="00811383"/>
    <w:rsid w:val="00812149"/>
    <w:rsid w:val="00812CAC"/>
    <w:rsid w:val="008166EF"/>
    <w:rsid w:val="00816E70"/>
    <w:rsid w:val="008177A8"/>
    <w:rsid w:val="00817B7D"/>
    <w:rsid w:val="00820812"/>
    <w:rsid w:val="008220D6"/>
    <w:rsid w:val="00822751"/>
    <w:rsid w:val="00822B08"/>
    <w:rsid w:val="00823454"/>
    <w:rsid w:val="00825751"/>
    <w:rsid w:val="00825BDF"/>
    <w:rsid w:val="00825E87"/>
    <w:rsid w:val="008264EB"/>
    <w:rsid w:val="008269B1"/>
    <w:rsid w:val="008302ED"/>
    <w:rsid w:val="00831B07"/>
    <w:rsid w:val="00832D28"/>
    <w:rsid w:val="00833B05"/>
    <w:rsid w:val="008362B4"/>
    <w:rsid w:val="00837577"/>
    <w:rsid w:val="008375FE"/>
    <w:rsid w:val="00837822"/>
    <w:rsid w:val="00840C53"/>
    <w:rsid w:val="00840CA2"/>
    <w:rsid w:val="00842C8F"/>
    <w:rsid w:val="00843374"/>
    <w:rsid w:val="0084374F"/>
    <w:rsid w:val="008467AD"/>
    <w:rsid w:val="00847A3F"/>
    <w:rsid w:val="00847DF5"/>
    <w:rsid w:val="008505B3"/>
    <w:rsid w:val="008524AE"/>
    <w:rsid w:val="0085309D"/>
    <w:rsid w:val="00855E63"/>
    <w:rsid w:val="00856897"/>
    <w:rsid w:val="00856E9A"/>
    <w:rsid w:val="0086075D"/>
    <w:rsid w:val="00862502"/>
    <w:rsid w:val="00864918"/>
    <w:rsid w:val="008660D4"/>
    <w:rsid w:val="00866DD4"/>
    <w:rsid w:val="00867294"/>
    <w:rsid w:val="00871D56"/>
    <w:rsid w:val="00871FA9"/>
    <w:rsid w:val="008728E9"/>
    <w:rsid w:val="00872D3B"/>
    <w:rsid w:val="008800EE"/>
    <w:rsid w:val="00882874"/>
    <w:rsid w:val="00883787"/>
    <w:rsid w:val="00884DD4"/>
    <w:rsid w:val="00884FFE"/>
    <w:rsid w:val="0088641A"/>
    <w:rsid w:val="00886CD2"/>
    <w:rsid w:val="00890576"/>
    <w:rsid w:val="00892A36"/>
    <w:rsid w:val="00893239"/>
    <w:rsid w:val="00894489"/>
    <w:rsid w:val="008955E1"/>
    <w:rsid w:val="008963A5"/>
    <w:rsid w:val="00896F45"/>
    <w:rsid w:val="008A18A2"/>
    <w:rsid w:val="008A3363"/>
    <w:rsid w:val="008A3371"/>
    <w:rsid w:val="008A3C3E"/>
    <w:rsid w:val="008A79DE"/>
    <w:rsid w:val="008B0C93"/>
    <w:rsid w:val="008B1581"/>
    <w:rsid w:val="008B1757"/>
    <w:rsid w:val="008B2D15"/>
    <w:rsid w:val="008B4903"/>
    <w:rsid w:val="008B52A4"/>
    <w:rsid w:val="008B7D7E"/>
    <w:rsid w:val="008C07A8"/>
    <w:rsid w:val="008C1EE4"/>
    <w:rsid w:val="008C38E0"/>
    <w:rsid w:val="008C4652"/>
    <w:rsid w:val="008C491E"/>
    <w:rsid w:val="008C7ECB"/>
    <w:rsid w:val="008D2132"/>
    <w:rsid w:val="008D3113"/>
    <w:rsid w:val="008D352F"/>
    <w:rsid w:val="008D4755"/>
    <w:rsid w:val="008D4C3D"/>
    <w:rsid w:val="008D5B4C"/>
    <w:rsid w:val="008D6960"/>
    <w:rsid w:val="008D7638"/>
    <w:rsid w:val="008E049C"/>
    <w:rsid w:val="008E0D3C"/>
    <w:rsid w:val="008E1A6D"/>
    <w:rsid w:val="008E1B9E"/>
    <w:rsid w:val="008E2A52"/>
    <w:rsid w:val="008E2B06"/>
    <w:rsid w:val="008E3A5D"/>
    <w:rsid w:val="008E3DE8"/>
    <w:rsid w:val="008E3E97"/>
    <w:rsid w:val="008E55AB"/>
    <w:rsid w:val="008E7333"/>
    <w:rsid w:val="008E7B5E"/>
    <w:rsid w:val="008F120A"/>
    <w:rsid w:val="008F27E0"/>
    <w:rsid w:val="008F48EB"/>
    <w:rsid w:val="008F4F0B"/>
    <w:rsid w:val="008F509D"/>
    <w:rsid w:val="008F599F"/>
    <w:rsid w:val="0090052A"/>
    <w:rsid w:val="009010A1"/>
    <w:rsid w:val="0090436C"/>
    <w:rsid w:val="009046C4"/>
    <w:rsid w:val="00904C2B"/>
    <w:rsid w:val="009062A5"/>
    <w:rsid w:val="00911272"/>
    <w:rsid w:val="009114E4"/>
    <w:rsid w:val="00911860"/>
    <w:rsid w:val="009135D6"/>
    <w:rsid w:val="00914C77"/>
    <w:rsid w:val="00916A99"/>
    <w:rsid w:val="009171CA"/>
    <w:rsid w:val="00921333"/>
    <w:rsid w:val="0092266C"/>
    <w:rsid w:val="0092363D"/>
    <w:rsid w:val="0092369B"/>
    <w:rsid w:val="0092534B"/>
    <w:rsid w:val="009279EE"/>
    <w:rsid w:val="00927B7D"/>
    <w:rsid w:val="00930F7B"/>
    <w:rsid w:val="0093315A"/>
    <w:rsid w:val="00933A1B"/>
    <w:rsid w:val="00936AFE"/>
    <w:rsid w:val="009410A0"/>
    <w:rsid w:val="00941CE9"/>
    <w:rsid w:val="00942C53"/>
    <w:rsid w:val="009477C7"/>
    <w:rsid w:val="009510A2"/>
    <w:rsid w:val="00953257"/>
    <w:rsid w:val="009551F3"/>
    <w:rsid w:val="009558EF"/>
    <w:rsid w:val="009566C8"/>
    <w:rsid w:val="00956E59"/>
    <w:rsid w:val="00956F2A"/>
    <w:rsid w:val="00960BA7"/>
    <w:rsid w:val="00962CB9"/>
    <w:rsid w:val="0096333D"/>
    <w:rsid w:val="00964312"/>
    <w:rsid w:val="00965B8A"/>
    <w:rsid w:val="00971447"/>
    <w:rsid w:val="009717AC"/>
    <w:rsid w:val="009718A6"/>
    <w:rsid w:val="009741E4"/>
    <w:rsid w:val="00977813"/>
    <w:rsid w:val="009805BC"/>
    <w:rsid w:val="009806D2"/>
    <w:rsid w:val="0098072C"/>
    <w:rsid w:val="009826B9"/>
    <w:rsid w:val="00982EE5"/>
    <w:rsid w:val="00983E57"/>
    <w:rsid w:val="009864E8"/>
    <w:rsid w:val="0098675D"/>
    <w:rsid w:val="00995558"/>
    <w:rsid w:val="009962A5"/>
    <w:rsid w:val="00996B1A"/>
    <w:rsid w:val="00997D2C"/>
    <w:rsid w:val="009A128D"/>
    <w:rsid w:val="009A19CB"/>
    <w:rsid w:val="009A19FE"/>
    <w:rsid w:val="009A7F10"/>
    <w:rsid w:val="009B08FB"/>
    <w:rsid w:val="009B0C64"/>
    <w:rsid w:val="009B3E26"/>
    <w:rsid w:val="009B4B96"/>
    <w:rsid w:val="009B743F"/>
    <w:rsid w:val="009C0FBC"/>
    <w:rsid w:val="009C27F2"/>
    <w:rsid w:val="009C4019"/>
    <w:rsid w:val="009C4D82"/>
    <w:rsid w:val="009C6CEA"/>
    <w:rsid w:val="009C73C5"/>
    <w:rsid w:val="009C7B85"/>
    <w:rsid w:val="009D253C"/>
    <w:rsid w:val="009D5B91"/>
    <w:rsid w:val="009D64DB"/>
    <w:rsid w:val="009D792E"/>
    <w:rsid w:val="009E0DFE"/>
    <w:rsid w:val="009E2BF8"/>
    <w:rsid w:val="009E495C"/>
    <w:rsid w:val="009E4C07"/>
    <w:rsid w:val="009E5881"/>
    <w:rsid w:val="009F4849"/>
    <w:rsid w:val="009F4E7C"/>
    <w:rsid w:val="00A01184"/>
    <w:rsid w:val="00A02638"/>
    <w:rsid w:val="00A026F4"/>
    <w:rsid w:val="00A03D43"/>
    <w:rsid w:val="00A04380"/>
    <w:rsid w:val="00A05609"/>
    <w:rsid w:val="00A066BB"/>
    <w:rsid w:val="00A10658"/>
    <w:rsid w:val="00A112C0"/>
    <w:rsid w:val="00A11CD0"/>
    <w:rsid w:val="00A132C2"/>
    <w:rsid w:val="00A13948"/>
    <w:rsid w:val="00A15279"/>
    <w:rsid w:val="00A1555B"/>
    <w:rsid w:val="00A155C5"/>
    <w:rsid w:val="00A15933"/>
    <w:rsid w:val="00A15FE7"/>
    <w:rsid w:val="00A1660D"/>
    <w:rsid w:val="00A16AD8"/>
    <w:rsid w:val="00A17514"/>
    <w:rsid w:val="00A20421"/>
    <w:rsid w:val="00A21CF3"/>
    <w:rsid w:val="00A22BE0"/>
    <w:rsid w:val="00A245DB"/>
    <w:rsid w:val="00A27AEC"/>
    <w:rsid w:val="00A27F14"/>
    <w:rsid w:val="00A27F79"/>
    <w:rsid w:val="00A30FFB"/>
    <w:rsid w:val="00A320DB"/>
    <w:rsid w:val="00A33E8D"/>
    <w:rsid w:val="00A35D16"/>
    <w:rsid w:val="00A36153"/>
    <w:rsid w:val="00A37BCD"/>
    <w:rsid w:val="00A4043D"/>
    <w:rsid w:val="00A40988"/>
    <w:rsid w:val="00A43519"/>
    <w:rsid w:val="00A43C59"/>
    <w:rsid w:val="00A43CBF"/>
    <w:rsid w:val="00A44746"/>
    <w:rsid w:val="00A50663"/>
    <w:rsid w:val="00A50ECD"/>
    <w:rsid w:val="00A518F3"/>
    <w:rsid w:val="00A52729"/>
    <w:rsid w:val="00A53675"/>
    <w:rsid w:val="00A560F3"/>
    <w:rsid w:val="00A564D7"/>
    <w:rsid w:val="00A56B6A"/>
    <w:rsid w:val="00A578DC"/>
    <w:rsid w:val="00A63A1F"/>
    <w:rsid w:val="00A6513C"/>
    <w:rsid w:val="00A659C9"/>
    <w:rsid w:val="00A6725B"/>
    <w:rsid w:val="00A67BF9"/>
    <w:rsid w:val="00A70605"/>
    <w:rsid w:val="00A71A5F"/>
    <w:rsid w:val="00A73134"/>
    <w:rsid w:val="00A777B2"/>
    <w:rsid w:val="00A8142C"/>
    <w:rsid w:val="00A816D2"/>
    <w:rsid w:val="00A81F3B"/>
    <w:rsid w:val="00A86E8B"/>
    <w:rsid w:val="00A87164"/>
    <w:rsid w:val="00A87A17"/>
    <w:rsid w:val="00A9030C"/>
    <w:rsid w:val="00A93072"/>
    <w:rsid w:val="00A93939"/>
    <w:rsid w:val="00A93953"/>
    <w:rsid w:val="00A947AD"/>
    <w:rsid w:val="00A959D8"/>
    <w:rsid w:val="00A96F2E"/>
    <w:rsid w:val="00AA113D"/>
    <w:rsid w:val="00AA57D5"/>
    <w:rsid w:val="00AA6729"/>
    <w:rsid w:val="00AA6C7D"/>
    <w:rsid w:val="00AA7FD6"/>
    <w:rsid w:val="00AB042A"/>
    <w:rsid w:val="00AB2D34"/>
    <w:rsid w:val="00AB32F7"/>
    <w:rsid w:val="00AB3430"/>
    <w:rsid w:val="00AB4AD1"/>
    <w:rsid w:val="00AB6081"/>
    <w:rsid w:val="00AB675F"/>
    <w:rsid w:val="00AB7CFA"/>
    <w:rsid w:val="00AC1287"/>
    <w:rsid w:val="00AC1542"/>
    <w:rsid w:val="00AC29E2"/>
    <w:rsid w:val="00AC409B"/>
    <w:rsid w:val="00AC5B48"/>
    <w:rsid w:val="00AC64FB"/>
    <w:rsid w:val="00AC650B"/>
    <w:rsid w:val="00AC6968"/>
    <w:rsid w:val="00AC76C7"/>
    <w:rsid w:val="00AD05BD"/>
    <w:rsid w:val="00AD1248"/>
    <w:rsid w:val="00AD6502"/>
    <w:rsid w:val="00AD683C"/>
    <w:rsid w:val="00AD7EEA"/>
    <w:rsid w:val="00AE0300"/>
    <w:rsid w:val="00AE1233"/>
    <w:rsid w:val="00AE4B6C"/>
    <w:rsid w:val="00AE7D6A"/>
    <w:rsid w:val="00AF1315"/>
    <w:rsid w:val="00AF19BF"/>
    <w:rsid w:val="00AF2DC3"/>
    <w:rsid w:val="00AF52CE"/>
    <w:rsid w:val="00AF67BB"/>
    <w:rsid w:val="00B033E5"/>
    <w:rsid w:val="00B03A63"/>
    <w:rsid w:val="00B06FDB"/>
    <w:rsid w:val="00B11C3A"/>
    <w:rsid w:val="00B121CD"/>
    <w:rsid w:val="00B12BA1"/>
    <w:rsid w:val="00B12CCD"/>
    <w:rsid w:val="00B14D1B"/>
    <w:rsid w:val="00B172BC"/>
    <w:rsid w:val="00B201A4"/>
    <w:rsid w:val="00B20418"/>
    <w:rsid w:val="00B204B6"/>
    <w:rsid w:val="00B213A6"/>
    <w:rsid w:val="00B24DF6"/>
    <w:rsid w:val="00B252F0"/>
    <w:rsid w:val="00B32C12"/>
    <w:rsid w:val="00B34FE2"/>
    <w:rsid w:val="00B357D8"/>
    <w:rsid w:val="00B35AF9"/>
    <w:rsid w:val="00B37BFC"/>
    <w:rsid w:val="00B40358"/>
    <w:rsid w:val="00B40B70"/>
    <w:rsid w:val="00B40BE9"/>
    <w:rsid w:val="00B41614"/>
    <w:rsid w:val="00B42851"/>
    <w:rsid w:val="00B42F80"/>
    <w:rsid w:val="00B435CB"/>
    <w:rsid w:val="00B44CE1"/>
    <w:rsid w:val="00B50DB8"/>
    <w:rsid w:val="00B522D7"/>
    <w:rsid w:val="00B53654"/>
    <w:rsid w:val="00B53905"/>
    <w:rsid w:val="00B54034"/>
    <w:rsid w:val="00B54B5B"/>
    <w:rsid w:val="00B5562E"/>
    <w:rsid w:val="00B57000"/>
    <w:rsid w:val="00B57A97"/>
    <w:rsid w:val="00B604A9"/>
    <w:rsid w:val="00B60939"/>
    <w:rsid w:val="00B60AFD"/>
    <w:rsid w:val="00B60D30"/>
    <w:rsid w:val="00B62715"/>
    <w:rsid w:val="00B62752"/>
    <w:rsid w:val="00B638AF"/>
    <w:rsid w:val="00B659C4"/>
    <w:rsid w:val="00B66217"/>
    <w:rsid w:val="00B67B09"/>
    <w:rsid w:val="00B67FEF"/>
    <w:rsid w:val="00B710A7"/>
    <w:rsid w:val="00B7148F"/>
    <w:rsid w:val="00B73719"/>
    <w:rsid w:val="00B80F67"/>
    <w:rsid w:val="00B818A4"/>
    <w:rsid w:val="00B84117"/>
    <w:rsid w:val="00B84AED"/>
    <w:rsid w:val="00B85AA2"/>
    <w:rsid w:val="00B8649C"/>
    <w:rsid w:val="00B87F0A"/>
    <w:rsid w:val="00B91A72"/>
    <w:rsid w:val="00B91C1E"/>
    <w:rsid w:val="00B92D0B"/>
    <w:rsid w:val="00B94945"/>
    <w:rsid w:val="00B94BC1"/>
    <w:rsid w:val="00B96555"/>
    <w:rsid w:val="00B96DFD"/>
    <w:rsid w:val="00BA08D5"/>
    <w:rsid w:val="00BA1CFB"/>
    <w:rsid w:val="00BA322D"/>
    <w:rsid w:val="00BA58C4"/>
    <w:rsid w:val="00BA71B2"/>
    <w:rsid w:val="00BA72E2"/>
    <w:rsid w:val="00BB0674"/>
    <w:rsid w:val="00BB0BDD"/>
    <w:rsid w:val="00BB0D3F"/>
    <w:rsid w:val="00BB2A73"/>
    <w:rsid w:val="00BB455D"/>
    <w:rsid w:val="00BB4ACC"/>
    <w:rsid w:val="00BB5165"/>
    <w:rsid w:val="00BB64EF"/>
    <w:rsid w:val="00BB6A64"/>
    <w:rsid w:val="00BB703E"/>
    <w:rsid w:val="00BB7405"/>
    <w:rsid w:val="00BB76A8"/>
    <w:rsid w:val="00BC0C04"/>
    <w:rsid w:val="00BC2BE6"/>
    <w:rsid w:val="00BC3631"/>
    <w:rsid w:val="00BC4B6D"/>
    <w:rsid w:val="00BC5120"/>
    <w:rsid w:val="00BC543F"/>
    <w:rsid w:val="00BC7825"/>
    <w:rsid w:val="00BD0B09"/>
    <w:rsid w:val="00BD27FB"/>
    <w:rsid w:val="00BD2F2F"/>
    <w:rsid w:val="00BD332E"/>
    <w:rsid w:val="00BD46B2"/>
    <w:rsid w:val="00BD5880"/>
    <w:rsid w:val="00BD68A3"/>
    <w:rsid w:val="00BD6938"/>
    <w:rsid w:val="00BD6CF3"/>
    <w:rsid w:val="00BD7641"/>
    <w:rsid w:val="00BD7D66"/>
    <w:rsid w:val="00BE0468"/>
    <w:rsid w:val="00BE1AA7"/>
    <w:rsid w:val="00BE2180"/>
    <w:rsid w:val="00BE21F2"/>
    <w:rsid w:val="00BE4275"/>
    <w:rsid w:val="00BE4727"/>
    <w:rsid w:val="00BE755C"/>
    <w:rsid w:val="00BF0F95"/>
    <w:rsid w:val="00BF1537"/>
    <w:rsid w:val="00BF2433"/>
    <w:rsid w:val="00BF24FF"/>
    <w:rsid w:val="00BF29A5"/>
    <w:rsid w:val="00BF3738"/>
    <w:rsid w:val="00BF61C9"/>
    <w:rsid w:val="00BF6B6D"/>
    <w:rsid w:val="00BF6C94"/>
    <w:rsid w:val="00BF6DE8"/>
    <w:rsid w:val="00BF7828"/>
    <w:rsid w:val="00C00424"/>
    <w:rsid w:val="00C06713"/>
    <w:rsid w:val="00C06A28"/>
    <w:rsid w:val="00C1223E"/>
    <w:rsid w:val="00C127FF"/>
    <w:rsid w:val="00C12C14"/>
    <w:rsid w:val="00C13926"/>
    <w:rsid w:val="00C161D9"/>
    <w:rsid w:val="00C164DE"/>
    <w:rsid w:val="00C16B80"/>
    <w:rsid w:val="00C200AA"/>
    <w:rsid w:val="00C237ED"/>
    <w:rsid w:val="00C24632"/>
    <w:rsid w:val="00C25418"/>
    <w:rsid w:val="00C25D9C"/>
    <w:rsid w:val="00C2778B"/>
    <w:rsid w:val="00C31649"/>
    <w:rsid w:val="00C34986"/>
    <w:rsid w:val="00C34C22"/>
    <w:rsid w:val="00C40385"/>
    <w:rsid w:val="00C408F4"/>
    <w:rsid w:val="00C40EE0"/>
    <w:rsid w:val="00C42F90"/>
    <w:rsid w:val="00C475AA"/>
    <w:rsid w:val="00C500A4"/>
    <w:rsid w:val="00C5156E"/>
    <w:rsid w:val="00C53ED1"/>
    <w:rsid w:val="00C54959"/>
    <w:rsid w:val="00C5513D"/>
    <w:rsid w:val="00C566B1"/>
    <w:rsid w:val="00C6053B"/>
    <w:rsid w:val="00C62652"/>
    <w:rsid w:val="00C63093"/>
    <w:rsid w:val="00C63CFB"/>
    <w:rsid w:val="00C64DCB"/>
    <w:rsid w:val="00C65576"/>
    <w:rsid w:val="00C6577C"/>
    <w:rsid w:val="00C66165"/>
    <w:rsid w:val="00C7083F"/>
    <w:rsid w:val="00C70917"/>
    <w:rsid w:val="00C7151A"/>
    <w:rsid w:val="00C71F60"/>
    <w:rsid w:val="00C72241"/>
    <w:rsid w:val="00C72D22"/>
    <w:rsid w:val="00C74AD5"/>
    <w:rsid w:val="00C750C8"/>
    <w:rsid w:val="00C7560F"/>
    <w:rsid w:val="00C7596A"/>
    <w:rsid w:val="00C804F1"/>
    <w:rsid w:val="00C80A0E"/>
    <w:rsid w:val="00C81576"/>
    <w:rsid w:val="00C81B80"/>
    <w:rsid w:val="00C81F51"/>
    <w:rsid w:val="00C8213F"/>
    <w:rsid w:val="00C82316"/>
    <w:rsid w:val="00C82859"/>
    <w:rsid w:val="00C86653"/>
    <w:rsid w:val="00C8797A"/>
    <w:rsid w:val="00C900B8"/>
    <w:rsid w:val="00C907EA"/>
    <w:rsid w:val="00C90C71"/>
    <w:rsid w:val="00C931CF"/>
    <w:rsid w:val="00C938CF"/>
    <w:rsid w:val="00C9566B"/>
    <w:rsid w:val="00C9624D"/>
    <w:rsid w:val="00C969DA"/>
    <w:rsid w:val="00C96DA3"/>
    <w:rsid w:val="00CA128F"/>
    <w:rsid w:val="00CA13AF"/>
    <w:rsid w:val="00CA2C77"/>
    <w:rsid w:val="00CA444F"/>
    <w:rsid w:val="00CA4F9E"/>
    <w:rsid w:val="00CA5245"/>
    <w:rsid w:val="00CA71F4"/>
    <w:rsid w:val="00CA7345"/>
    <w:rsid w:val="00CA7B09"/>
    <w:rsid w:val="00CB17A0"/>
    <w:rsid w:val="00CB2F2A"/>
    <w:rsid w:val="00CB5B1A"/>
    <w:rsid w:val="00CB6ACE"/>
    <w:rsid w:val="00CB6B22"/>
    <w:rsid w:val="00CB7F5F"/>
    <w:rsid w:val="00CC02F6"/>
    <w:rsid w:val="00CC1B39"/>
    <w:rsid w:val="00CC3CCD"/>
    <w:rsid w:val="00CC47B3"/>
    <w:rsid w:val="00CC5919"/>
    <w:rsid w:val="00CD0F7D"/>
    <w:rsid w:val="00CD40D7"/>
    <w:rsid w:val="00CD6ADC"/>
    <w:rsid w:val="00CE6274"/>
    <w:rsid w:val="00CE725B"/>
    <w:rsid w:val="00CE7A30"/>
    <w:rsid w:val="00CF083B"/>
    <w:rsid w:val="00CF2B8D"/>
    <w:rsid w:val="00CF3D1D"/>
    <w:rsid w:val="00CF456B"/>
    <w:rsid w:val="00CF53C6"/>
    <w:rsid w:val="00CF5A22"/>
    <w:rsid w:val="00CF6DB1"/>
    <w:rsid w:val="00CF6ECB"/>
    <w:rsid w:val="00D0262E"/>
    <w:rsid w:val="00D02B22"/>
    <w:rsid w:val="00D030D2"/>
    <w:rsid w:val="00D04B36"/>
    <w:rsid w:val="00D05008"/>
    <w:rsid w:val="00D110BD"/>
    <w:rsid w:val="00D11230"/>
    <w:rsid w:val="00D11D91"/>
    <w:rsid w:val="00D11EF5"/>
    <w:rsid w:val="00D12BED"/>
    <w:rsid w:val="00D12F44"/>
    <w:rsid w:val="00D13675"/>
    <w:rsid w:val="00D141E1"/>
    <w:rsid w:val="00D15D53"/>
    <w:rsid w:val="00D17D6C"/>
    <w:rsid w:val="00D24715"/>
    <w:rsid w:val="00D24CCB"/>
    <w:rsid w:val="00D24DD6"/>
    <w:rsid w:val="00D2672E"/>
    <w:rsid w:val="00D2754D"/>
    <w:rsid w:val="00D27B27"/>
    <w:rsid w:val="00D33BE9"/>
    <w:rsid w:val="00D34A66"/>
    <w:rsid w:val="00D34C71"/>
    <w:rsid w:val="00D357FF"/>
    <w:rsid w:val="00D371B0"/>
    <w:rsid w:val="00D4095F"/>
    <w:rsid w:val="00D424C7"/>
    <w:rsid w:val="00D4296D"/>
    <w:rsid w:val="00D4348C"/>
    <w:rsid w:val="00D43B2A"/>
    <w:rsid w:val="00D443C5"/>
    <w:rsid w:val="00D45293"/>
    <w:rsid w:val="00D45C76"/>
    <w:rsid w:val="00D47575"/>
    <w:rsid w:val="00D47729"/>
    <w:rsid w:val="00D47E52"/>
    <w:rsid w:val="00D51370"/>
    <w:rsid w:val="00D558D5"/>
    <w:rsid w:val="00D55C06"/>
    <w:rsid w:val="00D65BA3"/>
    <w:rsid w:val="00D70F16"/>
    <w:rsid w:val="00D74350"/>
    <w:rsid w:val="00D74414"/>
    <w:rsid w:val="00D76A44"/>
    <w:rsid w:val="00D815EF"/>
    <w:rsid w:val="00D844FF"/>
    <w:rsid w:val="00D85B71"/>
    <w:rsid w:val="00D90AF7"/>
    <w:rsid w:val="00D91923"/>
    <w:rsid w:val="00D93753"/>
    <w:rsid w:val="00DA2FB6"/>
    <w:rsid w:val="00DA3167"/>
    <w:rsid w:val="00DA45BA"/>
    <w:rsid w:val="00DA4951"/>
    <w:rsid w:val="00DA49E5"/>
    <w:rsid w:val="00DA4DC3"/>
    <w:rsid w:val="00DA6BF1"/>
    <w:rsid w:val="00DA77A5"/>
    <w:rsid w:val="00DB0E7C"/>
    <w:rsid w:val="00DB484F"/>
    <w:rsid w:val="00DB56F6"/>
    <w:rsid w:val="00DC04F6"/>
    <w:rsid w:val="00DC159D"/>
    <w:rsid w:val="00DC3C57"/>
    <w:rsid w:val="00DC3D5C"/>
    <w:rsid w:val="00DC5501"/>
    <w:rsid w:val="00DC774F"/>
    <w:rsid w:val="00DD273C"/>
    <w:rsid w:val="00DD3D12"/>
    <w:rsid w:val="00DD3F28"/>
    <w:rsid w:val="00DD4537"/>
    <w:rsid w:val="00DD4E15"/>
    <w:rsid w:val="00DD5154"/>
    <w:rsid w:val="00DD5285"/>
    <w:rsid w:val="00DD5BCA"/>
    <w:rsid w:val="00DD6926"/>
    <w:rsid w:val="00DE3138"/>
    <w:rsid w:val="00DE37F8"/>
    <w:rsid w:val="00DE47EB"/>
    <w:rsid w:val="00DE4A91"/>
    <w:rsid w:val="00DE4FCB"/>
    <w:rsid w:val="00DE7832"/>
    <w:rsid w:val="00DF18FC"/>
    <w:rsid w:val="00DF2ED3"/>
    <w:rsid w:val="00DF442E"/>
    <w:rsid w:val="00DF4B0A"/>
    <w:rsid w:val="00DF530C"/>
    <w:rsid w:val="00DF597F"/>
    <w:rsid w:val="00DF5D2B"/>
    <w:rsid w:val="00DF6511"/>
    <w:rsid w:val="00DF69E6"/>
    <w:rsid w:val="00DF7B2A"/>
    <w:rsid w:val="00E00E8E"/>
    <w:rsid w:val="00E03161"/>
    <w:rsid w:val="00E03E00"/>
    <w:rsid w:val="00E05630"/>
    <w:rsid w:val="00E05B4D"/>
    <w:rsid w:val="00E05E11"/>
    <w:rsid w:val="00E061C7"/>
    <w:rsid w:val="00E063FB"/>
    <w:rsid w:val="00E06793"/>
    <w:rsid w:val="00E06D67"/>
    <w:rsid w:val="00E06DBB"/>
    <w:rsid w:val="00E073F6"/>
    <w:rsid w:val="00E07920"/>
    <w:rsid w:val="00E10149"/>
    <w:rsid w:val="00E1218B"/>
    <w:rsid w:val="00E133A8"/>
    <w:rsid w:val="00E147BE"/>
    <w:rsid w:val="00E15E99"/>
    <w:rsid w:val="00E15F48"/>
    <w:rsid w:val="00E16372"/>
    <w:rsid w:val="00E20E4D"/>
    <w:rsid w:val="00E20ED6"/>
    <w:rsid w:val="00E21358"/>
    <w:rsid w:val="00E2249B"/>
    <w:rsid w:val="00E22A0D"/>
    <w:rsid w:val="00E2307B"/>
    <w:rsid w:val="00E2771E"/>
    <w:rsid w:val="00E27882"/>
    <w:rsid w:val="00E329EF"/>
    <w:rsid w:val="00E33E2D"/>
    <w:rsid w:val="00E34913"/>
    <w:rsid w:val="00E34948"/>
    <w:rsid w:val="00E37569"/>
    <w:rsid w:val="00E41E30"/>
    <w:rsid w:val="00E425E1"/>
    <w:rsid w:val="00E43D70"/>
    <w:rsid w:val="00E466F3"/>
    <w:rsid w:val="00E473F6"/>
    <w:rsid w:val="00E47B2C"/>
    <w:rsid w:val="00E51560"/>
    <w:rsid w:val="00E51EE8"/>
    <w:rsid w:val="00E54347"/>
    <w:rsid w:val="00E55424"/>
    <w:rsid w:val="00E556D6"/>
    <w:rsid w:val="00E55BB5"/>
    <w:rsid w:val="00E56602"/>
    <w:rsid w:val="00E573AB"/>
    <w:rsid w:val="00E6142A"/>
    <w:rsid w:val="00E62433"/>
    <w:rsid w:val="00E626D6"/>
    <w:rsid w:val="00E62BA1"/>
    <w:rsid w:val="00E6367F"/>
    <w:rsid w:val="00E65291"/>
    <w:rsid w:val="00E65E79"/>
    <w:rsid w:val="00E66BA2"/>
    <w:rsid w:val="00E67416"/>
    <w:rsid w:val="00E67B27"/>
    <w:rsid w:val="00E718B6"/>
    <w:rsid w:val="00E723BA"/>
    <w:rsid w:val="00E73581"/>
    <w:rsid w:val="00E77067"/>
    <w:rsid w:val="00E833F7"/>
    <w:rsid w:val="00E83BDF"/>
    <w:rsid w:val="00E87A1D"/>
    <w:rsid w:val="00E90736"/>
    <w:rsid w:val="00E91E68"/>
    <w:rsid w:val="00E926A5"/>
    <w:rsid w:val="00E9461F"/>
    <w:rsid w:val="00E95BE9"/>
    <w:rsid w:val="00E962DE"/>
    <w:rsid w:val="00EA17C3"/>
    <w:rsid w:val="00EA2A59"/>
    <w:rsid w:val="00EA2CAA"/>
    <w:rsid w:val="00EA3864"/>
    <w:rsid w:val="00EA38AD"/>
    <w:rsid w:val="00EB15B6"/>
    <w:rsid w:val="00EB4916"/>
    <w:rsid w:val="00EC00C9"/>
    <w:rsid w:val="00EC1056"/>
    <w:rsid w:val="00EC2649"/>
    <w:rsid w:val="00EC33A5"/>
    <w:rsid w:val="00EC7107"/>
    <w:rsid w:val="00ED05D5"/>
    <w:rsid w:val="00ED57EA"/>
    <w:rsid w:val="00ED63AD"/>
    <w:rsid w:val="00ED6551"/>
    <w:rsid w:val="00ED6B6C"/>
    <w:rsid w:val="00EE07D3"/>
    <w:rsid w:val="00EE22AF"/>
    <w:rsid w:val="00EE392A"/>
    <w:rsid w:val="00EE500E"/>
    <w:rsid w:val="00EE577B"/>
    <w:rsid w:val="00EE5980"/>
    <w:rsid w:val="00EF0171"/>
    <w:rsid w:val="00EF1B25"/>
    <w:rsid w:val="00EF2E07"/>
    <w:rsid w:val="00EF4747"/>
    <w:rsid w:val="00EF4BF8"/>
    <w:rsid w:val="00EF5684"/>
    <w:rsid w:val="00EF5D81"/>
    <w:rsid w:val="00EF63A6"/>
    <w:rsid w:val="00EF6455"/>
    <w:rsid w:val="00F00F03"/>
    <w:rsid w:val="00F02253"/>
    <w:rsid w:val="00F03C2E"/>
    <w:rsid w:val="00F047B4"/>
    <w:rsid w:val="00F04A66"/>
    <w:rsid w:val="00F0516C"/>
    <w:rsid w:val="00F067A2"/>
    <w:rsid w:val="00F11DA4"/>
    <w:rsid w:val="00F1263A"/>
    <w:rsid w:val="00F16C21"/>
    <w:rsid w:val="00F2066D"/>
    <w:rsid w:val="00F23B4D"/>
    <w:rsid w:val="00F24620"/>
    <w:rsid w:val="00F24837"/>
    <w:rsid w:val="00F24A29"/>
    <w:rsid w:val="00F2575F"/>
    <w:rsid w:val="00F25EE1"/>
    <w:rsid w:val="00F27565"/>
    <w:rsid w:val="00F27670"/>
    <w:rsid w:val="00F27D13"/>
    <w:rsid w:val="00F310D4"/>
    <w:rsid w:val="00F31D5A"/>
    <w:rsid w:val="00F32D39"/>
    <w:rsid w:val="00F33DE9"/>
    <w:rsid w:val="00F3619A"/>
    <w:rsid w:val="00F37BD3"/>
    <w:rsid w:val="00F37F14"/>
    <w:rsid w:val="00F40AAA"/>
    <w:rsid w:val="00F40BA7"/>
    <w:rsid w:val="00F4602B"/>
    <w:rsid w:val="00F46CB6"/>
    <w:rsid w:val="00F46DCC"/>
    <w:rsid w:val="00F47DE8"/>
    <w:rsid w:val="00F51E64"/>
    <w:rsid w:val="00F52EC9"/>
    <w:rsid w:val="00F542C1"/>
    <w:rsid w:val="00F54CC9"/>
    <w:rsid w:val="00F5587C"/>
    <w:rsid w:val="00F55881"/>
    <w:rsid w:val="00F55C4D"/>
    <w:rsid w:val="00F55E73"/>
    <w:rsid w:val="00F55EDA"/>
    <w:rsid w:val="00F564E5"/>
    <w:rsid w:val="00F60092"/>
    <w:rsid w:val="00F6087A"/>
    <w:rsid w:val="00F61568"/>
    <w:rsid w:val="00F63F12"/>
    <w:rsid w:val="00F644FF"/>
    <w:rsid w:val="00F65F4B"/>
    <w:rsid w:val="00F66E55"/>
    <w:rsid w:val="00F670D2"/>
    <w:rsid w:val="00F70C9D"/>
    <w:rsid w:val="00F70F16"/>
    <w:rsid w:val="00F71300"/>
    <w:rsid w:val="00F715BC"/>
    <w:rsid w:val="00F74CD9"/>
    <w:rsid w:val="00F7561D"/>
    <w:rsid w:val="00F758B7"/>
    <w:rsid w:val="00F76217"/>
    <w:rsid w:val="00F76810"/>
    <w:rsid w:val="00F77363"/>
    <w:rsid w:val="00F777EC"/>
    <w:rsid w:val="00F80A7B"/>
    <w:rsid w:val="00F80E5D"/>
    <w:rsid w:val="00F84350"/>
    <w:rsid w:val="00F851CE"/>
    <w:rsid w:val="00F85A27"/>
    <w:rsid w:val="00F91219"/>
    <w:rsid w:val="00F92019"/>
    <w:rsid w:val="00F97A78"/>
    <w:rsid w:val="00FA0B20"/>
    <w:rsid w:val="00FA2484"/>
    <w:rsid w:val="00FA24E7"/>
    <w:rsid w:val="00FA54A1"/>
    <w:rsid w:val="00FA6FAD"/>
    <w:rsid w:val="00FA7D08"/>
    <w:rsid w:val="00FA7D71"/>
    <w:rsid w:val="00FB0292"/>
    <w:rsid w:val="00FB09E7"/>
    <w:rsid w:val="00FB0C6B"/>
    <w:rsid w:val="00FB2874"/>
    <w:rsid w:val="00FB2FCB"/>
    <w:rsid w:val="00FB4C52"/>
    <w:rsid w:val="00FB6217"/>
    <w:rsid w:val="00FB6F9B"/>
    <w:rsid w:val="00FC1074"/>
    <w:rsid w:val="00FC1884"/>
    <w:rsid w:val="00FC190C"/>
    <w:rsid w:val="00FC1AB3"/>
    <w:rsid w:val="00FC371D"/>
    <w:rsid w:val="00FC432A"/>
    <w:rsid w:val="00FC5F0B"/>
    <w:rsid w:val="00FC6CB4"/>
    <w:rsid w:val="00FC78C5"/>
    <w:rsid w:val="00FC7F05"/>
    <w:rsid w:val="00FD2100"/>
    <w:rsid w:val="00FD436C"/>
    <w:rsid w:val="00FD446D"/>
    <w:rsid w:val="00FD6394"/>
    <w:rsid w:val="00FD67BE"/>
    <w:rsid w:val="00FE06D7"/>
    <w:rsid w:val="00FE0E6C"/>
    <w:rsid w:val="00FE154A"/>
    <w:rsid w:val="00FE1766"/>
    <w:rsid w:val="00FE3317"/>
    <w:rsid w:val="00FE435B"/>
    <w:rsid w:val="00FE544B"/>
    <w:rsid w:val="00FE6F8C"/>
    <w:rsid w:val="00FE70C3"/>
    <w:rsid w:val="00FF1656"/>
    <w:rsid w:val="00FF2C7B"/>
    <w:rsid w:val="00FF34D8"/>
    <w:rsid w:val="00FF3637"/>
    <w:rsid w:val="00FF3DCF"/>
    <w:rsid w:val="00FF492C"/>
    <w:rsid w:val="00FF4A21"/>
    <w:rsid w:val="00FF5AA3"/>
    <w:rsid w:val="00FF5AD8"/>
    <w:rsid w:val="00FF650F"/>
    <w:rsid w:val="00FF6C78"/>
    <w:rsid w:val="00FF71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qFormat/>
    <w:rsid w:val="00BB76A8"/>
    <w:pPr>
      <w:keepNext/>
      <w:spacing w:before="240"/>
      <w:outlineLvl w:val="0"/>
    </w:pPr>
  </w:style>
  <w:style w:type="paragraph" w:styleId="Heading2">
    <w:name w:val="heading 2"/>
    <w:basedOn w:val="Normal"/>
    <w:next w:val="Normal"/>
    <w:link w:val="Heading2Char"/>
    <w:qFormat/>
    <w:rsid w:val="00BB76A8"/>
    <w:pPr>
      <w:keepNext/>
      <w:widowControl/>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B76A8"/>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IB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IB 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s Points,BulletPoints,List Paragraph1,Styl moj,Akapit z listą1,Akapit z listą11"/>
    <w:basedOn w:val="Normal"/>
    <w:link w:val="ListParagraphChar"/>
    <w:uiPriority w:val="34"/>
    <w:qFormat/>
    <w:rsid w:val="00BB76A8"/>
    <w:pPr>
      <w:widowControl/>
      <w:numPr>
        <w:ilvl w:val="1"/>
        <w:numId w:val="1"/>
      </w:numPr>
      <w:spacing w:after="120"/>
      <w:ind w:left="709"/>
    </w:pPr>
  </w:style>
  <w:style w:type="character" w:customStyle="1" w:styleId="ListParagraphChar">
    <w:name w:val="List Paragraph Char"/>
    <w:aliases w:val="Numbered para Char,Bullets Points Char,BulletPoints Char,List Paragraph1 Char,Styl moj Char,Akapit z listą1 Char,Akapit z listą11 Char"/>
    <w:basedOn w:val="DefaultParagraphFont"/>
    <w:link w:val="ListParagraph"/>
    <w:uiPriority w:val="34"/>
    <w:qFormat/>
    <w:locked/>
    <w:rsid w:val="00BB76A8"/>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67BF9"/>
    <w:pPr>
      <w:numPr>
        <w:numId w:val="1"/>
      </w:num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Heading1Char">
    <w:name w:val="Heading 1 Char"/>
    <w:basedOn w:val="DefaultParagraphFont"/>
    <w:link w:val="Heading1"/>
    <w:rsid w:val="00BB76A8"/>
    <w:rPr>
      <w:rFonts w:ascii="Calibri" w:hAnsi="Calibri" w:cs="Arial"/>
      <w:b/>
      <w:snapToGrid w:val="0"/>
      <w:sz w:val="32"/>
      <w:szCs w:val="22"/>
      <w:lang w:eastAsia="en-US"/>
    </w:rPr>
  </w:style>
  <w:style w:type="character" w:customStyle="1" w:styleId="form-strength">
    <w:name w:val="form-strength"/>
    <w:basedOn w:val="DefaultParagraphFont"/>
    <w:rsid w:val="00AD683C"/>
  </w:style>
  <w:style w:type="paragraph" w:customStyle="1" w:styleId="Default">
    <w:name w:val="Default"/>
    <w:rsid w:val="002C7AD4"/>
    <w:pPr>
      <w:autoSpaceDE w:val="0"/>
      <w:autoSpaceDN w:val="0"/>
      <w:adjustRightInd w:val="0"/>
    </w:pPr>
    <w:rPr>
      <w:rFonts w:eastAsiaTheme="minorEastAsia"/>
      <w:color w:val="000000"/>
      <w:sz w:val="24"/>
      <w:szCs w:val="24"/>
      <w:lang w:eastAsia="en-US"/>
    </w:rPr>
  </w:style>
  <w:style w:type="table" w:customStyle="1" w:styleId="TableGridLight1">
    <w:name w:val="Table Grid Light1"/>
    <w:basedOn w:val="TableNormal"/>
    <w:uiPriority w:val="40"/>
    <w:rsid w:val="002C1AC2"/>
    <w:pPr>
      <w:spacing w:line="30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0">
    <w:name w:val="Table Text"/>
    <w:aliases w:val="tate,ctdTable Text"/>
    <w:basedOn w:val="Normal"/>
    <w:link w:val="TableTextChar0"/>
    <w:rsid w:val="002C1AC2"/>
    <w:pPr>
      <w:widowControl/>
      <w:spacing w:before="40" w:after="40" w:line="300" w:lineRule="auto"/>
      <w:jc w:val="left"/>
    </w:pPr>
    <w:rPr>
      <w:rFonts w:ascii="Arial Narrow" w:eastAsiaTheme="minorEastAsia" w:hAnsi="Arial Narrow" w:cstheme="minorBidi"/>
      <w:snapToGrid/>
      <w:sz w:val="22"/>
      <w:szCs w:val="20"/>
    </w:rPr>
  </w:style>
  <w:style w:type="paragraph" w:customStyle="1" w:styleId="TableBullet">
    <w:name w:val="Table Bullet"/>
    <w:basedOn w:val="TableText0"/>
    <w:qFormat/>
    <w:rsid w:val="002C1AC2"/>
    <w:pPr>
      <w:numPr>
        <w:numId w:val="3"/>
      </w:numPr>
      <w:ind w:hanging="720"/>
    </w:pPr>
  </w:style>
  <w:style w:type="paragraph" w:customStyle="1" w:styleId="TableFigNoteLast">
    <w:name w:val="TableFigNote Last"/>
    <w:basedOn w:val="Normal"/>
    <w:rsid w:val="002C1AC2"/>
    <w:pPr>
      <w:widowControl/>
      <w:spacing w:after="360" w:line="300" w:lineRule="auto"/>
      <w:jc w:val="left"/>
    </w:pPr>
    <w:rPr>
      <w:rFonts w:asciiTheme="minorHAnsi" w:eastAsiaTheme="minorEastAsia" w:hAnsiTheme="minorHAnsi" w:cstheme="minorBidi"/>
      <w:snapToGrid/>
      <w:sz w:val="18"/>
      <w:szCs w:val="20"/>
    </w:rPr>
  </w:style>
  <w:style w:type="character" w:customStyle="1" w:styleId="TableTextChar0">
    <w:name w:val="Table Text Char"/>
    <w:basedOn w:val="DefaultParagraphFont"/>
    <w:link w:val="TableText0"/>
    <w:rsid w:val="002C1AC2"/>
    <w:rPr>
      <w:rFonts w:ascii="Arial Narrow" w:eastAsiaTheme="minorEastAsia" w:hAnsi="Arial Narrow" w:cstheme="minorBidi"/>
      <w:sz w:val="22"/>
      <w:lang w:eastAsia="en-US"/>
    </w:rPr>
  </w:style>
  <w:style w:type="paragraph" w:styleId="DocumentMap">
    <w:name w:val="Document Map"/>
    <w:basedOn w:val="Normal"/>
    <w:link w:val="DocumentMapChar"/>
    <w:semiHidden/>
    <w:unhideWhenUsed/>
    <w:rsid w:val="002C1AC2"/>
    <w:pPr>
      <w:widowControl/>
      <w:spacing w:line="300" w:lineRule="auto"/>
      <w:jc w:val="left"/>
    </w:pPr>
    <w:rPr>
      <w:rFonts w:ascii="Lucida Grande" w:hAnsi="Lucida Grande" w:cs="Lucida Grande"/>
      <w:szCs w:val="24"/>
    </w:rPr>
  </w:style>
  <w:style w:type="character" w:customStyle="1" w:styleId="DocumentMapChar">
    <w:name w:val="Document Map Char"/>
    <w:basedOn w:val="DefaultParagraphFont"/>
    <w:link w:val="DocumentMap"/>
    <w:semiHidden/>
    <w:rsid w:val="002C1AC2"/>
    <w:rPr>
      <w:rFonts w:ascii="Lucida Grande" w:hAnsi="Lucida Grande" w:cs="Lucida Grande"/>
      <w:snapToGrid w:val="0"/>
      <w:sz w:val="24"/>
      <w:szCs w:val="24"/>
      <w:lang w:eastAsia="en-US"/>
    </w:rPr>
  </w:style>
  <w:style w:type="table" w:customStyle="1" w:styleId="GridTable1Light1">
    <w:name w:val="Grid Table 1 Light1"/>
    <w:basedOn w:val="TableNormal"/>
    <w:rsid w:val="002C1AC2"/>
    <w:pPr>
      <w:spacing w:line="30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Tabletext">
    <w:name w:val="B Table text"/>
    <w:basedOn w:val="Normal"/>
    <w:qFormat/>
    <w:rsid w:val="002C1AC2"/>
    <w:pPr>
      <w:keepNext/>
      <w:widowControl/>
      <w:spacing w:before="20" w:after="20" w:line="300" w:lineRule="auto"/>
      <w:jc w:val="left"/>
    </w:pPr>
    <w:rPr>
      <w:rFonts w:eastAsiaTheme="minorEastAsia" w:cstheme="minorHAnsi"/>
      <w:snapToGrid/>
      <w:sz w:val="22"/>
      <w:szCs w:val="20"/>
    </w:rPr>
  </w:style>
  <w:style w:type="paragraph" w:customStyle="1" w:styleId="Standard">
    <w:name w:val="Standard"/>
    <w:basedOn w:val="Normal"/>
    <w:qFormat/>
    <w:rsid w:val="002C1AC2"/>
    <w:pPr>
      <w:widowControl/>
      <w:spacing w:before="120" w:after="240" w:line="300" w:lineRule="auto"/>
      <w:jc w:val="left"/>
    </w:pPr>
    <w:rPr>
      <w:rFonts w:eastAsiaTheme="minorEastAsia" w:cs="Calibri"/>
      <w:snapToGrid/>
      <w:sz w:val="22"/>
      <w:szCs w:val="20"/>
    </w:rPr>
  </w:style>
  <w:style w:type="paragraph" w:customStyle="1" w:styleId="NormalBulletList">
    <w:name w:val="Normal Bullet List"/>
    <w:basedOn w:val="Normal"/>
    <w:uiPriority w:val="3"/>
    <w:qFormat/>
    <w:rsid w:val="002C1AC2"/>
    <w:pPr>
      <w:widowControl/>
      <w:numPr>
        <w:numId w:val="4"/>
      </w:numPr>
      <w:spacing w:after="240" w:line="264" w:lineRule="auto"/>
      <w:contextualSpacing/>
      <w:jc w:val="left"/>
    </w:pPr>
    <w:rPr>
      <w:rFonts w:eastAsiaTheme="majorEastAsia" w:cstheme="majorBidi"/>
      <w:snapToGrid/>
      <w:sz w:val="22"/>
      <w:szCs w:val="20"/>
      <w:lang w:bidi="en-US"/>
    </w:rPr>
  </w:style>
  <w:style w:type="paragraph" w:customStyle="1" w:styleId="NormalBulletList2">
    <w:name w:val="Normal Bullet List 2"/>
    <w:basedOn w:val="NormalBulletList"/>
    <w:qFormat/>
    <w:rsid w:val="002C1AC2"/>
    <w:pPr>
      <w:numPr>
        <w:ilvl w:val="1"/>
      </w:numPr>
      <w:spacing w:after="0"/>
      <w:ind w:left="709" w:hanging="357"/>
    </w:pPr>
  </w:style>
  <w:style w:type="paragraph" w:styleId="NormalIndent">
    <w:name w:val="Normal Indent"/>
    <w:basedOn w:val="Normal"/>
    <w:unhideWhenUsed/>
    <w:rsid w:val="002C1AC2"/>
    <w:pPr>
      <w:widowControl/>
      <w:spacing w:line="300" w:lineRule="auto"/>
      <w:ind w:left="720"/>
      <w:jc w:val="left"/>
    </w:pPr>
  </w:style>
  <w:style w:type="character" w:customStyle="1" w:styleId="Heading6Char">
    <w:name w:val="Heading 6 Char"/>
    <w:basedOn w:val="DefaultParagraphFont"/>
    <w:link w:val="Heading6"/>
    <w:rsid w:val="002C1AC2"/>
    <w:rPr>
      <w:rFonts w:ascii="Calibri" w:hAnsi="Calibri" w:cs="Arial"/>
      <w:b/>
      <w:bCs/>
      <w:i/>
      <w:snapToGrid w:val="0"/>
      <w:sz w:val="24"/>
      <w:szCs w:val="22"/>
      <w:lang w:eastAsia="en-US"/>
    </w:rPr>
  </w:style>
  <w:style w:type="paragraph" w:styleId="FootnoteText">
    <w:name w:val="footnote text"/>
    <w:basedOn w:val="Normal"/>
    <w:link w:val="FootnoteTextChar"/>
    <w:unhideWhenUsed/>
    <w:rsid w:val="002C1AC2"/>
    <w:pPr>
      <w:widowControl/>
      <w:jc w:val="left"/>
    </w:pPr>
    <w:rPr>
      <w:sz w:val="20"/>
      <w:szCs w:val="20"/>
    </w:rPr>
  </w:style>
  <w:style w:type="character" w:customStyle="1" w:styleId="FootnoteTextChar">
    <w:name w:val="Footnote Text Char"/>
    <w:basedOn w:val="DefaultParagraphFont"/>
    <w:link w:val="FootnoteText"/>
    <w:rsid w:val="002C1AC2"/>
    <w:rPr>
      <w:rFonts w:ascii="Calibri" w:hAnsi="Calibri" w:cs="Arial"/>
      <w:snapToGrid w:val="0"/>
      <w:lang w:eastAsia="en-US"/>
    </w:rPr>
  </w:style>
  <w:style w:type="character" w:styleId="FootnoteReference">
    <w:name w:val="footnote reference"/>
    <w:basedOn w:val="DefaultParagraphFont"/>
    <w:unhideWhenUsed/>
    <w:rsid w:val="002C1AC2"/>
    <w:rPr>
      <w:vertAlign w:val="superscript"/>
    </w:rPr>
  </w:style>
  <w:style w:type="table" w:customStyle="1" w:styleId="Summarybox2">
    <w:name w:val="Summary box2"/>
    <w:basedOn w:val="TableNormal"/>
    <w:next w:val="TableGrid"/>
    <w:uiPriority w:val="59"/>
    <w:rsid w:val="002C32B8"/>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9E495C"/>
    <w:pPr>
      <w:adjustRightInd w:val="0"/>
      <w:spacing w:after="60"/>
      <w:contextualSpacing/>
      <w:textAlignment w:val="baseline"/>
    </w:pPr>
    <w:rPr>
      <w:rFonts w:asciiTheme="minorHAnsi" w:eastAsia="Calibri" w:hAnsiTheme="minorHAnsi" w:cs="Times New Roman"/>
      <w:snapToGrid/>
      <w:sz w:val="18"/>
      <w:szCs w:val="18"/>
    </w:rPr>
  </w:style>
  <w:style w:type="paragraph" w:customStyle="1" w:styleId="TableHeading0">
    <w:name w:val="Table Heading"/>
    <w:basedOn w:val="Normal"/>
    <w:qFormat/>
    <w:rsid w:val="006645FE"/>
    <w:pPr>
      <w:keepNext/>
      <w:widowControl/>
      <w:spacing w:after="60"/>
      <w:jc w:val="left"/>
    </w:pPr>
    <w:rPr>
      <w:rFonts w:ascii="Arial Narrow" w:eastAsiaTheme="minorHAnsi" w:hAnsi="Arial Narrow" w:cstheme="minorBidi"/>
      <w:b/>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643938">
      <w:bodyDiv w:val="1"/>
      <w:marLeft w:val="0"/>
      <w:marRight w:val="0"/>
      <w:marTop w:val="0"/>
      <w:marBottom w:val="0"/>
      <w:divBdr>
        <w:top w:val="none" w:sz="0" w:space="0" w:color="auto"/>
        <w:left w:val="none" w:sz="0" w:space="0" w:color="auto"/>
        <w:bottom w:val="none" w:sz="0" w:space="0" w:color="auto"/>
        <w:right w:val="none" w:sz="0" w:space="0" w:color="auto"/>
      </w:divBdr>
    </w:div>
    <w:div w:id="878857588">
      <w:bodyDiv w:val="1"/>
      <w:marLeft w:val="0"/>
      <w:marRight w:val="0"/>
      <w:marTop w:val="0"/>
      <w:marBottom w:val="0"/>
      <w:divBdr>
        <w:top w:val="none" w:sz="0" w:space="0" w:color="auto"/>
        <w:left w:val="none" w:sz="0" w:space="0" w:color="auto"/>
        <w:bottom w:val="none" w:sz="0" w:space="0" w:color="auto"/>
        <w:right w:val="none" w:sz="0" w:space="0" w:color="auto"/>
      </w:divBdr>
    </w:div>
    <w:div w:id="1436175549">
      <w:bodyDiv w:val="1"/>
      <w:marLeft w:val="0"/>
      <w:marRight w:val="0"/>
      <w:marTop w:val="0"/>
      <w:marBottom w:val="0"/>
      <w:divBdr>
        <w:top w:val="none" w:sz="0" w:space="0" w:color="auto"/>
        <w:left w:val="none" w:sz="0" w:space="0" w:color="auto"/>
        <w:bottom w:val="none" w:sz="0" w:space="0" w:color="auto"/>
        <w:right w:val="none" w:sz="0" w:space="0" w:color="auto"/>
      </w:divBdr>
    </w:div>
    <w:div w:id="15397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Gup</b:Tag>
    <b:SourceType>JournalArticle</b:SourceType>
    <b:Guid>{5483548A-C465-4789-9F42-92F41966805B}</b:Guid>
    <b:Title>Botulinum toxin for spasticity: a case for change to the Pharmaceutical Benefits Scheme</b:Title>
    <b:JournalName>MJA</b:JournalName>
    <b:Volume>Online first 29/01/18. doi: 10.5694/mja17.00841</b:Volume>
    <b:Author>
      <b:Author>
        <b:NameList>
          <b:Person>
            <b:Last>Gupta</b:Last>
            <b:Middle>D</b:Middle>
            <b:First>A</b:First>
          </b:Person>
          <b:Person>
            <b:Last>Wilson</b:Last>
            <b:Middle>H</b:Middle>
            <b:First>D</b:First>
          </b:Person>
        </b:NameList>
      </b:Author>
    </b:Author>
    <b:Year>2018</b:Year>
    <b:RefOrder>6</b:RefOrder>
  </b:Source>
  <b:Source>
    <b:Tag>RMS17</b:Tag>
    <b:SourceType>DocumentFromInternetSite</b:SourceType>
    <b:Guid>{D2DD04EF-7AF2-44B7-9375-A29BA55EF798}</b:Guid>
    <b:Title>Position Statement on the Therapeutic Use of Botulinum Toxin in Rehabilitation Medicine for spasticity and dystonia</b:Title>
    <b:Year>2017</b:Year>
    <b:Author>
      <b:Author>
        <b:NameList>
          <b:Person>
            <b:Last>RMSANZ</b:Last>
          </b:Person>
        </b:NameList>
      </b:Author>
    </b:Author>
    <b:Month>April</b:Month>
    <b:Day>14</b:Day>
    <b:YearAccessed>2018</b:YearAccessed>
    <b:MonthAccessed>April</b:MonthAccessed>
    <b:DayAccessed>4</b:DayAccessed>
    <b:URL>http://www.anzctr.org.au/AnzctrAttachments/373917-RMSANZ%20Position%20Statement%20Botulinum%20Toxin%20Confidential%20(Final%20Draft%2014April2017).pdf</b:URL>
    <b:RefOrder>4</b:RefOrder>
  </b:Source>
  <b:Source>
    <b:Tag>Olv10</b:Tag>
    <b:SourceType>JournalArticle</b:SourceType>
    <b:Guid>{EABFEF9A-4D39-42CF-B395-84891F87B740}</b:Guid>
    <b:Title>Botulinum toxin assessment, intervention and aftercare for lower limb disorders of movement and muscle tone in adults: International consensus statement</b:Title>
    <b:JournalName>European Journal of Neurology</b:JournalName>
    <b:Year>2010</b:Year>
    <b:Pages>57–73</b:Pages>
    <b:Volume>17</b:Volume>
    <b:Issue>Suppl. 2</b:Issue>
    <b:Author>
      <b:Author>
        <b:NameList>
          <b:Person>
            <b:Last>Olver</b:Last>
            <b:First>J</b:First>
          </b:Person>
          <b:Person>
            <b:Last>Esquenazi</b:Last>
            <b:First>A</b:First>
          </b:Person>
          <b:Person>
            <b:Last>Fung</b:Last>
            <b:Middle>SC</b:Middle>
            <b:First>V</b:First>
          </b:Person>
        </b:NameList>
      </b:Author>
    </b:Author>
    <b:RefOrder>1</b:RefOrder>
  </b:Source>
  <b:Source>
    <b:Tag>RCP</b:Tag>
    <b:SourceType>Report</b:SourceType>
    <b:Guid>{F0F7FF63-B613-4266-A7FE-165167DB454E}</b:Guid>
    <b:Title>Royal College of Physicians, British Society of Rehabilitation Medicine, Chartered Society of Physiotherapy, Association of Chartered Physiotherapists Interested in Neurology. Spasticity in adults: management using botulinum toxin. National Guidelines.</b:Title>
    <b:Author>
      <b:Author>
        <b:NameList>
          <b:Person>
            <b:Last>RCP</b:Last>
          </b:Person>
        </b:NameList>
      </b:Author>
    </b:Author>
    <b:Year>2018</b:Year>
    <b:City>London</b:City>
    <b:RefOrder>14</b:RefOrder>
  </b:Source>
  <b:Source>
    <b:Tag>Sou16</b:Tag>
    <b:SourceType>DocumentFromInternetSite</b:SourceType>
    <b:Guid>{E0EB602C-C849-4A12-98B0-689FAA2273D9}</b:Guid>
    <b:Title>SA Health</b:Title>
    <b:Year>2016</b:Year>
    <b:Author>
      <b:Author>
        <b:NameList>
          <b:Person>
            <b:Last>SA Medicines Evaluation Panel</b:Last>
          </b:Person>
        </b:NameList>
      </b:Author>
    </b:Author>
    <b:Month>Nov</b:Month>
    <b:Day>30</b:Day>
    <b:YearAccessed>2018</b:YearAccessed>
    <b:MonthAccessed>May</b:MonthAccessed>
    <b:DayAccessed>3</b:DayAccessed>
    <b:URL>http://www.sahealth.sa.gov.au/wps/wcm/connect/5943c8004e0ac53586c18f8ba24f3db9/Botox_final_web%2Bsummary.pdf?MOD=AJPERES&amp;CACHE=NONE&amp;CONTENTCACHE=NONE</b:URL>
    <b:RefOrder>32</b:RefOrder>
  </b:Source>
  <b:Source>
    <b:Tag>Tho05</b:Tag>
    <b:SourceType>JournalArticle</b:SourceType>
    <b:Guid>{DC3130EB-CEC4-491E-9422-F6DCC0073585}</b:Guid>
    <b:Title>Clinical management of spasticity</b:Title>
    <b:JournalName> J Neurol Neurosurg Psychiatry</b:JournalName>
    <b:Year>2005</b:Year>
    <b:Pages>459–463</b:Pages>
    <b:Volume>76</b:Volume>
    <b:Author>
      <b:Author>
        <b:NameList>
          <b:Person>
            <b:Last>Thompson</b:Last>
            <b:First>AJ</b:First>
          </b:Person>
          <b:Person>
            <b:Last>Jarrett</b:Last>
            <b:First>L</b:First>
          </b:Person>
          <b:Person>
            <b:Last>Lockley</b:Last>
            <b:First>L</b:First>
          </b:Person>
          <b:Person>
            <b:Last>Marsden</b:Last>
            <b:First>J</b:First>
          </b:Person>
        </b:NameList>
      </b:Author>
    </b:Author>
    <b:RefOrder>33</b:RefOrder>
  </b:Source>
  <b:Source>
    <b:Tag>Wil12</b:Tag>
    <b:SourceType>JournalArticle</b:SourceType>
    <b:Guid>{72FBEE24-7411-4E28-B254-8860439C7568}</b:Guid>
    <b:Title>The use of botulinum toxin type A in the management of adult-onset focal spasticity: A survey of Australian allied health professionals.</b:Title>
    <b:Year>2012</b:Year>
    <b:JournalName>Australian Occupational Therapy Journal</b:JournalName>
    <b:Pages>257–264</b:Pages>
    <b:Author>
      <b:Author>
        <b:NameList>
          <b:Person>
            <b:Last>Williams</b:Last>
            <b:First>G</b:First>
          </b:Person>
          <b:Person>
            <b:Last>Olver</b:Last>
            <b:First>J</b:First>
          </b:Person>
          <b:Person>
            <b:Last>de Graff</b:Last>
            <b:First>S</b:First>
          </b:Person>
          <b:Person>
            <b:Last>Singer</b:Last>
            <b:Middle>J</b:Middle>
            <b:First>B</b:First>
          </b:Person>
        </b:NameList>
      </b:Author>
    </b:Author>
    <b:Volume>59</b:Volume>
    <b:RefOrder>3</b:RefOrder>
  </b:Source>
  <b:Source>
    <b:Tag>Ros16</b:Tag>
    <b:SourceType>JournalArticle</b:SourceType>
    <b:Guid>{A63B5B2E-D5C8-44D6-A6BC-D9D83157BD4A}</b:Guid>
    <b:Title>Botulinum toxin as early intervention for spasticity after stroke or non-progressive brain lesion: A meta-analysis</b:Title>
    <b:Year>2016</b:Year>
    <b:JournalName>Journal of the Neurological Sciences</b:JournalName>
    <b:Pages>6–14</b:Pages>
    <b:Volume>371</b:Volume>
    <b:Issue>1</b:Issue>
    <b:Author>
      <b:Author>
        <b:NameList>
          <b:Person>
            <b:Last>Rosales</b:Last>
            <b:First>RL</b:First>
          </b:Person>
          <b:Person>
            <b:Last>Efendy</b:Last>
            <b:First>F</b:First>
          </b:Person>
          <b:Person>
            <b:Last>Teleg</b:Last>
            <b:First>ESA</b:First>
          </b:Person>
          <b:Person>
            <b:Last>Delos Santos</b:Last>
            <b:First>MMD</b:First>
          </b:Person>
        </b:NameList>
      </b:Author>
    </b:Author>
    <b:RefOrder>34</b:RefOrder>
  </b:Source>
  <b:Source>
    <b:Tag>Gre05</b:Tag>
    <b:SourceType>JournalArticle</b:SourceType>
    <b:Guid>{2AA66BF2-4733-4269-8292-5A0319EF85E1}</b:Guid>
    <b:Title>Spasticity: Clinical perceptions, neurological realities and meaningful measurement</b:Title>
    <b:Year>2005</b:Year>
    <b:Volume>27</b:Volume>
    <b:Issue>1/2</b:Issue>
    <b:Author>
      <b:Author>
        <b:NameList>
          <b:Person>
            <b:Last>Pandyan</b:Last>
            <b:Middle>D</b:Middle>
            <b:First>A</b:First>
          </b:Person>
          <b:Person>
            <b:Last>Gregoric</b:Last>
            <b:First>M</b:First>
          </b:Person>
          <b:Person>
            <b:Last>Barnes</b:Last>
            <b:Middle>P</b:Middle>
            <b:First>M</b:First>
          </b:Person>
        </b:NameList>
      </b:Author>
    </b:Author>
    <b:Pages>2-6</b:Pages>
    <b:JournalName>Disability and Rehabilitation</b:JournalName>
    <b:RefOrder>7</b:RefOrder>
  </b:Source>
</b:Sources>
</file>

<file path=customXml/itemProps1.xml><?xml version="1.0" encoding="utf-8"?>
<ds:datastoreItem xmlns:ds="http://schemas.openxmlformats.org/officeDocument/2006/customXml" ds:itemID="{E7C103E3-01D5-420F-ABAD-3F8DEAE9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13350</Words>
  <Characters>73299</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2019-02-21T02:28:00Z</dcterms:created>
  <dcterms:modified xsi:type="dcterms:W3CDTF">2019-02-26T02:30:00Z</dcterms:modified>
</cp:coreProperties>
</file>