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854" w:rsidRDefault="00C3337A" w:rsidP="0062612B">
      <w:pPr>
        <w:ind w:left="907" w:hanging="907"/>
        <w:outlineLvl w:val="0"/>
        <w:rPr>
          <w:b/>
          <w:sz w:val="36"/>
          <w:szCs w:val="36"/>
        </w:rPr>
      </w:pPr>
      <w:bookmarkStart w:id="0" w:name="_GoBack"/>
      <w:bookmarkEnd w:id="0"/>
      <w:r>
        <w:rPr>
          <w:b/>
          <w:sz w:val="36"/>
          <w:szCs w:val="36"/>
        </w:rPr>
        <w:t>5.01</w:t>
      </w:r>
      <w:r w:rsidR="00B60939" w:rsidRPr="00C12C14">
        <w:rPr>
          <w:b/>
          <w:sz w:val="36"/>
          <w:szCs w:val="36"/>
        </w:rPr>
        <w:tab/>
      </w:r>
      <w:r w:rsidR="00E36750">
        <w:rPr>
          <w:b/>
          <w:sz w:val="36"/>
          <w:szCs w:val="36"/>
        </w:rPr>
        <w:t>APALUTAMIDE</w:t>
      </w:r>
      <w:r w:rsidR="00B60939" w:rsidRPr="00C12C14">
        <w:rPr>
          <w:b/>
          <w:sz w:val="36"/>
          <w:szCs w:val="36"/>
        </w:rPr>
        <w:t>,</w:t>
      </w:r>
    </w:p>
    <w:p w:rsidR="00084854" w:rsidRDefault="00373FB8" w:rsidP="00084854">
      <w:pPr>
        <w:ind w:left="907" w:hanging="57"/>
        <w:outlineLvl w:val="0"/>
        <w:rPr>
          <w:b/>
          <w:sz w:val="36"/>
          <w:szCs w:val="36"/>
        </w:rPr>
      </w:pPr>
      <w:r>
        <w:rPr>
          <w:b/>
          <w:sz w:val="36"/>
          <w:szCs w:val="36"/>
        </w:rPr>
        <w:t xml:space="preserve"> </w:t>
      </w:r>
      <w:r w:rsidR="003E5E6A">
        <w:rPr>
          <w:b/>
          <w:sz w:val="36"/>
          <w:szCs w:val="36"/>
        </w:rPr>
        <w:t>T</w:t>
      </w:r>
      <w:r w:rsidR="00E36750">
        <w:rPr>
          <w:b/>
          <w:sz w:val="36"/>
          <w:szCs w:val="36"/>
        </w:rPr>
        <w:t>ablet</w:t>
      </w:r>
      <w:r w:rsidR="00B60939" w:rsidRPr="00C12C14">
        <w:rPr>
          <w:b/>
          <w:sz w:val="36"/>
          <w:szCs w:val="36"/>
        </w:rPr>
        <w:t xml:space="preserve"> </w:t>
      </w:r>
      <w:r w:rsidR="00E36750">
        <w:rPr>
          <w:b/>
          <w:sz w:val="36"/>
          <w:szCs w:val="36"/>
        </w:rPr>
        <w:t>60mg</w:t>
      </w:r>
      <w:r w:rsidR="00B60939" w:rsidRPr="00C12C14">
        <w:rPr>
          <w:b/>
          <w:sz w:val="36"/>
          <w:szCs w:val="36"/>
        </w:rPr>
        <w:t xml:space="preserve">, </w:t>
      </w:r>
    </w:p>
    <w:p w:rsidR="00B60939" w:rsidRDefault="00230F11" w:rsidP="00084854">
      <w:pPr>
        <w:ind w:left="850" w:firstLine="170"/>
        <w:outlineLvl w:val="0"/>
        <w:rPr>
          <w:b/>
          <w:sz w:val="36"/>
          <w:szCs w:val="36"/>
        </w:rPr>
      </w:pPr>
      <w:proofErr w:type="spellStart"/>
      <w:r>
        <w:rPr>
          <w:b/>
          <w:sz w:val="36"/>
          <w:szCs w:val="36"/>
        </w:rPr>
        <w:t>Erly</w:t>
      </w:r>
      <w:r w:rsidR="00E36750">
        <w:rPr>
          <w:b/>
          <w:sz w:val="36"/>
          <w:szCs w:val="36"/>
        </w:rPr>
        <w:t>and</w:t>
      </w:r>
      <w:proofErr w:type="spellEnd"/>
      <w:r w:rsidR="00B60939" w:rsidRPr="00C12C14">
        <w:rPr>
          <w:b/>
          <w:sz w:val="36"/>
          <w:szCs w:val="36"/>
          <w:vertAlign w:val="superscript"/>
        </w:rPr>
        <w:t>®</w:t>
      </w:r>
      <w:r w:rsidR="00B60939" w:rsidRPr="00C12C14">
        <w:rPr>
          <w:b/>
          <w:sz w:val="36"/>
          <w:szCs w:val="36"/>
        </w:rPr>
        <w:t xml:space="preserve"> </w:t>
      </w:r>
      <w:r w:rsidR="00E36750">
        <w:rPr>
          <w:b/>
          <w:sz w:val="36"/>
          <w:szCs w:val="36"/>
        </w:rPr>
        <w:t>Janssen-</w:t>
      </w:r>
      <w:proofErr w:type="spellStart"/>
      <w:r w:rsidR="00E36750">
        <w:rPr>
          <w:b/>
          <w:sz w:val="36"/>
          <w:szCs w:val="36"/>
        </w:rPr>
        <w:t>Cilag</w:t>
      </w:r>
      <w:proofErr w:type="spellEnd"/>
      <w:r w:rsidR="00385B56">
        <w:rPr>
          <w:b/>
          <w:sz w:val="36"/>
          <w:szCs w:val="36"/>
        </w:rPr>
        <w:t xml:space="preserve"> Pty Ltd</w:t>
      </w:r>
      <w:r w:rsidR="00B60939" w:rsidRPr="00C12C14">
        <w:rPr>
          <w:b/>
          <w:sz w:val="36"/>
          <w:szCs w:val="36"/>
        </w:rPr>
        <w:t>.</w:t>
      </w:r>
    </w:p>
    <w:p w:rsidR="00B50DB8" w:rsidRPr="00F06C65" w:rsidRDefault="00B50DB8" w:rsidP="00FD3E23">
      <w:pPr>
        <w:pStyle w:val="Heading1"/>
        <w:rPr>
          <w:caps/>
        </w:rPr>
      </w:pPr>
      <w:bookmarkStart w:id="1" w:name="_Toc522226923"/>
      <w:r w:rsidRPr="00F06C65">
        <w:t>Purpose of Application</w:t>
      </w:r>
      <w:bookmarkEnd w:id="1"/>
    </w:p>
    <w:p w:rsidR="0077474E" w:rsidRPr="00A44512" w:rsidRDefault="008A6746" w:rsidP="0077474E">
      <w:pPr>
        <w:pStyle w:val="ListParagraph"/>
        <w:numPr>
          <w:ilvl w:val="1"/>
          <w:numId w:val="3"/>
        </w:numPr>
        <w:rPr>
          <w:iCs/>
        </w:rPr>
      </w:pPr>
      <w:r w:rsidRPr="00A44512">
        <w:t>The submission requested a G</w:t>
      </w:r>
      <w:r w:rsidR="00797C86" w:rsidRPr="00A44512">
        <w:t>e</w:t>
      </w:r>
      <w:r w:rsidRPr="00A44512">
        <w:t>neral Schedule Authority Required</w:t>
      </w:r>
      <w:r w:rsidR="00D17EAD" w:rsidRPr="00A44512">
        <w:t xml:space="preserve"> (Telephone)</w:t>
      </w:r>
      <w:r w:rsidRPr="00A44512">
        <w:t xml:space="preserve"> listing</w:t>
      </w:r>
      <w:r w:rsidR="00797C86" w:rsidRPr="00A44512">
        <w:t xml:space="preserve"> for </w:t>
      </w:r>
      <w:proofErr w:type="spellStart"/>
      <w:r w:rsidR="00797C86" w:rsidRPr="00A44512">
        <w:t>apalutamide</w:t>
      </w:r>
      <w:proofErr w:type="spellEnd"/>
      <w:r w:rsidR="00797C86" w:rsidRPr="00A44512">
        <w:t xml:space="preserve"> for treatment of patients with non-metastatic castration-resistant prostate cancer (m0CRPC) at high risk of distant metastases.</w:t>
      </w:r>
      <w:r w:rsidR="0077474E" w:rsidRPr="00A44512">
        <w:t xml:space="preserve"> </w:t>
      </w:r>
      <w:r w:rsidR="0077474E" w:rsidRPr="00A44512">
        <w:rPr>
          <w:iCs/>
        </w:rPr>
        <w:t xml:space="preserve">This was the first PBAC submission for </w:t>
      </w:r>
      <w:proofErr w:type="spellStart"/>
      <w:r w:rsidR="0077474E" w:rsidRPr="00A44512">
        <w:rPr>
          <w:iCs/>
        </w:rPr>
        <w:t>apalutamide</w:t>
      </w:r>
      <w:proofErr w:type="spellEnd"/>
      <w:r w:rsidR="0077474E" w:rsidRPr="00A44512">
        <w:rPr>
          <w:iCs/>
        </w:rPr>
        <w:t>.</w:t>
      </w:r>
    </w:p>
    <w:p w:rsidR="00C2778B" w:rsidRDefault="00797C86" w:rsidP="00880C4C">
      <w:pPr>
        <w:pStyle w:val="ListParagraph"/>
        <w:numPr>
          <w:ilvl w:val="1"/>
          <w:numId w:val="3"/>
        </w:numPr>
        <w:spacing w:after="120"/>
      </w:pPr>
      <w:r>
        <w:t xml:space="preserve">Listing was requested on the basis of a cost-utility analysis versus placebo (watchful waiting). </w:t>
      </w:r>
      <w:r w:rsidRPr="00F46138">
        <w:t>The key components of the clinical issue</w:t>
      </w:r>
      <w:r>
        <w:t xml:space="preserve"> addressed by the submission are presented in Table 1.</w:t>
      </w:r>
    </w:p>
    <w:p w:rsidR="008B1757" w:rsidRPr="008B1757" w:rsidRDefault="008B1757" w:rsidP="008807EA">
      <w:pPr>
        <w:keepNext/>
        <w:rPr>
          <w:rStyle w:val="CommentReference"/>
        </w:rPr>
      </w:pPr>
      <w:r>
        <w:rPr>
          <w:rStyle w:val="CommentReference"/>
        </w:rPr>
        <w:t xml:space="preserve">Table </w:t>
      </w:r>
      <w:r w:rsidR="005E3073">
        <w:rPr>
          <w:rStyle w:val="CommentReference"/>
        </w:rPr>
        <w:t>1</w:t>
      </w:r>
      <w:r>
        <w:rPr>
          <w:rStyle w:val="CommentReference"/>
        </w:rPr>
        <w:t>:  Key components of the clinical issue addressed by the submission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484"/>
      </w:tblGrid>
      <w:tr w:rsidR="008B1757" w:rsidRPr="00691913" w:rsidTr="00487634">
        <w:trPr>
          <w:cantSplit/>
          <w:tblHeader/>
        </w:trPr>
        <w:tc>
          <w:tcPr>
            <w:tcW w:w="1588" w:type="dxa"/>
            <w:shd w:val="clear" w:color="auto" w:fill="auto"/>
          </w:tcPr>
          <w:p w:rsidR="008B1757" w:rsidRPr="008B1757" w:rsidRDefault="008B1757" w:rsidP="008807EA">
            <w:pPr>
              <w:pStyle w:val="Tabletext"/>
              <w:keepNext/>
              <w:rPr>
                <w:b/>
                <w:szCs w:val="20"/>
              </w:rPr>
            </w:pPr>
            <w:r w:rsidRPr="008B1757">
              <w:rPr>
                <w:b/>
              </w:rPr>
              <w:t>Component</w:t>
            </w:r>
          </w:p>
        </w:tc>
        <w:tc>
          <w:tcPr>
            <w:tcW w:w="7484" w:type="dxa"/>
            <w:shd w:val="clear" w:color="auto" w:fill="auto"/>
          </w:tcPr>
          <w:p w:rsidR="008B1757" w:rsidRPr="008B1757" w:rsidRDefault="008B1757" w:rsidP="008807EA">
            <w:pPr>
              <w:pStyle w:val="Tabletext"/>
              <w:keepNext/>
              <w:jc w:val="center"/>
              <w:rPr>
                <w:b/>
              </w:rPr>
            </w:pPr>
            <w:r w:rsidRPr="008B1757">
              <w:rPr>
                <w:b/>
              </w:rPr>
              <w:t>Description</w:t>
            </w:r>
          </w:p>
        </w:tc>
      </w:tr>
      <w:tr w:rsidR="002758D6" w:rsidRPr="00691913" w:rsidTr="00487634">
        <w:trPr>
          <w:cantSplit/>
        </w:trPr>
        <w:tc>
          <w:tcPr>
            <w:tcW w:w="1588" w:type="dxa"/>
            <w:shd w:val="clear" w:color="auto" w:fill="auto"/>
          </w:tcPr>
          <w:p w:rsidR="002758D6" w:rsidRPr="00691913" w:rsidRDefault="002758D6" w:rsidP="008807EA">
            <w:pPr>
              <w:pStyle w:val="Tabletext"/>
              <w:keepNext/>
            </w:pPr>
            <w:r w:rsidRPr="00691913">
              <w:t>Population</w:t>
            </w:r>
          </w:p>
        </w:tc>
        <w:tc>
          <w:tcPr>
            <w:tcW w:w="7484" w:type="dxa"/>
            <w:shd w:val="clear" w:color="auto" w:fill="auto"/>
            <w:vAlign w:val="center"/>
          </w:tcPr>
          <w:p w:rsidR="002758D6" w:rsidRPr="00691913" w:rsidRDefault="002758D6" w:rsidP="008807EA">
            <w:pPr>
              <w:pStyle w:val="Tabletext"/>
              <w:keepNext/>
            </w:pPr>
            <w:r>
              <w:t>Patients with CRPC who are at high risk of developing distant metastases; with high risk defined as PSADT ≤10 months.</w:t>
            </w:r>
          </w:p>
        </w:tc>
      </w:tr>
      <w:tr w:rsidR="002758D6" w:rsidRPr="00691913" w:rsidTr="00487634">
        <w:trPr>
          <w:cantSplit/>
        </w:trPr>
        <w:tc>
          <w:tcPr>
            <w:tcW w:w="1588" w:type="dxa"/>
            <w:shd w:val="clear" w:color="auto" w:fill="auto"/>
          </w:tcPr>
          <w:p w:rsidR="002758D6" w:rsidRPr="00691913" w:rsidRDefault="002758D6" w:rsidP="008807EA">
            <w:pPr>
              <w:pStyle w:val="Tabletext"/>
              <w:keepNext/>
            </w:pPr>
            <w:r w:rsidRPr="00691913">
              <w:t>Intervention</w:t>
            </w:r>
          </w:p>
        </w:tc>
        <w:tc>
          <w:tcPr>
            <w:tcW w:w="7484" w:type="dxa"/>
            <w:shd w:val="clear" w:color="auto" w:fill="auto"/>
            <w:vAlign w:val="center"/>
          </w:tcPr>
          <w:p w:rsidR="002758D6" w:rsidRPr="00691913" w:rsidRDefault="002758D6" w:rsidP="008807EA">
            <w:pPr>
              <w:pStyle w:val="Tabletext"/>
              <w:keepNext/>
            </w:pPr>
            <w:proofErr w:type="spellStart"/>
            <w:r>
              <w:t>Apalutamide</w:t>
            </w:r>
            <w:proofErr w:type="spellEnd"/>
            <w:r>
              <w:t xml:space="preserve"> 240mg/day with background ADT</w:t>
            </w:r>
          </w:p>
        </w:tc>
      </w:tr>
      <w:tr w:rsidR="002758D6" w:rsidRPr="00691913" w:rsidTr="00487634">
        <w:trPr>
          <w:cantSplit/>
        </w:trPr>
        <w:tc>
          <w:tcPr>
            <w:tcW w:w="1588" w:type="dxa"/>
            <w:shd w:val="clear" w:color="auto" w:fill="auto"/>
          </w:tcPr>
          <w:p w:rsidR="002758D6" w:rsidRPr="00691913" w:rsidRDefault="002758D6" w:rsidP="008807EA">
            <w:pPr>
              <w:pStyle w:val="Tabletext"/>
              <w:keepNext/>
            </w:pPr>
            <w:r w:rsidRPr="00691913">
              <w:t>Comparator</w:t>
            </w:r>
          </w:p>
        </w:tc>
        <w:tc>
          <w:tcPr>
            <w:tcW w:w="7484" w:type="dxa"/>
            <w:shd w:val="clear" w:color="auto" w:fill="auto"/>
            <w:vAlign w:val="center"/>
          </w:tcPr>
          <w:p w:rsidR="002758D6" w:rsidRPr="00691913" w:rsidRDefault="002758D6" w:rsidP="008807EA">
            <w:pPr>
              <w:pStyle w:val="Tabletext"/>
              <w:keepNext/>
            </w:pPr>
            <w:r>
              <w:t xml:space="preserve">Watchful waiting (placebo) comprised of ongoing ADT, with or without secondary hormonal therapy. </w:t>
            </w:r>
          </w:p>
        </w:tc>
      </w:tr>
      <w:tr w:rsidR="002758D6" w:rsidRPr="00691913" w:rsidTr="00487634">
        <w:trPr>
          <w:cantSplit/>
        </w:trPr>
        <w:tc>
          <w:tcPr>
            <w:tcW w:w="1588" w:type="dxa"/>
            <w:shd w:val="clear" w:color="auto" w:fill="auto"/>
          </w:tcPr>
          <w:p w:rsidR="002758D6" w:rsidRPr="00691913" w:rsidRDefault="002758D6" w:rsidP="008807EA">
            <w:pPr>
              <w:pStyle w:val="Tabletext"/>
              <w:keepNext/>
            </w:pPr>
            <w:r w:rsidRPr="00691913">
              <w:t>Outcomes</w:t>
            </w:r>
          </w:p>
        </w:tc>
        <w:tc>
          <w:tcPr>
            <w:tcW w:w="7484" w:type="dxa"/>
            <w:shd w:val="clear" w:color="auto" w:fill="auto"/>
            <w:vAlign w:val="center"/>
          </w:tcPr>
          <w:p w:rsidR="002758D6" w:rsidRPr="00691913" w:rsidRDefault="002758D6" w:rsidP="008807EA">
            <w:pPr>
              <w:pStyle w:val="Tabletext"/>
              <w:keepNext/>
            </w:pPr>
            <w:r>
              <w:t xml:space="preserve">MFS, OS, </w:t>
            </w:r>
            <w:proofErr w:type="spellStart"/>
            <w:r>
              <w:t>rPFS</w:t>
            </w:r>
            <w:proofErr w:type="spellEnd"/>
            <w:r>
              <w:t xml:space="preserve">, </w:t>
            </w:r>
            <w:proofErr w:type="spellStart"/>
            <w:r>
              <w:t>sPFS</w:t>
            </w:r>
            <w:proofErr w:type="spellEnd"/>
            <w:r>
              <w:t>, time to initiation of cytotoxic chemotherapy, PFS on first subsequent therapy.</w:t>
            </w:r>
          </w:p>
        </w:tc>
      </w:tr>
      <w:tr w:rsidR="002758D6" w:rsidRPr="00691913" w:rsidTr="00487634">
        <w:trPr>
          <w:cantSplit/>
        </w:trPr>
        <w:tc>
          <w:tcPr>
            <w:tcW w:w="1588" w:type="dxa"/>
            <w:shd w:val="clear" w:color="auto" w:fill="auto"/>
          </w:tcPr>
          <w:p w:rsidR="002758D6" w:rsidRPr="00691913" w:rsidRDefault="002758D6" w:rsidP="008807EA">
            <w:pPr>
              <w:pStyle w:val="Tabletext"/>
              <w:keepNext/>
            </w:pPr>
            <w:r w:rsidRPr="00691913">
              <w:t>Clinical claim</w:t>
            </w:r>
          </w:p>
        </w:tc>
        <w:tc>
          <w:tcPr>
            <w:tcW w:w="7484" w:type="dxa"/>
            <w:shd w:val="clear" w:color="auto" w:fill="auto"/>
            <w:vAlign w:val="center"/>
          </w:tcPr>
          <w:p w:rsidR="002758D6" w:rsidRPr="00691913" w:rsidRDefault="002758D6" w:rsidP="00F946F1">
            <w:pPr>
              <w:pStyle w:val="Tabletext"/>
              <w:keepNext/>
            </w:pPr>
            <w:r>
              <w:t xml:space="preserve">In patients with m0CRPC at high risk of distant metastases, </w:t>
            </w:r>
            <w:proofErr w:type="spellStart"/>
            <w:r>
              <w:t>apalutamide</w:t>
            </w:r>
            <w:proofErr w:type="spellEnd"/>
            <w:r>
              <w:t xml:space="preserve"> when used in combination with ADT demonstrates superior comparative effectiveness compared with watchful waiting with statistically and clinically significant improvements in MFS, </w:t>
            </w:r>
            <w:proofErr w:type="spellStart"/>
            <w:r>
              <w:t>rPFS</w:t>
            </w:r>
            <w:proofErr w:type="spellEnd"/>
            <w:r>
              <w:t xml:space="preserve"> and </w:t>
            </w:r>
            <w:proofErr w:type="spellStart"/>
            <w:r>
              <w:t>sPFS</w:t>
            </w:r>
            <w:proofErr w:type="spellEnd"/>
            <w:r>
              <w:t xml:space="preserve">.  The submission also claimed that </w:t>
            </w:r>
            <w:proofErr w:type="spellStart"/>
            <w:r>
              <w:t>apalutamide</w:t>
            </w:r>
            <w:proofErr w:type="spellEnd"/>
            <w:r>
              <w:t xml:space="preserve"> showed a strong trend toward a statistically significant but clinically relevant improvement in OS</w:t>
            </w:r>
            <w:r w:rsidR="00F946F1">
              <w:t>,</w:t>
            </w:r>
            <w:r>
              <w:t xml:space="preserve"> </w:t>
            </w:r>
            <w:r w:rsidR="00F946F1">
              <w:t>and</w:t>
            </w:r>
            <w:r>
              <w:t xml:space="preserve"> an inferior safety profile.</w:t>
            </w:r>
          </w:p>
        </w:tc>
      </w:tr>
    </w:tbl>
    <w:p w:rsidR="002758D6" w:rsidRDefault="002758D6" w:rsidP="002758D6">
      <w:pPr>
        <w:pStyle w:val="TableFooter"/>
      </w:pPr>
      <w:r>
        <w:t xml:space="preserve">ADT=androgen deprivation therapy; MFS=metastasis-free survival; m0CRPC=castration-resistant prostate cancer with no distant metastases; OS=overall survival; PFS=progression-free survival; PSADT=prostate specific antigen doubling time; </w:t>
      </w:r>
      <w:proofErr w:type="spellStart"/>
      <w:r>
        <w:t>rPFS</w:t>
      </w:r>
      <w:proofErr w:type="spellEnd"/>
      <w:r>
        <w:t xml:space="preserve">=radiographic progression-free survival; </w:t>
      </w:r>
      <w:proofErr w:type="spellStart"/>
      <w:r>
        <w:t>sPFS</w:t>
      </w:r>
      <w:proofErr w:type="spellEnd"/>
      <w:r>
        <w:t xml:space="preserve">=symptomatic progression-free survival </w:t>
      </w:r>
    </w:p>
    <w:p w:rsidR="008B7510" w:rsidRDefault="002758D6" w:rsidP="003F618D">
      <w:pPr>
        <w:pStyle w:val="TableFooter"/>
        <w:spacing w:after="160"/>
      </w:pPr>
      <w:r>
        <w:t>Source: Table 1.1, p17 of the submission.</w:t>
      </w:r>
    </w:p>
    <w:p w:rsidR="008B7510" w:rsidRDefault="008B7510">
      <w:pPr>
        <w:jc w:val="left"/>
        <w:rPr>
          <w:rFonts w:ascii="Arial Narrow" w:hAnsi="Arial Narrow"/>
          <w:sz w:val="18"/>
        </w:rPr>
      </w:pPr>
      <w:r>
        <w:br w:type="page"/>
      </w:r>
    </w:p>
    <w:p w:rsidR="00B60939" w:rsidRDefault="00B50DB8" w:rsidP="00FD3E23">
      <w:pPr>
        <w:pStyle w:val="Heading1"/>
        <w:rPr>
          <w:caps/>
        </w:rPr>
      </w:pPr>
      <w:bookmarkStart w:id="2" w:name="_Toc522226924"/>
      <w:r w:rsidRPr="00F06C65">
        <w:lastRenderedPageBreak/>
        <w:t>Requested listing</w:t>
      </w:r>
      <w:bookmarkEnd w:id="2"/>
    </w:p>
    <w:p w:rsidR="005D58DD" w:rsidRPr="00FA55BD" w:rsidRDefault="005D58DD" w:rsidP="005D58DD">
      <w:pPr>
        <w:pStyle w:val="ListParagraph"/>
        <w:numPr>
          <w:ilvl w:val="1"/>
          <w:numId w:val="3"/>
        </w:numPr>
        <w:rPr>
          <w:rFonts w:ascii="Arial" w:hAnsi="Arial" w:cs="Arial"/>
          <w:sz w:val="22"/>
          <w:szCs w:val="22"/>
        </w:rPr>
      </w:pPr>
      <w:r w:rsidRPr="00FA55BD">
        <w:rPr>
          <w:rFonts w:eastAsia="SimSun" w:cs="Arial"/>
          <w:iCs/>
          <w:color w:val="000000"/>
          <w:szCs w:val="22"/>
        </w:rPr>
        <w:t xml:space="preserve">Suggestions and additions proposed by the Secretariat to the requested listing are added </w:t>
      </w:r>
      <w:r w:rsidRPr="00FA55BD">
        <w:t>in</w:t>
      </w:r>
      <w:r w:rsidRPr="00FA55BD">
        <w:rPr>
          <w:rFonts w:eastAsia="SimSun" w:cs="Arial"/>
          <w:iCs/>
          <w:color w:val="000000"/>
          <w:szCs w:val="22"/>
        </w:rPr>
        <w:t xml:space="preserve"> italics and suggested deletions are crossed out with strikethrough.</w:t>
      </w:r>
      <w:r w:rsidR="002F0A03" w:rsidRPr="00FA55BD">
        <w:rPr>
          <w:rFonts w:eastAsia="SimSun" w:cs="Arial"/>
          <w:iCs/>
          <w:color w:val="000000"/>
          <w:szCs w:val="22"/>
        </w:rPr>
        <w:t xml:space="preserve"> </w:t>
      </w:r>
    </w:p>
    <w:tbl>
      <w:tblPr>
        <w:tblW w:w="5000" w:type="pct"/>
        <w:tblInd w:w="108" w:type="dxa"/>
        <w:tblLayout w:type="fixed"/>
        <w:tblLook w:val="0000" w:firstRow="0" w:lastRow="0" w:firstColumn="0" w:lastColumn="0" w:noHBand="0" w:noVBand="0"/>
      </w:tblPr>
      <w:tblGrid>
        <w:gridCol w:w="2350"/>
        <w:gridCol w:w="837"/>
        <w:gridCol w:w="560"/>
        <w:gridCol w:w="836"/>
        <w:gridCol w:w="1943"/>
        <w:gridCol w:w="1250"/>
        <w:gridCol w:w="1251"/>
      </w:tblGrid>
      <w:tr w:rsidR="002F0A03" w:rsidRPr="003B567A" w:rsidTr="008807EA">
        <w:trPr>
          <w:cantSplit/>
          <w:trHeight w:val="471"/>
        </w:trPr>
        <w:tc>
          <w:tcPr>
            <w:tcW w:w="3271" w:type="dxa"/>
            <w:gridSpan w:val="2"/>
            <w:tcBorders>
              <w:bottom w:val="single" w:sz="4" w:space="0" w:color="auto"/>
            </w:tcBorders>
          </w:tcPr>
          <w:p w:rsidR="002F0A03" w:rsidRPr="008807EA" w:rsidRDefault="002F0A03" w:rsidP="003F618D">
            <w:pPr>
              <w:keepNext/>
              <w:ind w:left="-108"/>
              <w:rPr>
                <w:rFonts w:ascii="Arial Narrow" w:hAnsi="Arial Narrow" w:cs="Arial"/>
                <w:b/>
                <w:sz w:val="20"/>
                <w:szCs w:val="20"/>
              </w:rPr>
            </w:pPr>
            <w:r w:rsidRPr="008807EA">
              <w:rPr>
                <w:rFonts w:ascii="Arial Narrow" w:hAnsi="Arial Narrow" w:cs="Arial"/>
                <w:b/>
                <w:sz w:val="20"/>
                <w:szCs w:val="20"/>
              </w:rPr>
              <w:t>Name, Restriction,</w:t>
            </w:r>
          </w:p>
          <w:p w:rsidR="002F0A03" w:rsidRPr="008807EA" w:rsidRDefault="002F0A03" w:rsidP="003F618D">
            <w:pPr>
              <w:keepNext/>
              <w:ind w:left="-108"/>
              <w:rPr>
                <w:rFonts w:ascii="Arial Narrow" w:hAnsi="Arial Narrow" w:cs="Arial"/>
                <w:b/>
                <w:sz w:val="20"/>
                <w:szCs w:val="20"/>
              </w:rPr>
            </w:pPr>
            <w:r w:rsidRPr="008807EA">
              <w:rPr>
                <w:rFonts w:ascii="Arial Narrow" w:hAnsi="Arial Narrow" w:cs="Arial"/>
                <w:b/>
                <w:sz w:val="20"/>
                <w:szCs w:val="20"/>
              </w:rPr>
              <w:t>Manner of administration and form</w:t>
            </w:r>
          </w:p>
        </w:tc>
        <w:tc>
          <w:tcPr>
            <w:tcW w:w="569" w:type="dxa"/>
            <w:tcBorders>
              <w:bottom w:val="single" w:sz="4" w:space="0" w:color="auto"/>
            </w:tcBorders>
          </w:tcPr>
          <w:p w:rsidR="002F0A03" w:rsidRPr="008807EA" w:rsidRDefault="002F0A03" w:rsidP="003F618D">
            <w:pPr>
              <w:keepNext/>
              <w:ind w:left="-108"/>
              <w:rPr>
                <w:rFonts w:ascii="Arial Narrow" w:hAnsi="Arial Narrow" w:cs="Arial"/>
                <w:b/>
                <w:sz w:val="20"/>
                <w:szCs w:val="20"/>
              </w:rPr>
            </w:pPr>
            <w:r w:rsidRPr="008807EA">
              <w:rPr>
                <w:rFonts w:ascii="Arial Narrow" w:hAnsi="Arial Narrow" w:cs="Arial"/>
                <w:b/>
                <w:sz w:val="20"/>
                <w:szCs w:val="20"/>
              </w:rPr>
              <w:t>Max.</w:t>
            </w:r>
          </w:p>
          <w:p w:rsidR="002F0A03" w:rsidRPr="008807EA" w:rsidRDefault="002F0A03" w:rsidP="003F618D">
            <w:pPr>
              <w:keepNext/>
              <w:ind w:left="-108"/>
              <w:rPr>
                <w:rFonts w:ascii="Arial Narrow" w:hAnsi="Arial Narrow" w:cs="Arial"/>
                <w:b/>
                <w:sz w:val="20"/>
                <w:szCs w:val="20"/>
              </w:rPr>
            </w:pPr>
            <w:proofErr w:type="spellStart"/>
            <w:r w:rsidRPr="008807EA">
              <w:rPr>
                <w:rFonts w:ascii="Arial Narrow" w:hAnsi="Arial Narrow" w:cs="Arial"/>
                <w:b/>
                <w:sz w:val="20"/>
                <w:szCs w:val="20"/>
              </w:rPr>
              <w:t>Qty</w:t>
            </w:r>
            <w:proofErr w:type="spellEnd"/>
          </w:p>
        </w:tc>
        <w:tc>
          <w:tcPr>
            <w:tcW w:w="853" w:type="dxa"/>
            <w:tcBorders>
              <w:bottom w:val="single" w:sz="4" w:space="0" w:color="auto"/>
            </w:tcBorders>
          </w:tcPr>
          <w:p w:rsidR="002F0A03" w:rsidRPr="008807EA" w:rsidRDefault="002F0A03" w:rsidP="003F618D">
            <w:pPr>
              <w:keepNext/>
              <w:ind w:left="-108"/>
              <w:rPr>
                <w:rFonts w:ascii="Arial Narrow" w:hAnsi="Arial Narrow" w:cs="Arial"/>
                <w:b/>
                <w:sz w:val="20"/>
                <w:szCs w:val="20"/>
              </w:rPr>
            </w:pPr>
            <w:r w:rsidRPr="008807EA">
              <w:rPr>
                <w:rFonts w:ascii="Arial Narrow" w:hAnsi="Arial Narrow" w:cs="Arial"/>
                <w:b/>
                <w:sz w:val="20"/>
                <w:szCs w:val="20"/>
              </w:rPr>
              <w:t>№.of</w:t>
            </w:r>
          </w:p>
          <w:p w:rsidR="002F0A03" w:rsidRPr="008807EA" w:rsidRDefault="002F0A03" w:rsidP="003F618D">
            <w:pPr>
              <w:keepNext/>
              <w:ind w:left="-108"/>
              <w:rPr>
                <w:rFonts w:ascii="Arial Narrow" w:hAnsi="Arial Narrow" w:cs="Arial"/>
                <w:b/>
                <w:sz w:val="20"/>
                <w:szCs w:val="20"/>
              </w:rPr>
            </w:pPr>
            <w:proofErr w:type="spellStart"/>
            <w:r w:rsidRPr="008807EA">
              <w:rPr>
                <w:rFonts w:ascii="Arial Narrow" w:hAnsi="Arial Narrow" w:cs="Arial"/>
                <w:b/>
                <w:sz w:val="20"/>
                <w:szCs w:val="20"/>
              </w:rPr>
              <w:t>Rpts</w:t>
            </w:r>
            <w:proofErr w:type="spellEnd"/>
          </w:p>
        </w:tc>
        <w:tc>
          <w:tcPr>
            <w:tcW w:w="1991" w:type="dxa"/>
            <w:tcBorders>
              <w:bottom w:val="single" w:sz="4" w:space="0" w:color="auto"/>
            </w:tcBorders>
          </w:tcPr>
          <w:p w:rsidR="002F0A03" w:rsidRPr="008807EA" w:rsidRDefault="002F0A03" w:rsidP="008807EA">
            <w:pPr>
              <w:keepNext/>
              <w:jc w:val="left"/>
              <w:rPr>
                <w:rFonts w:ascii="Arial Narrow" w:hAnsi="Arial Narrow" w:cs="Arial"/>
                <w:b/>
                <w:sz w:val="20"/>
                <w:szCs w:val="20"/>
              </w:rPr>
            </w:pPr>
            <w:r w:rsidRPr="008807EA">
              <w:rPr>
                <w:rFonts w:ascii="Arial Narrow" w:hAnsi="Arial Narrow" w:cs="Arial"/>
                <w:b/>
                <w:sz w:val="20"/>
                <w:szCs w:val="20"/>
              </w:rPr>
              <w:t xml:space="preserve">Dispensed Price for Max. </w:t>
            </w:r>
            <w:proofErr w:type="spellStart"/>
            <w:r w:rsidRPr="008807EA">
              <w:rPr>
                <w:rFonts w:ascii="Arial Narrow" w:hAnsi="Arial Narrow" w:cs="Arial"/>
                <w:b/>
                <w:sz w:val="20"/>
                <w:szCs w:val="20"/>
              </w:rPr>
              <w:t>Qty</w:t>
            </w:r>
            <w:proofErr w:type="spellEnd"/>
          </w:p>
        </w:tc>
        <w:tc>
          <w:tcPr>
            <w:tcW w:w="2559" w:type="dxa"/>
            <w:gridSpan w:val="2"/>
            <w:tcBorders>
              <w:bottom w:val="single" w:sz="4" w:space="0" w:color="auto"/>
            </w:tcBorders>
          </w:tcPr>
          <w:p w:rsidR="002F0A03" w:rsidRPr="008807EA" w:rsidRDefault="002F0A03" w:rsidP="008807EA">
            <w:pPr>
              <w:keepNext/>
              <w:jc w:val="left"/>
              <w:rPr>
                <w:rFonts w:ascii="Arial Narrow" w:hAnsi="Arial Narrow" w:cs="Arial"/>
                <w:b/>
                <w:sz w:val="20"/>
                <w:szCs w:val="20"/>
                <w:lang w:val="fr-FR"/>
              </w:rPr>
            </w:pPr>
            <w:r w:rsidRPr="008807EA">
              <w:rPr>
                <w:rFonts w:ascii="Arial Narrow" w:hAnsi="Arial Narrow" w:cs="Arial"/>
                <w:b/>
                <w:sz w:val="20"/>
                <w:szCs w:val="20"/>
              </w:rPr>
              <w:t>Proprietary Name and Manufacturer</w:t>
            </w:r>
          </w:p>
        </w:tc>
      </w:tr>
      <w:tr w:rsidR="002F0A03" w:rsidRPr="003B567A" w:rsidTr="008807EA">
        <w:trPr>
          <w:cantSplit/>
          <w:trHeight w:val="577"/>
        </w:trPr>
        <w:tc>
          <w:tcPr>
            <w:tcW w:w="3271" w:type="dxa"/>
            <w:gridSpan w:val="2"/>
          </w:tcPr>
          <w:p w:rsidR="002F0A03" w:rsidRPr="008807EA" w:rsidRDefault="002F0A03" w:rsidP="003F618D">
            <w:pPr>
              <w:keepNext/>
              <w:ind w:left="-108"/>
              <w:rPr>
                <w:rFonts w:ascii="Arial Narrow" w:hAnsi="Arial Narrow" w:cs="Arial"/>
                <w:sz w:val="20"/>
                <w:szCs w:val="20"/>
              </w:rPr>
            </w:pPr>
            <w:r w:rsidRPr="008807EA">
              <w:rPr>
                <w:rFonts w:ascii="Arial Narrow" w:hAnsi="Arial Narrow" w:cs="Arial"/>
                <w:smallCaps/>
                <w:sz w:val="20"/>
                <w:szCs w:val="20"/>
              </w:rPr>
              <w:t xml:space="preserve">APALUTAMIDE </w:t>
            </w:r>
            <w:r w:rsidRPr="008807EA">
              <w:rPr>
                <w:rFonts w:ascii="Arial Narrow" w:hAnsi="Arial Narrow" w:cs="Arial"/>
                <w:sz w:val="20"/>
                <w:szCs w:val="20"/>
              </w:rPr>
              <w:t>tablet 60mg</w:t>
            </w:r>
          </w:p>
        </w:tc>
        <w:tc>
          <w:tcPr>
            <w:tcW w:w="569" w:type="dxa"/>
          </w:tcPr>
          <w:p w:rsidR="002F0A03" w:rsidRPr="008807EA" w:rsidRDefault="002F0A03" w:rsidP="003F618D">
            <w:pPr>
              <w:keepNext/>
              <w:ind w:left="-108"/>
              <w:rPr>
                <w:rFonts w:ascii="Arial Narrow" w:hAnsi="Arial Narrow" w:cs="Arial"/>
                <w:sz w:val="20"/>
                <w:szCs w:val="20"/>
              </w:rPr>
            </w:pPr>
            <w:r w:rsidRPr="008807EA">
              <w:rPr>
                <w:rFonts w:ascii="Arial Narrow" w:hAnsi="Arial Narrow" w:cs="Arial"/>
                <w:sz w:val="20"/>
                <w:szCs w:val="20"/>
              </w:rPr>
              <w:t>120</w:t>
            </w:r>
          </w:p>
        </w:tc>
        <w:tc>
          <w:tcPr>
            <w:tcW w:w="853" w:type="dxa"/>
          </w:tcPr>
          <w:p w:rsidR="002F0A03" w:rsidRPr="008807EA" w:rsidRDefault="002F0A03" w:rsidP="003F618D">
            <w:pPr>
              <w:keepNext/>
              <w:ind w:left="-108"/>
              <w:rPr>
                <w:rFonts w:ascii="Arial Narrow" w:hAnsi="Arial Narrow" w:cs="Arial"/>
                <w:sz w:val="20"/>
                <w:szCs w:val="20"/>
              </w:rPr>
            </w:pPr>
            <w:r w:rsidRPr="008807EA">
              <w:rPr>
                <w:rFonts w:ascii="Arial Narrow" w:hAnsi="Arial Narrow" w:cs="Arial"/>
                <w:sz w:val="20"/>
                <w:szCs w:val="20"/>
              </w:rPr>
              <w:t>5</w:t>
            </w:r>
          </w:p>
        </w:tc>
        <w:tc>
          <w:tcPr>
            <w:tcW w:w="1991" w:type="dxa"/>
          </w:tcPr>
          <w:p w:rsidR="002F0A03" w:rsidRPr="008807EA" w:rsidRDefault="002F0A03" w:rsidP="003F618D">
            <w:pPr>
              <w:keepNext/>
              <w:spacing w:before="40" w:after="40"/>
              <w:rPr>
                <w:rFonts w:ascii="Arial Narrow" w:hAnsi="Arial Narrow" w:cs="Calibri"/>
                <w:sz w:val="20"/>
                <w:szCs w:val="20"/>
              </w:rPr>
            </w:pPr>
            <w:r w:rsidRPr="008807EA">
              <w:rPr>
                <w:rFonts w:ascii="Arial Narrow" w:hAnsi="Arial Narrow" w:cs="Calibri"/>
                <w:sz w:val="20"/>
                <w:szCs w:val="20"/>
              </w:rPr>
              <w:t>Effective: $</w:t>
            </w:r>
            <w:r w:rsidR="00B02413">
              <w:rPr>
                <w:rFonts w:ascii="Arial Narrow" w:hAnsi="Arial Narrow" w:cs="Calibri"/>
                <w:noProof/>
                <w:color w:val="000000"/>
                <w:sz w:val="20"/>
                <w:szCs w:val="20"/>
                <w:highlight w:val="black"/>
              </w:rPr>
              <w:t>''''''''''''''''''''</w:t>
            </w:r>
          </w:p>
          <w:p w:rsidR="002F0A03" w:rsidRPr="008807EA" w:rsidRDefault="002F0A03" w:rsidP="003F618D">
            <w:pPr>
              <w:keepNext/>
              <w:rPr>
                <w:rFonts w:ascii="Arial Narrow" w:hAnsi="Arial Narrow" w:cs="Calibri"/>
                <w:sz w:val="20"/>
                <w:szCs w:val="20"/>
              </w:rPr>
            </w:pPr>
            <w:r w:rsidRPr="008807EA">
              <w:rPr>
                <w:rFonts w:ascii="Arial Narrow" w:hAnsi="Arial Narrow" w:cs="Calibri"/>
                <w:sz w:val="20"/>
                <w:szCs w:val="20"/>
              </w:rPr>
              <w:t>Published: $</w:t>
            </w:r>
            <w:r w:rsidR="00B02413">
              <w:rPr>
                <w:rFonts w:ascii="Arial Narrow" w:hAnsi="Arial Narrow" w:cs="Calibri"/>
                <w:noProof/>
                <w:color w:val="000000"/>
                <w:sz w:val="20"/>
                <w:szCs w:val="20"/>
                <w:highlight w:val="black"/>
              </w:rPr>
              <w:t>''''''''''''''''''''''</w:t>
            </w:r>
          </w:p>
        </w:tc>
        <w:tc>
          <w:tcPr>
            <w:tcW w:w="1279" w:type="dxa"/>
          </w:tcPr>
          <w:p w:rsidR="002F0A03" w:rsidRPr="008807EA" w:rsidRDefault="002F0A03" w:rsidP="003F618D">
            <w:pPr>
              <w:keepNext/>
              <w:spacing w:before="40" w:after="40"/>
              <w:rPr>
                <w:rFonts w:ascii="Arial Narrow" w:hAnsi="Arial Narrow" w:cs="Calibri"/>
                <w:sz w:val="20"/>
                <w:szCs w:val="20"/>
              </w:rPr>
            </w:pPr>
            <w:r w:rsidRPr="008807EA">
              <w:rPr>
                <w:rFonts w:ascii="Arial Narrow" w:hAnsi="Arial Narrow" w:cs="Calibri"/>
                <w:sz w:val="20"/>
                <w:szCs w:val="20"/>
              </w:rPr>
              <w:t>ERLYAND</w:t>
            </w:r>
            <w:r w:rsidRPr="008807EA">
              <w:rPr>
                <w:rFonts w:ascii="Arial Narrow" w:hAnsi="Arial Narrow" w:cs="Calibri"/>
                <w:sz w:val="20"/>
                <w:szCs w:val="20"/>
                <w:vertAlign w:val="superscript"/>
              </w:rPr>
              <w:t>®</w:t>
            </w:r>
          </w:p>
        </w:tc>
        <w:tc>
          <w:tcPr>
            <w:tcW w:w="1280" w:type="dxa"/>
          </w:tcPr>
          <w:p w:rsidR="002F0A03" w:rsidRPr="008807EA" w:rsidRDefault="002F0A03" w:rsidP="003F618D">
            <w:pPr>
              <w:keepNext/>
              <w:rPr>
                <w:rFonts w:ascii="Arial Narrow" w:hAnsi="Arial Narrow" w:cs="Calibri"/>
                <w:sz w:val="20"/>
                <w:szCs w:val="20"/>
              </w:rPr>
            </w:pPr>
            <w:r w:rsidRPr="008807EA">
              <w:rPr>
                <w:rFonts w:ascii="Arial Narrow" w:hAnsi="Arial Narrow" w:cs="Calibri"/>
                <w:sz w:val="20"/>
                <w:szCs w:val="20"/>
              </w:rPr>
              <w:t>Janssen-</w:t>
            </w:r>
            <w:proofErr w:type="spellStart"/>
            <w:r w:rsidRPr="008807EA">
              <w:rPr>
                <w:rFonts w:ascii="Arial Narrow" w:hAnsi="Arial Narrow" w:cs="Calibri"/>
                <w:sz w:val="20"/>
                <w:szCs w:val="20"/>
              </w:rPr>
              <w:t>Cilag</w:t>
            </w:r>
            <w:proofErr w:type="spellEnd"/>
            <w:r w:rsidRPr="008807EA">
              <w:rPr>
                <w:rFonts w:ascii="Arial Narrow" w:hAnsi="Arial Narrow" w:cs="Calibri"/>
                <w:sz w:val="20"/>
                <w:szCs w:val="20"/>
              </w:rPr>
              <w:t xml:space="preserve"> Pty Ltd</w:t>
            </w:r>
          </w:p>
        </w:tc>
      </w:tr>
      <w:tr w:rsidR="002F0A03" w:rsidRPr="003B567A" w:rsidTr="008807EA">
        <w:trPr>
          <w:cantSplit/>
          <w:trHeight w:val="360"/>
        </w:trPr>
        <w:tc>
          <w:tcPr>
            <w:tcW w:w="2410" w:type="dxa"/>
            <w:tcBorders>
              <w:top w:val="single" w:sz="4" w:space="0" w:color="auto"/>
              <w:left w:val="single" w:sz="4" w:space="0" w:color="auto"/>
              <w:bottom w:val="single" w:sz="4" w:space="0" w:color="auto"/>
              <w:right w:val="single" w:sz="4" w:space="0" w:color="auto"/>
            </w:tcBorders>
          </w:tcPr>
          <w:p w:rsidR="002F0A03" w:rsidRPr="008807EA" w:rsidRDefault="002F0A03" w:rsidP="008807EA">
            <w:pPr>
              <w:rPr>
                <w:rFonts w:ascii="Arial Narrow" w:hAnsi="Arial Narrow" w:cs="Arial"/>
                <w:b/>
                <w:sz w:val="20"/>
                <w:szCs w:val="20"/>
              </w:rPr>
            </w:pPr>
            <w:r w:rsidRPr="008807EA">
              <w:rPr>
                <w:rFonts w:ascii="Arial Narrow" w:hAnsi="Arial Narrow" w:cs="Arial"/>
                <w:b/>
                <w:sz w:val="20"/>
                <w:szCs w:val="20"/>
              </w:rPr>
              <w:t>Category /</w:t>
            </w:r>
            <w:r w:rsidR="008807EA">
              <w:rPr>
                <w:rFonts w:ascii="Arial Narrow" w:hAnsi="Arial Narrow" w:cs="Arial"/>
                <w:b/>
                <w:sz w:val="20"/>
                <w:szCs w:val="20"/>
              </w:rPr>
              <w:t xml:space="preserve"> </w:t>
            </w:r>
            <w:r w:rsidRPr="008807EA">
              <w:rPr>
                <w:rFonts w:ascii="Arial Narrow" w:hAnsi="Arial Narrow" w:cs="Arial"/>
                <w:b/>
                <w:sz w:val="20"/>
                <w:szCs w:val="20"/>
              </w:rPr>
              <w:t>Program</w:t>
            </w:r>
          </w:p>
        </w:tc>
        <w:tc>
          <w:tcPr>
            <w:tcW w:w="6833" w:type="dxa"/>
            <w:gridSpan w:val="6"/>
            <w:tcBorders>
              <w:top w:val="single" w:sz="4" w:space="0" w:color="auto"/>
              <w:left w:val="single" w:sz="4" w:space="0" w:color="auto"/>
              <w:bottom w:val="single" w:sz="4" w:space="0" w:color="auto"/>
              <w:right w:val="single" w:sz="4" w:space="0" w:color="auto"/>
            </w:tcBorders>
          </w:tcPr>
          <w:p w:rsidR="002F0A03" w:rsidRPr="008807EA" w:rsidRDefault="002F0A03" w:rsidP="003F618D">
            <w:pPr>
              <w:rPr>
                <w:rFonts w:ascii="Arial Narrow" w:hAnsi="Arial Narrow" w:cs="Arial"/>
                <w:sz w:val="20"/>
                <w:szCs w:val="20"/>
              </w:rPr>
            </w:pPr>
            <w:r w:rsidRPr="008807EA">
              <w:rPr>
                <w:rFonts w:ascii="Arial Narrow" w:hAnsi="Arial Narrow" w:cs="Arial"/>
                <w:sz w:val="20"/>
                <w:szCs w:val="20"/>
              </w:rPr>
              <w:t>GENERAL – General Schedule (Code GE)</w:t>
            </w:r>
          </w:p>
        </w:tc>
      </w:tr>
      <w:tr w:rsidR="002F0A03" w:rsidRPr="003B567A" w:rsidTr="008807EA">
        <w:trPr>
          <w:cantSplit/>
          <w:trHeight w:val="360"/>
        </w:trPr>
        <w:tc>
          <w:tcPr>
            <w:tcW w:w="2410" w:type="dxa"/>
            <w:tcBorders>
              <w:top w:val="single" w:sz="4" w:space="0" w:color="auto"/>
              <w:left w:val="single" w:sz="4" w:space="0" w:color="auto"/>
              <w:bottom w:val="single" w:sz="4" w:space="0" w:color="auto"/>
              <w:right w:val="single" w:sz="4" w:space="0" w:color="auto"/>
            </w:tcBorders>
          </w:tcPr>
          <w:p w:rsidR="002F0A03" w:rsidRPr="008807EA" w:rsidRDefault="002F0A03" w:rsidP="003F618D">
            <w:pPr>
              <w:rPr>
                <w:rFonts w:ascii="Arial Narrow" w:hAnsi="Arial Narrow" w:cs="Arial"/>
                <w:b/>
                <w:sz w:val="20"/>
                <w:szCs w:val="20"/>
              </w:rPr>
            </w:pPr>
            <w:r w:rsidRPr="008807EA">
              <w:rPr>
                <w:rFonts w:ascii="Arial Narrow" w:hAnsi="Arial Narrow" w:cs="Arial"/>
                <w:b/>
                <w:sz w:val="20"/>
                <w:szCs w:val="20"/>
              </w:rPr>
              <w:t>Prescriber type:</w:t>
            </w:r>
          </w:p>
        </w:tc>
        <w:tc>
          <w:tcPr>
            <w:tcW w:w="6833" w:type="dxa"/>
            <w:gridSpan w:val="6"/>
            <w:tcBorders>
              <w:top w:val="single" w:sz="4" w:space="0" w:color="auto"/>
              <w:left w:val="single" w:sz="4" w:space="0" w:color="auto"/>
              <w:bottom w:val="single" w:sz="4" w:space="0" w:color="auto"/>
              <w:right w:val="single" w:sz="4" w:space="0" w:color="auto"/>
            </w:tcBorders>
          </w:tcPr>
          <w:p w:rsidR="002F0A03" w:rsidRPr="008807EA" w:rsidRDefault="002F0A03" w:rsidP="003F618D">
            <w:pPr>
              <w:rPr>
                <w:rFonts w:ascii="Arial Narrow" w:hAnsi="Arial Narrow" w:cs="Arial"/>
                <w:sz w:val="20"/>
                <w:szCs w:val="20"/>
              </w:rPr>
            </w:pPr>
            <w:r w:rsidRPr="008807EA">
              <w:rPr>
                <w:rFonts w:ascii="Arial Narrow" w:hAnsi="Arial Narrow" w:cs="Arial"/>
                <w:sz w:val="20"/>
                <w:szCs w:val="20"/>
              </w:rPr>
              <w:t>Medical Practitioners</w:t>
            </w:r>
          </w:p>
        </w:tc>
      </w:tr>
      <w:tr w:rsidR="002F0A03" w:rsidRPr="003B567A" w:rsidTr="008807EA">
        <w:trPr>
          <w:cantSplit/>
          <w:trHeight w:val="360"/>
        </w:trPr>
        <w:tc>
          <w:tcPr>
            <w:tcW w:w="2410" w:type="dxa"/>
            <w:tcBorders>
              <w:top w:val="single" w:sz="4" w:space="0" w:color="auto"/>
              <w:left w:val="single" w:sz="4" w:space="0" w:color="auto"/>
              <w:bottom w:val="single" w:sz="4" w:space="0" w:color="auto"/>
              <w:right w:val="single" w:sz="4" w:space="0" w:color="auto"/>
            </w:tcBorders>
          </w:tcPr>
          <w:p w:rsidR="002F0A03" w:rsidRPr="008807EA" w:rsidRDefault="002F0A03" w:rsidP="003F618D">
            <w:pPr>
              <w:rPr>
                <w:rFonts w:ascii="Arial Narrow" w:hAnsi="Arial Narrow" w:cs="Arial"/>
                <w:b/>
                <w:sz w:val="20"/>
                <w:szCs w:val="20"/>
              </w:rPr>
            </w:pPr>
            <w:r w:rsidRPr="008807EA">
              <w:rPr>
                <w:rFonts w:ascii="Arial Narrow" w:hAnsi="Arial Narrow" w:cs="Arial"/>
                <w:b/>
                <w:sz w:val="20"/>
                <w:szCs w:val="20"/>
              </w:rPr>
              <w:t>Condition:</w:t>
            </w:r>
          </w:p>
        </w:tc>
        <w:tc>
          <w:tcPr>
            <w:tcW w:w="6833" w:type="dxa"/>
            <w:gridSpan w:val="6"/>
            <w:tcBorders>
              <w:top w:val="single" w:sz="4" w:space="0" w:color="auto"/>
              <w:left w:val="single" w:sz="4" w:space="0" w:color="auto"/>
              <w:bottom w:val="single" w:sz="4" w:space="0" w:color="auto"/>
              <w:right w:val="single" w:sz="4" w:space="0" w:color="auto"/>
            </w:tcBorders>
          </w:tcPr>
          <w:p w:rsidR="002F0A03" w:rsidRPr="008807EA" w:rsidRDefault="002F0A03" w:rsidP="003F618D">
            <w:pPr>
              <w:rPr>
                <w:rFonts w:ascii="Arial Narrow" w:hAnsi="Arial Narrow" w:cs="Calibri"/>
                <w:i/>
                <w:sz w:val="20"/>
                <w:szCs w:val="20"/>
              </w:rPr>
            </w:pPr>
            <w:r w:rsidRPr="008807EA">
              <w:rPr>
                <w:rFonts w:ascii="Arial Narrow" w:hAnsi="Arial Narrow" w:cs="Calibri"/>
                <w:strike/>
                <w:sz w:val="20"/>
                <w:szCs w:val="20"/>
              </w:rPr>
              <w:t xml:space="preserve">Castrate resistant prostate cancer </w:t>
            </w:r>
            <w:r w:rsidRPr="008807EA">
              <w:rPr>
                <w:rFonts w:ascii="Arial Narrow" w:hAnsi="Arial Narrow" w:cs="Calibri"/>
                <w:i/>
                <w:sz w:val="20"/>
                <w:szCs w:val="20"/>
              </w:rPr>
              <w:t>Castration resistant carcinoma of the prostate</w:t>
            </w:r>
          </w:p>
        </w:tc>
      </w:tr>
      <w:tr w:rsidR="002F0A03" w:rsidRPr="003B567A" w:rsidTr="008807EA">
        <w:trPr>
          <w:cantSplit/>
          <w:trHeight w:val="360"/>
        </w:trPr>
        <w:tc>
          <w:tcPr>
            <w:tcW w:w="2410" w:type="dxa"/>
            <w:tcBorders>
              <w:top w:val="single" w:sz="4" w:space="0" w:color="auto"/>
              <w:left w:val="single" w:sz="4" w:space="0" w:color="auto"/>
              <w:bottom w:val="single" w:sz="4" w:space="0" w:color="auto"/>
              <w:right w:val="single" w:sz="4" w:space="0" w:color="auto"/>
            </w:tcBorders>
          </w:tcPr>
          <w:p w:rsidR="002F0A03" w:rsidRPr="008807EA" w:rsidRDefault="002F0A03" w:rsidP="003F618D">
            <w:pPr>
              <w:rPr>
                <w:rFonts w:ascii="Arial Narrow" w:hAnsi="Arial Narrow" w:cs="Arial"/>
                <w:b/>
                <w:sz w:val="20"/>
                <w:szCs w:val="20"/>
              </w:rPr>
            </w:pPr>
            <w:r w:rsidRPr="008807EA">
              <w:rPr>
                <w:rFonts w:ascii="Arial Narrow" w:hAnsi="Arial Narrow" w:cs="Arial"/>
                <w:b/>
                <w:sz w:val="20"/>
                <w:szCs w:val="20"/>
              </w:rPr>
              <w:t>PBS Indication:</w:t>
            </w:r>
          </w:p>
        </w:tc>
        <w:tc>
          <w:tcPr>
            <w:tcW w:w="6833" w:type="dxa"/>
            <w:gridSpan w:val="6"/>
            <w:tcBorders>
              <w:top w:val="single" w:sz="4" w:space="0" w:color="auto"/>
              <w:left w:val="single" w:sz="4" w:space="0" w:color="auto"/>
              <w:bottom w:val="single" w:sz="4" w:space="0" w:color="auto"/>
              <w:right w:val="single" w:sz="4" w:space="0" w:color="auto"/>
            </w:tcBorders>
          </w:tcPr>
          <w:p w:rsidR="002F0A03" w:rsidRPr="008807EA" w:rsidRDefault="002F0A03" w:rsidP="003F618D">
            <w:pPr>
              <w:rPr>
                <w:rFonts w:ascii="Arial Narrow" w:hAnsi="Arial Narrow" w:cs="Arial"/>
                <w:sz w:val="20"/>
                <w:szCs w:val="20"/>
              </w:rPr>
            </w:pPr>
            <w:r w:rsidRPr="008807EA">
              <w:rPr>
                <w:rFonts w:ascii="Arial Narrow" w:hAnsi="Arial Narrow" w:cs="Calibri"/>
                <w:strike/>
                <w:sz w:val="20"/>
                <w:szCs w:val="20"/>
              </w:rPr>
              <w:t xml:space="preserve">Castrate resistant prostate cancer </w:t>
            </w:r>
            <w:r w:rsidRPr="008807EA">
              <w:rPr>
                <w:rFonts w:ascii="Arial Narrow" w:hAnsi="Arial Narrow" w:cs="Calibri"/>
                <w:i/>
                <w:sz w:val="20"/>
                <w:szCs w:val="20"/>
              </w:rPr>
              <w:t>Castration resistant carcinoma of the prostate</w:t>
            </w:r>
          </w:p>
        </w:tc>
      </w:tr>
      <w:tr w:rsidR="002F0A03" w:rsidRPr="003B567A" w:rsidTr="008807EA">
        <w:trPr>
          <w:cantSplit/>
          <w:trHeight w:val="360"/>
        </w:trPr>
        <w:tc>
          <w:tcPr>
            <w:tcW w:w="2410" w:type="dxa"/>
            <w:tcBorders>
              <w:top w:val="single" w:sz="4" w:space="0" w:color="auto"/>
              <w:left w:val="single" w:sz="4" w:space="0" w:color="auto"/>
              <w:bottom w:val="single" w:sz="4" w:space="0" w:color="auto"/>
              <w:right w:val="single" w:sz="4" w:space="0" w:color="auto"/>
            </w:tcBorders>
          </w:tcPr>
          <w:p w:rsidR="002F0A03" w:rsidRPr="008807EA" w:rsidRDefault="002F0A03" w:rsidP="003F618D">
            <w:pPr>
              <w:rPr>
                <w:rFonts w:ascii="Arial Narrow" w:hAnsi="Arial Narrow" w:cs="Arial"/>
                <w:b/>
                <w:sz w:val="20"/>
                <w:szCs w:val="20"/>
              </w:rPr>
            </w:pPr>
            <w:r w:rsidRPr="008807EA">
              <w:rPr>
                <w:rFonts w:ascii="Arial Narrow" w:hAnsi="Arial Narrow" w:cs="Arial"/>
                <w:b/>
                <w:sz w:val="20"/>
                <w:szCs w:val="20"/>
              </w:rPr>
              <w:t>Restriction Level / Method:</w:t>
            </w:r>
          </w:p>
        </w:tc>
        <w:tc>
          <w:tcPr>
            <w:tcW w:w="6833" w:type="dxa"/>
            <w:gridSpan w:val="6"/>
            <w:tcBorders>
              <w:top w:val="single" w:sz="4" w:space="0" w:color="auto"/>
              <w:left w:val="single" w:sz="4" w:space="0" w:color="auto"/>
              <w:bottom w:val="single" w:sz="4" w:space="0" w:color="auto"/>
              <w:right w:val="single" w:sz="4" w:space="0" w:color="auto"/>
            </w:tcBorders>
          </w:tcPr>
          <w:p w:rsidR="002F0A03" w:rsidRPr="008807EA" w:rsidRDefault="002F0A03" w:rsidP="003F618D">
            <w:pPr>
              <w:rPr>
                <w:rFonts w:ascii="Arial Narrow" w:hAnsi="Arial Narrow" w:cs="Arial"/>
                <w:sz w:val="20"/>
                <w:szCs w:val="20"/>
              </w:rPr>
            </w:pPr>
            <w:r w:rsidRPr="008807EA">
              <w:rPr>
                <w:rFonts w:ascii="Arial Narrow" w:hAnsi="Arial Narrow" w:cs="Arial"/>
                <w:sz w:val="20"/>
                <w:szCs w:val="20"/>
              </w:rPr>
              <w:t>Authority Required - Telephone</w:t>
            </w:r>
          </w:p>
        </w:tc>
      </w:tr>
      <w:tr w:rsidR="002F0A03" w:rsidRPr="003B567A" w:rsidTr="008807EA">
        <w:trPr>
          <w:cantSplit/>
          <w:trHeight w:val="360"/>
        </w:trPr>
        <w:tc>
          <w:tcPr>
            <w:tcW w:w="2410" w:type="dxa"/>
            <w:tcBorders>
              <w:top w:val="single" w:sz="4" w:space="0" w:color="auto"/>
              <w:left w:val="single" w:sz="4" w:space="0" w:color="auto"/>
              <w:bottom w:val="single" w:sz="4" w:space="0" w:color="auto"/>
              <w:right w:val="single" w:sz="4" w:space="0" w:color="auto"/>
            </w:tcBorders>
          </w:tcPr>
          <w:p w:rsidR="002F0A03" w:rsidRPr="008807EA" w:rsidRDefault="002F0A03" w:rsidP="003F618D">
            <w:pPr>
              <w:rPr>
                <w:rFonts w:ascii="Arial Narrow" w:hAnsi="Arial Narrow" w:cs="Arial"/>
                <w:b/>
                <w:sz w:val="20"/>
                <w:szCs w:val="20"/>
              </w:rPr>
            </w:pPr>
            <w:r w:rsidRPr="008807EA">
              <w:rPr>
                <w:rFonts w:ascii="Arial Narrow" w:hAnsi="Arial Narrow" w:cs="Arial"/>
                <w:b/>
                <w:sz w:val="20"/>
                <w:szCs w:val="20"/>
              </w:rPr>
              <w:t>Clinical criteria</w:t>
            </w:r>
            <w:r w:rsidR="00E33948">
              <w:rPr>
                <w:rFonts w:ascii="Arial Narrow" w:hAnsi="Arial Narrow" w:cs="Arial"/>
                <w:b/>
                <w:sz w:val="20"/>
                <w:szCs w:val="20"/>
              </w:rPr>
              <w:t xml:space="preserve"> (initial)</w:t>
            </w:r>
            <w:r w:rsidRPr="008807EA">
              <w:rPr>
                <w:rFonts w:ascii="Arial Narrow" w:hAnsi="Arial Narrow" w:cs="Arial"/>
                <w:b/>
                <w:sz w:val="20"/>
                <w:szCs w:val="20"/>
              </w:rPr>
              <w:t>:</w:t>
            </w:r>
          </w:p>
          <w:p w:rsidR="002F0A03" w:rsidRPr="008807EA" w:rsidRDefault="002F0A03" w:rsidP="003F618D">
            <w:pPr>
              <w:rPr>
                <w:rFonts w:ascii="Arial Narrow" w:hAnsi="Arial Narrow" w:cs="Arial"/>
                <w:sz w:val="20"/>
                <w:szCs w:val="20"/>
              </w:rPr>
            </w:pPr>
          </w:p>
        </w:tc>
        <w:tc>
          <w:tcPr>
            <w:tcW w:w="6833" w:type="dxa"/>
            <w:gridSpan w:val="6"/>
            <w:tcBorders>
              <w:top w:val="single" w:sz="4" w:space="0" w:color="auto"/>
              <w:left w:val="single" w:sz="4" w:space="0" w:color="auto"/>
              <w:bottom w:val="single" w:sz="4" w:space="0" w:color="auto"/>
              <w:right w:val="single" w:sz="4" w:space="0" w:color="auto"/>
            </w:tcBorders>
          </w:tcPr>
          <w:p w:rsidR="002F0A03" w:rsidRPr="008807EA" w:rsidRDefault="002F0A03" w:rsidP="003F618D">
            <w:pPr>
              <w:rPr>
                <w:rFonts w:ascii="Arial Narrow" w:hAnsi="Arial Narrow" w:cs="Arial"/>
                <w:sz w:val="20"/>
                <w:szCs w:val="20"/>
              </w:rPr>
            </w:pPr>
            <w:r w:rsidRPr="008807EA">
              <w:rPr>
                <w:rFonts w:ascii="Arial Narrow" w:hAnsi="Arial Narrow" w:cs="Arial"/>
                <w:sz w:val="20"/>
                <w:szCs w:val="20"/>
              </w:rPr>
              <w:t xml:space="preserve">Patient </w:t>
            </w:r>
            <w:proofErr w:type="spellStart"/>
            <w:r w:rsidRPr="008807EA">
              <w:rPr>
                <w:rFonts w:ascii="Arial Narrow" w:hAnsi="Arial Narrow" w:cs="Arial"/>
                <w:strike/>
                <w:sz w:val="20"/>
                <w:szCs w:val="20"/>
              </w:rPr>
              <w:t>does</w:t>
            </w:r>
            <w:r w:rsidRPr="008807EA">
              <w:rPr>
                <w:rFonts w:ascii="Arial Narrow" w:hAnsi="Arial Narrow" w:cs="Arial"/>
                <w:i/>
                <w:sz w:val="20"/>
                <w:szCs w:val="20"/>
              </w:rPr>
              <w:t>must</w:t>
            </w:r>
            <w:proofErr w:type="spellEnd"/>
            <w:r w:rsidRPr="008807EA">
              <w:rPr>
                <w:rFonts w:ascii="Arial Narrow" w:hAnsi="Arial Narrow" w:cs="Arial"/>
                <w:sz w:val="20"/>
                <w:szCs w:val="20"/>
              </w:rPr>
              <w:t xml:space="preserve"> not have distant metastasis on conventional imaging</w:t>
            </w:r>
          </w:p>
          <w:p w:rsidR="002F0A03" w:rsidRPr="008807EA" w:rsidRDefault="002F0A03" w:rsidP="003F618D">
            <w:pPr>
              <w:rPr>
                <w:rFonts w:ascii="Arial Narrow" w:hAnsi="Arial Narrow" w:cs="Arial"/>
                <w:sz w:val="20"/>
                <w:szCs w:val="20"/>
              </w:rPr>
            </w:pPr>
            <w:r w:rsidRPr="008807EA">
              <w:rPr>
                <w:rFonts w:ascii="Arial Narrow" w:hAnsi="Arial Narrow" w:cs="Arial"/>
                <w:sz w:val="20"/>
                <w:szCs w:val="20"/>
              </w:rPr>
              <w:t>AND</w:t>
            </w:r>
          </w:p>
          <w:p w:rsidR="002F0A03" w:rsidRPr="008807EA" w:rsidRDefault="002F0A03" w:rsidP="003F618D">
            <w:pPr>
              <w:rPr>
                <w:rFonts w:ascii="Arial Narrow" w:hAnsi="Arial Narrow" w:cs="Arial"/>
                <w:sz w:val="20"/>
                <w:szCs w:val="20"/>
              </w:rPr>
            </w:pPr>
            <w:r w:rsidRPr="008807EA">
              <w:rPr>
                <w:rFonts w:ascii="Arial Narrow" w:hAnsi="Arial Narrow" w:cs="Arial"/>
                <w:sz w:val="20"/>
                <w:szCs w:val="20"/>
              </w:rPr>
              <w:t>Treatment must be used in combination with androgen deprivation therapy</w:t>
            </w:r>
          </w:p>
          <w:p w:rsidR="002F0A03" w:rsidRPr="008807EA" w:rsidRDefault="002F0A03" w:rsidP="003F618D">
            <w:pPr>
              <w:rPr>
                <w:rFonts w:ascii="Arial Narrow" w:hAnsi="Arial Narrow" w:cs="Arial"/>
                <w:sz w:val="20"/>
                <w:szCs w:val="20"/>
              </w:rPr>
            </w:pPr>
            <w:r w:rsidRPr="008807EA">
              <w:rPr>
                <w:rFonts w:ascii="Arial Narrow" w:hAnsi="Arial Narrow" w:cs="Arial"/>
                <w:sz w:val="20"/>
                <w:szCs w:val="20"/>
              </w:rPr>
              <w:t>AND</w:t>
            </w:r>
          </w:p>
          <w:p w:rsidR="002F0A03" w:rsidRPr="008807EA" w:rsidRDefault="002F0A03" w:rsidP="003F618D">
            <w:pPr>
              <w:rPr>
                <w:rFonts w:ascii="Arial Narrow" w:hAnsi="Arial Narrow" w:cs="Arial"/>
                <w:sz w:val="20"/>
                <w:szCs w:val="20"/>
              </w:rPr>
            </w:pPr>
            <w:r w:rsidRPr="008807EA">
              <w:rPr>
                <w:rFonts w:ascii="Arial Narrow" w:hAnsi="Arial Narrow" w:cs="Arial"/>
                <w:sz w:val="20"/>
                <w:szCs w:val="20"/>
              </w:rPr>
              <w:t>Patient must have a PSA doubling time of 10 months or less</w:t>
            </w:r>
          </w:p>
          <w:p w:rsidR="002F0A03" w:rsidRPr="008807EA" w:rsidRDefault="002F0A03" w:rsidP="003F618D">
            <w:pPr>
              <w:rPr>
                <w:rFonts w:ascii="Arial Narrow" w:hAnsi="Arial Narrow" w:cs="Arial"/>
                <w:sz w:val="20"/>
                <w:szCs w:val="20"/>
              </w:rPr>
            </w:pPr>
            <w:r w:rsidRPr="008807EA">
              <w:rPr>
                <w:rFonts w:ascii="Arial Narrow" w:hAnsi="Arial Narrow" w:cs="Arial"/>
                <w:sz w:val="20"/>
                <w:szCs w:val="20"/>
              </w:rPr>
              <w:t>AND</w:t>
            </w:r>
          </w:p>
          <w:p w:rsidR="002F0A03" w:rsidRPr="008807EA" w:rsidRDefault="002F0A03" w:rsidP="003F618D">
            <w:pPr>
              <w:rPr>
                <w:rFonts w:ascii="Arial Narrow" w:hAnsi="Arial Narrow" w:cs="Arial"/>
                <w:strike/>
                <w:sz w:val="20"/>
                <w:szCs w:val="20"/>
              </w:rPr>
            </w:pPr>
            <w:r w:rsidRPr="008807EA">
              <w:rPr>
                <w:rFonts w:ascii="Arial Narrow" w:hAnsi="Arial Narrow" w:cs="Arial"/>
                <w:strike/>
                <w:sz w:val="20"/>
                <w:szCs w:val="20"/>
              </w:rPr>
              <w:t>Patient must have a PSA level &gt; 2 ng/mL</w:t>
            </w:r>
          </w:p>
          <w:p w:rsidR="002F0A03" w:rsidRPr="00B57F20" w:rsidRDefault="002F0A03" w:rsidP="003F618D">
            <w:pPr>
              <w:rPr>
                <w:rFonts w:ascii="Arial Narrow" w:hAnsi="Arial Narrow" w:cs="Arial"/>
                <w:strike/>
                <w:sz w:val="20"/>
                <w:szCs w:val="20"/>
              </w:rPr>
            </w:pPr>
            <w:r w:rsidRPr="00B57F20">
              <w:rPr>
                <w:rFonts w:ascii="Arial Narrow" w:hAnsi="Arial Narrow" w:cs="Arial"/>
                <w:strike/>
                <w:sz w:val="20"/>
                <w:szCs w:val="20"/>
              </w:rPr>
              <w:t>AND</w:t>
            </w:r>
          </w:p>
          <w:p w:rsidR="002F0A03" w:rsidRPr="008807EA" w:rsidRDefault="002F0A03" w:rsidP="003F618D">
            <w:pPr>
              <w:rPr>
                <w:rFonts w:ascii="Arial Narrow" w:hAnsi="Arial Narrow" w:cs="Arial"/>
                <w:i/>
                <w:sz w:val="20"/>
                <w:szCs w:val="20"/>
              </w:rPr>
            </w:pPr>
            <w:r w:rsidRPr="008807EA">
              <w:rPr>
                <w:rFonts w:ascii="Arial Narrow" w:hAnsi="Arial Narrow" w:cs="Arial"/>
                <w:sz w:val="20"/>
                <w:szCs w:val="20"/>
              </w:rPr>
              <w:t>Patient must not develop radiographic disease progression while receiving PBS-subsidised treatment with this drug for this condition.</w:t>
            </w:r>
          </w:p>
        </w:tc>
      </w:tr>
      <w:tr w:rsidR="00E33948" w:rsidRPr="00487634" w:rsidTr="00CD5C65">
        <w:trPr>
          <w:cantSplit/>
          <w:trHeight w:val="360"/>
        </w:trPr>
        <w:tc>
          <w:tcPr>
            <w:tcW w:w="2410" w:type="dxa"/>
            <w:tcBorders>
              <w:top w:val="single" w:sz="4" w:space="0" w:color="auto"/>
              <w:left w:val="single" w:sz="4" w:space="0" w:color="auto"/>
              <w:bottom w:val="single" w:sz="4" w:space="0" w:color="auto"/>
              <w:right w:val="single" w:sz="4" w:space="0" w:color="auto"/>
            </w:tcBorders>
          </w:tcPr>
          <w:p w:rsidR="00E33948" w:rsidRPr="00487634" w:rsidRDefault="00E33948" w:rsidP="00E33948">
            <w:pPr>
              <w:jc w:val="left"/>
              <w:rPr>
                <w:rFonts w:ascii="Arial Narrow" w:hAnsi="Arial Narrow" w:cs="Arial"/>
                <w:b/>
                <w:sz w:val="20"/>
                <w:szCs w:val="20"/>
              </w:rPr>
            </w:pPr>
            <w:r w:rsidRPr="00487634">
              <w:rPr>
                <w:rFonts w:ascii="Arial Narrow" w:hAnsi="Arial Narrow" w:cs="Arial"/>
                <w:b/>
                <w:sz w:val="20"/>
                <w:szCs w:val="20"/>
              </w:rPr>
              <w:t>Clinical criteria</w:t>
            </w:r>
            <w:r>
              <w:rPr>
                <w:rFonts w:ascii="Arial Narrow" w:hAnsi="Arial Narrow" w:cs="Arial"/>
                <w:b/>
                <w:sz w:val="20"/>
                <w:szCs w:val="20"/>
              </w:rPr>
              <w:t xml:space="preserve"> (continuing)</w:t>
            </w:r>
            <w:r w:rsidRPr="00487634">
              <w:rPr>
                <w:rFonts w:ascii="Arial Narrow" w:hAnsi="Arial Narrow" w:cs="Arial"/>
                <w:b/>
                <w:sz w:val="20"/>
                <w:szCs w:val="20"/>
              </w:rPr>
              <w:t>:</w:t>
            </w:r>
          </w:p>
          <w:p w:rsidR="00E33948" w:rsidRPr="00487634" w:rsidRDefault="00E33948" w:rsidP="00CD5C65">
            <w:pPr>
              <w:rPr>
                <w:rFonts w:ascii="Arial Narrow" w:hAnsi="Arial Narrow" w:cs="Arial"/>
                <w:b/>
                <w:sz w:val="20"/>
                <w:szCs w:val="20"/>
              </w:rPr>
            </w:pPr>
          </w:p>
        </w:tc>
        <w:tc>
          <w:tcPr>
            <w:tcW w:w="6833" w:type="dxa"/>
            <w:gridSpan w:val="6"/>
            <w:tcBorders>
              <w:top w:val="single" w:sz="4" w:space="0" w:color="auto"/>
              <w:left w:val="single" w:sz="4" w:space="0" w:color="auto"/>
              <w:bottom w:val="single" w:sz="4" w:space="0" w:color="auto"/>
              <w:right w:val="single" w:sz="4" w:space="0" w:color="auto"/>
            </w:tcBorders>
          </w:tcPr>
          <w:p w:rsidR="00E33948" w:rsidRPr="00487634" w:rsidRDefault="00E33948" w:rsidP="00CD5C65">
            <w:pPr>
              <w:keepNext/>
              <w:rPr>
                <w:rFonts w:ascii="Arial Narrow" w:hAnsi="Arial Narrow" w:cs="Arial"/>
                <w:sz w:val="20"/>
                <w:szCs w:val="20"/>
              </w:rPr>
            </w:pPr>
            <w:r w:rsidRPr="00487634">
              <w:rPr>
                <w:rFonts w:ascii="Arial Narrow" w:hAnsi="Arial Narrow" w:cs="Arial"/>
                <w:sz w:val="20"/>
                <w:szCs w:val="20"/>
              </w:rPr>
              <w:t xml:space="preserve">Patient must have previously </w:t>
            </w:r>
            <w:r w:rsidRPr="00487634">
              <w:rPr>
                <w:rFonts w:ascii="Arial Narrow" w:hAnsi="Arial Narrow" w:cs="Arial"/>
                <w:strike/>
                <w:sz w:val="20"/>
                <w:szCs w:val="20"/>
              </w:rPr>
              <w:t>been issued with an authority</w:t>
            </w:r>
            <w:r w:rsidRPr="00487634">
              <w:rPr>
                <w:rFonts w:ascii="Arial Narrow" w:hAnsi="Arial Narrow" w:cs="Arial"/>
                <w:sz w:val="20"/>
                <w:szCs w:val="20"/>
              </w:rPr>
              <w:t xml:space="preserve"> </w:t>
            </w:r>
            <w:r w:rsidRPr="00487634">
              <w:rPr>
                <w:rFonts w:ascii="Arial Narrow" w:hAnsi="Arial Narrow" w:cs="Arial"/>
                <w:i/>
                <w:sz w:val="20"/>
                <w:szCs w:val="20"/>
              </w:rPr>
              <w:t xml:space="preserve">received PBS-subsidised treatment with </w:t>
            </w:r>
            <w:r w:rsidRPr="00487634">
              <w:rPr>
                <w:rFonts w:ascii="Arial Narrow" w:hAnsi="Arial Narrow" w:cs="Arial"/>
                <w:strike/>
                <w:sz w:val="20"/>
                <w:szCs w:val="20"/>
              </w:rPr>
              <w:t>prescription for</w:t>
            </w:r>
            <w:r w:rsidRPr="00487634">
              <w:rPr>
                <w:rFonts w:ascii="Arial Narrow" w:hAnsi="Arial Narrow" w:cs="Arial"/>
                <w:sz w:val="20"/>
                <w:szCs w:val="20"/>
              </w:rPr>
              <w:t xml:space="preserve"> this drug for this condition</w:t>
            </w:r>
          </w:p>
          <w:p w:rsidR="00E33948" w:rsidRPr="00487634" w:rsidRDefault="00E33948" w:rsidP="00CD5C65">
            <w:pPr>
              <w:keepNext/>
              <w:rPr>
                <w:rFonts w:ascii="Arial Narrow" w:hAnsi="Arial Narrow" w:cs="Arial"/>
                <w:sz w:val="20"/>
                <w:szCs w:val="20"/>
              </w:rPr>
            </w:pPr>
            <w:r w:rsidRPr="00487634">
              <w:rPr>
                <w:rFonts w:ascii="Arial Narrow" w:hAnsi="Arial Narrow" w:cs="Arial"/>
                <w:sz w:val="20"/>
                <w:szCs w:val="20"/>
              </w:rPr>
              <w:t>AND</w:t>
            </w:r>
          </w:p>
          <w:p w:rsidR="00E33948" w:rsidRPr="00487634" w:rsidRDefault="00E33948" w:rsidP="00CD5C65">
            <w:pPr>
              <w:keepNext/>
              <w:rPr>
                <w:rFonts w:ascii="Arial Narrow" w:hAnsi="Arial Narrow" w:cs="Arial"/>
                <w:sz w:val="20"/>
                <w:szCs w:val="20"/>
              </w:rPr>
            </w:pPr>
            <w:r w:rsidRPr="00487634">
              <w:rPr>
                <w:rFonts w:ascii="Arial Narrow" w:hAnsi="Arial Narrow" w:cs="Arial"/>
                <w:sz w:val="20"/>
                <w:szCs w:val="20"/>
              </w:rPr>
              <w:t>Treatment must be used in combination with androgen deprivation therapy</w:t>
            </w:r>
          </w:p>
          <w:p w:rsidR="00E33948" w:rsidRPr="00487634" w:rsidRDefault="00E33948" w:rsidP="00CD5C65">
            <w:pPr>
              <w:keepNext/>
              <w:rPr>
                <w:rFonts w:ascii="Arial Narrow" w:hAnsi="Arial Narrow" w:cs="Arial"/>
                <w:sz w:val="20"/>
                <w:szCs w:val="20"/>
              </w:rPr>
            </w:pPr>
            <w:r w:rsidRPr="00487634">
              <w:rPr>
                <w:rFonts w:ascii="Arial Narrow" w:hAnsi="Arial Narrow" w:cs="Arial"/>
                <w:sz w:val="20"/>
                <w:szCs w:val="20"/>
              </w:rPr>
              <w:t>AND</w:t>
            </w:r>
          </w:p>
          <w:p w:rsidR="00E33948" w:rsidRPr="00487634" w:rsidRDefault="00E33948" w:rsidP="00CD5C65">
            <w:pPr>
              <w:rPr>
                <w:rFonts w:ascii="Arial Narrow" w:hAnsi="Arial Narrow" w:cs="Arial"/>
                <w:sz w:val="20"/>
                <w:szCs w:val="20"/>
              </w:rPr>
            </w:pPr>
            <w:r w:rsidRPr="00487634">
              <w:rPr>
                <w:rFonts w:ascii="Arial Narrow" w:hAnsi="Arial Narrow" w:cs="Arial"/>
                <w:sz w:val="20"/>
                <w:szCs w:val="20"/>
              </w:rPr>
              <w:t xml:space="preserve">Patient must not develop radiographic disease progression while receiving PBS-subsidised treatment with </w:t>
            </w:r>
            <w:r>
              <w:rPr>
                <w:rFonts w:ascii="Arial Narrow" w:hAnsi="Arial Narrow" w:cs="Arial"/>
                <w:sz w:val="20"/>
                <w:szCs w:val="20"/>
              </w:rPr>
              <w:t>this drug for this condition.</w:t>
            </w:r>
          </w:p>
        </w:tc>
      </w:tr>
      <w:tr w:rsidR="00E33948" w:rsidRPr="00487634" w:rsidTr="00CD5C65">
        <w:trPr>
          <w:cantSplit/>
          <w:trHeight w:val="360"/>
        </w:trPr>
        <w:tc>
          <w:tcPr>
            <w:tcW w:w="2410" w:type="dxa"/>
            <w:tcBorders>
              <w:top w:val="single" w:sz="4" w:space="0" w:color="auto"/>
              <w:left w:val="single" w:sz="4" w:space="0" w:color="auto"/>
              <w:bottom w:val="single" w:sz="4" w:space="0" w:color="auto"/>
              <w:right w:val="single" w:sz="4" w:space="0" w:color="auto"/>
            </w:tcBorders>
          </w:tcPr>
          <w:p w:rsidR="00E33948" w:rsidRPr="00487634" w:rsidRDefault="00E33948" w:rsidP="00E33948">
            <w:pPr>
              <w:jc w:val="left"/>
              <w:rPr>
                <w:rFonts w:ascii="Arial Narrow" w:hAnsi="Arial Narrow" w:cs="Arial"/>
                <w:b/>
                <w:sz w:val="20"/>
                <w:szCs w:val="20"/>
              </w:rPr>
            </w:pPr>
            <w:r w:rsidRPr="00487634">
              <w:rPr>
                <w:rFonts w:ascii="Arial Narrow" w:hAnsi="Arial Narrow" w:cs="Arial"/>
                <w:b/>
                <w:sz w:val="20"/>
                <w:szCs w:val="20"/>
              </w:rPr>
              <w:t>Clinical criteria</w:t>
            </w:r>
            <w:r>
              <w:rPr>
                <w:rFonts w:ascii="Arial Narrow" w:hAnsi="Arial Narrow" w:cs="Arial"/>
                <w:b/>
                <w:sz w:val="20"/>
                <w:szCs w:val="20"/>
              </w:rPr>
              <w:t xml:space="preserve"> (initial – grandfather patients)</w:t>
            </w:r>
            <w:r w:rsidRPr="00487634">
              <w:rPr>
                <w:rFonts w:ascii="Arial Narrow" w:hAnsi="Arial Narrow" w:cs="Arial"/>
                <w:b/>
                <w:sz w:val="20"/>
                <w:szCs w:val="20"/>
              </w:rPr>
              <w:t>:</w:t>
            </w:r>
          </w:p>
          <w:p w:rsidR="00E33948" w:rsidRPr="00487634" w:rsidRDefault="00E33948" w:rsidP="00CD5C65">
            <w:pPr>
              <w:rPr>
                <w:rFonts w:ascii="Arial Narrow" w:hAnsi="Arial Narrow" w:cs="Arial"/>
                <w:b/>
                <w:sz w:val="20"/>
                <w:szCs w:val="20"/>
              </w:rPr>
            </w:pPr>
          </w:p>
        </w:tc>
        <w:tc>
          <w:tcPr>
            <w:tcW w:w="6833" w:type="dxa"/>
            <w:gridSpan w:val="6"/>
            <w:tcBorders>
              <w:top w:val="single" w:sz="4" w:space="0" w:color="auto"/>
              <w:left w:val="single" w:sz="4" w:space="0" w:color="auto"/>
              <w:bottom w:val="single" w:sz="4" w:space="0" w:color="auto"/>
              <w:right w:val="single" w:sz="4" w:space="0" w:color="auto"/>
            </w:tcBorders>
          </w:tcPr>
          <w:p w:rsidR="00E33948" w:rsidRPr="00487634" w:rsidRDefault="00E33948" w:rsidP="00CD5C65">
            <w:pPr>
              <w:keepNext/>
              <w:rPr>
                <w:rFonts w:ascii="Arial Narrow" w:hAnsi="Arial Narrow" w:cs="Arial"/>
                <w:sz w:val="20"/>
                <w:szCs w:val="20"/>
              </w:rPr>
            </w:pPr>
            <w:r w:rsidRPr="00487634">
              <w:rPr>
                <w:rFonts w:ascii="Arial Narrow" w:hAnsi="Arial Narrow" w:cs="Arial"/>
                <w:sz w:val="20"/>
                <w:szCs w:val="20"/>
              </w:rPr>
              <w:t>Patient must have previously received non PBS-subsidised treatment with this drug for this condition prior to &lt;date&gt;</w:t>
            </w:r>
          </w:p>
          <w:p w:rsidR="00E33948" w:rsidRPr="00487634" w:rsidRDefault="00E33948" w:rsidP="00CD5C65">
            <w:pPr>
              <w:keepNext/>
              <w:rPr>
                <w:rFonts w:ascii="Arial Narrow" w:hAnsi="Arial Narrow" w:cs="Arial"/>
                <w:sz w:val="20"/>
                <w:szCs w:val="20"/>
              </w:rPr>
            </w:pPr>
            <w:r w:rsidRPr="00487634">
              <w:rPr>
                <w:rFonts w:ascii="Arial Narrow" w:hAnsi="Arial Narrow" w:cs="Arial"/>
                <w:sz w:val="20"/>
                <w:szCs w:val="20"/>
              </w:rPr>
              <w:t>AND</w:t>
            </w:r>
          </w:p>
          <w:p w:rsidR="00E33948" w:rsidRPr="00487634" w:rsidRDefault="00E33948" w:rsidP="00CD5C65">
            <w:pPr>
              <w:keepNext/>
              <w:rPr>
                <w:rFonts w:ascii="Arial Narrow" w:hAnsi="Arial Narrow" w:cs="Arial"/>
                <w:sz w:val="20"/>
                <w:szCs w:val="20"/>
              </w:rPr>
            </w:pPr>
            <w:r w:rsidRPr="00487634">
              <w:rPr>
                <w:rFonts w:ascii="Arial Narrow" w:hAnsi="Arial Narrow" w:cs="Arial"/>
                <w:sz w:val="20"/>
                <w:szCs w:val="20"/>
              </w:rPr>
              <w:t>Patient does not have distant metastasis on conventional imaging</w:t>
            </w:r>
          </w:p>
          <w:p w:rsidR="00E33948" w:rsidRPr="00487634" w:rsidRDefault="00E33948" w:rsidP="00CD5C65">
            <w:pPr>
              <w:keepNext/>
              <w:rPr>
                <w:rFonts w:ascii="Arial Narrow" w:hAnsi="Arial Narrow" w:cs="Arial"/>
                <w:sz w:val="20"/>
                <w:szCs w:val="20"/>
              </w:rPr>
            </w:pPr>
            <w:r w:rsidRPr="00487634">
              <w:rPr>
                <w:rFonts w:ascii="Arial Narrow" w:hAnsi="Arial Narrow" w:cs="Arial"/>
                <w:sz w:val="20"/>
                <w:szCs w:val="20"/>
              </w:rPr>
              <w:t>AND</w:t>
            </w:r>
          </w:p>
          <w:p w:rsidR="00E33948" w:rsidRPr="00487634" w:rsidRDefault="00E33948" w:rsidP="00CD5C65">
            <w:pPr>
              <w:keepNext/>
              <w:rPr>
                <w:rFonts w:ascii="Arial Narrow" w:hAnsi="Arial Narrow" w:cs="Arial"/>
                <w:sz w:val="20"/>
                <w:szCs w:val="20"/>
              </w:rPr>
            </w:pPr>
            <w:r w:rsidRPr="00487634">
              <w:rPr>
                <w:rFonts w:ascii="Arial Narrow" w:hAnsi="Arial Narrow" w:cs="Arial"/>
                <w:sz w:val="20"/>
                <w:szCs w:val="20"/>
              </w:rPr>
              <w:t>Treatment must be used in combination with androgen deprivation therapy</w:t>
            </w:r>
          </w:p>
          <w:p w:rsidR="00E33948" w:rsidRPr="00487634" w:rsidRDefault="00E33948" w:rsidP="00CD5C65">
            <w:pPr>
              <w:keepNext/>
              <w:rPr>
                <w:rFonts w:ascii="Arial Narrow" w:hAnsi="Arial Narrow" w:cs="Arial"/>
                <w:sz w:val="20"/>
                <w:szCs w:val="20"/>
              </w:rPr>
            </w:pPr>
            <w:r w:rsidRPr="00487634">
              <w:rPr>
                <w:rFonts w:ascii="Arial Narrow" w:hAnsi="Arial Narrow" w:cs="Arial"/>
                <w:sz w:val="20"/>
                <w:szCs w:val="20"/>
              </w:rPr>
              <w:t>AND</w:t>
            </w:r>
          </w:p>
          <w:p w:rsidR="00E33948" w:rsidRPr="00487634" w:rsidRDefault="00E33948" w:rsidP="00CD5C65">
            <w:pPr>
              <w:keepNext/>
              <w:rPr>
                <w:rFonts w:ascii="Arial Narrow" w:hAnsi="Arial Narrow" w:cs="Arial"/>
                <w:sz w:val="20"/>
                <w:szCs w:val="20"/>
              </w:rPr>
            </w:pPr>
            <w:r w:rsidRPr="00487634">
              <w:rPr>
                <w:rFonts w:ascii="Arial Narrow" w:hAnsi="Arial Narrow" w:cs="Arial"/>
                <w:sz w:val="20"/>
                <w:szCs w:val="20"/>
              </w:rPr>
              <w:t>Patient must have had a PSA doubling time of 10 months or less prior to receiving non-PBS-subsidised treatment with this drug</w:t>
            </w:r>
          </w:p>
          <w:p w:rsidR="00E33948" w:rsidRPr="00487634" w:rsidRDefault="00E33948" w:rsidP="00CD5C65">
            <w:pPr>
              <w:keepNext/>
              <w:rPr>
                <w:rFonts w:ascii="Arial Narrow" w:hAnsi="Arial Narrow" w:cs="Arial"/>
                <w:sz w:val="20"/>
                <w:szCs w:val="20"/>
              </w:rPr>
            </w:pPr>
            <w:r w:rsidRPr="00487634">
              <w:rPr>
                <w:rFonts w:ascii="Arial Narrow" w:hAnsi="Arial Narrow" w:cs="Arial"/>
                <w:sz w:val="20"/>
                <w:szCs w:val="20"/>
              </w:rPr>
              <w:t>AND</w:t>
            </w:r>
          </w:p>
          <w:p w:rsidR="00E33948" w:rsidRPr="00487634" w:rsidRDefault="00E33948" w:rsidP="00CD5C65">
            <w:pPr>
              <w:keepNext/>
              <w:rPr>
                <w:rFonts w:ascii="Arial Narrow" w:hAnsi="Arial Narrow" w:cs="Arial"/>
                <w:strike/>
                <w:sz w:val="20"/>
                <w:szCs w:val="20"/>
              </w:rPr>
            </w:pPr>
            <w:r w:rsidRPr="00487634">
              <w:rPr>
                <w:rFonts w:ascii="Arial Narrow" w:hAnsi="Arial Narrow" w:cs="Arial"/>
                <w:strike/>
                <w:sz w:val="20"/>
                <w:szCs w:val="20"/>
              </w:rPr>
              <w:t>Patient must have had a PSA level &gt; 2 ng/mL prior to receiving non-PBS-subsidised treatment with this drug</w:t>
            </w:r>
          </w:p>
          <w:p w:rsidR="00E33948" w:rsidRPr="00487634" w:rsidRDefault="00E33948" w:rsidP="00CD5C65">
            <w:pPr>
              <w:keepNext/>
              <w:rPr>
                <w:rFonts w:ascii="Arial Narrow" w:hAnsi="Arial Narrow" w:cs="Arial"/>
                <w:sz w:val="20"/>
                <w:szCs w:val="20"/>
              </w:rPr>
            </w:pPr>
            <w:r w:rsidRPr="00487634">
              <w:rPr>
                <w:rFonts w:ascii="Arial Narrow" w:hAnsi="Arial Narrow" w:cs="Arial"/>
                <w:sz w:val="20"/>
                <w:szCs w:val="20"/>
              </w:rPr>
              <w:t>AND</w:t>
            </w:r>
          </w:p>
          <w:p w:rsidR="00E33948" w:rsidRPr="00487634" w:rsidRDefault="00E33948" w:rsidP="00CD5C65">
            <w:pPr>
              <w:rPr>
                <w:rFonts w:ascii="Arial Narrow" w:hAnsi="Arial Narrow" w:cs="Arial"/>
                <w:sz w:val="20"/>
                <w:szCs w:val="20"/>
              </w:rPr>
            </w:pPr>
            <w:r w:rsidRPr="00487634">
              <w:rPr>
                <w:rFonts w:ascii="Arial Narrow" w:hAnsi="Arial Narrow" w:cs="Arial"/>
                <w:sz w:val="20"/>
                <w:szCs w:val="20"/>
              </w:rPr>
              <w:t>Patient must not develop radiographic disease progression while receiving PBS-subsidised treatment with this dr</w:t>
            </w:r>
            <w:r>
              <w:rPr>
                <w:rFonts w:ascii="Arial Narrow" w:hAnsi="Arial Narrow" w:cs="Arial"/>
                <w:sz w:val="20"/>
                <w:szCs w:val="20"/>
              </w:rPr>
              <w:t>ug for this condition.</w:t>
            </w:r>
          </w:p>
        </w:tc>
      </w:tr>
      <w:tr w:rsidR="002F0A03" w:rsidRPr="003B567A" w:rsidTr="008807EA">
        <w:trPr>
          <w:cantSplit/>
          <w:trHeight w:val="360"/>
        </w:trPr>
        <w:tc>
          <w:tcPr>
            <w:tcW w:w="2410" w:type="dxa"/>
            <w:tcBorders>
              <w:top w:val="single" w:sz="4" w:space="0" w:color="auto"/>
              <w:left w:val="single" w:sz="4" w:space="0" w:color="auto"/>
              <w:bottom w:val="single" w:sz="4" w:space="0" w:color="auto"/>
              <w:right w:val="single" w:sz="4" w:space="0" w:color="auto"/>
            </w:tcBorders>
          </w:tcPr>
          <w:p w:rsidR="002F0A03" w:rsidRPr="008807EA" w:rsidRDefault="002F0A03" w:rsidP="003F618D">
            <w:pPr>
              <w:rPr>
                <w:rFonts w:ascii="Arial Narrow" w:hAnsi="Arial Narrow" w:cs="Arial"/>
                <w:strike/>
                <w:sz w:val="20"/>
                <w:szCs w:val="20"/>
              </w:rPr>
            </w:pPr>
            <w:r w:rsidRPr="008807EA">
              <w:rPr>
                <w:rFonts w:ascii="Arial Narrow" w:hAnsi="Arial Narrow" w:cs="Arial"/>
                <w:b/>
                <w:strike/>
                <w:sz w:val="20"/>
                <w:szCs w:val="20"/>
              </w:rPr>
              <w:t>Note</w:t>
            </w:r>
            <w:r w:rsidRPr="008807EA">
              <w:rPr>
                <w:rFonts w:ascii="Arial Narrow" w:hAnsi="Arial Narrow" w:cs="Arial"/>
                <w:b/>
                <w:i/>
                <w:sz w:val="20"/>
                <w:szCs w:val="20"/>
              </w:rPr>
              <w:t xml:space="preserve"> Prescriber instruction</w:t>
            </w:r>
          </w:p>
        </w:tc>
        <w:tc>
          <w:tcPr>
            <w:tcW w:w="6833" w:type="dxa"/>
            <w:gridSpan w:val="6"/>
            <w:tcBorders>
              <w:top w:val="single" w:sz="4" w:space="0" w:color="auto"/>
              <w:left w:val="single" w:sz="4" w:space="0" w:color="auto"/>
              <w:bottom w:val="single" w:sz="4" w:space="0" w:color="auto"/>
              <w:right w:val="single" w:sz="4" w:space="0" w:color="auto"/>
            </w:tcBorders>
          </w:tcPr>
          <w:p w:rsidR="002F0A03" w:rsidRPr="008807EA" w:rsidRDefault="002F0A03" w:rsidP="003F618D">
            <w:pPr>
              <w:rPr>
                <w:rFonts w:ascii="Arial Narrow" w:hAnsi="Arial Narrow" w:cs="Arial"/>
                <w:sz w:val="20"/>
                <w:szCs w:val="20"/>
              </w:rPr>
            </w:pPr>
            <w:r w:rsidRPr="008807EA">
              <w:rPr>
                <w:rFonts w:ascii="Arial Narrow" w:hAnsi="Arial Narrow" w:cs="Arial"/>
                <w:sz w:val="20"/>
                <w:szCs w:val="20"/>
              </w:rPr>
              <w:t>The PSA doubling time must be calculated using at least three PSA values obtained during androgen deprivation therapy.</w:t>
            </w:r>
          </w:p>
        </w:tc>
      </w:tr>
      <w:tr w:rsidR="002F0A03" w:rsidRPr="003B567A" w:rsidTr="008807EA">
        <w:trPr>
          <w:cantSplit/>
          <w:trHeight w:val="360"/>
        </w:trPr>
        <w:tc>
          <w:tcPr>
            <w:tcW w:w="2410" w:type="dxa"/>
            <w:tcBorders>
              <w:top w:val="single" w:sz="4" w:space="0" w:color="auto"/>
              <w:left w:val="single" w:sz="4" w:space="0" w:color="auto"/>
              <w:bottom w:val="single" w:sz="4" w:space="0" w:color="auto"/>
              <w:right w:val="single" w:sz="4" w:space="0" w:color="auto"/>
            </w:tcBorders>
          </w:tcPr>
          <w:p w:rsidR="002F0A03" w:rsidRPr="008807EA" w:rsidRDefault="002F0A03" w:rsidP="003F618D">
            <w:pPr>
              <w:rPr>
                <w:rFonts w:ascii="Arial Narrow" w:hAnsi="Arial Narrow" w:cs="Arial"/>
                <w:b/>
                <w:sz w:val="20"/>
                <w:szCs w:val="20"/>
              </w:rPr>
            </w:pPr>
            <w:r w:rsidRPr="008807EA">
              <w:rPr>
                <w:rFonts w:ascii="Arial Narrow" w:hAnsi="Arial Narrow" w:cs="Arial"/>
                <w:b/>
                <w:sz w:val="20"/>
                <w:szCs w:val="20"/>
              </w:rPr>
              <w:t>Administrative advice</w:t>
            </w:r>
          </w:p>
          <w:p w:rsidR="002F0A03" w:rsidRPr="008807EA" w:rsidRDefault="002F0A03" w:rsidP="003F618D">
            <w:pPr>
              <w:rPr>
                <w:rFonts w:ascii="Arial Narrow" w:hAnsi="Arial Narrow" w:cs="Arial"/>
                <w:i/>
                <w:sz w:val="20"/>
                <w:szCs w:val="20"/>
              </w:rPr>
            </w:pPr>
          </w:p>
        </w:tc>
        <w:tc>
          <w:tcPr>
            <w:tcW w:w="6833" w:type="dxa"/>
            <w:gridSpan w:val="6"/>
            <w:tcBorders>
              <w:top w:val="single" w:sz="4" w:space="0" w:color="auto"/>
              <w:left w:val="single" w:sz="4" w:space="0" w:color="auto"/>
              <w:bottom w:val="single" w:sz="4" w:space="0" w:color="auto"/>
              <w:right w:val="single" w:sz="4" w:space="0" w:color="auto"/>
            </w:tcBorders>
          </w:tcPr>
          <w:p w:rsidR="002F0A03" w:rsidRPr="008807EA" w:rsidRDefault="002F0A03" w:rsidP="003F618D">
            <w:pPr>
              <w:rPr>
                <w:rFonts w:ascii="Arial Narrow" w:hAnsi="Arial Narrow" w:cs="Arial"/>
                <w:sz w:val="20"/>
                <w:szCs w:val="20"/>
              </w:rPr>
            </w:pPr>
            <w:r w:rsidRPr="008807EA">
              <w:rPr>
                <w:rFonts w:ascii="Arial Narrow" w:hAnsi="Arial Narrow" w:cs="Arial"/>
                <w:sz w:val="20"/>
                <w:szCs w:val="20"/>
              </w:rPr>
              <w:t>Special Pricing Arrangements apply.</w:t>
            </w:r>
          </w:p>
          <w:p w:rsidR="002F0A03" w:rsidRPr="008807EA" w:rsidRDefault="002F0A03" w:rsidP="003F618D">
            <w:pPr>
              <w:rPr>
                <w:rFonts w:ascii="Arial Narrow" w:hAnsi="Arial Narrow" w:cs="Arial"/>
                <w:i/>
                <w:sz w:val="20"/>
                <w:szCs w:val="20"/>
              </w:rPr>
            </w:pPr>
            <w:r w:rsidRPr="008807EA">
              <w:rPr>
                <w:rFonts w:ascii="Arial Narrow" w:hAnsi="Arial Narrow" w:cs="Arial"/>
                <w:i/>
                <w:sz w:val="20"/>
                <w:szCs w:val="20"/>
              </w:rPr>
              <w:t>No increase in the maximum quantity or number of units may be authorised.</w:t>
            </w:r>
          </w:p>
          <w:p w:rsidR="002F0A03" w:rsidRPr="008807EA" w:rsidRDefault="002F0A03" w:rsidP="003F618D">
            <w:pPr>
              <w:rPr>
                <w:rFonts w:ascii="Arial Narrow" w:hAnsi="Arial Narrow" w:cs="Arial"/>
                <w:i/>
                <w:sz w:val="20"/>
                <w:szCs w:val="20"/>
              </w:rPr>
            </w:pPr>
            <w:r w:rsidRPr="008807EA">
              <w:rPr>
                <w:rFonts w:ascii="Arial Narrow" w:hAnsi="Arial Narrow" w:cs="Arial"/>
                <w:i/>
                <w:sz w:val="20"/>
                <w:szCs w:val="20"/>
              </w:rPr>
              <w:t>No increase in the maximum number of repeats may be authorised.</w:t>
            </w:r>
          </w:p>
        </w:tc>
      </w:tr>
    </w:tbl>
    <w:p w:rsidR="009F53DE" w:rsidRPr="00A44512" w:rsidRDefault="009332CB" w:rsidP="008807EA">
      <w:pPr>
        <w:pStyle w:val="ListParagraph"/>
        <w:numPr>
          <w:ilvl w:val="1"/>
          <w:numId w:val="3"/>
        </w:numPr>
        <w:spacing w:before="240"/>
      </w:pPr>
      <w:r w:rsidRPr="00A44512">
        <w:lastRenderedPageBreak/>
        <w:t xml:space="preserve">The submission has proposed a special pricing arrangement with a proposed published </w:t>
      </w:r>
      <w:r w:rsidR="00006929">
        <w:t xml:space="preserve">price </w:t>
      </w:r>
      <w:r w:rsidRPr="00A44512">
        <w:t>of $</w:t>
      </w:r>
      <w:r w:rsidR="00B02413">
        <w:rPr>
          <w:noProof/>
          <w:color w:val="000000"/>
          <w:highlight w:val="black"/>
        </w:rPr>
        <w:t>''''''''''''''''</w:t>
      </w:r>
      <w:r w:rsidRPr="00A44512">
        <w:t xml:space="preserve"> and an effective price of $</w:t>
      </w:r>
      <w:r w:rsidR="00B02413">
        <w:rPr>
          <w:noProof/>
          <w:color w:val="000000"/>
          <w:highlight w:val="black"/>
        </w:rPr>
        <w:t>''''''''''''''''</w:t>
      </w:r>
      <w:r w:rsidRPr="00A44512">
        <w:t xml:space="preserve">.  </w:t>
      </w:r>
      <w:r w:rsidR="009F53DE" w:rsidRPr="00A44512">
        <w:t xml:space="preserve">Application of the latest dispensing and administration, handling and infrastructure (AHI) fees from 1 July 2018 would increase the requested </w:t>
      </w:r>
      <w:r w:rsidR="009A09E0" w:rsidRPr="00A44512">
        <w:t>published price by $1.52 to $</w:t>
      </w:r>
      <w:r w:rsidR="00B02413">
        <w:rPr>
          <w:noProof/>
          <w:color w:val="000000"/>
          <w:highlight w:val="black"/>
        </w:rPr>
        <w:t>'''''''''''''''</w:t>
      </w:r>
      <w:r w:rsidR="009A09E0" w:rsidRPr="00A44512">
        <w:t xml:space="preserve"> and the requested </w:t>
      </w:r>
      <w:r w:rsidR="009F53DE" w:rsidRPr="00A44512">
        <w:t>effective price by $0.24 to $</w:t>
      </w:r>
      <w:r w:rsidR="00B02413">
        <w:rPr>
          <w:noProof/>
          <w:color w:val="000000"/>
          <w:highlight w:val="black"/>
        </w:rPr>
        <w:t>'''''''''''''''</w:t>
      </w:r>
      <w:r w:rsidR="009F53DE" w:rsidRPr="00A44512">
        <w:t xml:space="preserve">.  The requested prices </w:t>
      </w:r>
      <w:r w:rsidR="00006929">
        <w:t>used in the economic analysis and financial estimates were</w:t>
      </w:r>
      <w:r w:rsidR="00006929" w:rsidRPr="00A44512">
        <w:t xml:space="preserve"> </w:t>
      </w:r>
      <w:r w:rsidR="009F53DE" w:rsidRPr="00A44512">
        <w:t>not updated during the evaluation.</w:t>
      </w:r>
    </w:p>
    <w:p w:rsidR="00C30E15" w:rsidRPr="00A44512" w:rsidRDefault="00C30E15" w:rsidP="007A132D">
      <w:pPr>
        <w:pStyle w:val="ListParagraph"/>
        <w:numPr>
          <w:ilvl w:val="1"/>
          <w:numId w:val="3"/>
        </w:numPr>
      </w:pPr>
      <w:r w:rsidRPr="00A44512">
        <w:t xml:space="preserve">While the recommended dose is 240mg/day, in SPARTAN just over </w:t>
      </w:r>
      <w:r w:rsidRPr="003C02D3">
        <w:t>20</w:t>
      </w:r>
      <w:r w:rsidRPr="00A44512">
        <w:t xml:space="preserve">% of patients experienced a dose reduction; </w:t>
      </w:r>
      <w:r w:rsidRPr="003C02D3">
        <w:t>76</w:t>
      </w:r>
      <w:r w:rsidRPr="00A44512">
        <w:t xml:space="preserve">% experienced a dose interruption and </w:t>
      </w:r>
      <w:r w:rsidRPr="003C02D3">
        <w:t>less than half</w:t>
      </w:r>
      <w:r w:rsidRPr="00A44512">
        <w:t xml:space="preserve"> (47.9%) complied with treatment at the recommended level.  As such, it is likely that </w:t>
      </w:r>
      <w:r w:rsidR="00016359" w:rsidRPr="00A44512">
        <w:t xml:space="preserve">for many patients </w:t>
      </w:r>
      <w:r w:rsidRPr="00A44512">
        <w:t xml:space="preserve">the specified supply will correspond to </w:t>
      </w:r>
      <w:r w:rsidR="00016359" w:rsidRPr="00A44512">
        <w:t xml:space="preserve">more than </w:t>
      </w:r>
      <w:r w:rsidRPr="00A44512">
        <w:t>6 months treatment.</w:t>
      </w:r>
    </w:p>
    <w:p w:rsidR="0020732F" w:rsidRPr="00FA55BD" w:rsidRDefault="00C30E15" w:rsidP="00C30E15">
      <w:pPr>
        <w:pStyle w:val="ListParagraph"/>
        <w:numPr>
          <w:ilvl w:val="1"/>
          <w:numId w:val="3"/>
        </w:numPr>
      </w:pPr>
      <w:r w:rsidRPr="00A44512">
        <w:t xml:space="preserve">The requested restriction is narrower than the recommended TGA indication (non-metastatic castration-resistant prostate cancer) as it limits use to patients at high risk of distant metastases (PSADT ≤10 months). The submission argued that the specification of PSADT ≤10 months is the only required criteria for identifying high risk patients. However, as noted by the TGA evaluator, there are other relevant criteria such as time to </w:t>
      </w:r>
      <w:r w:rsidRPr="00AC7E4F">
        <w:t>biochemical failure</w:t>
      </w:r>
      <w:r w:rsidRPr="00A44512">
        <w:t xml:space="preserve"> and </w:t>
      </w:r>
      <w:r w:rsidRPr="00AC7E4F">
        <w:t>Gleason score</w:t>
      </w:r>
      <w:r w:rsidRPr="00A44512">
        <w:t xml:space="preserve">. As such, the requested restriction may exclude </w:t>
      </w:r>
      <w:r w:rsidR="00016359" w:rsidRPr="00A44512">
        <w:t xml:space="preserve">some </w:t>
      </w:r>
      <w:r w:rsidRPr="00A44512">
        <w:t>patients who are at high risk of distant metastasis</w:t>
      </w:r>
      <w:r w:rsidRPr="00FA55BD">
        <w:t>.</w:t>
      </w:r>
      <w:r w:rsidR="006B39CC" w:rsidRPr="00FA55BD">
        <w:t xml:space="preserve"> The ESC considered that the requested restriction </w:t>
      </w:r>
      <w:r w:rsidR="00816303" w:rsidRPr="00FA55BD">
        <w:t xml:space="preserve">for high risk patients </w:t>
      </w:r>
      <w:r w:rsidR="006B39CC" w:rsidRPr="00FA55BD">
        <w:t>is in keeping with the SPARTAN trial population and is therefore appropriate. The PROSPER trial of enzalutamide</w:t>
      </w:r>
      <w:r w:rsidR="00006929" w:rsidRPr="00FA55BD">
        <w:t>,</w:t>
      </w:r>
      <w:r w:rsidR="006B39CC" w:rsidRPr="00FA55BD">
        <w:t xml:space="preserve"> </w:t>
      </w:r>
      <w:r w:rsidR="00006929" w:rsidRPr="00FA55BD">
        <w:t xml:space="preserve">in the same treatment setting, </w:t>
      </w:r>
      <w:r w:rsidR="006B39CC" w:rsidRPr="00FA55BD">
        <w:t xml:space="preserve">had a similar definition of high risk to SPARTAN. </w:t>
      </w:r>
      <w:r w:rsidR="00351A7A">
        <w:t>The ESC noted that w</w:t>
      </w:r>
      <w:r w:rsidR="006B39CC" w:rsidRPr="00FA55BD">
        <w:t>hilst there are other patients who may be classified as high risk, there</w:t>
      </w:r>
      <w:r w:rsidR="00B57F20">
        <w:t xml:space="preserve"> are</w:t>
      </w:r>
      <w:r w:rsidR="006B39CC" w:rsidRPr="00FA55BD">
        <w:t xml:space="preserve"> insufficient data to recommend a broader PBS population for the </w:t>
      </w:r>
      <w:proofErr w:type="spellStart"/>
      <w:r w:rsidR="006B39CC" w:rsidRPr="00FA55BD">
        <w:t>apalutamide</w:t>
      </w:r>
      <w:proofErr w:type="spellEnd"/>
      <w:r w:rsidR="006B39CC" w:rsidRPr="00FA55BD">
        <w:t xml:space="preserve"> restriction.</w:t>
      </w:r>
    </w:p>
    <w:p w:rsidR="0017337A" w:rsidRPr="00FA55BD" w:rsidRDefault="0017337A" w:rsidP="00C30E15">
      <w:pPr>
        <w:pStyle w:val="ListParagraph"/>
        <w:numPr>
          <w:ilvl w:val="1"/>
          <w:numId w:val="3"/>
        </w:numPr>
      </w:pPr>
      <w:r w:rsidRPr="00FA55BD">
        <w:t>The ESC considered that the clinical criteria should specify that pat</w:t>
      </w:r>
      <w:r w:rsidR="006B39CC" w:rsidRPr="00FA55BD">
        <w:t xml:space="preserve">ients must have </w:t>
      </w:r>
      <w:r w:rsidR="00006929" w:rsidRPr="00FA55BD">
        <w:t>a WHO performance status of 1 or less</w:t>
      </w:r>
      <w:r w:rsidRPr="00FA55BD">
        <w:t>, consistent with patients included in the SPARTAN trial.</w:t>
      </w:r>
      <w:r w:rsidR="006B39CC" w:rsidRPr="00FA55BD">
        <w:t xml:space="preserve"> The ESC noted that the trial only recruited patients with </w:t>
      </w:r>
      <w:r w:rsidR="00320226" w:rsidRPr="00FA55BD">
        <w:t xml:space="preserve">an </w:t>
      </w:r>
      <w:r w:rsidR="006B39CC" w:rsidRPr="00FA55BD">
        <w:t>ECOG</w:t>
      </w:r>
      <w:r w:rsidR="00320226" w:rsidRPr="00FA55BD">
        <w:t xml:space="preserve"> score (or WHO performance status)</w:t>
      </w:r>
      <w:r w:rsidR="006B39CC" w:rsidRPr="00FA55BD">
        <w:t xml:space="preserve"> </w:t>
      </w:r>
      <w:r w:rsidR="00320226" w:rsidRPr="00FA55BD">
        <w:t xml:space="preserve">of </w:t>
      </w:r>
      <w:r w:rsidR="006B39CC" w:rsidRPr="00FA55BD">
        <w:t>0</w:t>
      </w:r>
      <w:r w:rsidR="00320226" w:rsidRPr="00FA55BD">
        <w:t xml:space="preserve"> or </w:t>
      </w:r>
      <w:r w:rsidR="006B39CC" w:rsidRPr="00FA55BD">
        <w:t xml:space="preserve">1 and considered that the submission’s reasoning that this is not required, as </w:t>
      </w:r>
      <w:r w:rsidR="006B39CC" w:rsidRPr="00AC7E4F">
        <w:t>95</w:t>
      </w:r>
      <w:r w:rsidR="006B39CC" w:rsidRPr="00FA55BD">
        <w:t xml:space="preserve">% of the patients would be asymptomatic, was </w:t>
      </w:r>
      <w:r w:rsidR="00640197" w:rsidRPr="00FA55BD">
        <w:t>inadequate</w:t>
      </w:r>
      <w:r w:rsidR="006B39CC" w:rsidRPr="00FA55BD">
        <w:t>. The ESC noted that the financial estimates should be updated to reflect this restriction.</w:t>
      </w:r>
      <w:r w:rsidR="00B57F20">
        <w:t xml:space="preserve"> In the </w:t>
      </w:r>
      <w:r w:rsidR="003B2AB1">
        <w:t>p</w:t>
      </w:r>
      <w:r w:rsidR="00B57F20">
        <w:t>re-PBAC response</w:t>
      </w:r>
      <w:r w:rsidR="003B2AB1">
        <w:t xml:space="preserve"> </w:t>
      </w:r>
      <w:r w:rsidR="00B57F20">
        <w:t xml:space="preserve">the sponsor accepted the inclusion of this criterion in the restrictions and provided updated financial estimates as requested. </w:t>
      </w:r>
    </w:p>
    <w:p w:rsidR="001C1F82" w:rsidRPr="00FA55BD" w:rsidRDefault="001C1F82" w:rsidP="00C30E15">
      <w:pPr>
        <w:pStyle w:val="ListParagraph"/>
        <w:numPr>
          <w:ilvl w:val="1"/>
          <w:numId w:val="3"/>
        </w:numPr>
      </w:pPr>
      <w:r w:rsidRPr="00FA55BD">
        <w:t>The ESC advised that the clinical criteri</w:t>
      </w:r>
      <w:r w:rsidR="00F30B8D" w:rsidRPr="00FA55BD">
        <w:t>on</w:t>
      </w:r>
      <w:r w:rsidRPr="00FA55BD">
        <w:t xml:space="preserve"> </w:t>
      </w:r>
      <w:r w:rsidR="00F30B8D" w:rsidRPr="00FA55BD">
        <w:t>relating to disease</w:t>
      </w:r>
      <w:r w:rsidRPr="00FA55BD">
        <w:t xml:space="preserve"> progression </w:t>
      </w:r>
      <w:r w:rsidR="00F30B8D" w:rsidRPr="00FA55BD">
        <w:t xml:space="preserve">should remove the word ‘radiographic’, consistent with descriptions of disease progression for </w:t>
      </w:r>
      <w:r w:rsidR="002F0A03" w:rsidRPr="00FA55BD">
        <w:t xml:space="preserve">current </w:t>
      </w:r>
      <w:r w:rsidR="00F30B8D" w:rsidRPr="00FA55BD">
        <w:t>PBS listings for metastatic prostate cancer</w:t>
      </w:r>
      <w:r w:rsidR="00701E5F" w:rsidRPr="00FA55BD">
        <w:t xml:space="preserve">. </w:t>
      </w:r>
    </w:p>
    <w:p w:rsidR="0017337A" w:rsidRPr="00FA55BD" w:rsidRDefault="0017337A" w:rsidP="00C30E15">
      <w:pPr>
        <w:pStyle w:val="ListParagraph"/>
        <w:numPr>
          <w:ilvl w:val="1"/>
          <w:numId w:val="3"/>
        </w:numPr>
      </w:pPr>
      <w:r w:rsidRPr="00FA55BD">
        <w:t xml:space="preserve">The </w:t>
      </w:r>
      <w:r w:rsidR="00F30B8D" w:rsidRPr="00FA55BD">
        <w:t>pre-sub-committee response (</w:t>
      </w:r>
      <w:r w:rsidRPr="00FA55BD">
        <w:t>PSCR</w:t>
      </w:r>
      <w:r w:rsidR="00980038" w:rsidRPr="00FA55BD">
        <w:t>)</w:t>
      </w:r>
      <w:r w:rsidRPr="00FA55BD">
        <w:t xml:space="preserve"> argued that the PBS restriction for </w:t>
      </w:r>
      <w:proofErr w:type="spellStart"/>
      <w:r w:rsidRPr="00FA55BD">
        <w:t>apalutamide</w:t>
      </w:r>
      <w:proofErr w:type="spellEnd"/>
      <w:r w:rsidRPr="00FA55BD">
        <w:t xml:space="preserve"> should not preclude later use of other hormonal therapies in </w:t>
      </w:r>
      <w:proofErr w:type="spellStart"/>
      <w:r w:rsidRPr="00FA55BD">
        <w:t>mCRPC</w:t>
      </w:r>
      <w:proofErr w:type="spellEnd"/>
      <w:r w:rsidRPr="00FA55BD">
        <w:t xml:space="preserve">, in particular </w:t>
      </w:r>
      <w:proofErr w:type="spellStart"/>
      <w:r w:rsidRPr="00FA55BD">
        <w:t>abiraterone</w:t>
      </w:r>
      <w:proofErr w:type="spellEnd"/>
      <w:r w:rsidRPr="00FA55BD">
        <w:t xml:space="preserve">. The ESC noted that there is a lack of evidence supporting sequential use of </w:t>
      </w:r>
      <w:proofErr w:type="spellStart"/>
      <w:r w:rsidRPr="00FA55BD">
        <w:t>abiraterone</w:t>
      </w:r>
      <w:proofErr w:type="spellEnd"/>
      <w:r w:rsidRPr="00FA55BD">
        <w:t xml:space="preserve"> or enzalutamide following </w:t>
      </w:r>
      <w:proofErr w:type="spellStart"/>
      <w:r w:rsidRPr="00FA55BD">
        <w:t>apalutamide</w:t>
      </w:r>
      <w:proofErr w:type="spellEnd"/>
      <w:r w:rsidR="00816303" w:rsidRPr="00FA55BD">
        <w:t xml:space="preserve"> and considered that flow on restrictions to both </w:t>
      </w:r>
      <w:proofErr w:type="spellStart"/>
      <w:r w:rsidR="00816303" w:rsidRPr="00FA55BD">
        <w:t>abiraterone</w:t>
      </w:r>
      <w:proofErr w:type="spellEnd"/>
      <w:r w:rsidR="00816303" w:rsidRPr="00FA55BD">
        <w:t xml:space="preserve"> and enzalutamide to prevent sequential therapy should apply. </w:t>
      </w:r>
      <w:r w:rsidR="00B41267">
        <w:t>The pre-PBAC response</w:t>
      </w:r>
      <w:r w:rsidR="008E2749">
        <w:t xml:space="preserve"> </w:t>
      </w:r>
      <w:r w:rsidR="00B41267">
        <w:t xml:space="preserve">argued that the efficacy of </w:t>
      </w:r>
      <w:proofErr w:type="spellStart"/>
      <w:r w:rsidR="00B41267">
        <w:t>abiraterone</w:t>
      </w:r>
      <w:proofErr w:type="spellEnd"/>
      <w:r w:rsidR="00B41267">
        <w:t xml:space="preserve"> </w:t>
      </w:r>
      <w:r w:rsidR="00B41267">
        <w:lastRenderedPageBreak/>
        <w:t xml:space="preserve">is not reduced by prior treatment with </w:t>
      </w:r>
      <w:proofErr w:type="spellStart"/>
      <w:r w:rsidR="00B41267">
        <w:t>apalutamide</w:t>
      </w:r>
      <w:proofErr w:type="spellEnd"/>
      <w:r w:rsidR="00B41267">
        <w:t xml:space="preserve"> and maintained that patients who progress on </w:t>
      </w:r>
      <w:proofErr w:type="spellStart"/>
      <w:r w:rsidR="00B41267">
        <w:t>apalutamide</w:t>
      </w:r>
      <w:proofErr w:type="spellEnd"/>
      <w:r w:rsidR="00B41267">
        <w:t xml:space="preserve"> should be eligible for PBS-subsidised sequential therapy with </w:t>
      </w:r>
      <w:proofErr w:type="spellStart"/>
      <w:r w:rsidR="00B41267">
        <w:t>abiraterone</w:t>
      </w:r>
      <w:proofErr w:type="spellEnd"/>
      <w:r w:rsidR="00B41267">
        <w:t xml:space="preserve"> or enzalutamide. </w:t>
      </w:r>
    </w:p>
    <w:p w:rsidR="00246FDD" w:rsidRPr="00B57F20" w:rsidRDefault="001C1F82" w:rsidP="00B57F20">
      <w:pPr>
        <w:pStyle w:val="ListParagraph"/>
        <w:numPr>
          <w:ilvl w:val="1"/>
          <w:numId w:val="3"/>
        </w:numPr>
      </w:pPr>
      <w:r w:rsidRPr="00FA55BD">
        <w:t xml:space="preserve">The ESC noted that the clinical criteria specify </w:t>
      </w:r>
      <w:r w:rsidR="00980038" w:rsidRPr="00FA55BD">
        <w:t xml:space="preserve">use of </w:t>
      </w:r>
      <w:r w:rsidRPr="00FA55BD">
        <w:t>conventional imaging</w:t>
      </w:r>
      <w:r w:rsidR="00980038" w:rsidRPr="00FA55BD">
        <w:t xml:space="preserve"> to detect metastases</w:t>
      </w:r>
      <w:r w:rsidRPr="00FA55BD">
        <w:t xml:space="preserve">, however alternative </w:t>
      </w:r>
      <w:r w:rsidR="00701E5F" w:rsidRPr="00FA55BD">
        <w:t>imaging (</w:t>
      </w:r>
      <w:r w:rsidR="00980038" w:rsidRPr="00FA55BD">
        <w:t>prostate-specific membrane antigen (</w:t>
      </w:r>
      <w:r w:rsidR="00701E5F" w:rsidRPr="00FA55BD">
        <w:t>PSMA</w:t>
      </w:r>
      <w:r w:rsidR="00980038" w:rsidRPr="00FA55BD">
        <w:t>)</w:t>
      </w:r>
      <w:r w:rsidR="00701E5F" w:rsidRPr="00FA55BD">
        <w:t xml:space="preserve"> scanning) may show that patients otherwise classified as m0CRPC already have </w:t>
      </w:r>
      <w:r w:rsidR="003E1CC8">
        <w:t xml:space="preserve">occult </w:t>
      </w:r>
      <w:r w:rsidR="00701E5F" w:rsidRPr="00FA55BD">
        <w:t>metastatic disease</w:t>
      </w:r>
      <w:r w:rsidR="003E1CC8">
        <w:t xml:space="preserve"> not detectable on standard imaging</w:t>
      </w:r>
      <w:r w:rsidR="00701E5F" w:rsidRPr="00FA55BD">
        <w:t>.</w:t>
      </w:r>
      <w:r w:rsidR="00246FDD" w:rsidRPr="00B57F20">
        <w:t xml:space="preserve"> </w:t>
      </w:r>
    </w:p>
    <w:p w:rsidR="00246FDD" w:rsidRPr="00F90A91" w:rsidRDefault="00246FDD" w:rsidP="00246FDD">
      <w:pPr>
        <w:pStyle w:val="ListParagraph"/>
        <w:ind w:left="709"/>
        <w:rPr>
          <w:rFonts w:asciiTheme="minorHAnsi" w:hAnsiTheme="minorHAnsi"/>
          <w:i/>
        </w:rPr>
      </w:pPr>
      <w:r w:rsidRPr="00525B39">
        <w:rPr>
          <w:rFonts w:asciiTheme="minorHAnsi" w:hAnsiTheme="minorHAnsi"/>
          <w:i/>
        </w:rPr>
        <w:t>For more detail on PBAC’s view, see section 7 PBAC outcome.</w:t>
      </w:r>
    </w:p>
    <w:p w:rsidR="00B50DB8" w:rsidRPr="00C52597" w:rsidRDefault="00B50DB8" w:rsidP="00FD3E23">
      <w:pPr>
        <w:pStyle w:val="Heading1"/>
        <w:rPr>
          <w:caps/>
        </w:rPr>
      </w:pPr>
      <w:bookmarkStart w:id="3" w:name="_Toc522226925"/>
      <w:r w:rsidRPr="00C52597">
        <w:t>Background</w:t>
      </w:r>
      <w:bookmarkEnd w:id="3"/>
    </w:p>
    <w:p w:rsidR="00B60939" w:rsidRPr="004151CF" w:rsidRDefault="00591957" w:rsidP="00FD3E23">
      <w:pPr>
        <w:pStyle w:val="Heading2"/>
      </w:pPr>
      <w:r w:rsidRPr="004151CF">
        <w:t>Registration status</w:t>
      </w:r>
    </w:p>
    <w:p w:rsidR="0061044C" w:rsidRDefault="00C30E15" w:rsidP="007A132D">
      <w:pPr>
        <w:pStyle w:val="ListParagraph"/>
        <w:numPr>
          <w:ilvl w:val="1"/>
          <w:numId w:val="3"/>
        </w:numPr>
      </w:pPr>
      <w:proofErr w:type="spellStart"/>
      <w:r>
        <w:t>Apalutamide</w:t>
      </w:r>
      <w:proofErr w:type="spellEnd"/>
      <w:r w:rsidR="00B60939" w:rsidRPr="003371B0">
        <w:t xml:space="preserve"> was TGA registered on</w:t>
      </w:r>
      <w:r w:rsidR="001576B1">
        <w:t xml:space="preserve"> </w:t>
      </w:r>
      <w:r>
        <w:t>5 July 2018 for the treatment of patients with non-metastatic, castration-resistant prostate cancer.</w:t>
      </w:r>
      <w:r w:rsidR="0061044C">
        <w:t xml:space="preserve"> The submission indicated that </w:t>
      </w:r>
      <w:proofErr w:type="spellStart"/>
      <w:r w:rsidR="0061044C">
        <w:t>apalutamide</w:t>
      </w:r>
      <w:proofErr w:type="spellEnd"/>
      <w:r w:rsidR="0061044C">
        <w:t xml:space="preserve"> went through a priority review process with the TGA, along with a pilot work sharing initiative with Health Canada.</w:t>
      </w:r>
      <w:r w:rsidR="00B60939" w:rsidRPr="00882085">
        <w:t xml:space="preserve"> </w:t>
      </w:r>
    </w:p>
    <w:p w:rsidR="00B50DB8" w:rsidRPr="00F06C65" w:rsidRDefault="00203181" w:rsidP="00FD3E23">
      <w:pPr>
        <w:pStyle w:val="Heading1"/>
        <w:rPr>
          <w:caps/>
        </w:rPr>
      </w:pPr>
      <w:bookmarkStart w:id="4" w:name="_Toc522226926"/>
      <w:r w:rsidRPr="00F06C65">
        <w:t xml:space="preserve">Population and </w:t>
      </w:r>
      <w:r w:rsidR="008E0D3C" w:rsidRPr="00F06C65">
        <w:t>d</w:t>
      </w:r>
      <w:r w:rsidRPr="00F06C65">
        <w:t>isease</w:t>
      </w:r>
      <w:bookmarkEnd w:id="4"/>
    </w:p>
    <w:p w:rsidR="00894489" w:rsidRPr="00341D14" w:rsidRDefault="00341D14" w:rsidP="00894489">
      <w:pPr>
        <w:pStyle w:val="ListParagraph"/>
        <w:numPr>
          <w:ilvl w:val="1"/>
          <w:numId w:val="3"/>
        </w:numPr>
      </w:pPr>
      <w:r>
        <w:t>Castration-resistant prostate cancer is defined as progressive disease despite castrate levels of testosterone, as defined by the Cancer Council of Australia. The submission stated that patients with biochemical recurrence may receive ADT to reduce levels of testosterone to castrate levels</w:t>
      </w:r>
      <w:r w:rsidR="00D62106">
        <w:t>.</w:t>
      </w:r>
      <w:r>
        <w:t xml:space="preserve"> </w:t>
      </w:r>
      <w:r w:rsidR="00D62106">
        <w:t>P</w:t>
      </w:r>
      <w:r>
        <w:t>atients on ADT will eventually experience treatment failure, and this stage is known as CRPC.</w:t>
      </w:r>
    </w:p>
    <w:p w:rsidR="002C2775" w:rsidRDefault="00341D14" w:rsidP="007A132D">
      <w:pPr>
        <w:pStyle w:val="ListParagraph"/>
        <w:numPr>
          <w:ilvl w:val="1"/>
          <w:numId w:val="3"/>
        </w:numPr>
      </w:pPr>
      <w:r>
        <w:t xml:space="preserve">Non-metastatic castrate resistant prostate cancer (m0CRPC) is a disease stage of prostate cancer where patients have rising levels of prostate-specific antigen (PSA) but no radiographic evidence of distant metastatic disease. </w:t>
      </w:r>
      <w:r w:rsidR="002F5623">
        <w:t>P</w:t>
      </w:r>
      <w:r>
        <w:t>atients with m0CRPC are classified into two groups based on PSA doubling time (PSADT) – patients with PSADT &gt;10 months are at low risk</w:t>
      </w:r>
      <w:r w:rsidR="00602280">
        <w:t xml:space="preserve"> of developing metastatic disease</w:t>
      </w:r>
      <w:r>
        <w:t xml:space="preserve"> while patients with a PSADT ≤10 months are classified as high risk.</w:t>
      </w:r>
    </w:p>
    <w:p w:rsidR="00341D14" w:rsidRDefault="00552344" w:rsidP="007A132D">
      <w:pPr>
        <w:pStyle w:val="ListParagraph"/>
        <w:numPr>
          <w:ilvl w:val="1"/>
          <w:numId w:val="3"/>
        </w:numPr>
      </w:pPr>
      <w:r>
        <w:t xml:space="preserve">The submission </w:t>
      </w:r>
      <w:r w:rsidR="00D62106">
        <w:t xml:space="preserve">stated </w:t>
      </w:r>
      <w:r>
        <w:t>that there are no TGA-approved or PBS-listed therapies for patients with m0CRPC at high risk of distant metastases and there is no effective standard of care. Patients are currently managed with ADT with possible use</w:t>
      </w:r>
      <w:r w:rsidR="00843E46">
        <w:t xml:space="preserve"> of secondary hormonal therapies.</w:t>
      </w:r>
      <w:r w:rsidR="00922373">
        <w:rPr>
          <w:i/>
        </w:rPr>
        <w:t xml:space="preserve">  </w:t>
      </w:r>
    </w:p>
    <w:p w:rsidR="00083100" w:rsidRPr="00A44512" w:rsidRDefault="00843E46" w:rsidP="007A132D">
      <w:pPr>
        <w:pStyle w:val="ListParagraph"/>
        <w:numPr>
          <w:ilvl w:val="1"/>
          <w:numId w:val="3"/>
        </w:numPr>
      </w:pPr>
      <w:proofErr w:type="spellStart"/>
      <w:r>
        <w:t>Apalutamide</w:t>
      </w:r>
      <w:proofErr w:type="spellEnd"/>
      <w:r>
        <w:t xml:space="preserve"> is an orally administered androgen receptor (AR) inhibitor intended for </w:t>
      </w:r>
      <w:r w:rsidRPr="00A44512">
        <w:t>use in patients with m0CRPC who are at high risk of distant metastases.</w:t>
      </w:r>
      <w:r w:rsidR="0025151E" w:rsidRPr="00A44512">
        <w:t xml:space="preserve"> </w:t>
      </w:r>
      <w:r w:rsidR="00922373" w:rsidRPr="00A44512">
        <w:t xml:space="preserve">In addition to </w:t>
      </w:r>
      <w:proofErr w:type="spellStart"/>
      <w:r w:rsidR="00922373" w:rsidRPr="00A44512">
        <w:t>apalutamide</w:t>
      </w:r>
      <w:proofErr w:type="spellEnd"/>
      <w:r w:rsidR="00922373" w:rsidRPr="00A44512">
        <w:t xml:space="preserve">, there are </w:t>
      </w:r>
      <w:r w:rsidR="00922373" w:rsidRPr="00A44512">
        <w:rPr>
          <w:rFonts w:cs="Calibri"/>
        </w:rPr>
        <w:t xml:space="preserve">a number of similar treatments appearing in the same proposed position as </w:t>
      </w:r>
      <w:proofErr w:type="spellStart"/>
      <w:r w:rsidR="00922373" w:rsidRPr="00A44512">
        <w:rPr>
          <w:rFonts w:cs="Calibri"/>
        </w:rPr>
        <w:t>apalutamide</w:t>
      </w:r>
      <w:proofErr w:type="spellEnd"/>
      <w:r w:rsidR="00922373" w:rsidRPr="00A44512">
        <w:rPr>
          <w:rFonts w:cs="Calibri"/>
        </w:rPr>
        <w:t xml:space="preserve"> in the </w:t>
      </w:r>
      <w:r w:rsidR="00B26363">
        <w:rPr>
          <w:rFonts w:cs="Calibri"/>
        </w:rPr>
        <w:t xml:space="preserve">clinical </w:t>
      </w:r>
      <w:r w:rsidR="00922373" w:rsidRPr="00A44512">
        <w:rPr>
          <w:rFonts w:cs="Calibri"/>
        </w:rPr>
        <w:t>management algorithm (</w:t>
      </w:r>
      <w:proofErr w:type="spellStart"/>
      <w:r w:rsidR="00922373" w:rsidRPr="00A44512">
        <w:rPr>
          <w:rFonts w:cs="Calibri"/>
        </w:rPr>
        <w:t>Degener</w:t>
      </w:r>
      <w:proofErr w:type="spellEnd"/>
      <w:r w:rsidR="00922373" w:rsidRPr="00A44512">
        <w:rPr>
          <w:rFonts w:cs="Calibri"/>
        </w:rPr>
        <w:t xml:space="preserve"> </w:t>
      </w:r>
      <w:r w:rsidR="00922373" w:rsidRPr="00A44512">
        <w:rPr>
          <w:rFonts w:cs="Calibri"/>
        </w:rPr>
        <w:lastRenderedPageBreak/>
        <w:t>2017</w:t>
      </w:r>
      <w:r w:rsidR="00922373" w:rsidRPr="00A44512">
        <w:rPr>
          <w:rStyle w:val="FootnoteReference"/>
          <w:rFonts w:cs="Calibri"/>
        </w:rPr>
        <w:footnoteReference w:id="1"/>
      </w:r>
      <w:r w:rsidR="00922373" w:rsidRPr="00A44512">
        <w:rPr>
          <w:rFonts w:cs="Calibri"/>
        </w:rPr>
        <w:t>).  There was the recent publication of the PROSPER trial (Hussain 2018</w:t>
      </w:r>
      <w:r w:rsidR="005E14C1" w:rsidRPr="00A44512">
        <w:rPr>
          <w:rStyle w:val="FootnoteReference"/>
          <w:rFonts w:cs="Calibri"/>
        </w:rPr>
        <w:footnoteReference w:id="2"/>
      </w:r>
      <w:r w:rsidR="00922373" w:rsidRPr="00A44512">
        <w:rPr>
          <w:rFonts w:cs="Calibri"/>
        </w:rPr>
        <w:t xml:space="preserve">) which compared enzalutamide plus background ADT with placebo in men with m0CRPC at high risk of distant metastases and trials of </w:t>
      </w:r>
      <w:proofErr w:type="spellStart"/>
      <w:r w:rsidR="00922373" w:rsidRPr="00A44512">
        <w:rPr>
          <w:rFonts w:cs="Calibri"/>
        </w:rPr>
        <w:t>darolutamide</w:t>
      </w:r>
      <w:proofErr w:type="spellEnd"/>
      <w:r w:rsidR="00922373" w:rsidRPr="00A44512">
        <w:rPr>
          <w:rFonts w:cs="Calibri"/>
        </w:rPr>
        <w:t xml:space="preserve"> (data due in September 2018</w:t>
      </w:r>
      <w:r w:rsidR="00F97698" w:rsidRPr="00A44512">
        <w:rPr>
          <w:rStyle w:val="FootnoteReference"/>
          <w:rFonts w:cs="Calibri"/>
        </w:rPr>
        <w:footnoteReference w:id="3"/>
      </w:r>
      <w:r w:rsidR="00922373" w:rsidRPr="00A44512">
        <w:rPr>
          <w:rFonts w:cs="Calibri"/>
        </w:rPr>
        <w:t>) and enzalutamide with leuprolide (data due in March 2021</w:t>
      </w:r>
      <w:r w:rsidR="00922373" w:rsidRPr="00A44512">
        <w:rPr>
          <w:rStyle w:val="FootnoteReference"/>
          <w:rFonts w:cs="Calibri"/>
        </w:rPr>
        <w:footnoteReference w:id="4"/>
      </w:r>
      <w:r w:rsidR="00922373" w:rsidRPr="00A44512">
        <w:rPr>
          <w:rFonts w:cs="Calibri"/>
        </w:rPr>
        <w:t>) are also forthcoming.</w:t>
      </w:r>
      <w:r w:rsidR="0025151E" w:rsidRPr="00A44512">
        <w:t xml:space="preserve"> </w:t>
      </w:r>
    </w:p>
    <w:p w:rsidR="00231F3E" w:rsidRPr="00A44512" w:rsidRDefault="00561FD1" w:rsidP="005A75CC">
      <w:pPr>
        <w:pStyle w:val="ListParagraph"/>
        <w:numPr>
          <w:ilvl w:val="1"/>
          <w:numId w:val="3"/>
        </w:numPr>
      </w:pPr>
      <w:r w:rsidRPr="00A44512">
        <w:t xml:space="preserve">In addition to agents such as </w:t>
      </w:r>
      <w:proofErr w:type="spellStart"/>
      <w:r w:rsidRPr="00A44512">
        <w:t>apalutamide</w:t>
      </w:r>
      <w:proofErr w:type="spellEnd"/>
      <w:r w:rsidRPr="00A44512">
        <w:t xml:space="preserve"> and enzalutamide, it appears </w:t>
      </w:r>
      <w:r w:rsidRPr="00A44512">
        <w:rPr>
          <w:rFonts w:cs="Calibri"/>
          <w:iCs/>
        </w:rPr>
        <w:t xml:space="preserve">that the clinical management algorithm is rapidly changing for prostate cancer, with </w:t>
      </w:r>
      <w:r w:rsidR="00F41AA4" w:rsidRPr="00A44512">
        <w:rPr>
          <w:rFonts w:cs="Calibri"/>
          <w:iCs/>
        </w:rPr>
        <w:t xml:space="preserve">a </w:t>
      </w:r>
      <w:r w:rsidRPr="00A44512">
        <w:rPr>
          <w:rFonts w:cs="Calibri"/>
          <w:iCs/>
        </w:rPr>
        <w:t xml:space="preserve">trend towards active treatments earlier in the disease. </w:t>
      </w:r>
      <w:r w:rsidR="00017A76" w:rsidRPr="00A44512">
        <w:rPr>
          <w:rFonts w:cs="Calibri"/>
          <w:iCs/>
        </w:rPr>
        <w:t>T</w:t>
      </w:r>
      <w:r w:rsidRPr="00A44512">
        <w:rPr>
          <w:rFonts w:cs="Calibri"/>
          <w:iCs/>
        </w:rPr>
        <w:t>here are a number of trials that have placed docetaxel earlier in the clinical management algorithm for</w:t>
      </w:r>
      <w:r w:rsidR="007C02C1" w:rsidRPr="00A44512">
        <w:rPr>
          <w:rFonts w:cs="Calibri"/>
          <w:iCs/>
        </w:rPr>
        <w:t xml:space="preserve"> newly diagnosed hormone sensitive</w:t>
      </w:r>
      <w:r w:rsidR="00CF473A" w:rsidRPr="00A44512">
        <w:rPr>
          <w:rFonts w:cs="Calibri"/>
          <w:iCs/>
        </w:rPr>
        <w:t xml:space="preserve"> </w:t>
      </w:r>
      <w:r w:rsidR="006E3EDB" w:rsidRPr="00A44512">
        <w:rPr>
          <w:rFonts w:cs="Calibri"/>
          <w:iCs/>
        </w:rPr>
        <w:t xml:space="preserve">metastatic </w:t>
      </w:r>
      <w:r w:rsidR="005A75CC" w:rsidRPr="00A44512">
        <w:rPr>
          <w:rFonts w:cs="Calibri"/>
          <w:iCs/>
        </w:rPr>
        <w:t xml:space="preserve">prostate cancer </w:t>
      </w:r>
      <w:r w:rsidR="002876A5" w:rsidRPr="00A44512">
        <w:rPr>
          <w:rFonts w:cs="Calibri"/>
          <w:iCs/>
        </w:rPr>
        <w:t>indicating statistically significant gain in OS of roughly 10 months (CHAARTED</w:t>
      </w:r>
      <w:r w:rsidR="00F97698" w:rsidRPr="00A44512">
        <w:rPr>
          <w:rStyle w:val="FootnoteReference"/>
          <w:rFonts w:cs="Calibri"/>
          <w:iCs/>
        </w:rPr>
        <w:footnoteReference w:id="5"/>
      </w:r>
      <w:r w:rsidR="009D5C6F">
        <w:rPr>
          <w:rFonts w:cs="Calibri"/>
          <w:iCs/>
        </w:rPr>
        <w:t>,</w:t>
      </w:r>
      <w:r w:rsidR="002876A5" w:rsidRPr="00A44512">
        <w:rPr>
          <w:rFonts w:cs="Calibri"/>
          <w:iCs/>
        </w:rPr>
        <w:t xml:space="preserve"> STAMPEDE</w:t>
      </w:r>
      <w:r w:rsidR="002876A5" w:rsidRPr="00A44512">
        <w:rPr>
          <w:rStyle w:val="FootnoteReference"/>
          <w:rFonts w:cs="Calibri"/>
          <w:iCs/>
        </w:rPr>
        <w:footnoteReference w:id="6"/>
      </w:r>
      <w:r w:rsidR="002876A5" w:rsidRPr="00A44512">
        <w:rPr>
          <w:rFonts w:cs="Calibri"/>
          <w:iCs/>
        </w:rPr>
        <w:t>).</w:t>
      </w:r>
      <w:r w:rsidR="00CF473A" w:rsidRPr="00A44512">
        <w:rPr>
          <w:rFonts w:cs="Calibri"/>
          <w:iCs/>
        </w:rPr>
        <w:t xml:space="preserve"> </w:t>
      </w:r>
      <w:r w:rsidR="00E80D35" w:rsidRPr="00A44512">
        <w:rPr>
          <w:rFonts w:cs="Calibri"/>
          <w:iCs/>
        </w:rPr>
        <w:t xml:space="preserve"> </w:t>
      </w:r>
      <w:r w:rsidR="00CF473A" w:rsidRPr="00A44512">
        <w:rPr>
          <w:rFonts w:cs="Calibri"/>
          <w:iCs/>
        </w:rPr>
        <w:t>O</w:t>
      </w:r>
      <w:r w:rsidR="007C02C1" w:rsidRPr="00A44512">
        <w:rPr>
          <w:rFonts w:cs="Calibri"/>
          <w:iCs/>
        </w:rPr>
        <w:t xml:space="preserve">ne trial </w:t>
      </w:r>
      <w:r w:rsidR="00CF473A" w:rsidRPr="00A44512">
        <w:rPr>
          <w:rFonts w:cs="Calibri"/>
          <w:iCs/>
        </w:rPr>
        <w:t xml:space="preserve">in particular had also enrolled </w:t>
      </w:r>
      <w:r w:rsidRPr="00A44512">
        <w:rPr>
          <w:rFonts w:cs="Calibri"/>
          <w:iCs/>
        </w:rPr>
        <w:t>patients with locally advanced castration sensitive prostate cancer</w:t>
      </w:r>
      <w:r w:rsidR="00C17912" w:rsidRPr="00A44512">
        <w:rPr>
          <w:rFonts w:cs="Calibri"/>
          <w:iCs/>
        </w:rPr>
        <w:t xml:space="preserve"> and found consistently significant survival gains for patient</w:t>
      </w:r>
      <w:r w:rsidR="00E80D35" w:rsidRPr="00A44512">
        <w:rPr>
          <w:rFonts w:cs="Calibri"/>
          <w:iCs/>
        </w:rPr>
        <w:t>s with non-metastatic disease (</w:t>
      </w:r>
      <w:r w:rsidRPr="00A44512">
        <w:rPr>
          <w:rFonts w:cs="Calibri"/>
          <w:iCs/>
        </w:rPr>
        <w:t>STAMPEDE).</w:t>
      </w:r>
    </w:p>
    <w:p w:rsidR="00561FD1" w:rsidRPr="00A44512" w:rsidRDefault="00083100" w:rsidP="007A132D">
      <w:pPr>
        <w:pStyle w:val="ListParagraph"/>
        <w:numPr>
          <w:ilvl w:val="1"/>
          <w:numId w:val="3"/>
        </w:numPr>
      </w:pPr>
      <w:r>
        <w:t>The</w:t>
      </w:r>
      <w:r w:rsidR="003150BF">
        <w:t xml:space="preserve"> submission stated </w:t>
      </w:r>
      <w:r w:rsidR="00D96D14">
        <w:t>that the</w:t>
      </w:r>
      <w:r>
        <w:t xml:space="preserve"> positioning of </w:t>
      </w:r>
      <w:proofErr w:type="spellStart"/>
      <w:r>
        <w:t>apalutamide</w:t>
      </w:r>
      <w:proofErr w:type="spellEnd"/>
      <w:r>
        <w:t xml:space="preserve"> for treatment of patients at high risk of distant metastases with m0CRPC will shorten the </w:t>
      </w:r>
      <w:r w:rsidR="003150BF" w:rsidRPr="00B750B8">
        <w:rPr>
          <w:rFonts w:cs="Calibri"/>
        </w:rPr>
        <w:t xml:space="preserve">gap in the current clinical management algorithm where patients currently must experience significant deterioration of their disease </w:t>
      </w:r>
      <w:r w:rsidR="00D62106">
        <w:rPr>
          <w:rFonts w:cs="Calibri"/>
        </w:rPr>
        <w:t>for them to be</w:t>
      </w:r>
      <w:r w:rsidR="003150BF" w:rsidRPr="00B750B8">
        <w:rPr>
          <w:rFonts w:cs="Calibri"/>
        </w:rPr>
        <w:t xml:space="preserve"> eligible and clinically indicated </w:t>
      </w:r>
      <w:r w:rsidR="003150BF" w:rsidRPr="00A44512">
        <w:rPr>
          <w:rFonts w:cs="Calibri"/>
        </w:rPr>
        <w:t xml:space="preserve">for docetaxel, in symptomatic or high volume </w:t>
      </w:r>
      <w:proofErr w:type="spellStart"/>
      <w:r w:rsidR="003150BF" w:rsidRPr="00A44512">
        <w:rPr>
          <w:rFonts w:cs="Calibri"/>
        </w:rPr>
        <w:t>mCRPC</w:t>
      </w:r>
      <w:proofErr w:type="spellEnd"/>
      <w:r w:rsidR="003150BF" w:rsidRPr="00A44512">
        <w:rPr>
          <w:rFonts w:cs="Calibri"/>
        </w:rPr>
        <w:t>.</w:t>
      </w:r>
      <w:r w:rsidR="00D96D14" w:rsidRPr="00A44512">
        <w:rPr>
          <w:rFonts w:cs="Calibri"/>
        </w:rPr>
        <w:t xml:space="preserve"> While the gap in the treatment algorithm may be shortened, there will still be a gap for patients </w:t>
      </w:r>
      <w:r w:rsidR="009D7975" w:rsidRPr="00A44512">
        <w:rPr>
          <w:rFonts w:cs="Calibri"/>
        </w:rPr>
        <w:t xml:space="preserve">between radiographic disease progression to </w:t>
      </w:r>
      <w:proofErr w:type="spellStart"/>
      <w:r w:rsidR="00D96D14" w:rsidRPr="00A44512">
        <w:rPr>
          <w:rFonts w:cs="Calibri"/>
        </w:rPr>
        <w:t>mCRPC</w:t>
      </w:r>
      <w:proofErr w:type="spellEnd"/>
      <w:r w:rsidR="009D7975" w:rsidRPr="00A44512">
        <w:rPr>
          <w:rFonts w:cs="Calibri"/>
        </w:rPr>
        <w:t xml:space="preserve"> and development of symptomatic or high volume </w:t>
      </w:r>
      <w:proofErr w:type="spellStart"/>
      <w:r w:rsidR="009D7975" w:rsidRPr="00A44512">
        <w:rPr>
          <w:rFonts w:cs="Calibri"/>
        </w:rPr>
        <w:t>mCRPC</w:t>
      </w:r>
      <w:proofErr w:type="spellEnd"/>
      <w:r w:rsidR="00D96D14" w:rsidRPr="00A44512">
        <w:rPr>
          <w:rFonts w:cs="Calibri"/>
        </w:rPr>
        <w:t>.</w:t>
      </w:r>
      <w:r w:rsidR="003150BF" w:rsidRPr="00A44512">
        <w:rPr>
          <w:rFonts w:cs="Calibri"/>
        </w:rPr>
        <w:t xml:space="preserve">  </w:t>
      </w:r>
    </w:p>
    <w:p w:rsidR="00246FDD" w:rsidRDefault="00561FD1" w:rsidP="00C54C42">
      <w:pPr>
        <w:pStyle w:val="ListParagraph"/>
        <w:numPr>
          <w:ilvl w:val="1"/>
          <w:numId w:val="3"/>
        </w:numPr>
      </w:pPr>
      <w:r w:rsidRPr="00816303">
        <w:t>A recent phase IV trial in 251 patients who had previously responded to enzalutamide and then progressed (</w:t>
      </w:r>
      <w:proofErr w:type="spellStart"/>
      <w:r w:rsidRPr="00816303">
        <w:t>Attard</w:t>
      </w:r>
      <w:proofErr w:type="spellEnd"/>
      <w:r w:rsidRPr="00816303">
        <w:t xml:space="preserve"> 2017</w:t>
      </w:r>
      <w:r w:rsidRPr="009D5C6F">
        <w:rPr>
          <w:vertAlign w:val="superscript"/>
        </w:rPr>
        <w:footnoteReference w:id="7"/>
      </w:r>
      <w:r w:rsidRPr="00816303">
        <w:t>) indicate</w:t>
      </w:r>
      <w:r w:rsidR="00A44667" w:rsidRPr="00816303">
        <w:t>d</w:t>
      </w:r>
      <w:r w:rsidRPr="00816303">
        <w:t xml:space="preserve"> </w:t>
      </w:r>
      <w:proofErr w:type="spellStart"/>
      <w:r w:rsidRPr="00816303">
        <w:t>abiraterone</w:t>
      </w:r>
      <w:proofErr w:type="spellEnd"/>
      <w:r w:rsidRPr="00816303">
        <w:t xml:space="preserve"> has only minimal activity in patients who progressed after treatment with enzalutamide. </w:t>
      </w:r>
      <w:r w:rsidR="00A44667" w:rsidRPr="00816303">
        <w:t xml:space="preserve">The PBS </w:t>
      </w:r>
      <w:r w:rsidR="00716758" w:rsidRPr="00816303">
        <w:t xml:space="preserve">clinical criteria for </w:t>
      </w:r>
      <w:proofErr w:type="spellStart"/>
      <w:r w:rsidR="00716758" w:rsidRPr="00816303">
        <w:t>abiraterone</w:t>
      </w:r>
      <w:proofErr w:type="spellEnd"/>
      <w:r w:rsidR="00716758" w:rsidRPr="00816303">
        <w:t xml:space="preserve"> exclude</w:t>
      </w:r>
      <w:r w:rsidR="00A44667" w:rsidRPr="00816303">
        <w:t xml:space="preserve"> use in patients who have received prior treatment with enzalutamide</w:t>
      </w:r>
      <w:r w:rsidR="00F926B6" w:rsidRPr="00816303">
        <w:t>, except where patients are intolerant to enzalutamide</w:t>
      </w:r>
      <w:r w:rsidR="00A44667" w:rsidRPr="00816303">
        <w:t xml:space="preserve">. </w:t>
      </w:r>
      <w:r w:rsidRPr="00816303">
        <w:t xml:space="preserve">Given the similar </w:t>
      </w:r>
      <w:r w:rsidRPr="00816303">
        <w:lastRenderedPageBreak/>
        <w:t xml:space="preserve">mechanism of action of enzalutamide and </w:t>
      </w:r>
      <w:proofErr w:type="spellStart"/>
      <w:r w:rsidRPr="00816303">
        <w:t>apalutamide</w:t>
      </w:r>
      <w:proofErr w:type="spellEnd"/>
      <w:r w:rsidRPr="00816303">
        <w:t xml:space="preserve">, similar cross-resistance may also be a relevant consideration for </w:t>
      </w:r>
      <w:proofErr w:type="spellStart"/>
      <w:r w:rsidRPr="00816303">
        <w:t>abiraterone</w:t>
      </w:r>
      <w:proofErr w:type="spellEnd"/>
      <w:r w:rsidRPr="00816303">
        <w:t xml:space="preserve"> or enzalutamide therapy following </w:t>
      </w:r>
      <w:proofErr w:type="spellStart"/>
      <w:r w:rsidRPr="00816303">
        <w:t>apalutamide</w:t>
      </w:r>
      <w:proofErr w:type="spellEnd"/>
      <w:r w:rsidR="00142A4C" w:rsidRPr="00C54C42">
        <w:rPr>
          <w:vertAlign w:val="superscript"/>
        </w:rPr>
        <w:footnoteReference w:id="8"/>
      </w:r>
      <w:r w:rsidRPr="00816303">
        <w:t>. This was particularly relevant for the economic model, see ‘Economic evaluation’ below</w:t>
      </w:r>
      <w:r w:rsidRPr="00FA55BD">
        <w:t xml:space="preserve">. </w:t>
      </w:r>
      <w:r w:rsidR="00584311" w:rsidRPr="00FA55BD">
        <w:t>The PSCR</w:t>
      </w:r>
      <w:r w:rsidR="00DD4BCD" w:rsidRPr="00FA55BD">
        <w:t xml:space="preserve"> </w:t>
      </w:r>
      <w:r w:rsidR="00596F17" w:rsidRPr="00FA55BD">
        <w:t xml:space="preserve">acknowledged that there is potential for cross-resistance between </w:t>
      </w:r>
      <w:proofErr w:type="spellStart"/>
      <w:r w:rsidR="00596F17" w:rsidRPr="00FA55BD">
        <w:t>apalutamide</w:t>
      </w:r>
      <w:proofErr w:type="spellEnd"/>
      <w:r w:rsidR="00596F17" w:rsidRPr="00FA55BD">
        <w:t xml:space="preserve">, </w:t>
      </w:r>
      <w:proofErr w:type="spellStart"/>
      <w:r w:rsidR="00596F17" w:rsidRPr="00FA55BD">
        <w:t>abiraterone</w:t>
      </w:r>
      <w:proofErr w:type="spellEnd"/>
      <w:r w:rsidR="00596F17" w:rsidRPr="00FA55BD">
        <w:t xml:space="preserve"> and enzalutamide but argued that the available evidence for cross-resistance between </w:t>
      </w:r>
      <w:proofErr w:type="spellStart"/>
      <w:r w:rsidR="00596F17" w:rsidRPr="00FA55BD">
        <w:t>abiraterone</w:t>
      </w:r>
      <w:proofErr w:type="spellEnd"/>
      <w:r w:rsidR="00596F17" w:rsidRPr="00FA55BD">
        <w:t xml:space="preserve"> and enzalutamide is of low quality. The PSCR also noted that in SPARTAN, the risk of progression on the first subsequent therapy, which was </w:t>
      </w:r>
      <w:proofErr w:type="spellStart"/>
      <w:r w:rsidR="00596F17" w:rsidRPr="00FA55BD">
        <w:t>abiraterone</w:t>
      </w:r>
      <w:proofErr w:type="spellEnd"/>
      <w:r w:rsidR="00596F17" w:rsidRPr="00FA55BD">
        <w:t xml:space="preserve"> in </w:t>
      </w:r>
      <w:r w:rsidR="00596F17" w:rsidRPr="00AC7E4F">
        <w:t>72</w:t>
      </w:r>
      <w:r w:rsidR="00596F17" w:rsidRPr="00FA55BD">
        <w:t xml:space="preserve">% of patients, was halved with </w:t>
      </w:r>
      <w:proofErr w:type="spellStart"/>
      <w:r w:rsidR="00596F17" w:rsidRPr="00FA55BD">
        <w:t>apalutamide</w:t>
      </w:r>
      <w:proofErr w:type="spellEnd"/>
      <w:r w:rsidR="00596F17" w:rsidRPr="00FA55BD">
        <w:t xml:space="preserve"> vs placebo (HR = 0.49 [95% CI 0.36, 0.66]). </w:t>
      </w:r>
      <w:r w:rsidR="00584311" w:rsidRPr="00FA55BD">
        <w:t xml:space="preserve">The ESC </w:t>
      </w:r>
      <w:r w:rsidR="006B39CC" w:rsidRPr="00FA55BD">
        <w:t>agreed with the evaluation that this issue is of high pertinence to the management algorithm and</w:t>
      </w:r>
      <w:r w:rsidR="00D62106" w:rsidRPr="00FA55BD">
        <w:t xml:space="preserve"> to</w:t>
      </w:r>
      <w:r w:rsidR="006B39CC" w:rsidRPr="00FA55BD">
        <w:t xml:space="preserve"> determining </w:t>
      </w:r>
      <w:r w:rsidR="00D62106" w:rsidRPr="00FA55BD">
        <w:t xml:space="preserve">the </w:t>
      </w:r>
      <w:r w:rsidR="006B39CC" w:rsidRPr="00FA55BD">
        <w:t>correct place and appropriate sequencing of these second generation androgen receptor inhibitors. The ESC n</w:t>
      </w:r>
      <w:r w:rsidR="00307FB9" w:rsidRPr="00FA55BD">
        <w:t>oted</w:t>
      </w:r>
      <w:r w:rsidR="006B39CC" w:rsidRPr="00FA55BD">
        <w:t xml:space="preserve"> that clinical guidelines also question </w:t>
      </w:r>
      <w:r w:rsidR="003F618D" w:rsidRPr="00FA55BD">
        <w:t>whether</w:t>
      </w:r>
      <w:r w:rsidR="006B39CC" w:rsidRPr="00FA55BD">
        <w:t xml:space="preserve"> sequential use is appropriate</w:t>
      </w:r>
      <w:r w:rsidR="00307FB9" w:rsidRPr="00FA55BD">
        <w:t>, given the immaturity of the data. The ESC considered that</w:t>
      </w:r>
      <w:r w:rsidR="006B39CC" w:rsidRPr="00FA55BD">
        <w:t xml:space="preserve"> </w:t>
      </w:r>
      <w:r w:rsidR="00307FB9" w:rsidRPr="00FA55BD">
        <w:t xml:space="preserve">it is unlikely </w:t>
      </w:r>
      <w:r w:rsidR="006B39CC" w:rsidRPr="00FA55BD">
        <w:t xml:space="preserve">that enzalutamide would demonstrate efficacy following progression on </w:t>
      </w:r>
      <w:proofErr w:type="spellStart"/>
      <w:r w:rsidR="006B39CC" w:rsidRPr="00FA55BD">
        <w:t>apalutamide</w:t>
      </w:r>
      <w:proofErr w:type="spellEnd"/>
      <w:r w:rsidR="00307FB9" w:rsidRPr="00FA55BD">
        <w:t xml:space="preserve"> given their pharmacological similarity. </w:t>
      </w:r>
      <w:r w:rsidR="00816303" w:rsidRPr="00FA55BD">
        <w:t>The ESC considered that there</w:t>
      </w:r>
      <w:r w:rsidR="00307FB9" w:rsidRPr="00FA55BD">
        <w:t xml:space="preserve"> </w:t>
      </w:r>
      <w:r w:rsidR="00785126" w:rsidRPr="00FA55BD">
        <w:t>remains</w:t>
      </w:r>
      <w:r w:rsidR="00307FB9" w:rsidRPr="00FA55BD">
        <w:t xml:space="preserve"> uncertainty </w:t>
      </w:r>
      <w:r w:rsidR="00785126" w:rsidRPr="00FA55BD">
        <w:t xml:space="preserve">regarding the clinical benefit of </w:t>
      </w:r>
      <w:r w:rsidR="00307FB9" w:rsidRPr="00FA55BD">
        <w:t xml:space="preserve">sequential use of </w:t>
      </w:r>
      <w:proofErr w:type="spellStart"/>
      <w:r w:rsidR="00307FB9" w:rsidRPr="00FA55BD">
        <w:t>abiraterone</w:t>
      </w:r>
      <w:proofErr w:type="spellEnd"/>
      <w:r w:rsidR="00307FB9" w:rsidRPr="00FA55BD">
        <w:t xml:space="preserve">. </w:t>
      </w:r>
      <w:r w:rsidR="00816303" w:rsidRPr="00FA55BD">
        <w:t xml:space="preserve">The </w:t>
      </w:r>
      <w:r w:rsidR="00307FB9" w:rsidRPr="00FA55BD">
        <w:t xml:space="preserve">ESC noted that allowing sequential therapy would have significant impact on the net financial cost and would also potentially impact on the cost-effectiveness of </w:t>
      </w:r>
      <w:proofErr w:type="spellStart"/>
      <w:r w:rsidR="00307FB9" w:rsidRPr="00FA55BD">
        <w:t>abiraterone</w:t>
      </w:r>
      <w:proofErr w:type="spellEnd"/>
      <w:r w:rsidR="00307FB9" w:rsidRPr="00FA55BD">
        <w:t xml:space="preserve"> and enzalutamide. </w:t>
      </w:r>
      <w:r w:rsidR="00816303" w:rsidRPr="00FA55BD">
        <w:t xml:space="preserve">The </w:t>
      </w:r>
      <w:r w:rsidR="00307FB9" w:rsidRPr="00FA55BD">
        <w:t xml:space="preserve">ESC recommended that until further data become available confirming the benefit of sequential therapy, flow on restrictions to both </w:t>
      </w:r>
      <w:proofErr w:type="spellStart"/>
      <w:r w:rsidR="00307FB9" w:rsidRPr="00FA55BD">
        <w:t>abiraterone</w:t>
      </w:r>
      <w:proofErr w:type="spellEnd"/>
      <w:r w:rsidR="00307FB9" w:rsidRPr="00FA55BD">
        <w:t xml:space="preserve"> and enzalutamide to prevent sequential therapy should apply. </w:t>
      </w:r>
      <w:r w:rsidR="006B39CC" w:rsidRPr="00FA55BD">
        <w:t xml:space="preserve"> </w:t>
      </w:r>
    </w:p>
    <w:p w:rsidR="00246FDD" w:rsidRPr="00F90A91" w:rsidRDefault="00246FDD" w:rsidP="00246FDD">
      <w:pPr>
        <w:pStyle w:val="ListParagraph"/>
        <w:ind w:left="709"/>
        <w:rPr>
          <w:rFonts w:asciiTheme="minorHAnsi" w:hAnsiTheme="minorHAnsi"/>
          <w:i/>
        </w:rPr>
      </w:pPr>
      <w:r w:rsidRPr="00525B39">
        <w:rPr>
          <w:rFonts w:asciiTheme="minorHAnsi" w:hAnsiTheme="minorHAnsi"/>
          <w:i/>
        </w:rPr>
        <w:t>For more detail on PBAC’s view, see section 7 PBAC outcome.</w:t>
      </w:r>
    </w:p>
    <w:p w:rsidR="00B50DB8" w:rsidRPr="00F06C65" w:rsidRDefault="00B50DB8" w:rsidP="00FD3E23">
      <w:pPr>
        <w:pStyle w:val="Heading1"/>
        <w:rPr>
          <w:caps/>
        </w:rPr>
      </w:pPr>
      <w:bookmarkStart w:id="5" w:name="_Toc522226927"/>
      <w:r w:rsidRPr="00F06C65">
        <w:t>Comparator</w:t>
      </w:r>
      <w:bookmarkEnd w:id="5"/>
    </w:p>
    <w:p w:rsidR="002C2775" w:rsidRDefault="00341D14" w:rsidP="007A132D">
      <w:pPr>
        <w:pStyle w:val="ListParagraph"/>
        <w:numPr>
          <w:ilvl w:val="1"/>
          <w:numId w:val="3"/>
        </w:numPr>
      </w:pPr>
      <w:r>
        <w:t>The submission nominated ‘watchful waiting’ as the main comparator.  ‘Watchful waiting’ was defined as ongoing ADT with or without the addition of secondary hormonal therapies.</w:t>
      </w:r>
    </w:p>
    <w:p w:rsidR="00246FDD" w:rsidRDefault="008A47AC" w:rsidP="00396594">
      <w:pPr>
        <w:pStyle w:val="ListParagraph"/>
        <w:numPr>
          <w:ilvl w:val="1"/>
          <w:numId w:val="3"/>
        </w:numPr>
      </w:pPr>
      <w:r w:rsidRPr="00FA55BD">
        <w:t>The recently published trial of enzalutamide for use in patients with m0CRPC at high risk of distant metastases (PROSPER; Hussain 2018</w:t>
      </w:r>
      <w:r w:rsidR="00B439DC" w:rsidRPr="00006CA7">
        <w:rPr>
          <w:vertAlign w:val="superscript"/>
        </w:rPr>
        <w:footnoteReference w:id="9"/>
      </w:r>
      <w:r w:rsidRPr="00FA55BD">
        <w:t>) and forthcoming trials of other agents indicated that treatments are rapidly emerging in this space</w:t>
      </w:r>
      <w:r w:rsidR="00C03105" w:rsidRPr="00FA55BD">
        <w:t xml:space="preserve">.  Enzalutamide in particular attained similar </w:t>
      </w:r>
      <w:r w:rsidR="00145C16" w:rsidRPr="00FA55BD">
        <w:t xml:space="preserve">risk reduction for </w:t>
      </w:r>
      <w:r w:rsidR="00C03105" w:rsidRPr="00FA55BD">
        <w:t xml:space="preserve">MFS </w:t>
      </w:r>
      <w:r w:rsidR="00145C16" w:rsidRPr="00FA55BD">
        <w:t xml:space="preserve">versus placebo </w:t>
      </w:r>
      <w:r w:rsidR="00133B9B" w:rsidRPr="00FA55BD">
        <w:t>(</w:t>
      </w:r>
      <w:r w:rsidR="00133B9B" w:rsidRPr="00396594">
        <w:t>HR=0.29; 95% C</w:t>
      </w:r>
      <w:r w:rsidR="005672BA" w:rsidRPr="00396594">
        <w:t>I</w:t>
      </w:r>
      <w:r w:rsidR="00A35939" w:rsidRPr="00396594">
        <w:t>:</w:t>
      </w:r>
      <w:r w:rsidR="00133B9B" w:rsidRPr="00396594">
        <w:t xml:space="preserve"> 0.24 to 0.35) in the PROSPER trial </w:t>
      </w:r>
      <w:r w:rsidR="00133B9B" w:rsidRPr="00FA55BD">
        <w:t xml:space="preserve">compared to </w:t>
      </w:r>
      <w:proofErr w:type="spellStart"/>
      <w:r w:rsidR="00133B9B" w:rsidRPr="00FA55BD">
        <w:t>apalutamide</w:t>
      </w:r>
      <w:proofErr w:type="spellEnd"/>
      <w:r w:rsidR="00133B9B" w:rsidRPr="00FA55BD">
        <w:t xml:space="preserve"> versus placebo in SPARTAN</w:t>
      </w:r>
      <w:r w:rsidR="005672BA" w:rsidRPr="00FA55BD">
        <w:t xml:space="preserve"> (HR=0.297; 95% CI: 0.244 to 0.362)</w:t>
      </w:r>
      <w:r w:rsidR="00713BE7" w:rsidRPr="00FA55BD">
        <w:t>.</w:t>
      </w:r>
      <w:r w:rsidR="001324F4" w:rsidRPr="00FA55BD">
        <w:t xml:space="preserve"> The ESC agreed with the </w:t>
      </w:r>
      <w:r w:rsidR="00DD4BCD" w:rsidRPr="00FA55BD">
        <w:t>submission</w:t>
      </w:r>
      <w:r w:rsidR="001324F4" w:rsidRPr="00FA55BD">
        <w:t xml:space="preserve"> that watchful waiting is the appropriate comparator based on the current management algorithm of m0CRPC patients in Australia. ESC also noted that enzalutamide is likely to enter the same market space as </w:t>
      </w:r>
      <w:proofErr w:type="spellStart"/>
      <w:r w:rsidR="001324F4" w:rsidRPr="00FA55BD">
        <w:t>apalutam</w:t>
      </w:r>
      <w:r w:rsidR="00555451" w:rsidRPr="00FA55BD">
        <w:t>ide</w:t>
      </w:r>
      <w:proofErr w:type="spellEnd"/>
      <w:r w:rsidR="00555451" w:rsidRPr="00FA55BD">
        <w:t xml:space="preserve">, based on the PROSPER study and </w:t>
      </w:r>
      <w:r w:rsidR="00555451" w:rsidRPr="00FA55BD">
        <w:lastRenderedPageBreak/>
        <w:t xml:space="preserve">there appears to be a range of new agents that might become relevant comparators (such as enzalutamide +/- leuprolide, </w:t>
      </w:r>
      <w:r w:rsidR="00DD4BCD" w:rsidRPr="00FA55BD">
        <w:t xml:space="preserve">and </w:t>
      </w:r>
      <w:proofErr w:type="spellStart"/>
      <w:r w:rsidR="00555451" w:rsidRPr="00FA55BD">
        <w:t>darolutamide</w:t>
      </w:r>
      <w:proofErr w:type="spellEnd"/>
      <w:r w:rsidR="00555451" w:rsidRPr="00FA55BD">
        <w:t>).</w:t>
      </w:r>
    </w:p>
    <w:p w:rsidR="003F4088" w:rsidRPr="00246FDD" w:rsidRDefault="00246FDD" w:rsidP="00246FDD">
      <w:pPr>
        <w:pStyle w:val="ListParagraph"/>
        <w:ind w:left="709"/>
        <w:rPr>
          <w:rFonts w:asciiTheme="minorHAnsi" w:hAnsiTheme="minorHAnsi"/>
          <w:i/>
        </w:rPr>
      </w:pPr>
      <w:r w:rsidRPr="00246FDD">
        <w:rPr>
          <w:rFonts w:asciiTheme="minorHAnsi" w:hAnsiTheme="minorHAnsi"/>
          <w:i/>
        </w:rPr>
        <w:t xml:space="preserve"> </w:t>
      </w:r>
      <w:r w:rsidRPr="00525B39">
        <w:rPr>
          <w:rFonts w:asciiTheme="minorHAnsi" w:hAnsiTheme="minorHAnsi"/>
          <w:i/>
        </w:rPr>
        <w:t>For more detail on PBAC’s view, see section 7 PBAC outcome.</w:t>
      </w:r>
    </w:p>
    <w:p w:rsidR="00B50DB8" w:rsidRPr="00FD3E23" w:rsidRDefault="00BD6CF3" w:rsidP="00FD3E23">
      <w:pPr>
        <w:pStyle w:val="Heading1"/>
      </w:pPr>
      <w:bookmarkStart w:id="6" w:name="_Toc522226928"/>
      <w:r w:rsidRPr="00FD3E23">
        <w:t>C</w:t>
      </w:r>
      <w:r w:rsidR="00B50DB8" w:rsidRPr="00FD3E23">
        <w:t>onsideration of the evidence</w:t>
      </w:r>
      <w:bookmarkEnd w:id="6"/>
    </w:p>
    <w:p w:rsidR="00246FDD" w:rsidRPr="00525B39" w:rsidRDefault="00246FDD" w:rsidP="00FD3E23">
      <w:pPr>
        <w:pStyle w:val="Heading2"/>
      </w:pPr>
      <w:bookmarkStart w:id="7" w:name="_Toc522226929"/>
      <w:r w:rsidRPr="00525B39">
        <w:t>Sponsor hearing</w:t>
      </w:r>
    </w:p>
    <w:p w:rsidR="00246FDD" w:rsidRPr="00525B39" w:rsidRDefault="00246FDD" w:rsidP="00246FDD">
      <w:pPr>
        <w:widowControl w:val="0"/>
        <w:numPr>
          <w:ilvl w:val="1"/>
          <w:numId w:val="3"/>
        </w:numPr>
        <w:spacing w:after="120"/>
        <w:rPr>
          <w:rFonts w:asciiTheme="minorHAnsi" w:hAnsiTheme="minorHAnsi" w:cs="Arial"/>
          <w:bCs/>
          <w:snapToGrid w:val="0"/>
        </w:rPr>
      </w:pPr>
      <w:r w:rsidRPr="00525B39">
        <w:rPr>
          <w:rFonts w:asciiTheme="minorHAnsi" w:hAnsiTheme="minorHAnsi" w:cs="Arial"/>
          <w:bCs/>
          <w:snapToGrid w:val="0"/>
        </w:rPr>
        <w:t xml:space="preserve">The sponsor requested a hearing for this item. The clinician discussed the natural history of the disease, </w:t>
      </w:r>
      <w:r w:rsidR="006857C6">
        <w:rPr>
          <w:rFonts w:asciiTheme="minorHAnsi" w:hAnsiTheme="minorHAnsi" w:cs="Arial"/>
          <w:bCs/>
          <w:snapToGrid w:val="0"/>
        </w:rPr>
        <w:t>the clinical significance of the transition to metastatic disease</w:t>
      </w:r>
      <w:r w:rsidR="0084092C">
        <w:rPr>
          <w:rFonts w:asciiTheme="minorHAnsi" w:hAnsiTheme="minorHAnsi" w:cs="Arial"/>
          <w:bCs/>
          <w:snapToGrid w:val="0"/>
        </w:rPr>
        <w:t xml:space="preserve">, </w:t>
      </w:r>
      <w:r w:rsidR="00EA50D1">
        <w:rPr>
          <w:rFonts w:asciiTheme="minorHAnsi" w:hAnsiTheme="minorHAnsi" w:cs="Arial"/>
          <w:bCs/>
          <w:snapToGrid w:val="0"/>
        </w:rPr>
        <w:t xml:space="preserve">and </w:t>
      </w:r>
      <w:r w:rsidR="0084092C">
        <w:rPr>
          <w:rFonts w:asciiTheme="minorHAnsi" w:hAnsiTheme="minorHAnsi" w:cs="Arial"/>
          <w:bCs/>
          <w:snapToGrid w:val="0"/>
        </w:rPr>
        <w:t xml:space="preserve">the preference for treatments such as </w:t>
      </w:r>
      <w:proofErr w:type="spellStart"/>
      <w:r w:rsidR="0084092C">
        <w:rPr>
          <w:rFonts w:asciiTheme="minorHAnsi" w:hAnsiTheme="minorHAnsi" w:cs="Arial"/>
          <w:bCs/>
          <w:snapToGrid w:val="0"/>
        </w:rPr>
        <w:t>abiraterone</w:t>
      </w:r>
      <w:proofErr w:type="spellEnd"/>
      <w:r w:rsidR="0084092C">
        <w:rPr>
          <w:rFonts w:asciiTheme="minorHAnsi" w:hAnsiTheme="minorHAnsi" w:cs="Arial"/>
          <w:bCs/>
          <w:snapToGrid w:val="0"/>
        </w:rPr>
        <w:t xml:space="preserve"> and enzalutamide to be available to patients who progress on </w:t>
      </w:r>
      <w:proofErr w:type="spellStart"/>
      <w:r w:rsidR="0084092C">
        <w:rPr>
          <w:rFonts w:asciiTheme="minorHAnsi" w:hAnsiTheme="minorHAnsi" w:cs="Arial"/>
          <w:bCs/>
          <w:snapToGrid w:val="0"/>
        </w:rPr>
        <w:t>apalutamide</w:t>
      </w:r>
      <w:proofErr w:type="spellEnd"/>
      <w:r w:rsidR="0084092C">
        <w:rPr>
          <w:rFonts w:asciiTheme="minorHAnsi" w:hAnsiTheme="minorHAnsi" w:cs="Arial"/>
          <w:bCs/>
          <w:snapToGrid w:val="0"/>
        </w:rPr>
        <w:t xml:space="preserve">. The clinician also noted that </w:t>
      </w:r>
      <w:proofErr w:type="spellStart"/>
      <w:r w:rsidR="0084092C">
        <w:rPr>
          <w:rFonts w:asciiTheme="minorHAnsi" w:hAnsiTheme="minorHAnsi" w:cs="Arial"/>
          <w:bCs/>
          <w:snapToGrid w:val="0"/>
        </w:rPr>
        <w:t>apalutamide</w:t>
      </w:r>
      <w:proofErr w:type="spellEnd"/>
      <w:r w:rsidR="0084092C">
        <w:rPr>
          <w:rFonts w:asciiTheme="minorHAnsi" w:hAnsiTheme="minorHAnsi" w:cs="Arial"/>
          <w:bCs/>
          <w:snapToGrid w:val="0"/>
        </w:rPr>
        <w:t xml:space="preserve"> is well-tolerated by patients and effects are manageable, noting that it has a similar mode of action to enzalutamide, where there is </w:t>
      </w:r>
      <w:r w:rsidR="00EA50D1">
        <w:rPr>
          <w:rFonts w:asciiTheme="minorHAnsi" w:hAnsiTheme="minorHAnsi" w:cs="Arial"/>
          <w:bCs/>
          <w:snapToGrid w:val="0"/>
        </w:rPr>
        <w:t>extensive</w:t>
      </w:r>
      <w:r w:rsidR="0084092C">
        <w:rPr>
          <w:rFonts w:asciiTheme="minorHAnsi" w:hAnsiTheme="minorHAnsi" w:cs="Arial"/>
          <w:bCs/>
          <w:snapToGrid w:val="0"/>
        </w:rPr>
        <w:t xml:space="preserve"> experience </w:t>
      </w:r>
      <w:r w:rsidR="00EA50D1">
        <w:rPr>
          <w:rFonts w:asciiTheme="minorHAnsi" w:hAnsiTheme="minorHAnsi" w:cs="Arial"/>
          <w:bCs/>
          <w:snapToGrid w:val="0"/>
        </w:rPr>
        <w:t xml:space="preserve">of use </w:t>
      </w:r>
      <w:r w:rsidR="0084092C">
        <w:rPr>
          <w:rFonts w:asciiTheme="minorHAnsi" w:hAnsiTheme="minorHAnsi" w:cs="Arial"/>
          <w:bCs/>
          <w:snapToGrid w:val="0"/>
        </w:rPr>
        <w:t xml:space="preserve">in the metastatic setting. The clinician also </w:t>
      </w:r>
      <w:r w:rsidRPr="00525B39">
        <w:rPr>
          <w:rFonts w:asciiTheme="minorHAnsi" w:hAnsiTheme="minorHAnsi" w:cs="Arial"/>
          <w:bCs/>
          <w:snapToGrid w:val="0"/>
        </w:rPr>
        <w:t>addressed other matters in response to the Committee’s questions</w:t>
      </w:r>
      <w:r w:rsidR="008D16F0">
        <w:rPr>
          <w:rFonts w:asciiTheme="minorHAnsi" w:hAnsiTheme="minorHAnsi" w:cs="Arial"/>
          <w:bCs/>
          <w:snapToGrid w:val="0"/>
        </w:rPr>
        <w:t xml:space="preserve">, including agreement that enzalutamide would be expected to have similar benefits as </w:t>
      </w:r>
      <w:proofErr w:type="spellStart"/>
      <w:r w:rsidR="008D16F0">
        <w:rPr>
          <w:rFonts w:asciiTheme="minorHAnsi" w:hAnsiTheme="minorHAnsi" w:cs="Arial"/>
          <w:bCs/>
          <w:snapToGrid w:val="0"/>
        </w:rPr>
        <w:t>apalutamide</w:t>
      </w:r>
      <w:proofErr w:type="spellEnd"/>
      <w:r w:rsidR="008D16F0">
        <w:rPr>
          <w:rFonts w:asciiTheme="minorHAnsi" w:hAnsiTheme="minorHAnsi" w:cs="Arial"/>
          <w:bCs/>
          <w:snapToGrid w:val="0"/>
        </w:rPr>
        <w:t>, based on the mechanism of action and the PROSPER trial</w:t>
      </w:r>
      <w:r w:rsidR="008D16F0" w:rsidRPr="008D16F0">
        <w:rPr>
          <w:rFonts w:asciiTheme="minorHAnsi" w:hAnsiTheme="minorHAnsi" w:cs="Arial"/>
          <w:bCs/>
          <w:snapToGrid w:val="0"/>
        </w:rPr>
        <w:t xml:space="preserve"> </w:t>
      </w:r>
      <w:r w:rsidR="008D16F0">
        <w:rPr>
          <w:rFonts w:asciiTheme="minorHAnsi" w:hAnsiTheme="minorHAnsi" w:cs="Arial"/>
          <w:bCs/>
          <w:snapToGrid w:val="0"/>
        </w:rPr>
        <w:t>results</w:t>
      </w:r>
      <w:r w:rsidR="001670E6">
        <w:rPr>
          <w:rFonts w:asciiTheme="minorHAnsi" w:hAnsiTheme="minorHAnsi" w:cs="Arial"/>
          <w:bCs/>
          <w:snapToGrid w:val="0"/>
        </w:rPr>
        <w:t>,</w:t>
      </w:r>
      <w:r w:rsidR="008D16F0">
        <w:rPr>
          <w:rFonts w:asciiTheme="minorHAnsi" w:hAnsiTheme="minorHAnsi" w:cs="Arial"/>
          <w:bCs/>
          <w:snapToGrid w:val="0"/>
        </w:rPr>
        <w:t xml:space="preserve"> and that an OS benefit is expected given the magnitude of the MFS benefit, but </w:t>
      </w:r>
      <w:r w:rsidR="00006CA7">
        <w:rPr>
          <w:rFonts w:asciiTheme="minorHAnsi" w:hAnsiTheme="minorHAnsi" w:cs="Arial"/>
          <w:bCs/>
          <w:snapToGrid w:val="0"/>
        </w:rPr>
        <w:t xml:space="preserve">there is insufficient data from the SPARTAN trial to </w:t>
      </w:r>
      <w:r w:rsidR="008D16F0">
        <w:rPr>
          <w:rFonts w:asciiTheme="minorHAnsi" w:hAnsiTheme="minorHAnsi" w:cs="Arial"/>
          <w:bCs/>
          <w:snapToGrid w:val="0"/>
        </w:rPr>
        <w:t>support this assumption</w:t>
      </w:r>
      <w:r w:rsidRPr="00525B39">
        <w:rPr>
          <w:rFonts w:asciiTheme="minorHAnsi" w:hAnsiTheme="minorHAnsi" w:cs="Arial"/>
          <w:bCs/>
          <w:snapToGrid w:val="0"/>
        </w:rPr>
        <w:t xml:space="preserve">. </w:t>
      </w:r>
      <w:r w:rsidR="008E2749">
        <w:rPr>
          <w:rFonts w:asciiTheme="minorHAnsi" w:hAnsiTheme="minorHAnsi" w:cs="Arial"/>
          <w:bCs/>
          <w:snapToGrid w:val="0"/>
        </w:rPr>
        <w:t xml:space="preserve">The PBAC considered that the hearing was supportive of the clinical benefit </w:t>
      </w:r>
      <w:r w:rsidR="00B53475">
        <w:rPr>
          <w:rFonts w:asciiTheme="minorHAnsi" w:hAnsiTheme="minorHAnsi" w:cs="Arial"/>
          <w:bCs/>
          <w:snapToGrid w:val="0"/>
        </w:rPr>
        <w:t xml:space="preserve">for </w:t>
      </w:r>
      <w:proofErr w:type="spellStart"/>
      <w:r w:rsidR="00B53475">
        <w:rPr>
          <w:rFonts w:asciiTheme="minorHAnsi" w:hAnsiTheme="minorHAnsi" w:cs="Arial"/>
          <w:bCs/>
          <w:snapToGrid w:val="0"/>
        </w:rPr>
        <w:t>apalutamide</w:t>
      </w:r>
      <w:proofErr w:type="spellEnd"/>
      <w:r w:rsidR="00B53475">
        <w:rPr>
          <w:rFonts w:asciiTheme="minorHAnsi" w:hAnsiTheme="minorHAnsi" w:cs="Arial"/>
          <w:bCs/>
          <w:snapToGrid w:val="0"/>
        </w:rPr>
        <w:t xml:space="preserve"> in terms of delaying metastasi</w:t>
      </w:r>
      <w:r w:rsidR="008E2749">
        <w:rPr>
          <w:rFonts w:asciiTheme="minorHAnsi" w:hAnsiTheme="minorHAnsi" w:cs="Arial"/>
          <w:bCs/>
          <w:snapToGrid w:val="0"/>
        </w:rPr>
        <w:t xml:space="preserve">s </w:t>
      </w:r>
      <w:r w:rsidR="00B53475">
        <w:rPr>
          <w:rFonts w:asciiTheme="minorHAnsi" w:hAnsiTheme="minorHAnsi" w:cs="Arial"/>
          <w:bCs/>
          <w:snapToGrid w:val="0"/>
        </w:rPr>
        <w:t xml:space="preserve">as </w:t>
      </w:r>
      <w:r w:rsidR="008E2749">
        <w:rPr>
          <w:rFonts w:asciiTheme="minorHAnsi" w:hAnsiTheme="minorHAnsi" w:cs="Arial"/>
          <w:bCs/>
          <w:snapToGrid w:val="0"/>
        </w:rPr>
        <w:t>presented in the submission</w:t>
      </w:r>
      <w:r w:rsidR="00B53475">
        <w:rPr>
          <w:rFonts w:asciiTheme="minorHAnsi" w:hAnsiTheme="minorHAnsi" w:cs="Arial"/>
          <w:bCs/>
          <w:snapToGrid w:val="0"/>
        </w:rPr>
        <w:t>.</w:t>
      </w:r>
    </w:p>
    <w:p w:rsidR="00246FDD" w:rsidRPr="00FD3E23" w:rsidRDefault="00246FDD" w:rsidP="00FD3E23">
      <w:pPr>
        <w:pStyle w:val="Heading2"/>
      </w:pPr>
      <w:r w:rsidRPr="00FD3E23">
        <w:t>Consumer comments</w:t>
      </w:r>
    </w:p>
    <w:p w:rsidR="00246FDD" w:rsidRPr="00525B39" w:rsidRDefault="00246FDD" w:rsidP="00246FDD">
      <w:pPr>
        <w:widowControl w:val="0"/>
        <w:numPr>
          <w:ilvl w:val="1"/>
          <w:numId w:val="3"/>
        </w:numPr>
        <w:spacing w:after="120"/>
        <w:rPr>
          <w:rFonts w:asciiTheme="minorHAnsi" w:hAnsiTheme="minorHAnsi" w:cs="Arial"/>
          <w:bCs/>
          <w:snapToGrid w:val="0"/>
        </w:rPr>
      </w:pPr>
      <w:r w:rsidRPr="00525B39">
        <w:rPr>
          <w:rFonts w:asciiTheme="minorHAnsi" w:hAnsiTheme="minorHAnsi" w:cs="Arial"/>
          <w:bCs/>
          <w:snapToGrid w:val="0"/>
        </w:rPr>
        <w:t>The PBAC noted and welcomed the input from individuals (</w:t>
      </w:r>
      <w:r w:rsidR="004024C8">
        <w:rPr>
          <w:rFonts w:asciiTheme="minorHAnsi" w:hAnsiTheme="minorHAnsi" w:cs="Arial"/>
          <w:bCs/>
          <w:snapToGrid w:val="0"/>
        </w:rPr>
        <w:t>9</w:t>
      </w:r>
      <w:r w:rsidRPr="00525B39">
        <w:rPr>
          <w:rFonts w:asciiTheme="minorHAnsi" w:hAnsiTheme="minorHAnsi" w:cs="Arial"/>
          <w:bCs/>
          <w:snapToGrid w:val="0"/>
        </w:rPr>
        <w:t xml:space="preserve">), health care professionals (1) and organisations (1) via the Consumer Comments facility on the PBS website. The comments described </w:t>
      </w:r>
      <w:r w:rsidR="004024C8">
        <w:rPr>
          <w:rFonts w:asciiTheme="minorHAnsi" w:hAnsiTheme="minorHAnsi" w:cs="Arial"/>
          <w:bCs/>
          <w:snapToGrid w:val="0"/>
        </w:rPr>
        <w:t xml:space="preserve">the benefits of delaying metastasis and symptomatic progression in terms of maintaining and preserving quality of life and avoiding the pain associated with metastases. The comments also noted that adding </w:t>
      </w:r>
      <w:proofErr w:type="spellStart"/>
      <w:r w:rsidR="004024C8">
        <w:rPr>
          <w:rFonts w:asciiTheme="minorHAnsi" w:hAnsiTheme="minorHAnsi" w:cs="Arial"/>
          <w:bCs/>
          <w:snapToGrid w:val="0"/>
        </w:rPr>
        <w:t>apalutamide</w:t>
      </w:r>
      <w:proofErr w:type="spellEnd"/>
      <w:r w:rsidR="004024C8">
        <w:rPr>
          <w:rFonts w:asciiTheme="minorHAnsi" w:hAnsiTheme="minorHAnsi" w:cs="Arial"/>
          <w:bCs/>
          <w:snapToGrid w:val="0"/>
        </w:rPr>
        <w:t xml:space="preserve"> earlier in the treatment algorithm would help to address the current gap in treatment continuity</w:t>
      </w:r>
      <w:r w:rsidR="008069E6">
        <w:rPr>
          <w:rFonts w:asciiTheme="minorHAnsi" w:hAnsiTheme="minorHAnsi" w:cs="Arial"/>
          <w:bCs/>
          <w:snapToGrid w:val="0"/>
        </w:rPr>
        <w:t xml:space="preserve"> which causes anxiety in men with prostate cancer</w:t>
      </w:r>
      <w:r w:rsidR="004024C8">
        <w:rPr>
          <w:rFonts w:asciiTheme="minorHAnsi" w:hAnsiTheme="minorHAnsi" w:cs="Arial"/>
          <w:bCs/>
          <w:snapToGrid w:val="0"/>
        </w:rPr>
        <w:t>.</w:t>
      </w:r>
      <w:r w:rsidR="008069E6">
        <w:rPr>
          <w:rFonts w:asciiTheme="minorHAnsi" w:hAnsiTheme="minorHAnsi" w:cs="Arial"/>
          <w:bCs/>
          <w:snapToGrid w:val="0"/>
        </w:rPr>
        <w:t xml:space="preserve"> The comments also noted the favourable side effect profile compared with docetaxel.</w:t>
      </w:r>
    </w:p>
    <w:p w:rsidR="00246FDD" w:rsidRPr="00525B39" w:rsidRDefault="00246FDD" w:rsidP="00246FDD">
      <w:pPr>
        <w:widowControl w:val="0"/>
        <w:numPr>
          <w:ilvl w:val="1"/>
          <w:numId w:val="3"/>
        </w:numPr>
        <w:spacing w:after="120"/>
        <w:rPr>
          <w:rFonts w:asciiTheme="minorHAnsi" w:hAnsiTheme="minorHAnsi" w:cs="Arial"/>
          <w:bCs/>
          <w:snapToGrid w:val="0"/>
        </w:rPr>
      </w:pPr>
      <w:r w:rsidRPr="00525B39">
        <w:rPr>
          <w:rFonts w:asciiTheme="minorHAnsi" w:hAnsiTheme="minorHAnsi" w:cs="Arial"/>
          <w:bCs/>
          <w:snapToGrid w:val="0"/>
        </w:rPr>
        <w:t xml:space="preserve">The Medical Oncology Group of Australia (MOGA) also expressed its </w:t>
      </w:r>
      <w:r w:rsidR="008069E6">
        <w:rPr>
          <w:rFonts w:asciiTheme="minorHAnsi" w:hAnsiTheme="minorHAnsi" w:cs="Arial"/>
          <w:bCs/>
          <w:snapToGrid w:val="0"/>
        </w:rPr>
        <w:t xml:space="preserve">strong </w:t>
      </w:r>
      <w:r w:rsidRPr="00525B39">
        <w:rPr>
          <w:rFonts w:asciiTheme="minorHAnsi" w:hAnsiTheme="minorHAnsi" w:cs="Arial"/>
          <w:bCs/>
          <w:snapToGrid w:val="0"/>
        </w:rPr>
        <w:t xml:space="preserve">support for the </w:t>
      </w:r>
      <w:proofErr w:type="spellStart"/>
      <w:r w:rsidR="008069E6">
        <w:rPr>
          <w:rFonts w:asciiTheme="minorHAnsi" w:hAnsiTheme="minorHAnsi" w:cs="Arial"/>
          <w:bCs/>
          <w:snapToGrid w:val="0"/>
        </w:rPr>
        <w:t>apalutamide</w:t>
      </w:r>
      <w:proofErr w:type="spellEnd"/>
      <w:r w:rsidRPr="00525B39">
        <w:rPr>
          <w:rFonts w:asciiTheme="minorHAnsi" w:hAnsiTheme="minorHAnsi" w:cs="Arial"/>
          <w:bCs/>
          <w:snapToGrid w:val="0"/>
        </w:rPr>
        <w:t xml:space="preserve"> submission, </w:t>
      </w:r>
      <w:r w:rsidR="000A5725">
        <w:rPr>
          <w:rFonts w:asciiTheme="minorHAnsi" w:hAnsiTheme="minorHAnsi" w:cs="Arial"/>
          <w:bCs/>
          <w:snapToGrid w:val="0"/>
        </w:rPr>
        <w:t>categorising it as one of the therapies of “high priority for PBS listing”</w:t>
      </w:r>
      <w:r w:rsidR="00C36BD4">
        <w:rPr>
          <w:rFonts w:asciiTheme="minorHAnsi" w:hAnsiTheme="minorHAnsi" w:cs="Arial"/>
          <w:bCs/>
          <w:snapToGrid w:val="0"/>
        </w:rPr>
        <w:t xml:space="preserve"> on the basis of the SPARTAN trial</w:t>
      </w:r>
      <w:r w:rsidR="000A5725">
        <w:rPr>
          <w:rFonts w:asciiTheme="minorHAnsi" w:hAnsiTheme="minorHAnsi" w:cs="Arial"/>
          <w:bCs/>
          <w:snapToGrid w:val="0"/>
        </w:rPr>
        <w:t xml:space="preserve">. </w:t>
      </w:r>
      <w:r w:rsidRPr="00525B39">
        <w:rPr>
          <w:rFonts w:asciiTheme="minorHAnsi" w:hAnsiTheme="minorHAnsi" w:cs="Arial"/>
          <w:bCs/>
          <w:snapToGrid w:val="0"/>
        </w:rPr>
        <w:t xml:space="preserve">The PBAC noted that the MOGA presented the European Society for Medical Oncology Magnitude of Clinical Benefit Scale (ESMO-MCBS) for </w:t>
      </w:r>
      <w:proofErr w:type="spellStart"/>
      <w:r w:rsidR="008069E6">
        <w:rPr>
          <w:rFonts w:asciiTheme="minorHAnsi" w:hAnsiTheme="minorHAnsi" w:cs="Arial"/>
          <w:bCs/>
          <w:snapToGrid w:val="0"/>
        </w:rPr>
        <w:t>apalutamide</w:t>
      </w:r>
      <w:proofErr w:type="spellEnd"/>
      <w:r w:rsidRPr="00525B39">
        <w:rPr>
          <w:rFonts w:asciiTheme="minorHAnsi" w:hAnsiTheme="minorHAnsi" w:cs="Arial"/>
          <w:bCs/>
          <w:snapToGrid w:val="0"/>
        </w:rPr>
        <w:t xml:space="preserve">, which was limited to </w:t>
      </w:r>
      <w:r w:rsidR="008069E6">
        <w:rPr>
          <w:rFonts w:asciiTheme="minorHAnsi" w:hAnsiTheme="minorHAnsi" w:cs="Arial"/>
          <w:bCs/>
          <w:snapToGrid w:val="0"/>
        </w:rPr>
        <w:t>3</w:t>
      </w:r>
      <w:r w:rsidRPr="00525B39">
        <w:rPr>
          <w:rFonts w:asciiTheme="minorHAnsi" w:hAnsiTheme="minorHAnsi" w:cs="Arial"/>
          <w:bCs/>
          <w:snapToGrid w:val="0"/>
        </w:rPr>
        <w:t xml:space="preserve"> (out of a maximum of 5, where 5 and 4 represent the grades with substantial improvement)</w:t>
      </w:r>
      <w:r w:rsidR="008069E6">
        <w:rPr>
          <w:rStyle w:val="FootnoteReference"/>
          <w:rFonts w:asciiTheme="minorHAnsi" w:hAnsiTheme="minorHAnsi" w:cs="Arial"/>
          <w:bCs/>
          <w:snapToGrid w:val="0"/>
        </w:rPr>
        <w:footnoteReference w:id="10"/>
      </w:r>
      <w:r w:rsidRPr="00525B39">
        <w:rPr>
          <w:rFonts w:asciiTheme="minorHAnsi" w:hAnsiTheme="minorHAnsi" w:cs="Arial"/>
          <w:bCs/>
          <w:snapToGrid w:val="0"/>
        </w:rPr>
        <w:t xml:space="preserve">, based on a comparison with </w:t>
      </w:r>
      <w:r w:rsidR="008069E6">
        <w:rPr>
          <w:rFonts w:asciiTheme="minorHAnsi" w:hAnsiTheme="minorHAnsi" w:cs="Arial"/>
          <w:bCs/>
          <w:snapToGrid w:val="0"/>
        </w:rPr>
        <w:t>placebo</w:t>
      </w:r>
      <w:r w:rsidRPr="00525B39">
        <w:rPr>
          <w:rFonts w:asciiTheme="minorHAnsi" w:hAnsiTheme="minorHAnsi" w:cs="Arial"/>
          <w:bCs/>
          <w:snapToGrid w:val="0"/>
        </w:rPr>
        <w:t xml:space="preserve">. </w:t>
      </w:r>
    </w:p>
    <w:p w:rsidR="00B60939" w:rsidRPr="00FD3E23" w:rsidRDefault="00B60939" w:rsidP="00FD3E23">
      <w:pPr>
        <w:pStyle w:val="Heading2"/>
      </w:pPr>
      <w:r w:rsidRPr="00FD3E23">
        <w:lastRenderedPageBreak/>
        <w:t>Clinical trials</w:t>
      </w:r>
      <w:bookmarkEnd w:id="7"/>
    </w:p>
    <w:p w:rsidR="002B785A" w:rsidRPr="002B785A" w:rsidRDefault="002B785A" w:rsidP="00BB33C3">
      <w:pPr>
        <w:pStyle w:val="ListParagraph"/>
        <w:keepNext/>
        <w:keepLines/>
        <w:numPr>
          <w:ilvl w:val="1"/>
          <w:numId w:val="3"/>
        </w:numPr>
      </w:pPr>
      <w:r>
        <w:rPr>
          <w:rFonts w:cs="Calibri"/>
          <w:lang w:val="en-US" w:eastAsia="en-AU"/>
        </w:rPr>
        <w:t xml:space="preserve">The submission was based on the SPARTAN trial </w:t>
      </w:r>
      <w:r>
        <w:t>(N=1207)</w:t>
      </w:r>
      <w:r>
        <w:rPr>
          <w:rFonts w:cs="Calibri"/>
          <w:lang w:val="en-US" w:eastAsia="en-AU"/>
        </w:rPr>
        <w:t xml:space="preserve">, which was </w:t>
      </w:r>
      <w:r>
        <w:t xml:space="preserve">a randomised, double-blind, multicentre trial comparing </w:t>
      </w:r>
      <w:proofErr w:type="spellStart"/>
      <w:r>
        <w:t>apalutamide</w:t>
      </w:r>
      <w:proofErr w:type="spellEnd"/>
      <w:r>
        <w:t xml:space="preserve"> and placebo, each in combination with ADT in patients with m0CRPC at high risk of developing distant metastases.  Patients at high risk were </w:t>
      </w:r>
      <w:r w:rsidR="00716758">
        <w:t xml:space="preserve">defined as </w:t>
      </w:r>
      <w:r>
        <w:t>those with PSADT ≤10 months.</w:t>
      </w:r>
      <w:r w:rsidR="00BB33C3" w:rsidRPr="00BB33C3">
        <w:t xml:space="preserve"> The mean PSADT in trial patients was 4.75 months.  As such, </w:t>
      </w:r>
      <w:r w:rsidR="004263C5">
        <w:t xml:space="preserve">on average </w:t>
      </w:r>
      <w:r w:rsidR="00BB33C3" w:rsidRPr="00BB33C3">
        <w:t xml:space="preserve">patients in SPARTAN had a considerably shorter doubling time than that required under the requested restriction, ≤10 months. </w:t>
      </w:r>
      <w:r w:rsidR="00702F8F" w:rsidRPr="00B50DB8">
        <w:rPr>
          <w:color w:val="3366FF"/>
        </w:rPr>
        <w:t xml:space="preserve"> </w:t>
      </w:r>
    </w:p>
    <w:p w:rsidR="007F1017" w:rsidRPr="00FA55BD" w:rsidRDefault="002B785A" w:rsidP="007A132D">
      <w:pPr>
        <w:pStyle w:val="ListParagraph"/>
        <w:numPr>
          <w:ilvl w:val="1"/>
          <w:numId w:val="3"/>
        </w:numPr>
      </w:pPr>
      <w:r>
        <w:t xml:space="preserve">The trial </w:t>
      </w:r>
      <w:r w:rsidR="00CA3880">
        <w:t>wa</w:t>
      </w:r>
      <w:r>
        <w:t xml:space="preserve">s on-going, with an estimated completion date in late August 2019.  The </w:t>
      </w:r>
      <w:r w:rsidR="00006CA7">
        <w:t>clinical study report (</w:t>
      </w:r>
      <w:r>
        <w:t>CSR</w:t>
      </w:r>
      <w:r w:rsidR="00006CA7">
        <w:t>)</w:t>
      </w:r>
      <w:r>
        <w:t xml:space="preserve"> from which the data used in the submission was sourced was dated September 2017, with the data cut being in May 2017. </w:t>
      </w:r>
      <w:r w:rsidR="006A4154">
        <w:t>T</w:t>
      </w:r>
      <w:r>
        <w:t xml:space="preserve">he submission indicated that future data will be confounded by placebo patients switching to </w:t>
      </w:r>
      <w:proofErr w:type="spellStart"/>
      <w:r>
        <w:t>apalutamide</w:t>
      </w:r>
      <w:proofErr w:type="spellEnd"/>
      <w:r>
        <w:t>,</w:t>
      </w:r>
      <w:r w:rsidR="006A4154">
        <w:t xml:space="preserve"> however</w:t>
      </w:r>
      <w:r>
        <w:t xml:space="preserve"> the dataset presented in the </w:t>
      </w:r>
      <w:r w:rsidRPr="00FA55BD">
        <w:t xml:space="preserve">submission was not confounded by treatment switching and did not require any adjustment. </w:t>
      </w:r>
      <w:r w:rsidR="001324F4" w:rsidRPr="00FA55BD">
        <w:t>The</w:t>
      </w:r>
      <w:r w:rsidR="00702F8F" w:rsidRPr="00FA55BD">
        <w:t xml:space="preserve"> </w:t>
      </w:r>
      <w:r w:rsidR="001324F4" w:rsidRPr="00FA55BD">
        <w:t xml:space="preserve">PSCR stated that the final analysis may not be available for another </w:t>
      </w:r>
      <w:r w:rsidR="00B02413">
        <w:rPr>
          <w:noProof/>
          <w:color w:val="000000"/>
          <w:highlight w:val="black"/>
        </w:rPr>
        <w:t>'''</w:t>
      </w:r>
      <w:r w:rsidR="009C424F" w:rsidRPr="00FA55BD">
        <w:t>–</w:t>
      </w:r>
      <w:r w:rsidR="00B02413">
        <w:rPr>
          <w:noProof/>
          <w:color w:val="000000"/>
          <w:highlight w:val="black"/>
        </w:rPr>
        <w:t>'''</w:t>
      </w:r>
      <w:r w:rsidR="001324F4" w:rsidRPr="00FA55BD">
        <w:t xml:space="preserve"> years.</w:t>
      </w:r>
    </w:p>
    <w:p w:rsidR="008B7510" w:rsidRDefault="000F0203" w:rsidP="00862502">
      <w:pPr>
        <w:pStyle w:val="ListParagraph"/>
        <w:numPr>
          <w:ilvl w:val="1"/>
          <w:numId w:val="3"/>
        </w:numPr>
      </w:pPr>
      <w:r>
        <w:t xml:space="preserve">The submission noted that as a part of randomisation patients were stratified according to PSADT, use of bone-sparing agents and presence of loco-regional disease and it was found that 152 patients (13%) had been </w:t>
      </w:r>
      <w:proofErr w:type="spellStart"/>
      <w:r>
        <w:t>mis</w:t>
      </w:r>
      <w:proofErr w:type="spellEnd"/>
      <w:r>
        <w:t xml:space="preserve">-stratified.  Given this </w:t>
      </w:r>
      <w:proofErr w:type="spellStart"/>
      <w:r>
        <w:t>mis</w:t>
      </w:r>
      <w:proofErr w:type="spellEnd"/>
      <w:r>
        <w:t xml:space="preserve">-stratification sensitivity analyses of the MFS endpoint were </w:t>
      </w:r>
      <w:r w:rsidR="00756D11">
        <w:t xml:space="preserve">presented </w:t>
      </w:r>
      <w:r>
        <w:t>in the CSR and the results were consistent with those of the primary analysis. The submission concluded that the risk of selection bias and confounding by these baseline characteristics was negligible</w:t>
      </w:r>
      <w:r w:rsidRPr="00A44512">
        <w:t xml:space="preserve">. This was reasonable, although the sensitivity analyses correcting for stratification were only conducted for MFS and it remains possible that the </w:t>
      </w:r>
      <w:proofErr w:type="spellStart"/>
      <w:r w:rsidRPr="00A44512">
        <w:t>mis</w:t>
      </w:r>
      <w:proofErr w:type="spellEnd"/>
      <w:r w:rsidRPr="00A44512">
        <w:t xml:space="preserve">-stratification could have impacted other outcomes. </w:t>
      </w:r>
    </w:p>
    <w:p w:rsidR="00862502" w:rsidRPr="00B50DB8" w:rsidRDefault="00C30E15" w:rsidP="007A132D">
      <w:pPr>
        <w:pStyle w:val="ListParagraph"/>
        <w:numPr>
          <w:ilvl w:val="1"/>
          <w:numId w:val="3"/>
        </w:numPr>
      </w:pPr>
      <w:r>
        <w:rPr>
          <w:rFonts w:cs="Calibri"/>
          <w:lang w:val="en-US" w:eastAsia="en-AU"/>
        </w:rPr>
        <w:t xml:space="preserve">The </w:t>
      </w:r>
      <w:r w:rsidR="00756D11">
        <w:rPr>
          <w:rFonts w:cs="Calibri"/>
          <w:lang w:val="en-US" w:eastAsia="en-AU"/>
        </w:rPr>
        <w:t>CSR</w:t>
      </w:r>
      <w:r>
        <w:rPr>
          <w:rFonts w:cs="Calibri"/>
          <w:lang w:val="en-US" w:eastAsia="en-AU"/>
        </w:rPr>
        <w:t xml:space="preserve"> and publication details of SPARTAN are provided in the table below.</w:t>
      </w:r>
    </w:p>
    <w:p w:rsidR="008E0D3C" w:rsidRPr="008E0D3C" w:rsidRDefault="008E0D3C" w:rsidP="00816303">
      <w:pPr>
        <w:keepNext/>
        <w:keepLines/>
        <w:rPr>
          <w:rStyle w:val="CommentReference"/>
        </w:rPr>
      </w:pPr>
      <w:r w:rsidRPr="008E0D3C">
        <w:rPr>
          <w:rStyle w:val="CommentReference"/>
        </w:rPr>
        <w:lastRenderedPageBreak/>
        <w:t xml:space="preserve">Table </w:t>
      </w:r>
      <w:r w:rsidR="005E3073">
        <w:rPr>
          <w:rStyle w:val="CommentReference"/>
        </w:rPr>
        <w:t>2</w:t>
      </w:r>
      <w:r w:rsidRPr="008E0D3C">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5"/>
        <w:gridCol w:w="2528"/>
      </w:tblGrid>
      <w:tr w:rsidR="008E0D3C" w:rsidRPr="00B41614" w:rsidTr="00D13675">
        <w:trPr>
          <w:tblHeader/>
        </w:trPr>
        <w:tc>
          <w:tcPr>
            <w:tcW w:w="795" w:type="pct"/>
            <w:vAlign w:val="center"/>
          </w:tcPr>
          <w:p w:rsidR="008E0D3C" w:rsidRPr="00B41614" w:rsidRDefault="008E0D3C" w:rsidP="00816303">
            <w:pPr>
              <w:pStyle w:val="Tabletext"/>
              <w:keepNext/>
              <w:keepLines/>
              <w:rPr>
                <w:b/>
              </w:rPr>
            </w:pPr>
            <w:r w:rsidRPr="00B41614">
              <w:rPr>
                <w:b/>
              </w:rPr>
              <w:t>Trial ID</w:t>
            </w:r>
          </w:p>
        </w:tc>
        <w:tc>
          <w:tcPr>
            <w:tcW w:w="2803" w:type="pct"/>
            <w:vAlign w:val="center"/>
          </w:tcPr>
          <w:p w:rsidR="008E0D3C" w:rsidRPr="00B41614" w:rsidRDefault="008E0D3C" w:rsidP="00816303">
            <w:pPr>
              <w:pStyle w:val="Tabletext"/>
              <w:keepNext/>
              <w:keepLines/>
              <w:jc w:val="center"/>
              <w:rPr>
                <w:b/>
              </w:rPr>
            </w:pPr>
            <w:r w:rsidRPr="00B41614">
              <w:rPr>
                <w:b/>
              </w:rPr>
              <w:t>Protocol title/ Publication title</w:t>
            </w:r>
          </w:p>
        </w:tc>
        <w:tc>
          <w:tcPr>
            <w:tcW w:w="1402" w:type="pct"/>
            <w:vAlign w:val="center"/>
          </w:tcPr>
          <w:p w:rsidR="008E0D3C" w:rsidRPr="00B41614" w:rsidRDefault="008E0D3C" w:rsidP="00816303">
            <w:pPr>
              <w:pStyle w:val="Tabletext"/>
              <w:keepNext/>
              <w:keepLines/>
              <w:jc w:val="center"/>
              <w:rPr>
                <w:b/>
              </w:rPr>
            </w:pPr>
            <w:r w:rsidRPr="00B41614">
              <w:rPr>
                <w:b/>
              </w:rPr>
              <w:t>Publication citation</w:t>
            </w:r>
          </w:p>
        </w:tc>
      </w:tr>
      <w:tr w:rsidR="00241654" w:rsidRPr="00CB38A8" w:rsidTr="00D13675">
        <w:tc>
          <w:tcPr>
            <w:tcW w:w="795" w:type="pct"/>
            <w:tcBorders>
              <w:bottom w:val="nil"/>
            </w:tcBorders>
            <w:vAlign w:val="center"/>
          </w:tcPr>
          <w:p w:rsidR="00241654" w:rsidRPr="00CB38A8" w:rsidRDefault="00241654" w:rsidP="00816303">
            <w:pPr>
              <w:pStyle w:val="Tabletext"/>
              <w:keepNext/>
              <w:keepLines/>
              <w:rPr>
                <w:rFonts w:ascii="Times" w:hAnsi="Times"/>
              </w:rPr>
            </w:pPr>
          </w:p>
        </w:tc>
        <w:tc>
          <w:tcPr>
            <w:tcW w:w="2803" w:type="pct"/>
            <w:tcBorders>
              <w:bottom w:val="nil"/>
            </w:tcBorders>
            <w:vAlign w:val="center"/>
          </w:tcPr>
          <w:p w:rsidR="00241654" w:rsidRPr="00AB6248" w:rsidRDefault="00241654" w:rsidP="00816303">
            <w:pPr>
              <w:pStyle w:val="Tabletext"/>
              <w:keepNext/>
              <w:keepLines/>
              <w:rPr>
                <w:szCs w:val="18"/>
              </w:rPr>
            </w:pPr>
            <w:r>
              <w:rPr>
                <w:szCs w:val="18"/>
              </w:rPr>
              <w:t xml:space="preserve">A study of </w:t>
            </w:r>
            <w:proofErr w:type="spellStart"/>
            <w:r>
              <w:rPr>
                <w:szCs w:val="18"/>
              </w:rPr>
              <w:t>apalutamide</w:t>
            </w:r>
            <w:proofErr w:type="spellEnd"/>
            <w:r>
              <w:rPr>
                <w:szCs w:val="18"/>
              </w:rPr>
              <w:t xml:space="preserve"> (ARN-509) in men with non-metastatic castration-resistant prostate cancer.</w:t>
            </w:r>
          </w:p>
        </w:tc>
        <w:tc>
          <w:tcPr>
            <w:tcW w:w="1402" w:type="pct"/>
            <w:tcBorders>
              <w:bottom w:val="nil"/>
            </w:tcBorders>
            <w:vAlign w:val="center"/>
          </w:tcPr>
          <w:p w:rsidR="00241654" w:rsidRPr="00CB38A8" w:rsidRDefault="00241654" w:rsidP="00816303">
            <w:pPr>
              <w:pStyle w:val="Tabletext"/>
              <w:keepNext/>
              <w:keepLines/>
              <w:rPr>
                <w:rFonts w:ascii="Times" w:hAnsi="Times"/>
              </w:rPr>
            </w:pPr>
            <w:r w:rsidRPr="00496F4E">
              <w:t>September 2017</w:t>
            </w:r>
          </w:p>
        </w:tc>
      </w:tr>
      <w:tr w:rsidR="00241654" w:rsidRPr="00CB38A8" w:rsidTr="00D13675">
        <w:tc>
          <w:tcPr>
            <w:tcW w:w="795" w:type="pct"/>
            <w:tcBorders>
              <w:top w:val="nil"/>
              <w:bottom w:val="nil"/>
            </w:tcBorders>
            <w:vAlign w:val="center"/>
          </w:tcPr>
          <w:p w:rsidR="00241654" w:rsidRDefault="00241654" w:rsidP="00816303">
            <w:pPr>
              <w:pStyle w:val="Tabletext"/>
              <w:keepNext/>
              <w:keepLines/>
            </w:pPr>
          </w:p>
        </w:tc>
        <w:tc>
          <w:tcPr>
            <w:tcW w:w="2803" w:type="pct"/>
            <w:tcBorders>
              <w:top w:val="nil"/>
              <w:bottom w:val="nil"/>
            </w:tcBorders>
            <w:vAlign w:val="center"/>
          </w:tcPr>
          <w:p w:rsidR="00241654" w:rsidRDefault="00241654" w:rsidP="00816303">
            <w:pPr>
              <w:pStyle w:val="Tabletext"/>
              <w:keepNext/>
              <w:keepLines/>
              <w:rPr>
                <w:szCs w:val="18"/>
                <w:lang w:eastAsia="en-AU"/>
              </w:rPr>
            </w:pPr>
            <w:r>
              <w:t xml:space="preserve">Smith MR, </w:t>
            </w:r>
            <w:proofErr w:type="spellStart"/>
            <w:r>
              <w:t>Saad</w:t>
            </w:r>
            <w:proofErr w:type="spellEnd"/>
            <w:r>
              <w:t xml:space="preserve"> F, Chowdhury S et al.  </w:t>
            </w:r>
            <w:proofErr w:type="spellStart"/>
            <w:r w:rsidRPr="00496F4E">
              <w:t>Apalutamide</w:t>
            </w:r>
            <w:proofErr w:type="spellEnd"/>
            <w:r w:rsidRPr="00496F4E">
              <w:t xml:space="preserve"> treatment and metastasis-f</w:t>
            </w:r>
            <w:r>
              <w:t>ree survival in prostate cancer.</w:t>
            </w:r>
          </w:p>
        </w:tc>
        <w:tc>
          <w:tcPr>
            <w:tcW w:w="1402" w:type="pct"/>
            <w:tcBorders>
              <w:top w:val="nil"/>
              <w:bottom w:val="nil"/>
            </w:tcBorders>
            <w:vAlign w:val="center"/>
          </w:tcPr>
          <w:p w:rsidR="00241654" w:rsidRDefault="00241654" w:rsidP="00816303">
            <w:pPr>
              <w:pStyle w:val="Tabletext"/>
              <w:keepNext/>
              <w:keepLines/>
              <w:rPr>
                <w:i/>
                <w:szCs w:val="18"/>
                <w:lang w:eastAsia="en-AU"/>
              </w:rPr>
            </w:pPr>
            <w:r>
              <w:rPr>
                <w:i/>
                <w:szCs w:val="18"/>
                <w:lang w:eastAsia="en-AU"/>
              </w:rPr>
              <w:t>NEJM</w:t>
            </w:r>
            <w:r>
              <w:rPr>
                <w:szCs w:val="18"/>
                <w:lang w:eastAsia="en-AU"/>
              </w:rPr>
              <w:t xml:space="preserve"> </w:t>
            </w:r>
            <w:r w:rsidRPr="00E34A35">
              <w:rPr>
                <w:szCs w:val="18"/>
                <w:lang w:eastAsia="en-AU"/>
              </w:rPr>
              <w:t>201</w:t>
            </w:r>
            <w:r>
              <w:rPr>
                <w:szCs w:val="18"/>
                <w:lang w:eastAsia="en-AU"/>
              </w:rPr>
              <w:t>8</w:t>
            </w:r>
            <w:r w:rsidRPr="00E34A35">
              <w:rPr>
                <w:szCs w:val="18"/>
                <w:lang w:eastAsia="en-AU"/>
              </w:rPr>
              <w:t>; 37</w:t>
            </w:r>
            <w:r>
              <w:rPr>
                <w:szCs w:val="18"/>
                <w:lang w:eastAsia="en-AU"/>
              </w:rPr>
              <w:t>8</w:t>
            </w:r>
            <w:r w:rsidRPr="00E34A35">
              <w:rPr>
                <w:szCs w:val="18"/>
                <w:lang w:eastAsia="en-AU"/>
              </w:rPr>
              <w:t>:</w:t>
            </w:r>
            <w:r>
              <w:rPr>
                <w:szCs w:val="18"/>
                <w:lang w:eastAsia="en-AU"/>
              </w:rPr>
              <w:t>1408</w:t>
            </w:r>
            <w:r w:rsidRPr="00E34A35">
              <w:rPr>
                <w:szCs w:val="18"/>
                <w:lang w:eastAsia="en-AU"/>
              </w:rPr>
              <w:t>-</w:t>
            </w:r>
            <w:r>
              <w:rPr>
                <w:szCs w:val="18"/>
                <w:lang w:eastAsia="en-AU"/>
              </w:rPr>
              <w:t>1418</w:t>
            </w:r>
          </w:p>
        </w:tc>
      </w:tr>
      <w:tr w:rsidR="00241654" w:rsidRPr="00CB38A8" w:rsidTr="00D13675">
        <w:tc>
          <w:tcPr>
            <w:tcW w:w="795" w:type="pct"/>
            <w:tcBorders>
              <w:top w:val="nil"/>
              <w:bottom w:val="nil"/>
            </w:tcBorders>
            <w:vAlign w:val="center"/>
          </w:tcPr>
          <w:p w:rsidR="00241654" w:rsidRDefault="00241654" w:rsidP="00816303">
            <w:pPr>
              <w:pStyle w:val="Tabletext"/>
              <w:keepNext/>
              <w:keepLines/>
            </w:pPr>
          </w:p>
        </w:tc>
        <w:tc>
          <w:tcPr>
            <w:tcW w:w="2803" w:type="pct"/>
            <w:tcBorders>
              <w:top w:val="nil"/>
              <w:bottom w:val="nil"/>
            </w:tcBorders>
            <w:vAlign w:val="center"/>
          </w:tcPr>
          <w:p w:rsidR="00241654" w:rsidRDefault="00241654" w:rsidP="00816303">
            <w:pPr>
              <w:pStyle w:val="Tabletext"/>
              <w:keepNext/>
              <w:keepLines/>
              <w:rPr>
                <w:szCs w:val="18"/>
                <w:lang w:eastAsia="en-AU"/>
              </w:rPr>
            </w:pPr>
            <w:proofErr w:type="spellStart"/>
            <w:r>
              <w:t>Saad</w:t>
            </w:r>
            <w:proofErr w:type="spellEnd"/>
            <w:r w:rsidRPr="00496F4E">
              <w:t xml:space="preserve"> F</w:t>
            </w:r>
            <w:r>
              <w:t xml:space="preserve">, Small E, </w:t>
            </w:r>
            <w:proofErr w:type="spellStart"/>
            <w:r>
              <w:t>Hadaschik</w:t>
            </w:r>
            <w:proofErr w:type="spellEnd"/>
            <w:r>
              <w:t xml:space="preserve"> B, Graff J, et al. </w:t>
            </w:r>
            <w:r w:rsidRPr="00496F4E">
              <w:t>Patient (</w:t>
            </w:r>
            <w:proofErr w:type="spellStart"/>
            <w:r w:rsidRPr="00496F4E">
              <w:t>pt</w:t>
            </w:r>
            <w:proofErr w:type="spellEnd"/>
            <w:r w:rsidRPr="00496F4E">
              <w:t xml:space="preserve">) reported outcomes (PROs) in SPARTAN, a phase 3, double-blind, randomized study of </w:t>
            </w:r>
            <w:proofErr w:type="spellStart"/>
            <w:r w:rsidRPr="00496F4E">
              <w:t>apalutamide</w:t>
            </w:r>
            <w:proofErr w:type="spellEnd"/>
            <w:r w:rsidRPr="00496F4E">
              <w:t xml:space="preserve"> (APA) plus androgen deprivation therapy (ADT) vs placebo (PBO) plus ADT in men with </w:t>
            </w:r>
            <w:proofErr w:type="spellStart"/>
            <w:r w:rsidRPr="00496F4E">
              <w:t>nonmetastatic</w:t>
            </w:r>
            <w:proofErr w:type="spellEnd"/>
            <w:r w:rsidRPr="00496F4E">
              <w:t xml:space="preserve"> castration-resistant prostate cancer (</w:t>
            </w:r>
            <w:proofErr w:type="spellStart"/>
            <w:r w:rsidRPr="00496F4E">
              <w:t>nmCRPC</w:t>
            </w:r>
            <w:proofErr w:type="spellEnd"/>
            <w:r w:rsidRPr="00496F4E">
              <w:t>),</w:t>
            </w:r>
          </w:p>
        </w:tc>
        <w:tc>
          <w:tcPr>
            <w:tcW w:w="1402" w:type="pct"/>
            <w:tcBorders>
              <w:top w:val="nil"/>
              <w:bottom w:val="nil"/>
            </w:tcBorders>
            <w:vAlign w:val="center"/>
          </w:tcPr>
          <w:p w:rsidR="00241654" w:rsidRDefault="00241654" w:rsidP="00816303">
            <w:pPr>
              <w:pStyle w:val="Tabletext"/>
              <w:keepNext/>
              <w:keepLines/>
              <w:rPr>
                <w:i/>
                <w:szCs w:val="18"/>
                <w:lang w:eastAsia="en-AU"/>
              </w:rPr>
            </w:pPr>
            <w:r w:rsidRPr="00496F4E">
              <w:t>Annual EAU Congress Copenhagen</w:t>
            </w:r>
            <w:r>
              <w:t xml:space="preserve"> 2018</w:t>
            </w:r>
            <w:r w:rsidRPr="00496F4E">
              <w:t xml:space="preserve"> (</w:t>
            </w:r>
            <w:proofErr w:type="spellStart"/>
            <w:r w:rsidRPr="00496F4E">
              <w:t>suppl</w:t>
            </w:r>
            <w:proofErr w:type="spellEnd"/>
            <w:r w:rsidRPr="00496F4E">
              <w:t xml:space="preserve">: </w:t>
            </w:r>
            <w:proofErr w:type="spellStart"/>
            <w:r w:rsidRPr="00496F4E">
              <w:t>abstr</w:t>
            </w:r>
            <w:proofErr w:type="spellEnd"/>
            <w:r w:rsidRPr="00496F4E">
              <w:t xml:space="preserve"> 17(2)</w:t>
            </w:r>
            <w:proofErr w:type="gramStart"/>
            <w:r w:rsidRPr="00496F4E">
              <w:t>;e1070</w:t>
            </w:r>
            <w:proofErr w:type="gramEnd"/>
            <w:r w:rsidRPr="00496F4E">
              <w:t>).</w:t>
            </w:r>
          </w:p>
        </w:tc>
      </w:tr>
      <w:tr w:rsidR="00241654" w:rsidRPr="00CB38A8" w:rsidTr="00241654">
        <w:tc>
          <w:tcPr>
            <w:tcW w:w="795" w:type="pct"/>
            <w:tcBorders>
              <w:top w:val="nil"/>
              <w:bottom w:val="nil"/>
            </w:tcBorders>
            <w:vAlign w:val="center"/>
          </w:tcPr>
          <w:p w:rsidR="00241654" w:rsidRPr="00CB38A8" w:rsidRDefault="00241654" w:rsidP="00816303">
            <w:pPr>
              <w:pStyle w:val="Tabletext"/>
              <w:keepNext/>
              <w:keepLines/>
            </w:pPr>
            <w:r>
              <w:t>SPARTAN</w:t>
            </w:r>
          </w:p>
        </w:tc>
        <w:tc>
          <w:tcPr>
            <w:tcW w:w="2803" w:type="pct"/>
            <w:tcBorders>
              <w:top w:val="nil"/>
              <w:bottom w:val="nil"/>
            </w:tcBorders>
            <w:vAlign w:val="center"/>
          </w:tcPr>
          <w:p w:rsidR="00241654" w:rsidRPr="00E34A35" w:rsidRDefault="00241654" w:rsidP="00816303">
            <w:pPr>
              <w:pStyle w:val="Tabletext"/>
              <w:keepNext/>
              <w:keepLines/>
              <w:rPr>
                <w:szCs w:val="18"/>
                <w:lang w:eastAsia="en-AU"/>
              </w:rPr>
            </w:pPr>
            <w:r>
              <w:t>Small EJ, Lee JY, Lopez-</w:t>
            </w:r>
            <w:proofErr w:type="spellStart"/>
            <w:r>
              <w:t>Gitlitz</w:t>
            </w:r>
            <w:proofErr w:type="spellEnd"/>
            <w:r>
              <w:t xml:space="preserve"> A, </w:t>
            </w:r>
            <w:proofErr w:type="spellStart"/>
            <w:r>
              <w:t>Saad</w:t>
            </w:r>
            <w:proofErr w:type="spellEnd"/>
            <w:r>
              <w:t xml:space="preserve"> F. </w:t>
            </w:r>
            <w:r w:rsidRPr="00496F4E">
              <w:t xml:space="preserve"> Prostate-specific antigen (PSA) outcomes in patients (pts) with </w:t>
            </w:r>
            <w:proofErr w:type="spellStart"/>
            <w:r w:rsidRPr="00496F4E">
              <w:t>nonmetastatic</w:t>
            </w:r>
            <w:proofErr w:type="spellEnd"/>
            <w:r w:rsidRPr="00496F4E">
              <w:t xml:space="preserve"> castration-resistant prostate cancer (NMCRPC) treated with </w:t>
            </w:r>
            <w:proofErr w:type="spellStart"/>
            <w:r w:rsidRPr="00496F4E">
              <w:t>apalutamide</w:t>
            </w:r>
            <w:proofErr w:type="spellEnd"/>
            <w:r w:rsidRPr="00496F4E">
              <w:t xml:space="preserve"> (APA): Results from phase 3 </w:t>
            </w:r>
            <w:proofErr w:type="spellStart"/>
            <w:r w:rsidRPr="00496F4E">
              <w:t>spartan</w:t>
            </w:r>
            <w:proofErr w:type="spellEnd"/>
            <w:r w:rsidRPr="00496F4E">
              <w:t xml:space="preserve"> study,</w:t>
            </w:r>
          </w:p>
        </w:tc>
        <w:tc>
          <w:tcPr>
            <w:tcW w:w="1402" w:type="pct"/>
            <w:tcBorders>
              <w:top w:val="nil"/>
              <w:bottom w:val="nil"/>
            </w:tcBorders>
            <w:vAlign w:val="center"/>
          </w:tcPr>
          <w:p w:rsidR="00241654" w:rsidRPr="00E34A35" w:rsidRDefault="00241654" w:rsidP="00816303">
            <w:pPr>
              <w:pStyle w:val="Tabletext"/>
              <w:keepNext/>
              <w:keepLines/>
              <w:rPr>
                <w:szCs w:val="18"/>
                <w:lang w:eastAsia="en-AU"/>
              </w:rPr>
            </w:pPr>
            <w:r w:rsidRPr="00D36B48">
              <w:rPr>
                <w:i/>
              </w:rPr>
              <w:t xml:space="preserve">J </w:t>
            </w:r>
            <w:proofErr w:type="spellStart"/>
            <w:r w:rsidRPr="00D36B48">
              <w:rPr>
                <w:i/>
              </w:rPr>
              <w:t>Urol</w:t>
            </w:r>
            <w:proofErr w:type="spellEnd"/>
            <w:r>
              <w:t xml:space="preserve"> 2018; </w:t>
            </w:r>
            <w:r w:rsidRPr="00496F4E">
              <w:t>199, 4S Supplement, PD10-11.</w:t>
            </w:r>
          </w:p>
        </w:tc>
      </w:tr>
      <w:tr w:rsidR="00241654" w:rsidRPr="00CB38A8" w:rsidTr="00241654">
        <w:tc>
          <w:tcPr>
            <w:tcW w:w="795" w:type="pct"/>
            <w:tcBorders>
              <w:top w:val="nil"/>
              <w:bottom w:val="single" w:sz="4" w:space="0" w:color="auto"/>
            </w:tcBorders>
            <w:vAlign w:val="center"/>
          </w:tcPr>
          <w:p w:rsidR="00241654" w:rsidRPr="00CB38A8" w:rsidRDefault="00241654" w:rsidP="00816303">
            <w:pPr>
              <w:pStyle w:val="Tabletext"/>
              <w:keepNext/>
              <w:keepLines/>
            </w:pPr>
          </w:p>
        </w:tc>
        <w:tc>
          <w:tcPr>
            <w:tcW w:w="2803" w:type="pct"/>
            <w:tcBorders>
              <w:top w:val="nil"/>
              <w:bottom w:val="single" w:sz="4" w:space="0" w:color="auto"/>
            </w:tcBorders>
            <w:vAlign w:val="center"/>
          </w:tcPr>
          <w:p w:rsidR="00241654" w:rsidRPr="00AB6248" w:rsidRDefault="00241654" w:rsidP="00816303">
            <w:pPr>
              <w:pStyle w:val="Tabletext"/>
              <w:keepNext/>
              <w:keepLines/>
              <w:rPr>
                <w:szCs w:val="18"/>
                <w:lang w:val="en-US" w:eastAsia="en-AU"/>
              </w:rPr>
            </w:pPr>
            <w:r>
              <w:t xml:space="preserve">Small EJ, </w:t>
            </w:r>
            <w:proofErr w:type="spellStart"/>
            <w:r>
              <w:t>Saad</w:t>
            </w:r>
            <w:proofErr w:type="spellEnd"/>
            <w:r>
              <w:t xml:space="preserve"> F, </w:t>
            </w:r>
            <w:proofErr w:type="spellStart"/>
            <w:r>
              <w:t>Hadaschik</w:t>
            </w:r>
            <w:proofErr w:type="spellEnd"/>
            <w:r>
              <w:t xml:space="preserve"> BA, Graff JN.</w:t>
            </w:r>
            <w:r w:rsidRPr="00496F4E">
              <w:t xml:space="preserve"> </w:t>
            </w:r>
            <w:r>
              <w:t xml:space="preserve"> </w:t>
            </w:r>
            <w:r w:rsidRPr="00496F4E">
              <w:t xml:space="preserve">Patient reported outcomes (PROS) in </w:t>
            </w:r>
            <w:proofErr w:type="spellStart"/>
            <w:r w:rsidRPr="00496F4E">
              <w:t>spartan</w:t>
            </w:r>
            <w:proofErr w:type="spellEnd"/>
            <w:r w:rsidRPr="00496F4E">
              <w:t xml:space="preserve">, a phase 3, double-blind, randomized study of </w:t>
            </w:r>
            <w:proofErr w:type="spellStart"/>
            <w:r w:rsidRPr="00496F4E">
              <w:t>apalutamide</w:t>
            </w:r>
            <w:proofErr w:type="spellEnd"/>
            <w:r w:rsidRPr="00496F4E">
              <w:t xml:space="preserve"> (APA) plus androgen deprivation therapy (ADT) vs placebo plus ADT in men with </w:t>
            </w:r>
            <w:proofErr w:type="spellStart"/>
            <w:r w:rsidRPr="00496F4E">
              <w:t>nonmetastatic</w:t>
            </w:r>
            <w:proofErr w:type="spellEnd"/>
            <w:r w:rsidRPr="00496F4E">
              <w:t xml:space="preserve"> castration-resistant prostate cancer (NMCRPC),</w:t>
            </w:r>
          </w:p>
        </w:tc>
        <w:tc>
          <w:tcPr>
            <w:tcW w:w="1402" w:type="pct"/>
            <w:tcBorders>
              <w:top w:val="nil"/>
              <w:bottom w:val="single" w:sz="4" w:space="0" w:color="auto"/>
            </w:tcBorders>
            <w:vAlign w:val="center"/>
          </w:tcPr>
          <w:p w:rsidR="00241654" w:rsidRPr="00AB6248" w:rsidRDefault="00241654" w:rsidP="00816303">
            <w:pPr>
              <w:pStyle w:val="Tabletext"/>
              <w:keepNext/>
              <w:keepLines/>
              <w:rPr>
                <w:i/>
                <w:szCs w:val="18"/>
                <w:lang w:val="en-US" w:eastAsia="en-AU"/>
              </w:rPr>
            </w:pPr>
            <w:r w:rsidRPr="00D36B48">
              <w:rPr>
                <w:i/>
              </w:rPr>
              <w:t xml:space="preserve">J </w:t>
            </w:r>
            <w:proofErr w:type="spellStart"/>
            <w:r w:rsidRPr="00D36B48">
              <w:rPr>
                <w:i/>
              </w:rPr>
              <w:t>Urol</w:t>
            </w:r>
            <w:proofErr w:type="spellEnd"/>
            <w:r w:rsidRPr="00496F4E">
              <w:t xml:space="preserve"> </w:t>
            </w:r>
            <w:r>
              <w:t>2018;</w:t>
            </w:r>
            <w:r w:rsidRPr="00496F4E">
              <w:t xml:space="preserve"> 199, 4S Supplement, MP52-20</w:t>
            </w:r>
          </w:p>
        </w:tc>
      </w:tr>
    </w:tbl>
    <w:p w:rsidR="008E0D3C" w:rsidRPr="00B1011F" w:rsidRDefault="00241654" w:rsidP="00CB20A7">
      <w:pPr>
        <w:pStyle w:val="TableFooter"/>
        <w:keepNext/>
        <w:keepLines/>
        <w:spacing w:after="240"/>
        <w:rPr>
          <w:sz w:val="20"/>
        </w:rPr>
      </w:pPr>
      <w:r>
        <w:t>Source: Table 2.4, p85 of the submission.</w:t>
      </w:r>
    </w:p>
    <w:p w:rsidR="007F1017" w:rsidRPr="00241654" w:rsidRDefault="00241654" w:rsidP="007A132D">
      <w:pPr>
        <w:pStyle w:val="ListParagraph"/>
        <w:numPr>
          <w:ilvl w:val="1"/>
          <w:numId w:val="3"/>
        </w:numPr>
      </w:pPr>
      <w:r>
        <w:t xml:space="preserve">The key features of the SPARTAN trial </w:t>
      </w:r>
      <w:r w:rsidR="008F120A" w:rsidRPr="00B50DB8">
        <w:t xml:space="preserve">are summarised in the table below.  </w:t>
      </w:r>
    </w:p>
    <w:p w:rsidR="007F1017" w:rsidRPr="00E2771E" w:rsidRDefault="007F1017" w:rsidP="00045017">
      <w:pPr>
        <w:rPr>
          <w:rStyle w:val="CommentReference"/>
        </w:rPr>
      </w:pPr>
      <w:r w:rsidRPr="00E2771E">
        <w:rPr>
          <w:rStyle w:val="CommentReference"/>
        </w:rPr>
        <w:t xml:space="preserve">Table </w:t>
      </w:r>
      <w:r w:rsidR="005E3073">
        <w:rPr>
          <w:rStyle w:val="CommentReference"/>
        </w:rPr>
        <w:t>3</w:t>
      </w:r>
      <w:r w:rsidRPr="00E2771E">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77"/>
        <w:gridCol w:w="563"/>
        <w:gridCol w:w="1408"/>
        <w:gridCol w:w="1120"/>
        <w:gridCol w:w="2245"/>
        <w:gridCol w:w="1120"/>
        <w:gridCol w:w="1684"/>
      </w:tblGrid>
      <w:tr w:rsidR="00C67E6C" w:rsidRPr="00B41614" w:rsidTr="00C67E6C">
        <w:tc>
          <w:tcPr>
            <w:tcW w:w="486" w:type="pct"/>
            <w:shd w:val="clear" w:color="auto" w:fill="auto"/>
            <w:vAlign w:val="center"/>
          </w:tcPr>
          <w:p w:rsidR="007F1017" w:rsidRPr="00B41614" w:rsidRDefault="007F1017" w:rsidP="00B41614">
            <w:pPr>
              <w:pStyle w:val="Tabletext"/>
              <w:rPr>
                <w:b/>
                <w:lang w:val="en-US"/>
              </w:rPr>
            </w:pPr>
            <w:r w:rsidRPr="00B41614">
              <w:rPr>
                <w:b/>
                <w:lang w:val="en-US"/>
              </w:rPr>
              <w:t>Trial</w:t>
            </w:r>
          </w:p>
        </w:tc>
        <w:tc>
          <w:tcPr>
            <w:tcW w:w="312" w:type="pct"/>
            <w:shd w:val="clear" w:color="auto" w:fill="auto"/>
            <w:vAlign w:val="center"/>
          </w:tcPr>
          <w:p w:rsidR="007F1017" w:rsidRPr="00B41614" w:rsidRDefault="007F1017" w:rsidP="00B41614">
            <w:pPr>
              <w:pStyle w:val="Tabletext"/>
              <w:jc w:val="center"/>
              <w:rPr>
                <w:b/>
                <w:lang w:val="en-US"/>
              </w:rPr>
            </w:pPr>
            <w:r w:rsidRPr="00B41614">
              <w:rPr>
                <w:b/>
                <w:lang w:val="en-US"/>
              </w:rPr>
              <w:t>N</w:t>
            </w:r>
          </w:p>
        </w:tc>
        <w:tc>
          <w:tcPr>
            <w:tcW w:w="781" w:type="pct"/>
            <w:shd w:val="clear" w:color="auto" w:fill="auto"/>
            <w:vAlign w:val="center"/>
          </w:tcPr>
          <w:p w:rsidR="007F1017" w:rsidRPr="00B41614" w:rsidRDefault="007F1017" w:rsidP="00B41614">
            <w:pPr>
              <w:pStyle w:val="Tabletext"/>
              <w:jc w:val="center"/>
              <w:rPr>
                <w:b/>
                <w:lang w:val="en-US"/>
              </w:rPr>
            </w:pPr>
            <w:r w:rsidRPr="00B41614">
              <w:rPr>
                <w:b/>
                <w:lang w:val="en-US"/>
              </w:rPr>
              <w:t>Design/ duration</w:t>
            </w:r>
          </w:p>
        </w:tc>
        <w:tc>
          <w:tcPr>
            <w:tcW w:w="621" w:type="pct"/>
            <w:shd w:val="clear" w:color="auto" w:fill="auto"/>
            <w:vAlign w:val="center"/>
          </w:tcPr>
          <w:p w:rsidR="007F1017" w:rsidRPr="00B41614" w:rsidRDefault="007F1017" w:rsidP="00B41614">
            <w:pPr>
              <w:pStyle w:val="Tabletext"/>
              <w:jc w:val="center"/>
              <w:rPr>
                <w:b/>
                <w:lang w:val="en-US"/>
              </w:rPr>
            </w:pPr>
            <w:r w:rsidRPr="00B41614">
              <w:rPr>
                <w:b/>
                <w:lang w:val="en-US"/>
              </w:rPr>
              <w:t>Risk of bias</w:t>
            </w:r>
          </w:p>
        </w:tc>
        <w:tc>
          <w:tcPr>
            <w:tcW w:w="1245" w:type="pct"/>
            <w:shd w:val="clear" w:color="auto" w:fill="auto"/>
            <w:vAlign w:val="center"/>
          </w:tcPr>
          <w:p w:rsidR="007F1017" w:rsidRPr="00B41614" w:rsidRDefault="007F1017" w:rsidP="00B41614">
            <w:pPr>
              <w:pStyle w:val="Tabletext"/>
              <w:jc w:val="center"/>
              <w:rPr>
                <w:b/>
                <w:lang w:val="en-US"/>
              </w:rPr>
            </w:pPr>
            <w:r w:rsidRPr="00B41614">
              <w:rPr>
                <w:b/>
                <w:lang w:val="en-US"/>
              </w:rPr>
              <w:t>Patient population</w:t>
            </w:r>
          </w:p>
        </w:tc>
        <w:tc>
          <w:tcPr>
            <w:tcW w:w="621" w:type="pct"/>
            <w:shd w:val="clear" w:color="auto" w:fill="auto"/>
            <w:vAlign w:val="center"/>
          </w:tcPr>
          <w:p w:rsidR="007F1017" w:rsidRPr="00B41614" w:rsidRDefault="00C67E6C" w:rsidP="00B41614">
            <w:pPr>
              <w:pStyle w:val="Tabletext"/>
              <w:jc w:val="center"/>
              <w:rPr>
                <w:b/>
                <w:lang w:val="en-US"/>
              </w:rPr>
            </w:pPr>
            <w:r>
              <w:rPr>
                <w:b/>
                <w:lang w:val="en-US"/>
              </w:rPr>
              <w:t>Outcomes</w:t>
            </w:r>
          </w:p>
        </w:tc>
        <w:tc>
          <w:tcPr>
            <w:tcW w:w="934" w:type="pct"/>
            <w:shd w:val="clear" w:color="auto" w:fill="auto"/>
            <w:vAlign w:val="center"/>
          </w:tcPr>
          <w:p w:rsidR="007F1017" w:rsidRPr="00B41614" w:rsidRDefault="007F1017" w:rsidP="00B41614">
            <w:pPr>
              <w:pStyle w:val="Tabletext"/>
              <w:jc w:val="center"/>
              <w:rPr>
                <w:b/>
                <w:lang w:val="en-US"/>
              </w:rPr>
            </w:pPr>
            <w:r w:rsidRPr="00B41614">
              <w:rPr>
                <w:b/>
                <w:lang w:val="en-US"/>
              </w:rPr>
              <w:t>Use in modelled evaluation</w:t>
            </w:r>
          </w:p>
        </w:tc>
      </w:tr>
      <w:tr w:rsidR="00C67E6C" w:rsidRPr="00E2771E" w:rsidTr="00C67E6C">
        <w:tc>
          <w:tcPr>
            <w:tcW w:w="486" w:type="pct"/>
            <w:shd w:val="clear" w:color="auto" w:fill="auto"/>
            <w:vAlign w:val="center"/>
          </w:tcPr>
          <w:p w:rsidR="007F1017" w:rsidRPr="00E2771E" w:rsidRDefault="00241654" w:rsidP="00B41614">
            <w:pPr>
              <w:pStyle w:val="Tabletext"/>
              <w:rPr>
                <w:lang w:val="en-US"/>
              </w:rPr>
            </w:pPr>
            <w:r>
              <w:rPr>
                <w:lang w:val="en-US"/>
              </w:rPr>
              <w:t>SPARTAN</w:t>
            </w:r>
          </w:p>
        </w:tc>
        <w:tc>
          <w:tcPr>
            <w:tcW w:w="312" w:type="pct"/>
            <w:shd w:val="clear" w:color="auto" w:fill="auto"/>
            <w:vAlign w:val="center"/>
          </w:tcPr>
          <w:p w:rsidR="007F1017" w:rsidRPr="00E2771E" w:rsidRDefault="00241654" w:rsidP="00B41614">
            <w:pPr>
              <w:pStyle w:val="Tabletext"/>
              <w:jc w:val="center"/>
              <w:rPr>
                <w:lang w:val="en-US"/>
              </w:rPr>
            </w:pPr>
            <w:r>
              <w:rPr>
                <w:lang w:val="en-US"/>
              </w:rPr>
              <w:t>1,207</w:t>
            </w:r>
          </w:p>
        </w:tc>
        <w:tc>
          <w:tcPr>
            <w:tcW w:w="781" w:type="pct"/>
            <w:shd w:val="clear" w:color="auto" w:fill="auto"/>
            <w:vAlign w:val="center"/>
          </w:tcPr>
          <w:p w:rsidR="007F1017" w:rsidRPr="00E2771E" w:rsidRDefault="007F1017" w:rsidP="00C7151A">
            <w:pPr>
              <w:pStyle w:val="Tabletext"/>
              <w:jc w:val="center"/>
              <w:rPr>
                <w:lang w:val="en-US"/>
              </w:rPr>
            </w:pPr>
            <w:r w:rsidRPr="00E2771E">
              <w:rPr>
                <w:lang w:val="en-US"/>
              </w:rPr>
              <w:t>R, DB</w:t>
            </w:r>
            <w:r w:rsidR="00241654">
              <w:rPr>
                <w:lang w:val="en-US"/>
              </w:rPr>
              <w:t>, MC</w:t>
            </w:r>
          </w:p>
          <w:p w:rsidR="007F1017" w:rsidRPr="00E2771E" w:rsidRDefault="002C6C24" w:rsidP="00C7151A">
            <w:pPr>
              <w:pStyle w:val="Tabletext"/>
              <w:jc w:val="center"/>
              <w:rPr>
                <w:lang w:val="en-US"/>
              </w:rPr>
            </w:pPr>
            <w:r>
              <w:rPr>
                <w:lang w:val="en-US"/>
              </w:rPr>
              <w:t>On-going</w:t>
            </w:r>
          </w:p>
        </w:tc>
        <w:tc>
          <w:tcPr>
            <w:tcW w:w="621" w:type="pct"/>
            <w:shd w:val="clear" w:color="auto" w:fill="auto"/>
            <w:vAlign w:val="center"/>
          </w:tcPr>
          <w:p w:rsidR="007F1017" w:rsidRPr="00E2771E" w:rsidRDefault="00C67E6C" w:rsidP="00B41614">
            <w:pPr>
              <w:pStyle w:val="Tabletext"/>
              <w:jc w:val="center"/>
              <w:rPr>
                <w:lang w:val="en-US"/>
              </w:rPr>
            </w:pPr>
            <w:r>
              <w:rPr>
                <w:lang w:val="en-US"/>
              </w:rPr>
              <w:t>Moderate</w:t>
            </w:r>
          </w:p>
        </w:tc>
        <w:tc>
          <w:tcPr>
            <w:tcW w:w="1245" w:type="pct"/>
            <w:shd w:val="clear" w:color="auto" w:fill="auto"/>
            <w:vAlign w:val="center"/>
          </w:tcPr>
          <w:p w:rsidR="007F1017" w:rsidRPr="00E2771E" w:rsidRDefault="002635E5" w:rsidP="00B41614">
            <w:pPr>
              <w:pStyle w:val="Tabletext"/>
              <w:jc w:val="center"/>
              <w:rPr>
                <w:lang w:val="en-US"/>
              </w:rPr>
            </w:pPr>
            <w:r>
              <w:rPr>
                <w:lang w:val="en-US"/>
              </w:rPr>
              <w:t>m</w:t>
            </w:r>
            <w:r w:rsidR="00552764">
              <w:rPr>
                <w:lang w:val="en-US"/>
              </w:rPr>
              <w:t>0</w:t>
            </w:r>
            <w:r w:rsidR="00C67E6C">
              <w:rPr>
                <w:lang w:val="en-US"/>
              </w:rPr>
              <w:t>CRPC with high risk of distant metastases</w:t>
            </w:r>
          </w:p>
        </w:tc>
        <w:tc>
          <w:tcPr>
            <w:tcW w:w="621" w:type="pct"/>
            <w:shd w:val="clear" w:color="auto" w:fill="auto"/>
            <w:vAlign w:val="center"/>
          </w:tcPr>
          <w:p w:rsidR="007F1017" w:rsidRPr="00E2771E" w:rsidRDefault="00C67E6C" w:rsidP="00B41614">
            <w:pPr>
              <w:pStyle w:val="Tabletext"/>
              <w:jc w:val="center"/>
              <w:rPr>
                <w:lang w:val="en-US"/>
              </w:rPr>
            </w:pPr>
            <w:r>
              <w:rPr>
                <w:lang w:val="en-US"/>
              </w:rPr>
              <w:t xml:space="preserve">MFS, </w:t>
            </w:r>
            <w:r w:rsidR="007F1017" w:rsidRPr="00E2771E">
              <w:rPr>
                <w:lang w:val="en-US"/>
              </w:rPr>
              <w:t>OS</w:t>
            </w:r>
          </w:p>
        </w:tc>
        <w:tc>
          <w:tcPr>
            <w:tcW w:w="934" w:type="pct"/>
            <w:shd w:val="clear" w:color="auto" w:fill="auto"/>
            <w:vAlign w:val="center"/>
          </w:tcPr>
          <w:p w:rsidR="007F1017" w:rsidRPr="00E2771E" w:rsidRDefault="00C67E6C" w:rsidP="00B41614">
            <w:pPr>
              <w:pStyle w:val="Tabletext"/>
              <w:jc w:val="center"/>
              <w:rPr>
                <w:lang w:val="en-US"/>
              </w:rPr>
            </w:pPr>
            <w:r>
              <w:rPr>
                <w:lang w:val="en-US"/>
              </w:rPr>
              <w:t>U</w:t>
            </w:r>
            <w:r w:rsidR="007F1017" w:rsidRPr="00E2771E">
              <w:rPr>
                <w:lang w:val="en-US"/>
              </w:rPr>
              <w:t>sed</w:t>
            </w:r>
          </w:p>
        </w:tc>
      </w:tr>
    </w:tbl>
    <w:p w:rsidR="007F1017" w:rsidRPr="0072416F" w:rsidRDefault="007F1017" w:rsidP="00045017">
      <w:pPr>
        <w:pStyle w:val="TableFooter"/>
      </w:pPr>
      <w:r w:rsidRPr="0072416F">
        <w:t xml:space="preserve">DB=double blind; MC=multi-centre; </w:t>
      </w:r>
      <w:r w:rsidR="00C67E6C">
        <w:t xml:space="preserve">MFS=metastasis-free survival; m0CRPC=non-metastatic castration resistant prostate cancer; </w:t>
      </w:r>
      <w:r w:rsidRPr="0072416F">
        <w:t>OS=overall survival; R=randomised.</w:t>
      </w:r>
    </w:p>
    <w:p w:rsidR="00045017" w:rsidRPr="00B1011F" w:rsidRDefault="00045017" w:rsidP="003F618D">
      <w:pPr>
        <w:pStyle w:val="TableFooter"/>
        <w:spacing w:after="160"/>
        <w:rPr>
          <w:sz w:val="20"/>
        </w:rPr>
      </w:pPr>
      <w:r>
        <w:t>Source</w:t>
      </w:r>
      <w:r w:rsidR="00BE7A29">
        <w:t>: Section 2.3 to 2.4, p86-126 of the submission</w:t>
      </w:r>
      <w:r>
        <w:t>.</w:t>
      </w:r>
    </w:p>
    <w:p w:rsidR="00602280" w:rsidRPr="00FA55BD" w:rsidRDefault="00602280" w:rsidP="00602280">
      <w:pPr>
        <w:pStyle w:val="ListParagraph"/>
        <w:numPr>
          <w:ilvl w:val="1"/>
          <w:numId w:val="3"/>
        </w:numPr>
      </w:pPr>
      <w:bookmarkStart w:id="8" w:name="_Toc522226930"/>
      <w:r w:rsidRPr="00FA55BD">
        <w:t xml:space="preserve">The risk of bias was considered to be moderate due to the potential for </w:t>
      </w:r>
      <w:proofErr w:type="spellStart"/>
      <w:r w:rsidRPr="00FA55BD">
        <w:t>unblinding</w:t>
      </w:r>
      <w:proofErr w:type="spellEnd"/>
      <w:r w:rsidRPr="00FA55BD">
        <w:t xml:space="preserve"> based on the presence of prominent adverse events such as skin rash as discussed in the comparative harms section (paragraph 6.14).  </w:t>
      </w:r>
    </w:p>
    <w:p w:rsidR="00B60939" w:rsidRPr="00C9624D" w:rsidRDefault="00B60939" w:rsidP="00FD3E23">
      <w:pPr>
        <w:pStyle w:val="Heading2"/>
      </w:pPr>
      <w:r w:rsidRPr="00C9624D">
        <w:t>Comparative effectiveness</w:t>
      </w:r>
      <w:bookmarkEnd w:id="8"/>
    </w:p>
    <w:p w:rsidR="00DA3167" w:rsidRPr="00312BFF" w:rsidRDefault="00312BFF" w:rsidP="007A132D">
      <w:pPr>
        <w:pStyle w:val="ListParagraph"/>
        <w:numPr>
          <w:ilvl w:val="1"/>
          <w:numId w:val="3"/>
        </w:numPr>
      </w:pPr>
      <w:r>
        <w:rPr>
          <w:rFonts w:cs="Calibri"/>
          <w:lang w:val="en-US" w:eastAsia="en-AU"/>
        </w:rPr>
        <w:t>The table below provides a summary of results for time-to-eve</w:t>
      </w:r>
      <w:r w:rsidR="00D43C09">
        <w:rPr>
          <w:rFonts w:cs="Calibri"/>
          <w:lang w:val="en-US" w:eastAsia="en-AU"/>
        </w:rPr>
        <w:t>nt outcomes assessed in SPARTAN, with Kaplan Meier curves for MFS and OS following.</w:t>
      </w:r>
    </w:p>
    <w:p w:rsidR="00312BFF" w:rsidRDefault="00312BFF" w:rsidP="00816303">
      <w:pPr>
        <w:keepNext/>
        <w:keepLines/>
      </w:pPr>
      <w:r w:rsidRPr="001A1007">
        <w:rPr>
          <w:rFonts w:ascii="Arial Narrow" w:hAnsi="Arial Narrow"/>
          <w:b/>
          <w:sz w:val="20"/>
          <w:szCs w:val="20"/>
        </w:rPr>
        <w:lastRenderedPageBreak/>
        <w:t xml:space="preserve">Table </w:t>
      </w:r>
      <w:r w:rsidR="005E3073">
        <w:rPr>
          <w:rFonts w:ascii="Arial Narrow" w:hAnsi="Arial Narrow"/>
          <w:b/>
          <w:sz w:val="20"/>
          <w:szCs w:val="20"/>
        </w:rPr>
        <w:t>4</w:t>
      </w:r>
      <w:r w:rsidRPr="001A1007">
        <w:rPr>
          <w:rFonts w:ascii="Arial Narrow" w:hAnsi="Arial Narrow"/>
          <w:b/>
          <w:sz w:val="20"/>
          <w:szCs w:val="20"/>
        </w:rPr>
        <w:t>:  Summary of time-to-event outcomes in SPARTAN</w:t>
      </w:r>
    </w:p>
    <w:tbl>
      <w:tblPr>
        <w:tblStyle w:val="TableGrid"/>
        <w:tblW w:w="0" w:type="auto"/>
        <w:tblInd w:w="108" w:type="dxa"/>
        <w:tblLook w:val="04A0" w:firstRow="1" w:lastRow="0" w:firstColumn="1" w:lastColumn="0" w:noHBand="0" w:noVBand="1"/>
        <w:tblCaption w:val="Summary of time-to-event outcomes in SPARTAN"/>
      </w:tblPr>
      <w:tblGrid>
        <w:gridCol w:w="4719"/>
        <w:gridCol w:w="2104"/>
        <w:gridCol w:w="2086"/>
      </w:tblGrid>
      <w:tr w:rsidR="00312BFF" w:rsidRPr="001A1007" w:rsidTr="00487634">
        <w:trPr>
          <w:tblHeader/>
        </w:trPr>
        <w:tc>
          <w:tcPr>
            <w:tcW w:w="4820" w:type="dxa"/>
          </w:tcPr>
          <w:p w:rsidR="00312BFF" w:rsidRPr="001A1007" w:rsidRDefault="00312BFF" w:rsidP="00816303">
            <w:pPr>
              <w:keepNext/>
              <w:keepLines/>
              <w:tabs>
                <w:tab w:val="left" w:pos="142"/>
              </w:tabs>
              <w:jc w:val="left"/>
              <w:rPr>
                <w:rFonts w:ascii="Arial Narrow" w:hAnsi="Arial Narrow"/>
                <w:b/>
                <w:sz w:val="20"/>
                <w:szCs w:val="20"/>
              </w:rPr>
            </w:pPr>
            <w:r>
              <w:rPr>
                <w:rFonts w:ascii="Arial Narrow" w:hAnsi="Arial Narrow"/>
                <w:b/>
                <w:sz w:val="20"/>
                <w:szCs w:val="20"/>
              </w:rPr>
              <w:t>Outcome</w:t>
            </w:r>
          </w:p>
        </w:tc>
        <w:tc>
          <w:tcPr>
            <w:tcW w:w="2130" w:type="dxa"/>
          </w:tcPr>
          <w:p w:rsidR="00312BFF" w:rsidRPr="001A1007" w:rsidRDefault="00312BFF" w:rsidP="00816303">
            <w:pPr>
              <w:keepNext/>
              <w:keepLines/>
              <w:jc w:val="center"/>
              <w:rPr>
                <w:rFonts w:ascii="Arial Narrow" w:hAnsi="Arial Narrow"/>
                <w:b/>
                <w:sz w:val="20"/>
                <w:szCs w:val="20"/>
              </w:rPr>
            </w:pPr>
            <w:proofErr w:type="spellStart"/>
            <w:r>
              <w:rPr>
                <w:rFonts w:ascii="Arial Narrow" w:hAnsi="Arial Narrow"/>
                <w:b/>
                <w:sz w:val="20"/>
                <w:szCs w:val="20"/>
              </w:rPr>
              <w:t>Apalutamide</w:t>
            </w:r>
            <w:proofErr w:type="spellEnd"/>
            <w:r>
              <w:rPr>
                <w:rFonts w:ascii="Arial Narrow" w:hAnsi="Arial Narrow"/>
                <w:b/>
                <w:sz w:val="20"/>
                <w:szCs w:val="20"/>
              </w:rPr>
              <w:t xml:space="preserve"> (N=806)</w:t>
            </w:r>
          </w:p>
        </w:tc>
        <w:tc>
          <w:tcPr>
            <w:tcW w:w="2122" w:type="dxa"/>
          </w:tcPr>
          <w:p w:rsidR="00312BFF" w:rsidRPr="001A1007" w:rsidRDefault="00312BFF" w:rsidP="00816303">
            <w:pPr>
              <w:keepNext/>
              <w:keepLines/>
              <w:jc w:val="center"/>
              <w:rPr>
                <w:rFonts w:ascii="Arial Narrow" w:hAnsi="Arial Narrow"/>
                <w:b/>
                <w:sz w:val="20"/>
                <w:szCs w:val="20"/>
              </w:rPr>
            </w:pPr>
            <w:r>
              <w:rPr>
                <w:rFonts w:ascii="Arial Narrow" w:hAnsi="Arial Narrow"/>
                <w:b/>
                <w:sz w:val="20"/>
                <w:szCs w:val="20"/>
              </w:rPr>
              <w:t>Placebo (N=401)</w:t>
            </w:r>
          </w:p>
        </w:tc>
      </w:tr>
      <w:tr w:rsidR="00312BFF" w:rsidRPr="00691AEA" w:rsidTr="00487634">
        <w:tc>
          <w:tcPr>
            <w:tcW w:w="9072" w:type="dxa"/>
            <w:gridSpan w:val="3"/>
          </w:tcPr>
          <w:p w:rsidR="00312BFF" w:rsidRPr="00691AEA" w:rsidRDefault="00312BFF" w:rsidP="00816303">
            <w:pPr>
              <w:keepNext/>
              <w:keepLines/>
              <w:tabs>
                <w:tab w:val="left" w:pos="142"/>
              </w:tabs>
              <w:jc w:val="left"/>
              <w:rPr>
                <w:rFonts w:ascii="Arial Narrow" w:hAnsi="Arial Narrow"/>
                <w:b/>
                <w:sz w:val="20"/>
                <w:szCs w:val="20"/>
              </w:rPr>
            </w:pPr>
            <w:r>
              <w:rPr>
                <w:rFonts w:ascii="Arial Narrow" w:hAnsi="Arial Narrow"/>
                <w:b/>
                <w:sz w:val="20"/>
                <w:szCs w:val="20"/>
              </w:rPr>
              <w:t>Metastasis-free survival (</w:t>
            </w:r>
            <w:r w:rsidRPr="00691AEA">
              <w:rPr>
                <w:rFonts w:ascii="Arial Narrow" w:hAnsi="Arial Narrow"/>
                <w:b/>
                <w:sz w:val="20"/>
                <w:szCs w:val="20"/>
              </w:rPr>
              <w:t>MFS</w:t>
            </w:r>
            <w:r>
              <w:rPr>
                <w:rFonts w:ascii="Arial Narrow" w:hAnsi="Arial Narrow"/>
                <w:b/>
                <w:sz w:val="20"/>
                <w:szCs w:val="20"/>
              </w:rPr>
              <w:t>)</w:t>
            </w:r>
            <w:r w:rsidRPr="00691AEA">
              <w:rPr>
                <w:rFonts w:ascii="Arial Narrow" w:hAnsi="Arial Narrow"/>
                <w:b/>
                <w:sz w:val="20"/>
                <w:szCs w:val="20"/>
              </w:rPr>
              <w:t xml:space="preserve"> – BICR assessed</w:t>
            </w:r>
          </w:p>
        </w:tc>
      </w:tr>
      <w:tr w:rsidR="00312BFF" w:rsidRPr="001A1007" w:rsidTr="00487634">
        <w:tc>
          <w:tcPr>
            <w:tcW w:w="4820" w:type="dxa"/>
          </w:tcPr>
          <w:p w:rsidR="00312BFF" w:rsidRPr="001A1007" w:rsidRDefault="00312BFF" w:rsidP="00816303">
            <w:pPr>
              <w:keepNext/>
              <w:keepLines/>
              <w:tabs>
                <w:tab w:val="left" w:pos="142"/>
              </w:tabs>
              <w:jc w:val="left"/>
              <w:rPr>
                <w:rFonts w:ascii="Arial Narrow" w:hAnsi="Arial Narrow"/>
                <w:sz w:val="20"/>
                <w:szCs w:val="20"/>
              </w:rPr>
            </w:pPr>
            <w:r>
              <w:rPr>
                <w:rFonts w:ascii="Arial Narrow" w:hAnsi="Arial Narrow"/>
                <w:sz w:val="20"/>
                <w:szCs w:val="20"/>
              </w:rPr>
              <w:tab/>
              <w:t>Event (n %)</w:t>
            </w:r>
          </w:p>
        </w:tc>
        <w:tc>
          <w:tcPr>
            <w:tcW w:w="2130" w:type="dxa"/>
          </w:tcPr>
          <w:p w:rsidR="00312BFF" w:rsidRPr="001A1007" w:rsidRDefault="00312BFF" w:rsidP="00816303">
            <w:pPr>
              <w:keepNext/>
              <w:keepLines/>
              <w:jc w:val="center"/>
              <w:rPr>
                <w:rFonts w:ascii="Arial Narrow" w:hAnsi="Arial Narrow"/>
                <w:sz w:val="20"/>
                <w:szCs w:val="20"/>
              </w:rPr>
            </w:pPr>
            <w:r w:rsidRPr="00691AEA">
              <w:rPr>
                <w:rFonts w:ascii="Arial Narrow" w:hAnsi="Arial Narrow"/>
                <w:sz w:val="20"/>
                <w:szCs w:val="20"/>
              </w:rPr>
              <w:t>209 (25.9%)</w:t>
            </w:r>
          </w:p>
        </w:tc>
        <w:tc>
          <w:tcPr>
            <w:tcW w:w="2122" w:type="dxa"/>
          </w:tcPr>
          <w:p w:rsidR="00312BFF" w:rsidRPr="001A1007" w:rsidRDefault="00312BFF" w:rsidP="00816303">
            <w:pPr>
              <w:keepNext/>
              <w:keepLines/>
              <w:jc w:val="center"/>
              <w:rPr>
                <w:rFonts w:ascii="Arial Narrow" w:hAnsi="Arial Narrow"/>
                <w:sz w:val="20"/>
                <w:szCs w:val="20"/>
              </w:rPr>
            </w:pPr>
            <w:r w:rsidRPr="00691AEA">
              <w:rPr>
                <w:rFonts w:ascii="Arial Narrow" w:hAnsi="Arial Narrow"/>
                <w:sz w:val="20"/>
                <w:szCs w:val="20"/>
              </w:rPr>
              <w:t>210 (52.4%)</w:t>
            </w:r>
          </w:p>
        </w:tc>
      </w:tr>
      <w:tr w:rsidR="00312BFF" w:rsidRPr="001A1007" w:rsidTr="00487634">
        <w:tc>
          <w:tcPr>
            <w:tcW w:w="4820" w:type="dxa"/>
          </w:tcPr>
          <w:p w:rsidR="00312BFF" w:rsidRPr="001A1007" w:rsidRDefault="00312BFF" w:rsidP="00816303">
            <w:pPr>
              <w:keepNext/>
              <w:keepLines/>
              <w:tabs>
                <w:tab w:val="left" w:pos="142"/>
              </w:tabs>
              <w:jc w:val="left"/>
              <w:rPr>
                <w:rFonts w:ascii="Arial Narrow" w:hAnsi="Arial Narrow"/>
                <w:sz w:val="20"/>
                <w:szCs w:val="20"/>
              </w:rPr>
            </w:pPr>
            <w:r>
              <w:rPr>
                <w:rFonts w:ascii="Arial Narrow" w:hAnsi="Arial Narrow"/>
                <w:sz w:val="20"/>
                <w:szCs w:val="20"/>
              </w:rPr>
              <w:tab/>
              <w:t xml:space="preserve">Median months to metastasis (95% CI) </w:t>
            </w:r>
          </w:p>
        </w:tc>
        <w:tc>
          <w:tcPr>
            <w:tcW w:w="2130" w:type="dxa"/>
          </w:tcPr>
          <w:p w:rsidR="00312BFF" w:rsidRPr="001A1007" w:rsidRDefault="00312BFF" w:rsidP="00816303">
            <w:pPr>
              <w:keepNext/>
              <w:keepLines/>
              <w:jc w:val="center"/>
              <w:rPr>
                <w:rFonts w:ascii="Arial Narrow" w:hAnsi="Arial Narrow"/>
                <w:sz w:val="20"/>
                <w:szCs w:val="20"/>
              </w:rPr>
            </w:pPr>
            <w:r w:rsidRPr="00691AEA">
              <w:rPr>
                <w:rFonts w:ascii="Arial Narrow" w:hAnsi="Arial Narrow"/>
                <w:sz w:val="20"/>
                <w:szCs w:val="20"/>
              </w:rPr>
              <w:t>40.51 (29.70, 40.51)</w:t>
            </w:r>
          </w:p>
        </w:tc>
        <w:tc>
          <w:tcPr>
            <w:tcW w:w="2122" w:type="dxa"/>
          </w:tcPr>
          <w:p w:rsidR="00312BFF" w:rsidRPr="001A1007" w:rsidRDefault="00312BFF" w:rsidP="00816303">
            <w:pPr>
              <w:keepNext/>
              <w:keepLines/>
              <w:jc w:val="center"/>
              <w:rPr>
                <w:rFonts w:ascii="Arial Narrow" w:hAnsi="Arial Narrow"/>
                <w:sz w:val="20"/>
                <w:szCs w:val="20"/>
              </w:rPr>
            </w:pPr>
            <w:r w:rsidRPr="00691AEA">
              <w:rPr>
                <w:rFonts w:ascii="Arial Narrow" w:hAnsi="Arial Narrow"/>
                <w:sz w:val="20"/>
                <w:szCs w:val="20"/>
              </w:rPr>
              <w:t>15.70 (14.55, 18.40)</w:t>
            </w:r>
          </w:p>
        </w:tc>
      </w:tr>
      <w:tr w:rsidR="00312BFF" w:rsidRPr="00691AEA" w:rsidTr="00487634">
        <w:tc>
          <w:tcPr>
            <w:tcW w:w="4820" w:type="dxa"/>
          </w:tcPr>
          <w:p w:rsidR="00312BFF" w:rsidRPr="001A1007" w:rsidRDefault="00312BFF" w:rsidP="00816303">
            <w:pPr>
              <w:keepNext/>
              <w:keepLines/>
              <w:tabs>
                <w:tab w:val="left" w:pos="142"/>
              </w:tabs>
              <w:jc w:val="left"/>
              <w:rPr>
                <w:rFonts w:ascii="Arial Narrow" w:hAnsi="Arial Narrow"/>
                <w:sz w:val="20"/>
                <w:szCs w:val="20"/>
              </w:rPr>
            </w:pPr>
            <w:r>
              <w:rPr>
                <w:rFonts w:ascii="Arial Narrow" w:hAnsi="Arial Narrow"/>
                <w:sz w:val="20"/>
                <w:szCs w:val="20"/>
              </w:rPr>
              <w:tab/>
              <w:t>HR (95% CI)</w:t>
            </w:r>
          </w:p>
        </w:tc>
        <w:tc>
          <w:tcPr>
            <w:tcW w:w="4252" w:type="dxa"/>
            <w:gridSpan w:val="2"/>
          </w:tcPr>
          <w:p w:rsidR="00312BFF" w:rsidRPr="00691AEA" w:rsidRDefault="00312BFF" w:rsidP="00816303">
            <w:pPr>
              <w:keepNext/>
              <w:keepLines/>
              <w:jc w:val="center"/>
              <w:rPr>
                <w:rFonts w:ascii="Arial Narrow" w:hAnsi="Arial Narrow"/>
                <w:b/>
                <w:sz w:val="20"/>
                <w:szCs w:val="20"/>
              </w:rPr>
            </w:pPr>
            <w:r w:rsidRPr="00691AEA">
              <w:rPr>
                <w:rFonts w:ascii="Arial Narrow" w:hAnsi="Arial Narrow"/>
                <w:b/>
                <w:sz w:val="20"/>
                <w:szCs w:val="20"/>
              </w:rPr>
              <w:t>0.297 (0.244,0.362)</w:t>
            </w:r>
          </w:p>
        </w:tc>
      </w:tr>
      <w:tr w:rsidR="00312BFF" w:rsidRPr="00691AEA" w:rsidTr="00487634">
        <w:tc>
          <w:tcPr>
            <w:tcW w:w="9072" w:type="dxa"/>
            <w:gridSpan w:val="3"/>
          </w:tcPr>
          <w:p w:rsidR="00312BFF" w:rsidRPr="00691AEA" w:rsidRDefault="00312BFF" w:rsidP="00816303">
            <w:pPr>
              <w:keepNext/>
              <w:keepLines/>
              <w:jc w:val="left"/>
              <w:rPr>
                <w:rFonts w:ascii="Arial Narrow" w:hAnsi="Arial Narrow"/>
                <w:b/>
                <w:sz w:val="20"/>
                <w:szCs w:val="20"/>
              </w:rPr>
            </w:pPr>
            <w:r>
              <w:rPr>
                <w:rFonts w:ascii="Arial Narrow" w:hAnsi="Arial Narrow"/>
                <w:b/>
                <w:sz w:val="20"/>
                <w:szCs w:val="20"/>
              </w:rPr>
              <w:t>Metastasis-free survival (</w:t>
            </w:r>
            <w:r w:rsidRPr="00691AEA">
              <w:rPr>
                <w:rFonts w:ascii="Arial Narrow" w:hAnsi="Arial Narrow"/>
                <w:b/>
                <w:sz w:val="20"/>
                <w:szCs w:val="20"/>
              </w:rPr>
              <w:t>MFS</w:t>
            </w:r>
            <w:r>
              <w:rPr>
                <w:rFonts w:ascii="Arial Narrow" w:hAnsi="Arial Narrow"/>
                <w:b/>
                <w:sz w:val="20"/>
                <w:szCs w:val="20"/>
              </w:rPr>
              <w:t>)</w:t>
            </w:r>
            <w:r w:rsidRPr="00691AEA">
              <w:rPr>
                <w:rFonts w:ascii="Arial Narrow" w:hAnsi="Arial Narrow"/>
                <w:b/>
                <w:sz w:val="20"/>
                <w:szCs w:val="20"/>
              </w:rPr>
              <w:t xml:space="preserve"> – investigator assessed</w:t>
            </w:r>
          </w:p>
        </w:tc>
      </w:tr>
      <w:tr w:rsidR="00312BFF" w:rsidRPr="001A1007" w:rsidTr="00487634">
        <w:tc>
          <w:tcPr>
            <w:tcW w:w="4820" w:type="dxa"/>
          </w:tcPr>
          <w:p w:rsidR="00312BFF" w:rsidRPr="00AC7E4F" w:rsidRDefault="00312BFF" w:rsidP="00816303">
            <w:pPr>
              <w:keepNext/>
              <w:keepLines/>
              <w:tabs>
                <w:tab w:val="left" w:pos="142"/>
              </w:tabs>
              <w:jc w:val="left"/>
              <w:rPr>
                <w:rFonts w:ascii="Arial Narrow" w:hAnsi="Arial Narrow"/>
                <w:sz w:val="20"/>
                <w:szCs w:val="20"/>
              </w:rPr>
            </w:pPr>
            <w:r w:rsidRPr="00AC7E4F">
              <w:rPr>
                <w:rFonts w:ascii="Arial Narrow" w:hAnsi="Arial Narrow"/>
                <w:sz w:val="20"/>
                <w:szCs w:val="20"/>
              </w:rPr>
              <w:tab/>
              <w:t>Event (n %)</w:t>
            </w:r>
          </w:p>
        </w:tc>
        <w:tc>
          <w:tcPr>
            <w:tcW w:w="2130" w:type="dxa"/>
          </w:tcPr>
          <w:p w:rsidR="00312BFF" w:rsidRPr="00AC7E4F" w:rsidRDefault="00312BFF" w:rsidP="00816303">
            <w:pPr>
              <w:keepNext/>
              <w:keepLines/>
              <w:jc w:val="center"/>
              <w:rPr>
                <w:rFonts w:ascii="Arial Narrow" w:hAnsi="Arial Narrow"/>
                <w:sz w:val="20"/>
                <w:szCs w:val="20"/>
              </w:rPr>
            </w:pPr>
            <w:r w:rsidRPr="00AC7E4F">
              <w:rPr>
                <w:rFonts w:ascii="Arial Narrow" w:hAnsi="Arial Narrow"/>
                <w:sz w:val="20"/>
                <w:szCs w:val="20"/>
              </w:rPr>
              <w:t>212 (26.3%)</w:t>
            </w:r>
          </w:p>
        </w:tc>
        <w:tc>
          <w:tcPr>
            <w:tcW w:w="2122" w:type="dxa"/>
          </w:tcPr>
          <w:p w:rsidR="00312BFF" w:rsidRPr="00AC7E4F" w:rsidRDefault="00312BFF" w:rsidP="00816303">
            <w:pPr>
              <w:keepNext/>
              <w:keepLines/>
              <w:jc w:val="center"/>
              <w:rPr>
                <w:rFonts w:ascii="Arial Narrow" w:hAnsi="Arial Narrow"/>
                <w:sz w:val="20"/>
                <w:szCs w:val="20"/>
              </w:rPr>
            </w:pPr>
            <w:r w:rsidRPr="00AC7E4F">
              <w:rPr>
                <w:rFonts w:ascii="Arial Narrow" w:hAnsi="Arial Narrow"/>
                <w:sz w:val="20"/>
                <w:szCs w:val="20"/>
              </w:rPr>
              <w:t>231 (57.6%)</w:t>
            </w:r>
          </w:p>
        </w:tc>
      </w:tr>
      <w:tr w:rsidR="00312BFF" w:rsidRPr="001A1007" w:rsidTr="00487634">
        <w:tc>
          <w:tcPr>
            <w:tcW w:w="4820" w:type="dxa"/>
          </w:tcPr>
          <w:p w:rsidR="00312BFF" w:rsidRPr="00AC7E4F" w:rsidRDefault="00312BFF" w:rsidP="00816303">
            <w:pPr>
              <w:keepNext/>
              <w:keepLines/>
              <w:tabs>
                <w:tab w:val="left" w:pos="142"/>
              </w:tabs>
              <w:jc w:val="left"/>
              <w:rPr>
                <w:rFonts w:ascii="Arial Narrow" w:hAnsi="Arial Narrow"/>
                <w:sz w:val="20"/>
                <w:szCs w:val="20"/>
              </w:rPr>
            </w:pPr>
            <w:r w:rsidRPr="00AC7E4F">
              <w:rPr>
                <w:rFonts w:ascii="Arial Narrow" w:hAnsi="Arial Narrow"/>
                <w:sz w:val="20"/>
                <w:szCs w:val="20"/>
              </w:rPr>
              <w:tab/>
              <w:t xml:space="preserve">Median months to metastasis (95% CI) </w:t>
            </w:r>
          </w:p>
        </w:tc>
        <w:tc>
          <w:tcPr>
            <w:tcW w:w="2130" w:type="dxa"/>
          </w:tcPr>
          <w:p w:rsidR="00312BFF" w:rsidRPr="00AC7E4F" w:rsidRDefault="00312BFF" w:rsidP="00816303">
            <w:pPr>
              <w:keepNext/>
              <w:keepLines/>
              <w:jc w:val="center"/>
              <w:rPr>
                <w:rFonts w:ascii="Arial Narrow" w:hAnsi="Arial Narrow"/>
                <w:sz w:val="20"/>
                <w:szCs w:val="20"/>
              </w:rPr>
            </w:pPr>
            <w:r w:rsidRPr="00AC7E4F">
              <w:rPr>
                <w:rFonts w:ascii="Arial Narrow" w:hAnsi="Arial Narrow"/>
                <w:sz w:val="20"/>
                <w:szCs w:val="20"/>
              </w:rPr>
              <w:t>41.20 (30.03, 41.20)</w:t>
            </w:r>
          </w:p>
        </w:tc>
        <w:tc>
          <w:tcPr>
            <w:tcW w:w="2122" w:type="dxa"/>
          </w:tcPr>
          <w:p w:rsidR="00312BFF" w:rsidRPr="00AC7E4F" w:rsidRDefault="00312BFF" w:rsidP="00816303">
            <w:pPr>
              <w:keepNext/>
              <w:keepLines/>
              <w:jc w:val="center"/>
              <w:rPr>
                <w:rFonts w:ascii="Arial Narrow" w:hAnsi="Arial Narrow"/>
                <w:sz w:val="20"/>
                <w:szCs w:val="20"/>
              </w:rPr>
            </w:pPr>
            <w:r w:rsidRPr="00AC7E4F">
              <w:rPr>
                <w:rFonts w:ascii="Arial Narrow" w:hAnsi="Arial Narrow"/>
                <w:sz w:val="20"/>
                <w:szCs w:val="20"/>
              </w:rPr>
              <w:t>14.62 (11.10, 15.24)</w:t>
            </w:r>
          </w:p>
        </w:tc>
      </w:tr>
      <w:tr w:rsidR="00312BFF" w:rsidRPr="00691AEA" w:rsidTr="00487634">
        <w:tc>
          <w:tcPr>
            <w:tcW w:w="4820" w:type="dxa"/>
          </w:tcPr>
          <w:p w:rsidR="00312BFF" w:rsidRPr="00AC7E4F" w:rsidRDefault="00312BFF" w:rsidP="00816303">
            <w:pPr>
              <w:keepNext/>
              <w:keepLines/>
              <w:tabs>
                <w:tab w:val="left" w:pos="142"/>
              </w:tabs>
              <w:jc w:val="left"/>
              <w:rPr>
                <w:rFonts w:ascii="Arial Narrow" w:hAnsi="Arial Narrow"/>
                <w:sz w:val="20"/>
                <w:szCs w:val="20"/>
              </w:rPr>
            </w:pPr>
            <w:r w:rsidRPr="00AC7E4F">
              <w:rPr>
                <w:rFonts w:ascii="Arial Narrow" w:hAnsi="Arial Narrow"/>
                <w:sz w:val="20"/>
                <w:szCs w:val="20"/>
              </w:rPr>
              <w:tab/>
              <w:t>HR (95% CI)</w:t>
            </w:r>
          </w:p>
        </w:tc>
        <w:tc>
          <w:tcPr>
            <w:tcW w:w="4252" w:type="dxa"/>
            <w:gridSpan w:val="2"/>
          </w:tcPr>
          <w:p w:rsidR="00312BFF" w:rsidRPr="00AC7E4F" w:rsidRDefault="00312BFF" w:rsidP="00816303">
            <w:pPr>
              <w:keepNext/>
              <w:keepLines/>
              <w:jc w:val="center"/>
              <w:rPr>
                <w:rFonts w:ascii="Arial Narrow" w:hAnsi="Arial Narrow"/>
                <w:b/>
                <w:sz w:val="20"/>
                <w:szCs w:val="20"/>
              </w:rPr>
            </w:pPr>
            <w:r w:rsidRPr="00AC7E4F">
              <w:rPr>
                <w:rFonts w:ascii="Arial Narrow" w:hAnsi="Arial Narrow"/>
                <w:b/>
                <w:sz w:val="20"/>
                <w:szCs w:val="20"/>
              </w:rPr>
              <w:t>0.268 (0.221,0.325)</w:t>
            </w:r>
          </w:p>
        </w:tc>
      </w:tr>
      <w:tr w:rsidR="00312BFF" w:rsidRPr="00691AEA" w:rsidTr="00487634">
        <w:tc>
          <w:tcPr>
            <w:tcW w:w="9072" w:type="dxa"/>
            <w:gridSpan w:val="3"/>
          </w:tcPr>
          <w:p w:rsidR="00312BFF" w:rsidRPr="00AC7E4F" w:rsidRDefault="00312BFF" w:rsidP="00816303">
            <w:pPr>
              <w:keepNext/>
              <w:keepLines/>
              <w:jc w:val="left"/>
              <w:rPr>
                <w:rFonts w:ascii="Arial Narrow" w:hAnsi="Arial Narrow"/>
                <w:b/>
                <w:sz w:val="20"/>
                <w:szCs w:val="20"/>
              </w:rPr>
            </w:pPr>
            <w:r w:rsidRPr="00AC7E4F">
              <w:rPr>
                <w:rFonts w:ascii="Arial Narrow" w:hAnsi="Arial Narrow"/>
                <w:b/>
                <w:sz w:val="20"/>
                <w:szCs w:val="20"/>
              </w:rPr>
              <w:t>Radiographic progression-free survival (</w:t>
            </w:r>
            <w:proofErr w:type="spellStart"/>
            <w:r w:rsidRPr="00AC7E4F">
              <w:rPr>
                <w:rFonts w:ascii="Arial Narrow" w:hAnsi="Arial Narrow"/>
                <w:b/>
                <w:sz w:val="20"/>
                <w:szCs w:val="20"/>
              </w:rPr>
              <w:t>rPFS</w:t>
            </w:r>
            <w:proofErr w:type="spellEnd"/>
            <w:r w:rsidRPr="00AC7E4F">
              <w:rPr>
                <w:rFonts w:ascii="Arial Narrow" w:hAnsi="Arial Narrow"/>
                <w:b/>
                <w:sz w:val="20"/>
                <w:szCs w:val="20"/>
              </w:rPr>
              <w:t xml:space="preserve">) </w:t>
            </w:r>
          </w:p>
        </w:tc>
      </w:tr>
      <w:tr w:rsidR="00312BFF" w:rsidRPr="009C7AB9" w:rsidTr="00487634">
        <w:tc>
          <w:tcPr>
            <w:tcW w:w="4820" w:type="dxa"/>
          </w:tcPr>
          <w:p w:rsidR="00312BFF" w:rsidRPr="00AC7E4F" w:rsidRDefault="00312BFF" w:rsidP="00816303">
            <w:pPr>
              <w:keepNext/>
              <w:keepLines/>
              <w:tabs>
                <w:tab w:val="left" w:pos="142"/>
              </w:tabs>
              <w:jc w:val="left"/>
              <w:rPr>
                <w:rFonts w:ascii="Arial Narrow" w:hAnsi="Arial Narrow"/>
                <w:sz w:val="20"/>
                <w:szCs w:val="20"/>
              </w:rPr>
            </w:pPr>
            <w:r w:rsidRPr="00AC7E4F">
              <w:rPr>
                <w:rFonts w:ascii="Arial Narrow" w:hAnsi="Arial Narrow"/>
                <w:sz w:val="20"/>
                <w:szCs w:val="20"/>
              </w:rPr>
              <w:tab/>
              <w:t>Event (n %)</w:t>
            </w:r>
          </w:p>
        </w:tc>
        <w:tc>
          <w:tcPr>
            <w:tcW w:w="2130" w:type="dxa"/>
          </w:tcPr>
          <w:p w:rsidR="00312BFF" w:rsidRPr="00AC7E4F" w:rsidRDefault="00312BFF" w:rsidP="00816303">
            <w:pPr>
              <w:keepNext/>
              <w:keepLines/>
              <w:jc w:val="center"/>
              <w:rPr>
                <w:rFonts w:ascii="Arial Narrow" w:hAnsi="Arial Narrow"/>
                <w:sz w:val="20"/>
                <w:szCs w:val="20"/>
              </w:rPr>
            </w:pPr>
            <w:r w:rsidRPr="00AC7E4F">
              <w:rPr>
                <w:rFonts w:ascii="Arial Narrow" w:hAnsi="Arial Narrow" w:cs="Arial"/>
                <w:sz w:val="20"/>
                <w:szCs w:val="20"/>
              </w:rPr>
              <w:t>220 (27.3%)</w:t>
            </w:r>
          </w:p>
        </w:tc>
        <w:tc>
          <w:tcPr>
            <w:tcW w:w="2122" w:type="dxa"/>
          </w:tcPr>
          <w:p w:rsidR="00312BFF" w:rsidRPr="00AC7E4F" w:rsidRDefault="00312BFF" w:rsidP="00816303">
            <w:pPr>
              <w:keepNext/>
              <w:keepLines/>
              <w:jc w:val="center"/>
              <w:rPr>
                <w:rFonts w:ascii="Arial Narrow" w:hAnsi="Arial Narrow"/>
                <w:sz w:val="20"/>
                <w:szCs w:val="20"/>
              </w:rPr>
            </w:pPr>
            <w:r w:rsidRPr="00AC7E4F">
              <w:rPr>
                <w:rFonts w:ascii="Arial Narrow" w:hAnsi="Arial Narrow" w:cs="Arial"/>
                <w:sz w:val="20"/>
                <w:szCs w:val="20"/>
              </w:rPr>
              <w:t>219 (54.6%)</w:t>
            </w:r>
          </w:p>
        </w:tc>
      </w:tr>
      <w:tr w:rsidR="00312BFF" w:rsidRPr="009C7AB9" w:rsidTr="00487634">
        <w:tc>
          <w:tcPr>
            <w:tcW w:w="4820" w:type="dxa"/>
          </w:tcPr>
          <w:p w:rsidR="00312BFF" w:rsidRPr="00AC7E4F" w:rsidRDefault="00312BFF" w:rsidP="00816303">
            <w:pPr>
              <w:keepNext/>
              <w:keepLines/>
              <w:tabs>
                <w:tab w:val="left" w:pos="142"/>
              </w:tabs>
              <w:jc w:val="left"/>
              <w:rPr>
                <w:rFonts w:ascii="Arial Narrow" w:hAnsi="Arial Narrow"/>
                <w:sz w:val="20"/>
                <w:szCs w:val="20"/>
              </w:rPr>
            </w:pPr>
            <w:r w:rsidRPr="00AC7E4F">
              <w:rPr>
                <w:rFonts w:ascii="Arial Narrow" w:hAnsi="Arial Narrow"/>
                <w:sz w:val="20"/>
                <w:szCs w:val="20"/>
              </w:rPr>
              <w:tab/>
              <w:t xml:space="preserve">Median months to progression (95% CI) </w:t>
            </w:r>
          </w:p>
        </w:tc>
        <w:tc>
          <w:tcPr>
            <w:tcW w:w="2130" w:type="dxa"/>
          </w:tcPr>
          <w:p w:rsidR="00312BFF" w:rsidRPr="00AC7E4F" w:rsidRDefault="00312BFF" w:rsidP="00816303">
            <w:pPr>
              <w:keepNext/>
              <w:keepLines/>
              <w:jc w:val="center"/>
              <w:rPr>
                <w:rFonts w:ascii="Arial Narrow" w:hAnsi="Arial Narrow"/>
                <w:sz w:val="20"/>
                <w:szCs w:val="20"/>
              </w:rPr>
            </w:pPr>
            <w:r w:rsidRPr="00AC7E4F">
              <w:rPr>
                <w:rFonts w:ascii="Arial Narrow" w:hAnsi="Arial Narrow" w:cs="Arial"/>
                <w:sz w:val="20"/>
                <w:szCs w:val="20"/>
              </w:rPr>
              <w:t>40.51 (29.40, 40.51)</w:t>
            </w:r>
          </w:p>
        </w:tc>
        <w:tc>
          <w:tcPr>
            <w:tcW w:w="2122" w:type="dxa"/>
          </w:tcPr>
          <w:p w:rsidR="00312BFF" w:rsidRPr="00AC7E4F" w:rsidRDefault="00312BFF" w:rsidP="00816303">
            <w:pPr>
              <w:keepNext/>
              <w:keepLines/>
              <w:jc w:val="center"/>
              <w:rPr>
                <w:rFonts w:ascii="Arial Narrow" w:hAnsi="Arial Narrow"/>
                <w:sz w:val="20"/>
                <w:szCs w:val="20"/>
              </w:rPr>
            </w:pPr>
            <w:r w:rsidRPr="00AC7E4F">
              <w:rPr>
                <w:rFonts w:ascii="Arial Narrow" w:hAnsi="Arial Narrow" w:cs="Arial"/>
                <w:sz w:val="20"/>
                <w:szCs w:val="20"/>
              </w:rPr>
              <w:t>14.65 (11.27, 17.97)</w:t>
            </w:r>
          </w:p>
        </w:tc>
      </w:tr>
      <w:tr w:rsidR="00312BFF" w:rsidRPr="009C7AB9" w:rsidTr="00487634">
        <w:tc>
          <w:tcPr>
            <w:tcW w:w="4820" w:type="dxa"/>
          </w:tcPr>
          <w:p w:rsidR="00312BFF" w:rsidRPr="00AC7E4F" w:rsidRDefault="00312BFF" w:rsidP="00816303">
            <w:pPr>
              <w:keepNext/>
              <w:keepLines/>
              <w:tabs>
                <w:tab w:val="left" w:pos="142"/>
              </w:tabs>
              <w:jc w:val="left"/>
              <w:rPr>
                <w:rFonts w:ascii="Arial Narrow" w:hAnsi="Arial Narrow"/>
                <w:sz w:val="20"/>
                <w:szCs w:val="20"/>
              </w:rPr>
            </w:pPr>
            <w:r w:rsidRPr="00AC7E4F">
              <w:rPr>
                <w:rFonts w:ascii="Arial Narrow" w:hAnsi="Arial Narrow"/>
                <w:sz w:val="20"/>
                <w:szCs w:val="20"/>
              </w:rPr>
              <w:tab/>
              <w:t>HR (95% CI)</w:t>
            </w:r>
          </w:p>
        </w:tc>
        <w:tc>
          <w:tcPr>
            <w:tcW w:w="4252" w:type="dxa"/>
            <w:gridSpan w:val="2"/>
          </w:tcPr>
          <w:p w:rsidR="00312BFF" w:rsidRPr="00AC7E4F" w:rsidRDefault="00312BFF" w:rsidP="00816303">
            <w:pPr>
              <w:keepNext/>
              <w:keepLines/>
              <w:jc w:val="center"/>
              <w:rPr>
                <w:rFonts w:ascii="Arial Narrow" w:hAnsi="Arial Narrow"/>
                <w:b/>
                <w:sz w:val="20"/>
                <w:szCs w:val="20"/>
              </w:rPr>
            </w:pPr>
            <w:r w:rsidRPr="00AC7E4F">
              <w:rPr>
                <w:rFonts w:ascii="Arial Narrow" w:hAnsi="Arial Narrow" w:cs="Arial"/>
                <w:b/>
                <w:sz w:val="20"/>
                <w:szCs w:val="20"/>
              </w:rPr>
              <w:t>0.300 (0.247,0.364)</w:t>
            </w:r>
          </w:p>
        </w:tc>
      </w:tr>
      <w:tr w:rsidR="00312BFF" w:rsidRPr="00691AEA" w:rsidTr="00487634">
        <w:tc>
          <w:tcPr>
            <w:tcW w:w="9072" w:type="dxa"/>
            <w:gridSpan w:val="3"/>
          </w:tcPr>
          <w:p w:rsidR="00312BFF" w:rsidRPr="00AC7E4F" w:rsidRDefault="00312BFF" w:rsidP="00816303">
            <w:pPr>
              <w:keepNext/>
              <w:keepLines/>
              <w:jc w:val="left"/>
              <w:rPr>
                <w:rFonts w:ascii="Arial Narrow" w:hAnsi="Arial Narrow"/>
                <w:b/>
                <w:sz w:val="20"/>
                <w:szCs w:val="20"/>
              </w:rPr>
            </w:pPr>
            <w:r w:rsidRPr="00AC7E4F">
              <w:rPr>
                <w:rFonts w:ascii="Arial Narrow" w:hAnsi="Arial Narrow"/>
                <w:b/>
                <w:sz w:val="20"/>
                <w:szCs w:val="20"/>
              </w:rPr>
              <w:t>Overall survival (OS)</w:t>
            </w:r>
          </w:p>
        </w:tc>
      </w:tr>
      <w:tr w:rsidR="00312BFF" w:rsidRPr="001A1007" w:rsidTr="00487634">
        <w:tc>
          <w:tcPr>
            <w:tcW w:w="4820" w:type="dxa"/>
          </w:tcPr>
          <w:p w:rsidR="00312BFF" w:rsidRPr="00AC7E4F" w:rsidRDefault="00312BFF" w:rsidP="00816303">
            <w:pPr>
              <w:keepNext/>
              <w:keepLines/>
              <w:tabs>
                <w:tab w:val="left" w:pos="142"/>
              </w:tabs>
              <w:jc w:val="left"/>
              <w:rPr>
                <w:rFonts w:ascii="Arial Narrow" w:hAnsi="Arial Narrow"/>
                <w:sz w:val="20"/>
                <w:szCs w:val="20"/>
              </w:rPr>
            </w:pPr>
            <w:r w:rsidRPr="00AC7E4F">
              <w:rPr>
                <w:rFonts w:ascii="Arial Narrow" w:hAnsi="Arial Narrow"/>
                <w:sz w:val="20"/>
                <w:szCs w:val="20"/>
              </w:rPr>
              <w:tab/>
              <w:t>Died (n %)</w:t>
            </w:r>
          </w:p>
        </w:tc>
        <w:tc>
          <w:tcPr>
            <w:tcW w:w="2130" w:type="dxa"/>
          </w:tcPr>
          <w:p w:rsidR="00312BFF" w:rsidRPr="00AC7E4F" w:rsidRDefault="00312BFF" w:rsidP="00816303">
            <w:pPr>
              <w:keepNext/>
              <w:keepLines/>
              <w:jc w:val="center"/>
              <w:rPr>
                <w:rFonts w:ascii="Arial Narrow" w:hAnsi="Arial Narrow"/>
                <w:sz w:val="20"/>
                <w:szCs w:val="20"/>
              </w:rPr>
            </w:pPr>
            <w:r w:rsidRPr="00AC7E4F">
              <w:rPr>
                <w:rFonts w:ascii="Arial Narrow" w:hAnsi="Arial Narrow"/>
                <w:sz w:val="20"/>
                <w:szCs w:val="20"/>
              </w:rPr>
              <w:t>62 (7.7%)</w:t>
            </w:r>
          </w:p>
        </w:tc>
        <w:tc>
          <w:tcPr>
            <w:tcW w:w="2122" w:type="dxa"/>
          </w:tcPr>
          <w:p w:rsidR="00312BFF" w:rsidRPr="00AC7E4F" w:rsidRDefault="00312BFF" w:rsidP="00816303">
            <w:pPr>
              <w:keepNext/>
              <w:keepLines/>
              <w:jc w:val="center"/>
              <w:rPr>
                <w:rFonts w:ascii="Arial Narrow" w:hAnsi="Arial Narrow"/>
                <w:sz w:val="20"/>
                <w:szCs w:val="20"/>
              </w:rPr>
            </w:pPr>
            <w:r w:rsidRPr="00AC7E4F">
              <w:rPr>
                <w:rFonts w:ascii="Arial Narrow" w:hAnsi="Arial Narrow"/>
                <w:sz w:val="20"/>
                <w:szCs w:val="20"/>
              </w:rPr>
              <w:t>42 (10.5%)</w:t>
            </w:r>
          </w:p>
        </w:tc>
      </w:tr>
      <w:tr w:rsidR="00312BFF" w:rsidRPr="001A1007" w:rsidTr="00487634">
        <w:tc>
          <w:tcPr>
            <w:tcW w:w="4820" w:type="dxa"/>
          </w:tcPr>
          <w:p w:rsidR="00312BFF" w:rsidRPr="00AC7E4F" w:rsidRDefault="00312BFF" w:rsidP="00816303">
            <w:pPr>
              <w:keepNext/>
              <w:keepLines/>
              <w:tabs>
                <w:tab w:val="left" w:pos="142"/>
              </w:tabs>
              <w:jc w:val="left"/>
              <w:rPr>
                <w:rFonts w:ascii="Arial Narrow" w:hAnsi="Arial Narrow"/>
                <w:sz w:val="20"/>
                <w:szCs w:val="20"/>
              </w:rPr>
            </w:pPr>
            <w:r w:rsidRPr="00AC7E4F">
              <w:rPr>
                <w:rFonts w:ascii="Arial Narrow" w:hAnsi="Arial Narrow"/>
                <w:sz w:val="20"/>
                <w:szCs w:val="20"/>
              </w:rPr>
              <w:tab/>
              <w:t xml:space="preserve">Median months to death (95% CI) </w:t>
            </w:r>
          </w:p>
        </w:tc>
        <w:tc>
          <w:tcPr>
            <w:tcW w:w="2130" w:type="dxa"/>
          </w:tcPr>
          <w:p w:rsidR="00312BFF" w:rsidRPr="00AC7E4F" w:rsidRDefault="00312BFF" w:rsidP="00816303">
            <w:pPr>
              <w:keepNext/>
              <w:keepLines/>
              <w:jc w:val="center"/>
              <w:rPr>
                <w:rFonts w:ascii="Arial Narrow" w:hAnsi="Arial Narrow"/>
                <w:sz w:val="20"/>
                <w:szCs w:val="20"/>
              </w:rPr>
            </w:pPr>
            <w:r w:rsidRPr="00AC7E4F">
              <w:rPr>
                <w:rFonts w:ascii="Arial Narrow" w:hAnsi="Arial Narrow"/>
                <w:sz w:val="20"/>
                <w:szCs w:val="20"/>
              </w:rPr>
              <w:t>NE (NE, NE)</w:t>
            </w:r>
          </w:p>
        </w:tc>
        <w:tc>
          <w:tcPr>
            <w:tcW w:w="2122" w:type="dxa"/>
          </w:tcPr>
          <w:p w:rsidR="00312BFF" w:rsidRPr="00AC7E4F" w:rsidRDefault="00312BFF" w:rsidP="00816303">
            <w:pPr>
              <w:keepNext/>
              <w:keepLines/>
              <w:jc w:val="center"/>
              <w:rPr>
                <w:rFonts w:ascii="Arial Narrow" w:hAnsi="Arial Narrow"/>
                <w:sz w:val="20"/>
                <w:szCs w:val="20"/>
              </w:rPr>
            </w:pPr>
            <w:r w:rsidRPr="00AC7E4F">
              <w:rPr>
                <w:rFonts w:ascii="Arial Narrow" w:hAnsi="Arial Narrow"/>
                <w:sz w:val="20"/>
                <w:szCs w:val="20"/>
              </w:rPr>
              <w:t>39.03 (39.03, NE)</w:t>
            </w:r>
          </w:p>
        </w:tc>
      </w:tr>
      <w:tr w:rsidR="00312BFF" w:rsidRPr="001A1007" w:rsidTr="00487634">
        <w:tc>
          <w:tcPr>
            <w:tcW w:w="4820" w:type="dxa"/>
          </w:tcPr>
          <w:p w:rsidR="00312BFF" w:rsidRPr="00AC7E4F" w:rsidRDefault="00312BFF" w:rsidP="00816303">
            <w:pPr>
              <w:keepNext/>
              <w:keepLines/>
              <w:tabs>
                <w:tab w:val="left" w:pos="142"/>
              </w:tabs>
              <w:jc w:val="left"/>
              <w:rPr>
                <w:rFonts w:ascii="Arial Narrow" w:hAnsi="Arial Narrow"/>
                <w:sz w:val="20"/>
                <w:szCs w:val="20"/>
              </w:rPr>
            </w:pPr>
            <w:r w:rsidRPr="00AC7E4F">
              <w:rPr>
                <w:rFonts w:ascii="Arial Narrow" w:hAnsi="Arial Narrow"/>
                <w:sz w:val="20"/>
                <w:szCs w:val="20"/>
              </w:rPr>
              <w:tab/>
              <w:t>HR (95% CI)</w:t>
            </w:r>
          </w:p>
        </w:tc>
        <w:tc>
          <w:tcPr>
            <w:tcW w:w="4252" w:type="dxa"/>
            <w:gridSpan w:val="2"/>
          </w:tcPr>
          <w:p w:rsidR="00312BFF" w:rsidRPr="00AC7E4F" w:rsidRDefault="00312BFF" w:rsidP="00816303">
            <w:pPr>
              <w:keepNext/>
              <w:keepLines/>
              <w:jc w:val="center"/>
              <w:rPr>
                <w:rFonts w:ascii="Arial Narrow" w:hAnsi="Arial Narrow"/>
                <w:sz w:val="20"/>
                <w:szCs w:val="20"/>
              </w:rPr>
            </w:pPr>
            <w:r w:rsidRPr="00AC7E4F">
              <w:rPr>
                <w:rFonts w:ascii="Arial Narrow" w:hAnsi="Arial Narrow"/>
                <w:sz w:val="20"/>
                <w:szCs w:val="20"/>
              </w:rPr>
              <w:t>0.700 (0.472,1.038)</w:t>
            </w:r>
          </w:p>
        </w:tc>
      </w:tr>
      <w:tr w:rsidR="00312BFF" w:rsidRPr="00EE6234" w:rsidTr="00487634">
        <w:tc>
          <w:tcPr>
            <w:tcW w:w="9072" w:type="dxa"/>
            <w:gridSpan w:val="3"/>
          </w:tcPr>
          <w:p w:rsidR="00312BFF" w:rsidRPr="00AC7E4F" w:rsidRDefault="00312BFF" w:rsidP="00816303">
            <w:pPr>
              <w:keepNext/>
              <w:keepLines/>
              <w:jc w:val="left"/>
              <w:rPr>
                <w:rFonts w:ascii="Arial Narrow" w:hAnsi="Arial Narrow"/>
                <w:b/>
                <w:sz w:val="20"/>
                <w:szCs w:val="20"/>
              </w:rPr>
            </w:pPr>
            <w:r w:rsidRPr="00AC7E4F">
              <w:rPr>
                <w:rFonts w:ascii="Arial Narrow" w:hAnsi="Arial Narrow"/>
                <w:b/>
                <w:sz w:val="20"/>
                <w:szCs w:val="20"/>
              </w:rPr>
              <w:t>Time to metastasis (TTM)</w:t>
            </w:r>
          </w:p>
        </w:tc>
      </w:tr>
      <w:tr w:rsidR="00312BFF" w:rsidRPr="009C7AB9" w:rsidTr="00487634">
        <w:tc>
          <w:tcPr>
            <w:tcW w:w="4820" w:type="dxa"/>
          </w:tcPr>
          <w:p w:rsidR="00312BFF" w:rsidRPr="00AC7E4F" w:rsidRDefault="00312BFF" w:rsidP="00816303">
            <w:pPr>
              <w:keepNext/>
              <w:keepLines/>
              <w:tabs>
                <w:tab w:val="left" w:pos="142"/>
              </w:tabs>
              <w:jc w:val="left"/>
              <w:rPr>
                <w:rFonts w:ascii="Arial Narrow" w:hAnsi="Arial Narrow"/>
                <w:sz w:val="20"/>
                <w:szCs w:val="20"/>
              </w:rPr>
            </w:pPr>
            <w:r w:rsidRPr="00AC7E4F">
              <w:rPr>
                <w:rFonts w:ascii="Arial Narrow" w:hAnsi="Arial Narrow"/>
                <w:sz w:val="20"/>
                <w:szCs w:val="20"/>
              </w:rPr>
              <w:tab/>
              <w:t>Event (n %)</w:t>
            </w:r>
          </w:p>
        </w:tc>
        <w:tc>
          <w:tcPr>
            <w:tcW w:w="2130" w:type="dxa"/>
          </w:tcPr>
          <w:p w:rsidR="00312BFF" w:rsidRPr="00AC7E4F" w:rsidRDefault="00312BFF" w:rsidP="00816303">
            <w:pPr>
              <w:keepNext/>
              <w:keepLines/>
              <w:jc w:val="center"/>
              <w:rPr>
                <w:rFonts w:ascii="Arial Narrow" w:hAnsi="Arial Narrow"/>
                <w:sz w:val="20"/>
                <w:szCs w:val="20"/>
              </w:rPr>
            </w:pPr>
            <w:r w:rsidRPr="00AC7E4F">
              <w:rPr>
                <w:rFonts w:ascii="Arial Narrow" w:hAnsi="Arial Narrow" w:cs="Arial"/>
                <w:sz w:val="20"/>
                <w:szCs w:val="20"/>
              </w:rPr>
              <w:t>188 (23.3%)</w:t>
            </w:r>
          </w:p>
        </w:tc>
        <w:tc>
          <w:tcPr>
            <w:tcW w:w="2122" w:type="dxa"/>
          </w:tcPr>
          <w:p w:rsidR="00312BFF" w:rsidRPr="00AC7E4F" w:rsidRDefault="00312BFF" w:rsidP="00816303">
            <w:pPr>
              <w:keepNext/>
              <w:keepLines/>
              <w:jc w:val="center"/>
              <w:rPr>
                <w:rFonts w:ascii="Arial Narrow" w:hAnsi="Arial Narrow"/>
                <w:sz w:val="20"/>
                <w:szCs w:val="20"/>
              </w:rPr>
            </w:pPr>
            <w:r w:rsidRPr="00AC7E4F">
              <w:rPr>
                <w:rFonts w:ascii="Arial Narrow" w:hAnsi="Arial Narrow" w:cs="Arial"/>
                <w:sz w:val="20"/>
                <w:szCs w:val="20"/>
              </w:rPr>
              <w:t>204 (50.9%)</w:t>
            </w:r>
          </w:p>
        </w:tc>
      </w:tr>
      <w:tr w:rsidR="00312BFF" w:rsidRPr="009C7AB9" w:rsidTr="00487634">
        <w:tc>
          <w:tcPr>
            <w:tcW w:w="4820" w:type="dxa"/>
          </w:tcPr>
          <w:p w:rsidR="00312BFF" w:rsidRPr="00AC7E4F" w:rsidRDefault="008E0FE8" w:rsidP="00816303">
            <w:pPr>
              <w:keepNext/>
              <w:keepLines/>
              <w:tabs>
                <w:tab w:val="left" w:pos="142"/>
              </w:tabs>
              <w:jc w:val="left"/>
              <w:rPr>
                <w:rFonts w:ascii="Arial Narrow" w:hAnsi="Arial Narrow"/>
                <w:sz w:val="20"/>
                <w:szCs w:val="20"/>
              </w:rPr>
            </w:pPr>
            <w:r w:rsidRPr="00AC7E4F">
              <w:rPr>
                <w:rFonts w:ascii="Arial Narrow" w:hAnsi="Arial Narrow"/>
                <w:sz w:val="20"/>
                <w:szCs w:val="20"/>
              </w:rPr>
              <w:t xml:space="preserve"> </w:t>
            </w:r>
            <w:r w:rsidR="00312BFF" w:rsidRPr="00AC7E4F">
              <w:rPr>
                <w:rFonts w:ascii="Arial Narrow" w:hAnsi="Arial Narrow"/>
                <w:sz w:val="20"/>
                <w:szCs w:val="20"/>
              </w:rPr>
              <w:tab/>
              <w:t xml:space="preserve">Median months to metastasis (95% CI) </w:t>
            </w:r>
          </w:p>
        </w:tc>
        <w:tc>
          <w:tcPr>
            <w:tcW w:w="2130" w:type="dxa"/>
          </w:tcPr>
          <w:p w:rsidR="00312BFF" w:rsidRPr="00AC7E4F" w:rsidRDefault="00312BFF" w:rsidP="00816303">
            <w:pPr>
              <w:keepNext/>
              <w:keepLines/>
              <w:jc w:val="center"/>
              <w:rPr>
                <w:rFonts w:ascii="Arial Narrow" w:hAnsi="Arial Narrow"/>
                <w:sz w:val="20"/>
                <w:szCs w:val="20"/>
              </w:rPr>
            </w:pPr>
            <w:r w:rsidRPr="00AC7E4F">
              <w:rPr>
                <w:rFonts w:ascii="Arial Narrow" w:hAnsi="Arial Narrow" w:cs="Arial"/>
                <w:sz w:val="20"/>
                <w:szCs w:val="20"/>
              </w:rPr>
              <w:t>40.51 (31.15, 40.51)</w:t>
            </w:r>
          </w:p>
        </w:tc>
        <w:tc>
          <w:tcPr>
            <w:tcW w:w="2122" w:type="dxa"/>
          </w:tcPr>
          <w:p w:rsidR="00312BFF" w:rsidRPr="00AC7E4F" w:rsidRDefault="00312BFF" w:rsidP="00816303">
            <w:pPr>
              <w:keepNext/>
              <w:keepLines/>
              <w:jc w:val="center"/>
              <w:rPr>
                <w:rFonts w:ascii="Arial Narrow" w:hAnsi="Arial Narrow"/>
                <w:sz w:val="20"/>
                <w:szCs w:val="20"/>
              </w:rPr>
            </w:pPr>
            <w:r w:rsidRPr="00AC7E4F">
              <w:rPr>
                <w:rFonts w:ascii="Arial Narrow" w:hAnsi="Arial Narrow" w:cs="Arial"/>
                <w:sz w:val="20"/>
                <w:szCs w:val="20"/>
              </w:rPr>
              <w:t>15.70 (14.55, 18.40)</w:t>
            </w:r>
          </w:p>
        </w:tc>
      </w:tr>
      <w:tr w:rsidR="00312BFF" w:rsidRPr="009C7AB9" w:rsidTr="00487634">
        <w:tc>
          <w:tcPr>
            <w:tcW w:w="4820" w:type="dxa"/>
          </w:tcPr>
          <w:p w:rsidR="00312BFF" w:rsidRPr="00AC7E4F" w:rsidRDefault="00312BFF" w:rsidP="00816303">
            <w:pPr>
              <w:keepNext/>
              <w:keepLines/>
              <w:tabs>
                <w:tab w:val="left" w:pos="142"/>
              </w:tabs>
              <w:jc w:val="left"/>
              <w:rPr>
                <w:rFonts w:ascii="Arial Narrow" w:hAnsi="Arial Narrow"/>
                <w:sz w:val="20"/>
                <w:szCs w:val="20"/>
              </w:rPr>
            </w:pPr>
            <w:r w:rsidRPr="00AC7E4F">
              <w:rPr>
                <w:rFonts w:ascii="Arial Narrow" w:hAnsi="Arial Narrow"/>
                <w:sz w:val="20"/>
                <w:szCs w:val="20"/>
              </w:rPr>
              <w:tab/>
              <w:t>HR (95% CI)</w:t>
            </w:r>
          </w:p>
        </w:tc>
        <w:tc>
          <w:tcPr>
            <w:tcW w:w="4252" w:type="dxa"/>
            <w:gridSpan w:val="2"/>
          </w:tcPr>
          <w:p w:rsidR="00312BFF" w:rsidRPr="00AC7E4F" w:rsidRDefault="00312BFF" w:rsidP="00816303">
            <w:pPr>
              <w:keepNext/>
              <w:keepLines/>
              <w:jc w:val="center"/>
              <w:rPr>
                <w:rFonts w:ascii="Arial Narrow" w:hAnsi="Arial Narrow"/>
                <w:b/>
                <w:sz w:val="20"/>
                <w:szCs w:val="20"/>
              </w:rPr>
            </w:pPr>
            <w:r w:rsidRPr="00AC7E4F">
              <w:rPr>
                <w:rFonts w:ascii="Arial Narrow" w:eastAsia="TimesNewRoman" w:hAnsi="Arial Narrow" w:cs="Arial"/>
                <w:b/>
                <w:sz w:val="20"/>
                <w:szCs w:val="20"/>
              </w:rPr>
              <w:t>0.279 (0.227, 0.342)</w:t>
            </w:r>
          </w:p>
        </w:tc>
      </w:tr>
      <w:tr w:rsidR="00312BFF" w:rsidRPr="009C7AB9" w:rsidTr="00487634">
        <w:tc>
          <w:tcPr>
            <w:tcW w:w="9072" w:type="dxa"/>
            <w:gridSpan w:val="3"/>
          </w:tcPr>
          <w:p w:rsidR="00312BFF" w:rsidRPr="00AC7E4F" w:rsidRDefault="00312BFF" w:rsidP="00816303">
            <w:pPr>
              <w:keepNext/>
              <w:keepLines/>
              <w:jc w:val="left"/>
              <w:rPr>
                <w:rFonts w:ascii="Arial Narrow" w:hAnsi="Arial Narrow"/>
                <w:b/>
                <w:sz w:val="20"/>
                <w:szCs w:val="20"/>
              </w:rPr>
            </w:pPr>
            <w:r w:rsidRPr="00AC7E4F">
              <w:rPr>
                <w:rFonts w:ascii="Arial Narrow" w:hAnsi="Arial Narrow"/>
                <w:b/>
                <w:sz w:val="20"/>
                <w:szCs w:val="20"/>
              </w:rPr>
              <w:t>Time to symptomatic progression</w:t>
            </w:r>
          </w:p>
        </w:tc>
      </w:tr>
      <w:tr w:rsidR="00312BFF" w:rsidRPr="009C7AB9" w:rsidTr="00487634">
        <w:tc>
          <w:tcPr>
            <w:tcW w:w="4820" w:type="dxa"/>
          </w:tcPr>
          <w:p w:rsidR="00312BFF" w:rsidRPr="00AC7E4F" w:rsidRDefault="00312BFF" w:rsidP="00816303">
            <w:pPr>
              <w:keepNext/>
              <w:keepLines/>
              <w:tabs>
                <w:tab w:val="left" w:pos="142"/>
              </w:tabs>
              <w:jc w:val="left"/>
              <w:rPr>
                <w:rFonts w:ascii="Arial Narrow" w:hAnsi="Arial Narrow"/>
                <w:sz w:val="20"/>
                <w:szCs w:val="20"/>
              </w:rPr>
            </w:pPr>
            <w:r w:rsidRPr="00AC7E4F">
              <w:rPr>
                <w:rFonts w:ascii="Arial Narrow" w:hAnsi="Arial Narrow"/>
                <w:sz w:val="20"/>
                <w:szCs w:val="20"/>
              </w:rPr>
              <w:tab/>
              <w:t>Event (n %)</w:t>
            </w:r>
          </w:p>
        </w:tc>
        <w:tc>
          <w:tcPr>
            <w:tcW w:w="2130" w:type="dxa"/>
          </w:tcPr>
          <w:p w:rsidR="00312BFF" w:rsidRPr="00AC7E4F" w:rsidRDefault="00312BFF" w:rsidP="00816303">
            <w:pPr>
              <w:keepNext/>
              <w:keepLines/>
              <w:jc w:val="center"/>
              <w:rPr>
                <w:rFonts w:ascii="Arial Narrow" w:hAnsi="Arial Narrow"/>
                <w:sz w:val="20"/>
                <w:szCs w:val="20"/>
              </w:rPr>
            </w:pPr>
            <w:r w:rsidRPr="00AC7E4F">
              <w:rPr>
                <w:rFonts w:ascii="Arial Narrow" w:hAnsi="Arial Narrow" w:cs="Arial"/>
                <w:sz w:val="20"/>
                <w:szCs w:val="20"/>
              </w:rPr>
              <w:t>64 (7.9%)</w:t>
            </w:r>
          </w:p>
        </w:tc>
        <w:tc>
          <w:tcPr>
            <w:tcW w:w="2122" w:type="dxa"/>
          </w:tcPr>
          <w:p w:rsidR="00312BFF" w:rsidRPr="00AC7E4F" w:rsidRDefault="00312BFF" w:rsidP="00816303">
            <w:pPr>
              <w:keepNext/>
              <w:keepLines/>
              <w:jc w:val="center"/>
              <w:rPr>
                <w:rFonts w:ascii="Arial Narrow" w:hAnsi="Arial Narrow"/>
                <w:sz w:val="20"/>
                <w:szCs w:val="20"/>
              </w:rPr>
            </w:pPr>
            <w:r w:rsidRPr="00AC7E4F">
              <w:rPr>
                <w:rFonts w:ascii="Arial Narrow" w:hAnsi="Arial Narrow" w:cs="Arial"/>
                <w:sz w:val="20"/>
                <w:szCs w:val="20"/>
              </w:rPr>
              <w:t>63 (15.7%)</w:t>
            </w:r>
          </w:p>
        </w:tc>
      </w:tr>
      <w:tr w:rsidR="00312BFF" w:rsidRPr="009C7AB9" w:rsidTr="00487634">
        <w:tc>
          <w:tcPr>
            <w:tcW w:w="4820" w:type="dxa"/>
          </w:tcPr>
          <w:p w:rsidR="00312BFF" w:rsidRPr="00AC7E4F" w:rsidRDefault="00312BFF" w:rsidP="00816303">
            <w:pPr>
              <w:keepNext/>
              <w:keepLines/>
              <w:tabs>
                <w:tab w:val="left" w:pos="142"/>
              </w:tabs>
              <w:jc w:val="left"/>
              <w:rPr>
                <w:rFonts w:ascii="Arial Narrow" w:hAnsi="Arial Narrow"/>
                <w:sz w:val="20"/>
                <w:szCs w:val="20"/>
              </w:rPr>
            </w:pPr>
            <w:r w:rsidRPr="00AC7E4F">
              <w:rPr>
                <w:rFonts w:ascii="Arial Narrow" w:hAnsi="Arial Narrow"/>
                <w:sz w:val="20"/>
                <w:szCs w:val="20"/>
              </w:rPr>
              <w:tab/>
              <w:t xml:space="preserve">Median months to symptomatic progression (95% CI) </w:t>
            </w:r>
          </w:p>
        </w:tc>
        <w:tc>
          <w:tcPr>
            <w:tcW w:w="2130" w:type="dxa"/>
          </w:tcPr>
          <w:p w:rsidR="00312BFF" w:rsidRPr="00AC7E4F" w:rsidRDefault="00312BFF" w:rsidP="00816303">
            <w:pPr>
              <w:keepNext/>
              <w:keepLines/>
              <w:jc w:val="center"/>
              <w:rPr>
                <w:rFonts w:ascii="Arial Narrow" w:hAnsi="Arial Narrow"/>
                <w:sz w:val="20"/>
                <w:szCs w:val="20"/>
              </w:rPr>
            </w:pPr>
            <w:r w:rsidRPr="00AC7E4F">
              <w:rPr>
                <w:rFonts w:ascii="Arial Narrow" w:hAnsi="Arial Narrow" w:cs="Arial"/>
                <w:sz w:val="20"/>
                <w:szCs w:val="20"/>
              </w:rPr>
              <w:t>NE (NE, NE)</w:t>
            </w:r>
          </w:p>
        </w:tc>
        <w:tc>
          <w:tcPr>
            <w:tcW w:w="2122" w:type="dxa"/>
          </w:tcPr>
          <w:p w:rsidR="00312BFF" w:rsidRPr="00AC7E4F" w:rsidRDefault="00312BFF" w:rsidP="00816303">
            <w:pPr>
              <w:keepNext/>
              <w:keepLines/>
              <w:jc w:val="center"/>
              <w:rPr>
                <w:rFonts w:ascii="Arial Narrow" w:hAnsi="Arial Narrow"/>
                <w:sz w:val="20"/>
                <w:szCs w:val="20"/>
              </w:rPr>
            </w:pPr>
            <w:r w:rsidRPr="00AC7E4F">
              <w:rPr>
                <w:rFonts w:ascii="Arial Narrow" w:hAnsi="Arial Narrow" w:cs="Arial"/>
                <w:sz w:val="20"/>
                <w:szCs w:val="20"/>
              </w:rPr>
              <w:t>NE (36.83, NE)</w:t>
            </w:r>
          </w:p>
        </w:tc>
      </w:tr>
      <w:tr w:rsidR="00312BFF" w:rsidRPr="009C7AB9" w:rsidTr="00487634">
        <w:tc>
          <w:tcPr>
            <w:tcW w:w="4820" w:type="dxa"/>
          </w:tcPr>
          <w:p w:rsidR="00312BFF" w:rsidRPr="00AC7E4F" w:rsidRDefault="00312BFF" w:rsidP="00816303">
            <w:pPr>
              <w:keepNext/>
              <w:keepLines/>
              <w:tabs>
                <w:tab w:val="left" w:pos="142"/>
              </w:tabs>
              <w:jc w:val="left"/>
              <w:rPr>
                <w:rFonts w:ascii="Arial Narrow" w:hAnsi="Arial Narrow"/>
                <w:sz w:val="20"/>
                <w:szCs w:val="20"/>
              </w:rPr>
            </w:pPr>
            <w:r w:rsidRPr="00AC7E4F">
              <w:rPr>
                <w:rFonts w:ascii="Arial Narrow" w:hAnsi="Arial Narrow"/>
                <w:sz w:val="20"/>
                <w:szCs w:val="20"/>
              </w:rPr>
              <w:tab/>
              <w:t>HR (95% CI)</w:t>
            </w:r>
          </w:p>
        </w:tc>
        <w:tc>
          <w:tcPr>
            <w:tcW w:w="4252" w:type="dxa"/>
            <w:gridSpan w:val="2"/>
          </w:tcPr>
          <w:p w:rsidR="00312BFF" w:rsidRPr="00AC7E4F" w:rsidRDefault="00312BFF" w:rsidP="00816303">
            <w:pPr>
              <w:keepNext/>
              <w:keepLines/>
              <w:jc w:val="center"/>
              <w:rPr>
                <w:rFonts w:ascii="Arial Narrow" w:hAnsi="Arial Narrow"/>
                <w:b/>
                <w:sz w:val="20"/>
                <w:szCs w:val="20"/>
              </w:rPr>
            </w:pPr>
            <w:r w:rsidRPr="00AC7E4F">
              <w:rPr>
                <w:rFonts w:ascii="Arial Narrow" w:hAnsi="Arial Narrow" w:cs="Arial"/>
                <w:b/>
                <w:sz w:val="20"/>
                <w:szCs w:val="20"/>
              </w:rPr>
              <w:t>0.447 (0.315, 0.634)</w:t>
            </w:r>
          </w:p>
        </w:tc>
      </w:tr>
      <w:tr w:rsidR="00312BFF" w:rsidRPr="009C7AB9" w:rsidTr="00487634">
        <w:tc>
          <w:tcPr>
            <w:tcW w:w="9072" w:type="dxa"/>
            <w:gridSpan w:val="3"/>
          </w:tcPr>
          <w:p w:rsidR="00312BFF" w:rsidRPr="00AC7E4F" w:rsidRDefault="00312BFF" w:rsidP="00816303">
            <w:pPr>
              <w:keepNext/>
              <w:keepLines/>
              <w:jc w:val="left"/>
              <w:rPr>
                <w:rFonts w:ascii="Arial Narrow" w:hAnsi="Arial Narrow"/>
                <w:b/>
                <w:sz w:val="20"/>
                <w:szCs w:val="20"/>
              </w:rPr>
            </w:pPr>
            <w:r w:rsidRPr="00AC7E4F">
              <w:rPr>
                <w:rFonts w:ascii="Arial Narrow" w:hAnsi="Arial Narrow"/>
                <w:b/>
                <w:sz w:val="20"/>
                <w:szCs w:val="20"/>
              </w:rPr>
              <w:t>Time to initiation of cytotoxic chemotherapy</w:t>
            </w:r>
          </w:p>
        </w:tc>
      </w:tr>
      <w:tr w:rsidR="00312BFF" w:rsidRPr="009C7AB9" w:rsidTr="00487634">
        <w:tc>
          <w:tcPr>
            <w:tcW w:w="4820" w:type="dxa"/>
          </w:tcPr>
          <w:p w:rsidR="00312BFF" w:rsidRPr="00AC7E4F" w:rsidRDefault="00312BFF" w:rsidP="00816303">
            <w:pPr>
              <w:keepNext/>
              <w:keepLines/>
              <w:tabs>
                <w:tab w:val="left" w:pos="142"/>
              </w:tabs>
              <w:jc w:val="left"/>
              <w:rPr>
                <w:rFonts w:ascii="Arial Narrow" w:hAnsi="Arial Narrow"/>
                <w:sz w:val="20"/>
                <w:szCs w:val="20"/>
              </w:rPr>
            </w:pPr>
            <w:r w:rsidRPr="00AC7E4F">
              <w:rPr>
                <w:rFonts w:ascii="Arial Narrow" w:hAnsi="Arial Narrow"/>
                <w:sz w:val="20"/>
                <w:szCs w:val="20"/>
              </w:rPr>
              <w:tab/>
              <w:t>Event (n %)</w:t>
            </w:r>
          </w:p>
        </w:tc>
        <w:tc>
          <w:tcPr>
            <w:tcW w:w="2130" w:type="dxa"/>
          </w:tcPr>
          <w:p w:rsidR="00312BFF" w:rsidRPr="00AC7E4F" w:rsidRDefault="00312BFF" w:rsidP="00816303">
            <w:pPr>
              <w:keepNext/>
              <w:keepLines/>
              <w:jc w:val="center"/>
              <w:rPr>
                <w:rFonts w:ascii="Arial Narrow" w:hAnsi="Arial Narrow"/>
                <w:sz w:val="20"/>
                <w:szCs w:val="20"/>
              </w:rPr>
            </w:pPr>
            <w:r w:rsidRPr="00AC7E4F">
              <w:rPr>
                <w:rFonts w:ascii="Arial Narrow" w:hAnsi="Arial Narrow" w:cs="Arial"/>
                <w:sz w:val="20"/>
                <w:szCs w:val="20"/>
              </w:rPr>
              <w:t>46 (5.7%)</w:t>
            </w:r>
          </w:p>
        </w:tc>
        <w:tc>
          <w:tcPr>
            <w:tcW w:w="2122" w:type="dxa"/>
          </w:tcPr>
          <w:p w:rsidR="00312BFF" w:rsidRPr="00AC7E4F" w:rsidRDefault="00312BFF" w:rsidP="00816303">
            <w:pPr>
              <w:keepNext/>
              <w:keepLines/>
              <w:jc w:val="center"/>
              <w:rPr>
                <w:rFonts w:ascii="Arial Narrow" w:hAnsi="Arial Narrow"/>
                <w:sz w:val="20"/>
                <w:szCs w:val="20"/>
              </w:rPr>
            </w:pPr>
            <w:r w:rsidRPr="00AC7E4F">
              <w:rPr>
                <w:rFonts w:ascii="Arial Narrow" w:hAnsi="Arial Narrow" w:cs="Arial"/>
                <w:sz w:val="20"/>
                <w:szCs w:val="20"/>
              </w:rPr>
              <w:t>44 (11.0%)</w:t>
            </w:r>
          </w:p>
        </w:tc>
      </w:tr>
      <w:tr w:rsidR="00312BFF" w:rsidRPr="009C7AB9" w:rsidTr="00487634">
        <w:tc>
          <w:tcPr>
            <w:tcW w:w="4820" w:type="dxa"/>
          </w:tcPr>
          <w:p w:rsidR="00312BFF" w:rsidRPr="001A1007" w:rsidRDefault="00312BFF" w:rsidP="00816303">
            <w:pPr>
              <w:keepNext/>
              <w:keepLines/>
              <w:tabs>
                <w:tab w:val="left" w:pos="142"/>
              </w:tabs>
              <w:jc w:val="left"/>
              <w:rPr>
                <w:rFonts w:ascii="Arial Narrow" w:hAnsi="Arial Narrow"/>
                <w:sz w:val="20"/>
                <w:szCs w:val="20"/>
              </w:rPr>
            </w:pPr>
            <w:r>
              <w:rPr>
                <w:rFonts w:ascii="Arial Narrow" w:hAnsi="Arial Narrow"/>
                <w:sz w:val="20"/>
                <w:szCs w:val="20"/>
              </w:rPr>
              <w:tab/>
              <w:t xml:space="preserve">Median months to chemotherapy (95% CI) </w:t>
            </w:r>
          </w:p>
        </w:tc>
        <w:tc>
          <w:tcPr>
            <w:tcW w:w="2130" w:type="dxa"/>
          </w:tcPr>
          <w:p w:rsidR="00312BFF" w:rsidRPr="009C7AB9" w:rsidRDefault="00312BFF" w:rsidP="00816303">
            <w:pPr>
              <w:keepNext/>
              <w:keepLines/>
              <w:jc w:val="center"/>
              <w:rPr>
                <w:rFonts w:ascii="Arial Narrow" w:hAnsi="Arial Narrow"/>
                <w:sz w:val="20"/>
                <w:szCs w:val="20"/>
              </w:rPr>
            </w:pPr>
            <w:r w:rsidRPr="009C7AB9">
              <w:rPr>
                <w:rFonts w:ascii="Arial Narrow" w:hAnsi="Arial Narrow" w:cs="Arial"/>
                <w:sz w:val="20"/>
                <w:szCs w:val="20"/>
              </w:rPr>
              <w:t>NE (NE, NE)</w:t>
            </w:r>
          </w:p>
        </w:tc>
        <w:tc>
          <w:tcPr>
            <w:tcW w:w="2122" w:type="dxa"/>
          </w:tcPr>
          <w:p w:rsidR="00312BFF" w:rsidRPr="009C7AB9" w:rsidRDefault="00312BFF" w:rsidP="00816303">
            <w:pPr>
              <w:keepNext/>
              <w:keepLines/>
              <w:jc w:val="center"/>
              <w:rPr>
                <w:rFonts w:ascii="Arial Narrow" w:hAnsi="Arial Narrow"/>
                <w:sz w:val="20"/>
                <w:szCs w:val="20"/>
              </w:rPr>
            </w:pPr>
            <w:r w:rsidRPr="009C7AB9">
              <w:rPr>
                <w:rFonts w:ascii="Arial Narrow" w:hAnsi="Arial Narrow" w:cs="Arial"/>
                <w:sz w:val="20"/>
                <w:szCs w:val="20"/>
              </w:rPr>
              <w:t>NE (NE, NE)</w:t>
            </w:r>
          </w:p>
        </w:tc>
      </w:tr>
      <w:tr w:rsidR="00312BFF" w:rsidRPr="009C7AB9" w:rsidTr="00487634">
        <w:tc>
          <w:tcPr>
            <w:tcW w:w="4820" w:type="dxa"/>
          </w:tcPr>
          <w:p w:rsidR="00312BFF" w:rsidRPr="001A1007" w:rsidRDefault="00312BFF" w:rsidP="00816303">
            <w:pPr>
              <w:keepNext/>
              <w:keepLines/>
              <w:tabs>
                <w:tab w:val="left" w:pos="142"/>
              </w:tabs>
              <w:jc w:val="left"/>
              <w:rPr>
                <w:rFonts w:ascii="Arial Narrow" w:hAnsi="Arial Narrow"/>
                <w:sz w:val="20"/>
                <w:szCs w:val="20"/>
              </w:rPr>
            </w:pPr>
            <w:r>
              <w:rPr>
                <w:rFonts w:ascii="Arial Narrow" w:hAnsi="Arial Narrow"/>
                <w:sz w:val="20"/>
                <w:szCs w:val="20"/>
              </w:rPr>
              <w:tab/>
              <w:t>HR (95% CI)</w:t>
            </w:r>
          </w:p>
        </w:tc>
        <w:tc>
          <w:tcPr>
            <w:tcW w:w="4252" w:type="dxa"/>
            <w:gridSpan w:val="2"/>
          </w:tcPr>
          <w:p w:rsidR="00312BFF" w:rsidRPr="009C7AB9" w:rsidRDefault="00312BFF" w:rsidP="00816303">
            <w:pPr>
              <w:keepNext/>
              <w:keepLines/>
              <w:jc w:val="center"/>
              <w:rPr>
                <w:rFonts w:ascii="Arial Narrow" w:hAnsi="Arial Narrow"/>
                <w:b/>
                <w:sz w:val="20"/>
                <w:szCs w:val="20"/>
              </w:rPr>
            </w:pPr>
            <w:r w:rsidRPr="009C7AB9">
              <w:rPr>
                <w:rFonts w:ascii="Arial Narrow" w:hAnsi="Arial Narrow" w:cs="Arial"/>
                <w:b/>
                <w:sz w:val="20"/>
                <w:szCs w:val="20"/>
              </w:rPr>
              <w:t>0.435 (0.286, 0.661)</w:t>
            </w:r>
          </w:p>
        </w:tc>
      </w:tr>
    </w:tbl>
    <w:p w:rsidR="00312BFF" w:rsidRDefault="00312BFF" w:rsidP="00816303">
      <w:pPr>
        <w:pStyle w:val="TableFooter"/>
        <w:keepNext/>
        <w:keepLines/>
      </w:pPr>
      <w:r>
        <w:t>BICR=blinded independent central review; CI=confidence i</w:t>
      </w:r>
      <w:r w:rsidR="00E76546">
        <w:t xml:space="preserve">nterval; HR=hazard ratio; NE=not </w:t>
      </w:r>
      <w:r>
        <w:t xml:space="preserve">estimable; </w:t>
      </w:r>
      <w:r w:rsidRPr="00FA37F0">
        <w:rPr>
          <w:b/>
        </w:rPr>
        <w:t>bold</w:t>
      </w:r>
      <w:r>
        <w:t>=statistically significant</w:t>
      </w:r>
    </w:p>
    <w:p w:rsidR="00312BFF" w:rsidRDefault="00312BFF" w:rsidP="00CB20A7">
      <w:pPr>
        <w:pStyle w:val="TableFooter"/>
        <w:keepNext/>
        <w:keepLines/>
        <w:spacing w:after="240"/>
      </w:pPr>
      <w:r>
        <w:t>Source:  Table 2.27, p129; Table 2.28, p134; Table 2.30, p137; Table 2.31, p139; Table 2.32, p14; Table 2.33, p143 of the submission and Table 16, p66 of the SPARTAN CSR.</w:t>
      </w:r>
    </w:p>
    <w:p w:rsidR="000B0857" w:rsidRDefault="000B0857" w:rsidP="000B0857">
      <w:pPr>
        <w:keepNext/>
      </w:pPr>
      <w:r>
        <w:rPr>
          <w:rFonts w:ascii="Arial Narrow" w:hAnsi="Arial Narrow"/>
          <w:b/>
          <w:sz w:val="20"/>
          <w:szCs w:val="20"/>
        </w:rPr>
        <w:t>Figure</w:t>
      </w:r>
      <w:r w:rsidRPr="001A1007">
        <w:rPr>
          <w:rFonts w:ascii="Arial Narrow" w:hAnsi="Arial Narrow"/>
          <w:b/>
          <w:sz w:val="20"/>
          <w:szCs w:val="20"/>
        </w:rPr>
        <w:t xml:space="preserve"> </w:t>
      </w:r>
      <w:r>
        <w:rPr>
          <w:rFonts w:ascii="Arial Narrow" w:hAnsi="Arial Narrow"/>
          <w:b/>
          <w:sz w:val="20"/>
          <w:szCs w:val="20"/>
        </w:rPr>
        <w:t>1</w:t>
      </w:r>
      <w:r w:rsidRPr="001A1007">
        <w:rPr>
          <w:rFonts w:ascii="Arial Narrow" w:hAnsi="Arial Narrow"/>
          <w:b/>
          <w:sz w:val="20"/>
          <w:szCs w:val="20"/>
        </w:rPr>
        <w:t xml:space="preserve">:  </w:t>
      </w:r>
      <w:r>
        <w:rPr>
          <w:rFonts w:ascii="Arial Narrow" w:hAnsi="Arial Narrow"/>
          <w:b/>
          <w:sz w:val="20"/>
          <w:szCs w:val="20"/>
        </w:rPr>
        <w:t>Kaplan-Meier curve for MFS (investigator-assessed and BICR-assessed) from SPARTAN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Caption w:val="Kaplan-Meier curve for MFS (investigator-assessed and BICR-assessed) from SPARTAN"/>
      </w:tblPr>
      <w:tblGrid>
        <w:gridCol w:w="4671"/>
        <w:gridCol w:w="4356"/>
      </w:tblGrid>
      <w:tr w:rsidR="000B0857" w:rsidTr="00A578F4">
        <w:trPr>
          <w:tblHeader/>
        </w:trPr>
        <w:tc>
          <w:tcPr>
            <w:tcW w:w="4508" w:type="dxa"/>
          </w:tcPr>
          <w:p w:rsidR="000B0857" w:rsidRDefault="000B0857" w:rsidP="003078DB">
            <w:pPr>
              <w:keepNext/>
              <w:keepLines/>
              <w:widowControl w:val="0"/>
            </w:pPr>
            <w:r>
              <w:rPr>
                <w:rFonts w:ascii="Arial Narrow" w:hAnsi="Arial Narrow"/>
                <w:b/>
                <w:sz w:val="20"/>
                <w:szCs w:val="20"/>
              </w:rPr>
              <w:t>A: BICR</w:t>
            </w:r>
          </w:p>
        </w:tc>
        <w:tc>
          <w:tcPr>
            <w:tcW w:w="4509" w:type="dxa"/>
          </w:tcPr>
          <w:p w:rsidR="000B0857" w:rsidRDefault="000B0857" w:rsidP="003078DB">
            <w:pPr>
              <w:keepNext/>
              <w:keepLines/>
              <w:widowControl w:val="0"/>
            </w:pPr>
            <w:r>
              <w:rPr>
                <w:rFonts w:ascii="Arial Narrow" w:hAnsi="Arial Narrow"/>
                <w:b/>
                <w:sz w:val="20"/>
                <w:szCs w:val="20"/>
              </w:rPr>
              <w:t>B: investigator assessment</w:t>
            </w:r>
          </w:p>
        </w:tc>
      </w:tr>
      <w:tr w:rsidR="000B0857" w:rsidTr="00A578F4">
        <w:tc>
          <w:tcPr>
            <w:tcW w:w="4508" w:type="dxa"/>
          </w:tcPr>
          <w:p w:rsidR="000B0857" w:rsidRDefault="000B0857" w:rsidP="003078DB">
            <w:r w:rsidRPr="004A2B60">
              <w:rPr>
                <w:b/>
                <w:noProof/>
                <w:lang w:eastAsia="en-AU"/>
              </w:rPr>
              <w:drawing>
                <wp:inline distT="0" distB="0" distL="0" distR="0" wp14:anchorId="22D639DF" wp14:editId="2E8FD0B0">
                  <wp:extent cx="2949934" cy="1914371"/>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1226" cy="1941168"/>
                          </a:xfrm>
                          <a:prstGeom prst="rect">
                            <a:avLst/>
                          </a:prstGeom>
                          <a:noFill/>
                          <a:ln>
                            <a:noFill/>
                          </a:ln>
                        </pic:spPr>
                      </pic:pic>
                    </a:graphicData>
                  </a:graphic>
                </wp:inline>
              </w:drawing>
            </w:r>
          </w:p>
        </w:tc>
        <w:tc>
          <w:tcPr>
            <w:tcW w:w="4509" w:type="dxa"/>
          </w:tcPr>
          <w:p w:rsidR="000B0857" w:rsidRDefault="000B0857" w:rsidP="003078DB">
            <w:r w:rsidRPr="004A2B60">
              <w:rPr>
                <w:b/>
                <w:noProof/>
                <w:lang w:eastAsia="en-AU"/>
              </w:rPr>
              <w:drawing>
                <wp:inline distT="0" distB="0" distL="0" distR="0" wp14:anchorId="60D7E353" wp14:editId="1F660B3E">
                  <wp:extent cx="2751152" cy="19500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95584" cy="1981580"/>
                          </a:xfrm>
                          <a:prstGeom prst="rect">
                            <a:avLst/>
                          </a:prstGeom>
                        </pic:spPr>
                      </pic:pic>
                    </a:graphicData>
                  </a:graphic>
                </wp:inline>
              </w:drawing>
            </w:r>
          </w:p>
        </w:tc>
      </w:tr>
      <w:tr w:rsidR="000B0857" w:rsidTr="00A578F4">
        <w:tc>
          <w:tcPr>
            <w:tcW w:w="4508" w:type="dxa"/>
          </w:tcPr>
          <w:p w:rsidR="000B0857" w:rsidRDefault="000B0857" w:rsidP="003078DB">
            <w:pPr>
              <w:pStyle w:val="TableFooter"/>
              <w:keepNext/>
              <w:keepLines/>
              <w:widowControl w:val="0"/>
            </w:pPr>
            <w:r>
              <w:t>Source:  Figure 2.2, p130 of the submission.</w:t>
            </w:r>
          </w:p>
        </w:tc>
        <w:tc>
          <w:tcPr>
            <w:tcW w:w="4509" w:type="dxa"/>
          </w:tcPr>
          <w:p w:rsidR="000B0857" w:rsidRDefault="000B0857" w:rsidP="003078DB">
            <w:pPr>
              <w:pStyle w:val="TableFooter"/>
              <w:keepNext/>
              <w:keepLines/>
              <w:widowControl w:val="0"/>
            </w:pPr>
            <w:r>
              <w:t>Source: Figure 2.3, p131 of the submission.</w:t>
            </w:r>
          </w:p>
        </w:tc>
      </w:tr>
    </w:tbl>
    <w:p w:rsidR="000B0857" w:rsidRDefault="000B0857" w:rsidP="000B0857"/>
    <w:p w:rsidR="000B0857" w:rsidRDefault="000B0857" w:rsidP="000B0857">
      <w:pPr>
        <w:keepNext/>
      </w:pPr>
      <w:r>
        <w:rPr>
          <w:rFonts w:ascii="Arial Narrow" w:hAnsi="Arial Narrow"/>
          <w:b/>
          <w:sz w:val="20"/>
          <w:szCs w:val="20"/>
        </w:rPr>
        <w:lastRenderedPageBreak/>
        <w:t>Figure</w:t>
      </w:r>
      <w:r w:rsidRPr="001A1007">
        <w:rPr>
          <w:rFonts w:ascii="Arial Narrow" w:hAnsi="Arial Narrow"/>
          <w:b/>
          <w:sz w:val="20"/>
          <w:szCs w:val="20"/>
        </w:rPr>
        <w:t xml:space="preserve"> </w:t>
      </w:r>
      <w:r>
        <w:rPr>
          <w:rFonts w:ascii="Arial Narrow" w:hAnsi="Arial Narrow"/>
          <w:b/>
          <w:sz w:val="20"/>
          <w:szCs w:val="20"/>
        </w:rPr>
        <w:t>2</w:t>
      </w:r>
      <w:r w:rsidRPr="001A1007">
        <w:rPr>
          <w:rFonts w:ascii="Arial Narrow" w:hAnsi="Arial Narrow"/>
          <w:b/>
          <w:sz w:val="20"/>
          <w:szCs w:val="20"/>
        </w:rPr>
        <w:t xml:space="preserve">:  </w:t>
      </w:r>
      <w:r>
        <w:rPr>
          <w:rFonts w:ascii="Arial Narrow" w:hAnsi="Arial Narrow"/>
          <w:b/>
          <w:sz w:val="20"/>
          <w:szCs w:val="20"/>
        </w:rPr>
        <w:t>Kaplan-Meier curve for OS from SPARTAN</w:t>
      </w:r>
    </w:p>
    <w:p w:rsidR="000B0857" w:rsidRDefault="000B0857" w:rsidP="000B0857">
      <w:pPr>
        <w:keepNext/>
      </w:pPr>
      <w:r w:rsidRPr="004A2B60">
        <w:rPr>
          <w:b/>
          <w:noProof/>
          <w:lang w:eastAsia="en-AU"/>
        </w:rPr>
        <w:drawing>
          <wp:inline distT="0" distB="0" distL="0" distR="0" wp14:anchorId="0022217D" wp14:editId="386B6CDC">
            <wp:extent cx="3441700" cy="2654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41700" cy="2654300"/>
                    </a:xfrm>
                    <a:prstGeom prst="rect">
                      <a:avLst/>
                    </a:prstGeom>
                  </pic:spPr>
                </pic:pic>
              </a:graphicData>
            </a:graphic>
          </wp:inline>
        </w:drawing>
      </w:r>
    </w:p>
    <w:p w:rsidR="000B0857" w:rsidRDefault="000B0857" w:rsidP="000B0857">
      <w:pPr>
        <w:pStyle w:val="TableFooter"/>
        <w:keepNext/>
      </w:pPr>
      <w:r>
        <w:t>Source:  Figure 2.5, p134 of the submission.</w:t>
      </w:r>
    </w:p>
    <w:p w:rsidR="00013BEE" w:rsidRPr="00312BFF" w:rsidRDefault="00013BEE" w:rsidP="00312BFF"/>
    <w:p w:rsidR="00CE34DD" w:rsidRDefault="00CE34DD" w:rsidP="00CE34DD">
      <w:pPr>
        <w:pStyle w:val="ListParagraph"/>
        <w:numPr>
          <w:ilvl w:val="1"/>
          <w:numId w:val="3"/>
        </w:numPr>
        <w:spacing w:after="0"/>
      </w:pPr>
      <w:r>
        <w:t>Key points regarding the results presented above are as follows:</w:t>
      </w:r>
    </w:p>
    <w:p w:rsidR="005118E5" w:rsidRPr="00FA55BD" w:rsidRDefault="00CE34DD" w:rsidP="00BB33C3">
      <w:pPr>
        <w:pStyle w:val="Bulletpoints"/>
        <w:spacing w:after="120"/>
        <w:ind w:left="993" w:hanging="284"/>
      </w:pPr>
      <w:r w:rsidRPr="00555451">
        <w:t xml:space="preserve">There was a statistically significant advantage for </w:t>
      </w:r>
      <w:proofErr w:type="spellStart"/>
      <w:r w:rsidRPr="00555451">
        <w:t>apalutamide</w:t>
      </w:r>
      <w:proofErr w:type="spellEnd"/>
      <w:r w:rsidRPr="00555451">
        <w:t xml:space="preserve"> compared to placebo for all outcomes except OS</w:t>
      </w:r>
      <w:r w:rsidRPr="00FA55BD">
        <w:t>.</w:t>
      </w:r>
      <w:r w:rsidR="001324F4" w:rsidRPr="00FA55BD">
        <w:t xml:space="preserve"> </w:t>
      </w:r>
      <w:r w:rsidR="00ED0393" w:rsidRPr="00FA55BD">
        <w:t>The ESC noted t</w:t>
      </w:r>
      <w:r w:rsidR="001324F4" w:rsidRPr="00FA55BD">
        <w:t xml:space="preserve">he lack of statistical OS benefit results in high uncertainty regarding the magnitude of benefit of </w:t>
      </w:r>
      <w:proofErr w:type="spellStart"/>
      <w:r w:rsidR="001324F4" w:rsidRPr="00FA55BD">
        <w:t>apalutamide</w:t>
      </w:r>
      <w:proofErr w:type="spellEnd"/>
      <w:r w:rsidR="001324F4" w:rsidRPr="00FA55BD">
        <w:t xml:space="preserve">. </w:t>
      </w:r>
      <w:r w:rsidR="00ED0393" w:rsidRPr="00FA55BD">
        <w:t xml:space="preserve">The </w:t>
      </w:r>
      <w:r w:rsidR="001324F4" w:rsidRPr="00FA55BD">
        <w:t>PSCR acknowledge</w:t>
      </w:r>
      <w:r w:rsidR="00ED0393" w:rsidRPr="00FA55BD">
        <w:t>d</w:t>
      </w:r>
      <w:r w:rsidR="001324F4" w:rsidRPr="00FA55BD">
        <w:t xml:space="preserve"> that </w:t>
      </w:r>
      <w:r w:rsidR="00ED0393" w:rsidRPr="00FA55BD">
        <w:t xml:space="preserve">the </w:t>
      </w:r>
      <w:r w:rsidR="001324F4" w:rsidRPr="00FA55BD">
        <w:t>current data set is insufficiently powered to detect statistical significance for OS difference</w:t>
      </w:r>
      <w:r w:rsidR="00ED0393" w:rsidRPr="00FA55BD">
        <w:t xml:space="preserve"> and </w:t>
      </w:r>
      <w:r w:rsidR="00756D11" w:rsidRPr="00FA55BD">
        <w:t xml:space="preserve">presented </w:t>
      </w:r>
      <w:r w:rsidR="001324F4" w:rsidRPr="00FA55BD">
        <w:t xml:space="preserve">an analysis </w:t>
      </w:r>
      <w:r w:rsidR="00756D11" w:rsidRPr="00FA55BD">
        <w:t xml:space="preserve">in which data from </w:t>
      </w:r>
      <w:r w:rsidR="001324F4" w:rsidRPr="00FA55BD">
        <w:t xml:space="preserve">SPARTAN </w:t>
      </w:r>
      <w:r w:rsidR="00756D11" w:rsidRPr="00FA55BD">
        <w:t>were pooled with that from the</w:t>
      </w:r>
      <w:r w:rsidR="001324F4" w:rsidRPr="00FA55BD">
        <w:t xml:space="preserve"> PROSPER enzalutamide</w:t>
      </w:r>
      <w:r w:rsidR="00756D11" w:rsidRPr="00FA55BD">
        <w:t xml:space="preserve"> trial</w:t>
      </w:r>
      <w:r w:rsidR="001324F4" w:rsidRPr="00FA55BD">
        <w:t xml:space="preserve">. The PSCR pooled analysis </w:t>
      </w:r>
      <w:r w:rsidR="00ED0393" w:rsidRPr="00FA55BD">
        <w:t>reported</w:t>
      </w:r>
      <w:r w:rsidR="001324F4" w:rsidRPr="00FA55BD">
        <w:t xml:space="preserve"> a 26% reduction in the risk of death with a second generation antiandrogen. This pooled analysis has not been independently verified</w:t>
      </w:r>
      <w:r w:rsidR="001D0F7B" w:rsidRPr="00FA55BD">
        <w:t xml:space="preserve"> and the ESC n</w:t>
      </w:r>
      <w:r w:rsidR="00AD6C7E" w:rsidRPr="00FA55BD">
        <w:t xml:space="preserve">oted that it is </w:t>
      </w:r>
      <w:r w:rsidR="00273852" w:rsidRPr="00FA55BD">
        <w:t xml:space="preserve">unknown </w:t>
      </w:r>
      <w:r w:rsidR="00AD6C7E" w:rsidRPr="00FA55BD">
        <w:t>whether</w:t>
      </w:r>
      <w:r w:rsidR="001D0F7B" w:rsidRPr="00FA55BD">
        <w:t xml:space="preserve"> pooling of data from these trials is appropriate</w:t>
      </w:r>
      <w:r w:rsidR="001324F4" w:rsidRPr="00FA55BD">
        <w:t xml:space="preserve">. </w:t>
      </w:r>
      <w:r w:rsidR="00555451" w:rsidRPr="00FA55BD">
        <w:t xml:space="preserve">The ESC also noted that although this analysis achieves statistical significance the </w:t>
      </w:r>
      <w:r w:rsidR="00AA7D88">
        <w:t xml:space="preserve">absolute magnitude of OS gain in the economic model was not </w:t>
      </w:r>
      <w:r w:rsidR="00CD7A29" w:rsidRPr="00FA55BD">
        <w:t xml:space="preserve">supported by the </w:t>
      </w:r>
      <w:r w:rsidR="00273852" w:rsidRPr="00FA55BD">
        <w:t xml:space="preserve">available </w:t>
      </w:r>
      <w:r w:rsidR="00CD7A29" w:rsidRPr="00FA55BD">
        <w:t>data</w:t>
      </w:r>
      <w:r w:rsidR="001B3B29" w:rsidRPr="00FA55BD">
        <w:t xml:space="preserve">. </w:t>
      </w:r>
    </w:p>
    <w:p w:rsidR="00D862B8" w:rsidRPr="00FA55BD" w:rsidRDefault="00CE34DD" w:rsidP="00BB33C3">
      <w:pPr>
        <w:pStyle w:val="Bulletpoints"/>
        <w:spacing w:after="120"/>
        <w:ind w:left="993" w:hanging="284"/>
      </w:pPr>
      <w:r>
        <w:t>There was an increase of 24.8 months in MFS</w:t>
      </w:r>
      <w:r w:rsidR="00CA3880">
        <w:t xml:space="preserve"> (BICR-assessed)</w:t>
      </w:r>
      <w:r>
        <w:t xml:space="preserve"> for </w:t>
      </w:r>
      <w:proofErr w:type="spellStart"/>
      <w:r>
        <w:t>apalutamide</w:t>
      </w:r>
      <w:proofErr w:type="spellEnd"/>
      <w:r>
        <w:t xml:space="preserve">-treated patients (40.51 months) compared to those treated with placebo (15.7 months). The submission noted that the median MFS for </w:t>
      </w:r>
      <w:proofErr w:type="spellStart"/>
      <w:r>
        <w:t>apalutamide</w:t>
      </w:r>
      <w:proofErr w:type="spellEnd"/>
      <w:r>
        <w:t xml:space="preserve"> is likely to change with further follow-up given the median has been determined by just 3 patients who reached the 40 month point</w:t>
      </w:r>
      <w:r w:rsidRPr="00A44512">
        <w:t xml:space="preserve">. </w:t>
      </w:r>
      <w:r w:rsidR="00B34E09">
        <w:t xml:space="preserve">With </w:t>
      </w:r>
      <w:r w:rsidRPr="00A44512">
        <w:t xml:space="preserve">a median of </w:t>
      </w:r>
      <w:r w:rsidR="00B34E09">
        <w:t xml:space="preserve">only </w:t>
      </w:r>
      <w:r w:rsidRPr="00A44512">
        <w:t xml:space="preserve">20.3 months of follow-up, as noted by the TGA evaluator, </w:t>
      </w:r>
      <w:r w:rsidRPr="00222CF0">
        <w:t xml:space="preserve">the data </w:t>
      </w:r>
      <w:r w:rsidR="00391D33" w:rsidRPr="00222CF0">
        <w:t>were</w:t>
      </w:r>
      <w:r w:rsidRPr="00222CF0">
        <w:t xml:space="preserve"> immature and therefore the magnitude of benefit </w:t>
      </w:r>
      <w:r w:rsidR="00E064CA" w:rsidRPr="00222CF0">
        <w:t>wa</w:t>
      </w:r>
      <w:r w:rsidRPr="00222CF0">
        <w:t>s difficult to determine</w:t>
      </w:r>
      <w:r w:rsidRPr="00FA55BD">
        <w:t xml:space="preserve">. </w:t>
      </w:r>
      <w:r w:rsidR="00BB33C3" w:rsidRPr="00FA55BD">
        <w:t xml:space="preserve">Given the switching of treatments, it may not be possible to determine if use of </w:t>
      </w:r>
      <w:proofErr w:type="spellStart"/>
      <w:r w:rsidR="00BB33C3" w:rsidRPr="00FA55BD">
        <w:t>apalutamide</w:t>
      </w:r>
      <w:proofErr w:type="spellEnd"/>
      <w:r w:rsidR="00BB33C3" w:rsidRPr="00FA55BD">
        <w:t xml:space="preserve"> improves OS. The submission acknowledged that future analyses of OS will be confounded.</w:t>
      </w:r>
      <w:r w:rsidR="00BB33C3" w:rsidRPr="00FA55BD">
        <w:rPr>
          <w:rFonts w:ascii="Times New Roman" w:hAnsi="Times New Roman"/>
          <w:lang w:eastAsia="en-AU"/>
        </w:rPr>
        <w:t xml:space="preserve"> </w:t>
      </w:r>
      <w:r w:rsidRPr="00FA55BD">
        <w:t xml:space="preserve">In addition, investigator-assessed MFS </w:t>
      </w:r>
      <w:r w:rsidR="00E064CA" w:rsidRPr="00FA55BD">
        <w:t>wa</w:t>
      </w:r>
      <w:r w:rsidRPr="00FA55BD">
        <w:t xml:space="preserve">s </w:t>
      </w:r>
      <w:r w:rsidRPr="00222CF0">
        <w:t xml:space="preserve">almost a month greater for the </w:t>
      </w:r>
      <w:proofErr w:type="spellStart"/>
      <w:r w:rsidRPr="00222CF0">
        <w:t>apalutamide</w:t>
      </w:r>
      <w:proofErr w:type="spellEnd"/>
      <w:r w:rsidRPr="00222CF0">
        <w:t xml:space="preserve"> arm (41.2 months) while the placebo arm ha</w:t>
      </w:r>
      <w:r w:rsidR="00E064CA" w:rsidRPr="00222CF0">
        <w:t>d</w:t>
      </w:r>
      <w:r w:rsidRPr="00222CF0">
        <w:t xml:space="preserve"> approximately a month less, leading to a greater incremental difference. This was the outcome</w:t>
      </w:r>
      <w:r w:rsidRPr="00FA55BD">
        <w:t xml:space="preserve"> applied in the economic model and favour</w:t>
      </w:r>
      <w:r w:rsidR="00E064CA" w:rsidRPr="00FA55BD">
        <w:t>ed</w:t>
      </w:r>
      <w:r w:rsidRPr="00FA55BD">
        <w:t xml:space="preserve"> </w:t>
      </w:r>
      <w:proofErr w:type="spellStart"/>
      <w:r w:rsidRPr="00FA55BD">
        <w:t>apalutamide</w:t>
      </w:r>
      <w:proofErr w:type="spellEnd"/>
      <w:r w:rsidRPr="00FA55BD">
        <w:t xml:space="preserve"> (see further discussion below). </w:t>
      </w:r>
      <w:r w:rsidR="00143DCE" w:rsidRPr="00FA55BD">
        <w:t xml:space="preserve">The </w:t>
      </w:r>
      <w:r w:rsidR="00143DCE" w:rsidRPr="00FA55BD">
        <w:lastRenderedPageBreak/>
        <w:t xml:space="preserve">ESC considered that the magnitude of benefit of </w:t>
      </w:r>
      <w:proofErr w:type="spellStart"/>
      <w:r w:rsidR="00143DCE" w:rsidRPr="00FA55BD">
        <w:t>apalutamide</w:t>
      </w:r>
      <w:proofErr w:type="spellEnd"/>
      <w:r w:rsidR="00143DCE" w:rsidRPr="00FA55BD">
        <w:t xml:space="preserve"> is unclear given the immaturity of the data.</w:t>
      </w:r>
      <w:r w:rsidR="00843000" w:rsidRPr="00FA55BD">
        <w:t xml:space="preserve"> </w:t>
      </w:r>
    </w:p>
    <w:p w:rsidR="00D862B8" w:rsidRPr="00FA55BD" w:rsidRDefault="00D862B8" w:rsidP="00CE34DD">
      <w:pPr>
        <w:pStyle w:val="Bulletpoints"/>
        <w:ind w:left="993" w:hanging="284"/>
      </w:pPr>
      <w:r w:rsidRPr="00FA55BD">
        <w:t xml:space="preserve">The </w:t>
      </w:r>
      <w:r w:rsidR="00273852" w:rsidRPr="00FA55BD">
        <w:t>clinical significance of</w:t>
      </w:r>
      <w:r w:rsidRPr="00FA55BD">
        <w:t xml:space="preserve"> MFS </w:t>
      </w:r>
      <w:r w:rsidR="00273852" w:rsidRPr="00FA55BD">
        <w:t>is unclear</w:t>
      </w:r>
      <w:r w:rsidRPr="00FA55BD">
        <w:t xml:space="preserve"> because:</w:t>
      </w:r>
    </w:p>
    <w:p w:rsidR="00D862B8" w:rsidRPr="00A44512" w:rsidRDefault="00D862B8" w:rsidP="00D862B8">
      <w:pPr>
        <w:pStyle w:val="Bulletpoints"/>
        <w:numPr>
          <w:ilvl w:val="1"/>
          <w:numId w:val="7"/>
        </w:numPr>
      </w:pPr>
      <w:r w:rsidRPr="00A44512">
        <w:t xml:space="preserve">MFS </w:t>
      </w:r>
      <w:r>
        <w:t>is</w:t>
      </w:r>
      <w:r w:rsidRPr="00A44512">
        <w:t xml:space="preserve"> </w:t>
      </w:r>
      <w:r>
        <w:t>a</w:t>
      </w:r>
      <w:r w:rsidRPr="00A44512">
        <w:t xml:space="preserve"> radiographic parameter</w:t>
      </w:r>
      <w:r>
        <w:t xml:space="preserve"> </w:t>
      </w:r>
      <w:r w:rsidRPr="00A44512">
        <w:t xml:space="preserve">that does not consider symptomatic </w:t>
      </w:r>
      <w:r w:rsidRPr="00FC52EC">
        <w:t>progression</w:t>
      </w:r>
      <w:r w:rsidR="003B0EBD">
        <w:t xml:space="preserve"> and its relationship with OS is uncertain</w:t>
      </w:r>
      <w:r>
        <w:t>.</w:t>
      </w:r>
      <w:r w:rsidR="003B0EBD">
        <w:t xml:space="preserve"> </w:t>
      </w:r>
    </w:p>
    <w:p w:rsidR="003B0EBD" w:rsidRPr="00FA55BD" w:rsidRDefault="003B0EBD" w:rsidP="00BB33C3">
      <w:pPr>
        <w:pStyle w:val="Bulletpoints"/>
        <w:numPr>
          <w:ilvl w:val="1"/>
          <w:numId w:val="7"/>
        </w:numPr>
        <w:spacing w:after="120"/>
        <w:ind w:left="1434" w:hanging="357"/>
      </w:pPr>
      <w:r w:rsidRPr="00A842C8">
        <w:t>A 2017 review</w:t>
      </w:r>
      <w:r w:rsidRPr="00A842C8">
        <w:rPr>
          <w:rStyle w:val="FootnoteReference"/>
        </w:rPr>
        <w:footnoteReference w:id="11"/>
      </w:r>
      <w:r w:rsidRPr="00A842C8">
        <w:t xml:space="preserve"> assessed the acceptance of MFS in non-metastatic castration resistant prostate cancer (m0CRPC) by national payers to demonstrate clinical benefit to patients. The review found that MFS as an outcome has not been considered in a health technology assessment of an oncology product</w:t>
      </w:r>
      <w:r w:rsidRPr="00FA55BD">
        <w:t>; the PSCR notes MFS has now been used by the CADTH pan-Canadian Oncology Drug Review Expert Review Committee (</w:t>
      </w:r>
      <w:proofErr w:type="spellStart"/>
      <w:r w:rsidRPr="00FA55BD">
        <w:t>pERC</w:t>
      </w:r>
      <w:proofErr w:type="spellEnd"/>
      <w:r w:rsidRPr="00FA55BD">
        <w:t xml:space="preserve">), </w:t>
      </w:r>
      <w:r w:rsidR="00A842C8" w:rsidRPr="00FA55BD">
        <w:t xml:space="preserve">however </w:t>
      </w:r>
      <w:r w:rsidRPr="00FA55BD">
        <w:t xml:space="preserve">the ESC noted the </w:t>
      </w:r>
      <w:proofErr w:type="spellStart"/>
      <w:r w:rsidRPr="00FA55BD">
        <w:t>pERC</w:t>
      </w:r>
      <w:proofErr w:type="spellEnd"/>
      <w:r w:rsidRPr="00FA55BD">
        <w:t xml:space="preserve"> recommendation stated (p4) that an OS benefit for </w:t>
      </w:r>
      <w:proofErr w:type="spellStart"/>
      <w:r w:rsidRPr="00FA55BD">
        <w:t>apalutamide</w:t>
      </w:r>
      <w:proofErr w:type="spellEnd"/>
      <w:r w:rsidRPr="00FA55BD">
        <w:t xml:space="preserve"> could not be readily assumed given that the surrogacy of MFS for OS has not been established and that the OS data observed in SPARTAN were immature.</w:t>
      </w:r>
    </w:p>
    <w:p w:rsidR="00CE34DD" w:rsidRPr="00FA55BD" w:rsidRDefault="00CE34DD" w:rsidP="00CE34DD">
      <w:pPr>
        <w:pStyle w:val="Bulletpoints"/>
        <w:spacing w:after="160"/>
        <w:ind w:left="993" w:hanging="284"/>
      </w:pPr>
      <w:r w:rsidRPr="00A44512">
        <w:t xml:space="preserve">While there was a statistically significant advantage for </w:t>
      </w:r>
      <w:proofErr w:type="spellStart"/>
      <w:r w:rsidRPr="00A44512">
        <w:t>apalutamide</w:t>
      </w:r>
      <w:proofErr w:type="spellEnd"/>
      <w:r w:rsidRPr="00A44512">
        <w:t xml:space="preserve"> for time to symptomatic progression and time to initiation of cytotoxic chemotherapy, with greater proportions of placebo-treated patients experiencing these events, overall occurrence </w:t>
      </w:r>
      <w:r w:rsidR="00E278DD" w:rsidRPr="00A44512">
        <w:t>was</w:t>
      </w:r>
      <w:r w:rsidRPr="00A44512">
        <w:t xml:space="preserve"> low and median time to the events had not been reached by either arm in the trial</w:t>
      </w:r>
      <w:r w:rsidRPr="00FA55BD">
        <w:t>.</w:t>
      </w:r>
      <w:r w:rsidR="006D369A" w:rsidRPr="00FA55BD">
        <w:t xml:space="preserve"> The ESC noted that in consideration of enzalutamide in patients with asymptomatic </w:t>
      </w:r>
      <w:proofErr w:type="spellStart"/>
      <w:r w:rsidR="006D369A" w:rsidRPr="00FA55BD">
        <w:t>mCRPC</w:t>
      </w:r>
      <w:proofErr w:type="spellEnd"/>
      <w:r w:rsidR="006D369A" w:rsidRPr="00FA55BD">
        <w:t xml:space="preserve"> </w:t>
      </w:r>
      <w:r w:rsidR="005C1F0F" w:rsidRPr="00FA55BD">
        <w:t>in November 2015</w:t>
      </w:r>
      <w:r w:rsidR="00273852" w:rsidRPr="00FA55BD">
        <w:t>,</w:t>
      </w:r>
      <w:r w:rsidR="005C1F0F" w:rsidRPr="00FA55BD">
        <w:t xml:space="preserve"> </w:t>
      </w:r>
      <w:r w:rsidR="006D369A" w:rsidRPr="00FA55BD">
        <w:t xml:space="preserve">the PBAC considered that the goal of earlier treatment with novel hormonal therapies </w:t>
      </w:r>
      <w:r w:rsidR="00DF1A2B" w:rsidRPr="00FA55BD">
        <w:t>was</w:t>
      </w:r>
      <w:r w:rsidR="005C1F0F" w:rsidRPr="00FA55BD">
        <w:t xml:space="preserve"> to maintain better quality of life </w:t>
      </w:r>
      <w:r w:rsidR="00DF1A2B" w:rsidRPr="00FA55BD">
        <w:t xml:space="preserve">for longer </w:t>
      </w:r>
      <w:r w:rsidR="005C1F0F" w:rsidRPr="00FA55BD">
        <w:t xml:space="preserve">by delaying </w:t>
      </w:r>
      <w:r w:rsidR="00DF1A2B" w:rsidRPr="00FA55BD">
        <w:t>disease</w:t>
      </w:r>
      <w:r w:rsidR="005C1F0F" w:rsidRPr="00FA55BD">
        <w:t xml:space="preserve"> symptoms and delaying </w:t>
      </w:r>
      <w:r w:rsidR="00DF1A2B" w:rsidRPr="00FA55BD">
        <w:t xml:space="preserve">the </w:t>
      </w:r>
      <w:r w:rsidR="005C1F0F" w:rsidRPr="00FA55BD">
        <w:t xml:space="preserve">toxicities from chemotherapy, rather than improving survival (Enzalutamide Public Summary Document – </w:t>
      </w:r>
      <w:r w:rsidR="00DF1A2B" w:rsidRPr="00FA55BD">
        <w:t>November 2015</w:t>
      </w:r>
      <w:r w:rsidR="005C1F0F" w:rsidRPr="00FA55BD">
        <w:t xml:space="preserve"> PBAC Meeting, p</w:t>
      </w:r>
      <w:r w:rsidR="00DF1A2B" w:rsidRPr="00FA55BD">
        <w:t>16</w:t>
      </w:r>
      <w:r w:rsidR="005C1F0F" w:rsidRPr="00FA55BD">
        <w:t>).</w:t>
      </w:r>
      <w:r w:rsidR="006D369A" w:rsidRPr="00FA55BD">
        <w:t xml:space="preserve"> </w:t>
      </w:r>
      <w:r w:rsidR="00151664" w:rsidRPr="00FA55BD">
        <w:t>Subsequently,</w:t>
      </w:r>
      <w:r w:rsidR="00DF1A2B" w:rsidRPr="00FA55BD">
        <w:t xml:space="preserve"> the use of time to initiation of cytotoxic chemotherapy was </w:t>
      </w:r>
      <w:r w:rsidR="00151664" w:rsidRPr="00FA55BD">
        <w:t xml:space="preserve">considered </w:t>
      </w:r>
      <w:r w:rsidR="00DF1A2B" w:rsidRPr="00FA55BD">
        <w:t>a reasonable endpoint because, the proposed reversal of the sequence of treatments from a cytotoxic chemotherapy (</w:t>
      </w:r>
      <w:r w:rsidR="008807EA" w:rsidRPr="00FA55BD">
        <w:t>docetaxel</w:t>
      </w:r>
      <w:r w:rsidR="00DF1A2B" w:rsidRPr="00FA55BD">
        <w:t xml:space="preserve">) followed by an oral androgen receptor signalling inhibitor (enzalutamide or </w:t>
      </w:r>
      <w:proofErr w:type="spellStart"/>
      <w:r w:rsidR="00DF1A2B" w:rsidRPr="00FA55BD">
        <w:t>apalutamide</w:t>
      </w:r>
      <w:proofErr w:type="spellEnd"/>
      <w:r w:rsidR="00DF1A2B" w:rsidRPr="00FA55BD">
        <w:t>)</w:t>
      </w:r>
      <w:r w:rsidR="00151664" w:rsidRPr="00FA55BD">
        <w:t>,</w:t>
      </w:r>
      <w:r w:rsidR="00DF1A2B" w:rsidRPr="00FA55BD">
        <w:t xml:space="preserve"> was not expected to give patients substantial survival benefit but would provide meaningful improvement in quality of life by avoiding cytotoxic chemotherapy for longer (Enzalutamide Public Summary Document – March 2017 PBAC Meeting, p22). </w:t>
      </w:r>
      <w:r w:rsidR="007D75E0" w:rsidRPr="00FA55BD">
        <w:t xml:space="preserve">In consideration of this submission for </w:t>
      </w:r>
      <w:proofErr w:type="spellStart"/>
      <w:r w:rsidR="007D75E0" w:rsidRPr="00FA55BD">
        <w:t>apalutamide</w:t>
      </w:r>
      <w:proofErr w:type="spellEnd"/>
      <w:r w:rsidR="007D75E0" w:rsidRPr="00FA55BD">
        <w:t xml:space="preserve">, the ESC considered </w:t>
      </w:r>
      <w:r w:rsidR="008732CE" w:rsidRPr="00FA55BD">
        <w:t xml:space="preserve">potential </w:t>
      </w:r>
      <w:r w:rsidR="007D75E0" w:rsidRPr="00FA55BD">
        <w:t>improve</w:t>
      </w:r>
      <w:r w:rsidR="008732CE" w:rsidRPr="00FA55BD">
        <w:t>ments in</w:t>
      </w:r>
      <w:r w:rsidR="007D75E0" w:rsidRPr="00FA55BD">
        <w:t xml:space="preserve"> quality of life from delaying </w:t>
      </w:r>
      <w:r w:rsidR="008732CE" w:rsidRPr="00FA55BD">
        <w:t xml:space="preserve">time </w:t>
      </w:r>
      <w:r w:rsidR="00CA381A" w:rsidRPr="00FA55BD">
        <w:t>to</w:t>
      </w:r>
      <w:r w:rsidR="008732CE" w:rsidRPr="00FA55BD">
        <w:t xml:space="preserve"> metastatic disease and therefore </w:t>
      </w:r>
      <w:r w:rsidR="007D75E0" w:rsidRPr="00FA55BD">
        <w:t>symptomatic disease and cytotoxic chemotherapy would be</w:t>
      </w:r>
      <w:r w:rsidR="008732CE" w:rsidRPr="00FA55BD">
        <w:t xml:space="preserve"> important considerations for patients.</w:t>
      </w:r>
      <w:r w:rsidR="007D75E0" w:rsidRPr="00FA55BD">
        <w:t xml:space="preserve"> </w:t>
      </w:r>
    </w:p>
    <w:p w:rsidR="00D21F3C" w:rsidRDefault="00D21F3C" w:rsidP="00D21F3C">
      <w:pPr>
        <w:pStyle w:val="ListParagraph"/>
        <w:numPr>
          <w:ilvl w:val="1"/>
          <w:numId w:val="3"/>
        </w:numPr>
        <w:spacing w:after="0"/>
      </w:pPr>
      <w:r>
        <w:t>Quality of life (</w:t>
      </w:r>
      <w:proofErr w:type="spellStart"/>
      <w:r>
        <w:t>Q</w:t>
      </w:r>
      <w:r w:rsidR="00E278DD">
        <w:t>o</w:t>
      </w:r>
      <w:r>
        <w:t>L</w:t>
      </w:r>
      <w:proofErr w:type="spellEnd"/>
      <w:r>
        <w:t>) outcomes were based on the FACT-P (</w:t>
      </w:r>
      <w:r w:rsidRPr="004C0D69">
        <w:rPr>
          <w:rFonts w:eastAsia="TimesNewRoman"/>
        </w:rPr>
        <w:t>Functional Assessment Cancer Therapy-Prostate</w:t>
      </w:r>
      <w:r>
        <w:t>) and EQ-5D</w:t>
      </w:r>
      <w:r w:rsidR="00E278DD">
        <w:t>-3L</w:t>
      </w:r>
      <w:r>
        <w:t xml:space="preserve"> scales.  The submission conclu</w:t>
      </w:r>
      <w:r w:rsidR="00151664">
        <w:t>ded</w:t>
      </w:r>
      <w:r>
        <w:t>:</w:t>
      </w:r>
    </w:p>
    <w:p w:rsidR="00D21F3C" w:rsidRPr="00D21F3C" w:rsidRDefault="00D21F3C" w:rsidP="00D21F3C">
      <w:pPr>
        <w:pStyle w:val="Bulletpoints"/>
        <w:ind w:left="993" w:hanging="284"/>
        <w:rPr>
          <w:lang w:val="en-US" w:eastAsia="en-AU"/>
        </w:rPr>
      </w:pPr>
      <w:r>
        <w:lastRenderedPageBreak/>
        <w:t xml:space="preserve">There were similar mean changes from baseline or median time to clinically significant worsening in the FACT-P total scores and subscale scores for </w:t>
      </w:r>
      <w:proofErr w:type="spellStart"/>
      <w:r>
        <w:t>apalutamide</w:t>
      </w:r>
      <w:proofErr w:type="spellEnd"/>
      <w:r>
        <w:t xml:space="preserve"> and placebo-treated patients.</w:t>
      </w:r>
    </w:p>
    <w:p w:rsidR="00D21F3C" w:rsidRPr="00D21F3C" w:rsidRDefault="00D21F3C" w:rsidP="00D21F3C">
      <w:pPr>
        <w:pStyle w:val="Bulletpoints"/>
        <w:ind w:left="993" w:hanging="284"/>
        <w:rPr>
          <w:lang w:val="en-US" w:eastAsia="en-AU"/>
        </w:rPr>
      </w:pPr>
      <w:r>
        <w:t xml:space="preserve">There were no differences in mean change from baseline in the EQ-5D VAS between </w:t>
      </w:r>
      <w:proofErr w:type="spellStart"/>
      <w:r>
        <w:t>apalutamide</w:t>
      </w:r>
      <w:proofErr w:type="spellEnd"/>
      <w:r>
        <w:t xml:space="preserve"> and placebo-treated patients at most </w:t>
      </w:r>
      <w:r w:rsidR="00513B94">
        <w:t>time points</w:t>
      </w:r>
      <w:r>
        <w:t>.</w:t>
      </w:r>
    </w:p>
    <w:p w:rsidR="00247925" w:rsidRPr="00A44512" w:rsidRDefault="00D21F3C" w:rsidP="00D21F3C">
      <w:pPr>
        <w:pStyle w:val="Bulletpoints"/>
        <w:spacing w:after="160"/>
        <w:ind w:left="993" w:hanging="284"/>
        <w:rPr>
          <w:lang w:val="en-US" w:eastAsia="en-AU"/>
        </w:rPr>
      </w:pPr>
      <w:r>
        <w:t xml:space="preserve">Patients managed by watchful waiting had a gradual worsening in their </w:t>
      </w:r>
      <w:proofErr w:type="spellStart"/>
      <w:r>
        <w:t>QoL</w:t>
      </w:r>
      <w:proofErr w:type="spellEnd"/>
      <w:r>
        <w:t xml:space="preserve"> over time, as demonstrated by numerically more patients with a clinically significant worsening of their FACT-P or FACT-G scores at the 20-30 month time points, and due to a worsening in EQ-5D VAS over time.  The submission claimed this was likely due to the progression of patients to the symptoms observed with </w:t>
      </w:r>
      <w:proofErr w:type="spellStart"/>
      <w:r>
        <w:t>mCRPC</w:t>
      </w:r>
      <w:proofErr w:type="spellEnd"/>
      <w:r>
        <w:t xml:space="preserve">.  </w:t>
      </w:r>
      <w:r w:rsidR="00A842C8">
        <w:t>T</w:t>
      </w:r>
      <w:r w:rsidRPr="00A44512">
        <w:t>here was no indication that the greater decrease from baseline for placebo-treated patients was for patients who had symptomatic progression, or what proportion of patients assessed at these points had symptomatic progression.  Also, the lack of a statistically significant difference at the later time point (cycle 29) does not support the submission’s claim that the placebo-treated patients would have symptomatic progression.</w:t>
      </w:r>
      <w:r w:rsidR="00247925" w:rsidRPr="00A44512">
        <w:rPr>
          <w:rFonts w:cs="Calibri"/>
          <w:lang w:val="en-US" w:eastAsia="en-AU"/>
        </w:rPr>
        <w:t xml:space="preserve"> </w:t>
      </w:r>
    </w:p>
    <w:p w:rsidR="00FE70C3" w:rsidRPr="00FA55BD" w:rsidRDefault="00D21F3C" w:rsidP="00D43B2A">
      <w:pPr>
        <w:pStyle w:val="ListParagraph"/>
        <w:numPr>
          <w:ilvl w:val="1"/>
          <w:numId w:val="3"/>
        </w:numPr>
      </w:pPr>
      <w:r w:rsidRPr="00A44512">
        <w:t xml:space="preserve">Overall, there were very few differences between </w:t>
      </w:r>
      <w:proofErr w:type="spellStart"/>
      <w:r w:rsidRPr="00A44512">
        <w:t>apalutamide</w:t>
      </w:r>
      <w:proofErr w:type="spellEnd"/>
      <w:r w:rsidRPr="00A44512">
        <w:t xml:space="preserve">-treated patients and placebo-treated patients on the </w:t>
      </w:r>
      <w:proofErr w:type="spellStart"/>
      <w:r w:rsidRPr="00A44512">
        <w:t>QoL</w:t>
      </w:r>
      <w:proofErr w:type="spellEnd"/>
      <w:r w:rsidRPr="00A44512">
        <w:t xml:space="preserve"> measures used in SPARTAN and it cannot be directly </w:t>
      </w:r>
      <w:r w:rsidR="001B7F2B" w:rsidRPr="00A44512">
        <w:t>quantified by how much</w:t>
      </w:r>
      <w:r w:rsidRPr="00A44512">
        <w:t xml:space="preserve"> a move to symptomatic progression led to a worsening of scores for placebo-treated </w:t>
      </w:r>
      <w:r w:rsidRPr="00FA55BD">
        <w:t>patients.</w:t>
      </w:r>
      <w:r w:rsidR="00576F4C" w:rsidRPr="00FA55BD">
        <w:t xml:space="preserve"> The ESC </w:t>
      </w:r>
      <w:r w:rsidR="008732CE" w:rsidRPr="00FA55BD">
        <w:t>considered</w:t>
      </w:r>
      <w:r w:rsidR="00576F4C" w:rsidRPr="00FA55BD">
        <w:t xml:space="preserve"> </w:t>
      </w:r>
      <w:r w:rsidR="008732CE" w:rsidRPr="00FA55BD">
        <w:t xml:space="preserve">the data </w:t>
      </w:r>
      <w:r w:rsidR="002031AD" w:rsidRPr="00FA55BD">
        <w:t xml:space="preserve">were </w:t>
      </w:r>
      <w:r w:rsidR="008732CE" w:rsidRPr="00FA55BD">
        <w:t xml:space="preserve">likely too immature to determine the </w:t>
      </w:r>
      <w:proofErr w:type="spellStart"/>
      <w:r w:rsidR="008732CE" w:rsidRPr="00FA55BD">
        <w:t>QoL</w:t>
      </w:r>
      <w:proofErr w:type="spellEnd"/>
      <w:r w:rsidR="008732CE" w:rsidRPr="00FA55BD">
        <w:t xml:space="preserve"> benefits of delaying symptomatic disease and cytotoxic chemotherapy. </w:t>
      </w:r>
    </w:p>
    <w:p w:rsidR="00B60939" w:rsidRPr="00C9624D" w:rsidRDefault="00B60939" w:rsidP="00FD3E23">
      <w:pPr>
        <w:pStyle w:val="Heading2"/>
      </w:pPr>
      <w:bookmarkStart w:id="9" w:name="_Toc522226931"/>
      <w:r w:rsidRPr="00183ECC">
        <w:t>Comparative harms</w:t>
      </w:r>
      <w:bookmarkEnd w:id="9"/>
    </w:p>
    <w:p w:rsidR="00B60939" w:rsidRDefault="00011493" w:rsidP="007A132D">
      <w:pPr>
        <w:pStyle w:val="ListParagraph"/>
        <w:numPr>
          <w:ilvl w:val="1"/>
          <w:numId w:val="3"/>
        </w:numPr>
      </w:pPr>
      <w:r>
        <w:t xml:space="preserve">The submission claimed that </w:t>
      </w:r>
      <w:proofErr w:type="spellStart"/>
      <w:r>
        <w:t>apalutamide</w:t>
      </w:r>
      <w:proofErr w:type="spellEnd"/>
      <w:r>
        <w:t xml:space="preserve"> had inferior safety compared to placebo, </w:t>
      </w:r>
      <w:r w:rsidRPr="00DF3BA8">
        <w:t xml:space="preserve">which was supported by the evidence.  </w:t>
      </w:r>
    </w:p>
    <w:p w:rsidR="00301155" w:rsidRDefault="00301155" w:rsidP="007A132D">
      <w:pPr>
        <w:pStyle w:val="ListParagraph"/>
        <w:numPr>
          <w:ilvl w:val="1"/>
          <w:numId w:val="3"/>
        </w:numPr>
      </w:pPr>
      <w:r>
        <w:t>The following table provides a summary of the proportion of patients with AEs leading to dose reduction or dose interruption in the SPARTAN trial.</w:t>
      </w:r>
    </w:p>
    <w:p w:rsidR="00301155" w:rsidRDefault="00301155" w:rsidP="00576F4C">
      <w:pPr>
        <w:keepNext/>
        <w:keepLines/>
      </w:pPr>
      <w:r>
        <w:rPr>
          <w:rStyle w:val="CommentReference"/>
        </w:rPr>
        <w:t xml:space="preserve">Table </w:t>
      </w:r>
      <w:r w:rsidR="005E3073">
        <w:rPr>
          <w:rStyle w:val="CommentReference"/>
        </w:rPr>
        <w:t>5</w:t>
      </w:r>
      <w:r w:rsidRPr="005D26B4">
        <w:rPr>
          <w:rStyle w:val="CommentReference"/>
        </w:rPr>
        <w:t>:  Summary of key adverse events in the trials</w:t>
      </w:r>
    </w:p>
    <w:tbl>
      <w:tblPr>
        <w:tblStyle w:val="Summarybox7"/>
        <w:tblW w:w="0" w:type="auto"/>
        <w:tblInd w:w="108" w:type="dxa"/>
        <w:tblLook w:val="04A0" w:firstRow="1" w:lastRow="0" w:firstColumn="1" w:lastColumn="0" w:noHBand="0" w:noVBand="1"/>
        <w:tblCaption w:val="Summary of key adverse events in the trials"/>
      </w:tblPr>
      <w:tblGrid>
        <w:gridCol w:w="3362"/>
        <w:gridCol w:w="1353"/>
        <w:gridCol w:w="1258"/>
        <w:gridCol w:w="1413"/>
        <w:gridCol w:w="1523"/>
      </w:tblGrid>
      <w:tr w:rsidR="00301155" w:rsidRPr="00EC6EBB" w:rsidTr="0018680D">
        <w:trPr>
          <w:trHeight w:val="257"/>
          <w:tblHeader/>
        </w:trPr>
        <w:tc>
          <w:tcPr>
            <w:tcW w:w="3460" w:type="dxa"/>
          </w:tcPr>
          <w:p w:rsidR="00301155" w:rsidRPr="00EC6EBB" w:rsidRDefault="00301155" w:rsidP="00576F4C">
            <w:pPr>
              <w:keepNext/>
              <w:keepLines/>
              <w:jc w:val="left"/>
              <w:rPr>
                <w:rFonts w:ascii="Arial Narrow" w:eastAsia="Times New Roman" w:hAnsi="Arial Narrow" w:cs="Arial"/>
                <w:b/>
                <w:sz w:val="20"/>
                <w:szCs w:val="20"/>
                <w:lang w:val="en-AU"/>
              </w:rPr>
            </w:pPr>
          </w:p>
        </w:tc>
        <w:tc>
          <w:tcPr>
            <w:tcW w:w="1360" w:type="dxa"/>
          </w:tcPr>
          <w:p w:rsidR="00301155" w:rsidRPr="00EC6EBB" w:rsidRDefault="00301155" w:rsidP="00576F4C">
            <w:pPr>
              <w:keepNext/>
              <w:keepLines/>
              <w:jc w:val="center"/>
              <w:rPr>
                <w:rFonts w:ascii="Arial Narrow" w:hAnsi="Arial Narrow" w:cs="Arial"/>
                <w:b/>
                <w:sz w:val="20"/>
                <w:szCs w:val="20"/>
                <w:lang w:val="en-AU"/>
              </w:rPr>
            </w:pPr>
            <w:proofErr w:type="spellStart"/>
            <w:r w:rsidRPr="00EC6EBB">
              <w:rPr>
                <w:rFonts w:ascii="Arial Narrow" w:hAnsi="Arial Narrow" w:cs="Arial"/>
                <w:b/>
                <w:sz w:val="20"/>
                <w:szCs w:val="20"/>
                <w:lang w:val="en-AU"/>
              </w:rPr>
              <w:t>Apalutamide</w:t>
            </w:r>
            <w:proofErr w:type="spellEnd"/>
          </w:p>
          <w:p w:rsidR="00301155" w:rsidRPr="00EC6EBB" w:rsidRDefault="00301155" w:rsidP="00576F4C">
            <w:pPr>
              <w:keepNext/>
              <w:keepLines/>
              <w:jc w:val="center"/>
              <w:rPr>
                <w:rFonts w:ascii="Arial Narrow" w:hAnsi="Arial Narrow" w:cs="Arial"/>
                <w:b/>
                <w:sz w:val="20"/>
                <w:szCs w:val="20"/>
                <w:lang w:val="en-AU"/>
              </w:rPr>
            </w:pPr>
            <w:r w:rsidRPr="00EC6EBB">
              <w:rPr>
                <w:rFonts w:ascii="Arial Narrow" w:hAnsi="Arial Narrow" w:cs="Arial"/>
                <w:b/>
                <w:sz w:val="20"/>
                <w:szCs w:val="20"/>
                <w:lang w:val="en-AU"/>
              </w:rPr>
              <w:t>N=803</w:t>
            </w:r>
          </w:p>
        </w:tc>
        <w:tc>
          <w:tcPr>
            <w:tcW w:w="1276" w:type="dxa"/>
          </w:tcPr>
          <w:p w:rsidR="00301155" w:rsidRPr="00EC6EBB" w:rsidRDefault="00301155" w:rsidP="00576F4C">
            <w:pPr>
              <w:keepNext/>
              <w:keepLines/>
              <w:jc w:val="center"/>
              <w:rPr>
                <w:rFonts w:ascii="Arial Narrow" w:hAnsi="Arial Narrow" w:cs="Arial"/>
                <w:b/>
                <w:sz w:val="20"/>
                <w:szCs w:val="20"/>
                <w:lang w:val="en-AU"/>
              </w:rPr>
            </w:pPr>
            <w:r w:rsidRPr="00EC6EBB">
              <w:rPr>
                <w:rFonts w:ascii="Arial Narrow" w:hAnsi="Arial Narrow" w:cs="Arial"/>
                <w:b/>
                <w:sz w:val="20"/>
                <w:szCs w:val="20"/>
                <w:lang w:val="en-AU"/>
              </w:rPr>
              <w:t>Placebo</w:t>
            </w:r>
          </w:p>
          <w:p w:rsidR="00301155" w:rsidRPr="00EC6EBB" w:rsidRDefault="00301155" w:rsidP="00576F4C">
            <w:pPr>
              <w:keepNext/>
              <w:keepLines/>
              <w:jc w:val="center"/>
              <w:rPr>
                <w:rFonts w:ascii="Arial Narrow" w:hAnsi="Arial Narrow" w:cs="Arial"/>
                <w:b/>
                <w:sz w:val="20"/>
                <w:szCs w:val="20"/>
                <w:lang w:val="en-AU"/>
              </w:rPr>
            </w:pPr>
            <w:r w:rsidRPr="00EC6EBB">
              <w:rPr>
                <w:rFonts w:ascii="Arial Narrow" w:hAnsi="Arial Narrow" w:cs="Arial"/>
                <w:b/>
                <w:sz w:val="20"/>
                <w:szCs w:val="20"/>
                <w:lang w:val="en-AU"/>
              </w:rPr>
              <w:t>N=398</w:t>
            </w:r>
          </w:p>
        </w:tc>
        <w:tc>
          <w:tcPr>
            <w:tcW w:w="1447" w:type="dxa"/>
            <w:vAlign w:val="center"/>
          </w:tcPr>
          <w:p w:rsidR="00301155" w:rsidRPr="00EC6EBB" w:rsidRDefault="00301155" w:rsidP="00576F4C">
            <w:pPr>
              <w:keepNext/>
              <w:keepLines/>
              <w:jc w:val="center"/>
              <w:rPr>
                <w:rFonts w:ascii="Arial Narrow" w:hAnsi="Arial Narrow" w:cs="Arial"/>
                <w:b/>
                <w:sz w:val="20"/>
                <w:szCs w:val="20"/>
                <w:lang w:val="en-AU"/>
              </w:rPr>
            </w:pPr>
            <w:r w:rsidRPr="00EC6EBB">
              <w:rPr>
                <w:rFonts w:ascii="Arial Narrow" w:hAnsi="Arial Narrow" w:cs="Arial"/>
                <w:b/>
                <w:sz w:val="20"/>
                <w:szCs w:val="20"/>
                <w:lang w:val="en-AU"/>
              </w:rPr>
              <w:t>RD</w:t>
            </w:r>
          </w:p>
          <w:p w:rsidR="00301155" w:rsidRPr="00EC6EBB" w:rsidRDefault="00301155" w:rsidP="00576F4C">
            <w:pPr>
              <w:keepNext/>
              <w:keepLines/>
              <w:jc w:val="center"/>
              <w:rPr>
                <w:rFonts w:ascii="Arial Narrow" w:hAnsi="Arial Narrow" w:cs="Arial"/>
                <w:b/>
                <w:sz w:val="20"/>
                <w:szCs w:val="20"/>
                <w:lang w:val="en-AU"/>
              </w:rPr>
            </w:pPr>
            <w:r w:rsidRPr="00EC6EBB">
              <w:rPr>
                <w:rFonts w:ascii="Arial Narrow" w:hAnsi="Arial Narrow" w:cs="Arial"/>
                <w:b/>
                <w:sz w:val="20"/>
                <w:szCs w:val="20"/>
                <w:lang w:val="en-AU"/>
              </w:rPr>
              <w:t>(95% CI)</w:t>
            </w:r>
          </w:p>
        </w:tc>
        <w:tc>
          <w:tcPr>
            <w:tcW w:w="1559" w:type="dxa"/>
            <w:vAlign w:val="center"/>
          </w:tcPr>
          <w:p w:rsidR="00301155" w:rsidRPr="00EC6EBB" w:rsidRDefault="00301155" w:rsidP="00576F4C">
            <w:pPr>
              <w:keepNext/>
              <w:keepLines/>
              <w:jc w:val="center"/>
              <w:rPr>
                <w:rFonts w:ascii="Arial Narrow" w:hAnsi="Arial Narrow" w:cs="Arial"/>
                <w:b/>
                <w:sz w:val="20"/>
                <w:szCs w:val="20"/>
                <w:lang w:val="en-AU"/>
              </w:rPr>
            </w:pPr>
            <w:r w:rsidRPr="00EC6EBB">
              <w:rPr>
                <w:rFonts w:ascii="Arial Narrow" w:hAnsi="Arial Narrow" w:cs="Arial"/>
                <w:b/>
                <w:sz w:val="20"/>
                <w:szCs w:val="20"/>
                <w:lang w:val="en-AU"/>
              </w:rPr>
              <w:t>RR</w:t>
            </w:r>
          </w:p>
          <w:p w:rsidR="00301155" w:rsidRPr="00EC6EBB" w:rsidRDefault="00301155" w:rsidP="00576F4C">
            <w:pPr>
              <w:keepNext/>
              <w:keepLines/>
              <w:jc w:val="center"/>
              <w:rPr>
                <w:rFonts w:ascii="Arial Narrow" w:hAnsi="Arial Narrow" w:cs="Arial"/>
                <w:b/>
                <w:sz w:val="20"/>
                <w:szCs w:val="20"/>
                <w:lang w:val="en-AU"/>
              </w:rPr>
            </w:pPr>
            <w:r w:rsidRPr="00EC6EBB">
              <w:rPr>
                <w:rFonts w:ascii="Arial Narrow" w:hAnsi="Arial Narrow" w:cs="Arial"/>
                <w:b/>
                <w:sz w:val="20"/>
                <w:szCs w:val="20"/>
                <w:lang w:val="en-AU"/>
              </w:rPr>
              <w:t>(95% CI)</w:t>
            </w:r>
          </w:p>
        </w:tc>
      </w:tr>
      <w:tr w:rsidR="00301155" w:rsidRPr="0032450B" w:rsidTr="00487634">
        <w:tc>
          <w:tcPr>
            <w:tcW w:w="3460" w:type="dxa"/>
          </w:tcPr>
          <w:p w:rsidR="00301155" w:rsidRPr="00EC6EBB" w:rsidRDefault="00301155" w:rsidP="00576F4C">
            <w:pPr>
              <w:keepNext/>
              <w:keepLines/>
              <w:jc w:val="left"/>
              <w:rPr>
                <w:rFonts w:ascii="Arial Narrow" w:eastAsia="Times New Roman" w:hAnsi="Arial Narrow" w:cs="Arial"/>
                <w:sz w:val="20"/>
                <w:szCs w:val="20"/>
                <w:lang w:val="en-AU"/>
              </w:rPr>
            </w:pPr>
            <w:r>
              <w:rPr>
                <w:rFonts w:ascii="Arial Narrow" w:eastAsia="Times New Roman" w:hAnsi="Arial Narrow" w:cs="Arial"/>
                <w:sz w:val="20"/>
                <w:szCs w:val="20"/>
                <w:lang w:val="en-AU"/>
              </w:rPr>
              <w:t>P</w:t>
            </w:r>
            <w:r w:rsidRPr="00EC6EBB">
              <w:rPr>
                <w:rFonts w:ascii="Arial Narrow" w:eastAsia="Times New Roman" w:hAnsi="Arial Narrow" w:cs="Arial"/>
                <w:sz w:val="20"/>
                <w:szCs w:val="20"/>
                <w:lang w:val="en-AU"/>
              </w:rPr>
              <w:t>atients with a TEAE leading to dose reduction or dose interruption, n (%)</w:t>
            </w:r>
          </w:p>
        </w:tc>
        <w:tc>
          <w:tcPr>
            <w:tcW w:w="1360" w:type="dxa"/>
            <w:vAlign w:val="center"/>
          </w:tcPr>
          <w:p w:rsidR="00301155" w:rsidRPr="00D2130B" w:rsidRDefault="00301155" w:rsidP="00576F4C">
            <w:pPr>
              <w:keepNext/>
              <w:keepLines/>
              <w:jc w:val="center"/>
              <w:rPr>
                <w:rFonts w:ascii="Arial Narrow" w:eastAsia="Times New Roman" w:hAnsi="Arial Narrow" w:cs="Arial"/>
                <w:sz w:val="20"/>
                <w:szCs w:val="20"/>
                <w:lang w:val="en-AU"/>
              </w:rPr>
            </w:pPr>
            <w:r w:rsidRPr="00D2130B">
              <w:rPr>
                <w:rFonts w:ascii="Arial Narrow" w:eastAsia="Times New Roman" w:hAnsi="Arial Narrow" w:cs="Arial"/>
                <w:sz w:val="20"/>
                <w:szCs w:val="20"/>
                <w:lang w:val="en-AU"/>
              </w:rPr>
              <w:t>262 (32.6%)</w:t>
            </w:r>
          </w:p>
        </w:tc>
        <w:tc>
          <w:tcPr>
            <w:tcW w:w="1276" w:type="dxa"/>
            <w:vAlign w:val="center"/>
          </w:tcPr>
          <w:p w:rsidR="00301155" w:rsidRPr="00D2130B" w:rsidRDefault="00301155" w:rsidP="00576F4C">
            <w:pPr>
              <w:keepNext/>
              <w:keepLines/>
              <w:jc w:val="center"/>
              <w:rPr>
                <w:rFonts w:ascii="Arial Narrow" w:eastAsia="Times New Roman" w:hAnsi="Arial Narrow" w:cs="Arial"/>
                <w:sz w:val="20"/>
                <w:szCs w:val="20"/>
                <w:lang w:val="en-AU"/>
              </w:rPr>
            </w:pPr>
            <w:r w:rsidRPr="00D2130B">
              <w:rPr>
                <w:rFonts w:ascii="Arial Narrow" w:eastAsia="Times New Roman" w:hAnsi="Arial Narrow" w:cs="Arial"/>
                <w:sz w:val="20"/>
                <w:szCs w:val="20"/>
                <w:lang w:val="en-AU"/>
              </w:rPr>
              <w:t>75 (18.8%)</w:t>
            </w:r>
          </w:p>
        </w:tc>
        <w:tc>
          <w:tcPr>
            <w:tcW w:w="1447" w:type="dxa"/>
            <w:vAlign w:val="center"/>
          </w:tcPr>
          <w:p w:rsidR="002635E5" w:rsidRPr="00D2130B" w:rsidRDefault="00301155" w:rsidP="00576F4C">
            <w:pPr>
              <w:keepNext/>
              <w:keepLines/>
              <w:jc w:val="center"/>
              <w:rPr>
                <w:rFonts w:ascii="Arial Narrow" w:eastAsia="Times New Roman" w:hAnsi="Arial Narrow" w:cs="Arial"/>
                <w:b/>
                <w:sz w:val="20"/>
                <w:szCs w:val="20"/>
                <w:lang w:val="en-AU"/>
              </w:rPr>
            </w:pPr>
            <w:r w:rsidRPr="00D2130B">
              <w:rPr>
                <w:rFonts w:ascii="Arial Narrow" w:eastAsia="Times New Roman" w:hAnsi="Arial Narrow" w:cs="Arial"/>
                <w:b/>
                <w:sz w:val="20"/>
                <w:szCs w:val="20"/>
                <w:lang w:val="en-AU"/>
              </w:rPr>
              <w:t xml:space="preserve">0.14 </w:t>
            </w:r>
          </w:p>
          <w:p w:rsidR="00301155" w:rsidRPr="00D2130B" w:rsidRDefault="00301155" w:rsidP="00576F4C">
            <w:pPr>
              <w:keepNext/>
              <w:keepLines/>
              <w:jc w:val="center"/>
              <w:rPr>
                <w:rFonts w:ascii="Arial Narrow" w:eastAsia="Times New Roman" w:hAnsi="Arial Narrow" w:cs="Arial"/>
                <w:b/>
                <w:sz w:val="20"/>
                <w:szCs w:val="20"/>
                <w:lang w:val="en-AU"/>
              </w:rPr>
            </w:pPr>
            <w:r w:rsidRPr="00D2130B">
              <w:rPr>
                <w:rFonts w:ascii="Arial Narrow" w:eastAsia="Times New Roman" w:hAnsi="Arial Narrow" w:cs="Arial"/>
                <w:b/>
                <w:sz w:val="20"/>
                <w:szCs w:val="20"/>
                <w:lang w:val="en-AU"/>
              </w:rPr>
              <w:t>(0.09, 0.19)</w:t>
            </w:r>
          </w:p>
        </w:tc>
        <w:tc>
          <w:tcPr>
            <w:tcW w:w="1559" w:type="dxa"/>
            <w:vAlign w:val="center"/>
          </w:tcPr>
          <w:p w:rsidR="00301155" w:rsidRPr="00D2130B" w:rsidRDefault="00301155" w:rsidP="00576F4C">
            <w:pPr>
              <w:keepNext/>
              <w:keepLines/>
              <w:jc w:val="center"/>
              <w:rPr>
                <w:rFonts w:ascii="Arial Narrow" w:eastAsia="Times New Roman" w:hAnsi="Arial Narrow" w:cs="Arial"/>
                <w:b/>
                <w:sz w:val="20"/>
                <w:szCs w:val="20"/>
                <w:lang w:val="en-AU"/>
              </w:rPr>
            </w:pPr>
            <w:r w:rsidRPr="00D2130B">
              <w:rPr>
                <w:rFonts w:ascii="Arial Narrow" w:eastAsia="Times New Roman" w:hAnsi="Arial Narrow" w:cs="Arial"/>
                <w:b/>
                <w:sz w:val="20"/>
                <w:szCs w:val="20"/>
                <w:lang w:val="en-AU"/>
              </w:rPr>
              <w:t xml:space="preserve">1.73 </w:t>
            </w:r>
            <w:r w:rsidR="00487634" w:rsidRPr="00D2130B">
              <w:rPr>
                <w:rFonts w:ascii="Arial Narrow" w:eastAsia="Times New Roman" w:hAnsi="Arial Narrow" w:cs="Arial"/>
                <w:b/>
                <w:sz w:val="20"/>
                <w:szCs w:val="20"/>
                <w:lang w:val="en-AU"/>
              </w:rPr>
              <w:br/>
            </w:r>
            <w:r w:rsidRPr="00D2130B">
              <w:rPr>
                <w:rFonts w:ascii="Arial Narrow" w:eastAsia="Times New Roman" w:hAnsi="Arial Narrow" w:cs="Arial"/>
                <w:b/>
                <w:sz w:val="20"/>
                <w:szCs w:val="20"/>
                <w:lang w:val="en-AU"/>
              </w:rPr>
              <w:t>(1.38, 2.17)</w:t>
            </w:r>
          </w:p>
        </w:tc>
      </w:tr>
      <w:tr w:rsidR="00301155" w:rsidRPr="0032450B" w:rsidTr="00487634">
        <w:tc>
          <w:tcPr>
            <w:tcW w:w="3460" w:type="dxa"/>
          </w:tcPr>
          <w:p w:rsidR="00301155" w:rsidRPr="00EC6EBB" w:rsidRDefault="00301155" w:rsidP="00576F4C">
            <w:pPr>
              <w:keepNext/>
              <w:keepLines/>
              <w:jc w:val="left"/>
              <w:rPr>
                <w:rFonts w:ascii="Arial Narrow" w:eastAsia="Times New Roman" w:hAnsi="Arial Narrow" w:cs="Arial"/>
                <w:sz w:val="20"/>
                <w:szCs w:val="20"/>
                <w:lang w:val="en-AU"/>
              </w:rPr>
            </w:pPr>
            <w:r>
              <w:rPr>
                <w:rFonts w:ascii="Arial Narrow" w:eastAsia="Times New Roman" w:hAnsi="Arial Narrow" w:cs="Arial"/>
                <w:sz w:val="20"/>
                <w:szCs w:val="20"/>
                <w:lang w:val="en-AU"/>
              </w:rPr>
              <w:t>P</w:t>
            </w:r>
            <w:r w:rsidRPr="00EC6EBB">
              <w:rPr>
                <w:rFonts w:ascii="Arial Narrow" w:eastAsia="Times New Roman" w:hAnsi="Arial Narrow" w:cs="Arial"/>
                <w:sz w:val="20"/>
                <w:szCs w:val="20"/>
                <w:lang w:val="en-AU"/>
              </w:rPr>
              <w:t>atients with a TEAE leading to dose reduction, n (%)</w:t>
            </w:r>
          </w:p>
        </w:tc>
        <w:tc>
          <w:tcPr>
            <w:tcW w:w="1360" w:type="dxa"/>
            <w:vAlign w:val="center"/>
          </w:tcPr>
          <w:p w:rsidR="00301155" w:rsidRPr="00D2130B" w:rsidRDefault="00301155" w:rsidP="00576F4C">
            <w:pPr>
              <w:keepNext/>
              <w:keepLines/>
              <w:jc w:val="center"/>
              <w:rPr>
                <w:rFonts w:ascii="Arial Narrow" w:eastAsia="Times New Roman" w:hAnsi="Arial Narrow" w:cs="Arial"/>
                <w:sz w:val="20"/>
                <w:szCs w:val="20"/>
                <w:lang w:val="en-AU"/>
              </w:rPr>
            </w:pPr>
            <w:r w:rsidRPr="00D2130B">
              <w:rPr>
                <w:rFonts w:ascii="Arial Narrow" w:eastAsia="Times New Roman" w:hAnsi="Arial Narrow" w:cs="Arial"/>
                <w:sz w:val="20"/>
                <w:szCs w:val="20"/>
                <w:lang w:val="en-AU"/>
              </w:rPr>
              <w:t>77 (9.6%)</w:t>
            </w:r>
          </w:p>
        </w:tc>
        <w:tc>
          <w:tcPr>
            <w:tcW w:w="1276" w:type="dxa"/>
            <w:vAlign w:val="center"/>
          </w:tcPr>
          <w:p w:rsidR="00301155" w:rsidRPr="00D2130B" w:rsidRDefault="00301155" w:rsidP="00576F4C">
            <w:pPr>
              <w:keepNext/>
              <w:keepLines/>
              <w:jc w:val="center"/>
              <w:rPr>
                <w:rFonts w:ascii="Arial Narrow" w:eastAsia="Times New Roman" w:hAnsi="Arial Narrow" w:cs="Arial"/>
                <w:sz w:val="20"/>
                <w:szCs w:val="20"/>
                <w:lang w:val="en-AU"/>
              </w:rPr>
            </w:pPr>
            <w:r w:rsidRPr="00D2130B">
              <w:rPr>
                <w:rFonts w:ascii="Arial Narrow" w:eastAsia="Times New Roman" w:hAnsi="Arial Narrow" w:cs="Arial"/>
                <w:sz w:val="20"/>
                <w:szCs w:val="20"/>
                <w:lang w:val="en-AU"/>
              </w:rPr>
              <w:t>7 (1.8%)</w:t>
            </w:r>
          </w:p>
        </w:tc>
        <w:tc>
          <w:tcPr>
            <w:tcW w:w="1447" w:type="dxa"/>
            <w:vAlign w:val="center"/>
          </w:tcPr>
          <w:p w:rsidR="002635E5" w:rsidRPr="00D2130B" w:rsidRDefault="00301155" w:rsidP="00576F4C">
            <w:pPr>
              <w:keepNext/>
              <w:keepLines/>
              <w:jc w:val="center"/>
              <w:rPr>
                <w:rFonts w:ascii="Arial Narrow" w:eastAsia="Times New Roman" w:hAnsi="Arial Narrow" w:cs="Arial"/>
                <w:b/>
                <w:sz w:val="20"/>
                <w:szCs w:val="20"/>
                <w:lang w:val="en-AU"/>
              </w:rPr>
            </w:pPr>
            <w:r w:rsidRPr="00D2130B">
              <w:rPr>
                <w:rFonts w:ascii="Arial Narrow" w:eastAsia="Times New Roman" w:hAnsi="Arial Narrow" w:cs="Arial"/>
                <w:b/>
                <w:sz w:val="20"/>
                <w:szCs w:val="20"/>
                <w:lang w:val="en-AU"/>
              </w:rPr>
              <w:t xml:space="preserve">0.08 </w:t>
            </w:r>
          </w:p>
          <w:p w:rsidR="00301155" w:rsidRPr="00D2130B" w:rsidRDefault="00301155" w:rsidP="00576F4C">
            <w:pPr>
              <w:keepNext/>
              <w:keepLines/>
              <w:jc w:val="center"/>
              <w:rPr>
                <w:rFonts w:ascii="Arial Narrow" w:eastAsia="Times New Roman" w:hAnsi="Arial Narrow" w:cs="Arial"/>
                <w:b/>
                <w:sz w:val="20"/>
                <w:szCs w:val="20"/>
                <w:lang w:val="en-AU"/>
              </w:rPr>
            </w:pPr>
            <w:r w:rsidRPr="00D2130B">
              <w:rPr>
                <w:rFonts w:ascii="Arial Narrow" w:eastAsia="Times New Roman" w:hAnsi="Arial Narrow" w:cs="Arial"/>
                <w:b/>
                <w:sz w:val="20"/>
                <w:szCs w:val="20"/>
                <w:lang w:val="en-AU"/>
              </w:rPr>
              <w:t>(0.05, 0.10)</w:t>
            </w:r>
          </w:p>
        </w:tc>
        <w:tc>
          <w:tcPr>
            <w:tcW w:w="1559" w:type="dxa"/>
            <w:vAlign w:val="center"/>
          </w:tcPr>
          <w:p w:rsidR="00301155" w:rsidRPr="00D2130B" w:rsidRDefault="00301155" w:rsidP="00576F4C">
            <w:pPr>
              <w:keepNext/>
              <w:keepLines/>
              <w:jc w:val="center"/>
              <w:rPr>
                <w:rFonts w:ascii="Arial Narrow" w:eastAsia="Times New Roman" w:hAnsi="Arial Narrow" w:cs="Arial"/>
                <w:b/>
                <w:sz w:val="20"/>
                <w:szCs w:val="20"/>
                <w:lang w:val="en-AU"/>
              </w:rPr>
            </w:pPr>
            <w:r w:rsidRPr="00D2130B">
              <w:rPr>
                <w:rFonts w:ascii="Arial Narrow" w:eastAsia="Times New Roman" w:hAnsi="Arial Narrow" w:cs="Arial"/>
                <w:b/>
                <w:sz w:val="20"/>
                <w:szCs w:val="20"/>
                <w:lang w:val="en-AU"/>
              </w:rPr>
              <w:t xml:space="preserve">5.45 </w:t>
            </w:r>
            <w:r w:rsidR="00487634" w:rsidRPr="00D2130B">
              <w:rPr>
                <w:rFonts w:ascii="Arial Narrow" w:eastAsia="Times New Roman" w:hAnsi="Arial Narrow" w:cs="Arial"/>
                <w:b/>
                <w:sz w:val="20"/>
                <w:szCs w:val="20"/>
                <w:lang w:val="en-AU"/>
              </w:rPr>
              <w:br/>
            </w:r>
            <w:r w:rsidRPr="00D2130B">
              <w:rPr>
                <w:rFonts w:ascii="Arial Narrow" w:eastAsia="Times New Roman" w:hAnsi="Arial Narrow" w:cs="Arial"/>
                <w:b/>
                <w:sz w:val="20"/>
                <w:szCs w:val="20"/>
                <w:lang w:val="en-AU"/>
              </w:rPr>
              <w:t>(2.54, 11.71)</w:t>
            </w:r>
          </w:p>
        </w:tc>
      </w:tr>
      <w:tr w:rsidR="00301155" w:rsidRPr="0032450B" w:rsidTr="00487634">
        <w:tc>
          <w:tcPr>
            <w:tcW w:w="3460" w:type="dxa"/>
          </w:tcPr>
          <w:p w:rsidR="00301155" w:rsidRPr="00EC6EBB" w:rsidRDefault="00301155" w:rsidP="00576F4C">
            <w:pPr>
              <w:keepNext/>
              <w:keepLines/>
              <w:jc w:val="left"/>
              <w:rPr>
                <w:rFonts w:ascii="Arial Narrow" w:eastAsia="Times New Roman" w:hAnsi="Arial Narrow" w:cs="Arial"/>
                <w:sz w:val="20"/>
                <w:szCs w:val="20"/>
                <w:lang w:val="en-AU"/>
              </w:rPr>
            </w:pPr>
            <w:r>
              <w:rPr>
                <w:rFonts w:ascii="Arial Narrow" w:eastAsia="Times New Roman" w:hAnsi="Arial Narrow" w:cs="Arial"/>
                <w:sz w:val="20"/>
                <w:szCs w:val="20"/>
                <w:lang w:val="en-AU"/>
              </w:rPr>
              <w:t>P</w:t>
            </w:r>
            <w:r w:rsidRPr="00EC6EBB">
              <w:rPr>
                <w:rFonts w:ascii="Arial Narrow" w:eastAsia="Times New Roman" w:hAnsi="Arial Narrow" w:cs="Arial"/>
                <w:sz w:val="20"/>
                <w:szCs w:val="20"/>
                <w:lang w:val="en-AU"/>
              </w:rPr>
              <w:t>atients with a TEAE leading to dose interruption, n (%)</w:t>
            </w:r>
          </w:p>
        </w:tc>
        <w:tc>
          <w:tcPr>
            <w:tcW w:w="1360" w:type="dxa"/>
            <w:vAlign w:val="center"/>
          </w:tcPr>
          <w:p w:rsidR="00301155" w:rsidRPr="00D2130B" w:rsidRDefault="00301155" w:rsidP="00576F4C">
            <w:pPr>
              <w:keepNext/>
              <w:keepLines/>
              <w:jc w:val="center"/>
              <w:rPr>
                <w:rFonts w:ascii="Arial Narrow" w:eastAsia="Times New Roman" w:hAnsi="Arial Narrow" w:cs="Arial"/>
                <w:sz w:val="20"/>
                <w:szCs w:val="20"/>
                <w:lang w:val="en-AU"/>
              </w:rPr>
            </w:pPr>
            <w:r w:rsidRPr="00D2130B">
              <w:rPr>
                <w:rFonts w:ascii="Arial Narrow" w:eastAsia="Times New Roman" w:hAnsi="Arial Narrow" w:cs="Arial"/>
                <w:sz w:val="20"/>
                <w:szCs w:val="20"/>
                <w:lang w:val="en-AU"/>
              </w:rPr>
              <w:t>237 (29.5%)</w:t>
            </w:r>
          </w:p>
        </w:tc>
        <w:tc>
          <w:tcPr>
            <w:tcW w:w="1276" w:type="dxa"/>
            <w:vAlign w:val="center"/>
          </w:tcPr>
          <w:p w:rsidR="00301155" w:rsidRPr="00D2130B" w:rsidRDefault="00301155" w:rsidP="00576F4C">
            <w:pPr>
              <w:keepNext/>
              <w:keepLines/>
              <w:jc w:val="center"/>
              <w:rPr>
                <w:rFonts w:ascii="Arial Narrow" w:eastAsia="Times New Roman" w:hAnsi="Arial Narrow" w:cs="Arial"/>
                <w:sz w:val="20"/>
                <w:szCs w:val="20"/>
                <w:lang w:val="en-AU"/>
              </w:rPr>
            </w:pPr>
            <w:r w:rsidRPr="00D2130B">
              <w:rPr>
                <w:rFonts w:ascii="Arial Narrow" w:eastAsia="Times New Roman" w:hAnsi="Arial Narrow" w:cs="Arial"/>
                <w:sz w:val="20"/>
                <w:szCs w:val="20"/>
                <w:lang w:val="en-AU"/>
              </w:rPr>
              <w:t>71 (17.8%)</w:t>
            </w:r>
          </w:p>
        </w:tc>
        <w:tc>
          <w:tcPr>
            <w:tcW w:w="1447" w:type="dxa"/>
            <w:vAlign w:val="center"/>
          </w:tcPr>
          <w:p w:rsidR="002635E5" w:rsidRPr="00D2130B" w:rsidRDefault="00301155" w:rsidP="00576F4C">
            <w:pPr>
              <w:keepNext/>
              <w:keepLines/>
              <w:jc w:val="center"/>
              <w:rPr>
                <w:rFonts w:ascii="Arial Narrow" w:eastAsia="Times New Roman" w:hAnsi="Arial Narrow" w:cs="Arial"/>
                <w:b/>
                <w:sz w:val="20"/>
                <w:szCs w:val="20"/>
                <w:lang w:val="en-AU"/>
              </w:rPr>
            </w:pPr>
            <w:r w:rsidRPr="00D2130B">
              <w:rPr>
                <w:rFonts w:ascii="Arial Narrow" w:eastAsia="Times New Roman" w:hAnsi="Arial Narrow" w:cs="Arial"/>
                <w:b/>
                <w:sz w:val="20"/>
                <w:szCs w:val="20"/>
                <w:lang w:val="en-AU"/>
              </w:rPr>
              <w:t xml:space="preserve">0.12 </w:t>
            </w:r>
          </w:p>
          <w:p w:rsidR="00301155" w:rsidRPr="00D2130B" w:rsidRDefault="00301155" w:rsidP="00576F4C">
            <w:pPr>
              <w:keepNext/>
              <w:keepLines/>
              <w:jc w:val="center"/>
              <w:rPr>
                <w:rFonts w:ascii="Arial Narrow" w:eastAsia="Times New Roman" w:hAnsi="Arial Narrow" w:cs="Arial"/>
                <w:b/>
                <w:sz w:val="20"/>
                <w:szCs w:val="20"/>
                <w:lang w:val="en-AU"/>
              </w:rPr>
            </w:pPr>
            <w:r w:rsidRPr="00D2130B">
              <w:rPr>
                <w:rFonts w:ascii="Arial Narrow" w:eastAsia="Times New Roman" w:hAnsi="Arial Narrow" w:cs="Arial"/>
                <w:b/>
                <w:sz w:val="20"/>
                <w:szCs w:val="20"/>
                <w:lang w:val="en-AU"/>
              </w:rPr>
              <w:t>(0.07, 0.17)</w:t>
            </w:r>
          </w:p>
        </w:tc>
        <w:tc>
          <w:tcPr>
            <w:tcW w:w="1559" w:type="dxa"/>
            <w:vAlign w:val="center"/>
          </w:tcPr>
          <w:p w:rsidR="00301155" w:rsidRPr="00D2130B" w:rsidRDefault="00301155" w:rsidP="00576F4C">
            <w:pPr>
              <w:keepNext/>
              <w:keepLines/>
              <w:jc w:val="center"/>
              <w:rPr>
                <w:rFonts w:ascii="Arial Narrow" w:eastAsia="Times New Roman" w:hAnsi="Arial Narrow" w:cs="Arial"/>
                <w:b/>
                <w:sz w:val="20"/>
                <w:szCs w:val="20"/>
                <w:lang w:val="en-AU"/>
              </w:rPr>
            </w:pPr>
            <w:r w:rsidRPr="00D2130B">
              <w:rPr>
                <w:rFonts w:ascii="Arial Narrow" w:eastAsia="Times New Roman" w:hAnsi="Arial Narrow" w:cs="Arial"/>
                <w:b/>
                <w:sz w:val="20"/>
                <w:szCs w:val="20"/>
                <w:lang w:val="en-AU"/>
              </w:rPr>
              <w:t xml:space="preserve">1.65 </w:t>
            </w:r>
            <w:r w:rsidR="00487634" w:rsidRPr="00D2130B">
              <w:rPr>
                <w:rFonts w:ascii="Arial Narrow" w:eastAsia="Times New Roman" w:hAnsi="Arial Narrow" w:cs="Arial"/>
                <w:b/>
                <w:sz w:val="20"/>
                <w:szCs w:val="20"/>
                <w:lang w:val="en-AU"/>
              </w:rPr>
              <w:br/>
            </w:r>
            <w:r w:rsidRPr="00D2130B">
              <w:rPr>
                <w:rFonts w:ascii="Arial Narrow" w:eastAsia="Times New Roman" w:hAnsi="Arial Narrow" w:cs="Arial"/>
                <w:b/>
                <w:sz w:val="20"/>
                <w:szCs w:val="20"/>
                <w:lang w:val="en-AU"/>
              </w:rPr>
              <w:t>(1.31, 2.10)</w:t>
            </w:r>
          </w:p>
        </w:tc>
      </w:tr>
    </w:tbl>
    <w:p w:rsidR="00301155" w:rsidRDefault="00301155" w:rsidP="00576F4C">
      <w:pPr>
        <w:pStyle w:val="TableFooter"/>
        <w:keepNext/>
        <w:keepLines/>
      </w:pPr>
      <w:r>
        <w:t xml:space="preserve">RD=risk difference; RR=relative risk; TEAE=treatment emergent adverse event; </w:t>
      </w:r>
      <w:r w:rsidRPr="0032450B">
        <w:rPr>
          <w:b/>
        </w:rPr>
        <w:t>bold</w:t>
      </w:r>
      <w:r>
        <w:t>=statistically significant</w:t>
      </w:r>
    </w:p>
    <w:p w:rsidR="00301155" w:rsidRDefault="00301155" w:rsidP="00CA381A">
      <w:pPr>
        <w:pStyle w:val="TableFooter"/>
        <w:keepNext/>
        <w:keepLines/>
        <w:spacing w:after="160"/>
      </w:pPr>
      <w:r>
        <w:t>Source:  Table 2.53, p182 of the submission.</w:t>
      </w:r>
    </w:p>
    <w:p w:rsidR="00301155" w:rsidRPr="00A44512" w:rsidRDefault="00DC6719" w:rsidP="007A132D">
      <w:pPr>
        <w:pStyle w:val="ListParagraph"/>
        <w:numPr>
          <w:ilvl w:val="1"/>
          <w:numId w:val="3"/>
        </w:numPr>
      </w:pPr>
      <w:r>
        <w:t>There w</w:t>
      </w:r>
      <w:r w:rsidR="00F013B5">
        <w:t>as</w:t>
      </w:r>
      <w:r>
        <w:t xml:space="preserve"> a statistically significantly greater proportion of </w:t>
      </w:r>
      <w:proofErr w:type="spellStart"/>
      <w:r>
        <w:t>apalutamide</w:t>
      </w:r>
      <w:proofErr w:type="spellEnd"/>
      <w:r>
        <w:t xml:space="preserve">-treated patients who had a dose reduction or dose interruption due to an AE during the trial.  </w:t>
      </w:r>
      <w:r w:rsidRPr="00A44512">
        <w:t xml:space="preserve">The submission did not provide any information </w:t>
      </w:r>
      <w:r w:rsidR="002031AD">
        <w:t>regarding the extent of the dose reductions</w:t>
      </w:r>
      <w:r w:rsidRPr="00A44512">
        <w:t xml:space="preserve">. Nor did the submission provide any information on the length of dose interruption. </w:t>
      </w:r>
    </w:p>
    <w:p w:rsidR="00DC6719" w:rsidRPr="0062025F" w:rsidRDefault="00DC6719" w:rsidP="007A132D">
      <w:pPr>
        <w:pStyle w:val="ListParagraph"/>
        <w:numPr>
          <w:ilvl w:val="1"/>
          <w:numId w:val="3"/>
        </w:numPr>
      </w:pPr>
      <w:r w:rsidRPr="00A44512">
        <w:lastRenderedPageBreak/>
        <w:t xml:space="preserve">The TGA evaluator noted </w:t>
      </w:r>
      <w:r w:rsidRPr="0062025F">
        <w:t xml:space="preserve">that the higher rate and higher number of dose interruptions in the </w:t>
      </w:r>
      <w:proofErr w:type="spellStart"/>
      <w:r w:rsidRPr="0062025F">
        <w:t>apalutamide</w:t>
      </w:r>
      <w:proofErr w:type="spellEnd"/>
      <w:r w:rsidRPr="0062025F">
        <w:t xml:space="preserve"> arm of the trial</w:t>
      </w:r>
      <w:r w:rsidR="00887D26" w:rsidRPr="0062025F">
        <w:t xml:space="preserve"> (due to skin rash, diarrhoea, nausea, haematuria, </w:t>
      </w:r>
      <w:proofErr w:type="gramStart"/>
      <w:r w:rsidR="00887D26" w:rsidRPr="0062025F">
        <w:t>hypertension</w:t>
      </w:r>
      <w:proofErr w:type="gramEnd"/>
      <w:r w:rsidR="00887D26" w:rsidRPr="0062025F">
        <w:t>)</w:t>
      </w:r>
      <w:r w:rsidRPr="0062025F">
        <w:t xml:space="preserve"> suggest</w:t>
      </w:r>
      <w:r w:rsidR="00B26AB3" w:rsidRPr="0062025F">
        <w:t>ed</w:t>
      </w:r>
      <w:r w:rsidRPr="0062025F">
        <w:t xml:space="preserve"> that tolerability is a significant problem but this population is motivated to try and remain on treatment.  The TGA evaluator went on to state that the extent to which unmasking of treatment allocation through prominent additional symptoms influenced clinicians and/or motivated patients to try and stay on treatment is unclear, but the imbalance between treatment arms for the number of treatment interruptions suggests this was a factor. As such there is potential there may have been </w:t>
      </w:r>
      <w:proofErr w:type="spellStart"/>
      <w:r w:rsidRPr="0062025F">
        <w:t>unblinding</w:t>
      </w:r>
      <w:proofErr w:type="spellEnd"/>
      <w:r w:rsidRPr="0062025F">
        <w:t xml:space="preserve"> for a proportion of patients and/or clinicians.</w:t>
      </w:r>
    </w:p>
    <w:p w:rsidR="00011493" w:rsidRDefault="00EA5CFC" w:rsidP="007A132D">
      <w:pPr>
        <w:pStyle w:val="ListParagraph"/>
        <w:numPr>
          <w:ilvl w:val="1"/>
          <w:numId w:val="3"/>
        </w:numPr>
      </w:pPr>
      <w:r>
        <w:t xml:space="preserve">The table below provides a summary of the AEs that were observed to occur significantly more in the </w:t>
      </w:r>
      <w:proofErr w:type="spellStart"/>
      <w:r>
        <w:t>apalutamide</w:t>
      </w:r>
      <w:proofErr w:type="spellEnd"/>
      <w:r>
        <w:t xml:space="preserve"> arm of SPARTAN</w:t>
      </w:r>
      <w:r w:rsidR="00802B05">
        <w:t>. These events</w:t>
      </w:r>
      <w:r>
        <w:t xml:space="preserve"> have been included in the economic model.</w:t>
      </w:r>
    </w:p>
    <w:p w:rsidR="00EA5CFC" w:rsidRDefault="00EA5CFC" w:rsidP="005F48ED">
      <w:pPr>
        <w:keepNext/>
      </w:pPr>
      <w:r w:rsidRPr="00EC6EBB">
        <w:rPr>
          <w:rFonts w:ascii="Arial Narrow" w:hAnsi="Arial Narrow"/>
          <w:b/>
          <w:sz w:val="20"/>
          <w:szCs w:val="20"/>
        </w:rPr>
        <w:t xml:space="preserve">Table </w:t>
      </w:r>
      <w:r w:rsidR="005E3073">
        <w:rPr>
          <w:rFonts w:ascii="Arial Narrow" w:hAnsi="Arial Narrow"/>
          <w:b/>
          <w:sz w:val="20"/>
          <w:szCs w:val="20"/>
        </w:rPr>
        <w:t>6</w:t>
      </w:r>
      <w:r w:rsidRPr="00EC6EBB">
        <w:rPr>
          <w:rFonts w:ascii="Arial Narrow" w:hAnsi="Arial Narrow"/>
          <w:b/>
          <w:sz w:val="20"/>
          <w:szCs w:val="20"/>
        </w:rPr>
        <w:t xml:space="preserve">:  </w:t>
      </w:r>
      <w:r>
        <w:rPr>
          <w:rFonts w:ascii="Arial Narrow" w:hAnsi="Arial Narrow"/>
          <w:b/>
          <w:sz w:val="20"/>
          <w:szCs w:val="20"/>
        </w:rPr>
        <w:t>Adverse events included in the economic model</w:t>
      </w:r>
    </w:p>
    <w:tbl>
      <w:tblPr>
        <w:tblStyle w:val="Summarybox7"/>
        <w:tblW w:w="0" w:type="auto"/>
        <w:tblInd w:w="108" w:type="dxa"/>
        <w:tblLook w:val="04A0" w:firstRow="1" w:lastRow="0" w:firstColumn="1" w:lastColumn="0" w:noHBand="0" w:noVBand="1"/>
        <w:tblCaption w:val="Adverse events included in the economic model"/>
      </w:tblPr>
      <w:tblGrid>
        <w:gridCol w:w="2535"/>
        <w:gridCol w:w="1683"/>
        <w:gridCol w:w="1396"/>
        <w:gridCol w:w="1651"/>
        <w:gridCol w:w="1644"/>
      </w:tblGrid>
      <w:tr w:rsidR="00EA5CFC" w:rsidRPr="00EC6EBB" w:rsidTr="0018680D">
        <w:trPr>
          <w:trHeight w:val="257"/>
          <w:tblHeader/>
        </w:trPr>
        <w:tc>
          <w:tcPr>
            <w:tcW w:w="2581" w:type="dxa"/>
          </w:tcPr>
          <w:p w:rsidR="00EA5CFC" w:rsidRPr="00EC6EBB" w:rsidRDefault="00EA5CFC" w:rsidP="005F48ED">
            <w:pPr>
              <w:keepNext/>
              <w:jc w:val="left"/>
              <w:rPr>
                <w:rFonts w:ascii="Arial Narrow" w:eastAsia="Times New Roman" w:hAnsi="Arial Narrow" w:cs="Arial"/>
                <w:b/>
                <w:sz w:val="20"/>
                <w:szCs w:val="20"/>
                <w:lang w:val="en-AU"/>
              </w:rPr>
            </w:pPr>
          </w:p>
        </w:tc>
        <w:tc>
          <w:tcPr>
            <w:tcW w:w="1701" w:type="dxa"/>
          </w:tcPr>
          <w:p w:rsidR="00EA5CFC" w:rsidRPr="00EC6EBB" w:rsidRDefault="00EA5CFC" w:rsidP="005F48ED">
            <w:pPr>
              <w:keepNext/>
              <w:jc w:val="center"/>
              <w:rPr>
                <w:rFonts w:ascii="Arial Narrow" w:hAnsi="Arial Narrow" w:cs="Arial"/>
                <w:b/>
                <w:sz w:val="20"/>
                <w:szCs w:val="20"/>
                <w:lang w:val="en-AU"/>
              </w:rPr>
            </w:pPr>
            <w:proofErr w:type="spellStart"/>
            <w:r w:rsidRPr="00EC6EBB">
              <w:rPr>
                <w:rFonts w:ascii="Arial Narrow" w:hAnsi="Arial Narrow" w:cs="Arial"/>
                <w:b/>
                <w:sz w:val="20"/>
                <w:szCs w:val="20"/>
                <w:lang w:val="en-AU"/>
              </w:rPr>
              <w:t>Apalutamide</w:t>
            </w:r>
            <w:proofErr w:type="spellEnd"/>
          </w:p>
          <w:p w:rsidR="00EA5CFC" w:rsidRPr="00EC6EBB" w:rsidRDefault="00EA5CFC" w:rsidP="005F48ED">
            <w:pPr>
              <w:keepNext/>
              <w:jc w:val="center"/>
              <w:rPr>
                <w:rFonts w:ascii="Arial Narrow" w:hAnsi="Arial Narrow" w:cs="Arial"/>
                <w:b/>
                <w:sz w:val="20"/>
                <w:szCs w:val="20"/>
                <w:lang w:val="en-AU"/>
              </w:rPr>
            </w:pPr>
            <w:r w:rsidRPr="00EC6EBB">
              <w:rPr>
                <w:rFonts w:ascii="Arial Narrow" w:hAnsi="Arial Narrow" w:cs="Arial"/>
                <w:b/>
                <w:sz w:val="20"/>
                <w:szCs w:val="20"/>
                <w:lang w:val="en-AU"/>
              </w:rPr>
              <w:t>N=803</w:t>
            </w:r>
          </w:p>
        </w:tc>
        <w:tc>
          <w:tcPr>
            <w:tcW w:w="1417" w:type="dxa"/>
          </w:tcPr>
          <w:p w:rsidR="00EA5CFC" w:rsidRPr="00EC6EBB" w:rsidRDefault="00EA5CFC" w:rsidP="005F48ED">
            <w:pPr>
              <w:keepNext/>
              <w:jc w:val="center"/>
              <w:rPr>
                <w:rFonts w:ascii="Arial Narrow" w:hAnsi="Arial Narrow" w:cs="Arial"/>
                <w:b/>
                <w:sz w:val="20"/>
                <w:szCs w:val="20"/>
                <w:lang w:val="en-AU"/>
              </w:rPr>
            </w:pPr>
            <w:r w:rsidRPr="00EC6EBB">
              <w:rPr>
                <w:rFonts w:ascii="Arial Narrow" w:hAnsi="Arial Narrow" w:cs="Arial"/>
                <w:b/>
                <w:sz w:val="20"/>
                <w:szCs w:val="20"/>
                <w:lang w:val="en-AU"/>
              </w:rPr>
              <w:t>Placebo</w:t>
            </w:r>
          </w:p>
          <w:p w:rsidR="00EA5CFC" w:rsidRPr="00EC6EBB" w:rsidRDefault="00EA5CFC" w:rsidP="005F48ED">
            <w:pPr>
              <w:keepNext/>
              <w:jc w:val="center"/>
              <w:rPr>
                <w:rFonts w:ascii="Arial Narrow" w:hAnsi="Arial Narrow" w:cs="Arial"/>
                <w:b/>
                <w:sz w:val="20"/>
                <w:szCs w:val="20"/>
                <w:lang w:val="en-AU"/>
              </w:rPr>
            </w:pPr>
            <w:r w:rsidRPr="00EC6EBB">
              <w:rPr>
                <w:rFonts w:ascii="Arial Narrow" w:hAnsi="Arial Narrow" w:cs="Arial"/>
                <w:b/>
                <w:sz w:val="20"/>
                <w:szCs w:val="20"/>
                <w:lang w:val="en-AU"/>
              </w:rPr>
              <w:t>N=398</w:t>
            </w:r>
          </w:p>
        </w:tc>
        <w:tc>
          <w:tcPr>
            <w:tcW w:w="1690" w:type="dxa"/>
            <w:vAlign w:val="center"/>
          </w:tcPr>
          <w:p w:rsidR="00EA5CFC" w:rsidRPr="00EC6EBB" w:rsidRDefault="00EA5CFC" w:rsidP="005F48ED">
            <w:pPr>
              <w:keepNext/>
              <w:jc w:val="center"/>
              <w:rPr>
                <w:rFonts w:ascii="Arial Narrow" w:hAnsi="Arial Narrow" w:cs="Arial"/>
                <w:b/>
                <w:sz w:val="20"/>
                <w:szCs w:val="20"/>
                <w:lang w:val="en-AU"/>
              </w:rPr>
            </w:pPr>
            <w:r w:rsidRPr="00EC6EBB">
              <w:rPr>
                <w:rFonts w:ascii="Arial Narrow" w:hAnsi="Arial Narrow" w:cs="Arial"/>
                <w:b/>
                <w:sz w:val="20"/>
                <w:szCs w:val="20"/>
                <w:lang w:val="en-AU"/>
              </w:rPr>
              <w:t>RD</w:t>
            </w:r>
          </w:p>
          <w:p w:rsidR="00EA5CFC" w:rsidRPr="00EC6EBB" w:rsidRDefault="00EA5CFC" w:rsidP="005F48ED">
            <w:pPr>
              <w:keepNext/>
              <w:jc w:val="center"/>
              <w:rPr>
                <w:rFonts w:ascii="Arial Narrow" w:hAnsi="Arial Narrow" w:cs="Arial"/>
                <w:b/>
                <w:sz w:val="20"/>
                <w:szCs w:val="20"/>
                <w:lang w:val="en-AU"/>
              </w:rPr>
            </w:pPr>
            <w:r w:rsidRPr="00EC6EBB">
              <w:rPr>
                <w:rFonts w:ascii="Arial Narrow" w:hAnsi="Arial Narrow" w:cs="Arial"/>
                <w:b/>
                <w:sz w:val="20"/>
                <w:szCs w:val="20"/>
                <w:lang w:val="en-AU"/>
              </w:rPr>
              <w:t>(95% CI)</w:t>
            </w:r>
          </w:p>
        </w:tc>
        <w:tc>
          <w:tcPr>
            <w:tcW w:w="1683" w:type="dxa"/>
            <w:vAlign w:val="center"/>
          </w:tcPr>
          <w:p w:rsidR="00EA5CFC" w:rsidRPr="00EC6EBB" w:rsidRDefault="00EA5CFC" w:rsidP="005F48ED">
            <w:pPr>
              <w:keepNext/>
              <w:jc w:val="center"/>
              <w:rPr>
                <w:rFonts w:ascii="Arial Narrow" w:hAnsi="Arial Narrow" w:cs="Arial"/>
                <w:b/>
                <w:sz w:val="20"/>
                <w:szCs w:val="20"/>
                <w:lang w:val="en-AU"/>
              </w:rPr>
            </w:pPr>
            <w:r w:rsidRPr="00EC6EBB">
              <w:rPr>
                <w:rFonts w:ascii="Arial Narrow" w:hAnsi="Arial Narrow" w:cs="Arial"/>
                <w:b/>
                <w:sz w:val="20"/>
                <w:szCs w:val="20"/>
                <w:lang w:val="en-AU"/>
              </w:rPr>
              <w:t>RR</w:t>
            </w:r>
          </w:p>
          <w:p w:rsidR="00EA5CFC" w:rsidRPr="00EC6EBB" w:rsidRDefault="00EA5CFC" w:rsidP="005F48ED">
            <w:pPr>
              <w:keepNext/>
              <w:jc w:val="center"/>
              <w:rPr>
                <w:rFonts w:ascii="Arial Narrow" w:hAnsi="Arial Narrow" w:cs="Arial"/>
                <w:b/>
                <w:sz w:val="20"/>
                <w:szCs w:val="20"/>
                <w:lang w:val="en-AU"/>
              </w:rPr>
            </w:pPr>
            <w:r w:rsidRPr="00EC6EBB">
              <w:rPr>
                <w:rFonts w:ascii="Arial Narrow" w:hAnsi="Arial Narrow" w:cs="Arial"/>
                <w:b/>
                <w:sz w:val="20"/>
                <w:szCs w:val="20"/>
                <w:lang w:val="en-AU"/>
              </w:rPr>
              <w:t>(95% CI)</w:t>
            </w:r>
          </w:p>
        </w:tc>
      </w:tr>
      <w:tr w:rsidR="00EA5CFC" w:rsidRPr="0062025F" w:rsidTr="00487634">
        <w:tc>
          <w:tcPr>
            <w:tcW w:w="2581" w:type="dxa"/>
          </w:tcPr>
          <w:p w:rsidR="00EA5CFC" w:rsidRPr="0062025F" w:rsidRDefault="00EA5CFC" w:rsidP="00C336BA">
            <w:pPr>
              <w:keepNext/>
              <w:jc w:val="left"/>
              <w:rPr>
                <w:rFonts w:ascii="Arial Narrow" w:hAnsi="Arial Narrow" w:cs="Arial"/>
                <w:sz w:val="20"/>
                <w:szCs w:val="20"/>
              </w:rPr>
            </w:pPr>
            <w:r w:rsidRPr="0062025F">
              <w:rPr>
                <w:rFonts w:ascii="Arial Narrow" w:hAnsi="Arial Narrow" w:cs="Arial"/>
                <w:sz w:val="20"/>
                <w:szCs w:val="20"/>
              </w:rPr>
              <w:t>Skin rash</w:t>
            </w:r>
          </w:p>
        </w:tc>
        <w:tc>
          <w:tcPr>
            <w:tcW w:w="1701" w:type="dxa"/>
            <w:vAlign w:val="center"/>
          </w:tcPr>
          <w:p w:rsidR="00EA5CFC" w:rsidRPr="0062025F" w:rsidRDefault="00EA5CFC" w:rsidP="00C336BA">
            <w:pPr>
              <w:keepNext/>
              <w:jc w:val="center"/>
              <w:rPr>
                <w:rFonts w:ascii="Arial Narrow" w:hAnsi="Arial Narrow" w:cs="Arial"/>
                <w:sz w:val="20"/>
                <w:szCs w:val="20"/>
              </w:rPr>
            </w:pPr>
            <w:r w:rsidRPr="0062025F">
              <w:rPr>
                <w:rFonts w:ascii="Arial Narrow" w:eastAsia="Times New Roman" w:hAnsi="Arial Narrow" w:cs="Arial"/>
                <w:sz w:val="20"/>
                <w:szCs w:val="20"/>
              </w:rPr>
              <w:t>191 (23.8%)</w:t>
            </w:r>
          </w:p>
        </w:tc>
        <w:tc>
          <w:tcPr>
            <w:tcW w:w="1417" w:type="dxa"/>
            <w:vAlign w:val="center"/>
          </w:tcPr>
          <w:p w:rsidR="00EA5CFC" w:rsidRPr="0062025F" w:rsidRDefault="00EA5CFC" w:rsidP="00C336BA">
            <w:pPr>
              <w:keepNext/>
              <w:jc w:val="center"/>
              <w:rPr>
                <w:rFonts w:ascii="Arial Narrow" w:hAnsi="Arial Narrow" w:cs="Arial"/>
                <w:sz w:val="20"/>
                <w:szCs w:val="20"/>
              </w:rPr>
            </w:pPr>
            <w:r w:rsidRPr="0062025F">
              <w:rPr>
                <w:rFonts w:ascii="Arial Narrow" w:eastAsia="Times New Roman" w:hAnsi="Arial Narrow" w:cs="Arial"/>
                <w:sz w:val="20"/>
                <w:szCs w:val="20"/>
              </w:rPr>
              <w:t>22 (5.5%)</w:t>
            </w:r>
          </w:p>
        </w:tc>
        <w:tc>
          <w:tcPr>
            <w:tcW w:w="1690" w:type="dxa"/>
          </w:tcPr>
          <w:p w:rsidR="00EA5CFC" w:rsidRPr="0062025F" w:rsidRDefault="00EA5CFC" w:rsidP="00C336BA">
            <w:pPr>
              <w:keepNext/>
              <w:jc w:val="center"/>
              <w:rPr>
                <w:rFonts w:ascii="Arial Narrow" w:hAnsi="Arial Narrow" w:cs="Arial"/>
                <w:b/>
                <w:sz w:val="20"/>
                <w:szCs w:val="20"/>
              </w:rPr>
            </w:pPr>
            <w:r w:rsidRPr="0062025F">
              <w:rPr>
                <w:rFonts w:ascii="Arial Narrow" w:eastAsia="Times New Roman" w:hAnsi="Arial Narrow" w:cs="Arial"/>
                <w:b/>
                <w:sz w:val="20"/>
                <w:szCs w:val="20"/>
              </w:rPr>
              <w:t>0.18 (0.15, 0.22)</w:t>
            </w:r>
          </w:p>
        </w:tc>
        <w:tc>
          <w:tcPr>
            <w:tcW w:w="1683" w:type="dxa"/>
          </w:tcPr>
          <w:p w:rsidR="00EA5CFC" w:rsidRPr="0062025F" w:rsidRDefault="00EA5CFC" w:rsidP="00C336BA">
            <w:pPr>
              <w:keepNext/>
              <w:jc w:val="center"/>
              <w:rPr>
                <w:rFonts w:ascii="Arial Narrow" w:hAnsi="Arial Narrow" w:cs="Arial"/>
                <w:b/>
                <w:sz w:val="20"/>
                <w:szCs w:val="20"/>
              </w:rPr>
            </w:pPr>
            <w:r w:rsidRPr="0062025F">
              <w:rPr>
                <w:rFonts w:ascii="Arial Narrow" w:eastAsia="Times New Roman" w:hAnsi="Arial Narrow" w:cs="Arial"/>
                <w:b/>
                <w:sz w:val="20"/>
                <w:szCs w:val="20"/>
              </w:rPr>
              <w:t>4.30 (2.81, 6.58)</w:t>
            </w:r>
          </w:p>
        </w:tc>
      </w:tr>
      <w:tr w:rsidR="00EA5CFC" w:rsidRPr="0062025F" w:rsidTr="00487634">
        <w:tc>
          <w:tcPr>
            <w:tcW w:w="2581" w:type="dxa"/>
          </w:tcPr>
          <w:p w:rsidR="00EA5CFC" w:rsidRPr="0062025F" w:rsidRDefault="00EA5CFC" w:rsidP="00C336BA">
            <w:pPr>
              <w:keepNext/>
              <w:jc w:val="left"/>
              <w:rPr>
                <w:rFonts w:ascii="Arial Narrow" w:hAnsi="Arial Narrow" w:cs="Arial"/>
                <w:sz w:val="20"/>
                <w:szCs w:val="20"/>
              </w:rPr>
            </w:pPr>
            <w:r w:rsidRPr="0062025F">
              <w:rPr>
                <w:rFonts w:ascii="Arial Narrow" w:hAnsi="Arial Narrow" w:cs="Arial"/>
                <w:sz w:val="20"/>
                <w:szCs w:val="20"/>
              </w:rPr>
              <w:t>Fall</w:t>
            </w:r>
          </w:p>
        </w:tc>
        <w:tc>
          <w:tcPr>
            <w:tcW w:w="1701" w:type="dxa"/>
            <w:vAlign w:val="center"/>
          </w:tcPr>
          <w:p w:rsidR="00EA5CFC" w:rsidRPr="0062025F" w:rsidRDefault="00EA5CFC" w:rsidP="00C336BA">
            <w:pPr>
              <w:keepNext/>
              <w:jc w:val="center"/>
              <w:rPr>
                <w:rFonts w:ascii="Arial Narrow" w:hAnsi="Arial Narrow" w:cs="Arial"/>
                <w:sz w:val="20"/>
                <w:szCs w:val="20"/>
              </w:rPr>
            </w:pPr>
            <w:r w:rsidRPr="0062025F">
              <w:rPr>
                <w:rFonts w:ascii="Arial Narrow" w:eastAsia="Times New Roman" w:hAnsi="Arial Narrow" w:cs="Arial"/>
                <w:sz w:val="20"/>
                <w:szCs w:val="20"/>
              </w:rPr>
              <w:t>125 (15.6%)</w:t>
            </w:r>
          </w:p>
        </w:tc>
        <w:tc>
          <w:tcPr>
            <w:tcW w:w="1417" w:type="dxa"/>
            <w:vAlign w:val="center"/>
          </w:tcPr>
          <w:p w:rsidR="00EA5CFC" w:rsidRPr="0062025F" w:rsidRDefault="00EA5CFC" w:rsidP="00C336BA">
            <w:pPr>
              <w:keepNext/>
              <w:jc w:val="center"/>
              <w:rPr>
                <w:rFonts w:ascii="Arial Narrow" w:hAnsi="Arial Narrow" w:cs="Arial"/>
                <w:sz w:val="20"/>
                <w:szCs w:val="20"/>
              </w:rPr>
            </w:pPr>
            <w:r w:rsidRPr="0062025F">
              <w:rPr>
                <w:rFonts w:ascii="Arial Narrow" w:eastAsia="Times New Roman" w:hAnsi="Arial Narrow" w:cs="Arial"/>
                <w:sz w:val="20"/>
                <w:szCs w:val="20"/>
              </w:rPr>
              <w:t>36 (9.0%)</w:t>
            </w:r>
          </w:p>
        </w:tc>
        <w:tc>
          <w:tcPr>
            <w:tcW w:w="1690" w:type="dxa"/>
          </w:tcPr>
          <w:p w:rsidR="00EA5CFC" w:rsidRPr="0062025F" w:rsidRDefault="00EA5CFC" w:rsidP="00C336BA">
            <w:pPr>
              <w:keepNext/>
              <w:jc w:val="center"/>
              <w:rPr>
                <w:rFonts w:ascii="Arial Narrow" w:hAnsi="Arial Narrow" w:cs="Arial"/>
                <w:b/>
                <w:sz w:val="20"/>
                <w:szCs w:val="20"/>
              </w:rPr>
            </w:pPr>
            <w:r w:rsidRPr="0062025F">
              <w:rPr>
                <w:rFonts w:ascii="Arial Narrow" w:eastAsia="Times New Roman" w:hAnsi="Arial Narrow" w:cs="Arial"/>
                <w:b/>
                <w:sz w:val="20"/>
                <w:szCs w:val="20"/>
              </w:rPr>
              <w:t>0.07 (0.03, 0.10)</w:t>
            </w:r>
          </w:p>
        </w:tc>
        <w:tc>
          <w:tcPr>
            <w:tcW w:w="1683" w:type="dxa"/>
          </w:tcPr>
          <w:p w:rsidR="00EA5CFC" w:rsidRPr="0062025F" w:rsidRDefault="00EA5CFC" w:rsidP="00C336BA">
            <w:pPr>
              <w:keepNext/>
              <w:jc w:val="center"/>
              <w:rPr>
                <w:rFonts w:ascii="Arial Narrow" w:hAnsi="Arial Narrow" w:cs="Arial"/>
                <w:b/>
                <w:sz w:val="20"/>
                <w:szCs w:val="20"/>
              </w:rPr>
            </w:pPr>
            <w:r w:rsidRPr="0062025F">
              <w:rPr>
                <w:rFonts w:ascii="Arial Narrow" w:eastAsia="Times New Roman" w:hAnsi="Arial Narrow" w:cs="Arial"/>
                <w:b/>
                <w:sz w:val="20"/>
                <w:szCs w:val="20"/>
              </w:rPr>
              <w:t>1.72 (1.21, 2.44)</w:t>
            </w:r>
          </w:p>
        </w:tc>
      </w:tr>
      <w:tr w:rsidR="00EA5CFC" w:rsidRPr="0062025F" w:rsidTr="00487634">
        <w:tc>
          <w:tcPr>
            <w:tcW w:w="2581" w:type="dxa"/>
          </w:tcPr>
          <w:p w:rsidR="00EA5CFC" w:rsidRPr="0062025F" w:rsidRDefault="00EA5CFC" w:rsidP="00C336BA">
            <w:pPr>
              <w:keepNext/>
              <w:jc w:val="left"/>
              <w:rPr>
                <w:rFonts w:ascii="Arial Narrow" w:eastAsia="Times New Roman" w:hAnsi="Arial Narrow" w:cs="Arial"/>
                <w:sz w:val="20"/>
                <w:szCs w:val="20"/>
                <w:lang w:val="en-AU"/>
              </w:rPr>
            </w:pPr>
            <w:r w:rsidRPr="0062025F">
              <w:rPr>
                <w:rFonts w:ascii="Arial Narrow" w:eastAsia="Times New Roman" w:hAnsi="Arial Narrow" w:cs="Arial"/>
                <w:sz w:val="20"/>
                <w:szCs w:val="20"/>
                <w:lang w:val="en-AU"/>
              </w:rPr>
              <w:t>Fracture</w:t>
            </w:r>
          </w:p>
        </w:tc>
        <w:tc>
          <w:tcPr>
            <w:tcW w:w="1701" w:type="dxa"/>
            <w:vAlign w:val="center"/>
          </w:tcPr>
          <w:p w:rsidR="00EA5CFC" w:rsidRPr="0062025F" w:rsidRDefault="00EA5CFC" w:rsidP="00C336BA">
            <w:pPr>
              <w:keepNext/>
              <w:jc w:val="center"/>
              <w:rPr>
                <w:rFonts w:ascii="Arial Narrow" w:eastAsia="Times New Roman" w:hAnsi="Arial Narrow" w:cs="Arial"/>
                <w:sz w:val="20"/>
                <w:szCs w:val="20"/>
                <w:lang w:val="en-AU"/>
              </w:rPr>
            </w:pPr>
            <w:r w:rsidRPr="0062025F">
              <w:rPr>
                <w:rFonts w:ascii="Arial Narrow" w:eastAsia="Times New Roman" w:hAnsi="Arial Narrow" w:cs="Arial"/>
                <w:sz w:val="20"/>
                <w:szCs w:val="20"/>
              </w:rPr>
              <w:t>94 (11.7%)</w:t>
            </w:r>
          </w:p>
        </w:tc>
        <w:tc>
          <w:tcPr>
            <w:tcW w:w="1417" w:type="dxa"/>
            <w:vAlign w:val="center"/>
          </w:tcPr>
          <w:p w:rsidR="00EA5CFC" w:rsidRPr="0062025F" w:rsidRDefault="00EA5CFC" w:rsidP="00C336BA">
            <w:pPr>
              <w:keepNext/>
              <w:jc w:val="center"/>
              <w:rPr>
                <w:rFonts w:ascii="Arial Narrow" w:eastAsia="Times New Roman" w:hAnsi="Arial Narrow" w:cs="Arial"/>
                <w:sz w:val="20"/>
                <w:szCs w:val="20"/>
                <w:lang w:val="en-AU"/>
              </w:rPr>
            </w:pPr>
            <w:r w:rsidRPr="0062025F">
              <w:rPr>
                <w:rFonts w:ascii="Arial Narrow" w:eastAsia="Times New Roman" w:hAnsi="Arial Narrow" w:cs="Arial"/>
                <w:sz w:val="20"/>
                <w:szCs w:val="20"/>
              </w:rPr>
              <w:t>26 (6.5%)</w:t>
            </w:r>
          </w:p>
        </w:tc>
        <w:tc>
          <w:tcPr>
            <w:tcW w:w="1690" w:type="dxa"/>
          </w:tcPr>
          <w:p w:rsidR="00EA5CFC" w:rsidRPr="0062025F" w:rsidRDefault="00EA5CFC" w:rsidP="00C336BA">
            <w:pPr>
              <w:keepNext/>
              <w:jc w:val="center"/>
              <w:rPr>
                <w:rFonts w:ascii="Arial Narrow" w:eastAsia="Times New Roman" w:hAnsi="Arial Narrow" w:cs="Arial"/>
                <w:b/>
                <w:sz w:val="20"/>
                <w:szCs w:val="20"/>
                <w:lang w:val="en-AU"/>
              </w:rPr>
            </w:pPr>
            <w:r w:rsidRPr="0062025F">
              <w:rPr>
                <w:rFonts w:ascii="Arial Narrow" w:eastAsia="Times New Roman" w:hAnsi="Arial Narrow" w:cs="Arial"/>
                <w:b/>
                <w:sz w:val="20"/>
                <w:szCs w:val="20"/>
              </w:rPr>
              <w:t>0.05 (0.02, 0.08)</w:t>
            </w:r>
          </w:p>
        </w:tc>
        <w:tc>
          <w:tcPr>
            <w:tcW w:w="1683" w:type="dxa"/>
          </w:tcPr>
          <w:p w:rsidR="00EA5CFC" w:rsidRPr="0062025F" w:rsidRDefault="00EA5CFC" w:rsidP="00C336BA">
            <w:pPr>
              <w:keepNext/>
              <w:jc w:val="center"/>
              <w:rPr>
                <w:rFonts w:ascii="Arial Narrow" w:eastAsia="Times New Roman" w:hAnsi="Arial Narrow" w:cs="Arial"/>
                <w:b/>
                <w:sz w:val="20"/>
                <w:szCs w:val="20"/>
                <w:lang w:val="en-AU"/>
              </w:rPr>
            </w:pPr>
            <w:r w:rsidRPr="0062025F">
              <w:rPr>
                <w:rFonts w:ascii="Arial Narrow" w:eastAsia="Times New Roman" w:hAnsi="Arial Narrow" w:cs="Arial"/>
                <w:b/>
                <w:sz w:val="20"/>
                <w:szCs w:val="20"/>
              </w:rPr>
              <w:t>1.79 (1.18, 2.72)</w:t>
            </w:r>
          </w:p>
        </w:tc>
      </w:tr>
      <w:tr w:rsidR="00EA5CFC" w:rsidRPr="0062025F" w:rsidTr="00487634">
        <w:tc>
          <w:tcPr>
            <w:tcW w:w="2581" w:type="dxa"/>
          </w:tcPr>
          <w:p w:rsidR="00EA5CFC" w:rsidRPr="0062025F" w:rsidRDefault="00EA5CFC" w:rsidP="00C336BA">
            <w:pPr>
              <w:keepNext/>
              <w:jc w:val="left"/>
              <w:rPr>
                <w:rFonts w:ascii="Arial Narrow" w:eastAsia="Times New Roman" w:hAnsi="Arial Narrow" w:cs="Arial"/>
                <w:sz w:val="20"/>
                <w:szCs w:val="20"/>
                <w:lang w:val="en-AU"/>
              </w:rPr>
            </w:pPr>
            <w:r w:rsidRPr="0062025F">
              <w:rPr>
                <w:rFonts w:ascii="Arial Narrow" w:eastAsia="Times New Roman" w:hAnsi="Arial Narrow" w:cs="Arial"/>
                <w:sz w:val="20"/>
                <w:szCs w:val="20"/>
                <w:lang w:val="en-AU"/>
              </w:rPr>
              <w:t>Hypothyroidism</w:t>
            </w:r>
          </w:p>
        </w:tc>
        <w:tc>
          <w:tcPr>
            <w:tcW w:w="1701" w:type="dxa"/>
            <w:vAlign w:val="center"/>
          </w:tcPr>
          <w:p w:rsidR="00EA5CFC" w:rsidRPr="0062025F" w:rsidRDefault="00EA5CFC" w:rsidP="00C336BA">
            <w:pPr>
              <w:keepNext/>
              <w:jc w:val="center"/>
              <w:rPr>
                <w:rFonts w:ascii="Arial Narrow" w:eastAsia="Times New Roman" w:hAnsi="Arial Narrow" w:cs="Arial"/>
                <w:sz w:val="20"/>
                <w:szCs w:val="20"/>
                <w:lang w:val="en-AU"/>
              </w:rPr>
            </w:pPr>
            <w:r w:rsidRPr="0062025F">
              <w:rPr>
                <w:rFonts w:ascii="Arial Narrow" w:eastAsia="Times New Roman" w:hAnsi="Arial Narrow" w:cs="Arial"/>
                <w:sz w:val="20"/>
                <w:szCs w:val="20"/>
              </w:rPr>
              <w:t>65 (8.1%)</w:t>
            </w:r>
          </w:p>
        </w:tc>
        <w:tc>
          <w:tcPr>
            <w:tcW w:w="1417" w:type="dxa"/>
            <w:vAlign w:val="center"/>
          </w:tcPr>
          <w:p w:rsidR="00EA5CFC" w:rsidRPr="0062025F" w:rsidRDefault="00EA5CFC" w:rsidP="00C336BA">
            <w:pPr>
              <w:keepNext/>
              <w:jc w:val="center"/>
              <w:rPr>
                <w:rFonts w:ascii="Arial Narrow" w:eastAsia="Times New Roman" w:hAnsi="Arial Narrow" w:cs="Arial"/>
                <w:sz w:val="20"/>
                <w:szCs w:val="20"/>
                <w:lang w:val="en-AU"/>
              </w:rPr>
            </w:pPr>
            <w:r w:rsidRPr="0062025F">
              <w:rPr>
                <w:rFonts w:ascii="Arial Narrow" w:eastAsia="Times New Roman" w:hAnsi="Arial Narrow" w:cs="Arial"/>
                <w:sz w:val="20"/>
                <w:szCs w:val="20"/>
              </w:rPr>
              <w:t>8 (2.0%)</w:t>
            </w:r>
          </w:p>
        </w:tc>
        <w:tc>
          <w:tcPr>
            <w:tcW w:w="1690" w:type="dxa"/>
          </w:tcPr>
          <w:p w:rsidR="00EA5CFC" w:rsidRPr="0062025F" w:rsidRDefault="00EA5CFC" w:rsidP="00C336BA">
            <w:pPr>
              <w:keepNext/>
              <w:jc w:val="center"/>
              <w:rPr>
                <w:rFonts w:ascii="Arial Narrow" w:eastAsia="Times New Roman" w:hAnsi="Arial Narrow" w:cs="Arial"/>
                <w:b/>
                <w:sz w:val="20"/>
                <w:szCs w:val="20"/>
                <w:lang w:val="en-AU"/>
              </w:rPr>
            </w:pPr>
            <w:r w:rsidRPr="0062025F">
              <w:rPr>
                <w:rFonts w:ascii="Arial Narrow" w:eastAsia="Times New Roman" w:hAnsi="Arial Narrow" w:cs="Arial"/>
                <w:b/>
                <w:sz w:val="20"/>
                <w:szCs w:val="20"/>
              </w:rPr>
              <w:t>0.06 (0.04, 0.08)</w:t>
            </w:r>
          </w:p>
        </w:tc>
        <w:tc>
          <w:tcPr>
            <w:tcW w:w="1683" w:type="dxa"/>
          </w:tcPr>
          <w:p w:rsidR="00EA5CFC" w:rsidRPr="0062025F" w:rsidRDefault="00EA5CFC" w:rsidP="00C336BA">
            <w:pPr>
              <w:keepNext/>
              <w:jc w:val="center"/>
              <w:rPr>
                <w:rFonts w:ascii="Arial Narrow" w:eastAsia="Times New Roman" w:hAnsi="Arial Narrow" w:cs="Arial"/>
                <w:b/>
                <w:sz w:val="20"/>
                <w:szCs w:val="20"/>
                <w:lang w:val="en-AU"/>
              </w:rPr>
            </w:pPr>
            <w:r w:rsidRPr="0062025F">
              <w:rPr>
                <w:rFonts w:ascii="Arial Narrow" w:eastAsia="Times New Roman" w:hAnsi="Arial Narrow" w:cs="Arial"/>
                <w:b/>
                <w:sz w:val="20"/>
                <w:szCs w:val="20"/>
              </w:rPr>
              <w:t>4.03 (1.95, 8.31)</w:t>
            </w:r>
          </w:p>
        </w:tc>
      </w:tr>
      <w:tr w:rsidR="00EA5CFC" w:rsidRPr="0062025F" w:rsidTr="00487634">
        <w:tc>
          <w:tcPr>
            <w:tcW w:w="2581" w:type="dxa"/>
          </w:tcPr>
          <w:p w:rsidR="00EA5CFC" w:rsidRPr="0062025F" w:rsidRDefault="00EA5CFC" w:rsidP="00C336BA">
            <w:pPr>
              <w:keepNext/>
              <w:jc w:val="left"/>
              <w:rPr>
                <w:rFonts w:ascii="Arial Narrow" w:eastAsia="Times New Roman" w:hAnsi="Arial Narrow" w:cs="Arial"/>
                <w:sz w:val="20"/>
                <w:szCs w:val="20"/>
                <w:lang w:val="en-AU"/>
              </w:rPr>
            </w:pPr>
            <w:r w:rsidRPr="0062025F">
              <w:rPr>
                <w:rFonts w:ascii="Arial Narrow" w:eastAsia="Times New Roman" w:hAnsi="Arial Narrow" w:cs="Arial"/>
                <w:sz w:val="20"/>
                <w:szCs w:val="20"/>
                <w:lang w:val="en-AU"/>
              </w:rPr>
              <w:t>Infection</w:t>
            </w:r>
          </w:p>
        </w:tc>
        <w:tc>
          <w:tcPr>
            <w:tcW w:w="1701" w:type="dxa"/>
            <w:vAlign w:val="center"/>
          </w:tcPr>
          <w:p w:rsidR="00EA5CFC" w:rsidRPr="0062025F" w:rsidRDefault="00EA5CFC" w:rsidP="00C336BA">
            <w:pPr>
              <w:keepNext/>
              <w:jc w:val="center"/>
              <w:rPr>
                <w:rFonts w:ascii="Arial Narrow" w:eastAsia="Times New Roman" w:hAnsi="Arial Narrow" w:cs="Arial"/>
                <w:sz w:val="20"/>
                <w:szCs w:val="20"/>
                <w:lang w:val="en-AU"/>
              </w:rPr>
            </w:pPr>
            <w:r w:rsidRPr="0062025F">
              <w:rPr>
                <w:rFonts w:ascii="Arial Narrow" w:eastAsia="Times New Roman" w:hAnsi="Arial Narrow" w:cs="Arial"/>
                <w:sz w:val="20"/>
                <w:szCs w:val="20"/>
                <w:lang w:val="en-AU"/>
              </w:rPr>
              <w:t>48 (6.0%)</w:t>
            </w:r>
          </w:p>
        </w:tc>
        <w:tc>
          <w:tcPr>
            <w:tcW w:w="1417" w:type="dxa"/>
            <w:vAlign w:val="center"/>
          </w:tcPr>
          <w:p w:rsidR="00EA5CFC" w:rsidRPr="0062025F" w:rsidRDefault="00EA5CFC" w:rsidP="00C336BA">
            <w:pPr>
              <w:keepNext/>
              <w:jc w:val="center"/>
              <w:rPr>
                <w:rFonts w:ascii="Arial Narrow" w:eastAsia="Times New Roman" w:hAnsi="Arial Narrow" w:cs="Arial"/>
                <w:sz w:val="20"/>
                <w:szCs w:val="20"/>
                <w:lang w:val="en-AU"/>
              </w:rPr>
            </w:pPr>
            <w:r w:rsidRPr="0062025F">
              <w:rPr>
                <w:rFonts w:ascii="Arial Narrow" w:eastAsia="Times New Roman" w:hAnsi="Arial Narrow" w:cs="Arial"/>
                <w:sz w:val="20"/>
                <w:szCs w:val="20"/>
                <w:lang w:val="en-AU"/>
              </w:rPr>
              <w:t>9 (2.3%)</w:t>
            </w:r>
          </w:p>
        </w:tc>
        <w:tc>
          <w:tcPr>
            <w:tcW w:w="1690" w:type="dxa"/>
            <w:vAlign w:val="center"/>
          </w:tcPr>
          <w:p w:rsidR="00EA5CFC" w:rsidRPr="0062025F" w:rsidRDefault="00EA5CFC" w:rsidP="00C336BA">
            <w:pPr>
              <w:keepNext/>
              <w:jc w:val="center"/>
              <w:rPr>
                <w:rFonts w:ascii="Arial Narrow" w:eastAsia="Times New Roman" w:hAnsi="Arial Narrow" w:cs="Arial"/>
                <w:b/>
                <w:sz w:val="20"/>
                <w:szCs w:val="20"/>
                <w:lang w:val="en-AU"/>
              </w:rPr>
            </w:pPr>
            <w:r w:rsidRPr="0062025F">
              <w:rPr>
                <w:rFonts w:ascii="Arial Narrow" w:eastAsia="Times New Roman" w:hAnsi="Arial Narrow" w:cs="Arial"/>
                <w:b/>
                <w:sz w:val="20"/>
                <w:szCs w:val="20"/>
                <w:lang w:val="en-AU"/>
              </w:rPr>
              <w:t>0.04 (0.02, 0.06)</w:t>
            </w:r>
          </w:p>
        </w:tc>
        <w:tc>
          <w:tcPr>
            <w:tcW w:w="1683" w:type="dxa"/>
            <w:vAlign w:val="center"/>
          </w:tcPr>
          <w:p w:rsidR="00EA5CFC" w:rsidRPr="0062025F" w:rsidRDefault="00EA5CFC" w:rsidP="00C336BA">
            <w:pPr>
              <w:keepNext/>
              <w:jc w:val="center"/>
              <w:rPr>
                <w:rFonts w:ascii="Arial Narrow" w:eastAsia="Times New Roman" w:hAnsi="Arial Narrow" w:cs="Arial"/>
                <w:b/>
                <w:sz w:val="20"/>
                <w:szCs w:val="20"/>
                <w:lang w:val="en-AU"/>
              </w:rPr>
            </w:pPr>
            <w:r w:rsidRPr="0062025F">
              <w:rPr>
                <w:rFonts w:ascii="Arial Narrow" w:eastAsia="Times New Roman" w:hAnsi="Arial Narrow" w:cs="Arial"/>
                <w:b/>
                <w:sz w:val="20"/>
                <w:szCs w:val="20"/>
                <w:lang w:val="en-AU"/>
              </w:rPr>
              <w:t>2.4 (1.31, 5.33)</w:t>
            </w:r>
          </w:p>
        </w:tc>
      </w:tr>
    </w:tbl>
    <w:p w:rsidR="00EA5CFC" w:rsidRDefault="00EA5CFC" w:rsidP="00EA5CFC">
      <w:pPr>
        <w:pStyle w:val="TableFooter"/>
      </w:pPr>
      <w:r w:rsidRPr="0062025F">
        <w:t>RD=risk difference; RR=relative risk; bold=statistically significant</w:t>
      </w:r>
    </w:p>
    <w:p w:rsidR="00EA5CFC" w:rsidRDefault="00EA5CFC" w:rsidP="00EA5CFC">
      <w:pPr>
        <w:pStyle w:val="TableFooter"/>
      </w:pPr>
      <w:r>
        <w:t>Source:  Table 2.49, p176 and Table 2.56, p185 of the submission.</w:t>
      </w:r>
    </w:p>
    <w:p w:rsidR="00EA5CFC" w:rsidRDefault="00EA5CFC" w:rsidP="00CB20A7">
      <w:pPr>
        <w:pStyle w:val="TableFooter"/>
      </w:pPr>
    </w:p>
    <w:p w:rsidR="00EA5CFC" w:rsidRDefault="00484E40" w:rsidP="007A132D">
      <w:pPr>
        <w:pStyle w:val="ListParagraph"/>
        <w:numPr>
          <w:ilvl w:val="1"/>
          <w:numId w:val="3"/>
        </w:numPr>
      </w:pPr>
      <w:r>
        <w:t xml:space="preserve">The submission concluded that in general the AEs observed with </w:t>
      </w:r>
      <w:proofErr w:type="spellStart"/>
      <w:r>
        <w:t>apalutamide</w:t>
      </w:r>
      <w:proofErr w:type="spellEnd"/>
      <w:r>
        <w:t xml:space="preserve"> were manageable, most commonly with dose reduction or dose interruption, and few AEs resulted in permanent treatment discontinuation.</w:t>
      </w:r>
    </w:p>
    <w:p w:rsidR="00811C27" w:rsidRPr="0062025F" w:rsidRDefault="00ED3699" w:rsidP="00811C27">
      <w:pPr>
        <w:pStyle w:val="ListParagraph"/>
        <w:numPr>
          <w:ilvl w:val="1"/>
          <w:numId w:val="3"/>
        </w:numPr>
      </w:pPr>
      <w:r w:rsidRPr="00A44512">
        <w:t>The economic evaluation included hospitalisation costs and emergency room visits for AEs which would indicate that at least a proportion of the AEs require substantial intervention for their management.</w:t>
      </w:r>
      <w:r w:rsidR="0040470A" w:rsidRPr="00A44512">
        <w:t xml:space="preserve"> In addition, given the limited duration of treatment with </w:t>
      </w:r>
      <w:proofErr w:type="spellStart"/>
      <w:r w:rsidR="0040470A" w:rsidRPr="00A44512">
        <w:t>apalutamide</w:t>
      </w:r>
      <w:proofErr w:type="spellEnd"/>
      <w:r w:rsidR="0040470A" w:rsidRPr="00A44512">
        <w:t xml:space="preserve"> (approximately 17 months) as noted by the TGA evaluator</w:t>
      </w:r>
      <w:r w:rsidR="0040470A" w:rsidRPr="0062025F">
        <w:t xml:space="preserve">, </w:t>
      </w:r>
      <w:r w:rsidR="00303E2B" w:rsidRPr="0062025F">
        <w:t>there are insufficient data to enable an assessment of long term safety.</w:t>
      </w:r>
      <w:r w:rsidR="00811C27" w:rsidRPr="0062025F">
        <w:t xml:space="preserve"> In particular, the TGA noted the need for further cardiac data to assess a possible increased risk</w:t>
      </w:r>
      <w:r w:rsidR="00B53475" w:rsidRPr="0062025F">
        <w:t xml:space="preserve"> </w:t>
      </w:r>
      <w:r w:rsidR="008E5B92" w:rsidRPr="0062025F">
        <w:t xml:space="preserve">of </w:t>
      </w:r>
      <w:r w:rsidR="00AB3C0C" w:rsidRPr="0062025F">
        <w:t xml:space="preserve">ischaemic heart disease and cardiac failure with </w:t>
      </w:r>
      <w:proofErr w:type="spellStart"/>
      <w:r w:rsidR="00AB3C0C" w:rsidRPr="0062025F">
        <w:t>apalutamide</w:t>
      </w:r>
      <w:proofErr w:type="spellEnd"/>
      <w:r w:rsidR="00B53475" w:rsidRPr="0062025F">
        <w:t xml:space="preserve">. </w:t>
      </w:r>
    </w:p>
    <w:p w:rsidR="008B7510" w:rsidRDefault="008B7510">
      <w:pPr>
        <w:jc w:val="left"/>
      </w:pPr>
      <w:r>
        <w:br w:type="page"/>
      </w:r>
    </w:p>
    <w:p w:rsidR="007F1017" w:rsidRPr="00C9624D" w:rsidRDefault="007F1017" w:rsidP="00FD3E23">
      <w:pPr>
        <w:pStyle w:val="Heading2"/>
      </w:pPr>
      <w:bookmarkStart w:id="10" w:name="_Toc522226932"/>
      <w:r w:rsidRPr="00C9624D">
        <w:lastRenderedPageBreak/>
        <w:t>Benefits/harms</w:t>
      </w:r>
      <w:bookmarkEnd w:id="10"/>
    </w:p>
    <w:p w:rsidR="00162913" w:rsidRDefault="00AA1989" w:rsidP="004B1CB4">
      <w:pPr>
        <w:pStyle w:val="ListParagraph"/>
        <w:numPr>
          <w:ilvl w:val="1"/>
          <w:numId w:val="3"/>
        </w:numPr>
      </w:pPr>
      <w:r w:rsidRPr="00B50DB8">
        <w:t>A summary of the comparative benefits</w:t>
      </w:r>
      <w:r w:rsidR="00D9200D">
        <w:t xml:space="preserve"> and harms</w:t>
      </w:r>
      <w:r w:rsidRPr="00B50DB8">
        <w:t xml:space="preserve"> for </w:t>
      </w:r>
      <w:proofErr w:type="spellStart"/>
      <w:r w:rsidR="00D9200D">
        <w:t>apalutamide</w:t>
      </w:r>
      <w:proofErr w:type="spellEnd"/>
      <w:r w:rsidR="00D9200D">
        <w:t xml:space="preserve"> </w:t>
      </w:r>
      <w:r w:rsidRPr="00B50DB8">
        <w:t xml:space="preserve">versus </w:t>
      </w:r>
      <w:r>
        <w:t>placebo</w:t>
      </w:r>
      <w:r w:rsidRPr="00B50DB8">
        <w:t xml:space="preserve"> is presented in the table below.</w:t>
      </w:r>
      <w:r w:rsidR="00410708" w:rsidRPr="00B50DB8">
        <w:t xml:space="preserve"> </w:t>
      </w:r>
    </w:p>
    <w:p w:rsidR="00B62715" w:rsidRDefault="00B62715" w:rsidP="007F4A61">
      <w:pPr>
        <w:rPr>
          <w:rStyle w:val="CommentReference"/>
        </w:rPr>
      </w:pPr>
      <w:r w:rsidRPr="00A578DC">
        <w:rPr>
          <w:rStyle w:val="CommentReference"/>
        </w:rPr>
        <w:t xml:space="preserve">Table </w:t>
      </w:r>
      <w:r w:rsidR="005E3073">
        <w:rPr>
          <w:rStyle w:val="CommentReference"/>
        </w:rPr>
        <w:t>7</w:t>
      </w:r>
      <w:r w:rsidRPr="00A578DC">
        <w:rPr>
          <w:rStyle w:val="CommentReference"/>
        </w:rPr>
        <w:t xml:space="preserve">: Summary of comparative benefits and harms for </w:t>
      </w:r>
      <w:proofErr w:type="spellStart"/>
      <w:r w:rsidR="00D9200D">
        <w:rPr>
          <w:rStyle w:val="CommentReference"/>
        </w:rPr>
        <w:t>apalutamide</w:t>
      </w:r>
      <w:proofErr w:type="spellEnd"/>
      <w:r w:rsidR="00D9200D">
        <w:rPr>
          <w:rStyle w:val="CommentReference"/>
        </w:rPr>
        <w:t xml:space="preserve"> and placebo</w:t>
      </w:r>
    </w:p>
    <w:tbl>
      <w:tblPr>
        <w:tblStyle w:val="TableGrid"/>
        <w:tblW w:w="4995" w:type="pct"/>
        <w:tblInd w:w="28" w:type="dxa"/>
        <w:tblLayout w:type="fixed"/>
        <w:tblCellMar>
          <w:left w:w="28" w:type="dxa"/>
          <w:right w:w="28" w:type="dxa"/>
        </w:tblCellMar>
        <w:tblLook w:val="04A0" w:firstRow="1" w:lastRow="0" w:firstColumn="1" w:lastColumn="0" w:noHBand="0" w:noVBand="1"/>
        <w:tblCaption w:val="Summary of comparative benefits and harms for apalutamide and placebo"/>
      </w:tblPr>
      <w:tblGrid>
        <w:gridCol w:w="1765"/>
        <w:gridCol w:w="6"/>
        <w:gridCol w:w="672"/>
        <w:gridCol w:w="513"/>
        <w:gridCol w:w="921"/>
        <w:gridCol w:w="65"/>
        <w:gridCol w:w="1407"/>
        <w:gridCol w:w="117"/>
        <w:gridCol w:w="984"/>
        <w:gridCol w:w="713"/>
        <w:gridCol w:w="333"/>
        <w:gridCol w:w="1512"/>
      </w:tblGrid>
      <w:tr w:rsidR="00D9200D" w:rsidRPr="003841F1" w:rsidTr="0018680D">
        <w:trPr>
          <w:cantSplit/>
          <w:trHeight w:val="150"/>
          <w:tblHeader/>
        </w:trPr>
        <w:tc>
          <w:tcPr>
            <w:tcW w:w="5000" w:type="pct"/>
            <w:gridSpan w:val="12"/>
            <w:shd w:val="clear" w:color="auto" w:fill="auto"/>
            <w:vAlign w:val="center"/>
          </w:tcPr>
          <w:p w:rsidR="00D9200D" w:rsidRPr="003841F1" w:rsidRDefault="00D9200D" w:rsidP="00C17418">
            <w:pPr>
              <w:pStyle w:val="TableText1"/>
              <w:keepNext w:val="0"/>
              <w:widowControl w:val="0"/>
              <w:spacing w:before="0" w:after="0"/>
              <w:rPr>
                <w:b/>
                <w:u w:val="single"/>
              </w:rPr>
            </w:pPr>
            <w:r w:rsidRPr="003841F1">
              <w:rPr>
                <w:b/>
                <w:u w:val="single"/>
              </w:rPr>
              <w:t>Benefits</w:t>
            </w:r>
          </w:p>
        </w:tc>
      </w:tr>
      <w:tr w:rsidR="00D9200D" w:rsidRPr="00FF370D" w:rsidTr="009F1B32">
        <w:tc>
          <w:tcPr>
            <w:tcW w:w="5000" w:type="pct"/>
            <w:gridSpan w:val="12"/>
            <w:shd w:val="clear" w:color="auto" w:fill="auto"/>
            <w:vAlign w:val="center"/>
          </w:tcPr>
          <w:p w:rsidR="00D9200D" w:rsidRPr="00FF370D" w:rsidRDefault="00D9200D" w:rsidP="00C17418">
            <w:pPr>
              <w:pStyle w:val="TableText1"/>
              <w:keepNext w:val="0"/>
              <w:widowControl w:val="0"/>
              <w:spacing w:before="0" w:after="0"/>
              <w:rPr>
                <w:b/>
              </w:rPr>
            </w:pPr>
            <w:r>
              <w:rPr>
                <w:b/>
              </w:rPr>
              <w:t>Metastasis</w:t>
            </w:r>
            <w:r w:rsidRPr="00FF370D">
              <w:rPr>
                <w:b/>
              </w:rPr>
              <w:t xml:space="preserve">-free </w:t>
            </w:r>
            <w:proofErr w:type="spellStart"/>
            <w:r w:rsidRPr="00FF370D">
              <w:rPr>
                <w:b/>
              </w:rPr>
              <w:t>survival</w:t>
            </w:r>
            <w:r w:rsidR="00794219" w:rsidRPr="00794219">
              <w:rPr>
                <w:b/>
                <w:vertAlign w:val="superscript"/>
              </w:rPr>
              <w:t>a</w:t>
            </w:r>
            <w:proofErr w:type="spellEnd"/>
          </w:p>
        </w:tc>
      </w:tr>
      <w:tr w:rsidR="00D9200D" w:rsidRPr="00FF370D" w:rsidTr="00965C86">
        <w:tc>
          <w:tcPr>
            <w:tcW w:w="1356" w:type="pct"/>
            <w:gridSpan w:val="3"/>
            <w:shd w:val="clear" w:color="auto" w:fill="auto"/>
            <w:vAlign w:val="center"/>
          </w:tcPr>
          <w:p w:rsidR="00D9200D" w:rsidRPr="00FF370D" w:rsidRDefault="00D9200D" w:rsidP="00C17418">
            <w:pPr>
              <w:pStyle w:val="TableText1"/>
              <w:keepNext w:val="0"/>
              <w:widowControl w:val="0"/>
              <w:spacing w:before="0" w:after="0"/>
              <w:rPr>
                <w:b/>
              </w:rPr>
            </w:pPr>
            <w:r>
              <w:rPr>
                <w:b/>
              </w:rPr>
              <w:t>SPARTAN</w:t>
            </w:r>
          </w:p>
        </w:tc>
        <w:tc>
          <w:tcPr>
            <w:tcW w:w="796" w:type="pct"/>
            <w:gridSpan w:val="2"/>
            <w:shd w:val="clear" w:color="auto" w:fill="auto"/>
            <w:vAlign w:val="center"/>
          </w:tcPr>
          <w:p w:rsidR="00D9200D" w:rsidRPr="00FF370D" w:rsidRDefault="00D9200D" w:rsidP="00C17418">
            <w:pPr>
              <w:pStyle w:val="TableText1"/>
              <w:keepNext w:val="0"/>
              <w:widowControl w:val="0"/>
              <w:spacing w:before="0" w:after="0"/>
              <w:jc w:val="center"/>
              <w:rPr>
                <w:b/>
              </w:rPr>
            </w:pPr>
            <w:proofErr w:type="spellStart"/>
            <w:r>
              <w:rPr>
                <w:b/>
              </w:rPr>
              <w:t>Apalutamide</w:t>
            </w:r>
            <w:proofErr w:type="spellEnd"/>
          </w:p>
        </w:tc>
        <w:tc>
          <w:tcPr>
            <w:tcW w:w="882" w:type="pct"/>
            <w:gridSpan w:val="3"/>
            <w:shd w:val="clear" w:color="auto" w:fill="auto"/>
            <w:vAlign w:val="center"/>
          </w:tcPr>
          <w:p w:rsidR="00D9200D" w:rsidRPr="00FF370D" w:rsidRDefault="00D9200D" w:rsidP="00C17418">
            <w:pPr>
              <w:pStyle w:val="TableText1"/>
              <w:keepNext w:val="0"/>
              <w:widowControl w:val="0"/>
              <w:spacing w:before="0" w:after="0"/>
              <w:jc w:val="center"/>
              <w:rPr>
                <w:b/>
              </w:rPr>
            </w:pPr>
            <w:r>
              <w:rPr>
                <w:b/>
              </w:rPr>
              <w:t>Placebo</w:t>
            </w:r>
          </w:p>
        </w:tc>
        <w:tc>
          <w:tcPr>
            <w:tcW w:w="942" w:type="pct"/>
            <w:gridSpan w:val="2"/>
            <w:shd w:val="clear" w:color="auto" w:fill="auto"/>
            <w:vAlign w:val="center"/>
          </w:tcPr>
          <w:p w:rsidR="00D9200D" w:rsidRPr="00FF370D" w:rsidRDefault="00D9200D" w:rsidP="00C17418">
            <w:pPr>
              <w:pStyle w:val="TableText1"/>
              <w:keepNext w:val="0"/>
              <w:widowControl w:val="0"/>
              <w:spacing w:before="0" w:after="0"/>
              <w:jc w:val="center"/>
              <w:rPr>
                <w:b/>
              </w:rPr>
            </w:pPr>
            <w:r w:rsidRPr="00FF370D">
              <w:rPr>
                <w:b/>
              </w:rPr>
              <w:t>Absolute difference</w:t>
            </w:r>
          </w:p>
        </w:tc>
        <w:tc>
          <w:tcPr>
            <w:tcW w:w="1024" w:type="pct"/>
            <w:gridSpan w:val="2"/>
            <w:shd w:val="clear" w:color="auto" w:fill="auto"/>
            <w:vAlign w:val="center"/>
          </w:tcPr>
          <w:p w:rsidR="00D9200D" w:rsidRPr="00FF370D" w:rsidRDefault="00D9200D" w:rsidP="00C17418">
            <w:pPr>
              <w:pStyle w:val="TableText1"/>
              <w:keepNext w:val="0"/>
              <w:widowControl w:val="0"/>
              <w:spacing w:before="0" w:after="0"/>
              <w:jc w:val="center"/>
              <w:rPr>
                <w:b/>
              </w:rPr>
            </w:pPr>
            <w:r w:rsidRPr="00FF370D">
              <w:rPr>
                <w:b/>
              </w:rPr>
              <w:t>HR (95% CI)</w:t>
            </w:r>
          </w:p>
        </w:tc>
      </w:tr>
      <w:tr w:rsidR="003450F0" w:rsidRPr="00FF370D" w:rsidTr="003450F0">
        <w:tc>
          <w:tcPr>
            <w:tcW w:w="1356" w:type="pct"/>
            <w:gridSpan w:val="3"/>
            <w:shd w:val="clear" w:color="auto" w:fill="auto"/>
            <w:vAlign w:val="center"/>
          </w:tcPr>
          <w:p w:rsidR="003450F0" w:rsidRPr="00FF370D" w:rsidDel="003450F0" w:rsidRDefault="003450F0" w:rsidP="00C17418">
            <w:pPr>
              <w:pStyle w:val="TableText1"/>
              <w:keepNext w:val="0"/>
              <w:widowControl w:val="0"/>
              <w:spacing w:before="0" w:after="0"/>
            </w:pPr>
            <w:r>
              <w:t>12 month event-free rate</w:t>
            </w:r>
          </w:p>
        </w:tc>
        <w:tc>
          <w:tcPr>
            <w:tcW w:w="796" w:type="pct"/>
            <w:gridSpan w:val="2"/>
            <w:shd w:val="clear" w:color="auto" w:fill="auto"/>
            <w:vAlign w:val="center"/>
          </w:tcPr>
          <w:p w:rsidR="003450F0" w:rsidRPr="0062025F" w:rsidDel="003450F0" w:rsidRDefault="003450F0" w:rsidP="00C17418">
            <w:pPr>
              <w:pStyle w:val="TableText1"/>
              <w:keepNext w:val="0"/>
              <w:widowControl w:val="0"/>
              <w:spacing w:before="0" w:after="0"/>
              <w:jc w:val="center"/>
              <w:rPr>
                <w:szCs w:val="20"/>
              </w:rPr>
            </w:pPr>
            <w:r w:rsidRPr="0062025F">
              <w:rPr>
                <w:szCs w:val="20"/>
              </w:rPr>
              <w:t>86.1%</w:t>
            </w:r>
          </w:p>
        </w:tc>
        <w:tc>
          <w:tcPr>
            <w:tcW w:w="882" w:type="pct"/>
            <w:gridSpan w:val="3"/>
            <w:shd w:val="clear" w:color="auto" w:fill="auto"/>
            <w:vAlign w:val="center"/>
          </w:tcPr>
          <w:p w:rsidR="003450F0" w:rsidRPr="0062025F" w:rsidDel="003450F0" w:rsidRDefault="003450F0" w:rsidP="00C17418">
            <w:pPr>
              <w:pStyle w:val="TableText1"/>
              <w:keepNext w:val="0"/>
              <w:widowControl w:val="0"/>
              <w:spacing w:before="0" w:after="0"/>
              <w:jc w:val="center"/>
              <w:rPr>
                <w:szCs w:val="20"/>
              </w:rPr>
            </w:pPr>
            <w:r w:rsidRPr="0062025F">
              <w:rPr>
                <w:szCs w:val="20"/>
              </w:rPr>
              <w:t>57.9%</w:t>
            </w:r>
          </w:p>
        </w:tc>
        <w:tc>
          <w:tcPr>
            <w:tcW w:w="942" w:type="pct"/>
            <w:gridSpan w:val="2"/>
            <w:shd w:val="clear" w:color="auto" w:fill="auto"/>
            <w:vAlign w:val="center"/>
          </w:tcPr>
          <w:p w:rsidR="003450F0" w:rsidRPr="0062025F" w:rsidDel="003450F0" w:rsidRDefault="003450F0" w:rsidP="00C17418">
            <w:pPr>
              <w:pStyle w:val="TableText1"/>
              <w:keepNext w:val="0"/>
              <w:widowControl w:val="0"/>
              <w:spacing w:before="0" w:after="0"/>
              <w:jc w:val="center"/>
            </w:pPr>
            <w:r w:rsidRPr="0062025F">
              <w:t>28.2%</w:t>
            </w:r>
          </w:p>
        </w:tc>
        <w:tc>
          <w:tcPr>
            <w:tcW w:w="1024" w:type="pct"/>
            <w:gridSpan w:val="2"/>
            <w:tcBorders>
              <w:bottom w:val="nil"/>
            </w:tcBorders>
            <w:shd w:val="clear" w:color="auto" w:fill="auto"/>
            <w:vAlign w:val="center"/>
          </w:tcPr>
          <w:p w:rsidR="003450F0" w:rsidRPr="0062025F" w:rsidRDefault="003450F0" w:rsidP="00C17418">
            <w:pPr>
              <w:pStyle w:val="TableText1"/>
              <w:keepNext w:val="0"/>
              <w:widowControl w:val="0"/>
              <w:spacing w:before="0" w:after="0"/>
              <w:jc w:val="center"/>
              <w:rPr>
                <w:b/>
              </w:rPr>
            </w:pPr>
          </w:p>
        </w:tc>
      </w:tr>
      <w:tr w:rsidR="003450F0" w:rsidRPr="00FF370D" w:rsidTr="003450F0">
        <w:tc>
          <w:tcPr>
            <w:tcW w:w="1356" w:type="pct"/>
            <w:gridSpan w:val="3"/>
            <w:shd w:val="clear" w:color="auto" w:fill="auto"/>
            <w:vAlign w:val="center"/>
          </w:tcPr>
          <w:p w:rsidR="003450F0" w:rsidRPr="00FF370D" w:rsidDel="003450F0" w:rsidRDefault="003450F0" w:rsidP="00C17418">
            <w:pPr>
              <w:pStyle w:val="TableText1"/>
              <w:keepNext w:val="0"/>
              <w:widowControl w:val="0"/>
              <w:spacing w:before="0" w:after="0"/>
            </w:pPr>
            <w:r>
              <w:t>24 month event-free rate</w:t>
            </w:r>
          </w:p>
        </w:tc>
        <w:tc>
          <w:tcPr>
            <w:tcW w:w="796" w:type="pct"/>
            <w:gridSpan w:val="2"/>
            <w:shd w:val="clear" w:color="auto" w:fill="auto"/>
            <w:vAlign w:val="center"/>
          </w:tcPr>
          <w:p w:rsidR="003450F0" w:rsidRPr="0062025F" w:rsidDel="003450F0" w:rsidRDefault="003450F0" w:rsidP="00C17418">
            <w:pPr>
              <w:pStyle w:val="TableText1"/>
              <w:keepNext w:val="0"/>
              <w:widowControl w:val="0"/>
              <w:spacing w:before="0" w:after="0"/>
              <w:jc w:val="center"/>
              <w:rPr>
                <w:szCs w:val="20"/>
              </w:rPr>
            </w:pPr>
            <w:r w:rsidRPr="0062025F">
              <w:rPr>
                <w:szCs w:val="20"/>
              </w:rPr>
              <w:t>68.2%</w:t>
            </w:r>
          </w:p>
        </w:tc>
        <w:tc>
          <w:tcPr>
            <w:tcW w:w="882" w:type="pct"/>
            <w:gridSpan w:val="3"/>
            <w:shd w:val="clear" w:color="auto" w:fill="auto"/>
            <w:vAlign w:val="center"/>
          </w:tcPr>
          <w:p w:rsidR="003450F0" w:rsidRPr="0062025F" w:rsidDel="003450F0" w:rsidRDefault="003450F0" w:rsidP="00C17418">
            <w:pPr>
              <w:pStyle w:val="TableText1"/>
              <w:keepNext w:val="0"/>
              <w:widowControl w:val="0"/>
              <w:spacing w:before="0" w:after="0"/>
              <w:jc w:val="center"/>
              <w:rPr>
                <w:szCs w:val="20"/>
              </w:rPr>
            </w:pPr>
            <w:r w:rsidRPr="0062025F">
              <w:rPr>
                <w:szCs w:val="20"/>
              </w:rPr>
              <w:t>29.6%</w:t>
            </w:r>
          </w:p>
        </w:tc>
        <w:tc>
          <w:tcPr>
            <w:tcW w:w="942" w:type="pct"/>
            <w:gridSpan w:val="2"/>
            <w:shd w:val="clear" w:color="auto" w:fill="auto"/>
            <w:vAlign w:val="center"/>
          </w:tcPr>
          <w:p w:rsidR="003450F0" w:rsidRPr="0062025F" w:rsidDel="003450F0" w:rsidRDefault="003450F0" w:rsidP="00C17418">
            <w:pPr>
              <w:pStyle w:val="TableText1"/>
              <w:keepNext w:val="0"/>
              <w:widowControl w:val="0"/>
              <w:spacing w:before="0" w:after="0"/>
              <w:jc w:val="center"/>
            </w:pPr>
            <w:r w:rsidRPr="0062025F">
              <w:t>38.6%</w:t>
            </w:r>
          </w:p>
        </w:tc>
        <w:tc>
          <w:tcPr>
            <w:tcW w:w="1024" w:type="pct"/>
            <w:gridSpan w:val="2"/>
            <w:tcBorders>
              <w:top w:val="nil"/>
              <w:bottom w:val="nil"/>
            </w:tcBorders>
            <w:shd w:val="clear" w:color="auto" w:fill="auto"/>
            <w:vAlign w:val="center"/>
          </w:tcPr>
          <w:p w:rsidR="003450F0" w:rsidRPr="0062025F" w:rsidRDefault="003450F0" w:rsidP="00C17418">
            <w:pPr>
              <w:pStyle w:val="TableText1"/>
              <w:keepNext w:val="0"/>
              <w:widowControl w:val="0"/>
              <w:spacing w:before="0" w:after="0"/>
              <w:jc w:val="center"/>
              <w:rPr>
                <w:b/>
              </w:rPr>
            </w:pPr>
          </w:p>
        </w:tc>
      </w:tr>
      <w:tr w:rsidR="003450F0" w:rsidRPr="00FF370D" w:rsidTr="003450F0">
        <w:tc>
          <w:tcPr>
            <w:tcW w:w="1356" w:type="pct"/>
            <w:gridSpan w:val="3"/>
            <w:shd w:val="clear" w:color="auto" w:fill="auto"/>
            <w:vAlign w:val="center"/>
          </w:tcPr>
          <w:p w:rsidR="003450F0" w:rsidRPr="00FF370D" w:rsidDel="003450F0" w:rsidRDefault="003450F0" w:rsidP="00C17418">
            <w:pPr>
              <w:pStyle w:val="TableText1"/>
              <w:keepNext w:val="0"/>
              <w:widowControl w:val="0"/>
              <w:spacing w:before="0" w:after="0"/>
            </w:pPr>
            <w:r>
              <w:t>36 month event-free rate</w:t>
            </w:r>
          </w:p>
        </w:tc>
        <w:tc>
          <w:tcPr>
            <w:tcW w:w="796" w:type="pct"/>
            <w:gridSpan w:val="2"/>
            <w:shd w:val="clear" w:color="auto" w:fill="auto"/>
            <w:vAlign w:val="center"/>
          </w:tcPr>
          <w:p w:rsidR="003450F0" w:rsidRPr="0062025F" w:rsidDel="003450F0" w:rsidRDefault="003450F0" w:rsidP="00C17418">
            <w:pPr>
              <w:pStyle w:val="TableText1"/>
              <w:keepNext w:val="0"/>
              <w:widowControl w:val="0"/>
              <w:spacing w:before="0" w:after="0"/>
              <w:jc w:val="center"/>
              <w:rPr>
                <w:szCs w:val="20"/>
              </w:rPr>
            </w:pPr>
            <w:r w:rsidRPr="0062025F">
              <w:rPr>
                <w:szCs w:val="20"/>
              </w:rPr>
              <w:t>51.4%</w:t>
            </w:r>
          </w:p>
        </w:tc>
        <w:tc>
          <w:tcPr>
            <w:tcW w:w="882" w:type="pct"/>
            <w:gridSpan w:val="3"/>
            <w:shd w:val="clear" w:color="auto" w:fill="auto"/>
            <w:vAlign w:val="center"/>
          </w:tcPr>
          <w:p w:rsidR="003450F0" w:rsidRPr="0062025F" w:rsidDel="003450F0" w:rsidRDefault="003450F0" w:rsidP="00C17418">
            <w:pPr>
              <w:pStyle w:val="TableText1"/>
              <w:keepNext w:val="0"/>
              <w:widowControl w:val="0"/>
              <w:spacing w:before="0" w:after="0"/>
              <w:jc w:val="center"/>
              <w:rPr>
                <w:szCs w:val="20"/>
              </w:rPr>
            </w:pPr>
            <w:r w:rsidRPr="0062025F">
              <w:rPr>
                <w:szCs w:val="20"/>
              </w:rPr>
              <w:t>16.5%</w:t>
            </w:r>
          </w:p>
        </w:tc>
        <w:tc>
          <w:tcPr>
            <w:tcW w:w="942" w:type="pct"/>
            <w:gridSpan w:val="2"/>
            <w:shd w:val="clear" w:color="auto" w:fill="auto"/>
            <w:vAlign w:val="center"/>
          </w:tcPr>
          <w:p w:rsidR="003450F0" w:rsidRPr="0062025F" w:rsidDel="003450F0" w:rsidRDefault="003450F0" w:rsidP="00C17418">
            <w:pPr>
              <w:pStyle w:val="TableText1"/>
              <w:keepNext w:val="0"/>
              <w:widowControl w:val="0"/>
              <w:spacing w:before="0" w:after="0"/>
              <w:jc w:val="center"/>
            </w:pPr>
            <w:r w:rsidRPr="0062025F">
              <w:t>34.5%</w:t>
            </w:r>
          </w:p>
        </w:tc>
        <w:tc>
          <w:tcPr>
            <w:tcW w:w="1024" w:type="pct"/>
            <w:gridSpan w:val="2"/>
            <w:tcBorders>
              <w:top w:val="nil"/>
              <w:bottom w:val="nil"/>
            </w:tcBorders>
            <w:shd w:val="clear" w:color="auto" w:fill="auto"/>
            <w:vAlign w:val="center"/>
          </w:tcPr>
          <w:p w:rsidR="003450F0" w:rsidRPr="0062025F" w:rsidRDefault="003450F0" w:rsidP="00C17418">
            <w:pPr>
              <w:pStyle w:val="TableText1"/>
              <w:keepNext w:val="0"/>
              <w:widowControl w:val="0"/>
              <w:spacing w:before="0" w:after="0"/>
              <w:jc w:val="center"/>
              <w:rPr>
                <w:b/>
              </w:rPr>
            </w:pPr>
          </w:p>
        </w:tc>
      </w:tr>
      <w:tr w:rsidR="00D9200D" w:rsidRPr="00FF370D" w:rsidTr="003450F0">
        <w:tc>
          <w:tcPr>
            <w:tcW w:w="1356" w:type="pct"/>
            <w:gridSpan w:val="3"/>
            <w:shd w:val="clear" w:color="auto" w:fill="auto"/>
            <w:vAlign w:val="center"/>
          </w:tcPr>
          <w:p w:rsidR="00D9200D" w:rsidRPr="00FF370D" w:rsidRDefault="00D9200D" w:rsidP="00C17418">
            <w:pPr>
              <w:pStyle w:val="TableText1"/>
              <w:keepNext w:val="0"/>
              <w:widowControl w:val="0"/>
              <w:spacing w:before="0" w:after="0"/>
            </w:pPr>
            <w:r w:rsidRPr="00FF370D">
              <w:t>Median m</w:t>
            </w:r>
            <w:r w:rsidR="00C27766">
              <w:t>on</w:t>
            </w:r>
            <w:r w:rsidRPr="00FF370D">
              <w:t xml:space="preserve">ths </w:t>
            </w:r>
            <w:r>
              <w:t>M</w:t>
            </w:r>
            <w:r w:rsidRPr="00FF370D">
              <w:t>FS</w:t>
            </w:r>
          </w:p>
        </w:tc>
        <w:tc>
          <w:tcPr>
            <w:tcW w:w="796" w:type="pct"/>
            <w:gridSpan w:val="2"/>
            <w:shd w:val="clear" w:color="auto" w:fill="auto"/>
            <w:vAlign w:val="center"/>
          </w:tcPr>
          <w:p w:rsidR="00D9200D" w:rsidRPr="0062025F" w:rsidRDefault="00E76546" w:rsidP="00C17418">
            <w:pPr>
              <w:pStyle w:val="TableText1"/>
              <w:keepNext w:val="0"/>
              <w:widowControl w:val="0"/>
              <w:spacing w:before="0" w:after="0"/>
              <w:jc w:val="center"/>
              <w:rPr>
                <w:b/>
              </w:rPr>
            </w:pPr>
            <w:r w:rsidRPr="0062025F">
              <w:t xml:space="preserve">40.51 </w:t>
            </w:r>
          </w:p>
        </w:tc>
        <w:tc>
          <w:tcPr>
            <w:tcW w:w="882" w:type="pct"/>
            <w:gridSpan w:val="3"/>
            <w:shd w:val="clear" w:color="auto" w:fill="auto"/>
            <w:vAlign w:val="center"/>
          </w:tcPr>
          <w:p w:rsidR="00D9200D" w:rsidRPr="0062025F" w:rsidRDefault="00E76546" w:rsidP="00C17418">
            <w:pPr>
              <w:pStyle w:val="TableText1"/>
              <w:keepNext w:val="0"/>
              <w:widowControl w:val="0"/>
              <w:spacing w:before="0" w:after="0"/>
              <w:jc w:val="center"/>
              <w:rPr>
                <w:b/>
              </w:rPr>
            </w:pPr>
            <w:r w:rsidRPr="0062025F">
              <w:t xml:space="preserve">15.70 </w:t>
            </w:r>
          </w:p>
        </w:tc>
        <w:tc>
          <w:tcPr>
            <w:tcW w:w="942" w:type="pct"/>
            <w:gridSpan w:val="2"/>
            <w:shd w:val="clear" w:color="auto" w:fill="auto"/>
            <w:vAlign w:val="center"/>
          </w:tcPr>
          <w:p w:rsidR="00D9200D" w:rsidRPr="0062025F" w:rsidRDefault="00E76546" w:rsidP="00C17418">
            <w:pPr>
              <w:pStyle w:val="TableText1"/>
              <w:keepNext w:val="0"/>
              <w:widowControl w:val="0"/>
              <w:spacing w:before="0" w:after="0"/>
              <w:jc w:val="center"/>
              <w:rPr>
                <w:b/>
              </w:rPr>
            </w:pPr>
            <w:r w:rsidRPr="0062025F">
              <w:t>24.81</w:t>
            </w:r>
          </w:p>
        </w:tc>
        <w:tc>
          <w:tcPr>
            <w:tcW w:w="1024" w:type="pct"/>
            <w:gridSpan w:val="2"/>
            <w:tcBorders>
              <w:top w:val="nil"/>
            </w:tcBorders>
            <w:shd w:val="clear" w:color="auto" w:fill="auto"/>
            <w:vAlign w:val="center"/>
          </w:tcPr>
          <w:p w:rsidR="00D9200D" w:rsidRPr="0062025F" w:rsidRDefault="008D0588" w:rsidP="00C17418">
            <w:pPr>
              <w:pStyle w:val="TableText1"/>
              <w:keepNext w:val="0"/>
              <w:widowControl w:val="0"/>
              <w:spacing w:before="0" w:after="0"/>
              <w:jc w:val="center"/>
            </w:pPr>
            <w:r w:rsidRPr="0062025F">
              <w:rPr>
                <w:b/>
                <w:szCs w:val="20"/>
              </w:rPr>
              <w:t>0.297 (0.244,0.362)</w:t>
            </w:r>
          </w:p>
        </w:tc>
      </w:tr>
      <w:tr w:rsidR="00D9200D" w:rsidRPr="00FF370D" w:rsidTr="009F1B32">
        <w:tc>
          <w:tcPr>
            <w:tcW w:w="5000" w:type="pct"/>
            <w:gridSpan w:val="12"/>
            <w:tcBorders>
              <w:bottom w:val="single" w:sz="4" w:space="0" w:color="auto"/>
            </w:tcBorders>
            <w:shd w:val="clear" w:color="auto" w:fill="auto"/>
            <w:vAlign w:val="center"/>
          </w:tcPr>
          <w:p w:rsidR="00D9200D" w:rsidRPr="0062025F" w:rsidRDefault="00D9200D" w:rsidP="00C17418">
            <w:pPr>
              <w:pStyle w:val="TableText1"/>
              <w:keepNext w:val="0"/>
              <w:widowControl w:val="0"/>
              <w:spacing w:before="0" w:after="0"/>
              <w:rPr>
                <w:b/>
              </w:rPr>
            </w:pPr>
            <w:r w:rsidRPr="0062025F">
              <w:rPr>
                <w:b/>
              </w:rPr>
              <w:t xml:space="preserve">Overall </w:t>
            </w:r>
            <w:proofErr w:type="spellStart"/>
            <w:r w:rsidRPr="0062025F">
              <w:rPr>
                <w:b/>
              </w:rPr>
              <w:t>survival</w:t>
            </w:r>
            <w:r w:rsidR="00794219" w:rsidRPr="0062025F">
              <w:rPr>
                <w:b/>
                <w:vertAlign w:val="superscript"/>
              </w:rPr>
              <w:t>a</w:t>
            </w:r>
            <w:proofErr w:type="spellEnd"/>
          </w:p>
        </w:tc>
      </w:tr>
      <w:tr w:rsidR="003450F0" w:rsidRPr="00FF370D" w:rsidTr="003450F0">
        <w:tc>
          <w:tcPr>
            <w:tcW w:w="1356" w:type="pct"/>
            <w:gridSpan w:val="3"/>
            <w:tcBorders>
              <w:bottom w:val="single" w:sz="4" w:space="0" w:color="auto"/>
            </w:tcBorders>
            <w:shd w:val="clear" w:color="auto" w:fill="auto"/>
            <w:vAlign w:val="center"/>
          </w:tcPr>
          <w:p w:rsidR="003450F0" w:rsidRPr="00FF370D" w:rsidDel="003450F0" w:rsidRDefault="003450F0" w:rsidP="00C17418">
            <w:pPr>
              <w:pStyle w:val="TableText1"/>
              <w:keepNext w:val="0"/>
              <w:widowControl w:val="0"/>
              <w:spacing w:before="0" w:after="0"/>
            </w:pPr>
            <w:r>
              <w:t>12 month survival rate</w:t>
            </w:r>
          </w:p>
        </w:tc>
        <w:tc>
          <w:tcPr>
            <w:tcW w:w="796" w:type="pct"/>
            <w:gridSpan w:val="2"/>
            <w:tcBorders>
              <w:bottom w:val="single" w:sz="4" w:space="0" w:color="auto"/>
            </w:tcBorders>
            <w:shd w:val="clear" w:color="auto" w:fill="auto"/>
            <w:vAlign w:val="center"/>
          </w:tcPr>
          <w:p w:rsidR="003450F0" w:rsidRPr="0062025F" w:rsidDel="003450F0" w:rsidRDefault="003450F0" w:rsidP="00C17418">
            <w:pPr>
              <w:pStyle w:val="TableText1"/>
              <w:keepNext w:val="0"/>
              <w:widowControl w:val="0"/>
              <w:spacing w:before="0" w:after="0"/>
              <w:jc w:val="center"/>
              <w:rPr>
                <w:szCs w:val="20"/>
              </w:rPr>
            </w:pPr>
            <w:r w:rsidRPr="0062025F">
              <w:rPr>
                <w:szCs w:val="20"/>
              </w:rPr>
              <w:t>97.9%</w:t>
            </w:r>
          </w:p>
        </w:tc>
        <w:tc>
          <w:tcPr>
            <w:tcW w:w="882" w:type="pct"/>
            <w:gridSpan w:val="3"/>
            <w:tcBorders>
              <w:bottom w:val="single" w:sz="4" w:space="0" w:color="auto"/>
            </w:tcBorders>
            <w:shd w:val="clear" w:color="auto" w:fill="auto"/>
            <w:vAlign w:val="center"/>
          </w:tcPr>
          <w:p w:rsidR="003450F0" w:rsidRPr="0062025F" w:rsidDel="003450F0" w:rsidRDefault="003450F0" w:rsidP="00C17418">
            <w:pPr>
              <w:pStyle w:val="TableText1"/>
              <w:keepNext w:val="0"/>
              <w:widowControl w:val="0"/>
              <w:spacing w:before="0" w:after="0"/>
              <w:jc w:val="center"/>
              <w:rPr>
                <w:szCs w:val="20"/>
              </w:rPr>
            </w:pPr>
            <w:r w:rsidRPr="0062025F">
              <w:rPr>
                <w:szCs w:val="20"/>
              </w:rPr>
              <w:t>97.3%</w:t>
            </w:r>
          </w:p>
        </w:tc>
        <w:tc>
          <w:tcPr>
            <w:tcW w:w="942" w:type="pct"/>
            <w:gridSpan w:val="2"/>
            <w:tcBorders>
              <w:bottom w:val="single" w:sz="4" w:space="0" w:color="auto"/>
            </w:tcBorders>
            <w:shd w:val="clear" w:color="auto" w:fill="auto"/>
            <w:vAlign w:val="center"/>
          </w:tcPr>
          <w:p w:rsidR="003450F0" w:rsidRPr="0062025F" w:rsidDel="003450F0" w:rsidRDefault="003450F0" w:rsidP="00C17418">
            <w:pPr>
              <w:pStyle w:val="TableText1"/>
              <w:keepNext w:val="0"/>
              <w:widowControl w:val="0"/>
              <w:spacing w:before="0" w:after="0"/>
              <w:jc w:val="center"/>
            </w:pPr>
            <w:r w:rsidRPr="0062025F">
              <w:t>0.6%</w:t>
            </w:r>
          </w:p>
        </w:tc>
        <w:tc>
          <w:tcPr>
            <w:tcW w:w="1024" w:type="pct"/>
            <w:gridSpan w:val="2"/>
            <w:tcBorders>
              <w:bottom w:val="nil"/>
            </w:tcBorders>
            <w:shd w:val="clear" w:color="auto" w:fill="auto"/>
            <w:vAlign w:val="center"/>
          </w:tcPr>
          <w:p w:rsidR="003450F0" w:rsidRPr="0062025F" w:rsidRDefault="003450F0" w:rsidP="00C17418">
            <w:pPr>
              <w:pStyle w:val="TableText1"/>
              <w:keepNext w:val="0"/>
              <w:widowControl w:val="0"/>
              <w:spacing w:before="0" w:after="0"/>
              <w:jc w:val="center"/>
            </w:pPr>
          </w:p>
        </w:tc>
      </w:tr>
      <w:tr w:rsidR="003450F0" w:rsidRPr="00FF370D" w:rsidTr="003450F0">
        <w:tc>
          <w:tcPr>
            <w:tcW w:w="1356" w:type="pct"/>
            <w:gridSpan w:val="3"/>
            <w:tcBorders>
              <w:bottom w:val="single" w:sz="4" w:space="0" w:color="auto"/>
            </w:tcBorders>
            <w:shd w:val="clear" w:color="auto" w:fill="auto"/>
            <w:vAlign w:val="center"/>
          </w:tcPr>
          <w:p w:rsidR="003450F0" w:rsidRPr="00FF370D" w:rsidDel="003450F0" w:rsidRDefault="003450F0" w:rsidP="00C17418">
            <w:pPr>
              <w:pStyle w:val="TableText1"/>
              <w:keepNext w:val="0"/>
              <w:widowControl w:val="0"/>
              <w:spacing w:before="0" w:after="0"/>
            </w:pPr>
            <w:r>
              <w:t>24 month survival rate</w:t>
            </w:r>
          </w:p>
        </w:tc>
        <w:tc>
          <w:tcPr>
            <w:tcW w:w="796" w:type="pct"/>
            <w:gridSpan w:val="2"/>
            <w:tcBorders>
              <w:bottom w:val="single" w:sz="4" w:space="0" w:color="auto"/>
            </w:tcBorders>
            <w:shd w:val="clear" w:color="auto" w:fill="auto"/>
            <w:vAlign w:val="center"/>
          </w:tcPr>
          <w:p w:rsidR="003450F0" w:rsidRPr="0062025F" w:rsidDel="003450F0" w:rsidRDefault="003450F0" w:rsidP="00C17418">
            <w:pPr>
              <w:pStyle w:val="TableText1"/>
              <w:keepNext w:val="0"/>
              <w:widowControl w:val="0"/>
              <w:spacing w:before="0" w:after="0"/>
              <w:jc w:val="center"/>
              <w:rPr>
                <w:szCs w:val="20"/>
              </w:rPr>
            </w:pPr>
            <w:r w:rsidRPr="0062025F">
              <w:rPr>
                <w:szCs w:val="20"/>
              </w:rPr>
              <w:t>92.0%</w:t>
            </w:r>
          </w:p>
        </w:tc>
        <w:tc>
          <w:tcPr>
            <w:tcW w:w="882" w:type="pct"/>
            <w:gridSpan w:val="3"/>
            <w:tcBorders>
              <w:bottom w:val="single" w:sz="4" w:space="0" w:color="auto"/>
            </w:tcBorders>
            <w:shd w:val="clear" w:color="auto" w:fill="auto"/>
            <w:vAlign w:val="center"/>
          </w:tcPr>
          <w:p w:rsidR="003450F0" w:rsidRPr="0062025F" w:rsidDel="003450F0" w:rsidRDefault="003450F0" w:rsidP="00C17418">
            <w:pPr>
              <w:pStyle w:val="TableText1"/>
              <w:keepNext w:val="0"/>
              <w:widowControl w:val="0"/>
              <w:spacing w:before="0" w:after="0"/>
              <w:jc w:val="center"/>
              <w:rPr>
                <w:szCs w:val="20"/>
              </w:rPr>
            </w:pPr>
            <w:r w:rsidRPr="0062025F">
              <w:rPr>
                <w:szCs w:val="20"/>
              </w:rPr>
              <w:t>88.4%</w:t>
            </w:r>
          </w:p>
        </w:tc>
        <w:tc>
          <w:tcPr>
            <w:tcW w:w="942" w:type="pct"/>
            <w:gridSpan w:val="2"/>
            <w:tcBorders>
              <w:bottom w:val="single" w:sz="4" w:space="0" w:color="auto"/>
            </w:tcBorders>
            <w:shd w:val="clear" w:color="auto" w:fill="auto"/>
            <w:vAlign w:val="center"/>
          </w:tcPr>
          <w:p w:rsidR="003450F0" w:rsidRPr="0062025F" w:rsidDel="003450F0" w:rsidRDefault="003450F0" w:rsidP="00C17418">
            <w:pPr>
              <w:pStyle w:val="TableText1"/>
              <w:keepNext w:val="0"/>
              <w:widowControl w:val="0"/>
              <w:spacing w:before="0" w:after="0"/>
              <w:jc w:val="center"/>
            </w:pPr>
            <w:r w:rsidRPr="0062025F">
              <w:t>3.6%</w:t>
            </w:r>
          </w:p>
        </w:tc>
        <w:tc>
          <w:tcPr>
            <w:tcW w:w="1024" w:type="pct"/>
            <w:gridSpan w:val="2"/>
            <w:tcBorders>
              <w:top w:val="nil"/>
              <w:bottom w:val="nil"/>
            </w:tcBorders>
            <w:shd w:val="clear" w:color="auto" w:fill="auto"/>
            <w:vAlign w:val="center"/>
          </w:tcPr>
          <w:p w:rsidR="003450F0" w:rsidRPr="0062025F" w:rsidRDefault="003450F0" w:rsidP="00C17418">
            <w:pPr>
              <w:pStyle w:val="TableText1"/>
              <w:keepNext w:val="0"/>
              <w:widowControl w:val="0"/>
              <w:spacing w:before="0" w:after="0"/>
              <w:jc w:val="center"/>
            </w:pPr>
          </w:p>
        </w:tc>
      </w:tr>
      <w:tr w:rsidR="003450F0" w:rsidRPr="00FF370D" w:rsidTr="003450F0">
        <w:tc>
          <w:tcPr>
            <w:tcW w:w="1356" w:type="pct"/>
            <w:gridSpan w:val="3"/>
            <w:tcBorders>
              <w:bottom w:val="single" w:sz="4" w:space="0" w:color="auto"/>
            </w:tcBorders>
            <w:shd w:val="clear" w:color="auto" w:fill="auto"/>
            <w:vAlign w:val="center"/>
          </w:tcPr>
          <w:p w:rsidR="003450F0" w:rsidRPr="00FF370D" w:rsidDel="003450F0" w:rsidRDefault="003450F0" w:rsidP="00C17418">
            <w:pPr>
              <w:pStyle w:val="TableText1"/>
              <w:keepNext w:val="0"/>
              <w:widowControl w:val="0"/>
              <w:spacing w:before="0" w:after="0"/>
            </w:pPr>
            <w:r>
              <w:t>36 month survival rate</w:t>
            </w:r>
          </w:p>
        </w:tc>
        <w:tc>
          <w:tcPr>
            <w:tcW w:w="796" w:type="pct"/>
            <w:gridSpan w:val="2"/>
            <w:tcBorders>
              <w:bottom w:val="single" w:sz="4" w:space="0" w:color="auto"/>
            </w:tcBorders>
            <w:shd w:val="clear" w:color="auto" w:fill="auto"/>
            <w:vAlign w:val="center"/>
          </w:tcPr>
          <w:p w:rsidR="003450F0" w:rsidRPr="0062025F" w:rsidDel="003450F0" w:rsidRDefault="003450F0" w:rsidP="00C17418">
            <w:pPr>
              <w:pStyle w:val="TableText1"/>
              <w:keepNext w:val="0"/>
              <w:widowControl w:val="0"/>
              <w:spacing w:before="0" w:after="0"/>
              <w:jc w:val="center"/>
              <w:rPr>
                <w:szCs w:val="20"/>
              </w:rPr>
            </w:pPr>
            <w:r w:rsidRPr="0062025F">
              <w:rPr>
                <w:szCs w:val="20"/>
              </w:rPr>
              <w:t>79.4%</w:t>
            </w:r>
          </w:p>
        </w:tc>
        <w:tc>
          <w:tcPr>
            <w:tcW w:w="882" w:type="pct"/>
            <w:gridSpan w:val="3"/>
            <w:tcBorders>
              <w:bottom w:val="single" w:sz="4" w:space="0" w:color="auto"/>
            </w:tcBorders>
            <w:shd w:val="clear" w:color="auto" w:fill="auto"/>
            <w:vAlign w:val="center"/>
          </w:tcPr>
          <w:p w:rsidR="003450F0" w:rsidRPr="0062025F" w:rsidDel="003450F0" w:rsidRDefault="003450F0" w:rsidP="00C17418">
            <w:pPr>
              <w:pStyle w:val="TableText1"/>
              <w:keepNext w:val="0"/>
              <w:widowControl w:val="0"/>
              <w:spacing w:before="0" w:after="0"/>
              <w:jc w:val="center"/>
              <w:rPr>
                <w:szCs w:val="20"/>
              </w:rPr>
            </w:pPr>
            <w:r w:rsidRPr="0062025F">
              <w:rPr>
                <w:szCs w:val="20"/>
              </w:rPr>
              <w:t>75.5%</w:t>
            </w:r>
          </w:p>
        </w:tc>
        <w:tc>
          <w:tcPr>
            <w:tcW w:w="942" w:type="pct"/>
            <w:gridSpan w:val="2"/>
            <w:tcBorders>
              <w:bottom w:val="single" w:sz="4" w:space="0" w:color="auto"/>
            </w:tcBorders>
            <w:shd w:val="clear" w:color="auto" w:fill="auto"/>
            <w:vAlign w:val="center"/>
          </w:tcPr>
          <w:p w:rsidR="003450F0" w:rsidRPr="0062025F" w:rsidDel="003450F0" w:rsidRDefault="003450F0" w:rsidP="00C17418">
            <w:pPr>
              <w:pStyle w:val="TableText1"/>
              <w:keepNext w:val="0"/>
              <w:widowControl w:val="0"/>
              <w:spacing w:before="0" w:after="0"/>
              <w:jc w:val="center"/>
            </w:pPr>
            <w:r w:rsidRPr="0062025F">
              <w:t>3.9%</w:t>
            </w:r>
          </w:p>
        </w:tc>
        <w:tc>
          <w:tcPr>
            <w:tcW w:w="1024" w:type="pct"/>
            <w:gridSpan w:val="2"/>
            <w:tcBorders>
              <w:top w:val="nil"/>
              <w:bottom w:val="nil"/>
            </w:tcBorders>
            <w:shd w:val="clear" w:color="auto" w:fill="auto"/>
            <w:vAlign w:val="center"/>
          </w:tcPr>
          <w:p w:rsidR="003450F0" w:rsidRPr="0062025F" w:rsidRDefault="003450F0" w:rsidP="00C17418">
            <w:pPr>
              <w:pStyle w:val="TableText1"/>
              <w:keepNext w:val="0"/>
              <w:widowControl w:val="0"/>
              <w:spacing w:before="0" w:after="0"/>
              <w:jc w:val="center"/>
            </w:pPr>
          </w:p>
        </w:tc>
      </w:tr>
      <w:tr w:rsidR="00D9200D" w:rsidRPr="00FF370D" w:rsidTr="003450F0">
        <w:tc>
          <w:tcPr>
            <w:tcW w:w="1356" w:type="pct"/>
            <w:gridSpan w:val="3"/>
            <w:tcBorders>
              <w:top w:val="single" w:sz="4" w:space="0" w:color="auto"/>
              <w:bottom w:val="double" w:sz="4" w:space="0" w:color="auto"/>
            </w:tcBorders>
            <w:shd w:val="clear" w:color="auto" w:fill="auto"/>
            <w:vAlign w:val="center"/>
          </w:tcPr>
          <w:p w:rsidR="00D9200D" w:rsidRPr="00FF370D" w:rsidRDefault="00D9200D" w:rsidP="00C17418">
            <w:pPr>
              <w:pStyle w:val="TableText1"/>
              <w:keepNext w:val="0"/>
              <w:widowControl w:val="0"/>
              <w:spacing w:before="0" w:after="0"/>
            </w:pPr>
            <w:r w:rsidRPr="00FF370D">
              <w:t>Median m</w:t>
            </w:r>
            <w:r w:rsidR="00C27766">
              <w:t>on</w:t>
            </w:r>
            <w:r w:rsidRPr="00FF370D">
              <w:t xml:space="preserve">ths </w:t>
            </w:r>
            <w:r>
              <w:t>OS</w:t>
            </w:r>
          </w:p>
        </w:tc>
        <w:tc>
          <w:tcPr>
            <w:tcW w:w="796" w:type="pct"/>
            <w:gridSpan w:val="2"/>
            <w:tcBorders>
              <w:top w:val="single" w:sz="4" w:space="0" w:color="auto"/>
              <w:bottom w:val="double" w:sz="4" w:space="0" w:color="auto"/>
            </w:tcBorders>
            <w:shd w:val="clear" w:color="auto" w:fill="auto"/>
            <w:vAlign w:val="center"/>
          </w:tcPr>
          <w:p w:rsidR="00D9200D" w:rsidRPr="0062025F" w:rsidRDefault="00E76546" w:rsidP="00C17418">
            <w:pPr>
              <w:pStyle w:val="TableText1"/>
              <w:keepNext w:val="0"/>
              <w:widowControl w:val="0"/>
              <w:spacing w:before="0" w:after="0"/>
              <w:jc w:val="center"/>
            </w:pPr>
            <w:r w:rsidRPr="0062025F">
              <w:t>NE</w:t>
            </w:r>
          </w:p>
        </w:tc>
        <w:tc>
          <w:tcPr>
            <w:tcW w:w="882" w:type="pct"/>
            <w:gridSpan w:val="3"/>
            <w:tcBorders>
              <w:top w:val="single" w:sz="4" w:space="0" w:color="auto"/>
              <w:bottom w:val="double" w:sz="4" w:space="0" w:color="auto"/>
            </w:tcBorders>
            <w:shd w:val="clear" w:color="auto" w:fill="auto"/>
            <w:vAlign w:val="center"/>
          </w:tcPr>
          <w:p w:rsidR="00D9200D" w:rsidRPr="0062025F" w:rsidRDefault="00E76546" w:rsidP="00C17418">
            <w:pPr>
              <w:pStyle w:val="TableText1"/>
              <w:keepNext w:val="0"/>
              <w:widowControl w:val="0"/>
              <w:spacing w:before="0" w:after="0"/>
              <w:jc w:val="center"/>
            </w:pPr>
            <w:r w:rsidRPr="0062025F">
              <w:t>39.03</w:t>
            </w:r>
          </w:p>
        </w:tc>
        <w:tc>
          <w:tcPr>
            <w:tcW w:w="942" w:type="pct"/>
            <w:gridSpan w:val="2"/>
            <w:tcBorders>
              <w:top w:val="single" w:sz="4" w:space="0" w:color="auto"/>
              <w:bottom w:val="double" w:sz="4" w:space="0" w:color="auto"/>
            </w:tcBorders>
            <w:shd w:val="clear" w:color="auto" w:fill="auto"/>
            <w:vAlign w:val="center"/>
          </w:tcPr>
          <w:p w:rsidR="00D9200D" w:rsidRPr="0062025F" w:rsidRDefault="00E76546" w:rsidP="00C17418">
            <w:pPr>
              <w:pStyle w:val="TableText1"/>
              <w:keepNext w:val="0"/>
              <w:widowControl w:val="0"/>
              <w:spacing w:before="0" w:after="0"/>
              <w:jc w:val="center"/>
            </w:pPr>
            <w:r w:rsidRPr="0062025F">
              <w:t>NE</w:t>
            </w:r>
          </w:p>
        </w:tc>
        <w:tc>
          <w:tcPr>
            <w:tcW w:w="1024" w:type="pct"/>
            <w:gridSpan w:val="2"/>
            <w:tcBorders>
              <w:top w:val="nil"/>
              <w:bottom w:val="double" w:sz="4" w:space="0" w:color="auto"/>
            </w:tcBorders>
            <w:shd w:val="clear" w:color="auto" w:fill="auto"/>
            <w:vAlign w:val="center"/>
          </w:tcPr>
          <w:p w:rsidR="00D9200D" w:rsidRPr="0062025F" w:rsidRDefault="008D0588" w:rsidP="00C17418">
            <w:pPr>
              <w:pStyle w:val="TableText1"/>
              <w:keepNext w:val="0"/>
              <w:widowControl w:val="0"/>
              <w:spacing w:before="0" w:after="0"/>
              <w:jc w:val="center"/>
            </w:pPr>
            <w:r w:rsidRPr="0062025F">
              <w:rPr>
                <w:szCs w:val="20"/>
              </w:rPr>
              <w:t>0.700 (0.472,1.038)</w:t>
            </w:r>
          </w:p>
        </w:tc>
      </w:tr>
      <w:tr w:rsidR="00D9200D" w:rsidRPr="00FF370D" w:rsidTr="009F1B32">
        <w:tc>
          <w:tcPr>
            <w:tcW w:w="5000" w:type="pct"/>
            <w:gridSpan w:val="12"/>
            <w:tcBorders>
              <w:top w:val="double" w:sz="4" w:space="0" w:color="auto"/>
            </w:tcBorders>
            <w:shd w:val="clear" w:color="auto" w:fill="auto"/>
          </w:tcPr>
          <w:p w:rsidR="00D9200D" w:rsidRPr="0062025F" w:rsidRDefault="00D9200D" w:rsidP="00C17418">
            <w:pPr>
              <w:pStyle w:val="TableText1"/>
              <w:keepNext w:val="0"/>
              <w:widowControl w:val="0"/>
              <w:spacing w:before="0" w:after="0"/>
              <w:rPr>
                <w:b/>
                <w:u w:val="single"/>
              </w:rPr>
            </w:pPr>
            <w:r w:rsidRPr="0062025F">
              <w:rPr>
                <w:b/>
                <w:u w:val="single"/>
              </w:rPr>
              <w:t>Harms</w:t>
            </w:r>
          </w:p>
        </w:tc>
      </w:tr>
      <w:tr w:rsidR="00965C86" w:rsidRPr="00FF370D" w:rsidTr="00C17418">
        <w:trPr>
          <w:trHeight w:val="70"/>
        </w:trPr>
        <w:tc>
          <w:tcPr>
            <w:tcW w:w="980" w:type="pct"/>
            <w:vMerge w:val="restart"/>
            <w:shd w:val="clear" w:color="auto" w:fill="auto"/>
            <w:vAlign w:val="center"/>
          </w:tcPr>
          <w:p w:rsidR="00D9200D" w:rsidRPr="00FF370D" w:rsidRDefault="00D9200D" w:rsidP="00C17418">
            <w:pPr>
              <w:pStyle w:val="TableText1"/>
              <w:keepNext w:val="0"/>
              <w:widowControl w:val="0"/>
              <w:spacing w:before="0" w:after="0"/>
            </w:pPr>
            <w:r>
              <w:rPr>
                <w:b/>
              </w:rPr>
              <w:t>SPARTAN</w:t>
            </w:r>
          </w:p>
        </w:tc>
        <w:tc>
          <w:tcPr>
            <w:tcW w:w="661" w:type="pct"/>
            <w:gridSpan w:val="3"/>
            <w:vMerge w:val="restart"/>
            <w:shd w:val="clear" w:color="auto" w:fill="auto"/>
            <w:vAlign w:val="center"/>
          </w:tcPr>
          <w:p w:rsidR="00D9200D" w:rsidRPr="0062025F" w:rsidRDefault="00D9200D" w:rsidP="00C17418">
            <w:pPr>
              <w:pStyle w:val="TableText1"/>
              <w:keepNext w:val="0"/>
              <w:widowControl w:val="0"/>
              <w:spacing w:before="0" w:after="0"/>
              <w:jc w:val="center"/>
              <w:rPr>
                <w:b/>
              </w:rPr>
            </w:pPr>
            <w:proofErr w:type="spellStart"/>
            <w:r w:rsidRPr="0062025F">
              <w:rPr>
                <w:b/>
              </w:rPr>
              <w:t>Apalutamide</w:t>
            </w:r>
            <w:proofErr w:type="spellEnd"/>
            <w:r w:rsidR="009F1B32" w:rsidRPr="0062025F">
              <w:rPr>
                <w:b/>
              </w:rPr>
              <w:t xml:space="preserve"> N=803</w:t>
            </w:r>
          </w:p>
        </w:tc>
        <w:tc>
          <w:tcPr>
            <w:tcW w:w="547" w:type="pct"/>
            <w:gridSpan w:val="2"/>
            <w:vMerge w:val="restart"/>
            <w:shd w:val="clear" w:color="auto" w:fill="auto"/>
            <w:vAlign w:val="center"/>
          </w:tcPr>
          <w:p w:rsidR="009F1B32" w:rsidRPr="0062025F" w:rsidRDefault="00D9200D" w:rsidP="00C17418">
            <w:pPr>
              <w:pStyle w:val="TableText1"/>
              <w:keepNext w:val="0"/>
              <w:widowControl w:val="0"/>
              <w:spacing w:before="0" w:after="0"/>
              <w:jc w:val="center"/>
              <w:rPr>
                <w:b/>
              </w:rPr>
            </w:pPr>
            <w:r w:rsidRPr="0062025F">
              <w:rPr>
                <w:b/>
              </w:rPr>
              <w:t>Placebo</w:t>
            </w:r>
            <w:r w:rsidR="009F1B32" w:rsidRPr="0062025F">
              <w:rPr>
                <w:b/>
              </w:rPr>
              <w:t xml:space="preserve"> </w:t>
            </w:r>
          </w:p>
          <w:p w:rsidR="00D9200D" w:rsidRPr="0062025F" w:rsidRDefault="009F1B32" w:rsidP="00C17418">
            <w:pPr>
              <w:pStyle w:val="TableText1"/>
              <w:keepNext w:val="0"/>
              <w:widowControl w:val="0"/>
              <w:spacing w:before="0" w:after="0"/>
              <w:jc w:val="center"/>
              <w:rPr>
                <w:b/>
              </w:rPr>
            </w:pPr>
            <w:r w:rsidRPr="0062025F">
              <w:rPr>
                <w:b/>
              </w:rPr>
              <w:t>N=398</w:t>
            </w:r>
          </w:p>
        </w:tc>
        <w:tc>
          <w:tcPr>
            <w:tcW w:w="781" w:type="pct"/>
            <w:vMerge w:val="restart"/>
            <w:shd w:val="clear" w:color="auto" w:fill="auto"/>
            <w:vAlign w:val="center"/>
          </w:tcPr>
          <w:p w:rsidR="00D9200D" w:rsidRPr="0062025F" w:rsidRDefault="00D9200D" w:rsidP="00C17418">
            <w:pPr>
              <w:pStyle w:val="TableText1"/>
              <w:keepNext w:val="0"/>
              <w:widowControl w:val="0"/>
              <w:spacing w:before="0" w:after="0"/>
              <w:jc w:val="center"/>
              <w:rPr>
                <w:b/>
              </w:rPr>
            </w:pPr>
            <w:r w:rsidRPr="0062025F">
              <w:rPr>
                <w:b/>
              </w:rPr>
              <w:t>RR</w:t>
            </w:r>
          </w:p>
          <w:p w:rsidR="00D9200D" w:rsidRPr="0062025F" w:rsidRDefault="00D9200D" w:rsidP="00C17418">
            <w:pPr>
              <w:pStyle w:val="TableText1"/>
              <w:keepNext w:val="0"/>
              <w:widowControl w:val="0"/>
              <w:spacing w:before="0" w:after="0"/>
              <w:jc w:val="center"/>
              <w:rPr>
                <w:b/>
              </w:rPr>
            </w:pPr>
            <w:r w:rsidRPr="0062025F">
              <w:rPr>
                <w:b/>
              </w:rPr>
              <w:t>(95% CI)</w:t>
            </w:r>
          </w:p>
        </w:tc>
        <w:tc>
          <w:tcPr>
            <w:tcW w:w="1192" w:type="pct"/>
            <w:gridSpan w:val="4"/>
            <w:shd w:val="clear" w:color="auto" w:fill="auto"/>
            <w:vAlign w:val="center"/>
          </w:tcPr>
          <w:p w:rsidR="00D9200D" w:rsidRPr="0062025F" w:rsidRDefault="00D9200D" w:rsidP="00C17418">
            <w:pPr>
              <w:pStyle w:val="TableText1"/>
              <w:keepNext w:val="0"/>
              <w:widowControl w:val="0"/>
              <w:spacing w:before="0" w:after="0"/>
              <w:jc w:val="center"/>
              <w:rPr>
                <w:b/>
              </w:rPr>
            </w:pPr>
            <w:r w:rsidRPr="0062025F">
              <w:rPr>
                <w:b/>
              </w:rPr>
              <w:t xml:space="preserve">Events/100 </w:t>
            </w:r>
            <w:proofErr w:type="spellStart"/>
            <w:r w:rsidRPr="0062025F">
              <w:rPr>
                <w:b/>
              </w:rPr>
              <w:t>patients</w:t>
            </w:r>
            <w:r w:rsidR="00C17418" w:rsidRPr="0062025F">
              <w:rPr>
                <w:b/>
                <w:vertAlign w:val="superscript"/>
              </w:rPr>
              <w:t>a</w:t>
            </w:r>
            <w:proofErr w:type="spellEnd"/>
          </w:p>
        </w:tc>
        <w:tc>
          <w:tcPr>
            <w:tcW w:w="839" w:type="pct"/>
            <w:vMerge w:val="restart"/>
            <w:shd w:val="clear" w:color="auto" w:fill="auto"/>
            <w:vAlign w:val="center"/>
          </w:tcPr>
          <w:p w:rsidR="00D9200D" w:rsidRPr="0062025F" w:rsidRDefault="00D9200D" w:rsidP="00C17418">
            <w:pPr>
              <w:pStyle w:val="TableText1"/>
              <w:keepNext w:val="0"/>
              <w:widowControl w:val="0"/>
              <w:spacing w:before="0" w:after="0"/>
              <w:jc w:val="center"/>
              <w:rPr>
                <w:b/>
              </w:rPr>
            </w:pPr>
            <w:r w:rsidRPr="0062025F">
              <w:rPr>
                <w:b/>
              </w:rPr>
              <w:t>RD</w:t>
            </w:r>
          </w:p>
          <w:p w:rsidR="00D9200D" w:rsidRPr="0062025F" w:rsidRDefault="00D9200D" w:rsidP="00C17418">
            <w:pPr>
              <w:pStyle w:val="TableText1"/>
              <w:keepNext w:val="0"/>
              <w:widowControl w:val="0"/>
              <w:spacing w:before="0" w:after="0"/>
              <w:jc w:val="center"/>
              <w:rPr>
                <w:b/>
              </w:rPr>
            </w:pPr>
            <w:r w:rsidRPr="0062025F">
              <w:rPr>
                <w:b/>
              </w:rPr>
              <w:t>(95% CI)</w:t>
            </w:r>
          </w:p>
        </w:tc>
      </w:tr>
      <w:tr w:rsidR="00965C86" w:rsidRPr="00FF370D" w:rsidTr="00C17418">
        <w:trPr>
          <w:trHeight w:val="390"/>
        </w:trPr>
        <w:tc>
          <w:tcPr>
            <w:tcW w:w="980" w:type="pct"/>
            <w:vMerge/>
            <w:shd w:val="clear" w:color="auto" w:fill="auto"/>
            <w:vAlign w:val="center"/>
          </w:tcPr>
          <w:p w:rsidR="00D9200D" w:rsidRPr="00FF370D" w:rsidRDefault="00D9200D" w:rsidP="00C17418">
            <w:pPr>
              <w:pStyle w:val="TableText1"/>
              <w:keepNext w:val="0"/>
              <w:widowControl w:val="0"/>
              <w:spacing w:before="0" w:after="0"/>
            </w:pPr>
          </w:p>
        </w:tc>
        <w:tc>
          <w:tcPr>
            <w:tcW w:w="661" w:type="pct"/>
            <w:gridSpan w:val="3"/>
            <w:vMerge/>
            <w:shd w:val="clear" w:color="auto" w:fill="auto"/>
            <w:vAlign w:val="center"/>
          </w:tcPr>
          <w:p w:rsidR="00D9200D" w:rsidRPr="0062025F" w:rsidRDefault="00D9200D" w:rsidP="00C17418">
            <w:pPr>
              <w:pStyle w:val="TableText1"/>
              <w:keepNext w:val="0"/>
              <w:widowControl w:val="0"/>
              <w:spacing w:before="0" w:after="0"/>
            </w:pPr>
          </w:p>
        </w:tc>
        <w:tc>
          <w:tcPr>
            <w:tcW w:w="547" w:type="pct"/>
            <w:gridSpan w:val="2"/>
            <w:vMerge/>
            <w:shd w:val="clear" w:color="auto" w:fill="auto"/>
            <w:vAlign w:val="center"/>
          </w:tcPr>
          <w:p w:rsidR="00D9200D" w:rsidRPr="0062025F" w:rsidRDefault="00D9200D" w:rsidP="00C17418">
            <w:pPr>
              <w:pStyle w:val="TableText1"/>
              <w:keepNext w:val="0"/>
              <w:widowControl w:val="0"/>
              <w:spacing w:before="0" w:after="0"/>
            </w:pPr>
          </w:p>
        </w:tc>
        <w:tc>
          <w:tcPr>
            <w:tcW w:w="781" w:type="pct"/>
            <w:vMerge/>
            <w:shd w:val="clear" w:color="auto" w:fill="auto"/>
            <w:vAlign w:val="center"/>
          </w:tcPr>
          <w:p w:rsidR="00D9200D" w:rsidRPr="0062025F" w:rsidRDefault="00D9200D" w:rsidP="00C17418">
            <w:pPr>
              <w:pStyle w:val="TableText1"/>
              <w:keepNext w:val="0"/>
              <w:widowControl w:val="0"/>
              <w:spacing w:before="0" w:after="0"/>
            </w:pPr>
          </w:p>
        </w:tc>
        <w:tc>
          <w:tcPr>
            <w:tcW w:w="611" w:type="pct"/>
            <w:gridSpan w:val="2"/>
            <w:shd w:val="clear" w:color="auto" w:fill="auto"/>
            <w:vAlign w:val="center"/>
          </w:tcPr>
          <w:p w:rsidR="00D9200D" w:rsidRPr="0062025F" w:rsidRDefault="00D9200D" w:rsidP="00C17418">
            <w:pPr>
              <w:pStyle w:val="TableText1"/>
              <w:keepNext w:val="0"/>
              <w:widowControl w:val="0"/>
              <w:spacing w:before="0" w:after="0"/>
              <w:jc w:val="center"/>
              <w:rPr>
                <w:b/>
              </w:rPr>
            </w:pPr>
            <w:proofErr w:type="spellStart"/>
            <w:r w:rsidRPr="0062025F">
              <w:rPr>
                <w:b/>
              </w:rPr>
              <w:t>Apalutamide</w:t>
            </w:r>
            <w:proofErr w:type="spellEnd"/>
          </w:p>
        </w:tc>
        <w:tc>
          <w:tcPr>
            <w:tcW w:w="581" w:type="pct"/>
            <w:gridSpan w:val="2"/>
            <w:shd w:val="clear" w:color="auto" w:fill="auto"/>
            <w:vAlign w:val="center"/>
          </w:tcPr>
          <w:p w:rsidR="00D9200D" w:rsidRPr="0062025F" w:rsidRDefault="00D9200D" w:rsidP="00C17418">
            <w:pPr>
              <w:pStyle w:val="TableText1"/>
              <w:keepNext w:val="0"/>
              <w:widowControl w:val="0"/>
              <w:spacing w:before="0" w:after="0"/>
              <w:jc w:val="center"/>
              <w:rPr>
                <w:b/>
              </w:rPr>
            </w:pPr>
            <w:r w:rsidRPr="0062025F">
              <w:rPr>
                <w:b/>
              </w:rPr>
              <w:t>Placebo</w:t>
            </w:r>
          </w:p>
        </w:tc>
        <w:tc>
          <w:tcPr>
            <w:tcW w:w="839" w:type="pct"/>
            <w:vMerge/>
            <w:shd w:val="clear" w:color="auto" w:fill="auto"/>
            <w:vAlign w:val="center"/>
          </w:tcPr>
          <w:p w:rsidR="00D9200D" w:rsidRPr="0062025F" w:rsidRDefault="00D9200D" w:rsidP="00C17418">
            <w:pPr>
              <w:pStyle w:val="TableText1"/>
              <w:keepNext w:val="0"/>
              <w:widowControl w:val="0"/>
              <w:spacing w:before="0" w:after="0"/>
            </w:pPr>
          </w:p>
        </w:tc>
      </w:tr>
      <w:tr w:rsidR="00965C86" w:rsidRPr="00FF370D" w:rsidTr="003450F0">
        <w:tc>
          <w:tcPr>
            <w:tcW w:w="983" w:type="pct"/>
            <w:gridSpan w:val="2"/>
            <w:shd w:val="clear" w:color="auto" w:fill="auto"/>
            <w:vAlign w:val="center"/>
          </w:tcPr>
          <w:p w:rsidR="009F1B32" w:rsidRPr="00FF370D" w:rsidRDefault="009F1B32" w:rsidP="00C17418">
            <w:pPr>
              <w:pStyle w:val="TableText1"/>
              <w:keepNext w:val="0"/>
              <w:widowControl w:val="0"/>
              <w:spacing w:before="0" w:after="0"/>
            </w:pPr>
            <w:r>
              <w:rPr>
                <w:rFonts w:cs="Arial"/>
                <w:szCs w:val="20"/>
              </w:rPr>
              <w:t>Skin rash</w:t>
            </w:r>
          </w:p>
        </w:tc>
        <w:tc>
          <w:tcPr>
            <w:tcW w:w="658" w:type="pct"/>
            <w:gridSpan w:val="2"/>
            <w:shd w:val="clear" w:color="auto" w:fill="auto"/>
            <w:vAlign w:val="center"/>
          </w:tcPr>
          <w:p w:rsidR="009F1B32" w:rsidRPr="0062025F" w:rsidRDefault="009F1B32" w:rsidP="00C17418">
            <w:pPr>
              <w:pStyle w:val="TableText1"/>
              <w:keepNext w:val="0"/>
              <w:widowControl w:val="0"/>
              <w:spacing w:before="0" w:after="0"/>
              <w:jc w:val="center"/>
              <w:rPr>
                <w:szCs w:val="20"/>
              </w:rPr>
            </w:pPr>
            <w:r w:rsidRPr="0062025F">
              <w:rPr>
                <w:rFonts w:eastAsia="Times New Roman" w:cs="Arial"/>
                <w:szCs w:val="20"/>
              </w:rPr>
              <w:t>191 (23.8%)</w:t>
            </w:r>
          </w:p>
        </w:tc>
        <w:tc>
          <w:tcPr>
            <w:tcW w:w="547" w:type="pct"/>
            <w:gridSpan w:val="2"/>
            <w:shd w:val="clear" w:color="auto" w:fill="auto"/>
            <w:vAlign w:val="center"/>
          </w:tcPr>
          <w:p w:rsidR="009F1B32" w:rsidRPr="0062025F" w:rsidRDefault="009F1B32" w:rsidP="00C17418">
            <w:pPr>
              <w:pStyle w:val="TableText1"/>
              <w:keepNext w:val="0"/>
              <w:widowControl w:val="0"/>
              <w:spacing w:before="0" w:after="0"/>
              <w:jc w:val="center"/>
              <w:rPr>
                <w:szCs w:val="20"/>
              </w:rPr>
            </w:pPr>
            <w:r w:rsidRPr="0062025F">
              <w:rPr>
                <w:rFonts w:eastAsia="Times New Roman" w:cs="Arial"/>
                <w:szCs w:val="20"/>
              </w:rPr>
              <w:t>22 (5.5%)</w:t>
            </w:r>
          </w:p>
        </w:tc>
        <w:tc>
          <w:tcPr>
            <w:tcW w:w="781" w:type="pct"/>
            <w:shd w:val="clear" w:color="auto" w:fill="auto"/>
            <w:vAlign w:val="center"/>
          </w:tcPr>
          <w:p w:rsidR="009F1B32" w:rsidRPr="0062025F" w:rsidRDefault="009F1B32" w:rsidP="00C17418">
            <w:pPr>
              <w:pStyle w:val="TableText1"/>
              <w:keepNext w:val="0"/>
              <w:widowControl w:val="0"/>
              <w:spacing w:before="0" w:after="0"/>
              <w:jc w:val="center"/>
              <w:rPr>
                <w:szCs w:val="20"/>
              </w:rPr>
            </w:pPr>
            <w:r w:rsidRPr="0062025F">
              <w:rPr>
                <w:rFonts w:eastAsia="Times New Roman" w:cs="Arial"/>
                <w:b/>
                <w:szCs w:val="20"/>
              </w:rPr>
              <w:t>4.30 (2.81, 6.58)</w:t>
            </w:r>
          </w:p>
        </w:tc>
        <w:tc>
          <w:tcPr>
            <w:tcW w:w="611" w:type="pct"/>
            <w:gridSpan w:val="2"/>
            <w:shd w:val="clear" w:color="auto" w:fill="auto"/>
            <w:vAlign w:val="center"/>
          </w:tcPr>
          <w:p w:rsidR="009F1B32" w:rsidRPr="0062025F" w:rsidRDefault="009F1B32" w:rsidP="00C17418">
            <w:pPr>
              <w:pStyle w:val="TableText1"/>
              <w:keepNext w:val="0"/>
              <w:widowControl w:val="0"/>
              <w:spacing w:before="0" w:after="0"/>
              <w:jc w:val="center"/>
            </w:pPr>
            <w:r w:rsidRPr="0062025F">
              <w:t>24</w:t>
            </w:r>
          </w:p>
        </w:tc>
        <w:tc>
          <w:tcPr>
            <w:tcW w:w="581" w:type="pct"/>
            <w:gridSpan w:val="2"/>
            <w:shd w:val="clear" w:color="auto" w:fill="auto"/>
            <w:vAlign w:val="center"/>
          </w:tcPr>
          <w:p w:rsidR="009F1B32" w:rsidRPr="0062025F" w:rsidRDefault="009F1B32" w:rsidP="00C17418">
            <w:pPr>
              <w:pStyle w:val="TableText1"/>
              <w:keepNext w:val="0"/>
              <w:widowControl w:val="0"/>
              <w:spacing w:before="0" w:after="0"/>
              <w:jc w:val="center"/>
            </w:pPr>
            <w:r w:rsidRPr="0062025F">
              <w:t>6</w:t>
            </w:r>
          </w:p>
        </w:tc>
        <w:tc>
          <w:tcPr>
            <w:tcW w:w="839" w:type="pct"/>
            <w:shd w:val="clear" w:color="auto" w:fill="auto"/>
            <w:vAlign w:val="center"/>
          </w:tcPr>
          <w:p w:rsidR="009F1B32" w:rsidRPr="0062025F" w:rsidRDefault="009F1B32" w:rsidP="00C17418">
            <w:pPr>
              <w:pStyle w:val="TableText1"/>
              <w:keepNext w:val="0"/>
              <w:widowControl w:val="0"/>
              <w:spacing w:before="0" w:after="0"/>
              <w:jc w:val="center"/>
              <w:rPr>
                <w:rFonts w:eastAsia="Times New Roman" w:cs="Arial"/>
                <w:b/>
                <w:szCs w:val="20"/>
              </w:rPr>
            </w:pPr>
            <w:r w:rsidRPr="0062025F">
              <w:rPr>
                <w:rFonts w:eastAsia="Times New Roman" w:cs="Arial"/>
                <w:b/>
                <w:szCs w:val="20"/>
              </w:rPr>
              <w:t>0.18 (0.15, 0.22)</w:t>
            </w:r>
          </w:p>
        </w:tc>
      </w:tr>
      <w:tr w:rsidR="00965C86" w:rsidRPr="00FF370D" w:rsidTr="003450F0">
        <w:tc>
          <w:tcPr>
            <w:tcW w:w="983" w:type="pct"/>
            <w:gridSpan w:val="2"/>
            <w:shd w:val="clear" w:color="auto" w:fill="auto"/>
            <w:vAlign w:val="center"/>
          </w:tcPr>
          <w:p w:rsidR="009F1B32" w:rsidRPr="00FF370D" w:rsidRDefault="009F1B32" w:rsidP="00C17418">
            <w:pPr>
              <w:pStyle w:val="TableText1"/>
              <w:keepNext w:val="0"/>
              <w:widowControl w:val="0"/>
              <w:spacing w:before="0" w:after="0"/>
            </w:pPr>
            <w:r>
              <w:rPr>
                <w:rFonts w:cs="Arial"/>
                <w:szCs w:val="20"/>
              </w:rPr>
              <w:t>Fall</w:t>
            </w:r>
          </w:p>
        </w:tc>
        <w:tc>
          <w:tcPr>
            <w:tcW w:w="658" w:type="pct"/>
            <w:gridSpan w:val="2"/>
            <w:shd w:val="clear" w:color="auto" w:fill="auto"/>
            <w:vAlign w:val="center"/>
          </w:tcPr>
          <w:p w:rsidR="009F1B32" w:rsidRPr="0062025F" w:rsidRDefault="009F1B32" w:rsidP="00C17418">
            <w:pPr>
              <w:pStyle w:val="TableText1"/>
              <w:keepNext w:val="0"/>
              <w:widowControl w:val="0"/>
              <w:spacing w:before="0" w:after="0"/>
              <w:jc w:val="center"/>
              <w:rPr>
                <w:szCs w:val="20"/>
              </w:rPr>
            </w:pPr>
            <w:r w:rsidRPr="0062025F">
              <w:rPr>
                <w:rFonts w:eastAsia="Times New Roman" w:cs="Arial"/>
                <w:szCs w:val="20"/>
              </w:rPr>
              <w:t>125 (15.6%)</w:t>
            </w:r>
          </w:p>
        </w:tc>
        <w:tc>
          <w:tcPr>
            <w:tcW w:w="547" w:type="pct"/>
            <w:gridSpan w:val="2"/>
            <w:shd w:val="clear" w:color="auto" w:fill="auto"/>
            <w:vAlign w:val="center"/>
          </w:tcPr>
          <w:p w:rsidR="009F1B32" w:rsidRPr="0062025F" w:rsidRDefault="009F1B32" w:rsidP="00C17418">
            <w:pPr>
              <w:pStyle w:val="TableText1"/>
              <w:keepNext w:val="0"/>
              <w:widowControl w:val="0"/>
              <w:spacing w:before="0" w:after="0"/>
              <w:jc w:val="center"/>
              <w:rPr>
                <w:szCs w:val="20"/>
              </w:rPr>
            </w:pPr>
            <w:r w:rsidRPr="0062025F">
              <w:rPr>
                <w:rFonts w:eastAsia="Times New Roman" w:cs="Arial"/>
                <w:szCs w:val="20"/>
              </w:rPr>
              <w:t>36 (9.0%)</w:t>
            </w:r>
          </w:p>
        </w:tc>
        <w:tc>
          <w:tcPr>
            <w:tcW w:w="781" w:type="pct"/>
            <w:shd w:val="clear" w:color="auto" w:fill="auto"/>
            <w:vAlign w:val="center"/>
          </w:tcPr>
          <w:p w:rsidR="009F1B32" w:rsidRPr="0062025F" w:rsidRDefault="009F1B32" w:rsidP="00C17418">
            <w:pPr>
              <w:pStyle w:val="TableText1"/>
              <w:keepNext w:val="0"/>
              <w:widowControl w:val="0"/>
              <w:spacing w:before="0" w:after="0"/>
              <w:jc w:val="center"/>
              <w:rPr>
                <w:szCs w:val="20"/>
              </w:rPr>
            </w:pPr>
            <w:r w:rsidRPr="0062025F">
              <w:rPr>
                <w:rFonts w:eastAsia="Times New Roman" w:cs="Arial"/>
                <w:b/>
                <w:szCs w:val="20"/>
              </w:rPr>
              <w:t>1.72 (1.21, 2.44)</w:t>
            </w:r>
          </w:p>
        </w:tc>
        <w:tc>
          <w:tcPr>
            <w:tcW w:w="611" w:type="pct"/>
            <w:gridSpan w:val="2"/>
            <w:shd w:val="clear" w:color="auto" w:fill="auto"/>
            <w:vAlign w:val="center"/>
          </w:tcPr>
          <w:p w:rsidR="009F1B32" w:rsidRPr="0062025F" w:rsidRDefault="009F1B32" w:rsidP="00C17418">
            <w:pPr>
              <w:pStyle w:val="TableText1"/>
              <w:keepNext w:val="0"/>
              <w:widowControl w:val="0"/>
              <w:spacing w:before="0" w:after="0"/>
              <w:jc w:val="center"/>
            </w:pPr>
            <w:r w:rsidRPr="0062025F">
              <w:t>16</w:t>
            </w:r>
          </w:p>
        </w:tc>
        <w:tc>
          <w:tcPr>
            <w:tcW w:w="581" w:type="pct"/>
            <w:gridSpan w:val="2"/>
            <w:shd w:val="clear" w:color="auto" w:fill="auto"/>
            <w:vAlign w:val="center"/>
          </w:tcPr>
          <w:p w:rsidR="009F1B32" w:rsidRPr="0062025F" w:rsidRDefault="009F1B32" w:rsidP="00C17418">
            <w:pPr>
              <w:pStyle w:val="TableText1"/>
              <w:keepNext w:val="0"/>
              <w:widowControl w:val="0"/>
              <w:spacing w:before="0" w:after="0"/>
              <w:jc w:val="center"/>
            </w:pPr>
            <w:r w:rsidRPr="0062025F">
              <w:t>9</w:t>
            </w:r>
          </w:p>
        </w:tc>
        <w:tc>
          <w:tcPr>
            <w:tcW w:w="839" w:type="pct"/>
            <w:shd w:val="clear" w:color="auto" w:fill="auto"/>
            <w:vAlign w:val="center"/>
          </w:tcPr>
          <w:p w:rsidR="009F1B32" w:rsidRPr="0062025F" w:rsidRDefault="009F1B32" w:rsidP="00C17418">
            <w:pPr>
              <w:pStyle w:val="TableText1"/>
              <w:keepNext w:val="0"/>
              <w:widowControl w:val="0"/>
              <w:spacing w:before="0" w:after="0"/>
              <w:jc w:val="center"/>
              <w:rPr>
                <w:rFonts w:eastAsia="Times New Roman" w:cs="Arial"/>
                <w:b/>
                <w:szCs w:val="20"/>
              </w:rPr>
            </w:pPr>
            <w:r w:rsidRPr="0062025F">
              <w:rPr>
                <w:rFonts w:eastAsia="Times New Roman" w:cs="Arial"/>
                <w:b/>
                <w:szCs w:val="20"/>
              </w:rPr>
              <w:t>0.07 (0.03, 0.10)</w:t>
            </w:r>
          </w:p>
        </w:tc>
      </w:tr>
      <w:tr w:rsidR="00965C86" w:rsidRPr="00FF370D" w:rsidTr="003450F0">
        <w:tc>
          <w:tcPr>
            <w:tcW w:w="983" w:type="pct"/>
            <w:gridSpan w:val="2"/>
            <w:shd w:val="clear" w:color="auto" w:fill="auto"/>
            <w:vAlign w:val="center"/>
          </w:tcPr>
          <w:p w:rsidR="009F1B32" w:rsidRPr="00FF370D" w:rsidRDefault="009F1B32" w:rsidP="00C17418">
            <w:pPr>
              <w:pStyle w:val="TableText1"/>
              <w:keepNext w:val="0"/>
              <w:widowControl w:val="0"/>
              <w:spacing w:before="0" w:after="0"/>
            </w:pPr>
            <w:r>
              <w:rPr>
                <w:rFonts w:eastAsia="Times New Roman" w:cs="Arial"/>
                <w:szCs w:val="20"/>
              </w:rPr>
              <w:t>Fracture</w:t>
            </w:r>
          </w:p>
        </w:tc>
        <w:tc>
          <w:tcPr>
            <w:tcW w:w="658" w:type="pct"/>
            <w:gridSpan w:val="2"/>
            <w:shd w:val="clear" w:color="auto" w:fill="auto"/>
            <w:vAlign w:val="center"/>
          </w:tcPr>
          <w:p w:rsidR="009F1B32" w:rsidRPr="0062025F" w:rsidRDefault="009F1B32" w:rsidP="00C17418">
            <w:pPr>
              <w:pStyle w:val="TableText1"/>
              <w:keepNext w:val="0"/>
              <w:widowControl w:val="0"/>
              <w:spacing w:before="0" w:after="0"/>
              <w:jc w:val="center"/>
            </w:pPr>
            <w:r w:rsidRPr="0062025F">
              <w:rPr>
                <w:rFonts w:eastAsia="Times New Roman" w:cs="Arial"/>
                <w:szCs w:val="20"/>
              </w:rPr>
              <w:t>94 (11.7%)</w:t>
            </w:r>
          </w:p>
        </w:tc>
        <w:tc>
          <w:tcPr>
            <w:tcW w:w="547" w:type="pct"/>
            <w:gridSpan w:val="2"/>
            <w:shd w:val="clear" w:color="auto" w:fill="auto"/>
            <w:vAlign w:val="center"/>
          </w:tcPr>
          <w:p w:rsidR="009F1B32" w:rsidRPr="0062025F" w:rsidRDefault="009F1B32" w:rsidP="00C17418">
            <w:pPr>
              <w:pStyle w:val="TableText1"/>
              <w:keepNext w:val="0"/>
              <w:widowControl w:val="0"/>
              <w:spacing w:before="0" w:after="0"/>
              <w:jc w:val="center"/>
            </w:pPr>
            <w:r w:rsidRPr="0062025F">
              <w:rPr>
                <w:rFonts w:eastAsia="Times New Roman" w:cs="Arial"/>
                <w:szCs w:val="20"/>
              </w:rPr>
              <w:t>26 (6.5%)</w:t>
            </w:r>
          </w:p>
        </w:tc>
        <w:tc>
          <w:tcPr>
            <w:tcW w:w="781" w:type="pct"/>
            <w:shd w:val="clear" w:color="auto" w:fill="auto"/>
            <w:vAlign w:val="center"/>
          </w:tcPr>
          <w:p w:rsidR="009F1B32" w:rsidRPr="0062025F" w:rsidRDefault="009F1B32" w:rsidP="00C17418">
            <w:pPr>
              <w:pStyle w:val="TableText1"/>
              <w:keepNext w:val="0"/>
              <w:widowControl w:val="0"/>
              <w:spacing w:before="0" w:after="0"/>
              <w:jc w:val="center"/>
            </w:pPr>
            <w:r w:rsidRPr="0062025F">
              <w:rPr>
                <w:rFonts w:eastAsia="Times New Roman" w:cs="Arial"/>
                <w:b/>
                <w:szCs w:val="20"/>
              </w:rPr>
              <w:t>1.79 (1.18, 2.72)</w:t>
            </w:r>
          </w:p>
        </w:tc>
        <w:tc>
          <w:tcPr>
            <w:tcW w:w="611" w:type="pct"/>
            <w:gridSpan w:val="2"/>
            <w:shd w:val="clear" w:color="auto" w:fill="auto"/>
            <w:vAlign w:val="center"/>
          </w:tcPr>
          <w:p w:rsidR="009F1B32" w:rsidRPr="0062025F" w:rsidRDefault="009F1B32" w:rsidP="00C17418">
            <w:pPr>
              <w:pStyle w:val="TableText1"/>
              <w:keepNext w:val="0"/>
              <w:widowControl w:val="0"/>
              <w:spacing w:before="0" w:after="0"/>
              <w:jc w:val="center"/>
            </w:pPr>
            <w:r w:rsidRPr="0062025F">
              <w:t>12</w:t>
            </w:r>
          </w:p>
        </w:tc>
        <w:tc>
          <w:tcPr>
            <w:tcW w:w="581" w:type="pct"/>
            <w:gridSpan w:val="2"/>
            <w:shd w:val="clear" w:color="auto" w:fill="auto"/>
            <w:vAlign w:val="center"/>
          </w:tcPr>
          <w:p w:rsidR="009F1B32" w:rsidRPr="0062025F" w:rsidRDefault="009F1B32" w:rsidP="00C17418">
            <w:pPr>
              <w:pStyle w:val="TableText1"/>
              <w:keepNext w:val="0"/>
              <w:widowControl w:val="0"/>
              <w:spacing w:before="0" w:after="0"/>
              <w:jc w:val="center"/>
            </w:pPr>
            <w:r w:rsidRPr="0062025F">
              <w:t>7</w:t>
            </w:r>
          </w:p>
        </w:tc>
        <w:tc>
          <w:tcPr>
            <w:tcW w:w="839" w:type="pct"/>
            <w:shd w:val="clear" w:color="auto" w:fill="auto"/>
            <w:vAlign w:val="center"/>
          </w:tcPr>
          <w:p w:rsidR="009F1B32" w:rsidRPr="0062025F" w:rsidRDefault="009F1B32" w:rsidP="00C17418">
            <w:pPr>
              <w:pStyle w:val="TableText1"/>
              <w:keepNext w:val="0"/>
              <w:widowControl w:val="0"/>
              <w:spacing w:before="0" w:after="0"/>
              <w:jc w:val="center"/>
              <w:rPr>
                <w:rFonts w:eastAsia="Times New Roman" w:cs="Arial"/>
                <w:b/>
                <w:szCs w:val="20"/>
              </w:rPr>
            </w:pPr>
            <w:r w:rsidRPr="0062025F">
              <w:rPr>
                <w:rFonts w:eastAsia="Times New Roman" w:cs="Arial"/>
                <w:b/>
                <w:szCs w:val="20"/>
              </w:rPr>
              <w:t>0.05 (0.02, 0.08)</w:t>
            </w:r>
          </w:p>
        </w:tc>
      </w:tr>
      <w:tr w:rsidR="00965C86" w:rsidRPr="00FF370D" w:rsidTr="003450F0">
        <w:tc>
          <w:tcPr>
            <w:tcW w:w="983" w:type="pct"/>
            <w:gridSpan w:val="2"/>
            <w:shd w:val="clear" w:color="auto" w:fill="auto"/>
            <w:vAlign w:val="center"/>
          </w:tcPr>
          <w:p w:rsidR="009F1B32" w:rsidRPr="00FF370D" w:rsidRDefault="009F1B32" w:rsidP="00C17418">
            <w:pPr>
              <w:pStyle w:val="TableText1"/>
              <w:keepNext w:val="0"/>
              <w:widowControl w:val="0"/>
              <w:spacing w:before="0" w:after="0"/>
            </w:pPr>
            <w:r>
              <w:rPr>
                <w:rFonts w:eastAsia="Times New Roman" w:cs="Arial"/>
                <w:szCs w:val="20"/>
              </w:rPr>
              <w:t>Hypothyroidism</w:t>
            </w:r>
          </w:p>
        </w:tc>
        <w:tc>
          <w:tcPr>
            <w:tcW w:w="658" w:type="pct"/>
            <w:gridSpan w:val="2"/>
            <w:shd w:val="clear" w:color="auto" w:fill="auto"/>
            <w:vAlign w:val="center"/>
          </w:tcPr>
          <w:p w:rsidR="009F1B32" w:rsidRPr="0062025F" w:rsidRDefault="009F1B32" w:rsidP="00C17418">
            <w:pPr>
              <w:pStyle w:val="TableText1"/>
              <w:keepNext w:val="0"/>
              <w:widowControl w:val="0"/>
              <w:spacing w:before="0" w:after="0"/>
              <w:jc w:val="center"/>
            </w:pPr>
            <w:r w:rsidRPr="0062025F">
              <w:rPr>
                <w:rFonts w:eastAsia="Times New Roman" w:cs="Arial"/>
                <w:szCs w:val="20"/>
              </w:rPr>
              <w:t>65 (8.1%)</w:t>
            </w:r>
          </w:p>
        </w:tc>
        <w:tc>
          <w:tcPr>
            <w:tcW w:w="547" w:type="pct"/>
            <w:gridSpan w:val="2"/>
            <w:shd w:val="clear" w:color="auto" w:fill="auto"/>
            <w:vAlign w:val="center"/>
          </w:tcPr>
          <w:p w:rsidR="009F1B32" w:rsidRPr="0062025F" w:rsidRDefault="009F1B32" w:rsidP="00C17418">
            <w:pPr>
              <w:pStyle w:val="TableText1"/>
              <w:keepNext w:val="0"/>
              <w:widowControl w:val="0"/>
              <w:spacing w:before="0" w:after="0"/>
              <w:jc w:val="center"/>
            </w:pPr>
            <w:r w:rsidRPr="0062025F">
              <w:rPr>
                <w:rFonts w:eastAsia="Times New Roman" w:cs="Arial"/>
                <w:szCs w:val="20"/>
              </w:rPr>
              <w:t>8 (2.0%)</w:t>
            </w:r>
          </w:p>
        </w:tc>
        <w:tc>
          <w:tcPr>
            <w:tcW w:w="781" w:type="pct"/>
            <w:shd w:val="clear" w:color="auto" w:fill="auto"/>
            <w:vAlign w:val="center"/>
          </w:tcPr>
          <w:p w:rsidR="009F1B32" w:rsidRPr="0062025F" w:rsidRDefault="009F1B32" w:rsidP="00C17418">
            <w:pPr>
              <w:pStyle w:val="TableText1"/>
              <w:keepNext w:val="0"/>
              <w:widowControl w:val="0"/>
              <w:spacing w:before="0" w:after="0"/>
              <w:jc w:val="center"/>
            </w:pPr>
            <w:r w:rsidRPr="0062025F">
              <w:rPr>
                <w:rFonts w:eastAsia="Times New Roman" w:cs="Arial"/>
                <w:b/>
                <w:szCs w:val="20"/>
              </w:rPr>
              <w:t>4.03 (1.95, 8.31)</w:t>
            </w:r>
          </w:p>
        </w:tc>
        <w:tc>
          <w:tcPr>
            <w:tcW w:w="611" w:type="pct"/>
            <w:gridSpan w:val="2"/>
            <w:shd w:val="clear" w:color="auto" w:fill="auto"/>
            <w:vAlign w:val="center"/>
          </w:tcPr>
          <w:p w:rsidR="009F1B32" w:rsidRPr="0062025F" w:rsidRDefault="009F1B32" w:rsidP="00C17418">
            <w:pPr>
              <w:pStyle w:val="TableText1"/>
              <w:keepNext w:val="0"/>
              <w:widowControl w:val="0"/>
              <w:spacing w:before="0" w:after="0"/>
              <w:jc w:val="center"/>
            </w:pPr>
            <w:r w:rsidRPr="0062025F">
              <w:t>8</w:t>
            </w:r>
          </w:p>
        </w:tc>
        <w:tc>
          <w:tcPr>
            <w:tcW w:w="581" w:type="pct"/>
            <w:gridSpan w:val="2"/>
            <w:shd w:val="clear" w:color="auto" w:fill="auto"/>
            <w:vAlign w:val="center"/>
          </w:tcPr>
          <w:p w:rsidR="009F1B32" w:rsidRPr="0062025F" w:rsidRDefault="009F1B32" w:rsidP="00C17418">
            <w:pPr>
              <w:pStyle w:val="TableText1"/>
              <w:keepNext w:val="0"/>
              <w:widowControl w:val="0"/>
              <w:spacing w:before="0" w:after="0"/>
              <w:jc w:val="center"/>
            </w:pPr>
            <w:r w:rsidRPr="0062025F">
              <w:t>2</w:t>
            </w:r>
          </w:p>
        </w:tc>
        <w:tc>
          <w:tcPr>
            <w:tcW w:w="839" w:type="pct"/>
            <w:shd w:val="clear" w:color="auto" w:fill="auto"/>
            <w:vAlign w:val="center"/>
          </w:tcPr>
          <w:p w:rsidR="009F1B32" w:rsidRPr="0062025F" w:rsidRDefault="009F1B32" w:rsidP="00C17418">
            <w:pPr>
              <w:pStyle w:val="TableText1"/>
              <w:keepNext w:val="0"/>
              <w:widowControl w:val="0"/>
              <w:spacing w:before="0" w:after="0"/>
              <w:jc w:val="center"/>
              <w:rPr>
                <w:rFonts w:eastAsia="Times New Roman" w:cs="Arial"/>
                <w:b/>
                <w:szCs w:val="20"/>
              </w:rPr>
            </w:pPr>
            <w:r w:rsidRPr="0062025F">
              <w:rPr>
                <w:rFonts w:eastAsia="Times New Roman" w:cs="Arial"/>
                <w:b/>
                <w:szCs w:val="20"/>
              </w:rPr>
              <w:t>0.06 (0.04, 0.08)</w:t>
            </w:r>
          </w:p>
        </w:tc>
      </w:tr>
      <w:tr w:rsidR="00965C86" w:rsidRPr="00FF370D" w:rsidTr="00C17418">
        <w:tc>
          <w:tcPr>
            <w:tcW w:w="980" w:type="pct"/>
            <w:shd w:val="clear" w:color="auto" w:fill="auto"/>
            <w:vAlign w:val="center"/>
          </w:tcPr>
          <w:p w:rsidR="009F1B32" w:rsidRPr="00FF370D" w:rsidRDefault="00C11107" w:rsidP="00C17418">
            <w:pPr>
              <w:pStyle w:val="TableText1"/>
              <w:keepNext w:val="0"/>
              <w:widowControl w:val="0"/>
              <w:spacing w:before="0" w:after="0"/>
            </w:pPr>
            <w:r>
              <w:rPr>
                <w:rFonts w:eastAsia="Times New Roman" w:cs="Arial"/>
                <w:szCs w:val="20"/>
              </w:rPr>
              <w:t>Serious i</w:t>
            </w:r>
            <w:r w:rsidR="009F1B32">
              <w:rPr>
                <w:rFonts w:eastAsia="Times New Roman" w:cs="Arial"/>
                <w:szCs w:val="20"/>
              </w:rPr>
              <w:t>nfection</w:t>
            </w:r>
          </w:p>
        </w:tc>
        <w:tc>
          <w:tcPr>
            <w:tcW w:w="661" w:type="pct"/>
            <w:gridSpan w:val="3"/>
            <w:shd w:val="clear" w:color="auto" w:fill="auto"/>
            <w:vAlign w:val="center"/>
          </w:tcPr>
          <w:p w:rsidR="009F1B32" w:rsidRPr="0062025F" w:rsidRDefault="009F1B32" w:rsidP="00C17418">
            <w:pPr>
              <w:pStyle w:val="TableText1"/>
              <w:keepNext w:val="0"/>
              <w:widowControl w:val="0"/>
              <w:spacing w:before="0" w:after="0"/>
              <w:jc w:val="center"/>
            </w:pPr>
            <w:r w:rsidRPr="0062025F">
              <w:rPr>
                <w:rFonts w:eastAsia="Times New Roman" w:cs="Arial"/>
                <w:szCs w:val="20"/>
              </w:rPr>
              <w:t>48 (6.0%)</w:t>
            </w:r>
          </w:p>
        </w:tc>
        <w:tc>
          <w:tcPr>
            <w:tcW w:w="547" w:type="pct"/>
            <w:gridSpan w:val="2"/>
            <w:shd w:val="clear" w:color="auto" w:fill="auto"/>
            <w:vAlign w:val="center"/>
          </w:tcPr>
          <w:p w:rsidR="009F1B32" w:rsidRPr="0062025F" w:rsidRDefault="009F1B32" w:rsidP="00C17418">
            <w:pPr>
              <w:pStyle w:val="TableText1"/>
              <w:keepNext w:val="0"/>
              <w:widowControl w:val="0"/>
              <w:spacing w:before="0" w:after="0"/>
              <w:jc w:val="center"/>
            </w:pPr>
            <w:r w:rsidRPr="0062025F">
              <w:rPr>
                <w:rFonts w:eastAsia="Times New Roman" w:cs="Arial"/>
                <w:szCs w:val="20"/>
              </w:rPr>
              <w:t>9 (2.3%)</w:t>
            </w:r>
          </w:p>
        </w:tc>
        <w:tc>
          <w:tcPr>
            <w:tcW w:w="781" w:type="pct"/>
            <w:shd w:val="clear" w:color="auto" w:fill="auto"/>
            <w:vAlign w:val="center"/>
          </w:tcPr>
          <w:p w:rsidR="009F1B32" w:rsidRPr="0062025F" w:rsidRDefault="009F1B32" w:rsidP="00C17418">
            <w:pPr>
              <w:pStyle w:val="TableText1"/>
              <w:keepNext w:val="0"/>
              <w:widowControl w:val="0"/>
              <w:spacing w:before="0" w:after="0"/>
              <w:jc w:val="center"/>
            </w:pPr>
            <w:r w:rsidRPr="0062025F">
              <w:rPr>
                <w:rFonts w:eastAsia="Times New Roman" w:cs="Arial"/>
                <w:b/>
                <w:szCs w:val="20"/>
              </w:rPr>
              <w:t>2.4 (1.31, 5.33)</w:t>
            </w:r>
          </w:p>
        </w:tc>
        <w:tc>
          <w:tcPr>
            <w:tcW w:w="611" w:type="pct"/>
            <w:gridSpan w:val="2"/>
            <w:shd w:val="clear" w:color="auto" w:fill="auto"/>
            <w:vAlign w:val="center"/>
          </w:tcPr>
          <w:p w:rsidR="009F1B32" w:rsidRPr="0062025F" w:rsidRDefault="009F1B32" w:rsidP="00C17418">
            <w:pPr>
              <w:pStyle w:val="TableText1"/>
              <w:keepNext w:val="0"/>
              <w:widowControl w:val="0"/>
              <w:spacing w:before="0" w:after="0"/>
              <w:jc w:val="center"/>
            </w:pPr>
            <w:r w:rsidRPr="0062025F">
              <w:t>6</w:t>
            </w:r>
          </w:p>
        </w:tc>
        <w:tc>
          <w:tcPr>
            <w:tcW w:w="581" w:type="pct"/>
            <w:gridSpan w:val="2"/>
            <w:shd w:val="clear" w:color="auto" w:fill="auto"/>
            <w:vAlign w:val="center"/>
          </w:tcPr>
          <w:p w:rsidR="009F1B32" w:rsidRPr="0062025F" w:rsidRDefault="009F1B32" w:rsidP="00C17418">
            <w:pPr>
              <w:pStyle w:val="TableText1"/>
              <w:keepNext w:val="0"/>
              <w:widowControl w:val="0"/>
              <w:spacing w:before="0" w:after="0"/>
              <w:jc w:val="center"/>
            </w:pPr>
            <w:r w:rsidRPr="0062025F">
              <w:t>2</w:t>
            </w:r>
          </w:p>
        </w:tc>
        <w:tc>
          <w:tcPr>
            <w:tcW w:w="839" w:type="pct"/>
            <w:shd w:val="clear" w:color="auto" w:fill="auto"/>
            <w:vAlign w:val="center"/>
          </w:tcPr>
          <w:p w:rsidR="009F1B32" w:rsidRPr="0062025F" w:rsidRDefault="009F1B32" w:rsidP="00C17418">
            <w:pPr>
              <w:pStyle w:val="TableText1"/>
              <w:keepNext w:val="0"/>
              <w:widowControl w:val="0"/>
              <w:spacing w:before="0" w:after="0"/>
              <w:jc w:val="center"/>
              <w:rPr>
                <w:rFonts w:eastAsia="Times New Roman" w:cs="Arial"/>
                <w:b/>
                <w:szCs w:val="20"/>
              </w:rPr>
            </w:pPr>
            <w:r w:rsidRPr="0062025F">
              <w:rPr>
                <w:rFonts w:eastAsia="Times New Roman" w:cs="Arial"/>
                <w:b/>
                <w:szCs w:val="20"/>
              </w:rPr>
              <w:t>0.04 (0.02, 0.06)</w:t>
            </w:r>
          </w:p>
        </w:tc>
      </w:tr>
    </w:tbl>
    <w:p w:rsidR="00794219" w:rsidRPr="00FF370D" w:rsidRDefault="00794219" w:rsidP="00794219">
      <w:pPr>
        <w:pStyle w:val="TableFooter"/>
        <w:tabs>
          <w:tab w:val="left" w:pos="142"/>
        </w:tabs>
      </w:pPr>
      <w:proofErr w:type="gramStart"/>
      <w:r w:rsidRPr="00794219">
        <w:rPr>
          <w:vertAlign w:val="superscript"/>
        </w:rPr>
        <w:t>a</w:t>
      </w:r>
      <w:proofErr w:type="gramEnd"/>
      <w:r>
        <w:tab/>
      </w:r>
      <w:r w:rsidRPr="00FF370D">
        <w:t>Median</w:t>
      </w:r>
      <w:r>
        <w:t xml:space="preserve"> duration of follow-up in SPARTAN was 20.3 months.</w:t>
      </w:r>
    </w:p>
    <w:p w:rsidR="00794219" w:rsidRPr="00FF370D" w:rsidRDefault="00963D48" w:rsidP="00794219">
      <w:pPr>
        <w:pStyle w:val="TableFooter"/>
      </w:pPr>
      <w:r>
        <w:t>CI=confidence interval; HR=hazard ratio;</w:t>
      </w:r>
      <w:r w:rsidR="00794219" w:rsidRPr="00FF370D">
        <w:t xml:space="preserve"> </w:t>
      </w:r>
      <w:r w:rsidR="00E76546">
        <w:t xml:space="preserve">NE=not estimable; </w:t>
      </w:r>
      <w:r>
        <w:t>RD=risk difference; RR=r</w:t>
      </w:r>
      <w:r w:rsidR="00794219" w:rsidRPr="00FF370D">
        <w:t>isk ratio</w:t>
      </w:r>
      <w:r>
        <w:t xml:space="preserve">; </w:t>
      </w:r>
      <w:r w:rsidRPr="00FA55BD">
        <w:t>bold</w:t>
      </w:r>
      <w:r>
        <w:t>=statistically significant</w:t>
      </w:r>
    </w:p>
    <w:p w:rsidR="00D9200D" w:rsidRDefault="00794219" w:rsidP="004057F1">
      <w:pPr>
        <w:pStyle w:val="TableFooter"/>
        <w:spacing w:after="160"/>
        <w:rPr>
          <w:rStyle w:val="CommentReference"/>
          <w:b w:val="0"/>
        </w:rPr>
      </w:pPr>
      <w:r w:rsidRPr="00FF370D">
        <w:t xml:space="preserve">Source: </w:t>
      </w:r>
      <w:r w:rsidR="00963D48">
        <w:t>Table 16, p66</w:t>
      </w:r>
      <w:r w:rsidRPr="00FF370D">
        <w:t xml:space="preserve">; </w:t>
      </w:r>
      <w:r w:rsidR="00963D48">
        <w:t xml:space="preserve">Table 2.28, p134; </w:t>
      </w:r>
      <w:r w:rsidR="00275741">
        <w:t xml:space="preserve">Table 2.49, p176; Table 2.56, p185 </w:t>
      </w:r>
      <w:r w:rsidRPr="00FF370D">
        <w:t>of the submission.</w:t>
      </w:r>
      <w:r w:rsidR="003450F0">
        <w:t xml:space="preserve"> SPARTAN CSR Table 23 p79, Table 14 p63-64.</w:t>
      </w:r>
    </w:p>
    <w:p w:rsidR="00FC1884" w:rsidRPr="00B50DB8" w:rsidRDefault="008B176F" w:rsidP="007A132D">
      <w:pPr>
        <w:pStyle w:val="ListParagraph"/>
        <w:numPr>
          <w:ilvl w:val="1"/>
          <w:numId w:val="3"/>
        </w:numPr>
        <w:spacing w:after="0"/>
      </w:pPr>
      <w:r w:rsidRPr="00FF370D">
        <w:t xml:space="preserve">On the basis of evidence </w:t>
      </w:r>
      <w:r>
        <w:t>from the SPARTAN trial</w:t>
      </w:r>
      <w:r w:rsidRPr="00FF370D">
        <w:t xml:space="preserve"> presented by the submission, for every 100 patients treated with </w:t>
      </w:r>
      <w:proofErr w:type="spellStart"/>
      <w:r>
        <w:t>apalutamide</w:t>
      </w:r>
      <w:proofErr w:type="spellEnd"/>
      <w:r w:rsidRPr="00FF370D">
        <w:t xml:space="preserve"> in comparison to </w:t>
      </w:r>
      <w:r>
        <w:t>placebo</w:t>
      </w:r>
      <w:r w:rsidR="001C2A9B">
        <w:t>:</w:t>
      </w:r>
    </w:p>
    <w:p w:rsidR="00FC1884" w:rsidRPr="0062025F" w:rsidRDefault="008B176F" w:rsidP="001C2A9B">
      <w:pPr>
        <w:pStyle w:val="ListParagraph"/>
        <w:numPr>
          <w:ilvl w:val="0"/>
          <w:numId w:val="2"/>
        </w:numPr>
        <w:spacing w:after="0"/>
        <w:ind w:left="993" w:hanging="284"/>
      </w:pPr>
      <w:r w:rsidRPr="00D07335">
        <w:rPr>
          <w:rFonts w:eastAsia="Calibri" w:cs="Arial"/>
        </w:rPr>
        <w:t xml:space="preserve">Approximately </w:t>
      </w:r>
      <w:r w:rsidR="00737772" w:rsidRPr="0062025F">
        <w:rPr>
          <w:rFonts w:eastAsia="Calibri" w:cs="Arial"/>
        </w:rPr>
        <w:t xml:space="preserve">39 </w:t>
      </w:r>
      <w:r w:rsidRPr="0062025F">
        <w:rPr>
          <w:rFonts w:eastAsia="Calibri" w:cs="Arial"/>
        </w:rPr>
        <w:t>more patients would remain metastasis free</w:t>
      </w:r>
      <w:r w:rsidR="00737772" w:rsidRPr="0062025F">
        <w:rPr>
          <w:rFonts w:eastAsia="Calibri" w:cs="Arial"/>
        </w:rPr>
        <w:t xml:space="preserve"> after 24 months of treatment</w:t>
      </w:r>
      <w:r w:rsidR="00E76546" w:rsidRPr="0062025F">
        <w:rPr>
          <w:rFonts w:eastAsia="Calibri" w:cs="Arial"/>
        </w:rPr>
        <w:t>,</w:t>
      </w:r>
      <w:r w:rsidRPr="0062025F">
        <w:rPr>
          <w:rFonts w:eastAsia="Calibri" w:cs="Arial"/>
        </w:rPr>
        <w:t xml:space="preserve"> however </w:t>
      </w:r>
      <w:r w:rsidR="00151664" w:rsidRPr="0062025F">
        <w:rPr>
          <w:rFonts w:eastAsia="Calibri" w:cs="Arial"/>
        </w:rPr>
        <w:t xml:space="preserve">a </w:t>
      </w:r>
      <w:r w:rsidRPr="0062025F">
        <w:rPr>
          <w:rFonts w:eastAsia="Calibri" w:cs="Arial"/>
        </w:rPr>
        <w:t xml:space="preserve">difference in overall survival was not </w:t>
      </w:r>
      <w:r w:rsidR="00F50C3C" w:rsidRPr="0062025F">
        <w:rPr>
          <w:rFonts w:eastAsia="Calibri" w:cs="Arial"/>
        </w:rPr>
        <w:t>demonstrated</w:t>
      </w:r>
      <w:r w:rsidR="00737772" w:rsidRPr="0062025F">
        <w:t>.</w:t>
      </w:r>
    </w:p>
    <w:p w:rsidR="00737772" w:rsidRPr="0062025F" w:rsidRDefault="00737772" w:rsidP="00737772">
      <w:pPr>
        <w:ind w:left="709"/>
      </w:pPr>
      <w:r w:rsidRPr="0062025F">
        <w:rPr>
          <w:rFonts w:eastAsia="Calibri" w:cs="Arial"/>
        </w:rPr>
        <w:t>Over a median duration of follow-up of 20.3 months</w:t>
      </w:r>
      <w:r w:rsidRPr="0062025F">
        <w:t>:</w:t>
      </w:r>
    </w:p>
    <w:p w:rsidR="00FC1884" w:rsidRPr="0062025F" w:rsidRDefault="00C11107" w:rsidP="007A132D">
      <w:pPr>
        <w:pStyle w:val="ListParagraph"/>
        <w:numPr>
          <w:ilvl w:val="0"/>
          <w:numId w:val="2"/>
        </w:numPr>
        <w:spacing w:after="0"/>
        <w:ind w:left="993" w:hanging="284"/>
      </w:pPr>
      <w:r w:rsidRPr="0062025F">
        <w:rPr>
          <w:rFonts w:eastAsia="Calibri" w:cs="Arial"/>
        </w:rPr>
        <w:t>Approximately 18 additional patients would experience skin rash;</w:t>
      </w:r>
    </w:p>
    <w:p w:rsidR="00FC1884" w:rsidRPr="0062025F" w:rsidRDefault="00C11107" w:rsidP="007A132D">
      <w:pPr>
        <w:pStyle w:val="ListParagraph"/>
        <w:numPr>
          <w:ilvl w:val="0"/>
          <w:numId w:val="2"/>
        </w:numPr>
        <w:spacing w:after="0"/>
        <w:ind w:left="993" w:hanging="284"/>
      </w:pPr>
      <w:r w:rsidRPr="0062025F">
        <w:rPr>
          <w:rFonts w:eastAsia="Calibri" w:cs="Arial"/>
        </w:rPr>
        <w:t xml:space="preserve">Approximately 7 additional patients would experience a fall; </w:t>
      </w:r>
    </w:p>
    <w:p w:rsidR="00C11107" w:rsidRPr="0062025F" w:rsidRDefault="00C11107" w:rsidP="007A132D">
      <w:pPr>
        <w:pStyle w:val="ListParagraph"/>
        <w:numPr>
          <w:ilvl w:val="0"/>
          <w:numId w:val="2"/>
        </w:numPr>
        <w:spacing w:after="0"/>
        <w:ind w:left="993" w:hanging="284"/>
      </w:pPr>
      <w:r w:rsidRPr="0062025F">
        <w:rPr>
          <w:rFonts w:eastAsia="Calibri" w:cs="Arial"/>
        </w:rPr>
        <w:t>Approximately 5 additional patients would experience a fracture;</w:t>
      </w:r>
    </w:p>
    <w:p w:rsidR="00C11107" w:rsidRPr="0062025F" w:rsidRDefault="00C11107" w:rsidP="007A132D">
      <w:pPr>
        <w:pStyle w:val="ListParagraph"/>
        <w:numPr>
          <w:ilvl w:val="0"/>
          <w:numId w:val="2"/>
        </w:numPr>
        <w:spacing w:after="0"/>
        <w:ind w:left="993" w:hanging="284"/>
      </w:pPr>
      <w:r w:rsidRPr="0062025F">
        <w:rPr>
          <w:rFonts w:eastAsia="Calibri" w:cs="Arial"/>
        </w:rPr>
        <w:t>Approximately 6 additional patients would experience hypothyroidism; and</w:t>
      </w:r>
    </w:p>
    <w:p w:rsidR="00B60939" w:rsidRDefault="00C11107" w:rsidP="00C11107">
      <w:pPr>
        <w:pStyle w:val="ListParagraph"/>
        <w:numPr>
          <w:ilvl w:val="0"/>
          <w:numId w:val="2"/>
        </w:numPr>
        <w:ind w:left="993" w:hanging="284"/>
      </w:pPr>
      <w:r w:rsidRPr="0062025F">
        <w:rPr>
          <w:rFonts w:eastAsia="Calibri" w:cs="Arial"/>
        </w:rPr>
        <w:t>Approximately 4 additional</w:t>
      </w:r>
      <w:r w:rsidRPr="00FF370D">
        <w:rPr>
          <w:rFonts w:eastAsia="Calibri" w:cs="Arial"/>
        </w:rPr>
        <w:t xml:space="preserve"> patients would experience</w:t>
      </w:r>
      <w:r>
        <w:rPr>
          <w:rFonts w:eastAsia="Calibri" w:cs="Arial"/>
        </w:rPr>
        <w:t xml:space="preserve"> a serious infection that required hospitalisation</w:t>
      </w:r>
      <w:r w:rsidR="001C2A9B">
        <w:t>.</w:t>
      </w:r>
    </w:p>
    <w:p w:rsidR="008B7510" w:rsidRDefault="008B7510">
      <w:pPr>
        <w:jc w:val="left"/>
        <w:rPr>
          <w:b/>
          <w:i/>
          <w:sz w:val="28"/>
        </w:rPr>
      </w:pPr>
      <w:bookmarkStart w:id="11" w:name="_Toc522226933"/>
      <w:r>
        <w:br w:type="page"/>
      </w:r>
    </w:p>
    <w:p w:rsidR="00B60939" w:rsidRPr="00C9624D" w:rsidRDefault="00B60939" w:rsidP="00FD3E23">
      <w:pPr>
        <w:pStyle w:val="Heading2"/>
      </w:pPr>
      <w:r w:rsidRPr="00C9624D">
        <w:lastRenderedPageBreak/>
        <w:t>Clinical claim</w:t>
      </w:r>
      <w:bookmarkEnd w:id="11"/>
    </w:p>
    <w:p w:rsidR="00B60939" w:rsidRDefault="00A42501" w:rsidP="00DD0728">
      <w:pPr>
        <w:pStyle w:val="ListParagraph"/>
        <w:keepNext/>
        <w:numPr>
          <w:ilvl w:val="1"/>
          <w:numId w:val="3"/>
        </w:numPr>
      </w:pPr>
      <w:r w:rsidRPr="00D13A3E">
        <w:t>The submission describe</w:t>
      </w:r>
      <w:r>
        <w:t xml:space="preserve">d </w:t>
      </w:r>
      <w:proofErr w:type="spellStart"/>
      <w:r>
        <w:t>apalutamide</w:t>
      </w:r>
      <w:proofErr w:type="spellEnd"/>
      <w:r>
        <w:t xml:space="preserve"> with background ADT as superior </w:t>
      </w:r>
      <w:r w:rsidRPr="00D13A3E">
        <w:t xml:space="preserve">in terms of effectiveness </w:t>
      </w:r>
      <w:r>
        <w:t>compared with watchful waiting (placebo) and background ADT and inferior</w:t>
      </w:r>
      <w:r w:rsidRPr="00D13A3E">
        <w:t xml:space="preserve"> in terms of safety </w:t>
      </w:r>
      <w:r>
        <w:t>compared to watchful waiting (placebo</w:t>
      </w:r>
      <w:r w:rsidRPr="00FA55BD">
        <w:t>).</w:t>
      </w:r>
      <w:r w:rsidR="00576F4C" w:rsidRPr="00FA55BD">
        <w:t xml:space="preserve"> The ESC noted that the clinical data shows clinical benefit for </w:t>
      </w:r>
      <w:proofErr w:type="spellStart"/>
      <w:r w:rsidR="00576F4C" w:rsidRPr="00FA55BD">
        <w:t>apalutamide</w:t>
      </w:r>
      <w:proofErr w:type="spellEnd"/>
      <w:r w:rsidR="00576F4C" w:rsidRPr="00FA55BD">
        <w:t xml:space="preserve"> in delaying development of </w:t>
      </w:r>
      <w:r w:rsidR="002B6B7C" w:rsidRPr="00FA55BD">
        <w:t>metastases</w:t>
      </w:r>
      <w:r w:rsidR="00576F4C" w:rsidRPr="00FA55BD">
        <w:t xml:space="preserve"> and progression, however there was no statistically significant OS benefit demonstrated. </w:t>
      </w:r>
      <w:r w:rsidR="001D0F7B" w:rsidRPr="00FA55BD">
        <w:t xml:space="preserve">The ESC agreed that the safety profile for </w:t>
      </w:r>
      <w:proofErr w:type="spellStart"/>
      <w:r w:rsidR="001D0F7B" w:rsidRPr="00FA55BD">
        <w:t>apalutamide</w:t>
      </w:r>
      <w:proofErr w:type="spellEnd"/>
      <w:r w:rsidR="001D0F7B" w:rsidRPr="00FA55BD">
        <w:t xml:space="preserve"> was inferior to watchful waiting.</w:t>
      </w:r>
    </w:p>
    <w:p w:rsidR="00246FDD" w:rsidRPr="00AB3C0C" w:rsidRDefault="00246FDD" w:rsidP="00AB3C0C">
      <w:pPr>
        <w:pStyle w:val="ListParagraph"/>
        <w:keepNext/>
        <w:numPr>
          <w:ilvl w:val="1"/>
          <w:numId w:val="3"/>
        </w:numPr>
      </w:pPr>
      <w:r w:rsidRPr="00AB3C0C">
        <w:t xml:space="preserve">The PBAC considered that the claim of superior comparative effectiveness </w:t>
      </w:r>
      <w:r w:rsidR="0090290D">
        <w:t xml:space="preserve">compared with watchful waiting in improvements in MFS, </w:t>
      </w:r>
      <w:proofErr w:type="spellStart"/>
      <w:r w:rsidR="0090290D">
        <w:t>rPFS</w:t>
      </w:r>
      <w:proofErr w:type="spellEnd"/>
      <w:r w:rsidR="0090290D">
        <w:t xml:space="preserve"> and </w:t>
      </w:r>
      <w:proofErr w:type="spellStart"/>
      <w:r w:rsidR="0090290D">
        <w:t>sPFS</w:t>
      </w:r>
      <w:proofErr w:type="spellEnd"/>
      <w:r w:rsidR="0090290D" w:rsidRPr="00AB3C0C">
        <w:t xml:space="preserve"> </w:t>
      </w:r>
      <w:r w:rsidRPr="00AB3C0C">
        <w:t>was reasonable.</w:t>
      </w:r>
    </w:p>
    <w:p w:rsidR="00246FDD" w:rsidRPr="00AB3C0C" w:rsidRDefault="00246FDD" w:rsidP="00AB3C0C">
      <w:pPr>
        <w:pStyle w:val="ListParagraph"/>
        <w:keepNext/>
        <w:numPr>
          <w:ilvl w:val="1"/>
          <w:numId w:val="3"/>
        </w:numPr>
      </w:pPr>
      <w:r w:rsidRPr="00AB3C0C">
        <w:t>The PBAC considered that the claim of inferior comparative safety was reasonable.</w:t>
      </w:r>
    </w:p>
    <w:p w:rsidR="00811C27" w:rsidRPr="00246FDD" w:rsidRDefault="00811C27" w:rsidP="00811C27">
      <w:pPr>
        <w:pStyle w:val="ListParagraph"/>
        <w:ind w:left="709"/>
        <w:rPr>
          <w:rFonts w:asciiTheme="minorHAnsi" w:hAnsiTheme="minorHAnsi"/>
          <w:i/>
        </w:rPr>
      </w:pPr>
      <w:r w:rsidRPr="00525B39">
        <w:rPr>
          <w:rFonts w:asciiTheme="minorHAnsi" w:hAnsiTheme="minorHAnsi"/>
          <w:i/>
        </w:rPr>
        <w:t>For more detail on PBAC’s view, see section 7 PBAC outcome.</w:t>
      </w:r>
    </w:p>
    <w:p w:rsidR="00B60939" w:rsidRPr="00C9624D" w:rsidRDefault="00BB33C3" w:rsidP="00FD3E23">
      <w:pPr>
        <w:pStyle w:val="Heading2"/>
      </w:pPr>
      <w:r w:rsidRPr="00A44512" w:rsidDel="00BB33C3">
        <w:t xml:space="preserve"> </w:t>
      </w:r>
      <w:bookmarkStart w:id="12" w:name="_Toc522226934"/>
      <w:r w:rsidR="00B60939" w:rsidRPr="00C9624D">
        <w:t>Economic analysis</w:t>
      </w:r>
      <w:bookmarkEnd w:id="12"/>
      <w:r w:rsidR="00491B3A" w:rsidRPr="00C9624D">
        <w:t xml:space="preserve"> </w:t>
      </w:r>
    </w:p>
    <w:p w:rsidR="00275C5A" w:rsidRDefault="002D2140" w:rsidP="007A132D">
      <w:pPr>
        <w:pStyle w:val="ListParagraph"/>
        <w:numPr>
          <w:ilvl w:val="1"/>
          <w:numId w:val="3"/>
        </w:numPr>
      </w:pPr>
      <w:r>
        <w:t xml:space="preserve">The submission presented a stepped economic evaluation based on </w:t>
      </w:r>
      <w:r w:rsidR="00CF3672">
        <w:t xml:space="preserve">data from </w:t>
      </w:r>
      <w:r>
        <w:t xml:space="preserve">the SPARTAN trial </w:t>
      </w:r>
      <w:r w:rsidR="00CF5EB6">
        <w:t>and</w:t>
      </w:r>
      <w:r>
        <w:t xml:space="preserve"> an </w:t>
      </w:r>
      <w:proofErr w:type="spellStart"/>
      <w:r>
        <w:t>abiraterone</w:t>
      </w:r>
      <w:proofErr w:type="spellEnd"/>
      <w:r>
        <w:t xml:space="preserve"> trial (Trial 302).</w:t>
      </w:r>
      <w:r w:rsidR="008A20FC">
        <w:t xml:space="preserve">  A three health state Markov model was used, and the type of economic evaluation presented was a cost-utility analysis.</w:t>
      </w:r>
      <w:r w:rsidR="00EE6FE5">
        <w:t xml:space="preserve"> The key components of the economic evaluation are summarised in the table below</w:t>
      </w:r>
      <w:r w:rsidR="00EE6FE5">
        <w:rPr>
          <w:rFonts w:cs="Calibri"/>
          <w:lang w:val="en-US" w:eastAsia="en-AU"/>
        </w:rPr>
        <w:t>.</w:t>
      </w:r>
    </w:p>
    <w:p w:rsidR="00275C5A" w:rsidRDefault="00275C5A" w:rsidP="003270E4">
      <w:pPr>
        <w:rPr>
          <w:rStyle w:val="CommentReference"/>
        </w:rPr>
      </w:pPr>
      <w:r w:rsidRPr="00A56B6A">
        <w:rPr>
          <w:rStyle w:val="CommentReference"/>
        </w:rPr>
        <w:t xml:space="preserve">Table </w:t>
      </w:r>
      <w:r w:rsidR="005E3073">
        <w:rPr>
          <w:rStyle w:val="CommentReference"/>
        </w:rPr>
        <w:t>8</w:t>
      </w:r>
      <w:r w:rsidRPr="00A56B6A">
        <w:rPr>
          <w:rStyle w:val="CommentReference"/>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18"/>
        <w:gridCol w:w="6499"/>
      </w:tblGrid>
      <w:tr w:rsidR="00275C5A" w:rsidRPr="003D1DE4" w:rsidTr="00487634">
        <w:trPr>
          <w:tblHeader/>
        </w:trPr>
        <w:tc>
          <w:tcPr>
            <w:tcW w:w="1396" w:type="pct"/>
            <w:shd w:val="clear" w:color="auto" w:fill="auto"/>
            <w:vAlign w:val="center"/>
          </w:tcPr>
          <w:p w:rsidR="00275C5A" w:rsidRPr="003D1DE4" w:rsidRDefault="00275C5A" w:rsidP="003D1DE4">
            <w:pPr>
              <w:pStyle w:val="Tabletext"/>
              <w:rPr>
                <w:b/>
              </w:rPr>
            </w:pPr>
            <w:r w:rsidRPr="003D1DE4">
              <w:rPr>
                <w:b/>
              </w:rPr>
              <w:t>Component</w:t>
            </w:r>
          </w:p>
        </w:tc>
        <w:tc>
          <w:tcPr>
            <w:tcW w:w="3604" w:type="pct"/>
            <w:shd w:val="clear" w:color="auto" w:fill="auto"/>
            <w:vAlign w:val="center"/>
          </w:tcPr>
          <w:p w:rsidR="00275C5A" w:rsidRPr="003D1DE4" w:rsidRDefault="00275C5A" w:rsidP="003D1DE4">
            <w:pPr>
              <w:pStyle w:val="Tabletext"/>
              <w:jc w:val="center"/>
              <w:rPr>
                <w:b/>
              </w:rPr>
            </w:pPr>
            <w:r w:rsidRPr="003D1DE4">
              <w:rPr>
                <w:b/>
              </w:rPr>
              <w:t>Summary</w:t>
            </w:r>
          </w:p>
        </w:tc>
      </w:tr>
      <w:tr w:rsidR="00275C5A" w:rsidRPr="00E2771E" w:rsidTr="00487634">
        <w:tc>
          <w:tcPr>
            <w:tcW w:w="1396" w:type="pct"/>
            <w:shd w:val="clear" w:color="auto" w:fill="auto"/>
            <w:vAlign w:val="center"/>
          </w:tcPr>
          <w:p w:rsidR="00275C5A" w:rsidRPr="00E2771E" w:rsidRDefault="00275C5A" w:rsidP="003D1DE4">
            <w:pPr>
              <w:pStyle w:val="Tabletext"/>
            </w:pPr>
            <w:r w:rsidRPr="00E2771E">
              <w:t>Time horizon</w:t>
            </w:r>
          </w:p>
        </w:tc>
        <w:tc>
          <w:tcPr>
            <w:tcW w:w="3604" w:type="pct"/>
            <w:shd w:val="clear" w:color="auto" w:fill="auto"/>
            <w:vAlign w:val="center"/>
          </w:tcPr>
          <w:p w:rsidR="00275C5A" w:rsidRPr="00E2771E" w:rsidRDefault="00B02413" w:rsidP="003D1DE4">
            <w:pPr>
              <w:pStyle w:val="Tabletext"/>
            </w:pPr>
            <w:r>
              <w:rPr>
                <w:noProof/>
                <w:color w:val="000000"/>
                <w:highlight w:val="black"/>
              </w:rPr>
              <w:t>''''''</w:t>
            </w:r>
            <w:r w:rsidR="008A20FC">
              <w:t xml:space="preserve"> </w:t>
            </w:r>
            <w:r w:rsidR="00275C5A" w:rsidRPr="00E2771E">
              <w:t>years in the model base case versus</w:t>
            </w:r>
            <w:r w:rsidR="00071E6B">
              <w:t xml:space="preserve"> a median duration of follow-up of 20.3 months in SPARTAN and </w:t>
            </w:r>
            <w:r w:rsidR="00C11132">
              <w:t xml:space="preserve">49.2 months in Trial 302 for </w:t>
            </w:r>
            <w:proofErr w:type="spellStart"/>
            <w:r w:rsidR="00C11132">
              <w:t>abiraterone</w:t>
            </w:r>
            <w:proofErr w:type="spellEnd"/>
          </w:p>
        </w:tc>
      </w:tr>
      <w:tr w:rsidR="00275C5A" w:rsidRPr="00E2771E" w:rsidTr="00487634">
        <w:tc>
          <w:tcPr>
            <w:tcW w:w="1396" w:type="pct"/>
            <w:shd w:val="clear" w:color="auto" w:fill="auto"/>
            <w:vAlign w:val="center"/>
          </w:tcPr>
          <w:p w:rsidR="00275C5A" w:rsidRPr="00E2771E" w:rsidRDefault="00275C5A" w:rsidP="003D1DE4">
            <w:pPr>
              <w:pStyle w:val="Tabletext"/>
            </w:pPr>
            <w:r w:rsidRPr="00E2771E">
              <w:t>Outcomes</w:t>
            </w:r>
          </w:p>
        </w:tc>
        <w:tc>
          <w:tcPr>
            <w:tcW w:w="3604" w:type="pct"/>
            <w:shd w:val="clear" w:color="auto" w:fill="auto"/>
            <w:vAlign w:val="center"/>
          </w:tcPr>
          <w:p w:rsidR="00275C5A" w:rsidRPr="00E2771E" w:rsidRDefault="008A20FC" w:rsidP="003D1DE4">
            <w:pPr>
              <w:pStyle w:val="Tabletext"/>
            </w:pPr>
            <w:r>
              <w:t>LYG and QALYs</w:t>
            </w:r>
          </w:p>
        </w:tc>
      </w:tr>
      <w:tr w:rsidR="00275C5A" w:rsidRPr="00E2771E" w:rsidTr="00487634">
        <w:tc>
          <w:tcPr>
            <w:tcW w:w="1396" w:type="pct"/>
            <w:shd w:val="clear" w:color="auto" w:fill="auto"/>
            <w:vAlign w:val="center"/>
          </w:tcPr>
          <w:p w:rsidR="00275C5A" w:rsidRPr="00E2771E" w:rsidRDefault="00275C5A" w:rsidP="003D1DE4">
            <w:pPr>
              <w:pStyle w:val="Tabletext"/>
            </w:pPr>
            <w:r w:rsidRPr="00E2771E">
              <w:t>Methods used to generate results</w:t>
            </w:r>
          </w:p>
        </w:tc>
        <w:tc>
          <w:tcPr>
            <w:tcW w:w="3604" w:type="pct"/>
            <w:shd w:val="clear" w:color="auto" w:fill="auto"/>
            <w:vAlign w:val="center"/>
          </w:tcPr>
          <w:p w:rsidR="00275C5A" w:rsidRPr="00E2771E" w:rsidRDefault="00221808" w:rsidP="003D1DE4">
            <w:pPr>
              <w:pStyle w:val="Tabletext"/>
            </w:pPr>
            <w:r>
              <w:t>C</w:t>
            </w:r>
            <w:r w:rsidR="00275C5A" w:rsidRPr="00E2771E">
              <w:t>ohort expected value analysis</w:t>
            </w:r>
          </w:p>
        </w:tc>
      </w:tr>
      <w:tr w:rsidR="00275C5A" w:rsidRPr="00E2771E" w:rsidTr="00487634">
        <w:tc>
          <w:tcPr>
            <w:tcW w:w="1396" w:type="pct"/>
            <w:shd w:val="clear" w:color="auto" w:fill="auto"/>
            <w:vAlign w:val="center"/>
          </w:tcPr>
          <w:p w:rsidR="00275C5A" w:rsidRPr="00E2771E" w:rsidRDefault="00275C5A" w:rsidP="003D1DE4">
            <w:pPr>
              <w:pStyle w:val="Tabletext"/>
            </w:pPr>
            <w:r w:rsidRPr="00E2771E">
              <w:t>Health states</w:t>
            </w:r>
          </w:p>
        </w:tc>
        <w:tc>
          <w:tcPr>
            <w:tcW w:w="3604" w:type="pct"/>
            <w:shd w:val="clear" w:color="auto" w:fill="auto"/>
            <w:vAlign w:val="center"/>
          </w:tcPr>
          <w:p w:rsidR="00275C5A" w:rsidRPr="00E2771E" w:rsidRDefault="008A20FC" w:rsidP="003D1DE4">
            <w:pPr>
              <w:pStyle w:val="Tabletext"/>
            </w:pPr>
            <w:r>
              <w:t>Three health states: high risk m0CRPC; alive with distant metastases (</w:t>
            </w:r>
            <w:proofErr w:type="spellStart"/>
            <w:r>
              <w:t>mCRPC</w:t>
            </w:r>
            <w:proofErr w:type="spellEnd"/>
            <w:r>
              <w:t>) and death</w:t>
            </w:r>
          </w:p>
        </w:tc>
      </w:tr>
      <w:tr w:rsidR="00275C5A" w:rsidRPr="00E2771E" w:rsidTr="00487634">
        <w:tc>
          <w:tcPr>
            <w:tcW w:w="1396" w:type="pct"/>
            <w:shd w:val="clear" w:color="auto" w:fill="auto"/>
            <w:vAlign w:val="center"/>
          </w:tcPr>
          <w:p w:rsidR="00275C5A" w:rsidRPr="00E2771E" w:rsidRDefault="00275C5A" w:rsidP="003D1DE4">
            <w:pPr>
              <w:pStyle w:val="Tabletext"/>
            </w:pPr>
            <w:r w:rsidRPr="00E2771E">
              <w:t>Cycle length</w:t>
            </w:r>
          </w:p>
        </w:tc>
        <w:tc>
          <w:tcPr>
            <w:tcW w:w="3604" w:type="pct"/>
            <w:shd w:val="clear" w:color="auto" w:fill="auto"/>
            <w:vAlign w:val="center"/>
          </w:tcPr>
          <w:p w:rsidR="00275C5A" w:rsidRPr="00E2771E" w:rsidRDefault="008A20FC" w:rsidP="003D1DE4">
            <w:pPr>
              <w:pStyle w:val="Tabletext"/>
            </w:pPr>
            <w:r>
              <w:t>1 month</w:t>
            </w:r>
          </w:p>
        </w:tc>
      </w:tr>
      <w:tr w:rsidR="00275C5A" w:rsidRPr="00E2771E" w:rsidTr="00487634">
        <w:tc>
          <w:tcPr>
            <w:tcW w:w="1396" w:type="pct"/>
            <w:shd w:val="clear" w:color="auto" w:fill="auto"/>
            <w:vAlign w:val="center"/>
          </w:tcPr>
          <w:p w:rsidR="00275C5A" w:rsidRPr="00E2771E" w:rsidRDefault="00275C5A" w:rsidP="003D1DE4">
            <w:pPr>
              <w:pStyle w:val="Tabletext"/>
            </w:pPr>
            <w:r w:rsidRPr="00E2771E">
              <w:t>Transition probabilities</w:t>
            </w:r>
          </w:p>
        </w:tc>
        <w:tc>
          <w:tcPr>
            <w:tcW w:w="3604" w:type="pct"/>
            <w:shd w:val="clear" w:color="auto" w:fill="auto"/>
            <w:vAlign w:val="center"/>
          </w:tcPr>
          <w:p w:rsidR="00221808" w:rsidRDefault="004A51D0" w:rsidP="003D1DE4">
            <w:pPr>
              <w:pStyle w:val="Tabletext"/>
            </w:pPr>
            <w:r>
              <w:rPr>
                <w:b/>
              </w:rPr>
              <w:t>H</w:t>
            </w:r>
            <w:r w:rsidR="00CE09D7" w:rsidRPr="00264802">
              <w:rPr>
                <w:b/>
              </w:rPr>
              <w:t>igh risk m0CRPC</w:t>
            </w:r>
            <w:r w:rsidR="00CE09D7">
              <w:t xml:space="preserve">:  </w:t>
            </w:r>
            <w:r w:rsidR="005E4D58">
              <w:t>Kaplan Meier</w:t>
            </w:r>
            <w:r w:rsidR="00264802">
              <w:t xml:space="preserve"> estimates of MFS from SPARTAN extrapolated from </w:t>
            </w:r>
            <w:r w:rsidR="00B02413">
              <w:rPr>
                <w:noProof/>
                <w:color w:val="000000"/>
                <w:highlight w:val="black"/>
              </w:rPr>
              <w:t>''''''''''</w:t>
            </w:r>
            <w:r w:rsidR="00264802">
              <w:t xml:space="preserve"> months </w:t>
            </w:r>
            <w:r w:rsidR="00071E6B">
              <w:t xml:space="preserve">for </w:t>
            </w:r>
            <w:proofErr w:type="spellStart"/>
            <w:r w:rsidR="00071E6B">
              <w:t>apalutamide</w:t>
            </w:r>
            <w:proofErr w:type="spellEnd"/>
            <w:r w:rsidR="00071E6B">
              <w:t xml:space="preserve"> and from </w:t>
            </w:r>
            <w:r w:rsidR="00B02413">
              <w:rPr>
                <w:noProof/>
                <w:color w:val="000000"/>
                <w:highlight w:val="black"/>
              </w:rPr>
              <w:t>'''''''''''</w:t>
            </w:r>
            <w:r w:rsidR="00071E6B">
              <w:t xml:space="preserve"> months for placebo </w:t>
            </w:r>
            <w:r w:rsidR="00264802">
              <w:t>using a Weibull function.</w:t>
            </w:r>
          </w:p>
          <w:p w:rsidR="00275C5A" w:rsidRPr="00E2771E" w:rsidRDefault="00221808" w:rsidP="003D1DE4">
            <w:pPr>
              <w:pStyle w:val="Tabletext"/>
            </w:pPr>
            <w:proofErr w:type="spellStart"/>
            <w:proofErr w:type="gramStart"/>
            <w:r w:rsidRPr="00264802">
              <w:rPr>
                <w:b/>
              </w:rPr>
              <w:t>mCRPC</w:t>
            </w:r>
            <w:proofErr w:type="spellEnd"/>
            <w:proofErr w:type="gramEnd"/>
            <w:r>
              <w:t>:</w:t>
            </w:r>
            <w:r w:rsidR="00264802">
              <w:t xml:space="preserve">  Kaplan </w:t>
            </w:r>
            <w:r w:rsidR="00071E6B">
              <w:t>M</w:t>
            </w:r>
            <w:r w:rsidR="00264802">
              <w:t xml:space="preserve">eier estimates of OS from the placebo arm of the </w:t>
            </w:r>
            <w:proofErr w:type="spellStart"/>
            <w:r w:rsidR="00264802">
              <w:t>abiraterone</w:t>
            </w:r>
            <w:proofErr w:type="spellEnd"/>
            <w:r w:rsidR="00264802">
              <w:t xml:space="preserve"> 302 trial; extrapolated from </w:t>
            </w:r>
            <w:r w:rsidR="00B02413">
              <w:rPr>
                <w:noProof/>
                <w:color w:val="000000"/>
                <w:highlight w:val="black"/>
              </w:rPr>
              <w:t>''''''''''</w:t>
            </w:r>
            <w:r w:rsidR="00071E6B">
              <w:t xml:space="preserve"> </w:t>
            </w:r>
            <w:r w:rsidR="00264802">
              <w:t>months using a Weibull function.</w:t>
            </w:r>
            <w:r w:rsidR="00CB5A86">
              <w:t xml:space="preserve">  The same transition probabilities </w:t>
            </w:r>
            <w:r w:rsidR="00D96F67">
              <w:t>we</w:t>
            </w:r>
            <w:r w:rsidR="00CB5A86">
              <w:t xml:space="preserve">re applied to the </w:t>
            </w:r>
            <w:proofErr w:type="spellStart"/>
            <w:r w:rsidR="00CB5A86">
              <w:t>apalutamide</w:t>
            </w:r>
            <w:proofErr w:type="spellEnd"/>
            <w:r w:rsidR="00CB5A86">
              <w:t xml:space="preserve"> and placebo arms of the model.</w:t>
            </w:r>
          </w:p>
        </w:tc>
      </w:tr>
    </w:tbl>
    <w:p w:rsidR="003270E4" w:rsidRPr="0072416F" w:rsidRDefault="00221808" w:rsidP="00220C7D">
      <w:pPr>
        <w:pStyle w:val="TableFooter"/>
        <w:spacing w:after="160"/>
      </w:pPr>
      <w:r>
        <w:t>Source: Table 3.1, p213-214 of the submission.</w:t>
      </w:r>
    </w:p>
    <w:p w:rsidR="00EC511F" w:rsidRPr="00FA55BD" w:rsidRDefault="00EC511F" w:rsidP="00E3268C">
      <w:pPr>
        <w:pStyle w:val="ListParagraph"/>
        <w:numPr>
          <w:ilvl w:val="1"/>
          <w:numId w:val="3"/>
        </w:numPr>
      </w:pPr>
      <w:r w:rsidRPr="00FA55BD">
        <w:t xml:space="preserve">The ESC </w:t>
      </w:r>
      <w:r w:rsidR="004C2616" w:rsidRPr="00FA55BD">
        <w:t>noted the</w:t>
      </w:r>
      <w:r w:rsidRPr="00FA55BD">
        <w:t xml:space="preserve"> ICER is not sensitive to the difference between 10 and 15 year</w:t>
      </w:r>
      <w:r w:rsidR="004C2616" w:rsidRPr="00FA55BD">
        <w:t xml:space="preserve"> time horizons, given the events happen in the early years of the model</w:t>
      </w:r>
      <w:r w:rsidR="00220C7D" w:rsidRPr="00FA55BD">
        <w:t xml:space="preserve"> (see Figure 3 below)</w:t>
      </w:r>
      <w:r w:rsidRPr="00FA55BD">
        <w:t xml:space="preserve">. The ESC noted that six parametric approaches to extrapolation were </w:t>
      </w:r>
      <w:r w:rsidR="00642ED5" w:rsidRPr="00FA55BD">
        <w:t>under</w:t>
      </w:r>
      <w:r w:rsidRPr="00FA55BD">
        <w:t xml:space="preserve">taken and the Weibull method used, </w:t>
      </w:r>
      <w:r w:rsidR="006F6A3C" w:rsidRPr="00FA55BD">
        <w:t>although it was not</w:t>
      </w:r>
      <w:r w:rsidR="00E3268C" w:rsidRPr="00FA55BD">
        <w:t xml:space="preserve"> the best fit according to</w:t>
      </w:r>
      <w:r w:rsidRPr="00FA55BD">
        <w:t xml:space="preserve"> AIC and BIC</w:t>
      </w:r>
      <w:r w:rsidR="00642ED5" w:rsidRPr="00FA55BD">
        <w:t>. The ESC considered</w:t>
      </w:r>
      <w:r w:rsidR="006F6A3C" w:rsidRPr="00FA55BD">
        <w:t xml:space="preserve"> the choice of </w:t>
      </w:r>
      <w:r w:rsidR="00E700C4" w:rsidRPr="00FA55BD">
        <w:t>the Weibull</w:t>
      </w:r>
      <w:r w:rsidR="006F6A3C" w:rsidRPr="00FA55BD">
        <w:t xml:space="preserve"> function was not adequately justified</w:t>
      </w:r>
      <w:r w:rsidRPr="00FA55BD">
        <w:t xml:space="preserve">. The ESC noted that utilities were based on </w:t>
      </w:r>
      <w:r w:rsidR="00E3268C" w:rsidRPr="00FA55BD">
        <w:t>treatment</w:t>
      </w:r>
      <w:r w:rsidRPr="00FA55BD">
        <w:t xml:space="preserve"> specific EQ-5D values in the metastasis-free health state and the numerical mean of 20 publications was used for the </w:t>
      </w:r>
      <w:r w:rsidR="00220C7D" w:rsidRPr="00FA55BD">
        <w:t>metastatic</w:t>
      </w:r>
      <w:r w:rsidRPr="00FA55BD">
        <w:t xml:space="preserve"> health state. The ESC considered that this method of determining utility values lacks face validity but </w:t>
      </w:r>
      <w:r w:rsidR="00E3268C" w:rsidRPr="00FA55BD">
        <w:t xml:space="preserve">noted that </w:t>
      </w:r>
      <w:r w:rsidRPr="00FA55BD">
        <w:t xml:space="preserve">sensitivity analyses indicated that </w:t>
      </w:r>
      <w:r w:rsidR="00E700C4" w:rsidRPr="00FA55BD">
        <w:t xml:space="preserve">the utility values </w:t>
      </w:r>
      <w:r w:rsidRPr="00FA55BD">
        <w:t>had little impact on the ICER.</w:t>
      </w:r>
      <w:r w:rsidR="003A18BC" w:rsidRPr="00FA55BD">
        <w:t xml:space="preserve"> This highlight</w:t>
      </w:r>
      <w:r w:rsidR="00E700C4" w:rsidRPr="00FA55BD">
        <w:t>s</w:t>
      </w:r>
      <w:r w:rsidR="003A18BC" w:rsidRPr="00FA55BD">
        <w:t xml:space="preserve"> that the model is driven by the difference in OS rather than the difference in </w:t>
      </w:r>
      <w:proofErr w:type="spellStart"/>
      <w:r w:rsidR="003A18BC" w:rsidRPr="00FA55BD">
        <w:t>QoL</w:t>
      </w:r>
      <w:proofErr w:type="spellEnd"/>
      <w:r w:rsidR="003A18BC" w:rsidRPr="00FA55BD">
        <w:t>.</w:t>
      </w:r>
    </w:p>
    <w:p w:rsidR="003B1F05" w:rsidRDefault="003B1F05" w:rsidP="00D60514">
      <w:pPr>
        <w:pStyle w:val="ListParagraph"/>
        <w:numPr>
          <w:ilvl w:val="1"/>
          <w:numId w:val="3"/>
        </w:numPr>
        <w:spacing w:after="0"/>
      </w:pPr>
      <w:r w:rsidRPr="002001A2">
        <w:lastRenderedPageBreak/>
        <w:t>A summary of the key drivers of the economic model is provided in the table below</w:t>
      </w:r>
      <w:r>
        <w:t>.</w:t>
      </w:r>
    </w:p>
    <w:p w:rsidR="003B1F05" w:rsidRDefault="003B1F05" w:rsidP="003B1F05"/>
    <w:p w:rsidR="003B1F05" w:rsidRDefault="003B1F05" w:rsidP="00E3268C">
      <w:pPr>
        <w:keepNext/>
        <w:keepLines/>
      </w:pPr>
      <w:r w:rsidRPr="00A56B6A">
        <w:rPr>
          <w:rStyle w:val="CommentReference"/>
        </w:rPr>
        <w:t xml:space="preserve">Table </w:t>
      </w:r>
      <w:r>
        <w:rPr>
          <w:rStyle w:val="CommentReference"/>
        </w:rPr>
        <w:t>9</w:t>
      </w:r>
      <w:r w:rsidRPr="00A56B6A">
        <w:rPr>
          <w:rStyle w:val="CommentReference"/>
        </w:rPr>
        <w:t>: Key drivers of the model</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5"/>
        <w:gridCol w:w="5629"/>
        <w:gridCol w:w="1983"/>
      </w:tblGrid>
      <w:tr w:rsidR="00292376" w:rsidRPr="003D1DE4" w:rsidTr="00487634">
        <w:trPr>
          <w:tblHeader/>
        </w:trPr>
        <w:tc>
          <w:tcPr>
            <w:tcW w:w="727" w:type="pct"/>
            <w:shd w:val="clear" w:color="auto" w:fill="auto"/>
            <w:vAlign w:val="center"/>
          </w:tcPr>
          <w:p w:rsidR="003B1F05" w:rsidRPr="003D1DE4" w:rsidRDefault="003B1F05" w:rsidP="00E3268C">
            <w:pPr>
              <w:pStyle w:val="Tabletext"/>
              <w:keepNext/>
              <w:keepLines/>
              <w:rPr>
                <w:b/>
                <w:lang w:val="en-US"/>
              </w:rPr>
            </w:pPr>
            <w:r w:rsidRPr="003D1DE4">
              <w:rPr>
                <w:b/>
                <w:lang w:val="en-US"/>
              </w:rPr>
              <w:t>Description</w:t>
            </w:r>
          </w:p>
        </w:tc>
        <w:tc>
          <w:tcPr>
            <w:tcW w:w="3160" w:type="pct"/>
            <w:shd w:val="clear" w:color="auto" w:fill="auto"/>
            <w:vAlign w:val="center"/>
          </w:tcPr>
          <w:p w:rsidR="003B1F05" w:rsidRPr="003D1DE4" w:rsidRDefault="003B1F05" w:rsidP="00E3268C">
            <w:pPr>
              <w:pStyle w:val="Tabletext"/>
              <w:keepNext/>
              <w:keepLines/>
              <w:jc w:val="center"/>
              <w:rPr>
                <w:b/>
                <w:lang w:val="en-US"/>
              </w:rPr>
            </w:pPr>
            <w:r w:rsidRPr="003D1DE4">
              <w:rPr>
                <w:b/>
                <w:lang w:val="en-US"/>
              </w:rPr>
              <w:t>Method/Value</w:t>
            </w:r>
          </w:p>
        </w:tc>
        <w:tc>
          <w:tcPr>
            <w:tcW w:w="1113" w:type="pct"/>
            <w:shd w:val="clear" w:color="auto" w:fill="auto"/>
            <w:vAlign w:val="center"/>
          </w:tcPr>
          <w:p w:rsidR="003B1F05" w:rsidRPr="003D1DE4" w:rsidRDefault="003B1F05" w:rsidP="00E3268C">
            <w:pPr>
              <w:pStyle w:val="Tabletext"/>
              <w:keepNext/>
              <w:keepLines/>
              <w:jc w:val="center"/>
              <w:rPr>
                <w:b/>
                <w:lang w:val="en-US"/>
              </w:rPr>
            </w:pPr>
            <w:r w:rsidRPr="003D1DE4">
              <w:rPr>
                <w:b/>
                <w:lang w:val="en-US"/>
              </w:rPr>
              <w:t>Impact</w:t>
            </w:r>
          </w:p>
        </w:tc>
      </w:tr>
      <w:tr w:rsidR="00292376" w:rsidRPr="00A44512" w:rsidTr="00487634">
        <w:tc>
          <w:tcPr>
            <w:tcW w:w="727" w:type="pct"/>
            <w:shd w:val="clear" w:color="auto" w:fill="auto"/>
            <w:vAlign w:val="center"/>
          </w:tcPr>
          <w:p w:rsidR="003B1F05" w:rsidRPr="00A44512" w:rsidRDefault="003B1F05" w:rsidP="00E3268C">
            <w:pPr>
              <w:pStyle w:val="Tabletext"/>
              <w:keepNext/>
              <w:keepLines/>
              <w:rPr>
                <w:lang w:val="en-US"/>
              </w:rPr>
            </w:pPr>
            <w:r w:rsidRPr="00A44512">
              <w:rPr>
                <w:lang w:val="en-US"/>
              </w:rPr>
              <w:t>MFS</w:t>
            </w:r>
          </w:p>
        </w:tc>
        <w:tc>
          <w:tcPr>
            <w:tcW w:w="3160" w:type="pct"/>
            <w:shd w:val="clear" w:color="auto" w:fill="auto"/>
            <w:vAlign w:val="center"/>
          </w:tcPr>
          <w:p w:rsidR="003B1F05" w:rsidRPr="00A44512" w:rsidRDefault="009878A7" w:rsidP="00AB3C0C">
            <w:pPr>
              <w:pStyle w:val="Tabletext"/>
              <w:keepNext/>
              <w:keepLines/>
              <w:rPr>
                <w:lang w:val="en-US"/>
              </w:rPr>
            </w:pPr>
            <w:r w:rsidRPr="00A44512">
              <w:rPr>
                <w:lang w:val="en-US"/>
              </w:rPr>
              <w:t xml:space="preserve">Investigator-assessed </w:t>
            </w:r>
            <w:r w:rsidR="0064273A" w:rsidRPr="00A44512">
              <w:rPr>
                <w:lang w:val="en-US"/>
              </w:rPr>
              <w:t>MFS data from SPARTAN was used in the m0CRPC health state.</w:t>
            </w:r>
            <w:r w:rsidRPr="00A44512">
              <w:rPr>
                <w:lang w:val="en-US"/>
              </w:rPr>
              <w:t xml:space="preserve"> Th</w:t>
            </w:r>
            <w:r w:rsidR="00E700C4">
              <w:rPr>
                <w:lang w:val="en-US"/>
              </w:rPr>
              <w:t>e</w:t>
            </w:r>
            <w:r w:rsidRPr="00A44512">
              <w:rPr>
                <w:lang w:val="en-US"/>
              </w:rPr>
              <w:t>s</w:t>
            </w:r>
            <w:r w:rsidR="00E700C4">
              <w:rPr>
                <w:lang w:val="en-US"/>
              </w:rPr>
              <w:t>e</w:t>
            </w:r>
            <w:r w:rsidRPr="00A44512">
              <w:rPr>
                <w:lang w:val="en-US"/>
              </w:rPr>
              <w:t xml:space="preserve"> data showed a greater benefit (median months MFS of 41.20 months) than BICR-assessed data (40.51 months</w:t>
            </w:r>
            <w:r w:rsidRPr="00FA55BD">
              <w:rPr>
                <w:lang w:val="en-US"/>
              </w:rPr>
              <w:t>).</w:t>
            </w:r>
            <w:r w:rsidR="0064273A" w:rsidRPr="00FA55BD">
              <w:rPr>
                <w:lang w:val="en-US"/>
              </w:rPr>
              <w:t xml:space="preserve">  </w:t>
            </w:r>
            <w:r w:rsidR="00E121DE" w:rsidRPr="00FA55BD">
              <w:t>The MFS data</w:t>
            </w:r>
            <w:r w:rsidR="0064273A" w:rsidRPr="00FA55BD">
              <w:t xml:space="preserve"> from SPARTAN </w:t>
            </w:r>
            <w:r w:rsidR="00E121DE" w:rsidRPr="00FA55BD">
              <w:t>were</w:t>
            </w:r>
            <w:r w:rsidR="0064273A" w:rsidRPr="00FA55BD">
              <w:t xml:space="preserve"> immatur</w:t>
            </w:r>
            <w:r w:rsidR="006F6A3C" w:rsidRPr="00FA55BD">
              <w:t>e</w:t>
            </w:r>
            <w:r w:rsidR="00AB3C0C">
              <w:t>.</w:t>
            </w:r>
          </w:p>
        </w:tc>
        <w:tc>
          <w:tcPr>
            <w:tcW w:w="1113" w:type="pct"/>
            <w:shd w:val="clear" w:color="auto" w:fill="auto"/>
            <w:vAlign w:val="center"/>
          </w:tcPr>
          <w:p w:rsidR="00356BA1" w:rsidRPr="00A44512" w:rsidRDefault="0064273A" w:rsidP="00E3268C">
            <w:pPr>
              <w:pStyle w:val="Tabletext"/>
              <w:keepNext/>
              <w:keepLines/>
              <w:rPr>
                <w:lang w:val="en-US"/>
              </w:rPr>
            </w:pPr>
            <w:r w:rsidRPr="00A44512">
              <w:rPr>
                <w:lang w:val="en-US"/>
              </w:rPr>
              <w:t xml:space="preserve">High, </w:t>
            </w:r>
            <w:proofErr w:type="spellStart"/>
            <w:r w:rsidRPr="00A44512">
              <w:rPr>
                <w:lang w:val="en-US"/>
              </w:rPr>
              <w:t>favours</w:t>
            </w:r>
            <w:proofErr w:type="spellEnd"/>
            <w:r w:rsidRPr="00A44512">
              <w:rPr>
                <w:lang w:val="en-US"/>
              </w:rPr>
              <w:t xml:space="preserve"> </w:t>
            </w:r>
            <w:proofErr w:type="spellStart"/>
            <w:r w:rsidRPr="00A44512">
              <w:rPr>
                <w:lang w:val="en-US"/>
              </w:rPr>
              <w:t>apalutamide</w:t>
            </w:r>
            <w:proofErr w:type="spellEnd"/>
          </w:p>
          <w:p w:rsidR="003B1F05" w:rsidRPr="00A44512" w:rsidRDefault="00356BA1" w:rsidP="008C1260">
            <w:pPr>
              <w:pStyle w:val="Tabletext"/>
              <w:keepNext/>
              <w:keepLines/>
              <w:rPr>
                <w:lang w:val="en-US"/>
              </w:rPr>
            </w:pPr>
            <w:r w:rsidRPr="00A44512">
              <w:rPr>
                <w:iCs/>
                <w:lang w:val="en-US"/>
              </w:rPr>
              <w:t xml:space="preserve">(However, </w:t>
            </w:r>
            <w:r w:rsidR="008807EA">
              <w:rPr>
                <w:iCs/>
                <w:lang w:val="en-US"/>
              </w:rPr>
              <w:t>not</w:t>
            </w:r>
            <w:r w:rsidR="008807EA" w:rsidRPr="00A44512">
              <w:rPr>
                <w:iCs/>
                <w:lang w:val="en-US"/>
              </w:rPr>
              <w:t xml:space="preserve"> possible</w:t>
            </w:r>
            <w:r w:rsidRPr="00A44512">
              <w:rPr>
                <w:iCs/>
                <w:lang w:val="en-US"/>
              </w:rPr>
              <w:t xml:space="preserve"> to quantify in sensitivity analysis due to structural constraints of the model).</w:t>
            </w:r>
          </w:p>
        </w:tc>
      </w:tr>
      <w:tr w:rsidR="00292376" w:rsidRPr="00A44512" w:rsidTr="00487634">
        <w:tc>
          <w:tcPr>
            <w:tcW w:w="727" w:type="pct"/>
            <w:shd w:val="clear" w:color="auto" w:fill="auto"/>
            <w:vAlign w:val="center"/>
          </w:tcPr>
          <w:p w:rsidR="003B1F05" w:rsidRPr="00A44512" w:rsidRDefault="003B1F05" w:rsidP="00E3268C">
            <w:pPr>
              <w:pStyle w:val="Tabletext"/>
              <w:keepNext/>
              <w:keepLines/>
              <w:rPr>
                <w:lang w:val="pt-PT"/>
              </w:rPr>
            </w:pPr>
            <w:r w:rsidRPr="00A44512">
              <w:rPr>
                <w:lang w:val="pt-PT"/>
              </w:rPr>
              <w:t xml:space="preserve">MFS </w:t>
            </w:r>
            <w:r w:rsidR="0064273A" w:rsidRPr="00A44512">
              <w:rPr>
                <w:lang w:val="pt-PT"/>
              </w:rPr>
              <w:t>as a surrogate for</w:t>
            </w:r>
            <w:r w:rsidRPr="00A44512">
              <w:rPr>
                <w:lang w:val="pt-PT"/>
              </w:rPr>
              <w:t xml:space="preserve"> OS</w:t>
            </w:r>
          </w:p>
        </w:tc>
        <w:tc>
          <w:tcPr>
            <w:tcW w:w="3160" w:type="pct"/>
            <w:shd w:val="clear" w:color="auto" w:fill="auto"/>
            <w:vAlign w:val="center"/>
          </w:tcPr>
          <w:p w:rsidR="003B1F05" w:rsidRPr="00A44512" w:rsidRDefault="00B9129D" w:rsidP="00880A17">
            <w:pPr>
              <w:pStyle w:val="Tabletext"/>
              <w:keepNext/>
              <w:keepLines/>
              <w:rPr>
                <w:lang w:val="en-US"/>
              </w:rPr>
            </w:pPr>
            <w:r w:rsidRPr="00A44512">
              <w:t xml:space="preserve">The submission concluded that it is biologically plausible and it is likely that MFS is a valid and reasonable surrogate for OS in patients with m0CRPC at high risk of distant metastases.  The demonstration of a correlation between the surrogate (in this case MFS) and the clinical endpoint (OS) is in itself insufficient to validate a </w:t>
            </w:r>
            <w:r w:rsidR="00292376" w:rsidRPr="00A44512">
              <w:t xml:space="preserve">surrogate.  Given the lack of a demonstrated surrogate relationship between MFS and OS, the implicit assumption of a </w:t>
            </w:r>
            <w:r w:rsidR="006E6F8B" w:rsidRPr="00A44512">
              <w:t xml:space="preserve">near perfect </w:t>
            </w:r>
            <w:r w:rsidR="00292376" w:rsidRPr="00A44512">
              <w:t xml:space="preserve">relationship between MFS and OS in the economic model was not appropriate, </w:t>
            </w:r>
            <w:r w:rsidR="004914BF">
              <w:t>and this impacted on</w:t>
            </w:r>
            <w:r w:rsidR="00292376" w:rsidRPr="00A44512">
              <w:t xml:space="preserve"> the overall validity of the current economic evaluation.</w:t>
            </w:r>
          </w:p>
        </w:tc>
        <w:tc>
          <w:tcPr>
            <w:tcW w:w="1113" w:type="pct"/>
            <w:shd w:val="clear" w:color="auto" w:fill="auto"/>
            <w:vAlign w:val="center"/>
          </w:tcPr>
          <w:p w:rsidR="003B1F05" w:rsidRPr="00A44512" w:rsidRDefault="003B1F05" w:rsidP="00E3268C">
            <w:pPr>
              <w:pStyle w:val="Tabletext"/>
              <w:keepNext/>
              <w:keepLines/>
              <w:rPr>
                <w:lang w:val="en-US"/>
              </w:rPr>
            </w:pPr>
            <w:r w:rsidRPr="00A44512">
              <w:rPr>
                <w:lang w:val="en-US"/>
              </w:rPr>
              <w:t xml:space="preserve">High, </w:t>
            </w:r>
            <w:proofErr w:type="spellStart"/>
            <w:r w:rsidRPr="00A44512">
              <w:rPr>
                <w:lang w:val="en-US"/>
              </w:rPr>
              <w:t>favours</w:t>
            </w:r>
            <w:proofErr w:type="spellEnd"/>
            <w:r w:rsidRPr="00A44512">
              <w:rPr>
                <w:lang w:val="en-US"/>
              </w:rPr>
              <w:t xml:space="preserve"> </w:t>
            </w:r>
            <w:proofErr w:type="spellStart"/>
            <w:r w:rsidR="0064273A" w:rsidRPr="00A44512">
              <w:rPr>
                <w:lang w:val="en-US"/>
              </w:rPr>
              <w:t>apalutamide</w:t>
            </w:r>
            <w:proofErr w:type="spellEnd"/>
          </w:p>
          <w:p w:rsidR="006E6F8B" w:rsidRPr="00A44512" w:rsidRDefault="00356BA1" w:rsidP="008C1260">
            <w:pPr>
              <w:pStyle w:val="Tabletext"/>
              <w:keepNext/>
              <w:keepLines/>
              <w:rPr>
                <w:iCs/>
                <w:lang w:val="en-US"/>
              </w:rPr>
            </w:pPr>
            <w:r w:rsidRPr="00A44512">
              <w:rPr>
                <w:iCs/>
                <w:lang w:val="en-US"/>
              </w:rPr>
              <w:t>(However,</w:t>
            </w:r>
            <w:r w:rsidR="006E6F8B" w:rsidRPr="00A44512">
              <w:rPr>
                <w:iCs/>
                <w:lang w:val="en-US"/>
              </w:rPr>
              <w:t xml:space="preserve"> </w:t>
            </w:r>
            <w:r w:rsidR="00E700C4">
              <w:rPr>
                <w:iCs/>
                <w:lang w:val="en-US"/>
              </w:rPr>
              <w:t xml:space="preserve">not </w:t>
            </w:r>
            <w:r w:rsidRPr="00A44512">
              <w:rPr>
                <w:iCs/>
                <w:lang w:val="en-US"/>
              </w:rPr>
              <w:t>possible to quantify in sensitivity analysis due to structural constraints of the model).</w:t>
            </w:r>
          </w:p>
        </w:tc>
      </w:tr>
      <w:tr w:rsidR="00292376" w:rsidRPr="00A44512" w:rsidTr="00487634">
        <w:tc>
          <w:tcPr>
            <w:tcW w:w="727" w:type="pct"/>
            <w:shd w:val="clear" w:color="auto" w:fill="auto"/>
            <w:vAlign w:val="center"/>
          </w:tcPr>
          <w:p w:rsidR="003B1F05" w:rsidRPr="00A44512" w:rsidRDefault="0064273A" w:rsidP="00E3268C">
            <w:pPr>
              <w:pStyle w:val="Tabletext"/>
              <w:keepNext/>
              <w:keepLines/>
              <w:rPr>
                <w:lang w:val="en-US"/>
              </w:rPr>
            </w:pPr>
            <w:r w:rsidRPr="00A44512">
              <w:rPr>
                <w:lang w:val="en-US"/>
              </w:rPr>
              <w:t xml:space="preserve">Use of </w:t>
            </w:r>
            <w:proofErr w:type="spellStart"/>
            <w:r w:rsidRPr="00A44512">
              <w:rPr>
                <w:lang w:val="en-US"/>
              </w:rPr>
              <w:t>abiraterone</w:t>
            </w:r>
            <w:proofErr w:type="spellEnd"/>
            <w:r w:rsidRPr="00A44512">
              <w:rPr>
                <w:lang w:val="en-US"/>
              </w:rPr>
              <w:t xml:space="preserve"> Trial 302 data</w:t>
            </w:r>
          </w:p>
        </w:tc>
        <w:tc>
          <w:tcPr>
            <w:tcW w:w="3160" w:type="pct"/>
            <w:shd w:val="clear" w:color="auto" w:fill="auto"/>
            <w:vAlign w:val="center"/>
          </w:tcPr>
          <w:p w:rsidR="003B1F05" w:rsidRPr="00A44512" w:rsidRDefault="00363BAA" w:rsidP="008C1260">
            <w:pPr>
              <w:pStyle w:val="Tabletext"/>
              <w:keepNext/>
              <w:keepLines/>
            </w:pPr>
            <w:r w:rsidRPr="00A44512">
              <w:t xml:space="preserve">Placebo arm data from </w:t>
            </w:r>
            <w:proofErr w:type="spellStart"/>
            <w:r w:rsidRPr="00A44512">
              <w:t>a</w:t>
            </w:r>
            <w:r w:rsidR="00FF145E" w:rsidRPr="00A44512">
              <w:t>biraterone</w:t>
            </w:r>
            <w:proofErr w:type="spellEnd"/>
            <w:r w:rsidR="00FF145E" w:rsidRPr="00A44512">
              <w:t xml:space="preserve"> </w:t>
            </w:r>
            <w:r w:rsidR="004D15C4" w:rsidRPr="00A44512">
              <w:t xml:space="preserve">302 </w:t>
            </w:r>
            <w:r w:rsidRPr="00A44512">
              <w:t xml:space="preserve">trial </w:t>
            </w:r>
            <w:r w:rsidR="00FF145E" w:rsidRPr="00A44512">
              <w:t xml:space="preserve">was used for the </w:t>
            </w:r>
            <w:proofErr w:type="spellStart"/>
            <w:r w:rsidR="00FF145E" w:rsidRPr="00A44512">
              <w:t>mCRPC</w:t>
            </w:r>
            <w:proofErr w:type="spellEnd"/>
            <w:r w:rsidR="00FF145E" w:rsidRPr="00A44512">
              <w:t xml:space="preserve"> health state as there had been too few deaths in SPARTAN to allow for reliable </w:t>
            </w:r>
            <w:r w:rsidR="00576705" w:rsidRPr="00A44512">
              <w:t>extrapolation</w:t>
            </w:r>
            <w:r w:rsidR="00FF145E" w:rsidRPr="00A44512">
              <w:t xml:space="preserve">s of survival.  </w:t>
            </w:r>
            <w:r w:rsidRPr="00A44512">
              <w:t xml:space="preserve">Although </w:t>
            </w:r>
            <w:r w:rsidR="004D15C4" w:rsidRPr="00A44512">
              <w:t>the approach to use more mature survival data was valid</w:t>
            </w:r>
            <w:r w:rsidR="00FF145E" w:rsidRPr="00A44512">
              <w:t xml:space="preserve">, </w:t>
            </w:r>
            <w:r w:rsidR="00576705" w:rsidRPr="00A44512">
              <w:t xml:space="preserve">the data used may have been impacted by cross-over and it was uncertain whether the sequential therapies used in Trial 302 will reflect future use.  In addition, given the possibility of cross-resistance, the assumption of similar survival after metastasis could favour </w:t>
            </w:r>
            <w:proofErr w:type="spellStart"/>
            <w:r w:rsidR="00576705" w:rsidRPr="00A44512">
              <w:t>apalutamide</w:t>
            </w:r>
            <w:proofErr w:type="spellEnd"/>
            <w:r w:rsidR="00576705" w:rsidRPr="00A44512">
              <w:t xml:space="preserve"> (as these patients may have diminished ability to benefit from subsequent enzalutamide or </w:t>
            </w:r>
            <w:proofErr w:type="spellStart"/>
            <w:r w:rsidR="00576705" w:rsidRPr="00A44512">
              <w:t>abiraterone</w:t>
            </w:r>
            <w:proofErr w:type="spellEnd"/>
            <w:r w:rsidR="00576705" w:rsidRPr="00A44512">
              <w:t>) and bias against placebo (since these patients are unlikely to have cross-resistance issues).</w:t>
            </w:r>
          </w:p>
        </w:tc>
        <w:tc>
          <w:tcPr>
            <w:tcW w:w="1113" w:type="pct"/>
            <w:shd w:val="clear" w:color="auto" w:fill="auto"/>
            <w:vAlign w:val="center"/>
          </w:tcPr>
          <w:p w:rsidR="00356BA1" w:rsidRPr="00A44512" w:rsidRDefault="0064273A" w:rsidP="00E3268C">
            <w:pPr>
              <w:pStyle w:val="Tabletext"/>
              <w:keepNext/>
              <w:keepLines/>
              <w:rPr>
                <w:lang w:val="en-US"/>
              </w:rPr>
            </w:pPr>
            <w:r w:rsidRPr="00A44512">
              <w:rPr>
                <w:lang w:val="en-US"/>
              </w:rPr>
              <w:t xml:space="preserve">Moderate, </w:t>
            </w:r>
            <w:proofErr w:type="spellStart"/>
            <w:r w:rsidRPr="00A44512">
              <w:rPr>
                <w:lang w:val="en-US"/>
              </w:rPr>
              <w:t>favours</w:t>
            </w:r>
            <w:proofErr w:type="spellEnd"/>
            <w:r w:rsidRPr="00A44512">
              <w:rPr>
                <w:lang w:val="en-US"/>
              </w:rPr>
              <w:t xml:space="preserve"> </w:t>
            </w:r>
            <w:proofErr w:type="spellStart"/>
            <w:r w:rsidRPr="00A44512">
              <w:rPr>
                <w:lang w:val="en-US"/>
              </w:rPr>
              <w:t>apalutamide</w:t>
            </w:r>
            <w:proofErr w:type="spellEnd"/>
          </w:p>
          <w:p w:rsidR="003B1F05" w:rsidRPr="00A44512" w:rsidRDefault="00356BA1" w:rsidP="00F50C3C">
            <w:pPr>
              <w:pStyle w:val="Tabletext"/>
              <w:keepNext/>
              <w:keepLines/>
              <w:rPr>
                <w:lang w:val="en-US"/>
              </w:rPr>
            </w:pPr>
            <w:r w:rsidRPr="00A44512">
              <w:rPr>
                <w:iCs/>
                <w:lang w:val="en-US"/>
              </w:rPr>
              <w:t xml:space="preserve">(However, </w:t>
            </w:r>
            <w:r w:rsidR="00E700C4">
              <w:rPr>
                <w:iCs/>
                <w:lang w:val="en-US"/>
              </w:rPr>
              <w:t xml:space="preserve">not </w:t>
            </w:r>
            <w:r w:rsidRPr="00A44512">
              <w:rPr>
                <w:iCs/>
                <w:lang w:val="en-US"/>
              </w:rPr>
              <w:t>possible to quantify in sensitivity analysis due to structural constraints of the model).</w:t>
            </w:r>
          </w:p>
        </w:tc>
      </w:tr>
    </w:tbl>
    <w:p w:rsidR="003B1F05" w:rsidRPr="00EC511F" w:rsidRDefault="007D048F" w:rsidP="00E3268C">
      <w:pPr>
        <w:pStyle w:val="TableFooter"/>
        <w:keepNext/>
        <w:keepLines/>
        <w:rPr>
          <w:szCs w:val="18"/>
        </w:rPr>
      </w:pPr>
      <w:r w:rsidRPr="00EC511F">
        <w:rPr>
          <w:szCs w:val="18"/>
        </w:rPr>
        <w:t xml:space="preserve">IPD=individual patient data; </w:t>
      </w:r>
      <w:r w:rsidR="003B1F05" w:rsidRPr="00EC511F">
        <w:rPr>
          <w:szCs w:val="18"/>
        </w:rPr>
        <w:t>MFS=metastasis-free survival; OS =overall survival</w:t>
      </w:r>
    </w:p>
    <w:p w:rsidR="00EC511F" w:rsidRPr="00EC511F" w:rsidRDefault="003B1F05" w:rsidP="00E3268C">
      <w:pPr>
        <w:keepNext/>
        <w:keepLines/>
        <w:spacing w:after="240"/>
        <w:rPr>
          <w:rFonts w:ascii="Arial Narrow" w:hAnsi="Arial Narrow"/>
          <w:sz w:val="18"/>
          <w:szCs w:val="18"/>
        </w:rPr>
      </w:pPr>
      <w:r w:rsidRPr="00EC511F">
        <w:rPr>
          <w:rFonts w:ascii="Arial Narrow" w:hAnsi="Arial Narrow"/>
          <w:sz w:val="18"/>
          <w:szCs w:val="18"/>
        </w:rPr>
        <w:t xml:space="preserve">Source: </w:t>
      </w:r>
      <w:r w:rsidR="00292376" w:rsidRPr="00EC511F">
        <w:rPr>
          <w:rFonts w:ascii="Arial Narrow" w:hAnsi="Arial Narrow"/>
          <w:sz w:val="18"/>
          <w:szCs w:val="18"/>
        </w:rPr>
        <w:t>Section 3.2 to 3.4, p218-281 of the submission.</w:t>
      </w:r>
    </w:p>
    <w:p w:rsidR="0063016E" w:rsidRPr="00A44512" w:rsidRDefault="0063016E" w:rsidP="00D60514">
      <w:pPr>
        <w:pStyle w:val="ListParagraph"/>
        <w:numPr>
          <w:ilvl w:val="1"/>
          <w:numId w:val="3"/>
        </w:numPr>
        <w:spacing w:after="0"/>
      </w:pPr>
      <w:r>
        <w:t>The submission provided</w:t>
      </w:r>
      <w:r w:rsidR="005654B5">
        <w:t xml:space="preserve"> </w:t>
      </w:r>
      <w:r>
        <w:t>a detailed discussion of the use of MFS as a surrogate outcome for OS</w:t>
      </w:r>
      <w:r w:rsidR="005654B5">
        <w:t xml:space="preserve"> </w:t>
      </w:r>
      <w:r>
        <w:t xml:space="preserve">and concluded </w:t>
      </w:r>
      <w:r w:rsidR="005654B5">
        <w:t>it is biologically plausible and it is likely that MFS is a valid and reasonable surrogate for patients with m0CRPC at high risk of distant metastases</w:t>
      </w:r>
      <w:r>
        <w:t xml:space="preserve">. </w:t>
      </w:r>
      <w:r w:rsidRPr="00A44512">
        <w:t>The evidence provided by the submission did not support this conclusion</w:t>
      </w:r>
      <w:r w:rsidR="005654B5" w:rsidRPr="00A44512">
        <w:t>, for the following reasons:</w:t>
      </w:r>
    </w:p>
    <w:p w:rsidR="00CD4C18" w:rsidRPr="00A44512" w:rsidRDefault="00CD4C18" w:rsidP="00D60514">
      <w:pPr>
        <w:pStyle w:val="Bulletpoints"/>
        <w:ind w:left="993" w:hanging="284"/>
      </w:pPr>
      <w:r w:rsidRPr="00A44512">
        <w:t xml:space="preserve">While there may be some evidence to support the biological plausibility of a surrogate relationship between MFS and OS, </w:t>
      </w:r>
      <w:r w:rsidR="008B7382" w:rsidRPr="00A44512">
        <w:t xml:space="preserve">as noted in </w:t>
      </w:r>
      <w:r w:rsidRPr="00A44512">
        <w:t>the Surrogate to Final Outcomes Working Group report (p22)</w:t>
      </w:r>
      <w:r w:rsidR="008B7382" w:rsidRPr="00A44512">
        <w:t>,</w:t>
      </w:r>
      <w:r w:rsidRPr="00A44512">
        <w:t xml:space="preserve"> a proposed surrogate measure is more persuasive if it is a necessary step in the development of the target clinical outcome, and is close developmentally to the target outcome. Trial evidence is yet to prove that a significant improvement in MFS is associated with equally significant gains in OS. Even after progression to metastatic disease, death is not immediate, with patients spending considerable time in </w:t>
      </w:r>
      <w:proofErr w:type="spellStart"/>
      <w:r w:rsidRPr="00A44512">
        <w:t>mCRPC</w:t>
      </w:r>
      <w:proofErr w:type="spellEnd"/>
      <w:r w:rsidRPr="00A44512">
        <w:t xml:space="preserve"> before death (</w:t>
      </w:r>
      <w:r w:rsidR="00E308CD" w:rsidRPr="00A44512">
        <w:t>e.g.</w:t>
      </w:r>
      <w:r w:rsidRPr="00A44512">
        <w:t xml:space="preserve">, the submission’s model had estimated around </w:t>
      </w:r>
      <w:r w:rsidR="00B02413">
        <w:rPr>
          <w:noProof/>
          <w:color w:val="000000"/>
          <w:highlight w:val="black"/>
        </w:rPr>
        <w:t>'''''</w:t>
      </w:r>
      <w:r w:rsidRPr="00A44512">
        <w:t xml:space="preserve"> months) thus lacking immediate proximity to death.</w:t>
      </w:r>
    </w:p>
    <w:p w:rsidR="005654B5" w:rsidRDefault="00292376" w:rsidP="00E30CF1">
      <w:pPr>
        <w:pStyle w:val="Bulletpoints"/>
        <w:spacing w:after="160"/>
        <w:ind w:left="993" w:hanging="284"/>
      </w:pPr>
      <w:r w:rsidRPr="00A44512">
        <w:lastRenderedPageBreak/>
        <w:t>Literature addressing the validity of surrogate endpoints in oncology</w:t>
      </w:r>
      <w:r w:rsidRPr="00A44512">
        <w:rPr>
          <w:rStyle w:val="FootnoteReference"/>
        </w:rPr>
        <w:footnoteReference w:id="12"/>
      </w:r>
      <w:r w:rsidRPr="00A44512">
        <w:t xml:space="preserve"> notes that the demonstration of a correlation between the surrogate (in this case MFS) and the clinical endpoint (OS) is in itself insufficient to validate a surrogate.  </w:t>
      </w:r>
      <w:r w:rsidR="00E700C4">
        <w:t>Although</w:t>
      </w:r>
      <w:r w:rsidRPr="00A44512">
        <w:t xml:space="preserve"> a correlation</w:t>
      </w:r>
      <w:r w:rsidR="00E700C4">
        <w:t xml:space="preserve"> has been demonstrated, t</w:t>
      </w:r>
      <w:r w:rsidRPr="00A44512">
        <w:t xml:space="preserve">here is no evidence that indicates a statistically significant dependence between MFS and OS. Furthermore, the submission’s analyses suggested that only </w:t>
      </w:r>
      <w:r w:rsidR="00B02413">
        <w:rPr>
          <w:noProof/>
          <w:color w:val="000000"/>
          <w:highlight w:val="black"/>
        </w:rPr>
        <w:t>'''''</w:t>
      </w:r>
      <w:r w:rsidRPr="00A44512">
        <w:t xml:space="preserve">% of variability in OS </w:t>
      </w:r>
      <w:r w:rsidR="00C220E3" w:rsidRPr="00A44512">
        <w:t>wa</w:t>
      </w:r>
      <w:r w:rsidRPr="00A44512">
        <w:t>s able to be explained by MFS, therefore inadequately supporting the implicit assumption of a</w:t>
      </w:r>
      <w:r w:rsidR="0008326A" w:rsidRPr="00A44512">
        <w:t>n essentially</w:t>
      </w:r>
      <w:r w:rsidRPr="00A44512">
        <w:t xml:space="preserve"> </w:t>
      </w:r>
      <w:r w:rsidR="00B02413">
        <w:rPr>
          <w:noProof/>
          <w:color w:val="000000"/>
          <w:highlight w:val="black"/>
        </w:rPr>
        <w:t>''''''</w:t>
      </w:r>
      <w:r w:rsidRPr="00A44512">
        <w:t xml:space="preserve"> relationship between MFS and OS in the model.</w:t>
      </w:r>
      <w:r w:rsidR="00661BDF">
        <w:t xml:space="preserve"> </w:t>
      </w:r>
      <w:r w:rsidR="00661BDF">
        <w:rPr>
          <w:i/>
        </w:rPr>
        <w:t xml:space="preserve">See also </w:t>
      </w:r>
      <w:r w:rsidR="00661BDF" w:rsidRPr="00130EE0">
        <w:rPr>
          <w:i/>
        </w:rPr>
        <w:t>paragraph 6.</w:t>
      </w:r>
      <w:r w:rsidR="00677EB1">
        <w:rPr>
          <w:i/>
        </w:rPr>
        <w:t>11</w:t>
      </w:r>
      <w:r w:rsidR="00661BDF">
        <w:rPr>
          <w:i/>
        </w:rPr>
        <w:t xml:space="preserve"> above.</w:t>
      </w:r>
    </w:p>
    <w:p w:rsidR="00C33B0B" w:rsidRPr="00A44512" w:rsidRDefault="00C33B0B" w:rsidP="00E30CF1">
      <w:pPr>
        <w:pStyle w:val="ListParagraph"/>
        <w:numPr>
          <w:ilvl w:val="1"/>
          <w:numId w:val="3"/>
        </w:numPr>
        <w:spacing w:after="0"/>
      </w:pPr>
      <w:r>
        <w:t xml:space="preserve">The use of data from the placebo arm of the </w:t>
      </w:r>
      <w:proofErr w:type="spellStart"/>
      <w:r>
        <w:t>abiraterone</w:t>
      </w:r>
      <w:proofErr w:type="spellEnd"/>
      <w:r>
        <w:t xml:space="preserve"> Trial 302 to inform both the </w:t>
      </w:r>
      <w:proofErr w:type="spellStart"/>
      <w:r>
        <w:t>apalutamide</w:t>
      </w:r>
      <w:proofErr w:type="spellEnd"/>
      <w:r>
        <w:t xml:space="preserve"> and placebo arms in the </w:t>
      </w:r>
      <w:proofErr w:type="spellStart"/>
      <w:r>
        <w:t>mCRPC</w:t>
      </w:r>
      <w:proofErr w:type="spellEnd"/>
      <w:r>
        <w:t xml:space="preserve"> health state of the model was reasonable given there had been too few deaths in SPARTAN to allow for reliable </w:t>
      </w:r>
      <w:r w:rsidRPr="00A44512">
        <w:t xml:space="preserve">extrapolations of survival. However, use of </w:t>
      </w:r>
      <w:r w:rsidR="00130EE0" w:rsidRPr="00A44512">
        <w:t>th</w:t>
      </w:r>
      <w:r w:rsidR="00130EE0">
        <w:t>ese</w:t>
      </w:r>
      <w:r w:rsidR="00130EE0" w:rsidRPr="00A44512">
        <w:t xml:space="preserve"> </w:t>
      </w:r>
      <w:r w:rsidRPr="00A44512">
        <w:t>data may have biased results, given the following:</w:t>
      </w:r>
    </w:p>
    <w:p w:rsidR="00D44C83" w:rsidRPr="00FA55BD" w:rsidRDefault="00427223" w:rsidP="00E30CF1">
      <w:pPr>
        <w:pStyle w:val="Bulletpoints"/>
        <w:ind w:left="993" w:hanging="284"/>
      </w:pPr>
      <w:r w:rsidRPr="00A44512">
        <w:rPr>
          <w:iCs/>
        </w:rPr>
        <w:t xml:space="preserve">Approximately </w:t>
      </w:r>
      <w:r w:rsidR="00B02413">
        <w:rPr>
          <w:iCs/>
          <w:noProof/>
          <w:color w:val="000000"/>
          <w:highlight w:val="black"/>
        </w:rPr>
        <w:t>'''''</w:t>
      </w:r>
      <w:r w:rsidRPr="00A44512">
        <w:rPr>
          <w:iCs/>
        </w:rPr>
        <w:t xml:space="preserve">% of placebo-treated patients crossed over and had received </w:t>
      </w:r>
      <w:proofErr w:type="spellStart"/>
      <w:r w:rsidRPr="00A44512">
        <w:rPr>
          <w:iCs/>
        </w:rPr>
        <w:t>abiraterone</w:t>
      </w:r>
      <w:proofErr w:type="spellEnd"/>
      <w:r w:rsidRPr="00A44512">
        <w:rPr>
          <w:iCs/>
        </w:rPr>
        <w:t xml:space="preserve"> as first subsequent therapy. Treatment switching was not discussed by the submission and was only mentioned in a table footnote. </w:t>
      </w:r>
      <w:r w:rsidR="00AD5413">
        <w:rPr>
          <w:iCs/>
        </w:rPr>
        <w:t>Use of</w:t>
      </w:r>
      <w:r w:rsidRPr="00A44512">
        <w:rPr>
          <w:iCs/>
        </w:rPr>
        <w:t xml:space="preserve"> </w:t>
      </w:r>
      <w:proofErr w:type="spellStart"/>
      <w:r w:rsidRPr="00A44512">
        <w:rPr>
          <w:iCs/>
        </w:rPr>
        <w:t>abiraterone</w:t>
      </w:r>
      <w:proofErr w:type="spellEnd"/>
      <w:r w:rsidRPr="00A44512">
        <w:rPr>
          <w:iCs/>
        </w:rPr>
        <w:t xml:space="preserve"> </w:t>
      </w:r>
      <w:r w:rsidR="00AD5413">
        <w:rPr>
          <w:iCs/>
        </w:rPr>
        <w:t>is</w:t>
      </w:r>
      <w:r w:rsidR="00AD5413" w:rsidRPr="00A44512">
        <w:rPr>
          <w:iCs/>
        </w:rPr>
        <w:t xml:space="preserve"> </w:t>
      </w:r>
      <w:r w:rsidRPr="00A44512">
        <w:rPr>
          <w:iCs/>
        </w:rPr>
        <w:t xml:space="preserve">not likely to reflect Australian clinical practice since </w:t>
      </w:r>
      <w:proofErr w:type="spellStart"/>
      <w:r w:rsidRPr="00A44512">
        <w:rPr>
          <w:iCs/>
        </w:rPr>
        <w:t>abiraterone</w:t>
      </w:r>
      <w:proofErr w:type="spellEnd"/>
      <w:r w:rsidRPr="00A44512">
        <w:rPr>
          <w:iCs/>
        </w:rPr>
        <w:t xml:space="preserve"> is only PBS listed for </w:t>
      </w:r>
      <w:proofErr w:type="spellStart"/>
      <w:r w:rsidRPr="00A44512">
        <w:rPr>
          <w:iCs/>
        </w:rPr>
        <w:t>mCRPC</w:t>
      </w:r>
      <w:proofErr w:type="spellEnd"/>
      <w:r w:rsidRPr="00A44512">
        <w:rPr>
          <w:iCs/>
        </w:rPr>
        <w:t xml:space="preserve"> after docetaxel therapy or in patients with predicted intolerance to docetaxel.</w:t>
      </w:r>
      <w:r w:rsidR="005968AD" w:rsidRPr="00A44512">
        <w:rPr>
          <w:iCs/>
        </w:rPr>
        <w:t xml:space="preserve"> </w:t>
      </w:r>
      <w:r w:rsidR="00582B3C">
        <w:rPr>
          <w:iCs/>
        </w:rPr>
        <w:t>Further,</w:t>
      </w:r>
      <w:r w:rsidR="00582B3C" w:rsidRPr="00A44512">
        <w:rPr>
          <w:iCs/>
        </w:rPr>
        <w:t xml:space="preserve"> </w:t>
      </w:r>
      <w:r w:rsidR="005968AD" w:rsidRPr="00A44512">
        <w:rPr>
          <w:iCs/>
        </w:rPr>
        <w:t>g</w:t>
      </w:r>
      <w:r w:rsidR="002B6321" w:rsidRPr="00A44512">
        <w:rPr>
          <w:iCs/>
        </w:rPr>
        <w:t>i</w:t>
      </w:r>
      <w:r w:rsidR="005968AD" w:rsidRPr="00A44512">
        <w:rPr>
          <w:iCs/>
        </w:rPr>
        <w:t>ven the trend of using active treatments earlier in the disease pathways</w:t>
      </w:r>
      <w:r w:rsidR="00661BDF">
        <w:rPr>
          <w:iCs/>
        </w:rPr>
        <w:t xml:space="preserve"> </w:t>
      </w:r>
      <w:r w:rsidR="00661BDF" w:rsidRPr="00FA55BD">
        <w:rPr>
          <w:iCs/>
        </w:rPr>
        <w:t>and issues of cross-resistance with sequential therapies</w:t>
      </w:r>
      <w:r w:rsidR="005968AD" w:rsidRPr="00FA55BD">
        <w:rPr>
          <w:iCs/>
        </w:rPr>
        <w:t>,</w:t>
      </w:r>
      <w:r w:rsidR="005968AD" w:rsidRPr="00A44512">
        <w:rPr>
          <w:iCs/>
        </w:rPr>
        <w:t xml:space="preserve"> it was uncertain whether the sequential therapies in Trial 302 will reflect future use</w:t>
      </w:r>
      <w:r w:rsidR="005968AD" w:rsidRPr="00FA55BD">
        <w:rPr>
          <w:iCs/>
        </w:rPr>
        <w:t>.</w:t>
      </w:r>
      <w:r w:rsidR="00E4215B" w:rsidRPr="00FA55BD">
        <w:rPr>
          <w:iCs/>
        </w:rPr>
        <w:t xml:space="preserve"> The ESC agreed that the use of </w:t>
      </w:r>
      <w:proofErr w:type="spellStart"/>
      <w:r w:rsidR="00E4215B" w:rsidRPr="00FA55BD">
        <w:rPr>
          <w:iCs/>
        </w:rPr>
        <w:t>abiraterone</w:t>
      </w:r>
      <w:proofErr w:type="spellEnd"/>
      <w:r w:rsidR="00E4215B" w:rsidRPr="00FA55BD">
        <w:rPr>
          <w:iCs/>
        </w:rPr>
        <w:t xml:space="preserve"> as subsequent therapy makes the use of Trial 302 data in the model problematic.</w:t>
      </w:r>
    </w:p>
    <w:p w:rsidR="00427223" w:rsidRDefault="00765183" w:rsidP="00E30CF1">
      <w:pPr>
        <w:pStyle w:val="Bulletpoints"/>
        <w:spacing w:after="160"/>
        <w:ind w:left="993" w:hanging="284"/>
      </w:pPr>
      <w:r w:rsidRPr="00A44512">
        <w:t xml:space="preserve">The submission’s statement that the application of identical transition probabilities based on the placebo arm of Trial 302 for </w:t>
      </w:r>
      <w:proofErr w:type="spellStart"/>
      <w:r w:rsidRPr="00A44512">
        <w:t>apalutamide</w:t>
      </w:r>
      <w:proofErr w:type="spellEnd"/>
      <w:r w:rsidRPr="00A44512">
        <w:t xml:space="preserve"> and placebo arms had disadvantaged </w:t>
      </w:r>
      <w:proofErr w:type="spellStart"/>
      <w:r w:rsidR="00411FD4" w:rsidRPr="00A44512">
        <w:t>apa</w:t>
      </w:r>
      <w:r w:rsidRPr="00A44512">
        <w:t>lutamide</w:t>
      </w:r>
      <w:proofErr w:type="spellEnd"/>
      <w:r w:rsidRPr="00A44512">
        <w:t xml:space="preserve"> </w:t>
      </w:r>
      <w:r w:rsidR="00664425" w:rsidRPr="00A44512">
        <w:t>was not</w:t>
      </w:r>
      <w:r w:rsidRPr="00A44512">
        <w:t xml:space="preserve"> supported. </w:t>
      </w:r>
      <w:r w:rsidR="00E30CF1" w:rsidRPr="00A44512">
        <w:t>While r</w:t>
      </w:r>
      <w:r w:rsidRPr="00A44512">
        <w:t>emoval of discounting</w:t>
      </w:r>
      <w:r w:rsidR="00E30CF1" w:rsidRPr="00A44512">
        <w:t xml:space="preserve"> and</w:t>
      </w:r>
      <w:r w:rsidRPr="00A44512">
        <w:t xml:space="preserve"> altering the death rates in the </w:t>
      </w:r>
      <w:proofErr w:type="spellStart"/>
      <w:r w:rsidRPr="00A44512">
        <w:t>mCRPC</w:t>
      </w:r>
      <w:proofErr w:type="spellEnd"/>
      <w:r w:rsidRPr="00A44512">
        <w:t xml:space="preserve"> state </w:t>
      </w:r>
      <w:r w:rsidR="00E30CF1" w:rsidRPr="00A44512">
        <w:t xml:space="preserve">had minimal impact on the ICER, potential cross-resistance between </w:t>
      </w:r>
      <w:proofErr w:type="spellStart"/>
      <w:r w:rsidR="00E30CF1" w:rsidRPr="00A44512">
        <w:t>apalutam</w:t>
      </w:r>
      <w:r w:rsidR="00677EB1">
        <w:t>ide</w:t>
      </w:r>
      <w:proofErr w:type="spellEnd"/>
      <w:r w:rsidR="00677EB1">
        <w:t xml:space="preserve"> and subsequent enzalutamide</w:t>
      </w:r>
      <w:r w:rsidR="00E30CF1" w:rsidRPr="00A44512">
        <w:t>/</w:t>
      </w:r>
      <w:proofErr w:type="spellStart"/>
      <w:r w:rsidR="00E30CF1" w:rsidRPr="00A44512">
        <w:t>abiraterone</w:t>
      </w:r>
      <w:proofErr w:type="spellEnd"/>
      <w:r w:rsidR="00E30CF1" w:rsidRPr="00A44512">
        <w:t xml:space="preserve"> meant the assumption of similar survival after metastasis could favour </w:t>
      </w:r>
      <w:proofErr w:type="spellStart"/>
      <w:r w:rsidR="00E30CF1" w:rsidRPr="00A44512">
        <w:t>apalutamide</w:t>
      </w:r>
      <w:proofErr w:type="spellEnd"/>
      <w:r w:rsidR="00E30CF1" w:rsidRPr="00A44512">
        <w:t xml:space="preserve"> (as these patients may have diminished ability to benefit from subsequent enzalutamide or </w:t>
      </w:r>
      <w:proofErr w:type="spellStart"/>
      <w:r w:rsidR="00E30CF1" w:rsidRPr="00A44512">
        <w:t>abiraterone</w:t>
      </w:r>
      <w:proofErr w:type="spellEnd"/>
      <w:r w:rsidR="00E30CF1" w:rsidRPr="00A44512">
        <w:t>) and bias against placebo (since these patients are unlikely to have cross-resistance issues).</w:t>
      </w:r>
      <w:r w:rsidR="002D14A7">
        <w:t xml:space="preserve"> </w:t>
      </w:r>
    </w:p>
    <w:p w:rsidR="00AD6C7E" w:rsidRPr="00FA55BD" w:rsidRDefault="00AD6C7E" w:rsidP="00AD6C7E">
      <w:pPr>
        <w:pStyle w:val="ListParagraph"/>
        <w:numPr>
          <w:ilvl w:val="1"/>
          <w:numId w:val="3"/>
        </w:numPr>
      </w:pPr>
      <w:r w:rsidRPr="00FA55BD">
        <w:t xml:space="preserve">The ESC agreed with the evaluation that the assumption that survival post-metastasis is the same in both treatment arms (i.e. MFS translates to OS) is not supported by the clinical data. The ESC noted that time in the metastatic state is often long, reducing the likelihood of such a relationship existing. The ESC noted that the PSCR presented the link between a range of intermediate outcomes (PFS, radiological PFS, failure free survival) and OS. The ESC noted that the pattern was highly variable with ratios ranging </w:t>
      </w:r>
      <w:r w:rsidRPr="00FA55BD">
        <w:lastRenderedPageBreak/>
        <w:t xml:space="preserve">between 0.16 and 0.81. The ESC considered that this variability </w:t>
      </w:r>
      <w:r w:rsidR="0000561D" w:rsidRPr="00FA55BD">
        <w:t xml:space="preserve">suggests that the relationship may be specific to treatment or disease characteristics and </w:t>
      </w:r>
      <w:r w:rsidRPr="00FA55BD">
        <w:t>demonstrates the uncertainty in the assumption of a surrogate relationship between MFS and OS.</w:t>
      </w:r>
    </w:p>
    <w:p w:rsidR="00275C5A" w:rsidRPr="00B50DB8" w:rsidRDefault="006539BF" w:rsidP="007A132D">
      <w:pPr>
        <w:pStyle w:val="ListParagraph"/>
        <w:numPr>
          <w:ilvl w:val="1"/>
          <w:numId w:val="3"/>
        </w:numPr>
      </w:pPr>
      <w:r>
        <w:t>The results of the economic evaluation are provided in the table below.</w:t>
      </w:r>
    </w:p>
    <w:p w:rsidR="00D110BD" w:rsidRDefault="005A373D" w:rsidP="00E723BA">
      <w:pPr>
        <w:keepNext/>
      </w:pPr>
      <w:r>
        <w:rPr>
          <w:rStyle w:val="CommentReference"/>
        </w:rPr>
        <w:t xml:space="preserve">Table </w:t>
      </w:r>
      <w:r w:rsidR="005E3073">
        <w:rPr>
          <w:rStyle w:val="CommentReference"/>
        </w:rPr>
        <w:t>10</w:t>
      </w:r>
      <w:r w:rsidRPr="001222FC">
        <w:rPr>
          <w:rStyle w:val="CommentReference"/>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5A373D" w:rsidRPr="00597BF9" w:rsidTr="005A373D">
        <w:trPr>
          <w:tblHeader/>
        </w:trPr>
        <w:tc>
          <w:tcPr>
            <w:tcW w:w="1529" w:type="pct"/>
            <w:vAlign w:val="center"/>
          </w:tcPr>
          <w:p w:rsidR="005A373D" w:rsidRPr="00597BF9" w:rsidRDefault="005A373D" w:rsidP="00597BF9">
            <w:pPr>
              <w:pStyle w:val="Tabletext"/>
              <w:rPr>
                <w:b/>
              </w:rPr>
            </w:pPr>
            <w:r w:rsidRPr="00597BF9">
              <w:rPr>
                <w:b/>
              </w:rPr>
              <w:t>Step and component</w:t>
            </w:r>
          </w:p>
        </w:tc>
        <w:tc>
          <w:tcPr>
            <w:tcW w:w="1359" w:type="pct"/>
            <w:vAlign w:val="center"/>
          </w:tcPr>
          <w:p w:rsidR="005A373D" w:rsidRPr="00597BF9" w:rsidRDefault="00BD4E2C" w:rsidP="00597BF9">
            <w:pPr>
              <w:pStyle w:val="Tabletext"/>
              <w:jc w:val="center"/>
              <w:rPr>
                <w:b/>
              </w:rPr>
            </w:pPr>
            <w:proofErr w:type="spellStart"/>
            <w:r>
              <w:rPr>
                <w:b/>
              </w:rPr>
              <w:t>Apalutamide</w:t>
            </w:r>
            <w:proofErr w:type="spellEnd"/>
          </w:p>
        </w:tc>
        <w:tc>
          <w:tcPr>
            <w:tcW w:w="1274" w:type="pct"/>
            <w:vAlign w:val="center"/>
          </w:tcPr>
          <w:p w:rsidR="005A373D" w:rsidRPr="00597BF9" w:rsidRDefault="00BD4E2C" w:rsidP="00597BF9">
            <w:pPr>
              <w:pStyle w:val="Tabletext"/>
              <w:jc w:val="center"/>
              <w:rPr>
                <w:b/>
              </w:rPr>
            </w:pPr>
            <w:r>
              <w:rPr>
                <w:b/>
              </w:rPr>
              <w:t>Placebo</w:t>
            </w:r>
          </w:p>
        </w:tc>
        <w:tc>
          <w:tcPr>
            <w:tcW w:w="838" w:type="pct"/>
            <w:vAlign w:val="center"/>
          </w:tcPr>
          <w:p w:rsidR="005A373D" w:rsidRPr="00597BF9" w:rsidRDefault="005A373D" w:rsidP="00597BF9">
            <w:pPr>
              <w:pStyle w:val="Tabletext"/>
              <w:jc w:val="center"/>
              <w:rPr>
                <w:b/>
              </w:rPr>
            </w:pPr>
            <w:r w:rsidRPr="00597BF9">
              <w:rPr>
                <w:b/>
              </w:rPr>
              <w:t>Increment</w:t>
            </w:r>
          </w:p>
        </w:tc>
      </w:tr>
      <w:tr w:rsidR="005A373D" w:rsidRPr="00D1078F" w:rsidTr="005A373D">
        <w:tc>
          <w:tcPr>
            <w:tcW w:w="5000" w:type="pct"/>
            <w:gridSpan w:val="4"/>
            <w:vAlign w:val="center"/>
          </w:tcPr>
          <w:p w:rsidR="005A373D" w:rsidRPr="00597BF9" w:rsidRDefault="005A373D" w:rsidP="00597BF9">
            <w:pPr>
              <w:pStyle w:val="Tabletext"/>
              <w:rPr>
                <w:b/>
              </w:rPr>
            </w:pPr>
            <w:r w:rsidRPr="00597BF9">
              <w:rPr>
                <w:b/>
              </w:rPr>
              <w:t>Step 1: trial-based costs and outcomes</w:t>
            </w:r>
          </w:p>
        </w:tc>
      </w:tr>
      <w:tr w:rsidR="00CB0E6A" w:rsidRPr="00E2771E" w:rsidTr="00255228">
        <w:tc>
          <w:tcPr>
            <w:tcW w:w="1529" w:type="pct"/>
            <w:vAlign w:val="center"/>
          </w:tcPr>
          <w:p w:rsidR="00CB0E6A" w:rsidRPr="00E2771E" w:rsidRDefault="00CB0E6A" w:rsidP="00CB0E6A">
            <w:pPr>
              <w:pStyle w:val="Tabletext"/>
              <w:rPr>
                <w:rFonts w:ascii="Times" w:hAnsi="Times"/>
              </w:rPr>
            </w:pPr>
            <w:r w:rsidRPr="00E2771E">
              <w:t>Costs</w:t>
            </w:r>
          </w:p>
        </w:tc>
        <w:tc>
          <w:tcPr>
            <w:tcW w:w="1359" w:type="pct"/>
          </w:tcPr>
          <w:p w:rsidR="00CB0E6A" w:rsidRPr="00E2771E" w:rsidRDefault="00CB0E6A" w:rsidP="00CB0E6A">
            <w:pPr>
              <w:pStyle w:val="Tabletext"/>
              <w:jc w:val="center"/>
              <w:rPr>
                <w:rFonts w:ascii="Times" w:hAnsi="Times"/>
              </w:rPr>
            </w:pPr>
            <w:r w:rsidRPr="00006720">
              <w:rPr>
                <w:rFonts w:cs="Arial"/>
              </w:rPr>
              <w:t>$</w:t>
            </w:r>
            <w:r w:rsidR="00B02413">
              <w:rPr>
                <w:rFonts w:cs="Arial"/>
                <w:noProof/>
                <w:color w:val="000000"/>
                <w:highlight w:val="black"/>
              </w:rPr>
              <w:t>''''''''''''''''</w:t>
            </w:r>
          </w:p>
        </w:tc>
        <w:tc>
          <w:tcPr>
            <w:tcW w:w="1274" w:type="pct"/>
          </w:tcPr>
          <w:p w:rsidR="00CB0E6A" w:rsidRPr="00E2771E" w:rsidRDefault="00CB0E6A" w:rsidP="00CB0E6A">
            <w:pPr>
              <w:pStyle w:val="Tabletext"/>
              <w:jc w:val="center"/>
              <w:rPr>
                <w:rFonts w:ascii="Times" w:hAnsi="Times"/>
              </w:rPr>
            </w:pPr>
            <w:r w:rsidRPr="00006720">
              <w:rPr>
                <w:rFonts w:cs="Arial"/>
              </w:rPr>
              <w:t>$</w:t>
            </w:r>
            <w:r w:rsidR="00B02413">
              <w:rPr>
                <w:rFonts w:cs="Arial"/>
                <w:noProof/>
                <w:color w:val="000000"/>
                <w:highlight w:val="black"/>
              </w:rPr>
              <w:t>''''''''''''''''</w:t>
            </w:r>
          </w:p>
        </w:tc>
        <w:tc>
          <w:tcPr>
            <w:tcW w:w="838" w:type="pct"/>
          </w:tcPr>
          <w:p w:rsidR="00CB0E6A" w:rsidRPr="00E2771E" w:rsidRDefault="00CB0E6A" w:rsidP="00CB0E6A">
            <w:pPr>
              <w:pStyle w:val="Tabletext"/>
              <w:jc w:val="center"/>
              <w:rPr>
                <w:rFonts w:ascii="Times" w:hAnsi="Times"/>
              </w:rPr>
            </w:pPr>
            <w:r w:rsidRPr="00006720">
              <w:rPr>
                <w:rFonts w:cs="Arial"/>
              </w:rPr>
              <w:t>$</w:t>
            </w:r>
            <w:r w:rsidR="00B02413">
              <w:rPr>
                <w:rFonts w:cs="Arial"/>
                <w:noProof/>
                <w:color w:val="000000"/>
                <w:highlight w:val="black"/>
              </w:rPr>
              <w:t>''''''''''''''''</w:t>
            </w:r>
          </w:p>
        </w:tc>
      </w:tr>
      <w:tr w:rsidR="00CB0E6A" w:rsidRPr="00E2771E" w:rsidTr="00255228">
        <w:tc>
          <w:tcPr>
            <w:tcW w:w="1529" w:type="pct"/>
            <w:vAlign w:val="center"/>
          </w:tcPr>
          <w:p w:rsidR="00CB0E6A" w:rsidRPr="00E2771E" w:rsidRDefault="00CB0E6A" w:rsidP="00CB0E6A">
            <w:pPr>
              <w:pStyle w:val="Tabletext"/>
              <w:rPr>
                <w:rFonts w:ascii="Times" w:hAnsi="Times"/>
              </w:rPr>
            </w:pPr>
            <w:r>
              <w:t>LYG</w:t>
            </w:r>
          </w:p>
        </w:tc>
        <w:tc>
          <w:tcPr>
            <w:tcW w:w="1359" w:type="pct"/>
          </w:tcPr>
          <w:p w:rsidR="00CB0E6A" w:rsidRPr="00B02413" w:rsidRDefault="00B02413" w:rsidP="00CB0E6A">
            <w:pPr>
              <w:pStyle w:val="Tabletext"/>
              <w:jc w:val="center"/>
              <w:rPr>
                <w:rFonts w:ascii="Times" w:hAnsi="Times"/>
                <w:highlight w:val="black"/>
              </w:rPr>
            </w:pPr>
            <w:r>
              <w:rPr>
                <w:rFonts w:cs="Arial"/>
                <w:noProof/>
                <w:color w:val="000000"/>
                <w:highlight w:val="black"/>
              </w:rPr>
              <w:t>''''''''''</w:t>
            </w:r>
          </w:p>
        </w:tc>
        <w:tc>
          <w:tcPr>
            <w:tcW w:w="1274" w:type="pct"/>
          </w:tcPr>
          <w:p w:rsidR="00CB0E6A" w:rsidRPr="00B02413" w:rsidRDefault="00B02413" w:rsidP="00CB0E6A">
            <w:pPr>
              <w:pStyle w:val="Tabletext"/>
              <w:jc w:val="center"/>
              <w:rPr>
                <w:rFonts w:ascii="Times" w:hAnsi="Times"/>
                <w:highlight w:val="black"/>
              </w:rPr>
            </w:pPr>
            <w:r>
              <w:rPr>
                <w:rFonts w:cs="Arial"/>
                <w:noProof/>
                <w:color w:val="000000"/>
                <w:highlight w:val="black"/>
              </w:rPr>
              <w:t>''''''''''</w:t>
            </w:r>
          </w:p>
        </w:tc>
        <w:tc>
          <w:tcPr>
            <w:tcW w:w="838" w:type="pct"/>
          </w:tcPr>
          <w:p w:rsidR="00CB0E6A" w:rsidRPr="00B02413" w:rsidRDefault="00B02413" w:rsidP="00CB0E6A">
            <w:pPr>
              <w:pStyle w:val="Tabletext"/>
              <w:jc w:val="center"/>
              <w:rPr>
                <w:highlight w:val="black"/>
              </w:rPr>
            </w:pPr>
            <w:r>
              <w:rPr>
                <w:rFonts w:cs="Arial"/>
                <w:noProof/>
                <w:color w:val="000000"/>
                <w:highlight w:val="black"/>
              </w:rPr>
              <w:t>'''''''''''</w:t>
            </w:r>
          </w:p>
        </w:tc>
      </w:tr>
      <w:tr w:rsidR="006539BF" w:rsidRPr="00E2771E" w:rsidTr="006539BF">
        <w:tc>
          <w:tcPr>
            <w:tcW w:w="4162" w:type="pct"/>
            <w:gridSpan w:val="3"/>
            <w:vAlign w:val="center"/>
          </w:tcPr>
          <w:p w:rsidR="006539BF" w:rsidRPr="002F7E6A" w:rsidRDefault="00CB0E6A" w:rsidP="006539BF">
            <w:pPr>
              <w:pStyle w:val="Tabletext"/>
            </w:pPr>
            <w:r w:rsidRPr="002F7E6A">
              <w:t>Incremental cost/LYG</w:t>
            </w:r>
          </w:p>
        </w:tc>
        <w:tc>
          <w:tcPr>
            <w:tcW w:w="838" w:type="pct"/>
            <w:vAlign w:val="center"/>
          </w:tcPr>
          <w:p w:rsidR="006539BF" w:rsidRPr="002F7E6A" w:rsidRDefault="00CB0E6A" w:rsidP="00597BF9">
            <w:pPr>
              <w:pStyle w:val="Tabletext"/>
              <w:jc w:val="center"/>
            </w:pPr>
            <w:r w:rsidRPr="002F7E6A">
              <w:rPr>
                <w:rFonts w:cs="Arial"/>
                <w:bCs/>
                <w:color w:val="000000"/>
              </w:rPr>
              <w:t>$</w:t>
            </w:r>
            <w:r w:rsidR="00B02413">
              <w:rPr>
                <w:rFonts w:cs="Arial"/>
                <w:bCs/>
                <w:noProof/>
                <w:color w:val="000000"/>
                <w:highlight w:val="black"/>
              </w:rPr>
              <w:t>''''''''''''''''''</w:t>
            </w:r>
          </w:p>
        </w:tc>
      </w:tr>
      <w:tr w:rsidR="00CB0E6A" w:rsidRPr="00E2771E" w:rsidTr="00255228">
        <w:tc>
          <w:tcPr>
            <w:tcW w:w="1529" w:type="pct"/>
            <w:vAlign w:val="center"/>
          </w:tcPr>
          <w:p w:rsidR="00CB0E6A" w:rsidRPr="00E2771E" w:rsidRDefault="00CB0E6A" w:rsidP="00CB0E6A">
            <w:pPr>
              <w:pStyle w:val="Tabletext"/>
            </w:pPr>
            <w:r>
              <w:t>QALY</w:t>
            </w:r>
          </w:p>
        </w:tc>
        <w:tc>
          <w:tcPr>
            <w:tcW w:w="1359" w:type="pct"/>
          </w:tcPr>
          <w:p w:rsidR="00CB0E6A" w:rsidRPr="00B02413" w:rsidRDefault="00B02413" w:rsidP="00CB0E6A">
            <w:pPr>
              <w:pStyle w:val="Tabletext"/>
              <w:jc w:val="center"/>
              <w:rPr>
                <w:highlight w:val="black"/>
              </w:rPr>
            </w:pPr>
            <w:r>
              <w:rPr>
                <w:rFonts w:cs="Arial"/>
                <w:noProof/>
                <w:color w:val="000000"/>
                <w:highlight w:val="black"/>
              </w:rPr>
              <w:t>'''''''''''</w:t>
            </w:r>
          </w:p>
        </w:tc>
        <w:tc>
          <w:tcPr>
            <w:tcW w:w="1274" w:type="pct"/>
          </w:tcPr>
          <w:p w:rsidR="00CB0E6A" w:rsidRPr="00B02413" w:rsidRDefault="00B02413" w:rsidP="00CB0E6A">
            <w:pPr>
              <w:pStyle w:val="Tabletext"/>
              <w:jc w:val="center"/>
              <w:rPr>
                <w:highlight w:val="black"/>
              </w:rPr>
            </w:pPr>
            <w:r>
              <w:rPr>
                <w:rFonts w:cs="Arial"/>
                <w:noProof/>
                <w:color w:val="000000"/>
                <w:highlight w:val="black"/>
              </w:rPr>
              <w:t>''''''''''</w:t>
            </w:r>
          </w:p>
        </w:tc>
        <w:tc>
          <w:tcPr>
            <w:tcW w:w="838" w:type="pct"/>
          </w:tcPr>
          <w:p w:rsidR="00CB0E6A" w:rsidRPr="00B02413" w:rsidRDefault="00B02413" w:rsidP="00CB0E6A">
            <w:pPr>
              <w:pStyle w:val="Tabletext"/>
              <w:jc w:val="center"/>
              <w:rPr>
                <w:highlight w:val="black"/>
              </w:rPr>
            </w:pPr>
            <w:r>
              <w:rPr>
                <w:rFonts w:cs="Arial"/>
                <w:noProof/>
                <w:color w:val="000000"/>
                <w:highlight w:val="black"/>
              </w:rPr>
              <w:t>''''''''''</w:t>
            </w:r>
          </w:p>
        </w:tc>
      </w:tr>
      <w:tr w:rsidR="00CB0E6A" w:rsidRPr="00E2771E" w:rsidTr="00CB0E6A">
        <w:tc>
          <w:tcPr>
            <w:tcW w:w="4162" w:type="pct"/>
            <w:gridSpan w:val="3"/>
            <w:vAlign w:val="center"/>
          </w:tcPr>
          <w:p w:rsidR="00CB0E6A" w:rsidRPr="002F7E6A" w:rsidRDefault="00CB0E6A" w:rsidP="00CB0E6A">
            <w:pPr>
              <w:pStyle w:val="Tabletext"/>
            </w:pPr>
            <w:r w:rsidRPr="002F7E6A">
              <w:t>Incremental cost/QALY gained</w:t>
            </w:r>
          </w:p>
        </w:tc>
        <w:tc>
          <w:tcPr>
            <w:tcW w:w="838" w:type="pct"/>
            <w:vAlign w:val="center"/>
          </w:tcPr>
          <w:p w:rsidR="00CB0E6A" w:rsidRPr="002F7E6A" w:rsidRDefault="00CB0E6A" w:rsidP="00CB0E6A">
            <w:pPr>
              <w:pStyle w:val="Tabletext"/>
              <w:jc w:val="center"/>
            </w:pPr>
            <w:r w:rsidRPr="002F7E6A">
              <w:rPr>
                <w:rFonts w:cs="Arial"/>
                <w:bCs/>
                <w:color w:val="000000"/>
              </w:rPr>
              <w:t>$</w:t>
            </w:r>
            <w:r w:rsidR="00B02413">
              <w:rPr>
                <w:rFonts w:cs="Arial"/>
                <w:bCs/>
                <w:noProof/>
                <w:color w:val="000000"/>
                <w:highlight w:val="black"/>
              </w:rPr>
              <w:t>''''''''''''''''''''</w:t>
            </w:r>
          </w:p>
        </w:tc>
      </w:tr>
      <w:tr w:rsidR="00CB0E6A" w:rsidRPr="00D1078F" w:rsidTr="005A373D">
        <w:tc>
          <w:tcPr>
            <w:tcW w:w="5000" w:type="pct"/>
            <w:gridSpan w:val="4"/>
            <w:vAlign w:val="center"/>
          </w:tcPr>
          <w:p w:rsidR="00CB0E6A" w:rsidRPr="002F7E6A" w:rsidRDefault="00CB0E6A" w:rsidP="00CB0E6A">
            <w:pPr>
              <w:pStyle w:val="Tabletext"/>
              <w:rPr>
                <w:b/>
              </w:rPr>
            </w:pPr>
            <w:r w:rsidRPr="002F7E6A">
              <w:rPr>
                <w:b/>
              </w:rPr>
              <w:t>Step 2: trial evidence transformed from surrogate to clinical outcome</w:t>
            </w:r>
          </w:p>
        </w:tc>
      </w:tr>
      <w:tr w:rsidR="00CB0E6A" w:rsidRPr="00E2771E" w:rsidTr="00255228">
        <w:tc>
          <w:tcPr>
            <w:tcW w:w="1529" w:type="pct"/>
            <w:vAlign w:val="center"/>
          </w:tcPr>
          <w:p w:rsidR="00CB0E6A" w:rsidRPr="00E2771E" w:rsidRDefault="00CB0E6A" w:rsidP="00CB0E6A">
            <w:pPr>
              <w:pStyle w:val="Tabletext"/>
              <w:rPr>
                <w:rFonts w:ascii="Times" w:hAnsi="Times"/>
              </w:rPr>
            </w:pPr>
            <w:r w:rsidRPr="00E2771E">
              <w:t>Costs</w:t>
            </w:r>
          </w:p>
        </w:tc>
        <w:tc>
          <w:tcPr>
            <w:tcW w:w="1359" w:type="pct"/>
          </w:tcPr>
          <w:p w:rsidR="00CB0E6A" w:rsidRPr="002F7E6A" w:rsidRDefault="00CB0E6A" w:rsidP="00CB0E6A">
            <w:pPr>
              <w:pStyle w:val="Tabletext"/>
              <w:jc w:val="center"/>
              <w:rPr>
                <w:rFonts w:ascii="Times" w:hAnsi="Times"/>
              </w:rPr>
            </w:pPr>
            <w:r w:rsidRPr="002F7E6A">
              <w:rPr>
                <w:rFonts w:cs="Arial"/>
                <w:szCs w:val="20"/>
              </w:rPr>
              <w:t>$</w:t>
            </w:r>
            <w:r w:rsidR="00B02413">
              <w:rPr>
                <w:rFonts w:cs="Arial"/>
                <w:noProof/>
                <w:color w:val="000000"/>
                <w:szCs w:val="20"/>
                <w:highlight w:val="black"/>
              </w:rPr>
              <w:t>'''''''''''''''''''</w:t>
            </w:r>
          </w:p>
        </w:tc>
        <w:tc>
          <w:tcPr>
            <w:tcW w:w="1274" w:type="pct"/>
          </w:tcPr>
          <w:p w:rsidR="00CB0E6A" w:rsidRPr="002F7E6A" w:rsidRDefault="00CB0E6A" w:rsidP="00CB0E6A">
            <w:pPr>
              <w:pStyle w:val="Tabletext"/>
              <w:jc w:val="center"/>
              <w:rPr>
                <w:rFonts w:ascii="Times" w:hAnsi="Times"/>
              </w:rPr>
            </w:pPr>
            <w:r w:rsidRPr="002F7E6A">
              <w:rPr>
                <w:rFonts w:cs="Arial"/>
                <w:szCs w:val="20"/>
              </w:rPr>
              <w:t>$</w:t>
            </w:r>
            <w:r w:rsidR="00B02413">
              <w:rPr>
                <w:rFonts w:cs="Arial"/>
                <w:noProof/>
                <w:color w:val="000000"/>
                <w:szCs w:val="20"/>
                <w:highlight w:val="black"/>
              </w:rPr>
              <w:t>''''''''''''''''</w:t>
            </w:r>
          </w:p>
        </w:tc>
        <w:tc>
          <w:tcPr>
            <w:tcW w:w="838" w:type="pct"/>
          </w:tcPr>
          <w:p w:rsidR="00CB0E6A" w:rsidRPr="002F7E6A" w:rsidRDefault="00CB0E6A" w:rsidP="00CB0E6A">
            <w:pPr>
              <w:pStyle w:val="Tabletext"/>
              <w:jc w:val="center"/>
              <w:rPr>
                <w:rFonts w:ascii="Times" w:hAnsi="Times"/>
              </w:rPr>
            </w:pPr>
            <w:r w:rsidRPr="002F7E6A">
              <w:rPr>
                <w:rFonts w:cs="Arial"/>
                <w:szCs w:val="20"/>
              </w:rPr>
              <w:t>$</w:t>
            </w:r>
            <w:r w:rsidR="00B02413">
              <w:rPr>
                <w:rFonts w:cs="Arial"/>
                <w:noProof/>
                <w:color w:val="000000"/>
                <w:szCs w:val="20"/>
                <w:highlight w:val="black"/>
              </w:rPr>
              <w:t>'''''''''''''''</w:t>
            </w:r>
          </w:p>
        </w:tc>
      </w:tr>
      <w:tr w:rsidR="00CB0E6A" w:rsidRPr="00E2771E" w:rsidTr="004A51D0">
        <w:tc>
          <w:tcPr>
            <w:tcW w:w="1529" w:type="pct"/>
            <w:tcBorders>
              <w:bottom w:val="single" w:sz="4" w:space="0" w:color="auto"/>
            </w:tcBorders>
            <w:vAlign w:val="center"/>
          </w:tcPr>
          <w:p w:rsidR="00CB0E6A" w:rsidRPr="00E2771E" w:rsidRDefault="00CB0E6A" w:rsidP="00CB0E6A">
            <w:pPr>
              <w:pStyle w:val="Tabletext"/>
              <w:rPr>
                <w:rFonts w:ascii="Times" w:hAnsi="Times"/>
              </w:rPr>
            </w:pPr>
            <w:r>
              <w:t>QALY</w:t>
            </w:r>
          </w:p>
        </w:tc>
        <w:tc>
          <w:tcPr>
            <w:tcW w:w="1359" w:type="pct"/>
            <w:tcBorders>
              <w:bottom w:val="single" w:sz="4" w:space="0" w:color="auto"/>
            </w:tcBorders>
          </w:tcPr>
          <w:p w:rsidR="00CB0E6A" w:rsidRPr="00B02413" w:rsidRDefault="00B02413" w:rsidP="00CB0E6A">
            <w:pPr>
              <w:pStyle w:val="Tabletext"/>
              <w:jc w:val="center"/>
              <w:rPr>
                <w:rFonts w:ascii="Times" w:hAnsi="Times"/>
                <w:highlight w:val="black"/>
              </w:rPr>
            </w:pPr>
            <w:r>
              <w:rPr>
                <w:noProof/>
                <w:color w:val="000000"/>
                <w:szCs w:val="20"/>
                <w:highlight w:val="black"/>
              </w:rPr>
              <w:t>''''''''''''</w:t>
            </w:r>
          </w:p>
        </w:tc>
        <w:tc>
          <w:tcPr>
            <w:tcW w:w="1274" w:type="pct"/>
            <w:tcBorders>
              <w:bottom w:val="single" w:sz="4" w:space="0" w:color="auto"/>
            </w:tcBorders>
          </w:tcPr>
          <w:p w:rsidR="00CB0E6A" w:rsidRPr="00B02413" w:rsidRDefault="00B02413" w:rsidP="00CB0E6A">
            <w:pPr>
              <w:pStyle w:val="Tabletext"/>
              <w:jc w:val="center"/>
              <w:rPr>
                <w:rFonts w:ascii="Times" w:hAnsi="Times"/>
                <w:highlight w:val="black"/>
              </w:rPr>
            </w:pPr>
            <w:r>
              <w:rPr>
                <w:noProof/>
                <w:color w:val="000000"/>
                <w:szCs w:val="20"/>
                <w:highlight w:val="black"/>
              </w:rPr>
              <w:t>''''''''''</w:t>
            </w:r>
          </w:p>
        </w:tc>
        <w:tc>
          <w:tcPr>
            <w:tcW w:w="838" w:type="pct"/>
            <w:tcBorders>
              <w:bottom w:val="single" w:sz="4" w:space="0" w:color="auto"/>
            </w:tcBorders>
          </w:tcPr>
          <w:p w:rsidR="00CB0E6A" w:rsidRPr="00B02413" w:rsidRDefault="00B02413" w:rsidP="00CB0E6A">
            <w:pPr>
              <w:pStyle w:val="Tabletext"/>
              <w:jc w:val="center"/>
              <w:rPr>
                <w:highlight w:val="black"/>
              </w:rPr>
            </w:pPr>
            <w:r>
              <w:rPr>
                <w:noProof/>
                <w:color w:val="000000"/>
                <w:szCs w:val="20"/>
                <w:highlight w:val="black"/>
              </w:rPr>
              <w:t>'''''''''''</w:t>
            </w:r>
          </w:p>
        </w:tc>
      </w:tr>
      <w:tr w:rsidR="00CB0E6A" w:rsidRPr="00EE64D8" w:rsidTr="005A373D">
        <w:tc>
          <w:tcPr>
            <w:tcW w:w="4162" w:type="pct"/>
            <w:gridSpan w:val="3"/>
            <w:vAlign w:val="center"/>
          </w:tcPr>
          <w:p w:rsidR="00CB0E6A" w:rsidRPr="002F7E6A" w:rsidRDefault="00CB0E6A" w:rsidP="00CB0E6A">
            <w:pPr>
              <w:pStyle w:val="Tabletext"/>
              <w:rPr>
                <w:rFonts w:ascii="Times" w:hAnsi="Times"/>
              </w:rPr>
            </w:pPr>
            <w:r w:rsidRPr="002F7E6A">
              <w:rPr>
                <w:b/>
              </w:rPr>
              <w:t>Incremental cost/extra QALY gained (base case)</w:t>
            </w:r>
          </w:p>
        </w:tc>
        <w:tc>
          <w:tcPr>
            <w:tcW w:w="838" w:type="pct"/>
            <w:vAlign w:val="center"/>
          </w:tcPr>
          <w:p w:rsidR="00CB0E6A" w:rsidRPr="002F7E6A" w:rsidRDefault="00CB0E6A" w:rsidP="00CB0E6A">
            <w:pPr>
              <w:pStyle w:val="Tabletext"/>
              <w:jc w:val="center"/>
              <w:rPr>
                <w:rFonts w:ascii="Times" w:hAnsi="Times"/>
              </w:rPr>
            </w:pPr>
            <w:r w:rsidRPr="002F7E6A">
              <w:rPr>
                <w:b/>
              </w:rPr>
              <w:t>$</w:t>
            </w:r>
            <w:r w:rsidR="00B02413">
              <w:rPr>
                <w:b/>
                <w:noProof/>
                <w:color w:val="000000"/>
                <w:highlight w:val="black"/>
              </w:rPr>
              <w:t>''''''''''''''</w:t>
            </w:r>
          </w:p>
        </w:tc>
      </w:tr>
    </w:tbl>
    <w:p w:rsidR="005A373D" w:rsidRDefault="00CB0E6A" w:rsidP="005A373D">
      <w:pPr>
        <w:pStyle w:val="TableFooter"/>
        <w:rPr>
          <w:rStyle w:val="CommentReference"/>
        </w:rPr>
      </w:pPr>
      <w:r>
        <w:t>Source: Table 3.41, p326 and Table 3.42, p328 of the submission.</w:t>
      </w:r>
    </w:p>
    <w:p w:rsidR="00D110BD" w:rsidRPr="00D110BD" w:rsidRDefault="00D110BD" w:rsidP="00CB20A7">
      <w:pPr>
        <w:pStyle w:val="TableFooter"/>
      </w:pPr>
    </w:p>
    <w:p w:rsidR="0063016E" w:rsidRPr="00FA55BD" w:rsidRDefault="0063016E" w:rsidP="007A132D">
      <w:pPr>
        <w:pStyle w:val="ListParagraph"/>
        <w:numPr>
          <w:ilvl w:val="1"/>
          <w:numId w:val="3"/>
        </w:numPr>
      </w:pPr>
      <w:r w:rsidRPr="00A44512">
        <w:t>The incremental cost/extra QALY gained estimated by the base case of the submission ($</w:t>
      </w:r>
      <w:r w:rsidR="00F73089">
        <w:t>4</w:t>
      </w:r>
      <w:r w:rsidR="00A85E87">
        <w:t>5,000/QALY - $</w:t>
      </w:r>
      <w:r w:rsidR="00F73089">
        <w:t>7</w:t>
      </w:r>
      <w:r w:rsidR="00A85E87">
        <w:t>5,000/QALY</w:t>
      </w:r>
      <w:r w:rsidRPr="00A44512">
        <w:t xml:space="preserve">) is not likely to accurately represent the cost-effectiveness of </w:t>
      </w:r>
      <w:proofErr w:type="spellStart"/>
      <w:r w:rsidRPr="00A44512">
        <w:t>apalutamide</w:t>
      </w:r>
      <w:proofErr w:type="spellEnd"/>
      <w:r w:rsidRPr="00A44512">
        <w:t xml:space="preserve">, for </w:t>
      </w:r>
      <w:r w:rsidR="001952EC" w:rsidRPr="00A44512">
        <w:t xml:space="preserve">reasons outlined </w:t>
      </w:r>
      <w:r w:rsidR="00AA5046" w:rsidRPr="00A44512">
        <w:t xml:space="preserve">above, in particular the lack of validation of a link between MFS and OS, the use of data from Trial 302 and the failure to consider the impact of </w:t>
      </w:r>
      <w:r w:rsidR="006637AD" w:rsidRPr="00A44512">
        <w:t xml:space="preserve">potential cross-resistance between </w:t>
      </w:r>
      <w:proofErr w:type="spellStart"/>
      <w:r w:rsidR="006637AD" w:rsidRPr="00A44512">
        <w:t>apalutamide</w:t>
      </w:r>
      <w:proofErr w:type="spellEnd"/>
      <w:r w:rsidR="006637AD" w:rsidRPr="00A44512">
        <w:t xml:space="preserve"> and subsequent enzalutamide/</w:t>
      </w:r>
      <w:proofErr w:type="spellStart"/>
      <w:r w:rsidR="006637AD" w:rsidRPr="00A44512">
        <w:t>abiraterone</w:t>
      </w:r>
      <w:proofErr w:type="spellEnd"/>
      <w:r w:rsidR="001952EC" w:rsidRPr="00A44512">
        <w:t>.</w:t>
      </w:r>
      <w:r w:rsidR="00D419F2" w:rsidRPr="00A44512">
        <w:t xml:space="preserve"> In addition, treatment costs in the model were calculated assuming a dose intensity of </w:t>
      </w:r>
      <w:r w:rsidR="00B02413">
        <w:rPr>
          <w:noProof/>
          <w:color w:val="000000"/>
          <w:highlight w:val="black"/>
        </w:rPr>
        <w:t>'''''''''''</w:t>
      </w:r>
      <w:r w:rsidR="00D419F2" w:rsidRPr="00A44512">
        <w:t>%</w:t>
      </w:r>
      <w:r w:rsidR="007942EB">
        <w:t>,</w:t>
      </w:r>
      <w:r w:rsidR="00D419F2" w:rsidRPr="00A44512">
        <w:t xml:space="preserve"> </w:t>
      </w:r>
      <w:r w:rsidR="007942EB">
        <w:t>which</w:t>
      </w:r>
      <w:r w:rsidR="00D419F2" w:rsidRPr="00A44512">
        <w:t xml:space="preserve"> could not be verified</w:t>
      </w:r>
      <w:r w:rsidR="00D419F2" w:rsidRPr="00FA55BD">
        <w:t>.</w:t>
      </w:r>
      <w:r w:rsidR="0022160C" w:rsidRPr="00FA55BD">
        <w:t xml:space="preserve"> </w:t>
      </w:r>
      <w:r w:rsidR="00C73AAE" w:rsidRPr="00FA55BD">
        <w:t>The PSCR</w:t>
      </w:r>
      <w:r w:rsidR="002833C7" w:rsidRPr="00FA55BD">
        <w:t xml:space="preserve"> </w:t>
      </w:r>
      <w:r w:rsidR="00C73AAE" w:rsidRPr="00FA55BD">
        <w:t xml:space="preserve">stated that may overestimate the cost of </w:t>
      </w:r>
      <w:proofErr w:type="spellStart"/>
      <w:r w:rsidR="00661BDF" w:rsidRPr="00FA55BD">
        <w:t>apalutamide</w:t>
      </w:r>
      <w:proofErr w:type="spellEnd"/>
      <w:r w:rsidR="007B1364" w:rsidRPr="00FA55BD">
        <w:t xml:space="preserve"> and the ICER</w:t>
      </w:r>
      <w:r w:rsidR="00217C17" w:rsidRPr="00FA55BD">
        <w:t xml:space="preserve">, however no </w:t>
      </w:r>
      <w:r w:rsidR="007B1364" w:rsidRPr="00FA55BD">
        <w:t>adjusted figures/</w:t>
      </w:r>
      <w:r w:rsidR="00C802CE" w:rsidRPr="00FA55BD">
        <w:t>revised</w:t>
      </w:r>
      <w:r w:rsidR="00217C17" w:rsidRPr="00FA55BD">
        <w:t xml:space="preserve"> </w:t>
      </w:r>
      <w:r w:rsidR="007B1364" w:rsidRPr="00FA55BD">
        <w:t xml:space="preserve">net </w:t>
      </w:r>
      <w:r w:rsidR="00217C17" w:rsidRPr="00FA55BD">
        <w:t>cost</w:t>
      </w:r>
      <w:r w:rsidR="00C802CE" w:rsidRPr="00FA55BD">
        <w:t>s</w:t>
      </w:r>
      <w:r w:rsidR="00217C17" w:rsidRPr="00FA55BD">
        <w:t xml:space="preserve"> </w:t>
      </w:r>
      <w:r w:rsidR="00AD5413" w:rsidRPr="00FA55BD">
        <w:t xml:space="preserve">were </w:t>
      </w:r>
      <w:r w:rsidR="00217C17" w:rsidRPr="00FA55BD">
        <w:t xml:space="preserve">provided in </w:t>
      </w:r>
      <w:r w:rsidR="002833C7" w:rsidRPr="00FA55BD">
        <w:t xml:space="preserve">the </w:t>
      </w:r>
      <w:r w:rsidR="00217C17" w:rsidRPr="00FA55BD">
        <w:t xml:space="preserve">PSCR. </w:t>
      </w:r>
    </w:p>
    <w:p w:rsidR="002B3F01" w:rsidRDefault="002B3F01" w:rsidP="002B3F01">
      <w:pPr>
        <w:pStyle w:val="ListParagraph"/>
        <w:numPr>
          <w:ilvl w:val="1"/>
          <w:numId w:val="3"/>
        </w:numPr>
      </w:pPr>
      <w:r>
        <w:t>The table below provides a summary of time spent in each health state in the economic model</w:t>
      </w:r>
      <w:r w:rsidR="00E96AF9">
        <w:t xml:space="preserve"> and the following figure provides</w:t>
      </w:r>
      <w:r w:rsidR="00AA5046">
        <w:t xml:space="preserve"> Markov traces of the proportion of patients in each health state over the course of the model</w:t>
      </w:r>
      <w:r>
        <w:t>.</w:t>
      </w:r>
    </w:p>
    <w:p w:rsidR="002B3F01" w:rsidRDefault="002B3F01" w:rsidP="00E3268C">
      <w:pPr>
        <w:keepNext/>
        <w:keepLines/>
      </w:pPr>
      <w:r w:rsidRPr="00F85074">
        <w:rPr>
          <w:rFonts w:ascii="Arial Narrow" w:hAnsi="Arial Narrow"/>
          <w:b/>
          <w:sz w:val="20"/>
          <w:szCs w:val="20"/>
        </w:rPr>
        <w:t xml:space="preserve">Table </w:t>
      </w:r>
      <w:r w:rsidR="00922373">
        <w:rPr>
          <w:rFonts w:ascii="Arial Narrow" w:hAnsi="Arial Narrow"/>
          <w:b/>
          <w:sz w:val="20"/>
          <w:szCs w:val="20"/>
        </w:rPr>
        <w:t>11</w:t>
      </w:r>
      <w:r w:rsidRPr="00F85074">
        <w:rPr>
          <w:rFonts w:ascii="Arial Narrow" w:hAnsi="Arial Narrow"/>
          <w:b/>
          <w:sz w:val="20"/>
          <w:szCs w:val="20"/>
        </w:rPr>
        <w:t>:  Time spent in each health state and survival time in Trial 302</w:t>
      </w:r>
    </w:p>
    <w:tbl>
      <w:tblPr>
        <w:tblStyle w:val="TableGrid"/>
        <w:tblW w:w="0" w:type="auto"/>
        <w:tblInd w:w="108" w:type="dxa"/>
        <w:tblLook w:val="04A0" w:firstRow="1" w:lastRow="0" w:firstColumn="1" w:lastColumn="0" w:noHBand="0" w:noVBand="1"/>
        <w:tblCaption w:val="Time spent in each health state and survival time in Trial 302"/>
      </w:tblPr>
      <w:tblGrid>
        <w:gridCol w:w="3114"/>
        <w:gridCol w:w="2111"/>
        <w:gridCol w:w="1847"/>
        <w:gridCol w:w="1837"/>
      </w:tblGrid>
      <w:tr w:rsidR="002B3F01" w:rsidRPr="00A05BF8" w:rsidTr="00487634">
        <w:trPr>
          <w:tblHeader/>
        </w:trPr>
        <w:tc>
          <w:tcPr>
            <w:tcW w:w="3184" w:type="dxa"/>
          </w:tcPr>
          <w:p w:rsidR="002B3F01" w:rsidRPr="00F85074" w:rsidRDefault="002B3F01" w:rsidP="00E3268C">
            <w:pPr>
              <w:keepNext/>
              <w:keepLines/>
              <w:jc w:val="left"/>
              <w:rPr>
                <w:rFonts w:ascii="Arial Narrow" w:hAnsi="Arial Narrow"/>
                <w:b/>
                <w:sz w:val="20"/>
                <w:szCs w:val="20"/>
              </w:rPr>
            </w:pPr>
          </w:p>
        </w:tc>
        <w:tc>
          <w:tcPr>
            <w:tcW w:w="2142" w:type="dxa"/>
          </w:tcPr>
          <w:p w:rsidR="002B3F01" w:rsidRPr="00F85074" w:rsidRDefault="002B3F01" w:rsidP="00E3268C">
            <w:pPr>
              <w:keepNext/>
              <w:keepLines/>
              <w:jc w:val="center"/>
              <w:rPr>
                <w:rFonts w:ascii="Arial Narrow" w:hAnsi="Arial Narrow"/>
                <w:b/>
                <w:sz w:val="20"/>
                <w:szCs w:val="20"/>
              </w:rPr>
            </w:pPr>
            <w:proofErr w:type="spellStart"/>
            <w:r>
              <w:rPr>
                <w:rFonts w:ascii="Arial Narrow" w:hAnsi="Arial Narrow"/>
                <w:b/>
                <w:sz w:val="20"/>
                <w:szCs w:val="20"/>
              </w:rPr>
              <w:t>Apalutamide</w:t>
            </w:r>
            <w:proofErr w:type="spellEnd"/>
          </w:p>
        </w:tc>
        <w:tc>
          <w:tcPr>
            <w:tcW w:w="1881" w:type="dxa"/>
          </w:tcPr>
          <w:p w:rsidR="002B3F01" w:rsidRPr="00F85074" w:rsidRDefault="002B3F01" w:rsidP="00E3268C">
            <w:pPr>
              <w:keepNext/>
              <w:keepLines/>
              <w:jc w:val="center"/>
              <w:rPr>
                <w:rFonts w:ascii="Arial Narrow" w:hAnsi="Arial Narrow"/>
                <w:b/>
                <w:sz w:val="20"/>
                <w:szCs w:val="20"/>
              </w:rPr>
            </w:pPr>
            <w:r>
              <w:rPr>
                <w:rFonts w:ascii="Arial Narrow" w:hAnsi="Arial Narrow"/>
                <w:b/>
                <w:sz w:val="20"/>
                <w:szCs w:val="20"/>
              </w:rPr>
              <w:t>Placebo</w:t>
            </w:r>
          </w:p>
        </w:tc>
        <w:tc>
          <w:tcPr>
            <w:tcW w:w="1865" w:type="dxa"/>
          </w:tcPr>
          <w:p w:rsidR="002B3F01" w:rsidRPr="00A05BF8" w:rsidRDefault="002B3F01" w:rsidP="00E3268C">
            <w:pPr>
              <w:keepNext/>
              <w:keepLines/>
              <w:jc w:val="center"/>
              <w:rPr>
                <w:rFonts w:ascii="Arial Narrow" w:hAnsi="Arial Narrow"/>
                <w:b/>
                <w:i/>
                <w:sz w:val="20"/>
                <w:szCs w:val="20"/>
              </w:rPr>
            </w:pPr>
            <w:r w:rsidRPr="00A05BF8">
              <w:rPr>
                <w:rFonts w:ascii="Arial Narrow" w:hAnsi="Arial Narrow"/>
                <w:b/>
                <w:i/>
                <w:sz w:val="20"/>
                <w:szCs w:val="20"/>
              </w:rPr>
              <w:t>Diff</w:t>
            </w:r>
            <w:r>
              <w:rPr>
                <w:rFonts w:ascii="Arial Narrow" w:hAnsi="Arial Narrow"/>
                <w:b/>
                <w:i/>
                <w:sz w:val="20"/>
                <w:szCs w:val="20"/>
              </w:rPr>
              <w:t>erence</w:t>
            </w:r>
          </w:p>
        </w:tc>
      </w:tr>
      <w:tr w:rsidR="002B3F01" w:rsidRPr="00A05BF8" w:rsidTr="00487634">
        <w:tc>
          <w:tcPr>
            <w:tcW w:w="3184" w:type="dxa"/>
          </w:tcPr>
          <w:p w:rsidR="002B3F01" w:rsidRPr="00F85074" w:rsidRDefault="002B3F01" w:rsidP="00E3268C">
            <w:pPr>
              <w:keepNext/>
              <w:keepLines/>
              <w:jc w:val="left"/>
              <w:rPr>
                <w:rFonts w:ascii="Arial Narrow" w:hAnsi="Arial Narrow"/>
                <w:sz w:val="20"/>
                <w:szCs w:val="20"/>
              </w:rPr>
            </w:pPr>
            <w:r>
              <w:rPr>
                <w:rFonts w:ascii="Arial Narrow" w:hAnsi="Arial Narrow"/>
                <w:sz w:val="20"/>
                <w:szCs w:val="20"/>
              </w:rPr>
              <w:t>High risk m0CRPC health state</w:t>
            </w:r>
          </w:p>
        </w:tc>
        <w:tc>
          <w:tcPr>
            <w:tcW w:w="2142" w:type="dxa"/>
          </w:tcPr>
          <w:p w:rsidR="002B3F01" w:rsidRPr="002F7E6A" w:rsidRDefault="00B02413" w:rsidP="00E3268C">
            <w:pPr>
              <w:keepNext/>
              <w:keepLines/>
              <w:jc w:val="center"/>
              <w:rPr>
                <w:rFonts w:ascii="Arial Narrow" w:hAnsi="Arial Narrow"/>
                <w:sz w:val="20"/>
                <w:szCs w:val="20"/>
              </w:rPr>
            </w:pPr>
            <w:r>
              <w:rPr>
                <w:rFonts w:ascii="Arial Narrow" w:hAnsi="Arial Narrow"/>
                <w:noProof/>
                <w:color w:val="000000"/>
                <w:sz w:val="20"/>
                <w:szCs w:val="20"/>
                <w:highlight w:val="black"/>
              </w:rPr>
              <w:t>''''''''''</w:t>
            </w:r>
            <w:r w:rsidR="002B3F01" w:rsidRPr="002F7E6A">
              <w:rPr>
                <w:rFonts w:ascii="Arial Narrow" w:hAnsi="Arial Narrow"/>
                <w:sz w:val="20"/>
                <w:szCs w:val="20"/>
              </w:rPr>
              <w:t xml:space="preserve"> months</w:t>
            </w:r>
          </w:p>
        </w:tc>
        <w:tc>
          <w:tcPr>
            <w:tcW w:w="1881" w:type="dxa"/>
          </w:tcPr>
          <w:p w:rsidR="002B3F01" w:rsidRPr="002F7E6A" w:rsidRDefault="00B02413" w:rsidP="00E3268C">
            <w:pPr>
              <w:keepNext/>
              <w:keepLines/>
              <w:jc w:val="center"/>
              <w:rPr>
                <w:rFonts w:ascii="Arial Narrow" w:hAnsi="Arial Narrow"/>
                <w:sz w:val="20"/>
                <w:szCs w:val="20"/>
              </w:rPr>
            </w:pPr>
            <w:r>
              <w:rPr>
                <w:rFonts w:ascii="Arial Narrow" w:hAnsi="Arial Narrow"/>
                <w:noProof/>
                <w:color w:val="000000"/>
                <w:sz w:val="20"/>
                <w:szCs w:val="20"/>
                <w:highlight w:val="black"/>
              </w:rPr>
              <w:t>'''''''''''</w:t>
            </w:r>
            <w:r w:rsidR="002B3F01" w:rsidRPr="002F7E6A">
              <w:rPr>
                <w:rFonts w:ascii="Arial Narrow" w:hAnsi="Arial Narrow"/>
                <w:sz w:val="20"/>
                <w:szCs w:val="20"/>
              </w:rPr>
              <w:t xml:space="preserve"> months</w:t>
            </w:r>
          </w:p>
        </w:tc>
        <w:tc>
          <w:tcPr>
            <w:tcW w:w="1865" w:type="dxa"/>
          </w:tcPr>
          <w:p w:rsidR="002B3F01" w:rsidRPr="002F7E6A" w:rsidRDefault="00B02413" w:rsidP="00E3268C">
            <w:pPr>
              <w:keepNext/>
              <w:keepLines/>
              <w:jc w:val="center"/>
              <w:rPr>
                <w:rFonts w:ascii="Arial Narrow" w:hAnsi="Arial Narrow"/>
                <w:i/>
                <w:sz w:val="20"/>
                <w:szCs w:val="20"/>
              </w:rPr>
            </w:pPr>
            <w:r>
              <w:rPr>
                <w:rFonts w:ascii="Arial Narrow" w:hAnsi="Arial Narrow"/>
                <w:i/>
                <w:noProof/>
                <w:color w:val="000000"/>
                <w:sz w:val="20"/>
                <w:szCs w:val="20"/>
                <w:highlight w:val="black"/>
              </w:rPr>
              <w:t>'''''''''''</w:t>
            </w:r>
            <w:r w:rsidR="002B3F01" w:rsidRPr="002F7E6A">
              <w:rPr>
                <w:rFonts w:ascii="Arial Narrow" w:hAnsi="Arial Narrow"/>
                <w:i/>
                <w:sz w:val="20"/>
                <w:szCs w:val="20"/>
              </w:rPr>
              <w:t xml:space="preserve"> months</w:t>
            </w:r>
          </w:p>
        </w:tc>
      </w:tr>
      <w:tr w:rsidR="002B3F01" w:rsidRPr="00A05BF8" w:rsidTr="00487634">
        <w:tc>
          <w:tcPr>
            <w:tcW w:w="3184" w:type="dxa"/>
          </w:tcPr>
          <w:p w:rsidR="002B3F01" w:rsidRPr="00F85074" w:rsidRDefault="002B3F01" w:rsidP="00E3268C">
            <w:pPr>
              <w:keepNext/>
              <w:keepLines/>
              <w:jc w:val="left"/>
              <w:rPr>
                <w:rFonts w:ascii="Arial Narrow" w:hAnsi="Arial Narrow"/>
                <w:sz w:val="20"/>
                <w:szCs w:val="20"/>
              </w:rPr>
            </w:pPr>
            <w:proofErr w:type="spellStart"/>
            <w:r>
              <w:rPr>
                <w:rFonts w:ascii="Arial Narrow" w:hAnsi="Arial Narrow"/>
                <w:sz w:val="20"/>
                <w:szCs w:val="20"/>
              </w:rPr>
              <w:t>mCRPC</w:t>
            </w:r>
            <w:proofErr w:type="spellEnd"/>
            <w:r>
              <w:rPr>
                <w:rFonts w:ascii="Arial Narrow" w:hAnsi="Arial Narrow"/>
                <w:sz w:val="20"/>
                <w:szCs w:val="20"/>
              </w:rPr>
              <w:t xml:space="preserve"> health state</w:t>
            </w:r>
          </w:p>
        </w:tc>
        <w:tc>
          <w:tcPr>
            <w:tcW w:w="2142" w:type="dxa"/>
          </w:tcPr>
          <w:p w:rsidR="002B3F01" w:rsidRPr="002F7E6A" w:rsidRDefault="00B02413" w:rsidP="00E3268C">
            <w:pPr>
              <w:keepNext/>
              <w:keepLines/>
              <w:jc w:val="center"/>
              <w:rPr>
                <w:rFonts w:ascii="Arial Narrow" w:hAnsi="Arial Narrow"/>
                <w:sz w:val="20"/>
                <w:szCs w:val="20"/>
              </w:rPr>
            </w:pPr>
            <w:r>
              <w:rPr>
                <w:rFonts w:ascii="Arial Narrow" w:hAnsi="Arial Narrow"/>
                <w:noProof/>
                <w:color w:val="000000"/>
                <w:sz w:val="20"/>
                <w:szCs w:val="20"/>
                <w:highlight w:val="black"/>
              </w:rPr>
              <w:t>'''''''''''</w:t>
            </w:r>
            <w:r w:rsidR="002B3F01" w:rsidRPr="002F7E6A">
              <w:rPr>
                <w:rFonts w:ascii="Arial Narrow" w:hAnsi="Arial Narrow"/>
                <w:sz w:val="20"/>
                <w:szCs w:val="20"/>
              </w:rPr>
              <w:t xml:space="preserve"> months</w:t>
            </w:r>
          </w:p>
        </w:tc>
        <w:tc>
          <w:tcPr>
            <w:tcW w:w="1881" w:type="dxa"/>
          </w:tcPr>
          <w:p w:rsidR="002B3F01" w:rsidRPr="002F7E6A" w:rsidRDefault="00B02413" w:rsidP="00E3268C">
            <w:pPr>
              <w:keepNext/>
              <w:keepLines/>
              <w:jc w:val="center"/>
              <w:rPr>
                <w:rFonts w:ascii="Arial Narrow" w:hAnsi="Arial Narrow"/>
                <w:sz w:val="20"/>
                <w:szCs w:val="20"/>
              </w:rPr>
            </w:pPr>
            <w:r>
              <w:rPr>
                <w:rFonts w:ascii="Arial Narrow" w:hAnsi="Arial Narrow"/>
                <w:noProof/>
                <w:color w:val="000000"/>
                <w:sz w:val="20"/>
                <w:szCs w:val="20"/>
                <w:highlight w:val="black"/>
              </w:rPr>
              <w:t>'''''''''''</w:t>
            </w:r>
            <w:r w:rsidR="002B3F01" w:rsidRPr="002F7E6A">
              <w:rPr>
                <w:rFonts w:ascii="Arial Narrow" w:hAnsi="Arial Narrow"/>
                <w:sz w:val="20"/>
                <w:szCs w:val="20"/>
              </w:rPr>
              <w:t xml:space="preserve"> months</w:t>
            </w:r>
          </w:p>
        </w:tc>
        <w:tc>
          <w:tcPr>
            <w:tcW w:w="1865" w:type="dxa"/>
          </w:tcPr>
          <w:p w:rsidR="002B3F01" w:rsidRPr="002F7E6A" w:rsidRDefault="00B02413" w:rsidP="00E3268C">
            <w:pPr>
              <w:keepNext/>
              <w:keepLines/>
              <w:jc w:val="center"/>
              <w:rPr>
                <w:rFonts w:ascii="Arial Narrow" w:hAnsi="Arial Narrow"/>
                <w:i/>
                <w:sz w:val="20"/>
                <w:szCs w:val="20"/>
              </w:rPr>
            </w:pPr>
            <w:r>
              <w:rPr>
                <w:rFonts w:ascii="Arial Narrow" w:hAnsi="Arial Narrow"/>
                <w:i/>
                <w:noProof/>
                <w:color w:val="000000"/>
                <w:sz w:val="20"/>
                <w:szCs w:val="20"/>
                <w:highlight w:val="black"/>
              </w:rPr>
              <w:t>'''''''''</w:t>
            </w:r>
            <w:r w:rsidR="002B3F01" w:rsidRPr="002F7E6A">
              <w:rPr>
                <w:rFonts w:ascii="Arial Narrow" w:hAnsi="Arial Narrow"/>
                <w:i/>
                <w:sz w:val="20"/>
                <w:szCs w:val="20"/>
              </w:rPr>
              <w:t xml:space="preserve"> months</w:t>
            </w:r>
          </w:p>
        </w:tc>
      </w:tr>
      <w:tr w:rsidR="002B3F01" w:rsidRPr="00A05BF8" w:rsidTr="00487634">
        <w:tc>
          <w:tcPr>
            <w:tcW w:w="7207" w:type="dxa"/>
            <w:gridSpan w:val="3"/>
          </w:tcPr>
          <w:p w:rsidR="002B3F01" w:rsidRPr="002F7E6A" w:rsidRDefault="002B3F01" w:rsidP="00E3268C">
            <w:pPr>
              <w:keepNext/>
              <w:keepLines/>
              <w:jc w:val="right"/>
              <w:rPr>
                <w:rFonts w:ascii="Arial Narrow" w:hAnsi="Arial Narrow"/>
                <w:sz w:val="20"/>
                <w:szCs w:val="20"/>
              </w:rPr>
            </w:pPr>
            <w:r w:rsidRPr="002F7E6A">
              <w:rPr>
                <w:rFonts w:ascii="Arial Narrow" w:hAnsi="Arial Narrow"/>
                <w:sz w:val="20"/>
                <w:szCs w:val="20"/>
              </w:rPr>
              <w:t xml:space="preserve">Total difference between </w:t>
            </w:r>
            <w:proofErr w:type="spellStart"/>
            <w:r w:rsidRPr="002F7E6A">
              <w:rPr>
                <w:rFonts w:ascii="Arial Narrow" w:hAnsi="Arial Narrow"/>
                <w:sz w:val="20"/>
                <w:szCs w:val="20"/>
              </w:rPr>
              <w:t>apalutamide</w:t>
            </w:r>
            <w:proofErr w:type="spellEnd"/>
            <w:r w:rsidRPr="002F7E6A">
              <w:rPr>
                <w:rFonts w:ascii="Arial Narrow" w:hAnsi="Arial Narrow"/>
                <w:sz w:val="20"/>
                <w:szCs w:val="20"/>
              </w:rPr>
              <w:t xml:space="preserve"> and placebo arms in terms of time lived in model</w:t>
            </w:r>
          </w:p>
        </w:tc>
        <w:tc>
          <w:tcPr>
            <w:tcW w:w="1865" w:type="dxa"/>
          </w:tcPr>
          <w:p w:rsidR="002B3F01" w:rsidRPr="002F7E6A" w:rsidRDefault="00B02413" w:rsidP="00E3268C">
            <w:pPr>
              <w:keepNext/>
              <w:keepLines/>
              <w:jc w:val="center"/>
              <w:rPr>
                <w:rFonts w:ascii="Arial Narrow" w:hAnsi="Arial Narrow"/>
                <w:i/>
                <w:sz w:val="20"/>
                <w:szCs w:val="20"/>
              </w:rPr>
            </w:pPr>
            <w:r>
              <w:rPr>
                <w:rFonts w:ascii="Arial Narrow" w:hAnsi="Arial Narrow"/>
                <w:i/>
                <w:noProof/>
                <w:color w:val="000000"/>
                <w:sz w:val="20"/>
                <w:szCs w:val="20"/>
                <w:highlight w:val="black"/>
              </w:rPr>
              <w:t>'''''''''''</w:t>
            </w:r>
            <w:r w:rsidR="002B3F01" w:rsidRPr="002F7E6A">
              <w:rPr>
                <w:rFonts w:ascii="Arial Narrow" w:hAnsi="Arial Narrow"/>
                <w:i/>
                <w:sz w:val="20"/>
                <w:szCs w:val="20"/>
              </w:rPr>
              <w:t xml:space="preserve"> months</w:t>
            </w:r>
          </w:p>
        </w:tc>
      </w:tr>
      <w:tr w:rsidR="002B3F01" w:rsidRPr="00A05BF8" w:rsidTr="00487634">
        <w:tc>
          <w:tcPr>
            <w:tcW w:w="3184" w:type="dxa"/>
          </w:tcPr>
          <w:p w:rsidR="002B3F01" w:rsidRPr="00F85074" w:rsidRDefault="002B3F01" w:rsidP="00E3268C">
            <w:pPr>
              <w:keepNext/>
              <w:keepLines/>
              <w:jc w:val="left"/>
              <w:rPr>
                <w:rFonts w:ascii="Arial Narrow" w:hAnsi="Arial Narrow"/>
                <w:sz w:val="20"/>
                <w:szCs w:val="20"/>
              </w:rPr>
            </w:pPr>
            <w:r>
              <w:rPr>
                <w:rFonts w:ascii="Arial Narrow" w:hAnsi="Arial Narrow"/>
                <w:sz w:val="20"/>
                <w:szCs w:val="20"/>
              </w:rPr>
              <w:t xml:space="preserve">Survival time </w:t>
            </w:r>
            <w:proofErr w:type="spellStart"/>
            <w:r>
              <w:rPr>
                <w:rFonts w:ascii="Arial Narrow" w:hAnsi="Arial Narrow"/>
                <w:sz w:val="20"/>
                <w:szCs w:val="20"/>
              </w:rPr>
              <w:t>abiraterone</w:t>
            </w:r>
            <w:proofErr w:type="spellEnd"/>
            <w:r>
              <w:rPr>
                <w:rFonts w:ascii="Arial Narrow" w:hAnsi="Arial Narrow"/>
                <w:sz w:val="20"/>
                <w:szCs w:val="20"/>
              </w:rPr>
              <w:t xml:space="preserve"> Trial 302</w:t>
            </w:r>
          </w:p>
        </w:tc>
        <w:tc>
          <w:tcPr>
            <w:tcW w:w="4023" w:type="dxa"/>
            <w:gridSpan w:val="2"/>
          </w:tcPr>
          <w:p w:rsidR="002B3F01" w:rsidRPr="002F7E6A" w:rsidRDefault="00B02413" w:rsidP="00E3268C">
            <w:pPr>
              <w:keepNext/>
              <w:keepLines/>
              <w:jc w:val="center"/>
              <w:rPr>
                <w:rFonts w:ascii="Arial Narrow" w:hAnsi="Arial Narrow"/>
                <w:sz w:val="20"/>
                <w:szCs w:val="20"/>
              </w:rPr>
            </w:pPr>
            <w:r>
              <w:rPr>
                <w:rFonts w:ascii="Arial Narrow" w:hAnsi="Arial Narrow"/>
                <w:noProof/>
                <w:color w:val="000000"/>
                <w:sz w:val="20"/>
                <w:szCs w:val="20"/>
                <w:highlight w:val="black"/>
              </w:rPr>
              <w:t>''''''''''''</w:t>
            </w:r>
            <w:r w:rsidR="002B3F01" w:rsidRPr="002F7E6A">
              <w:rPr>
                <w:rFonts w:ascii="Arial Narrow" w:hAnsi="Arial Narrow"/>
                <w:sz w:val="20"/>
                <w:szCs w:val="20"/>
              </w:rPr>
              <w:t xml:space="preserve"> months</w:t>
            </w:r>
          </w:p>
        </w:tc>
        <w:tc>
          <w:tcPr>
            <w:tcW w:w="1865" w:type="dxa"/>
          </w:tcPr>
          <w:p w:rsidR="002B3F01" w:rsidRPr="002F7E6A" w:rsidRDefault="002B3F01" w:rsidP="00E3268C">
            <w:pPr>
              <w:keepNext/>
              <w:keepLines/>
              <w:jc w:val="center"/>
              <w:rPr>
                <w:rFonts w:ascii="Arial Narrow" w:hAnsi="Arial Narrow"/>
                <w:i/>
                <w:sz w:val="20"/>
                <w:szCs w:val="20"/>
              </w:rPr>
            </w:pPr>
            <w:r w:rsidRPr="002F7E6A">
              <w:rPr>
                <w:rFonts w:ascii="Arial Narrow" w:hAnsi="Arial Narrow"/>
                <w:i/>
                <w:sz w:val="20"/>
                <w:szCs w:val="20"/>
              </w:rPr>
              <w:t>-</w:t>
            </w:r>
          </w:p>
        </w:tc>
      </w:tr>
    </w:tbl>
    <w:p w:rsidR="002B3F01" w:rsidRDefault="002B3F01" w:rsidP="00E3268C">
      <w:pPr>
        <w:pStyle w:val="TableFooter"/>
        <w:keepNext/>
        <w:keepLines/>
      </w:pPr>
      <w:r>
        <w:t xml:space="preserve">m0CRPC=non-metastatic castration resistant prostate cancer; </w:t>
      </w:r>
      <w:proofErr w:type="spellStart"/>
      <w:r>
        <w:t>mCRPC</w:t>
      </w:r>
      <w:proofErr w:type="spellEnd"/>
      <w:r>
        <w:t>=metastatic castration resistant prostate cancer</w:t>
      </w:r>
    </w:p>
    <w:p w:rsidR="002B3F01" w:rsidRDefault="002B3F01" w:rsidP="00E3268C">
      <w:pPr>
        <w:pStyle w:val="TableFooter"/>
        <w:keepNext/>
        <w:keepLines/>
      </w:pPr>
      <w:r>
        <w:t>Source: Section 3.7.2, p321 of the submission.</w:t>
      </w:r>
    </w:p>
    <w:p w:rsidR="002B3F01" w:rsidRDefault="002B3F01" w:rsidP="002B3F01"/>
    <w:p w:rsidR="00AA5046" w:rsidRPr="00044636" w:rsidRDefault="00AA5046" w:rsidP="00AA5046">
      <w:pPr>
        <w:keepNext/>
        <w:rPr>
          <w:rFonts w:ascii="Arial Narrow" w:hAnsi="Arial Narrow"/>
          <w:b/>
          <w:sz w:val="20"/>
          <w:szCs w:val="20"/>
        </w:rPr>
      </w:pPr>
      <w:r>
        <w:rPr>
          <w:rFonts w:ascii="Arial Narrow" w:hAnsi="Arial Narrow"/>
          <w:b/>
          <w:sz w:val="20"/>
          <w:szCs w:val="20"/>
        </w:rPr>
        <w:lastRenderedPageBreak/>
        <w:t>Figure 3</w:t>
      </w:r>
      <w:r w:rsidRPr="00F85074">
        <w:rPr>
          <w:rFonts w:ascii="Arial Narrow" w:hAnsi="Arial Narrow"/>
          <w:b/>
          <w:sz w:val="20"/>
          <w:szCs w:val="20"/>
        </w:rPr>
        <w:t xml:space="preserve">:  </w:t>
      </w:r>
      <w:r w:rsidRPr="00044636">
        <w:rPr>
          <w:rFonts w:ascii="Arial Narrow" w:hAnsi="Arial Narrow"/>
          <w:b/>
          <w:sz w:val="20"/>
          <w:szCs w:val="20"/>
        </w:rPr>
        <w:t>Markov traces – all health states base case model</w:t>
      </w:r>
    </w:p>
    <w:p w:rsidR="00AA5046" w:rsidRDefault="00B02413" w:rsidP="00AA5046">
      <w:pPr>
        <w:keepNext/>
      </w:pPr>
      <w:r>
        <w:rPr>
          <w:noProof/>
          <w:lang w:eastAsia="en-AU"/>
        </w:rPr>
        <w:drawing>
          <wp:inline distT="0" distB="0" distL="0" distR="0">
            <wp:extent cx="5708650" cy="3573145"/>
            <wp:effectExtent l="0" t="0" r="6350" b="825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08650" cy="3573145"/>
                    </a:xfrm>
                    <a:prstGeom prst="rect">
                      <a:avLst/>
                    </a:prstGeom>
                  </pic:spPr>
                </pic:pic>
              </a:graphicData>
            </a:graphic>
          </wp:inline>
        </w:drawing>
      </w:r>
    </w:p>
    <w:p w:rsidR="00B36779" w:rsidRDefault="00B36779" w:rsidP="00AA5046">
      <w:pPr>
        <w:pStyle w:val="TableFooter"/>
        <w:keepNext/>
      </w:pPr>
      <w:r>
        <w:t>APA=</w:t>
      </w:r>
      <w:proofErr w:type="spellStart"/>
      <w:r>
        <w:t>apalutamide</w:t>
      </w:r>
      <w:proofErr w:type="spellEnd"/>
      <w:r>
        <w:t>, PBO=placebo</w:t>
      </w:r>
    </w:p>
    <w:p w:rsidR="00AA5046" w:rsidRDefault="00AA5046" w:rsidP="00AA5046">
      <w:pPr>
        <w:pStyle w:val="TableFooter"/>
        <w:keepNext/>
      </w:pPr>
      <w:r>
        <w:t>Source:  Figure 3.24, p320 of the submission</w:t>
      </w:r>
    </w:p>
    <w:p w:rsidR="00AA5046" w:rsidRDefault="00AA5046" w:rsidP="00CB20A7">
      <w:pPr>
        <w:pStyle w:val="TableFooter"/>
      </w:pPr>
    </w:p>
    <w:p w:rsidR="00661BDF" w:rsidRPr="00FA55BD" w:rsidRDefault="00014217" w:rsidP="00661BDF">
      <w:pPr>
        <w:pStyle w:val="ListParagraph"/>
        <w:numPr>
          <w:ilvl w:val="1"/>
          <w:numId w:val="3"/>
        </w:numPr>
      </w:pPr>
      <w:r>
        <w:rPr>
          <w:iCs/>
        </w:rPr>
        <w:t>T</w:t>
      </w:r>
      <w:r w:rsidR="008E5B89" w:rsidRPr="00A44512">
        <w:rPr>
          <w:iCs/>
        </w:rPr>
        <w:t xml:space="preserve">he model estimated an overall difference in survival of </w:t>
      </w:r>
      <w:r w:rsidR="00B02413">
        <w:rPr>
          <w:iCs/>
          <w:noProof/>
          <w:color w:val="000000"/>
          <w:highlight w:val="black"/>
        </w:rPr>
        <w:t>'''''''''</w:t>
      </w:r>
      <w:r w:rsidR="008E5B89" w:rsidRPr="00A44512">
        <w:rPr>
          <w:iCs/>
        </w:rPr>
        <w:t xml:space="preserve"> months (or </w:t>
      </w:r>
      <w:r w:rsidR="00B02413">
        <w:rPr>
          <w:iCs/>
          <w:noProof/>
          <w:color w:val="000000"/>
          <w:highlight w:val="black"/>
        </w:rPr>
        <w:t>''''''</w:t>
      </w:r>
      <w:r w:rsidR="008E5B89" w:rsidRPr="00A44512">
        <w:rPr>
          <w:iCs/>
        </w:rPr>
        <w:t xml:space="preserve"> years) between </w:t>
      </w:r>
      <w:proofErr w:type="spellStart"/>
      <w:r w:rsidR="008E5B89" w:rsidRPr="00A44512">
        <w:rPr>
          <w:iCs/>
        </w:rPr>
        <w:t>apalutamide</w:t>
      </w:r>
      <w:proofErr w:type="spellEnd"/>
      <w:r w:rsidR="008E5B89" w:rsidRPr="00A44512">
        <w:rPr>
          <w:iCs/>
        </w:rPr>
        <w:t xml:space="preserve"> and placebo. This suggests with respect to OS a level of benefit that is unprecedented for contemporary </w:t>
      </w:r>
      <w:r w:rsidR="00214DAF" w:rsidRPr="00A44512">
        <w:rPr>
          <w:iCs/>
        </w:rPr>
        <w:t xml:space="preserve">pharmacological </w:t>
      </w:r>
      <w:r w:rsidR="008E5B89" w:rsidRPr="00A44512">
        <w:rPr>
          <w:iCs/>
        </w:rPr>
        <w:t xml:space="preserve">treatments in prostate cancer and far exceeded estimated OS gains from RCTs for enzalutamide, </w:t>
      </w:r>
      <w:proofErr w:type="spellStart"/>
      <w:r w:rsidR="00411FD4" w:rsidRPr="00A44512">
        <w:rPr>
          <w:iCs/>
        </w:rPr>
        <w:t>abiraterone</w:t>
      </w:r>
      <w:proofErr w:type="spellEnd"/>
      <w:r w:rsidR="008E5B89" w:rsidRPr="00A44512">
        <w:rPr>
          <w:iCs/>
        </w:rPr>
        <w:t xml:space="preserve"> and docetaxel in </w:t>
      </w:r>
      <w:proofErr w:type="spellStart"/>
      <w:r w:rsidR="008E5B89" w:rsidRPr="00A44512">
        <w:rPr>
          <w:iCs/>
        </w:rPr>
        <w:t>mCRPC</w:t>
      </w:r>
      <w:proofErr w:type="spellEnd"/>
      <w:r w:rsidR="008E5B89" w:rsidRPr="00A44512">
        <w:rPr>
          <w:iCs/>
        </w:rPr>
        <w:t xml:space="preserve"> (around 4 months additional survival) or docetaxel in hormone sensitive prostate cancer (approximately 10 months additional survival). Given the SPARTAN trial did not demonstrate a statistically significant difference in OS </w:t>
      </w:r>
      <w:r w:rsidR="005A28D2" w:rsidRPr="00A44512">
        <w:rPr>
          <w:iCs/>
        </w:rPr>
        <w:t xml:space="preserve">between </w:t>
      </w:r>
      <w:proofErr w:type="spellStart"/>
      <w:r w:rsidR="005A28D2" w:rsidRPr="00A44512">
        <w:rPr>
          <w:iCs/>
        </w:rPr>
        <w:t>apalutamide</w:t>
      </w:r>
      <w:proofErr w:type="spellEnd"/>
      <w:r w:rsidR="005A28D2" w:rsidRPr="00A44512">
        <w:rPr>
          <w:iCs/>
        </w:rPr>
        <w:t xml:space="preserve"> and placebo</w:t>
      </w:r>
      <w:r w:rsidR="008E5B89" w:rsidRPr="00A44512">
        <w:rPr>
          <w:iCs/>
        </w:rPr>
        <w:t>, it should be considered whether this estimated gain in OS was reasonable</w:t>
      </w:r>
      <w:r w:rsidR="008E5B89" w:rsidRPr="00FA55BD">
        <w:rPr>
          <w:iCs/>
        </w:rPr>
        <w:t>.</w:t>
      </w:r>
      <w:r w:rsidR="00661BDF" w:rsidRPr="00FA55BD">
        <w:rPr>
          <w:iCs/>
        </w:rPr>
        <w:t xml:space="preserve"> </w:t>
      </w:r>
      <w:r w:rsidR="00661BDF" w:rsidRPr="00FA55BD">
        <w:t xml:space="preserve">The ESC considered the </w:t>
      </w:r>
      <w:r w:rsidR="00B02413">
        <w:rPr>
          <w:noProof/>
          <w:color w:val="000000"/>
          <w:highlight w:val="black"/>
        </w:rPr>
        <w:t>''''''</w:t>
      </w:r>
      <w:r w:rsidR="00661BDF" w:rsidRPr="00FA55BD">
        <w:t xml:space="preserve"> year difference in OS is highly implausible, especially in the absence of a demonstrated statistically significant benefit for OS, and given the magnitude of OS benefits derived from other CRPC therapies.</w:t>
      </w:r>
    </w:p>
    <w:p w:rsidR="00734912" w:rsidRPr="00FA55BD" w:rsidRDefault="00C73AAE" w:rsidP="00935761">
      <w:pPr>
        <w:pStyle w:val="ListParagraph"/>
        <w:numPr>
          <w:ilvl w:val="1"/>
          <w:numId w:val="3"/>
        </w:numPr>
      </w:pPr>
      <w:r w:rsidRPr="00FA55BD">
        <w:rPr>
          <w:iCs/>
        </w:rPr>
        <w:t xml:space="preserve">The </w:t>
      </w:r>
      <w:r w:rsidRPr="00FA55BD">
        <w:t xml:space="preserve">PSCR acknowledged the uncertainty of the OS benefit and adjusted the death rate in </w:t>
      </w:r>
      <w:r w:rsidR="003A5AB4" w:rsidRPr="00FA55BD">
        <w:t xml:space="preserve">the </w:t>
      </w:r>
      <w:proofErr w:type="spellStart"/>
      <w:r w:rsidRPr="00FA55BD">
        <w:t>apalutamide</w:t>
      </w:r>
      <w:proofErr w:type="spellEnd"/>
      <w:r w:rsidRPr="00FA55BD">
        <w:t xml:space="preserve"> arm by </w:t>
      </w:r>
      <w:r w:rsidR="00B02413">
        <w:rPr>
          <w:noProof/>
          <w:color w:val="000000"/>
          <w:highlight w:val="black"/>
        </w:rPr>
        <w:t>''''''''</w:t>
      </w:r>
      <w:r w:rsidRPr="00FA55BD">
        <w:t xml:space="preserve">% such that the ratio of median time spent in MFS to the median time spent in the progressive disease state for </w:t>
      </w:r>
      <w:proofErr w:type="spellStart"/>
      <w:r w:rsidRPr="00FA55BD">
        <w:t>apalutamide</w:t>
      </w:r>
      <w:proofErr w:type="spellEnd"/>
      <w:r w:rsidRPr="00FA55BD">
        <w:t xml:space="preserve"> is reduced </w:t>
      </w:r>
      <w:r w:rsidRPr="002F7E6A">
        <w:t xml:space="preserve">from </w:t>
      </w:r>
      <w:r w:rsidR="00B02413">
        <w:rPr>
          <w:noProof/>
          <w:color w:val="000000"/>
          <w:highlight w:val="black"/>
        </w:rPr>
        <w:t>''''''</w:t>
      </w:r>
      <w:r w:rsidRPr="002F7E6A">
        <w:t xml:space="preserve"> to </w:t>
      </w:r>
      <w:r w:rsidR="00B02413">
        <w:rPr>
          <w:noProof/>
          <w:color w:val="000000"/>
          <w:highlight w:val="black"/>
        </w:rPr>
        <w:t>'''''''''''''</w:t>
      </w:r>
      <w:r w:rsidRPr="002F7E6A">
        <w:t xml:space="preserve">, which reduced the modelled gain in </w:t>
      </w:r>
      <w:r w:rsidR="00285A8E" w:rsidRPr="002F7E6A">
        <w:t xml:space="preserve">MFS </w:t>
      </w:r>
      <w:r w:rsidR="005C0803" w:rsidRPr="002F7E6A">
        <w:t xml:space="preserve">relative to </w:t>
      </w:r>
      <w:r w:rsidRPr="002F7E6A">
        <w:t xml:space="preserve">OS to </w:t>
      </w:r>
      <w:r w:rsidR="00B02413">
        <w:rPr>
          <w:noProof/>
          <w:color w:val="000000"/>
          <w:highlight w:val="black"/>
        </w:rPr>
        <w:t>'''''''''''</w:t>
      </w:r>
      <w:r w:rsidRPr="002F7E6A">
        <w:t>.</w:t>
      </w:r>
      <w:r w:rsidRPr="00FA55BD">
        <w:t xml:space="preserve"> This resulted in a reduction in OS gain from </w:t>
      </w:r>
      <w:r w:rsidR="00B02413">
        <w:rPr>
          <w:noProof/>
          <w:color w:val="000000"/>
          <w:highlight w:val="black"/>
        </w:rPr>
        <w:t>'''''</w:t>
      </w:r>
      <w:r w:rsidRPr="002F7E6A">
        <w:t xml:space="preserve"> months to </w:t>
      </w:r>
      <w:r w:rsidR="00B02413">
        <w:rPr>
          <w:noProof/>
          <w:color w:val="000000"/>
          <w:highlight w:val="black"/>
        </w:rPr>
        <w:t>'''''</w:t>
      </w:r>
      <w:r w:rsidRPr="002F7E6A">
        <w:t xml:space="preserve"> months</w:t>
      </w:r>
      <w:r w:rsidRPr="00FA55BD">
        <w:t xml:space="preserve"> and an increase in ICER from $</w:t>
      </w:r>
      <w:r w:rsidR="00A85E87" w:rsidRPr="00A85E87">
        <w:t>45,000/QALY – 75,000/QALY</w:t>
      </w:r>
      <w:r w:rsidRPr="00FA55BD">
        <w:t xml:space="preserve"> to $</w:t>
      </w:r>
      <w:r w:rsidR="00935761" w:rsidRPr="00935761">
        <w:t>45,000/QALY – 75,000/QALY</w:t>
      </w:r>
      <w:r w:rsidR="00AD5413" w:rsidRPr="00FA55BD">
        <w:t>.</w:t>
      </w:r>
      <w:r w:rsidR="00304E49" w:rsidRPr="00FA55BD">
        <w:t xml:space="preserve"> </w:t>
      </w:r>
      <w:r w:rsidR="00AD5413" w:rsidRPr="00FA55BD">
        <w:t>The ESC noted</w:t>
      </w:r>
      <w:r w:rsidR="00304E49" w:rsidRPr="00FA55BD">
        <w:t xml:space="preserve"> the revised model has not been independently evaluated</w:t>
      </w:r>
      <w:r w:rsidRPr="00FA55BD">
        <w:t xml:space="preserve">. </w:t>
      </w:r>
      <w:r w:rsidR="00304E49" w:rsidRPr="00FA55BD">
        <w:t xml:space="preserve">The ESC considered that the revised assumption is not supported by evidence and appears to be optimistic compared with the trial data where the HR for MFS is 0.30 and the HR for OS is 0.70. </w:t>
      </w:r>
      <w:r w:rsidR="00304E49" w:rsidRPr="00FA55BD">
        <w:lastRenderedPageBreak/>
        <w:t>The lack of a demonstrated surrogate relationship between MFS and OS called into question the overall validity of the economic evaluation</w:t>
      </w:r>
      <w:r w:rsidR="00AD5413" w:rsidRPr="00FA55BD">
        <w:t xml:space="preserve"> presented in the submission</w:t>
      </w:r>
      <w:r w:rsidR="00304E49" w:rsidRPr="00FA55BD">
        <w:t>.</w:t>
      </w:r>
      <w:r w:rsidR="000C7C24">
        <w:t xml:space="preserve"> The pre-PBAC response argued that the modelled gain in OS presented in the PSCR was consistent with the </w:t>
      </w:r>
      <w:r w:rsidR="00050DFE">
        <w:t xml:space="preserve">pooled </w:t>
      </w:r>
      <w:proofErr w:type="spellStart"/>
      <w:r w:rsidR="00050DFE">
        <w:t>apalutamide</w:t>
      </w:r>
      <w:proofErr w:type="spellEnd"/>
      <w:r w:rsidR="00050DFE">
        <w:t xml:space="preserve"> and enzalutamide </w:t>
      </w:r>
      <w:r w:rsidR="000C7C24">
        <w:t>trial data</w:t>
      </w:r>
      <w:r w:rsidR="00285A8E">
        <w:t xml:space="preserve"> for OS</w:t>
      </w:r>
      <w:r w:rsidR="00050DFE">
        <w:t>.</w:t>
      </w:r>
      <w:r w:rsidR="000C7C24">
        <w:t xml:space="preserve"> </w:t>
      </w:r>
    </w:p>
    <w:p w:rsidR="00A86E8B" w:rsidRPr="00FA55BD" w:rsidRDefault="003A5AB4" w:rsidP="00E3268C">
      <w:pPr>
        <w:pStyle w:val="ListParagraph"/>
        <w:numPr>
          <w:ilvl w:val="1"/>
          <w:numId w:val="3"/>
        </w:numPr>
        <w:rPr>
          <w:iCs/>
        </w:rPr>
      </w:pPr>
      <w:r w:rsidRPr="00FA55BD">
        <w:rPr>
          <w:iCs/>
        </w:rPr>
        <w:t xml:space="preserve">The ESC </w:t>
      </w:r>
      <w:r w:rsidR="00AD5413" w:rsidRPr="00FA55BD">
        <w:rPr>
          <w:iCs/>
        </w:rPr>
        <w:t>considered</w:t>
      </w:r>
      <w:r w:rsidR="00C73AAE" w:rsidRPr="00FA55BD">
        <w:rPr>
          <w:iCs/>
        </w:rPr>
        <w:t xml:space="preserve"> </w:t>
      </w:r>
      <w:r w:rsidR="00E3268C" w:rsidRPr="00FA55BD">
        <w:rPr>
          <w:iCs/>
        </w:rPr>
        <w:t xml:space="preserve">an </w:t>
      </w:r>
      <w:r w:rsidR="00C73AAE" w:rsidRPr="00FA55BD">
        <w:rPr>
          <w:iCs/>
        </w:rPr>
        <w:t xml:space="preserve">economic </w:t>
      </w:r>
      <w:r w:rsidR="00E3268C" w:rsidRPr="00FA55BD">
        <w:rPr>
          <w:iCs/>
        </w:rPr>
        <w:t>model</w:t>
      </w:r>
      <w:r w:rsidR="00C73AAE" w:rsidRPr="00FA55BD">
        <w:rPr>
          <w:iCs/>
        </w:rPr>
        <w:t xml:space="preserve"> </w:t>
      </w:r>
      <w:r w:rsidR="00AD5413" w:rsidRPr="00FA55BD">
        <w:rPr>
          <w:iCs/>
        </w:rPr>
        <w:t xml:space="preserve">based on </w:t>
      </w:r>
      <w:r w:rsidR="004F2B28" w:rsidRPr="00FA55BD">
        <w:rPr>
          <w:iCs/>
        </w:rPr>
        <w:t>time to symptomatic progression</w:t>
      </w:r>
      <w:r w:rsidR="00C73AAE" w:rsidRPr="00FA55BD">
        <w:rPr>
          <w:iCs/>
        </w:rPr>
        <w:t xml:space="preserve"> </w:t>
      </w:r>
      <w:r w:rsidR="004F2B28" w:rsidRPr="00FA55BD">
        <w:rPr>
          <w:iCs/>
        </w:rPr>
        <w:t>and/</w:t>
      </w:r>
      <w:r w:rsidR="0003522A" w:rsidRPr="00FA55BD">
        <w:rPr>
          <w:iCs/>
        </w:rPr>
        <w:t xml:space="preserve">or the time to initiation of cytotoxic chemotherapy </w:t>
      </w:r>
      <w:r w:rsidR="00C73AAE" w:rsidRPr="00FA55BD">
        <w:rPr>
          <w:iCs/>
        </w:rPr>
        <w:t xml:space="preserve">would provide a more robust basis for assessment of the cost-effectiveness of </w:t>
      </w:r>
      <w:proofErr w:type="spellStart"/>
      <w:r w:rsidR="00C73AAE" w:rsidRPr="00FA55BD">
        <w:rPr>
          <w:iCs/>
        </w:rPr>
        <w:t>apalutamide</w:t>
      </w:r>
      <w:proofErr w:type="spellEnd"/>
      <w:r w:rsidR="00C73AAE" w:rsidRPr="00FA55BD">
        <w:rPr>
          <w:iCs/>
        </w:rPr>
        <w:t>.</w:t>
      </w:r>
      <w:r w:rsidR="004F2B28" w:rsidRPr="00FA55BD">
        <w:rPr>
          <w:iCs/>
        </w:rPr>
        <w:t xml:space="preserve"> </w:t>
      </w:r>
      <w:r w:rsidR="00677EB1">
        <w:rPr>
          <w:iCs/>
        </w:rPr>
        <w:t xml:space="preserve">The pre-PBAC response </w:t>
      </w:r>
      <w:r w:rsidR="00913E6F">
        <w:rPr>
          <w:iCs/>
        </w:rPr>
        <w:t xml:space="preserve">commented that the economic model currently captures the delay in intermediate outcomes of development of symptoms and </w:t>
      </w:r>
      <w:r w:rsidR="00985AFC">
        <w:rPr>
          <w:iCs/>
        </w:rPr>
        <w:t>initiation</w:t>
      </w:r>
      <w:r w:rsidR="00913E6F">
        <w:rPr>
          <w:iCs/>
        </w:rPr>
        <w:t xml:space="preserve"> of chemotherapy in the delay to metastases and death. The pre-PBAC response also </w:t>
      </w:r>
      <w:r w:rsidR="00677EB1">
        <w:rPr>
          <w:iCs/>
        </w:rPr>
        <w:t xml:space="preserve">argued that patients who die from prostate cancer, die due to the sequelae of metastases and therefore to assume that the increased MFS would not result in any increase in OS is unreasonable. The pre-PBAC response indicated that the sponsor </w:t>
      </w:r>
      <w:r w:rsidR="007942EB">
        <w:rPr>
          <w:iCs/>
        </w:rPr>
        <w:t>w</w:t>
      </w:r>
      <w:r w:rsidR="00677EB1">
        <w:rPr>
          <w:iCs/>
        </w:rPr>
        <w:t xml:space="preserve">ould not submit an economic model that does not include OS benefit for </w:t>
      </w:r>
      <w:proofErr w:type="spellStart"/>
      <w:r w:rsidR="00677EB1">
        <w:rPr>
          <w:iCs/>
        </w:rPr>
        <w:t>apalutamide</w:t>
      </w:r>
      <w:proofErr w:type="spellEnd"/>
      <w:r w:rsidR="00677EB1">
        <w:rPr>
          <w:iCs/>
        </w:rPr>
        <w:t xml:space="preserve">. </w:t>
      </w:r>
      <w:r w:rsidR="004F2B28" w:rsidRPr="00677EB1">
        <w:rPr>
          <w:i/>
          <w:iCs/>
        </w:rPr>
        <w:t>See</w:t>
      </w:r>
      <w:r w:rsidR="00677EB1">
        <w:rPr>
          <w:i/>
          <w:iCs/>
        </w:rPr>
        <w:t xml:space="preserve"> also</w:t>
      </w:r>
      <w:r w:rsidR="004F2B28" w:rsidRPr="00677EB1">
        <w:rPr>
          <w:i/>
          <w:iCs/>
        </w:rPr>
        <w:t xml:space="preserve"> paragraph 6.</w:t>
      </w:r>
      <w:r w:rsidR="00677EB1">
        <w:rPr>
          <w:i/>
          <w:iCs/>
        </w:rPr>
        <w:t>11</w:t>
      </w:r>
      <w:r w:rsidR="00987883" w:rsidRPr="00677EB1">
        <w:rPr>
          <w:i/>
          <w:iCs/>
        </w:rPr>
        <w:t xml:space="preserve"> </w:t>
      </w:r>
      <w:r w:rsidR="004F2B28" w:rsidRPr="00677EB1">
        <w:rPr>
          <w:i/>
          <w:iCs/>
        </w:rPr>
        <w:t>above</w:t>
      </w:r>
      <w:r w:rsidR="0003522A" w:rsidRPr="00FA55BD">
        <w:rPr>
          <w:iCs/>
        </w:rPr>
        <w:t>.</w:t>
      </w:r>
      <w:r w:rsidR="00677EB1">
        <w:rPr>
          <w:iCs/>
        </w:rPr>
        <w:t xml:space="preserve"> </w:t>
      </w:r>
    </w:p>
    <w:p w:rsidR="00C25D9C" w:rsidRPr="002C2775" w:rsidRDefault="00255228" w:rsidP="00FD3E23">
      <w:pPr>
        <w:pStyle w:val="Heading2"/>
      </w:pPr>
      <w:bookmarkStart w:id="13" w:name="_Toc522226935"/>
      <w:r>
        <w:t xml:space="preserve">Drug cost/patient/month and </w:t>
      </w:r>
      <w:r w:rsidR="00C25D9C" w:rsidRPr="002C2775">
        <w:t>year</w:t>
      </w:r>
      <w:bookmarkEnd w:id="13"/>
    </w:p>
    <w:p w:rsidR="00B60939" w:rsidRDefault="004A51D0" w:rsidP="00E05630">
      <w:pPr>
        <w:pStyle w:val="ListParagraph"/>
        <w:keepNext/>
        <w:numPr>
          <w:ilvl w:val="1"/>
          <w:numId w:val="3"/>
        </w:numPr>
      </w:pPr>
      <w:r>
        <w:t xml:space="preserve">The table below provides </w:t>
      </w:r>
      <w:proofErr w:type="spellStart"/>
      <w:r>
        <w:t>apalutamide</w:t>
      </w:r>
      <w:proofErr w:type="spellEnd"/>
      <w:r>
        <w:t xml:space="preserve"> and ADT costs for one </w:t>
      </w:r>
      <w:r w:rsidR="00255228">
        <w:t>month</w:t>
      </w:r>
      <w:r>
        <w:t xml:space="preserve"> of treatment and one </w:t>
      </w:r>
      <w:r w:rsidR="00255228">
        <w:t>year</w:t>
      </w:r>
      <w:r>
        <w:t xml:space="preserve"> of treatment.</w:t>
      </w:r>
    </w:p>
    <w:p w:rsidR="004A51D0" w:rsidRDefault="00255228" w:rsidP="004A51D0">
      <w:pPr>
        <w:keepNext/>
      </w:pPr>
      <w:r w:rsidRPr="00C00614">
        <w:rPr>
          <w:rFonts w:ascii="Arial Narrow" w:hAnsi="Arial Narrow"/>
          <w:b/>
          <w:sz w:val="20"/>
          <w:szCs w:val="20"/>
        </w:rPr>
        <w:t xml:space="preserve">Table </w:t>
      </w:r>
      <w:r w:rsidR="005E3073">
        <w:rPr>
          <w:rFonts w:ascii="Arial Narrow" w:hAnsi="Arial Narrow"/>
          <w:b/>
          <w:sz w:val="20"/>
          <w:szCs w:val="20"/>
        </w:rPr>
        <w:t>1</w:t>
      </w:r>
      <w:r w:rsidR="00922373">
        <w:rPr>
          <w:rFonts w:ascii="Arial Narrow" w:hAnsi="Arial Narrow"/>
          <w:b/>
          <w:sz w:val="20"/>
          <w:szCs w:val="20"/>
        </w:rPr>
        <w:t>2</w:t>
      </w:r>
      <w:r w:rsidRPr="00C00614">
        <w:rPr>
          <w:rFonts w:ascii="Arial Narrow" w:hAnsi="Arial Narrow"/>
          <w:b/>
          <w:sz w:val="20"/>
          <w:szCs w:val="20"/>
        </w:rPr>
        <w:t xml:space="preserve">:  </w:t>
      </w:r>
      <w:r>
        <w:rPr>
          <w:rFonts w:ascii="Arial Narrow" w:hAnsi="Arial Narrow"/>
          <w:b/>
          <w:sz w:val="20"/>
          <w:szCs w:val="20"/>
        </w:rPr>
        <w:t xml:space="preserve">Drug </w:t>
      </w:r>
      <w:proofErr w:type="spellStart"/>
      <w:r>
        <w:rPr>
          <w:rFonts w:ascii="Arial Narrow" w:hAnsi="Arial Narrow"/>
          <w:b/>
          <w:sz w:val="20"/>
          <w:szCs w:val="20"/>
        </w:rPr>
        <w:t>cost</w:t>
      </w:r>
      <w:r w:rsidR="005E14C1" w:rsidRPr="005E14C1">
        <w:rPr>
          <w:rFonts w:ascii="Arial Narrow" w:hAnsi="Arial Narrow"/>
          <w:b/>
          <w:sz w:val="20"/>
          <w:szCs w:val="20"/>
          <w:vertAlign w:val="superscript"/>
        </w:rPr>
        <w:t>a</w:t>
      </w:r>
      <w:proofErr w:type="spellEnd"/>
      <w:r w:rsidRPr="00C00614">
        <w:rPr>
          <w:rFonts w:ascii="Arial Narrow" w:hAnsi="Arial Narrow"/>
          <w:b/>
          <w:sz w:val="20"/>
          <w:szCs w:val="20"/>
        </w:rPr>
        <w:t xml:space="preserve"> per patient </w:t>
      </w:r>
      <w:r>
        <w:rPr>
          <w:rFonts w:ascii="Arial Narrow" w:hAnsi="Arial Narrow"/>
          <w:b/>
          <w:sz w:val="20"/>
          <w:szCs w:val="20"/>
        </w:rPr>
        <w:t>for one month and for one year</w:t>
      </w:r>
    </w:p>
    <w:tbl>
      <w:tblPr>
        <w:tblStyle w:val="TableGrid"/>
        <w:tblW w:w="4907" w:type="pct"/>
        <w:tblInd w:w="108" w:type="dxa"/>
        <w:tblLook w:val="04A0" w:firstRow="1" w:lastRow="0" w:firstColumn="1" w:lastColumn="0" w:noHBand="0" w:noVBand="1"/>
        <w:tblCaption w:val=" Drug costa per patient for one month and for one year"/>
      </w:tblPr>
      <w:tblGrid>
        <w:gridCol w:w="5531"/>
        <w:gridCol w:w="1681"/>
        <w:gridCol w:w="1637"/>
      </w:tblGrid>
      <w:tr w:rsidR="002D79EB" w:rsidRPr="00C00614" w:rsidTr="00A578F4">
        <w:trPr>
          <w:tblHeader/>
        </w:trPr>
        <w:tc>
          <w:tcPr>
            <w:tcW w:w="3125" w:type="pct"/>
            <w:vMerge w:val="restart"/>
          </w:tcPr>
          <w:p w:rsidR="002D79EB" w:rsidRPr="00C00614" w:rsidRDefault="002D79EB" w:rsidP="002D79EB">
            <w:pPr>
              <w:keepNext/>
              <w:tabs>
                <w:tab w:val="left" w:pos="164"/>
              </w:tabs>
              <w:jc w:val="left"/>
              <w:rPr>
                <w:rFonts w:ascii="Arial Narrow" w:hAnsi="Arial Narrow"/>
                <w:color w:val="000000" w:themeColor="text1"/>
                <w:sz w:val="20"/>
                <w:szCs w:val="20"/>
              </w:rPr>
            </w:pPr>
          </w:p>
        </w:tc>
        <w:tc>
          <w:tcPr>
            <w:tcW w:w="1875" w:type="pct"/>
            <w:gridSpan w:val="2"/>
          </w:tcPr>
          <w:p w:rsidR="002D79EB" w:rsidRDefault="002D79EB" w:rsidP="00255228">
            <w:pPr>
              <w:keepNext/>
              <w:jc w:val="center"/>
              <w:rPr>
                <w:rFonts w:ascii="Arial Narrow" w:hAnsi="Arial Narrow"/>
                <w:b/>
                <w:color w:val="000000" w:themeColor="text1"/>
                <w:sz w:val="20"/>
                <w:szCs w:val="20"/>
              </w:rPr>
            </w:pPr>
            <w:r>
              <w:rPr>
                <w:rFonts w:ascii="Arial Narrow" w:hAnsi="Arial Narrow"/>
                <w:b/>
                <w:color w:val="000000" w:themeColor="text1"/>
                <w:sz w:val="20"/>
                <w:szCs w:val="20"/>
              </w:rPr>
              <w:t>Cost of treatment</w:t>
            </w:r>
          </w:p>
        </w:tc>
      </w:tr>
      <w:tr w:rsidR="002D79EB" w:rsidRPr="00C00614" w:rsidTr="00A578F4">
        <w:tc>
          <w:tcPr>
            <w:tcW w:w="3125" w:type="pct"/>
            <w:vMerge/>
          </w:tcPr>
          <w:p w:rsidR="002D79EB" w:rsidRPr="00C00614" w:rsidRDefault="002D79EB" w:rsidP="00255228">
            <w:pPr>
              <w:keepNext/>
              <w:tabs>
                <w:tab w:val="left" w:pos="164"/>
              </w:tabs>
              <w:rPr>
                <w:rFonts w:ascii="Arial Narrow" w:hAnsi="Arial Narrow"/>
                <w:color w:val="000000" w:themeColor="text1"/>
                <w:sz w:val="20"/>
                <w:szCs w:val="20"/>
              </w:rPr>
            </w:pPr>
          </w:p>
        </w:tc>
        <w:tc>
          <w:tcPr>
            <w:tcW w:w="950" w:type="pct"/>
          </w:tcPr>
          <w:p w:rsidR="002D79EB" w:rsidRPr="00C00614" w:rsidRDefault="002D79EB" w:rsidP="00255228">
            <w:pPr>
              <w:keepNext/>
              <w:jc w:val="center"/>
              <w:rPr>
                <w:rFonts w:ascii="Arial Narrow" w:hAnsi="Arial Narrow"/>
                <w:b/>
                <w:color w:val="000000" w:themeColor="text1"/>
                <w:sz w:val="20"/>
                <w:szCs w:val="20"/>
              </w:rPr>
            </w:pPr>
            <w:r>
              <w:rPr>
                <w:rFonts w:ascii="Arial Narrow" w:hAnsi="Arial Narrow"/>
                <w:b/>
                <w:color w:val="000000" w:themeColor="text1"/>
                <w:sz w:val="20"/>
                <w:szCs w:val="20"/>
              </w:rPr>
              <w:t>One month</w:t>
            </w:r>
          </w:p>
        </w:tc>
        <w:tc>
          <w:tcPr>
            <w:tcW w:w="925" w:type="pct"/>
          </w:tcPr>
          <w:p w:rsidR="002D79EB" w:rsidRPr="00C00614" w:rsidRDefault="002D79EB" w:rsidP="00255228">
            <w:pPr>
              <w:keepNext/>
              <w:jc w:val="center"/>
              <w:rPr>
                <w:rFonts w:ascii="Arial Narrow" w:hAnsi="Arial Narrow" w:cs="Arial"/>
                <w:b/>
                <w:color w:val="000000" w:themeColor="text1"/>
                <w:sz w:val="20"/>
                <w:szCs w:val="20"/>
              </w:rPr>
            </w:pPr>
            <w:r>
              <w:rPr>
                <w:rFonts w:ascii="Arial Narrow" w:hAnsi="Arial Narrow"/>
                <w:b/>
                <w:color w:val="000000" w:themeColor="text1"/>
                <w:sz w:val="20"/>
                <w:szCs w:val="20"/>
              </w:rPr>
              <w:t>One year</w:t>
            </w:r>
          </w:p>
        </w:tc>
      </w:tr>
      <w:tr w:rsidR="005E50F2" w:rsidRPr="00C00614" w:rsidTr="00A578F4">
        <w:tc>
          <w:tcPr>
            <w:tcW w:w="3125" w:type="pct"/>
          </w:tcPr>
          <w:p w:rsidR="005E50F2" w:rsidRPr="00C00614" w:rsidRDefault="005E50F2" w:rsidP="005E50F2">
            <w:pPr>
              <w:keepNext/>
              <w:tabs>
                <w:tab w:val="left" w:pos="164"/>
              </w:tabs>
              <w:ind w:left="22"/>
              <w:rPr>
                <w:rFonts w:ascii="Arial Narrow" w:hAnsi="Arial Narrow"/>
                <w:color w:val="000000" w:themeColor="text1"/>
                <w:sz w:val="20"/>
                <w:szCs w:val="20"/>
              </w:rPr>
            </w:pPr>
            <w:proofErr w:type="spellStart"/>
            <w:r w:rsidRPr="00C00614">
              <w:rPr>
                <w:rFonts w:ascii="Arial Narrow" w:hAnsi="Arial Narrow"/>
                <w:color w:val="000000" w:themeColor="text1"/>
                <w:sz w:val="20"/>
                <w:szCs w:val="20"/>
              </w:rPr>
              <w:t>Apalutamide</w:t>
            </w:r>
            <w:r w:rsidR="005E14C1">
              <w:rPr>
                <w:rFonts w:ascii="Arial Narrow" w:hAnsi="Arial Narrow"/>
                <w:color w:val="000000" w:themeColor="text1"/>
                <w:sz w:val="20"/>
                <w:szCs w:val="20"/>
                <w:vertAlign w:val="superscript"/>
              </w:rPr>
              <w:t>b</w:t>
            </w:r>
            <w:proofErr w:type="spellEnd"/>
          </w:p>
        </w:tc>
        <w:tc>
          <w:tcPr>
            <w:tcW w:w="950" w:type="pct"/>
          </w:tcPr>
          <w:p w:rsidR="005E50F2" w:rsidRPr="00AA7E9D" w:rsidRDefault="005E50F2" w:rsidP="005E50F2">
            <w:pPr>
              <w:keepNext/>
              <w:jc w:val="center"/>
              <w:rPr>
                <w:rFonts w:ascii="Arial Narrow" w:hAnsi="Arial Narrow" w:cs="Calibri"/>
                <w:color w:val="000000"/>
                <w:sz w:val="20"/>
                <w:szCs w:val="20"/>
              </w:rPr>
            </w:pPr>
            <w:r w:rsidRPr="00AA7E9D">
              <w:rPr>
                <w:rFonts w:ascii="Arial Narrow" w:hAnsi="Arial Narrow" w:cs="Calibri"/>
                <w:color w:val="000000"/>
                <w:sz w:val="20"/>
                <w:szCs w:val="20"/>
              </w:rPr>
              <w:t>$</w:t>
            </w:r>
            <w:r w:rsidR="00B02413">
              <w:rPr>
                <w:rFonts w:ascii="Arial Narrow" w:hAnsi="Arial Narrow" w:cs="Calibri"/>
                <w:noProof/>
                <w:color w:val="000000"/>
                <w:sz w:val="20"/>
                <w:szCs w:val="20"/>
                <w:highlight w:val="black"/>
              </w:rPr>
              <w:t>'''''''''''''</w:t>
            </w:r>
          </w:p>
        </w:tc>
        <w:tc>
          <w:tcPr>
            <w:tcW w:w="925" w:type="pct"/>
          </w:tcPr>
          <w:p w:rsidR="005E50F2" w:rsidRPr="00C00614" w:rsidRDefault="005E50F2" w:rsidP="005E50F2">
            <w:pPr>
              <w:keepNext/>
              <w:jc w:val="center"/>
              <w:rPr>
                <w:rFonts w:ascii="Arial Narrow" w:hAnsi="Arial Narrow" w:cs="Arial"/>
                <w:sz w:val="20"/>
                <w:szCs w:val="20"/>
              </w:rPr>
            </w:pPr>
            <w:r w:rsidRPr="00F452EC">
              <w:rPr>
                <w:rFonts w:ascii="Arial Narrow" w:hAnsi="Arial Narrow" w:cs="Calibri"/>
                <w:color w:val="000000"/>
                <w:sz w:val="20"/>
                <w:szCs w:val="20"/>
              </w:rPr>
              <w:t>$</w:t>
            </w:r>
            <w:r w:rsidR="00B02413">
              <w:rPr>
                <w:rFonts w:ascii="Arial Narrow" w:hAnsi="Arial Narrow" w:cs="Calibri"/>
                <w:noProof/>
                <w:color w:val="000000"/>
                <w:sz w:val="20"/>
                <w:szCs w:val="20"/>
                <w:highlight w:val="black"/>
              </w:rPr>
              <w:t>''''''''''''''''</w:t>
            </w:r>
          </w:p>
        </w:tc>
      </w:tr>
      <w:tr w:rsidR="005E50F2" w:rsidRPr="00C00614" w:rsidTr="00A578F4">
        <w:tc>
          <w:tcPr>
            <w:tcW w:w="3125" w:type="pct"/>
          </w:tcPr>
          <w:p w:rsidR="005E50F2" w:rsidRPr="00C00614" w:rsidRDefault="005E50F2" w:rsidP="005E50F2">
            <w:pPr>
              <w:keepNext/>
              <w:tabs>
                <w:tab w:val="left" w:pos="164"/>
              </w:tabs>
              <w:ind w:left="22"/>
              <w:rPr>
                <w:rFonts w:ascii="Arial Narrow" w:hAnsi="Arial Narrow"/>
                <w:color w:val="000000" w:themeColor="text1"/>
                <w:sz w:val="20"/>
                <w:szCs w:val="20"/>
              </w:rPr>
            </w:pPr>
            <w:r w:rsidRPr="00C00614">
              <w:rPr>
                <w:rFonts w:ascii="Arial Narrow" w:hAnsi="Arial Narrow"/>
                <w:color w:val="000000" w:themeColor="text1"/>
                <w:sz w:val="20"/>
                <w:szCs w:val="20"/>
              </w:rPr>
              <w:t>Androgen deprivation therapy (ADT)</w:t>
            </w:r>
          </w:p>
        </w:tc>
        <w:tc>
          <w:tcPr>
            <w:tcW w:w="950" w:type="pct"/>
          </w:tcPr>
          <w:p w:rsidR="005E50F2" w:rsidRPr="00AA7E9D" w:rsidRDefault="005E50F2" w:rsidP="005E50F2">
            <w:pPr>
              <w:keepNext/>
              <w:jc w:val="center"/>
              <w:rPr>
                <w:rFonts w:ascii="Arial Narrow" w:hAnsi="Arial Narrow" w:cs="Calibri"/>
                <w:color w:val="000000"/>
                <w:sz w:val="20"/>
                <w:szCs w:val="20"/>
              </w:rPr>
            </w:pPr>
            <w:r w:rsidRPr="00AA7E9D">
              <w:rPr>
                <w:rFonts w:ascii="Arial Narrow" w:hAnsi="Arial Narrow" w:cs="Calibri"/>
                <w:color w:val="000000"/>
                <w:sz w:val="20"/>
                <w:szCs w:val="20"/>
              </w:rPr>
              <w:t>$</w:t>
            </w:r>
            <w:r w:rsidR="00B02413">
              <w:rPr>
                <w:rFonts w:ascii="Arial Narrow" w:hAnsi="Arial Narrow" w:cs="Calibri"/>
                <w:noProof/>
                <w:color w:val="000000"/>
                <w:sz w:val="20"/>
                <w:szCs w:val="20"/>
                <w:highlight w:val="black"/>
              </w:rPr>
              <w:t>''''''''''</w:t>
            </w:r>
          </w:p>
        </w:tc>
        <w:tc>
          <w:tcPr>
            <w:tcW w:w="925" w:type="pct"/>
          </w:tcPr>
          <w:p w:rsidR="005E50F2" w:rsidRPr="00C00614" w:rsidRDefault="005E50F2" w:rsidP="005E50F2">
            <w:pPr>
              <w:keepNext/>
              <w:jc w:val="center"/>
              <w:rPr>
                <w:rFonts w:ascii="Arial Narrow" w:hAnsi="Arial Narrow" w:cs="Arial"/>
                <w:sz w:val="20"/>
                <w:szCs w:val="20"/>
              </w:rPr>
            </w:pPr>
            <w:r w:rsidRPr="00F452EC">
              <w:rPr>
                <w:rFonts w:ascii="Arial Narrow" w:hAnsi="Arial Narrow" w:cs="Calibri"/>
                <w:color w:val="000000"/>
                <w:sz w:val="20"/>
                <w:szCs w:val="20"/>
              </w:rPr>
              <w:t>$</w:t>
            </w:r>
            <w:r w:rsidR="00B02413">
              <w:rPr>
                <w:rFonts w:ascii="Arial Narrow" w:hAnsi="Arial Narrow" w:cs="Calibri"/>
                <w:noProof/>
                <w:color w:val="000000"/>
                <w:sz w:val="20"/>
                <w:szCs w:val="20"/>
                <w:highlight w:val="black"/>
              </w:rPr>
              <w:t>'''''''''''''''</w:t>
            </w:r>
          </w:p>
        </w:tc>
      </w:tr>
      <w:tr w:rsidR="005E50F2" w:rsidRPr="00FB3AB7" w:rsidTr="00A578F4">
        <w:tc>
          <w:tcPr>
            <w:tcW w:w="3125" w:type="pct"/>
          </w:tcPr>
          <w:p w:rsidR="005E50F2" w:rsidRPr="00C00614" w:rsidRDefault="005E50F2" w:rsidP="005E50F2">
            <w:pPr>
              <w:keepNext/>
              <w:tabs>
                <w:tab w:val="left" w:pos="164"/>
              </w:tabs>
              <w:ind w:left="22"/>
              <w:rPr>
                <w:rFonts w:ascii="Arial Narrow" w:hAnsi="Arial Narrow"/>
                <w:color w:val="000000" w:themeColor="text1"/>
                <w:sz w:val="20"/>
                <w:szCs w:val="20"/>
              </w:rPr>
            </w:pPr>
            <w:r>
              <w:rPr>
                <w:rFonts w:ascii="Arial Narrow" w:hAnsi="Arial Narrow"/>
                <w:color w:val="000000" w:themeColor="text1"/>
                <w:sz w:val="20"/>
                <w:szCs w:val="20"/>
              </w:rPr>
              <w:t xml:space="preserve">Total </w:t>
            </w:r>
            <w:proofErr w:type="spellStart"/>
            <w:r>
              <w:rPr>
                <w:rFonts w:ascii="Arial Narrow" w:hAnsi="Arial Narrow"/>
                <w:color w:val="000000" w:themeColor="text1"/>
                <w:sz w:val="20"/>
                <w:szCs w:val="20"/>
              </w:rPr>
              <w:t>apalutamide+ADT</w:t>
            </w:r>
            <w:proofErr w:type="spellEnd"/>
            <w:r>
              <w:rPr>
                <w:rFonts w:ascii="Arial Narrow" w:hAnsi="Arial Narrow"/>
                <w:color w:val="000000" w:themeColor="text1"/>
                <w:sz w:val="20"/>
                <w:szCs w:val="20"/>
              </w:rPr>
              <w:t xml:space="preserve"> costs</w:t>
            </w:r>
          </w:p>
        </w:tc>
        <w:tc>
          <w:tcPr>
            <w:tcW w:w="950" w:type="pct"/>
          </w:tcPr>
          <w:p w:rsidR="005E50F2" w:rsidRPr="00FB3AB7" w:rsidRDefault="005E50F2" w:rsidP="005E50F2">
            <w:pPr>
              <w:keepNext/>
              <w:jc w:val="center"/>
              <w:rPr>
                <w:rFonts w:ascii="Arial Narrow" w:hAnsi="Arial Narrow" w:cs="Arial"/>
                <w:b/>
                <w:sz w:val="20"/>
                <w:szCs w:val="20"/>
              </w:rPr>
            </w:pPr>
            <w:r w:rsidRPr="00C76131">
              <w:rPr>
                <w:rFonts w:ascii="Arial Narrow" w:hAnsi="Arial Narrow" w:cs="Arial"/>
                <w:b/>
                <w:sz w:val="20"/>
                <w:szCs w:val="20"/>
              </w:rPr>
              <w:t>$</w:t>
            </w:r>
            <w:r w:rsidR="00B02413">
              <w:rPr>
                <w:rFonts w:ascii="Arial Narrow" w:hAnsi="Arial Narrow" w:cs="Arial"/>
                <w:b/>
                <w:noProof/>
                <w:color w:val="000000"/>
                <w:sz w:val="20"/>
                <w:szCs w:val="20"/>
                <w:highlight w:val="black"/>
              </w:rPr>
              <w:t>'''''''''''</w:t>
            </w:r>
          </w:p>
        </w:tc>
        <w:tc>
          <w:tcPr>
            <w:tcW w:w="925" w:type="pct"/>
          </w:tcPr>
          <w:p w:rsidR="005E50F2" w:rsidRPr="00FB3AB7" w:rsidRDefault="005E50F2" w:rsidP="005E50F2">
            <w:pPr>
              <w:keepNext/>
              <w:jc w:val="center"/>
              <w:rPr>
                <w:rFonts w:ascii="Arial Narrow" w:hAnsi="Arial Narrow" w:cs="Arial"/>
                <w:b/>
                <w:sz w:val="20"/>
                <w:szCs w:val="20"/>
              </w:rPr>
            </w:pPr>
            <w:r w:rsidRPr="00F452EC">
              <w:rPr>
                <w:rFonts w:ascii="Arial Narrow" w:hAnsi="Arial Narrow" w:cs="Arial"/>
                <w:b/>
                <w:sz w:val="20"/>
                <w:szCs w:val="20"/>
              </w:rPr>
              <w:t>$</w:t>
            </w:r>
            <w:r w:rsidR="00B02413">
              <w:rPr>
                <w:rFonts w:ascii="Arial Narrow" w:hAnsi="Arial Narrow" w:cs="Arial"/>
                <w:b/>
                <w:noProof/>
                <w:color w:val="000000"/>
                <w:sz w:val="20"/>
                <w:szCs w:val="20"/>
                <w:highlight w:val="black"/>
              </w:rPr>
              <w:t>''''''''''''</w:t>
            </w:r>
          </w:p>
        </w:tc>
      </w:tr>
    </w:tbl>
    <w:p w:rsidR="005E14C1" w:rsidRPr="00CD4C18" w:rsidRDefault="005E14C1" w:rsidP="005E14C1">
      <w:pPr>
        <w:pStyle w:val="TableFooter"/>
        <w:tabs>
          <w:tab w:val="left" w:pos="142"/>
        </w:tabs>
      </w:pPr>
      <w:proofErr w:type="spellStart"/>
      <w:proofErr w:type="gramStart"/>
      <w:r w:rsidRPr="00CD4C18">
        <w:rPr>
          <w:vertAlign w:val="superscript"/>
        </w:rPr>
        <w:t>a</w:t>
      </w:r>
      <w:proofErr w:type="spellEnd"/>
      <w:proofErr w:type="gramEnd"/>
      <w:r w:rsidRPr="00CD4C18">
        <w:tab/>
        <w:t>All costs have been rounded to the nearest dollar.</w:t>
      </w:r>
    </w:p>
    <w:p w:rsidR="00FD6881" w:rsidRPr="00FD6881" w:rsidRDefault="005E14C1" w:rsidP="005E14C1">
      <w:pPr>
        <w:pStyle w:val="TableFooter"/>
        <w:tabs>
          <w:tab w:val="left" w:pos="142"/>
        </w:tabs>
        <w:ind w:left="142" w:hanging="142"/>
      </w:pPr>
      <w:proofErr w:type="gramStart"/>
      <w:r>
        <w:rPr>
          <w:color w:val="000000" w:themeColor="text1"/>
          <w:sz w:val="20"/>
          <w:szCs w:val="20"/>
          <w:vertAlign w:val="superscript"/>
        </w:rPr>
        <w:t>b</w:t>
      </w:r>
      <w:proofErr w:type="gramEnd"/>
      <w:r>
        <w:t xml:space="preserve"> </w:t>
      </w:r>
      <w:r>
        <w:tab/>
      </w:r>
      <w:proofErr w:type="spellStart"/>
      <w:r>
        <w:t>Apalutamide</w:t>
      </w:r>
      <w:proofErr w:type="spellEnd"/>
      <w:r>
        <w:t xml:space="preserve"> costs assume use of the effective price </w:t>
      </w:r>
      <w:r w:rsidRPr="00586C20">
        <w:t>($</w:t>
      </w:r>
      <w:r w:rsidR="00B02413">
        <w:rPr>
          <w:noProof/>
          <w:color w:val="000000"/>
          <w:highlight w:val="black"/>
        </w:rPr>
        <w:t>'''''''''''''''''''''</w:t>
      </w:r>
      <w:r w:rsidRPr="00586C20">
        <w:t>),</w:t>
      </w:r>
      <w:r>
        <w:t xml:space="preserve"> </w:t>
      </w:r>
      <w:r w:rsidR="00B02413">
        <w:rPr>
          <w:noProof/>
          <w:color w:val="000000"/>
          <w:highlight w:val="black"/>
        </w:rPr>
        <w:t>''''''''''</w:t>
      </w:r>
      <w:r w:rsidRPr="00A9390D">
        <w:t xml:space="preserve"> scripts per month and a dose intensity of </w:t>
      </w:r>
      <w:r w:rsidR="00B02413">
        <w:rPr>
          <w:noProof/>
          <w:color w:val="000000"/>
          <w:highlight w:val="black"/>
        </w:rPr>
        <w:t>'''''''''''''</w:t>
      </w:r>
      <w:r w:rsidRPr="00A9390D">
        <w:t>%.  This</w:t>
      </w:r>
      <w:r>
        <w:t xml:space="preserve"> dose intensity was calculated by the submission based on compliance data from SPARTAN.</w:t>
      </w:r>
    </w:p>
    <w:p w:rsidR="004A51D0" w:rsidRPr="00FD6881" w:rsidRDefault="00FD6881" w:rsidP="00FD6881">
      <w:pPr>
        <w:pStyle w:val="TableFooter"/>
        <w:tabs>
          <w:tab w:val="left" w:pos="142"/>
        </w:tabs>
      </w:pPr>
      <w:r w:rsidRPr="00FD6881">
        <w:t>Source:  Excel workbook ‘</w:t>
      </w:r>
      <w:proofErr w:type="spellStart"/>
      <w:r w:rsidRPr="00FD6881">
        <w:t>Apalutamide</w:t>
      </w:r>
      <w:proofErr w:type="spellEnd"/>
      <w:r w:rsidRPr="00FD6881">
        <w:t xml:space="preserve"> m0CRPC Economic Model’.</w:t>
      </w:r>
    </w:p>
    <w:p w:rsidR="004A51D0" w:rsidRPr="004A51D0" w:rsidRDefault="004A51D0" w:rsidP="00DC49E5">
      <w:pPr>
        <w:pStyle w:val="TableFooter"/>
      </w:pPr>
    </w:p>
    <w:p w:rsidR="004A51D0" w:rsidRPr="005870EE" w:rsidRDefault="002D79EB" w:rsidP="008871F5">
      <w:pPr>
        <w:pStyle w:val="ListParagraph"/>
        <w:numPr>
          <w:ilvl w:val="1"/>
          <w:numId w:val="3"/>
        </w:numPr>
      </w:pPr>
      <w:r>
        <w:t xml:space="preserve">The cost of one month of treatment with </w:t>
      </w:r>
      <w:proofErr w:type="spellStart"/>
      <w:r>
        <w:t>apalutamide</w:t>
      </w:r>
      <w:proofErr w:type="spellEnd"/>
      <w:r>
        <w:t xml:space="preserve"> and background ADT is $</w:t>
      </w:r>
      <w:r w:rsidR="00B02413">
        <w:rPr>
          <w:noProof/>
          <w:color w:val="000000"/>
          <w:highlight w:val="black"/>
        </w:rPr>
        <w:t>''''''''''</w:t>
      </w:r>
      <w:r>
        <w:t xml:space="preserve">. </w:t>
      </w:r>
      <w:r w:rsidR="00985AFC">
        <w:t>The estimated y</w:t>
      </w:r>
      <w:r>
        <w:t xml:space="preserve">early cost </w:t>
      </w:r>
      <w:r w:rsidR="00985AFC">
        <w:t>is $</w:t>
      </w:r>
      <w:r w:rsidR="00B02413">
        <w:rPr>
          <w:noProof/>
          <w:color w:val="000000"/>
          <w:highlight w:val="black"/>
        </w:rPr>
        <w:t>''''''''''''''</w:t>
      </w:r>
      <w:r w:rsidRPr="00FA55BD">
        <w:t>.</w:t>
      </w:r>
      <w:r w:rsidR="00AD5413" w:rsidRPr="00FA55BD">
        <w:t xml:space="preserve"> The ESC noted the </w:t>
      </w:r>
      <w:r w:rsidR="00D16820" w:rsidRPr="00FA55BD">
        <w:t xml:space="preserve">economic model estimated a </w:t>
      </w:r>
      <w:r w:rsidR="00AD5413" w:rsidRPr="00FA55BD">
        <w:t>mean duration of</w:t>
      </w:r>
      <w:r w:rsidR="00D16820" w:rsidRPr="00FA55BD">
        <w:t xml:space="preserve"> </w:t>
      </w:r>
      <w:r w:rsidR="00B02413">
        <w:rPr>
          <w:noProof/>
          <w:color w:val="000000"/>
          <w:highlight w:val="black"/>
        </w:rPr>
        <w:t>'''''''''</w:t>
      </w:r>
      <w:r w:rsidR="00D16820" w:rsidRPr="00547021">
        <w:t xml:space="preserve"> months</w:t>
      </w:r>
      <w:r w:rsidR="00D16820" w:rsidRPr="00FA55BD">
        <w:t xml:space="preserve"> with an associated (undiscounted) cost of $</w:t>
      </w:r>
      <w:r w:rsidR="00B02413">
        <w:rPr>
          <w:noProof/>
          <w:color w:val="000000"/>
          <w:highlight w:val="black"/>
        </w:rPr>
        <w:t>''''''''''''</w:t>
      </w:r>
      <w:r w:rsidR="00D16820" w:rsidRPr="00FA55BD">
        <w:t>.</w:t>
      </w:r>
      <w:r w:rsidRPr="00FA55BD">
        <w:t xml:space="preserve"> </w:t>
      </w:r>
      <w:r>
        <w:t xml:space="preserve">The </w:t>
      </w:r>
      <w:proofErr w:type="spellStart"/>
      <w:r>
        <w:t>apalutamide</w:t>
      </w:r>
      <w:proofErr w:type="spellEnd"/>
      <w:r>
        <w:t xml:space="preserve"> costs were calculated based on a dose intensity of </w:t>
      </w:r>
      <w:r w:rsidR="00B02413">
        <w:rPr>
          <w:noProof/>
          <w:color w:val="000000"/>
          <w:highlight w:val="black"/>
        </w:rPr>
        <w:t>''''''''''''</w:t>
      </w:r>
      <w:r>
        <w:t xml:space="preserve">%, which the submission </w:t>
      </w:r>
      <w:r w:rsidR="00EB4513">
        <w:t>stated was based on factors such as dose reductions or temporary interruptions in response to AEs</w:t>
      </w:r>
      <w:r w:rsidR="00EB4513" w:rsidRPr="005870EE">
        <w:t xml:space="preserve">. However the submission </w:t>
      </w:r>
      <w:r w:rsidR="00FD018F" w:rsidRPr="005870EE">
        <w:t>di</w:t>
      </w:r>
      <w:r w:rsidR="00EB4513" w:rsidRPr="005870EE">
        <w:t>d</w:t>
      </w:r>
      <w:r w:rsidR="00FD018F" w:rsidRPr="005870EE">
        <w:t xml:space="preserve"> </w:t>
      </w:r>
      <w:r w:rsidR="00EB4513" w:rsidRPr="005870EE">
        <w:t>not provide any detail on the calculation of dose intensity and the proportion used could not be verified.</w:t>
      </w:r>
      <w:r w:rsidR="00722A92" w:rsidRPr="005870EE">
        <w:t xml:space="preserve"> As the SPARTAN CSR did not report the </w:t>
      </w:r>
      <w:r w:rsidRPr="005870EE">
        <w:t xml:space="preserve">duration of </w:t>
      </w:r>
      <w:r w:rsidR="00722A92" w:rsidRPr="005870EE">
        <w:t xml:space="preserve">dose </w:t>
      </w:r>
      <w:r w:rsidRPr="005870EE">
        <w:t xml:space="preserve">interruption </w:t>
      </w:r>
      <w:r w:rsidR="00FD018F" w:rsidRPr="005870EE">
        <w:t xml:space="preserve">or </w:t>
      </w:r>
      <w:r w:rsidRPr="005870EE">
        <w:t xml:space="preserve">dose reduction, it is difficult to estimate what actual usage of </w:t>
      </w:r>
      <w:proofErr w:type="spellStart"/>
      <w:r w:rsidRPr="005870EE">
        <w:t>apalutamide</w:t>
      </w:r>
      <w:proofErr w:type="spellEnd"/>
      <w:r w:rsidRPr="005870EE">
        <w:t xml:space="preserve"> will be</w:t>
      </w:r>
      <w:r w:rsidR="00722A92" w:rsidRPr="005870EE">
        <w:t>.</w:t>
      </w:r>
      <w:r w:rsidR="0053730A" w:rsidRPr="005870EE">
        <w:t xml:space="preserve"> </w:t>
      </w:r>
    </w:p>
    <w:p w:rsidR="00B60939" w:rsidRPr="00C9624D" w:rsidRDefault="00B60939" w:rsidP="00FD3E23">
      <w:pPr>
        <w:pStyle w:val="Heading2"/>
      </w:pPr>
      <w:bookmarkStart w:id="14" w:name="_Toc522226936"/>
      <w:r w:rsidRPr="00C9624D">
        <w:lastRenderedPageBreak/>
        <w:t>Estimated PBS usage &amp; financial implications</w:t>
      </w:r>
      <w:bookmarkEnd w:id="14"/>
    </w:p>
    <w:p w:rsidR="00246FDD" w:rsidRPr="00B201A4" w:rsidRDefault="00246FDD" w:rsidP="008871F5">
      <w:pPr>
        <w:pStyle w:val="ListParagraph"/>
        <w:keepNext/>
        <w:keepLines/>
        <w:numPr>
          <w:ilvl w:val="1"/>
          <w:numId w:val="3"/>
        </w:numPr>
      </w:pPr>
      <w:r w:rsidRPr="00611A61">
        <w:t xml:space="preserve">This submission </w:t>
      </w:r>
      <w:r w:rsidR="00C70BDD">
        <w:t>was</w:t>
      </w:r>
      <w:r>
        <w:t xml:space="preserve"> </w:t>
      </w:r>
      <w:r w:rsidRPr="00611A61">
        <w:t xml:space="preserve">considered by DUSC. The submission applied an </w:t>
      </w:r>
      <w:r>
        <w:t xml:space="preserve">epidemiological approach to estimate the number of patients eligible for treatment with </w:t>
      </w:r>
      <w:proofErr w:type="spellStart"/>
      <w:r>
        <w:t>apalutamide</w:t>
      </w:r>
      <w:proofErr w:type="spellEnd"/>
      <w:r>
        <w:t>. The prevalent population were those who have been diagnosed with m0CRPC and are at high risk of distant metastases up to the end of Year 0, while patients with newly diagnosed m0CRPC at high risk of distant metastases in Years 1 through 6 comprised the incident population.</w:t>
      </w:r>
    </w:p>
    <w:p w:rsidR="00246FDD" w:rsidRPr="00B50DB8" w:rsidRDefault="00246FDD" w:rsidP="00246FDD">
      <w:pPr>
        <w:pStyle w:val="ListParagraph"/>
        <w:numPr>
          <w:ilvl w:val="1"/>
          <w:numId w:val="3"/>
        </w:numPr>
      </w:pPr>
      <w:r>
        <w:t xml:space="preserve">Cost offsets for changes in the use of other medicines were based on usage of medicines which are used concomitantly with </w:t>
      </w:r>
      <w:proofErr w:type="spellStart"/>
      <w:r>
        <w:t>apalutamide</w:t>
      </w:r>
      <w:proofErr w:type="spellEnd"/>
      <w:r>
        <w:t xml:space="preserve">, usage of medicines for the management of AEs that occur with </w:t>
      </w:r>
      <w:proofErr w:type="spellStart"/>
      <w:r>
        <w:t>apalutamide</w:t>
      </w:r>
      <w:proofErr w:type="spellEnd"/>
      <w:r>
        <w:t xml:space="preserve"> as well as medicines which are used subsequent to </w:t>
      </w:r>
      <w:proofErr w:type="spellStart"/>
      <w:r>
        <w:t>apalutamide</w:t>
      </w:r>
      <w:proofErr w:type="spellEnd"/>
      <w:r>
        <w:t xml:space="preserve"> for the treatment of </w:t>
      </w:r>
      <w:proofErr w:type="spellStart"/>
      <w:r>
        <w:t>mCRPC</w:t>
      </w:r>
      <w:proofErr w:type="spellEnd"/>
      <w:r>
        <w:t>. The table below provides the estimated usage and financial implications for the first 6 years of listing.</w:t>
      </w:r>
    </w:p>
    <w:p w:rsidR="00246FDD" w:rsidRPr="00C25D9C" w:rsidRDefault="00246FDD" w:rsidP="00246FDD">
      <w:r w:rsidRPr="001222FC">
        <w:rPr>
          <w:rStyle w:val="CommentReference"/>
        </w:rPr>
        <w:t xml:space="preserve">Table </w:t>
      </w:r>
      <w:r>
        <w:rPr>
          <w:rStyle w:val="CommentReference"/>
        </w:rPr>
        <w:t>13</w:t>
      </w:r>
      <w:r w:rsidRPr="001222FC">
        <w:rPr>
          <w:rStyle w:val="CommentReference"/>
        </w:rPr>
        <w:t>: Estimated use and financial implications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99"/>
        <w:gridCol w:w="995"/>
        <w:gridCol w:w="996"/>
        <w:gridCol w:w="994"/>
        <w:gridCol w:w="994"/>
        <w:gridCol w:w="994"/>
        <w:gridCol w:w="1255"/>
      </w:tblGrid>
      <w:tr w:rsidR="00246FDD" w:rsidRPr="00D1078F" w:rsidTr="008E2D65">
        <w:trPr>
          <w:tblHeader/>
        </w:trPr>
        <w:tc>
          <w:tcPr>
            <w:tcW w:w="1511" w:type="pct"/>
            <w:shd w:val="clear" w:color="auto" w:fill="auto"/>
            <w:vAlign w:val="center"/>
          </w:tcPr>
          <w:p w:rsidR="00246FDD" w:rsidRPr="003639A6" w:rsidRDefault="00246FDD" w:rsidP="008E2D65">
            <w:pPr>
              <w:pStyle w:val="Tabletext"/>
              <w:tabs>
                <w:tab w:val="left" w:pos="244"/>
              </w:tabs>
            </w:pPr>
          </w:p>
        </w:tc>
        <w:tc>
          <w:tcPr>
            <w:tcW w:w="557" w:type="pct"/>
            <w:shd w:val="clear" w:color="auto" w:fill="auto"/>
            <w:vAlign w:val="center"/>
          </w:tcPr>
          <w:p w:rsidR="00246FDD" w:rsidRPr="00D1078F" w:rsidRDefault="00246FDD" w:rsidP="008E2D65">
            <w:pPr>
              <w:pStyle w:val="Tabletext"/>
              <w:jc w:val="center"/>
              <w:rPr>
                <w:b/>
              </w:rPr>
            </w:pPr>
            <w:r w:rsidRPr="00D1078F">
              <w:rPr>
                <w:b/>
              </w:rPr>
              <w:t>Year 1</w:t>
            </w:r>
          </w:p>
        </w:tc>
        <w:tc>
          <w:tcPr>
            <w:tcW w:w="558" w:type="pct"/>
            <w:shd w:val="clear" w:color="auto" w:fill="auto"/>
            <w:vAlign w:val="center"/>
          </w:tcPr>
          <w:p w:rsidR="00246FDD" w:rsidRPr="00D1078F" w:rsidRDefault="00246FDD" w:rsidP="008E2D65">
            <w:pPr>
              <w:pStyle w:val="Tabletext"/>
              <w:jc w:val="center"/>
              <w:rPr>
                <w:b/>
              </w:rPr>
            </w:pPr>
            <w:r w:rsidRPr="00D1078F">
              <w:rPr>
                <w:b/>
              </w:rPr>
              <w:t>Year 2</w:t>
            </w:r>
          </w:p>
        </w:tc>
        <w:tc>
          <w:tcPr>
            <w:tcW w:w="557" w:type="pct"/>
            <w:shd w:val="clear" w:color="auto" w:fill="auto"/>
            <w:vAlign w:val="center"/>
          </w:tcPr>
          <w:p w:rsidR="00246FDD" w:rsidRPr="00D1078F" w:rsidRDefault="00246FDD" w:rsidP="008E2D65">
            <w:pPr>
              <w:pStyle w:val="Tabletext"/>
              <w:jc w:val="center"/>
              <w:rPr>
                <w:b/>
              </w:rPr>
            </w:pPr>
            <w:r w:rsidRPr="00D1078F">
              <w:rPr>
                <w:b/>
              </w:rPr>
              <w:t>Year 3</w:t>
            </w:r>
          </w:p>
        </w:tc>
        <w:tc>
          <w:tcPr>
            <w:tcW w:w="557" w:type="pct"/>
            <w:shd w:val="clear" w:color="auto" w:fill="auto"/>
            <w:vAlign w:val="center"/>
          </w:tcPr>
          <w:p w:rsidR="00246FDD" w:rsidRPr="00D1078F" w:rsidRDefault="00246FDD" w:rsidP="008E2D65">
            <w:pPr>
              <w:pStyle w:val="Tabletext"/>
              <w:jc w:val="center"/>
              <w:rPr>
                <w:b/>
              </w:rPr>
            </w:pPr>
            <w:r w:rsidRPr="00D1078F">
              <w:rPr>
                <w:b/>
              </w:rPr>
              <w:t>Year 4</w:t>
            </w:r>
          </w:p>
        </w:tc>
        <w:tc>
          <w:tcPr>
            <w:tcW w:w="557" w:type="pct"/>
            <w:shd w:val="clear" w:color="auto" w:fill="auto"/>
            <w:vAlign w:val="center"/>
          </w:tcPr>
          <w:p w:rsidR="00246FDD" w:rsidRPr="00D1078F" w:rsidRDefault="00246FDD" w:rsidP="008E2D65">
            <w:pPr>
              <w:pStyle w:val="Tabletext"/>
              <w:jc w:val="center"/>
              <w:rPr>
                <w:b/>
              </w:rPr>
            </w:pPr>
            <w:r w:rsidRPr="00D1078F">
              <w:rPr>
                <w:b/>
              </w:rPr>
              <w:t>Year 5</w:t>
            </w:r>
          </w:p>
        </w:tc>
        <w:tc>
          <w:tcPr>
            <w:tcW w:w="701" w:type="pct"/>
          </w:tcPr>
          <w:p w:rsidR="00246FDD" w:rsidRPr="00D1078F" w:rsidRDefault="00246FDD" w:rsidP="008E2D65">
            <w:pPr>
              <w:pStyle w:val="Tabletext"/>
              <w:jc w:val="center"/>
              <w:rPr>
                <w:b/>
              </w:rPr>
            </w:pPr>
            <w:r w:rsidRPr="00D1078F">
              <w:rPr>
                <w:b/>
              </w:rPr>
              <w:t>Year 6</w:t>
            </w:r>
          </w:p>
        </w:tc>
      </w:tr>
      <w:tr w:rsidR="00246FDD" w:rsidRPr="00D1078F" w:rsidTr="008E2D65">
        <w:tc>
          <w:tcPr>
            <w:tcW w:w="5000" w:type="pct"/>
            <w:gridSpan w:val="7"/>
            <w:shd w:val="clear" w:color="auto" w:fill="auto"/>
            <w:vAlign w:val="center"/>
          </w:tcPr>
          <w:p w:rsidR="00246FDD" w:rsidRPr="00D1078F" w:rsidRDefault="00246FDD" w:rsidP="008E2D65">
            <w:pPr>
              <w:pStyle w:val="Tabletext"/>
              <w:tabs>
                <w:tab w:val="left" w:pos="244"/>
              </w:tabs>
              <w:rPr>
                <w:b/>
                <w:bCs/>
                <w:color w:val="000000"/>
              </w:rPr>
            </w:pPr>
            <w:r w:rsidRPr="00D1078F">
              <w:rPr>
                <w:b/>
                <w:bCs/>
                <w:color w:val="000000"/>
              </w:rPr>
              <w:t>Estimated extent of use</w:t>
            </w:r>
          </w:p>
        </w:tc>
      </w:tr>
      <w:tr w:rsidR="00246FDD" w:rsidRPr="003639A6" w:rsidTr="008E2D65">
        <w:tc>
          <w:tcPr>
            <w:tcW w:w="1511" w:type="pct"/>
            <w:shd w:val="clear" w:color="auto" w:fill="auto"/>
            <w:vAlign w:val="center"/>
          </w:tcPr>
          <w:p w:rsidR="00246FDD" w:rsidRPr="003639A6" w:rsidRDefault="00246FDD" w:rsidP="008E2D65">
            <w:pPr>
              <w:pStyle w:val="Tabletext"/>
              <w:tabs>
                <w:tab w:val="left" w:pos="244"/>
              </w:tabs>
              <w:rPr>
                <w:rFonts w:ascii="Times" w:hAnsi="Times"/>
              </w:rPr>
            </w:pPr>
            <w:r w:rsidRPr="003639A6">
              <w:t>Number of patients treated</w:t>
            </w:r>
          </w:p>
        </w:tc>
        <w:tc>
          <w:tcPr>
            <w:tcW w:w="557" w:type="pct"/>
            <w:shd w:val="clear" w:color="auto" w:fill="auto"/>
            <w:vAlign w:val="center"/>
          </w:tcPr>
          <w:p w:rsidR="00246FDD" w:rsidRPr="001E1943" w:rsidRDefault="00246FDD" w:rsidP="008E2D65">
            <w:pPr>
              <w:pStyle w:val="Tabletext"/>
              <w:jc w:val="center"/>
              <w:rPr>
                <w:bCs/>
                <w:color w:val="000000"/>
              </w:rPr>
            </w:pPr>
          </w:p>
        </w:tc>
        <w:tc>
          <w:tcPr>
            <w:tcW w:w="558" w:type="pct"/>
            <w:shd w:val="clear" w:color="auto" w:fill="auto"/>
            <w:vAlign w:val="center"/>
          </w:tcPr>
          <w:p w:rsidR="00246FDD" w:rsidRPr="001E1943" w:rsidRDefault="00246FDD" w:rsidP="008E2D65">
            <w:pPr>
              <w:pStyle w:val="Tabletext"/>
              <w:jc w:val="center"/>
              <w:rPr>
                <w:bCs/>
                <w:color w:val="000000"/>
              </w:rPr>
            </w:pPr>
          </w:p>
        </w:tc>
        <w:tc>
          <w:tcPr>
            <w:tcW w:w="557" w:type="pct"/>
            <w:shd w:val="clear" w:color="auto" w:fill="auto"/>
            <w:vAlign w:val="center"/>
          </w:tcPr>
          <w:p w:rsidR="00246FDD" w:rsidRPr="001E1943" w:rsidRDefault="00246FDD" w:rsidP="008E2D65">
            <w:pPr>
              <w:pStyle w:val="Tabletext"/>
              <w:jc w:val="center"/>
              <w:rPr>
                <w:bCs/>
                <w:color w:val="000000"/>
              </w:rPr>
            </w:pPr>
          </w:p>
        </w:tc>
        <w:tc>
          <w:tcPr>
            <w:tcW w:w="557" w:type="pct"/>
            <w:shd w:val="clear" w:color="auto" w:fill="auto"/>
            <w:vAlign w:val="center"/>
          </w:tcPr>
          <w:p w:rsidR="00246FDD" w:rsidRPr="001E1943" w:rsidRDefault="00246FDD" w:rsidP="008E2D65">
            <w:pPr>
              <w:pStyle w:val="Tabletext"/>
              <w:jc w:val="center"/>
              <w:rPr>
                <w:bCs/>
                <w:color w:val="000000"/>
              </w:rPr>
            </w:pPr>
          </w:p>
        </w:tc>
        <w:tc>
          <w:tcPr>
            <w:tcW w:w="557" w:type="pct"/>
            <w:shd w:val="clear" w:color="auto" w:fill="auto"/>
            <w:vAlign w:val="center"/>
          </w:tcPr>
          <w:p w:rsidR="00246FDD" w:rsidRPr="001E1943" w:rsidRDefault="00246FDD" w:rsidP="008E2D65">
            <w:pPr>
              <w:pStyle w:val="Tabletext"/>
              <w:jc w:val="center"/>
              <w:rPr>
                <w:bCs/>
                <w:color w:val="000000"/>
              </w:rPr>
            </w:pPr>
          </w:p>
        </w:tc>
        <w:tc>
          <w:tcPr>
            <w:tcW w:w="701" w:type="pct"/>
            <w:vAlign w:val="center"/>
          </w:tcPr>
          <w:p w:rsidR="00246FDD" w:rsidRPr="001E1943" w:rsidRDefault="00246FDD" w:rsidP="008E2D65">
            <w:pPr>
              <w:pStyle w:val="Tabletext"/>
              <w:jc w:val="center"/>
              <w:rPr>
                <w:bCs/>
                <w:color w:val="000000"/>
              </w:rPr>
            </w:pPr>
          </w:p>
        </w:tc>
      </w:tr>
      <w:tr w:rsidR="00246FDD" w:rsidRPr="003639A6" w:rsidTr="008E2D65">
        <w:tc>
          <w:tcPr>
            <w:tcW w:w="1511" w:type="pct"/>
            <w:shd w:val="clear" w:color="auto" w:fill="auto"/>
            <w:vAlign w:val="center"/>
          </w:tcPr>
          <w:p w:rsidR="00246FDD" w:rsidRPr="003639A6" w:rsidRDefault="00246FDD" w:rsidP="008E2D65">
            <w:pPr>
              <w:pStyle w:val="Tabletext"/>
              <w:tabs>
                <w:tab w:val="left" w:pos="244"/>
              </w:tabs>
            </w:pPr>
            <w:r>
              <w:tab/>
              <w:t>Prevalent patients</w:t>
            </w:r>
          </w:p>
        </w:tc>
        <w:tc>
          <w:tcPr>
            <w:tcW w:w="557" w:type="pct"/>
            <w:shd w:val="clear" w:color="auto" w:fill="auto"/>
            <w:vAlign w:val="center"/>
          </w:tcPr>
          <w:p w:rsidR="00246FDD" w:rsidRPr="00B02413" w:rsidRDefault="00B02413" w:rsidP="008E2D65">
            <w:pPr>
              <w:pStyle w:val="Tabletext"/>
              <w:jc w:val="center"/>
              <w:rPr>
                <w:rFonts w:cs="Arial"/>
                <w:bCs/>
                <w:color w:val="000000"/>
                <w:highlight w:val="black"/>
              </w:rPr>
            </w:pPr>
            <w:r>
              <w:rPr>
                <w:rFonts w:cs="Arial"/>
                <w:noProof/>
                <w:color w:val="000000"/>
                <w:szCs w:val="20"/>
                <w:highlight w:val="black"/>
                <w:lang w:eastAsia="zh-TW"/>
              </w:rPr>
              <w:t>'''''''''''''''</w:t>
            </w:r>
          </w:p>
        </w:tc>
        <w:tc>
          <w:tcPr>
            <w:tcW w:w="558" w:type="pct"/>
            <w:shd w:val="clear" w:color="auto" w:fill="auto"/>
            <w:vAlign w:val="center"/>
          </w:tcPr>
          <w:p w:rsidR="00246FDD" w:rsidRPr="00B02413" w:rsidRDefault="00B02413" w:rsidP="008E2D65">
            <w:pPr>
              <w:pStyle w:val="Tabletext"/>
              <w:jc w:val="center"/>
              <w:rPr>
                <w:rFonts w:cs="Arial"/>
                <w:bCs/>
                <w:color w:val="000000"/>
                <w:highlight w:val="black"/>
              </w:rPr>
            </w:pPr>
            <w:r>
              <w:rPr>
                <w:rFonts w:cs="Arial"/>
                <w:noProof/>
                <w:color w:val="000000"/>
                <w:szCs w:val="20"/>
                <w:highlight w:val="black"/>
                <w:lang w:eastAsia="zh-TW"/>
              </w:rPr>
              <w:t>''''''''''</w:t>
            </w:r>
          </w:p>
        </w:tc>
        <w:tc>
          <w:tcPr>
            <w:tcW w:w="557" w:type="pct"/>
            <w:shd w:val="clear" w:color="auto" w:fill="auto"/>
            <w:vAlign w:val="center"/>
          </w:tcPr>
          <w:p w:rsidR="00246FDD" w:rsidRPr="00B02413" w:rsidRDefault="00B02413" w:rsidP="008E2D65">
            <w:pPr>
              <w:pStyle w:val="Tabletext"/>
              <w:jc w:val="center"/>
              <w:rPr>
                <w:rFonts w:cs="Arial"/>
                <w:bCs/>
                <w:color w:val="000000"/>
                <w:highlight w:val="black"/>
              </w:rPr>
            </w:pPr>
            <w:r>
              <w:rPr>
                <w:rFonts w:cs="Arial"/>
                <w:noProof/>
                <w:color w:val="000000"/>
                <w:szCs w:val="20"/>
                <w:highlight w:val="black"/>
                <w:lang w:eastAsia="zh-TW"/>
              </w:rPr>
              <w:t>'''</w:t>
            </w:r>
          </w:p>
        </w:tc>
        <w:tc>
          <w:tcPr>
            <w:tcW w:w="557" w:type="pct"/>
            <w:shd w:val="clear" w:color="auto" w:fill="auto"/>
            <w:vAlign w:val="center"/>
          </w:tcPr>
          <w:p w:rsidR="00246FDD" w:rsidRPr="00B02413" w:rsidRDefault="00B02413" w:rsidP="008E2D65">
            <w:pPr>
              <w:pStyle w:val="Tabletext"/>
              <w:jc w:val="center"/>
              <w:rPr>
                <w:rFonts w:cs="Arial"/>
                <w:bCs/>
                <w:color w:val="000000"/>
                <w:highlight w:val="black"/>
              </w:rPr>
            </w:pPr>
            <w:r>
              <w:rPr>
                <w:rFonts w:cs="Arial"/>
                <w:noProof/>
                <w:color w:val="000000"/>
                <w:szCs w:val="20"/>
                <w:highlight w:val="black"/>
                <w:lang w:eastAsia="zh-TW"/>
              </w:rPr>
              <w:t>''''</w:t>
            </w:r>
          </w:p>
        </w:tc>
        <w:tc>
          <w:tcPr>
            <w:tcW w:w="557" w:type="pct"/>
            <w:shd w:val="clear" w:color="auto" w:fill="auto"/>
            <w:vAlign w:val="center"/>
          </w:tcPr>
          <w:p w:rsidR="00246FDD" w:rsidRPr="00B02413" w:rsidRDefault="00B02413" w:rsidP="008E2D65">
            <w:pPr>
              <w:pStyle w:val="Tabletext"/>
              <w:jc w:val="center"/>
              <w:rPr>
                <w:rFonts w:cs="Arial"/>
                <w:bCs/>
                <w:color w:val="000000"/>
                <w:highlight w:val="black"/>
              </w:rPr>
            </w:pPr>
            <w:r>
              <w:rPr>
                <w:rFonts w:cs="Arial"/>
                <w:noProof/>
                <w:color w:val="000000"/>
                <w:szCs w:val="20"/>
                <w:highlight w:val="black"/>
                <w:lang w:eastAsia="zh-TW"/>
              </w:rPr>
              <w:t>'''</w:t>
            </w:r>
          </w:p>
        </w:tc>
        <w:tc>
          <w:tcPr>
            <w:tcW w:w="701" w:type="pct"/>
            <w:vAlign w:val="center"/>
          </w:tcPr>
          <w:p w:rsidR="00246FDD" w:rsidRPr="00B02413" w:rsidRDefault="00B02413" w:rsidP="008E2D65">
            <w:pPr>
              <w:pStyle w:val="Tabletext"/>
              <w:jc w:val="center"/>
              <w:rPr>
                <w:rFonts w:cs="Arial"/>
                <w:bCs/>
                <w:color w:val="000000"/>
                <w:highlight w:val="black"/>
              </w:rPr>
            </w:pPr>
            <w:r>
              <w:rPr>
                <w:rFonts w:cs="Arial"/>
                <w:noProof/>
                <w:color w:val="000000"/>
                <w:szCs w:val="20"/>
                <w:highlight w:val="black"/>
                <w:lang w:eastAsia="zh-TW"/>
              </w:rPr>
              <w:t>'''</w:t>
            </w:r>
          </w:p>
        </w:tc>
      </w:tr>
      <w:tr w:rsidR="00246FDD" w:rsidRPr="003639A6" w:rsidTr="008E2D65">
        <w:tc>
          <w:tcPr>
            <w:tcW w:w="1511" w:type="pct"/>
            <w:shd w:val="clear" w:color="auto" w:fill="auto"/>
            <w:vAlign w:val="center"/>
          </w:tcPr>
          <w:p w:rsidR="00246FDD" w:rsidRPr="003639A6" w:rsidRDefault="00246FDD" w:rsidP="008E2D65">
            <w:pPr>
              <w:pStyle w:val="Tabletext"/>
              <w:tabs>
                <w:tab w:val="left" w:pos="244"/>
              </w:tabs>
            </w:pPr>
            <w:r>
              <w:tab/>
              <w:t>Incident patients</w:t>
            </w:r>
          </w:p>
        </w:tc>
        <w:tc>
          <w:tcPr>
            <w:tcW w:w="557" w:type="pct"/>
            <w:shd w:val="clear" w:color="auto" w:fill="auto"/>
            <w:vAlign w:val="center"/>
          </w:tcPr>
          <w:p w:rsidR="00246FDD" w:rsidRPr="00B02413" w:rsidRDefault="00B02413" w:rsidP="008E2D65">
            <w:pPr>
              <w:pStyle w:val="Tabletext"/>
              <w:jc w:val="center"/>
              <w:rPr>
                <w:rFonts w:cs="Arial"/>
                <w:bCs/>
                <w:color w:val="000000"/>
                <w:highlight w:val="black"/>
              </w:rPr>
            </w:pPr>
            <w:r>
              <w:rPr>
                <w:rFonts w:cs="Arial"/>
                <w:noProof/>
                <w:color w:val="000000"/>
                <w:szCs w:val="20"/>
                <w:highlight w:val="black"/>
              </w:rPr>
              <w:t>''''''''</w:t>
            </w:r>
          </w:p>
        </w:tc>
        <w:tc>
          <w:tcPr>
            <w:tcW w:w="558" w:type="pct"/>
            <w:shd w:val="clear" w:color="auto" w:fill="auto"/>
            <w:vAlign w:val="center"/>
          </w:tcPr>
          <w:p w:rsidR="00246FDD" w:rsidRPr="00B02413" w:rsidRDefault="00B02413" w:rsidP="008E2D65">
            <w:pPr>
              <w:pStyle w:val="Tabletext"/>
              <w:jc w:val="center"/>
              <w:rPr>
                <w:rFonts w:cs="Arial"/>
                <w:bCs/>
                <w:color w:val="000000"/>
                <w:highlight w:val="black"/>
              </w:rPr>
            </w:pPr>
            <w:r>
              <w:rPr>
                <w:rFonts w:cs="Arial"/>
                <w:noProof/>
                <w:color w:val="000000"/>
                <w:szCs w:val="20"/>
                <w:highlight w:val="black"/>
              </w:rPr>
              <w:t>'''''''''</w:t>
            </w:r>
          </w:p>
        </w:tc>
        <w:tc>
          <w:tcPr>
            <w:tcW w:w="557" w:type="pct"/>
            <w:shd w:val="clear" w:color="auto" w:fill="auto"/>
            <w:vAlign w:val="center"/>
          </w:tcPr>
          <w:p w:rsidR="00246FDD" w:rsidRPr="00B02413" w:rsidRDefault="00B02413" w:rsidP="008E2D65">
            <w:pPr>
              <w:pStyle w:val="Tabletext"/>
              <w:jc w:val="center"/>
              <w:rPr>
                <w:rFonts w:cs="Arial"/>
                <w:bCs/>
                <w:color w:val="000000"/>
                <w:highlight w:val="black"/>
              </w:rPr>
            </w:pPr>
            <w:r>
              <w:rPr>
                <w:rFonts w:cs="Arial"/>
                <w:noProof/>
                <w:color w:val="000000"/>
                <w:szCs w:val="20"/>
                <w:highlight w:val="black"/>
              </w:rPr>
              <w:t>'''''''''</w:t>
            </w:r>
          </w:p>
        </w:tc>
        <w:tc>
          <w:tcPr>
            <w:tcW w:w="557" w:type="pct"/>
            <w:shd w:val="clear" w:color="auto" w:fill="auto"/>
            <w:vAlign w:val="center"/>
          </w:tcPr>
          <w:p w:rsidR="00246FDD" w:rsidRPr="00B02413" w:rsidRDefault="00B02413" w:rsidP="008E2D65">
            <w:pPr>
              <w:pStyle w:val="Tabletext"/>
              <w:jc w:val="center"/>
              <w:rPr>
                <w:rFonts w:cs="Arial"/>
                <w:bCs/>
                <w:color w:val="000000"/>
                <w:highlight w:val="black"/>
              </w:rPr>
            </w:pPr>
            <w:r>
              <w:rPr>
                <w:rFonts w:cs="Arial"/>
                <w:noProof/>
                <w:color w:val="000000"/>
                <w:szCs w:val="20"/>
                <w:highlight w:val="black"/>
              </w:rPr>
              <w:t>'''''''''''''</w:t>
            </w:r>
          </w:p>
        </w:tc>
        <w:tc>
          <w:tcPr>
            <w:tcW w:w="557" w:type="pct"/>
            <w:shd w:val="clear" w:color="auto" w:fill="auto"/>
            <w:vAlign w:val="center"/>
          </w:tcPr>
          <w:p w:rsidR="00246FDD" w:rsidRPr="00B02413" w:rsidRDefault="00B02413" w:rsidP="008E2D65">
            <w:pPr>
              <w:pStyle w:val="Tabletext"/>
              <w:jc w:val="center"/>
              <w:rPr>
                <w:rFonts w:cs="Arial"/>
                <w:bCs/>
                <w:color w:val="000000"/>
                <w:highlight w:val="black"/>
              </w:rPr>
            </w:pPr>
            <w:r>
              <w:rPr>
                <w:rFonts w:cs="Arial"/>
                <w:noProof/>
                <w:color w:val="000000"/>
                <w:szCs w:val="20"/>
                <w:highlight w:val="black"/>
              </w:rPr>
              <w:t>'''''''''''''</w:t>
            </w:r>
          </w:p>
        </w:tc>
        <w:tc>
          <w:tcPr>
            <w:tcW w:w="701" w:type="pct"/>
            <w:vAlign w:val="center"/>
          </w:tcPr>
          <w:p w:rsidR="00246FDD" w:rsidRPr="00B02413" w:rsidRDefault="00B02413" w:rsidP="008E2D65">
            <w:pPr>
              <w:pStyle w:val="Tabletext"/>
              <w:jc w:val="center"/>
              <w:rPr>
                <w:rFonts w:cs="Arial"/>
                <w:bCs/>
                <w:color w:val="000000"/>
                <w:highlight w:val="black"/>
              </w:rPr>
            </w:pPr>
            <w:r>
              <w:rPr>
                <w:rFonts w:cs="Arial"/>
                <w:noProof/>
                <w:color w:val="000000"/>
                <w:szCs w:val="20"/>
                <w:highlight w:val="black"/>
              </w:rPr>
              <w:t>''''''''''''''</w:t>
            </w:r>
          </w:p>
        </w:tc>
      </w:tr>
      <w:tr w:rsidR="00246FDD" w:rsidRPr="003639A6" w:rsidTr="008E2D65">
        <w:tc>
          <w:tcPr>
            <w:tcW w:w="1511" w:type="pct"/>
            <w:shd w:val="clear" w:color="auto" w:fill="auto"/>
            <w:vAlign w:val="center"/>
          </w:tcPr>
          <w:p w:rsidR="00246FDD" w:rsidRPr="003639A6" w:rsidRDefault="00246FDD" w:rsidP="008E2D65">
            <w:pPr>
              <w:pStyle w:val="Tabletext"/>
              <w:tabs>
                <w:tab w:val="left" w:pos="244"/>
              </w:tabs>
            </w:pPr>
            <w:r>
              <w:t>Total treated</w:t>
            </w:r>
          </w:p>
        </w:tc>
        <w:tc>
          <w:tcPr>
            <w:tcW w:w="557" w:type="pct"/>
            <w:shd w:val="clear" w:color="auto" w:fill="auto"/>
            <w:vAlign w:val="center"/>
          </w:tcPr>
          <w:p w:rsidR="00246FDD" w:rsidRPr="00B02413" w:rsidRDefault="00B02413" w:rsidP="008E2D65">
            <w:pPr>
              <w:pStyle w:val="Tabletext"/>
              <w:jc w:val="center"/>
              <w:rPr>
                <w:rFonts w:cs="Arial"/>
                <w:bCs/>
                <w:color w:val="000000"/>
                <w:highlight w:val="black"/>
              </w:rPr>
            </w:pPr>
            <w:r>
              <w:rPr>
                <w:rFonts w:cs="Arial"/>
                <w:bCs/>
                <w:noProof/>
                <w:color w:val="000000"/>
                <w:szCs w:val="20"/>
                <w:highlight w:val="black"/>
              </w:rPr>
              <w:t>'''''''''''''</w:t>
            </w:r>
          </w:p>
        </w:tc>
        <w:tc>
          <w:tcPr>
            <w:tcW w:w="558" w:type="pct"/>
            <w:shd w:val="clear" w:color="auto" w:fill="auto"/>
            <w:vAlign w:val="center"/>
          </w:tcPr>
          <w:p w:rsidR="00246FDD" w:rsidRPr="00B02413" w:rsidRDefault="00B02413" w:rsidP="008E2D65">
            <w:pPr>
              <w:pStyle w:val="Tabletext"/>
              <w:jc w:val="center"/>
              <w:rPr>
                <w:rFonts w:cs="Arial"/>
                <w:bCs/>
                <w:color w:val="000000"/>
                <w:highlight w:val="black"/>
              </w:rPr>
            </w:pPr>
            <w:r>
              <w:rPr>
                <w:rFonts w:cs="Arial"/>
                <w:bCs/>
                <w:noProof/>
                <w:color w:val="000000"/>
                <w:szCs w:val="20"/>
                <w:highlight w:val="black"/>
              </w:rPr>
              <w:t>'''''''''''''''</w:t>
            </w:r>
          </w:p>
        </w:tc>
        <w:tc>
          <w:tcPr>
            <w:tcW w:w="557" w:type="pct"/>
            <w:shd w:val="clear" w:color="auto" w:fill="auto"/>
            <w:vAlign w:val="center"/>
          </w:tcPr>
          <w:p w:rsidR="00246FDD" w:rsidRPr="00B02413" w:rsidRDefault="00B02413" w:rsidP="008E2D65">
            <w:pPr>
              <w:pStyle w:val="Tabletext"/>
              <w:jc w:val="center"/>
              <w:rPr>
                <w:rFonts w:cs="Arial"/>
                <w:bCs/>
                <w:color w:val="000000"/>
                <w:highlight w:val="black"/>
              </w:rPr>
            </w:pPr>
            <w:r>
              <w:rPr>
                <w:rFonts w:cs="Arial"/>
                <w:bCs/>
                <w:noProof/>
                <w:color w:val="000000"/>
                <w:szCs w:val="20"/>
                <w:highlight w:val="black"/>
              </w:rPr>
              <w:t>''''''''''</w:t>
            </w:r>
          </w:p>
        </w:tc>
        <w:tc>
          <w:tcPr>
            <w:tcW w:w="557" w:type="pct"/>
            <w:shd w:val="clear" w:color="auto" w:fill="auto"/>
            <w:vAlign w:val="center"/>
          </w:tcPr>
          <w:p w:rsidR="00246FDD" w:rsidRPr="00B02413" w:rsidRDefault="00B02413" w:rsidP="008E2D65">
            <w:pPr>
              <w:pStyle w:val="Tabletext"/>
              <w:jc w:val="center"/>
              <w:rPr>
                <w:rFonts w:cs="Arial"/>
                <w:bCs/>
                <w:color w:val="000000"/>
                <w:highlight w:val="black"/>
              </w:rPr>
            </w:pPr>
            <w:r>
              <w:rPr>
                <w:rFonts w:cs="Arial"/>
                <w:bCs/>
                <w:noProof/>
                <w:color w:val="000000"/>
                <w:szCs w:val="20"/>
                <w:highlight w:val="black"/>
              </w:rPr>
              <w:t>''''''''''''''</w:t>
            </w:r>
          </w:p>
        </w:tc>
        <w:tc>
          <w:tcPr>
            <w:tcW w:w="557" w:type="pct"/>
            <w:shd w:val="clear" w:color="auto" w:fill="auto"/>
            <w:vAlign w:val="center"/>
          </w:tcPr>
          <w:p w:rsidR="00246FDD" w:rsidRPr="00B02413" w:rsidRDefault="00B02413" w:rsidP="008E2D65">
            <w:pPr>
              <w:pStyle w:val="Tabletext"/>
              <w:jc w:val="center"/>
              <w:rPr>
                <w:rFonts w:cs="Arial"/>
                <w:bCs/>
                <w:color w:val="000000"/>
                <w:highlight w:val="black"/>
              </w:rPr>
            </w:pPr>
            <w:r>
              <w:rPr>
                <w:rFonts w:cs="Arial"/>
                <w:bCs/>
                <w:noProof/>
                <w:color w:val="000000"/>
                <w:szCs w:val="20"/>
                <w:highlight w:val="black"/>
              </w:rPr>
              <w:t>''''''''''''''</w:t>
            </w:r>
          </w:p>
        </w:tc>
        <w:tc>
          <w:tcPr>
            <w:tcW w:w="701" w:type="pct"/>
            <w:vAlign w:val="center"/>
          </w:tcPr>
          <w:p w:rsidR="00246FDD" w:rsidRPr="00B02413" w:rsidRDefault="00B02413" w:rsidP="008E2D65">
            <w:pPr>
              <w:pStyle w:val="Tabletext"/>
              <w:jc w:val="center"/>
              <w:rPr>
                <w:rFonts w:cs="Arial"/>
                <w:bCs/>
                <w:color w:val="000000"/>
                <w:highlight w:val="black"/>
              </w:rPr>
            </w:pPr>
            <w:r>
              <w:rPr>
                <w:rFonts w:cs="Arial"/>
                <w:bCs/>
                <w:noProof/>
                <w:color w:val="000000"/>
                <w:szCs w:val="20"/>
                <w:highlight w:val="black"/>
              </w:rPr>
              <w:t>''''''''''''</w:t>
            </w:r>
          </w:p>
        </w:tc>
      </w:tr>
      <w:tr w:rsidR="00246FDD" w:rsidRPr="003639A6" w:rsidTr="008E2D65">
        <w:tc>
          <w:tcPr>
            <w:tcW w:w="1511" w:type="pct"/>
            <w:shd w:val="clear" w:color="auto" w:fill="auto"/>
            <w:vAlign w:val="center"/>
          </w:tcPr>
          <w:p w:rsidR="00246FDD" w:rsidRPr="003639A6" w:rsidRDefault="00246FDD" w:rsidP="008E2D65">
            <w:pPr>
              <w:pStyle w:val="Tabletext"/>
              <w:tabs>
                <w:tab w:val="left" w:pos="244"/>
              </w:tabs>
              <w:rPr>
                <w:rFonts w:ascii="Times" w:hAnsi="Times"/>
              </w:rPr>
            </w:pPr>
            <w:r w:rsidRPr="003639A6">
              <w:t xml:space="preserve">Number of </w:t>
            </w:r>
            <w:r>
              <w:t>scripts</w:t>
            </w:r>
            <w:r w:rsidRPr="003639A6">
              <w:t xml:space="preserve"> </w:t>
            </w:r>
            <w:proofErr w:type="spellStart"/>
            <w:r w:rsidRPr="00442913">
              <w:t>dispensed</w:t>
            </w:r>
            <w:r w:rsidRPr="00442913">
              <w:rPr>
                <w:vertAlign w:val="superscript"/>
              </w:rPr>
              <w:t>a</w:t>
            </w:r>
            <w:proofErr w:type="spellEnd"/>
          </w:p>
        </w:tc>
        <w:tc>
          <w:tcPr>
            <w:tcW w:w="557" w:type="pct"/>
            <w:shd w:val="clear" w:color="auto" w:fill="auto"/>
            <w:vAlign w:val="center"/>
          </w:tcPr>
          <w:p w:rsidR="00246FDD" w:rsidRPr="00B02413" w:rsidRDefault="00B02413" w:rsidP="008E2D65">
            <w:pPr>
              <w:pStyle w:val="Tabletext"/>
              <w:jc w:val="center"/>
              <w:rPr>
                <w:bCs/>
                <w:color w:val="000000"/>
                <w:highlight w:val="black"/>
              </w:rPr>
            </w:pPr>
            <w:r>
              <w:rPr>
                <w:rFonts w:cs="Arial"/>
                <w:bCs/>
                <w:noProof/>
                <w:color w:val="000000"/>
                <w:highlight w:val="black"/>
              </w:rPr>
              <w:t>''''''''''''''''</w:t>
            </w:r>
          </w:p>
        </w:tc>
        <w:tc>
          <w:tcPr>
            <w:tcW w:w="558" w:type="pct"/>
            <w:shd w:val="clear" w:color="auto" w:fill="auto"/>
            <w:vAlign w:val="center"/>
          </w:tcPr>
          <w:p w:rsidR="00246FDD" w:rsidRPr="00B02413" w:rsidRDefault="00B02413" w:rsidP="008E2D65">
            <w:pPr>
              <w:pStyle w:val="Tabletext"/>
              <w:jc w:val="center"/>
              <w:rPr>
                <w:bCs/>
                <w:color w:val="000000"/>
                <w:highlight w:val="black"/>
              </w:rPr>
            </w:pPr>
            <w:r>
              <w:rPr>
                <w:rFonts w:cs="Arial"/>
                <w:bCs/>
                <w:noProof/>
                <w:color w:val="000000"/>
                <w:highlight w:val="black"/>
              </w:rPr>
              <w:t>''''''''''''''''''</w:t>
            </w:r>
          </w:p>
        </w:tc>
        <w:tc>
          <w:tcPr>
            <w:tcW w:w="557" w:type="pct"/>
            <w:shd w:val="clear" w:color="auto" w:fill="auto"/>
            <w:vAlign w:val="center"/>
          </w:tcPr>
          <w:p w:rsidR="00246FDD" w:rsidRPr="00B02413" w:rsidRDefault="00B02413" w:rsidP="008E2D65">
            <w:pPr>
              <w:pStyle w:val="Tabletext"/>
              <w:jc w:val="center"/>
              <w:rPr>
                <w:bCs/>
                <w:color w:val="000000"/>
                <w:highlight w:val="black"/>
              </w:rPr>
            </w:pPr>
            <w:r>
              <w:rPr>
                <w:rFonts w:cs="Arial"/>
                <w:bCs/>
                <w:noProof/>
                <w:color w:val="000000"/>
                <w:highlight w:val="black"/>
              </w:rPr>
              <w:t>'''''''''''''''''</w:t>
            </w:r>
          </w:p>
        </w:tc>
        <w:tc>
          <w:tcPr>
            <w:tcW w:w="557" w:type="pct"/>
            <w:shd w:val="clear" w:color="auto" w:fill="auto"/>
            <w:vAlign w:val="center"/>
          </w:tcPr>
          <w:p w:rsidR="00246FDD" w:rsidRPr="00B02413" w:rsidRDefault="00B02413" w:rsidP="008E2D65">
            <w:pPr>
              <w:pStyle w:val="Tabletext"/>
              <w:jc w:val="center"/>
              <w:rPr>
                <w:bCs/>
                <w:color w:val="000000"/>
                <w:highlight w:val="black"/>
              </w:rPr>
            </w:pPr>
            <w:r>
              <w:rPr>
                <w:rFonts w:cs="Arial"/>
                <w:bCs/>
                <w:noProof/>
                <w:color w:val="000000"/>
                <w:highlight w:val="black"/>
              </w:rPr>
              <w:t>''''''''''''''''</w:t>
            </w:r>
          </w:p>
        </w:tc>
        <w:tc>
          <w:tcPr>
            <w:tcW w:w="557" w:type="pct"/>
            <w:shd w:val="clear" w:color="auto" w:fill="auto"/>
            <w:vAlign w:val="center"/>
          </w:tcPr>
          <w:p w:rsidR="00246FDD" w:rsidRPr="00B02413" w:rsidRDefault="00B02413" w:rsidP="008E2D65">
            <w:pPr>
              <w:pStyle w:val="Tabletext"/>
              <w:jc w:val="center"/>
              <w:rPr>
                <w:bCs/>
                <w:color w:val="000000"/>
                <w:highlight w:val="black"/>
              </w:rPr>
            </w:pPr>
            <w:r>
              <w:rPr>
                <w:rFonts w:cs="Arial"/>
                <w:bCs/>
                <w:noProof/>
                <w:color w:val="000000"/>
                <w:highlight w:val="black"/>
              </w:rPr>
              <w:t>'''''''''''''''''</w:t>
            </w:r>
          </w:p>
        </w:tc>
        <w:tc>
          <w:tcPr>
            <w:tcW w:w="701" w:type="pct"/>
            <w:vAlign w:val="center"/>
          </w:tcPr>
          <w:p w:rsidR="00246FDD" w:rsidRPr="00B02413" w:rsidRDefault="00B02413" w:rsidP="008E2D65">
            <w:pPr>
              <w:pStyle w:val="Tabletext"/>
              <w:jc w:val="center"/>
              <w:rPr>
                <w:bCs/>
                <w:color w:val="000000"/>
                <w:highlight w:val="black"/>
              </w:rPr>
            </w:pPr>
            <w:r>
              <w:rPr>
                <w:rFonts w:cs="Arial"/>
                <w:bCs/>
                <w:noProof/>
                <w:color w:val="000000"/>
                <w:highlight w:val="black"/>
              </w:rPr>
              <w:t>'''''''''''''''''</w:t>
            </w:r>
          </w:p>
        </w:tc>
      </w:tr>
      <w:tr w:rsidR="00246FDD" w:rsidRPr="00D1078F" w:rsidTr="008E2D65">
        <w:tc>
          <w:tcPr>
            <w:tcW w:w="5000" w:type="pct"/>
            <w:gridSpan w:val="7"/>
            <w:shd w:val="clear" w:color="auto" w:fill="auto"/>
            <w:vAlign w:val="center"/>
          </w:tcPr>
          <w:p w:rsidR="00246FDD" w:rsidRPr="00D1078F" w:rsidRDefault="00246FDD" w:rsidP="008E2D65">
            <w:pPr>
              <w:pStyle w:val="Tabletext"/>
              <w:tabs>
                <w:tab w:val="left" w:pos="244"/>
              </w:tabs>
              <w:rPr>
                <w:b/>
                <w:bCs/>
                <w:color w:val="000000"/>
              </w:rPr>
            </w:pPr>
            <w:r w:rsidRPr="00D1078F">
              <w:rPr>
                <w:b/>
                <w:bCs/>
                <w:color w:val="000000"/>
              </w:rPr>
              <w:t xml:space="preserve">Estimated </w:t>
            </w:r>
            <w:r>
              <w:rPr>
                <w:b/>
                <w:bCs/>
                <w:color w:val="000000"/>
              </w:rPr>
              <w:t xml:space="preserve">financial implications of </w:t>
            </w:r>
            <w:proofErr w:type="spellStart"/>
            <w:r>
              <w:rPr>
                <w:b/>
                <w:bCs/>
                <w:color w:val="000000"/>
              </w:rPr>
              <w:t>apalutamide</w:t>
            </w:r>
            <w:proofErr w:type="spellEnd"/>
          </w:p>
        </w:tc>
      </w:tr>
      <w:tr w:rsidR="00246FDD" w:rsidRPr="003639A6" w:rsidTr="008E2D65">
        <w:tc>
          <w:tcPr>
            <w:tcW w:w="1511" w:type="pct"/>
            <w:shd w:val="clear" w:color="auto" w:fill="auto"/>
            <w:vAlign w:val="center"/>
          </w:tcPr>
          <w:p w:rsidR="00246FDD" w:rsidRPr="003639A6" w:rsidRDefault="00246FDD" w:rsidP="008E2D65">
            <w:pPr>
              <w:pStyle w:val="Tabletext"/>
              <w:tabs>
                <w:tab w:val="left" w:pos="244"/>
              </w:tabs>
              <w:rPr>
                <w:rFonts w:ascii="Times" w:hAnsi="Times"/>
              </w:rPr>
            </w:pPr>
            <w:r>
              <w:rPr>
                <w:sz w:val="19"/>
                <w:szCs w:val="19"/>
              </w:rPr>
              <w:t>C</w:t>
            </w:r>
            <w:r w:rsidRPr="003639A6">
              <w:rPr>
                <w:sz w:val="19"/>
                <w:szCs w:val="19"/>
              </w:rPr>
              <w:t>ost to PBS/RPBS</w:t>
            </w:r>
          </w:p>
        </w:tc>
        <w:tc>
          <w:tcPr>
            <w:tcW w:w="557" w:type="pct"/>
            <w:shd w:val="clear" w:color="auto" w:fill="auto"/>
            <w:vAlign w:val="center"/>
          </w:tcPr>
          <w:p w:rsidR="00246FDD" w:rsidRPr="003639A6" w:rsidRDefault="00246FDD" w:rsidP="008E2D65">
            <w:pPr>
              <w:pStyle w:val="Tabletext"/>
              <w:jc w:val="center"/>
              <w:rPr>
                <w:bCs/>
                <w:color w:val="000000"/>
              </w:rPr>
            </w:pPr>
            <w:r w:rsidRPr="008D3A2D">
              <w:rPr>
                <w:rFonts w:cs="Arial"/>
                <w:bCs/>
                <w:color w:val="000000"/>
                <w:szCs w:val="20"/>
              </w:rPr>
              <w:t>$</w:t>
            </w:r>
            <w:r w:rsidR="00B02413">
              <w:rPr>
                <w:rFonts w:cs="Arial"/>
                <w:bCs/>
                <w:noProof/>
                <w:color w:val="000000"/>
                <w:szCs w:val="20"/>
                <w:highlight w:val="black"/>
              </w:rPr>
              <w:t>''''''''''''''''''''''''''</w:t>
            </w:r>
          </w:p>
        </w:tc>
        <w:tc>
          <w:tcPr>
            <w:tcW w:w="558" w:type="pct"/>
            <w:shd w:val="clear" w:color="auto" w:fill="auto"/>
            <w:vAlign w:val="center"/>
          </w:tcPr>
          <w:p w:rsidR="00246FDD" w:rsidRPr="003639A6" w:rsidRDefault="00246FDD" w:rsidP="008E2D65">
            <w:pPr>
              <w:pStyle w:val="Tabletext"/>
              <w:jc w:val="center"/>
              <w:rPr>
                <w:bCs/>
                <w:color w:val="000000"/>
              </w:rPr>
            </w:pPr>
            <w:r w:rsidRPr="008D3A2D">
              <w:rPr>
                <w:rFonts w:cs="Arial"/>
                <w:bCs/>
                <w:color w:val="000000"/>
                <w:szCs w:val="20"/>
              </w:rPr>
              <w:t>$</w:t>
            </w:r>
            <w:r w:rsidR="00B02413">
              <w:rPr>
                <w:rFonts w:cs="Arial"/>
                <w:bCs/>
                <w:noProof/>
                <w:color w:val="000000"/>
                <w:szCs w:val="20"/>
                <w:highlight w:val="black"/>
              </w:rPr>
              <w:t>'''''''''''''''''''''''''</w:t>
            </w:r>
          </w:p>
        </w:tc>
        <w:tc>
          <w:tcPr>
            <w:tcW w:w="557" w:type="pct"/>
            <w:shd w:val="clear" w:color="auto" w:fill="auto"/>
            <w:vAlign w:val="center"/>
          </w:tcPr>
          <w:p w:rsidR="00246FDD" w:rsidRPr="003639A6" w:rsidRDefault="00246FDD" w:rsidP="008E2D65">
            <w:pPr>
              <w:pStyle w:val="Tabletext"/>
              <w:jc w:val="center"/>
              <w:rPr>
                <w:bCs/>
                <w:color w:val="000000"/>
              </w:rPr>
            </w:pPr>
            <w:r w:rsidRPr="008D3A2D">
              <w:rPr>
                <w:rFonts w:cs="Arial"/>
                <w:bCs/>
                <w:color w:val="000000"/>
                <w:szCs w:val="20"/>
              </w:rPr>
              <w:t>$</w:t>
            </w:r>
            <w:r w:rsidR="00B02413">
              <w:rPr>
                <w:rFonts w:cs="Arial"/>
                <w:bCs/>
                <w:noProof/>
                <w:color w:val="000000"/>
                <w:szCs w:val="20"/>
                <w:highlight w:val="black"/>
              </w:rPr>
              <w:t>'''''''''''''''''''''''''</w:t>
            </w:r>
          </w:p>
        </w:tc>
        <w:tc>
          <w:tcPr>
            <w:tcW w:w="557" w:type="pct"/>
            <w:shd w:val="clear" w:color="auto" w:fill="auto"/>
            <w:vAlign w:val="center"/>
          </w:tcPr>
          <w:p w:rsidR="00246FDD" w:rsidRPr="003639A6" w:rsidRDefault="00246FDD" w:rsidP="008E2D65">
            <w:pPr>
              <w:pStyle w:val="Tabletext"/>
              <w:jc w:val="center"/>
              <w:rPr>
                <w:bCs/>
                <w:color w:val="000000"/>
              </w:rPr>
            </w:pPr>
            <w:r w:rsidRPr="008D3A2D">
              <w:rPr>
                <w:rFonts w:cs="Arial"/>
                <w:bCs/>
                <w:color w:val="000000"/>
                <w:szCs w:val="20"/>
              </w:rPr>
              <w:t>$</w:t>
            </w:r>
            <w:r w:rsidR="00B02413">
              <w:rPr>
                <w:rFonts w:cs="Arial"/>
                <w:bCs/>
                <w:noProof/>
                <w:color w:val="000000"/>
                <w:szCs w:val="20"/>
                <w:highlight w:val="black"/>
              </w:rPr>
              <w:t>'''''''''''''''''''''''''''</w:t>
            </w:r>
          </w:p>
        </w:tc>
        <w:tc>
          <w:tcPr>
            <w:tcW w:w="557" w:type="pct"/>
            <w:shd w:val="clear" w:color="auto" w:fill="auto"/>
            <w:vAlign w:val="center"/>
          </w:tcPr>
          <w:p w:rsidR="00246FDD" w:rsidRPr="003639A6" w:rsidRDefault="00246FDD" w:rsidP="008E2D65">
            <w:pPr>
              <w:pStyle w:val="Tabletext"/>
              <w:jc w:val="center"/>
              <w:rPr>
                <w:bCs/>
                <w:color w:val="000000"/>
              </w:rPr>
            </w:pPr>
            <w:r w:rsidRPr="008D3A2D">
              <w:rPr>
                <w:rFonts w:cs="Arial"/>
                <w:bCs/>
                <w:color w:val="000000"/>
                <w:szCs w:val="20"/>
              </w:rPr>
              <w:t>$</w:t>
            </w:r>
            <w:r w:rsidR="00B02413">
              <w:rPr>
                <w:rFonts w:cs="Arial"/>
                <w:bCs/>
                <w:noProof/>
                <w:color w:val="000000"/>
                <w:szCs w:val="20"/>
                <w:highlight w:val="black"/>
              </w:rPr>
              <w:t>''''''''''''''''''''''''''</w:t>
            </w:r>
          </w:p>
        </w:tc>
        <w:tc>
          <w:tcPr>
            <w:tcW w:w="701" w:type="pct"/>
            <w:vAlign w:val="center"/>
          </w:tcPr>
          <w:p w:rsidR="00246FDD" w:rsidRPr="003639A6" w:rsidRDefault="00246FDD" w:rsidP="008E2D65">
            <w:pPr>
              <w:pStyle w:val="Tabletext"/>
              <w:jc w:val="center"/>
              <w:rPr>
                <w:bCs/>
                <w:color w:val="000000"/>
              </w:rPr>
            </w:pPr>
            <w:r w:rsidRPr="008D3A2D">
              <w:rPr>
                <w:rFonts w:cs="Arial"/>
                <w:bCs/>
                <w:color w:val="000000"/>
                <w:szCs w:val="20"/>
              </w:rPr>
              <w:t>$</w:t>
            </w:r>
            <w:r w:rsidR="00B02413">
              <w:rPr>
                <w:rFonts w:cs="Arial"/>
                <w:bCs/>
                <w:noProof/>
                <w:color w:val="000000"/>
                <w:szCs w:val="20"/>
                <w:highlight w:val="black"/>
              </w:rPr>
              <w:t>''''''''''''''''''''''''''''</w:t>
            </w:r>
          </w:p>
        </w:tc>
      </w:tr>
      <w:tr w:rsidR="00246FDD" w:rsidRPr="003639A6" w:rsidTr="008E2D65">
        <w:tc>
          <w:tcPr>
            <w:tcW w:w="1511" w:type="pct"/>
            <w:shd w:val="clear" w:color="auto" w:fill="auto"/>
            <w:vAlign w:val="center"/>
          </w:tcPr>
          <w:p w:rsidR="00246FDD" w:rsidRDefault="00246FDD" w:rsidP="008E2D65">
            <w:pPr>
              <w:pStyle w:val="Tabletext"/>
              <w:tabs>
                <w:tab w:val="left" w:pos="244"/>
              </w:tabs>
              <w:rPr>
                <w:sz w:val="19"/>
                <w:szCs w:val="19"/>
              </w:rPr>
            </w:pPr>
            <w:proofErr w:type="spellStart"/>
            <w:r>
              <w:rPr>
                <w:sz w:val="19"/>
                <w:szCs w:val="19"/>
              </w:rPr>
              <w:t>Copayments</w:t>
            </w:r>
            <w:proofErr w:type="spellEnd"/>
          </w:p>
        </w:tc>
        <w:tc>
          <w:tcPr>
            <w:tcW w:w="557" w:type="pct"/>
            <w:shd w:val="clear" w:color="auto" w:fill="auto"/>
            <w:vAlign w:val="center"/>
          </w:tcPr>
          <w:p w:rsidR="00246FDD" w:rsidRPr="003639A6" w:rsidRDefault="00246FDD" w:rsidP="008E2D65">
            <w:pPr>
              <w:pStyle w:val="Tabletext"/>
              <w:jc w:val="center"/>
              <w:rPr>
                <w:bCs/>
                <w:color w:val="000000"/>
              </w:rPr>
            </w:pPr>
            <w:r w:rsidRPr="008D3A2D">
              <w:rPr>
                <w:rFonts w:cs="Arial"/>
                <w:bCs/>
                <w:szCs w:val="20"/>
              </w:rPr>
              <w:t>-$</w:t>
            </w:r>
            <w:r w:rsidR="00B02413">
              <w:rPr>
                <w:rFonts w:cs="Arial"/>
                <w:bCs/>
                <w:noProof/>
                <w:color w:val="000000"/>
                <w:szCs w:val="20"/>
                <w:highlight w:val="black"/>
              </w:rPr>
              <w:t>'''''''''''''''''''</w:t>
            </w:r>
          </w:p>
        </w:tc>
        <w:tc>
          <w:tcPr>
            <w:tcW w:w="558" w:type="pct"/>
            <w:shd w:val="clear" w:color="auto" w:fill="auto"/>
            <w:vAlign w:val="center"/>
          </w:tcPr>
          <w:p w:rsidR="00246FDD" w:rsidRPr="003639A6" w:rsidRDefault="00246FDD" w:rsidP="008E2D65">
            <w:pPr>
              <w:pStyle w:val="Tabletext"/>
              <w:jc w:val="center"/>
              <w:rPr>
                <w:bCs/>
                <w:color w:val="000000"/>
              </w:rPr>
            </w:pPr>
            <w:r w:rsidRPr="008D3A2D">
              <w:rPr>
                <w:rFonts w:cs="Arial"/>
                <w:bCs/>
                <w:szCs w:val="20"/>
              </w:rPr>
              <w:t>-$</w:t>
            </w:r>
            <w:r w:rsidR="00B02413">
              <w:rPr>
                <w:rFonts w:cs="Arial"/>
                <w:bCs/>
                <w:noProof/>
                <w:color w:val="000000"/>
                <w:szCs w:val="20"/>
                <w:highlight w:val="black"/>
              </w:rPr>
              <w:t>'''''''''''''''''''</w:t>
            </w:r>
          </w:p>
        </w:tc>
        <w:tc>
          <w:tcPr>
            <w:tcW w:w="557" w:type="pct"/>
            <w:shd w:val="clear" w:color="auto" w:fill="auto"/>
            <w:vAlign w:val="center"/>
          </w:tcPr>
          <w:p w:rsidR="00246FDD" w:rsidRPr="003639A6" w:rsidRDefault="00246FDD" w:rsidP="008E2D65">
            <w:pPr>
              <w:pStyle w:val="Tabletext"/>
              <w:jc w:val="center"/>
              <w:rPr>
                <w:bCs/>
                <w:color w:val="000000"/>
              </w:rPr>
            </w:pPr>
            <w:r w:rsidRPr="008D3A2D">
              <w:rPr>
                <w:rFonts w:cs="Arial"/>
                <w:bCs/>
                <w:szCs w:val="20"/>
              </w:rPr>
              <w:t>-$</w:t>
            </w:r>
            <w:r w:rsidR="00B02413">
              <w:rPr>
                <w:rFonts w:cs="Arial"/>
                <w:bCs/>
                <w:noProof/>
                <w:color w:val="000000"/>
                <w:szCs w:val="20"/>
                <w:highlight w:val="black"/>
              </w:rPr>
              <w:t>''''''''''''''''''''</w:t>
            </w:r>
          </w:p>
        </w:tc>
        <w:tc>
          <w:tcPr>
            <w:tcW w:w="557" w:type="pct"/>
            <w:shd w:val="clear" w:color="auto" w:fill="auto"/>
            <w:vAlign w:val="center"/>
          </w:tcPr>
          <w:p w:rsidR="00246FDD" w:rsidRPr="003639A6" w:rsidRDefault="00246FDD" w:rsidP="008E2D65">
            <w:pPr>
              <w:pStyle w:val="Tabletext"/>
              <w:jc w:val="center"/>
              <w:rPr>
                <w:bCs/>
                <w:color w:val="000000"/>
              </w:rPr>
            </w:pPr>
            <w:r w:rsidRPr="008D3A2D">
              <w:rPr>
                <w:rFonts w:cs="Arial"/>
                <w:bCs/>
                <w:szCs w:val="20"/>
              </w:rPr>
              <w:t>-$</w:t>
            </w:r>
            <w:r w:rsidR="00B02413">
              <w:rPr>
                <w:rFonts w:cs="Arial"/>
                <w:bCs/>
                <w:noProof/>
                <w:color w:val="000000"/>
                <w:szCs w:val="20"/>
                <w:highlight w:val="black"/>
              </w:rPr>
              <w:t>'''''''''''''''''''''</w:t>
            </w:r>
          </w:p>
        </w:tc>
        <w:tc>
          <w:tcPr>
            <w:tcW w:w="557" w:type="pct"/>
            <w:shd w:val="clear" w:color="auto" w:fill="auto"/>
            <w:vAlign w:val="center"/>
          </w:tcPr>
          <w:p w:rsidR="00246FDD" w:rsidRPr="003639A6" w:rsidRDefault="00246FDD" w:rsidP="008E2D65">
            <w:pPr>
              <w:pStyle w:val="Tabletext"/>
              <w:jc w:val="center"/>
              <w:rPr>
                <w:bCs/>
                <w:color w:val="000000"/>
              </w:rPr>
            </w:pPr>
            <w:r w:rsidRPr="008D3A2D">
              <w:rPr>
                <w:rFonts w:cs="Arial"/>
                <w:bCs/>
                <w:szCs w:val="20"/>
              </w:rPr>
              <w:t>-$</w:t>
            </w:r>
            <w:r w:rsidR="00B02413">
              <w:rPr>
                <w:rFonts w:cs="Arial"/>
                <w:bCs/>
                <w:noProof/>
                <w:color w:val="000000"/>
                <w:szCs w:val="20"/>
                <w:highlight w:val="black"/>
              </w:rPr>
              <w:t>''''''''''''''''''''</w:t>
            </w:r>
          </w:p>
        </w:tc>
        <w:tc>
          <w:tcPr>
            <w:tcW w:w="701" w:type="pct"/>
            <w:vAlign w:val="center"/>
          </w:tcPr>
          <w:p w:rsidR="00246FDD" w:rsidRPr="003639A6" w:rsidRDefault="00246FDD" w:rsidP="008E2D65">
            <w:pPr>
              <w:pStyle w:val="Tabletext"/>
              <w:jc w:val="center"/>
              <w:rPr>
                <w:bCs/>
                <w:color w:val="000000"/>
              </w:rPr>
            </w:pPr>
            <w:r w:rsidRPr="008D3A2D">
              <w:rPr>
                <w:rFonts w:cs="Arial"/>
                <w:bCs/>
                <w:szCs w:val="20"/>
              </w:rPr>
              <w:t>-$</w:t>
            </w:r>
            <w:r w:rsidR="00B02413">
              <w:rPr>
                <w:rFonts w:cs="Arial"/>
                <w:bCs/>
                <w:noProof/>
                <w:color w:val="000000"/>
                <w:szCs w:val="20"/>
                <w:highlight w:val="black"/>
              </w:rPr>
              <w:t>'''''''''''''''''''''</w:t>
            </w:r>
          </w:p>
        </w:tc>
      </w:tr>
      <w:tr w:rsidR="00246FDD" w:rsidRPr="003639A6" w:rsidTr="008E2D65">
        <w:tc>
          <w:tcPr>
            <w:tcW w:w="1511" w:type="pct"/>
            <w:shd w:val="clear" w:color="auto" w:fill="auto"/>
            <w:vAlign w:val="center"/>
          </w:tcPr>
          <w:p w:rsidR="00246FDD" w:rsidRDefault="00246FDD" w:rsidP="008E2D65">
            <w:pPr>
              <w:pStyle w:val="Tabletext"/>
              <w:tabs>
                <w:tab w:val="left" w:pos="244"/>
              </w:tabs>
              <w:rPr>
                <w:sz w:val="19"/>
                <w:szCs w:val="19"/>
              </w:rPr>
            </w:pPr>
            <w:r>
              <w:rPr>
                <w:sz w:val="19"/>
                <w:szCs w:val="19"/>
              </w:rPr>
              <w:t xml:space="preserve">Cost to PBS/RPBS less </w:t>
            </w:r>
            <w:proofErr w:type="spellStart"/>
            <w:r>
              <w:rPr>
                <w:sz w:val="19"/>
                <w:szCs w:val="19"/>
              </w:rPr>
              <w:t>copayments</w:t>
            </w:r>
            <w:proofErr w:type="spellEnd"/>
          </w:p>
        </w:tc>
        <w:tc>
          <w:tcPr>
            <w:tcW w:w="557" w:type="pct"/>
            <w:shd w:val="clear" w:color="auto" w:fill="auto"/>
            <w:vAlign w:val="center"/>
          </w:tcPr>
          <w:p w:rsidR="00246FDD" w:rsidRPr="00D12C94" w:rsidRDefault="00246FDD" w:rsidP="008E2D65">
            <w:pPr>
              <w:pStyle w:val="Tabletext"/>
              <w:jc w:val="center"/>
              <w:rPr>
                <w:bCs/>
                <w:color w:val="000000"/>
              </w:rPr>
            </w:pPr>
            <w:r w:rsidRPr="00D12C94">
              <w:rPr>
                <w:rFonts w:cs="Arial"/>
                <w:bCs/>
                <w:color w:val="000000"/>
                <w:szCs w:val="20"/>
              </w:rPr>
              <w:t>$</w:t>
            </w:r>
            <w:r w:rsidR="00B02413">
              <w:rPr>
                <w:rFonts w:cs="Arial"/>
                <w:bCs/>
                <w:noProof/>
                <w:color w:val="000000"/>
                <w:szCs w:val="20"/>
                <w:highlight w:val="black"/>
              </w:rPr>
              <w:t>'''''''''''''''''''''''''</w:t>
            </w:r>
          </w:p>
        </w:tc>
        <w:tc>
          <w:tcPr>
            <w:tcW w:w="558" w:type="pct"/>
            <w:shd w:val="clear" w:color="auto" w:fill="auto"/>
            <w:vAlign w:val="center"/>
          </w:tcPr>
          <w:p w:rsidR="00246FDD" w:rsidRPr="00D12C94" w:rsidRDefault="00246FDD" w:rsidP="008E2D65">
            <w:pPr>
              <w:pStyle w:val="Tabletext"/>
              <w:jc w:val="center"/>
              <w:rPr>
                <w:bCs/>
                <w:color w:val="000000"/>
              </w:rPr>
            </w:pPr>
            <w:r w:rsidRPr="00D12C94">
              <w:rPr>
                <w:rFonts w:cs="Arial"/>
                <w:bCs/>
                <w:color w:val="000000"/>
                <w:szCs w:val="20"/>
              </w:rPr>
              <w:t>$</w:t>
            </w:r>
            <w:r w:rsidR="00B02413">
              <w:rPr>
                <w:rFonts w:cs="Arial"/>
                <w:bCs/>
                <w:noProof/>
                <w:color w:val="000000"/>
                <w:szCs w:val="20"/>
                <w:highlight w:val="black"/>
              </w:rPr>
              <w:t>''''''''''''''''''''''''''</w:t>
            </w:r>
          </w:p>
        </w:tc>
        <w:tc>
          <w:tcPr>
            <w:tcW w:w="557" w:type="pct"/>
            <w:shd w:val="clear" w:color="auto" w:fill="auto"/>
            <w:vAlign w:val="center"/>
          </w:tcPr>
          <w:p w:rsidR="00246FDD" w:rsidRPr="00D12C94" w:rsidRDefault="00246FDD" w:rsidP="008E2D65">
            <w:pPr>
              <w:pStyle w:val="Tabletext"/>
              <w:jc w:val="center"/>
              <w:rPr>
                <w:bCs/>
                <w:color w:val="000000"/>
              </w:rPr>
            </w:pPr>
            <w:r w:rsidRPr="00D12C94">
              <w:rPr>
                <w:rFonts w:cs="Arial"/>
                <w:bCs/>
                <w:color w:val="000000"/>
                <w:szCs w:val="20"/>
              </w:rPr>
              <w:t>$</w:t>
            </w:r>
            <w:r w:rsidR="00B02413">
              <w:rPr>
                <w:rFonts w:cs="Arial"/>
                <w:bCs/>
                <w:noProof/>
                <w:color w:val="000000"/>
                <w:szCs w:val="20"/>
                <w:highlight w:val="black"/>
              </w:rPr>
              <w:t>'''''''''''''''''''''''''''</w:t>
            </w:r>
          </w:p>
        </w:tc>
        <w:tc>
          <w:tcPr>
            <w:tcW w:w="557" w:type="pct"/>
            <w:shd w:val="clear" w:color="auto" w:fill="auto"/>
            <w:vAlign w:val="center"/>
          </w:tcPr>
          <w:p w:rsidR="00246FDD" w:rsidRPr="00D12C94" w:rsidRDefault="00246FDD" w:rsidP="008E2D65">
            <w:pPr>
              <w:pStyle w:val="Tabletext"/>
              <w:jc w:val="center"/>
              <w:rPr>
                <w:bCs/>
                <w:color w:val="000000"/>
              </w:rPr>
            </w:pPr>
            <w:r w:rsidRPr="00D12C94">
              <w:rPr>
                <w:rFonts w:cs="Arial"/>
                <w:bCs/>
                <w:color w:val="000000"/>
                <w:szCs w:val="20"/>
              </w:rPr>
              <w:t>$</w:t>
            </w:r>
            <w:r w:rsidR="00B02413">
              <w:rPr>
                <w:rFonts w:cs="Arial"/>
                <w:bCs/>
                <w:noProof/>
                <w:color w:val="000000"/>
                <w:szCs w:val="20"/>
                <w:highlight w:val="black"/>
              </w:rPr>
              <w:t>''''''''''''''''''''''''''</w:t>
            </w:r>
          </w:p>
        </w:tc>
        <w:tc>
          <w:tcPr>
            <w:tcW w:w="557" w:type="pct"/>
            <w:shd w:val="clear" w:color="auto" w:fill="auto"/>
            <w:vAlign w:val="center"/>
          </w:tcPr>
          <w:p w:rsidR="00246FDD" w:rsidRPr="00D12C94" w:rsidRDefault="00246FDD" w:rsidP="008E2D65">
            <w:pPr>
              <w:pStyle w:val="Tabletext"/>
              <w:jc w:val="center"/>
              <w:rPr>
                <w:bCs/>
                <w:color w:val="000000"/>
              </w:rPr>
            </w:pPr>
            <w:r w:rsidRPr="00D12C94">
              <w:rPr>
                <w:rFonts w:cs="Arial"/>
                <w:bCs/>
                <w:color w:val="000000"/>
                <w:szCs w:val="20"/>
              </w:rPr>
              <w:t>$</w:t>
            </w:r>
            <w:r w:rsidR="00B02413">
              <w:rPr>
                <w:rFonts w:cs="Arial"/>
                <w:bCs/>
                <w:noProof/>
                <w:color w:val="000000"/>
                <w:szCs w:val="20"/>
                <w:highlight w:val="black"/>
              </w:rPr>
              <w:t>''''''''''''''''''''''''''</w:t>
            </w:r>
          </w:p>
        </w:tc>
        <w:tc>
          <w:tcPr>
            <w:tcW w:w="701" w:type="pct"/>
            <w:vAlign w:val="center"/>
          </w:tcPr>
          <w:p w:rsidR="00246FDD" w:rsidRPr="00D12C94" w:rsidRDefault="00246FDD" w:rsidP="008E2D65">
            <w:pPr>
              <w:pStyle w:val="Tabletext"/>
              <w:jc w:val="center"/>
              <w:rPr>
                <w:bCs/>
                <w:color w:val="000000"/>
              </w:rPr>
            </w:pPr>
            <w:r w:rsidRPr="00D12C94">
              <w:rPr>
                <w:rFonts w:cs="Arial"/>
                <w:bCs/>
                <w:color w:val="000000"/>
                <w:szCs w:val="20"/>
              </w:rPr>
              <w:t>$</w:t>
            </w:r>
            <w:r w:rsidR="00B02413">
              <w:rPr>
                <w:rFonts w:cs="Arial"/>
                <w:bCs/>
                <w:noProof/>
                <w:color w:val="000000"/>
                <w:szCs w:val="20"/>
                <w:highlight w:val="black"/>
              </w:rPr>
              <w:t>''''''''''''''''''''''''''''</w:t>
            </w:r>
          </w:p>
        </w:tc>
      </w:tr>
      <w:tr w:rsidR="00246FDD" w:rsidRPr="003639A6" w:rsidTr="008E2D65">
        <w:tc>
          <w:tcPr>
            <w:tcW w:w="1511" w:type="pct"/>
            <w:shd w:val="clear" w:color="auto" w:fill="auto"/>
            <w:vAlign w:val="center"/>
          </w:tcPr>
          <w:p w:rsidR="00246FDD" w:rsidRDefault="00246FDD" w:rsidP="008E2D65">
            <w:pPr>
              <w:pStyle w:val="Tabletext"/>
              <w:tabs>
                <w:tab w:val="left" w:pos="244"/>
              </w:tabs>
              <w:rPr>
                <w:sz w:val="19"/>
                <w:szCs w:val="19"/>
              </w:rPr>
            </w:pPr>
            <w:r>
              <w:rPr>
                <w:szCs w:val="20"/>
              </w:rPr>
              <w:t>Cost offsets for change in use of other medicines</w:t>
            </w:r>
          </w:p>
        </w:tc>
        <w:tc>
          <w:tcPr>
            <w:tcW w:w="557" w:type="pct"/>
            <w:shd w:val="clear" w:color="auto" w:fill="auto"/>
            <w:vAlign w:val="center"/>
          </w:tcPr>
          <w:p w:rsidR="00246FDD" w:rsidRPr="00D12C94" w:rsidRDefault="00246FDD" w:rsidP="008E2D65">
            <w:pPr>
              <w:pStyle w:val="Tabletext"/>
              <w:jc w:val="center"/>
              <w:rPr>
                <w:bCs/>
                <w:color w:val="000000"/>
              </w:rPr>
            </w:pPr>
            <w:r w:rsidRPr="00D12C94">
              <w:rPr>
                <w:rFonts w:cs="Arial"/>
                <w:color w:val="000000"/>
                <w:szCs w:val="20"/>
              </w:rPr>
              <w:t>-$</w:t>
            </w:r>
            <w:r w:rsidR="00B02413">
              <w:rPr>
                <w:rFonts w:cs="Arial"/>
                <w:noProof/>
                <w:color w:val="000000"/>
                <w:szCs w:val="20"/>
                <w:highlight w:val="black"/>
              </w:rPr>
              <w:t>'''''''''''''''''''''''</w:t>
            </w:r>
          </w:p>
        </w:tc>
        <w:tc>
          <w:tcPr>
            <w:tcW w:w="558" w:type="pct"/>
            <w:shd w:val="clear" w:color="auto" w:fill="auto"/>
            <w:vAlign w:val="center"/>
          </w:tcPr>
          <w:p w:rsidR="00246FDD" w:rsidRPr="00D12C94" w:rsidRDefault="00246FDD" w:rsidP="008E2D65">
            <w:pPr>
              <w:pStyle w:val="Tabletext"/>
              <w:jc w:val="center"/>
              <w:rPr>
                <w:bCs/>
                <w:color w:val="000000"/>
              </w:rPr>
            </w:pPr>
            <w:r w:rsidRPr="00D12C94">
              <w:rPr>
                <w:rFonts w:cs="Arial"/>
                <w:color w:val="000000"/>
                <w:szCs w:val="20"/>
              </w:rPr>
              <w:t>-$</w:t>
            </w:r>
            <w:r w:rsidR="00B02413">
              <w:rPr>
                <w:rFonts w:cs="Arial"/>
                <w:noProof/>
                <w:color w:val="000000"/>
                <w:szCs w:val="20"/>
                <w:highlight w:val="black"/>
              </w:rPr>
              <w:t>''''''''''''''''''''''''''</w:t>
            </w:r>
          </w:p>
        </w:tc>
        <w:tc>
          <w:tcPr>
            <w:tcW w:w="557" w:type="pct"/>
            <w:shd w:val="clear" w:color="auto" w:fill="auto"/>
            <w:vAlign w:val="center"/>
          </w:tcPr>
          <w:p w:rsidR="00246FDD" w:rsidRPr="00D12C94" w:rsidRDefault="00246FDD" w:rsidP="008E2D65">
            <w:pPr>
              <w:pStyle w:val="Tabletext"/>
              <w:jc w:val="center"/>
              <w:rPr>
                <w:bCs/>
                <w:color w:val="000000"/>
              </w:rPr>
            </w:pPr>
            <w:r w:rsidRPr="00D12C94">
              <w:rPr>
                <w:rFonts w:cs="Arial"/>
                <w:color w:val="000000"/>
                <w:szCs w:val="20"/>
              </w:rPr>
              <w:t>-$</w:t>
            </w:r>
            <w:r w:rsidR="00B02413">
              <w:rPr>
                <w:rFonts w:cs="Arial"/>
                <w:noProof/>
                <w:color w:val="000000"/>
                <w:szCs w:val="20"/>
                <w:highlight w:val="black"/>
              </w:rPr>
              <w:t>'''''''''''''''''''''''''</w:t>
            </w:r>
          </w:p>
        </w:tc>
        <w:tc>
          <w:tcPr>
            <w:tcW w:w="557" w:type="pct"/>
            <w:shd w:val="clear" w:color="auto" w:fill="auto"/>
            <w:vAlign w:val="center"/>
          </w:tcPr>
          <w:p w:rsidR="00246FDD" w:rsidRPr="00D12C94" w:rsidRDefault="00246FDD" w:rsidP="008E2D65">
            <w:pPr>
              <w:pStyle w:val="Tabletext"/>
              <w:jc w:val="center"/>
              <w:rPr>
                <w:bCs/>
                <w:color w:val="000000"/>
              </w:rPr>
            </w:pPr>
            <w:r w:rsidRPr="00D12C94">
              <w:rPr>
                <w:rFonts w:cs="Arial"/>
                <w:color w:val="000000"/>
                <w:szCs w:val="20"/>
              </w:rPr>
              <w:t>-$</w:t>
            </w:r>
            <w:r w:rsidR="00B02413">
              <w:rPr>
                <w:rFonts w:cs="Arial"/>
                <w:noProof/>
                <w:color w:val="000000"/>
                <w:szCs w:val="20"/>
                <w:highlight w:val="black"/>
              </w:rPr>
              <w:t>'''''''''''''''''''''''''</w:t>
            </w:r>
          </w:p>
        </w:tc>
        <w:tc>
          <w:tcPr>
            <w:tcW w:w="557" w:type="pct"/>
            <w:shd w:val="clear" w:color="auto" w:fill="auto"/>
            <w:vAlign w:val="center"/>
          </w:tcPr>
          <w:p w:rsidR="00246FDD" w:rsidRPr="00D12C94" w:rsidRDefault="00246FDD" w:rsidP="008E2D65">
            <w:pPr>
              <w:pStyle w:val="Tabletext"/>
              <w:jc w:val="center"/>
              <w:rPr>
                <w:bCs/>
                <w:color w:val="000000"/>
              </w:rPr>
            </w:pPr>
            <w:r w:rsidRPr="00D12C94">
              <w:rPr>
                <w:rFonts w:cs="Arial"/>
                <w:color w:val="000000"/>
                <w:szCs w:val="20"/>
              </w:rPr>
              <w:t>-$</w:t>
            </w:r>
            <w:r w:rsidR="00B02413">
              <w:rPr>
                <w:rFonts w:cs="Arial"/>
                <w:noProof/>
                <w:color w:val="000000"/>
                <w:szCs w:val="20"/>
                <w:highlight w:val="black"/>
              </w:rPr>
              <w:t>''''''''''''''''''''''''</w:t>
            </w:r>
          </w:p>
        </w:tc>
        <w:tc>
          <w:tcPr>
            <w:tcW w:w="701" w:type="pct"/>
            <w:vAlign w:val="center"/>
          </w:tcPr>
          <w:p w:rsidR="00246FDD" w:rsidRPr="00D12C94" w:rsidRDefault="00246FDD" w:rsidP="008E2D65">
            <w:pPr>
              <w:pStyle w:val="Tabletext"/>
              <w:jc w:val="center"/>
              <w:rPr>
                <w:bCs/>
                <w:color w:val="000000"/>
              </w:rPr>
            </w:pPr>
            <w:r w:rsidRPr="00D12C94">
              <w:rPr>
                <w:rFonts w:cs="Arial"/>
                <w:color w:val="000000"/>
                <w:szCs w:val="20"/>
              </w:rPr>
              <w:t>-$</w:t>
            </w:r>
            <w:r w:rsidR="00B02413">
              <w:rPr>
                <w:rFonts w:cs="Arial"/>
                <w:noProof/>
                <w:color w:val="000000"/>
                <w:szCs w:val="20"/>
                <w:highlight w:val="black"/>
              </w:rPr>
              <w:t>'''''''''''''''''''''''</w:t>
            </w:r>
          </w:p>
        </w:tc>
      </w:tr>
      <w:tr w:rsidR="00246FDD" w:rsidRPr="00FC22AB" w:rsidTr="008E2D65">
        <w:tc>
          <w:tcPr>
            <w:tcW w:w="5000" w:type="pct"/>
            <w:gridSpan w:val="7"/>
            <w:shd w:val="clear" w:color="auto" w:fill="auto"/>
            <w:vAlign w:val="center"/>
          </w:tcPr>
          <w:p w:rsidR="00246FDD" w:rsidRPr="00FC22AB" w:rsidRDefault="00246FDD" w:rsidP="008E2D65">
            <w:pPr>
              <w:pStyle w:val="Tabletext"/>
              <w:tabs>
                <w:tab w:val="left" w:pos="244"/>
              </w:tabs>
              <w:rPr>
                <w:b/>
                <w:bCs/>
                <w:color w:val="000000"/>
              </w:rPr>
            </w:pPr>
            <w:r w:rsidRPr="00FC22AB">
              <w:rPr>
                <w:b/>
                <w:bCs/>
                <w:color w:val="000000"/>
              </w:rPr>
              <w:t>Net financial implications</w:t>
            </w:r>
            <w:r w:rsidRPr="00FC22AB">
              <w:rPr>
                <w:b/>
                <w:bCs/>
                <w:color w:val="4BACC6" w:themeColor="accent5"/>
              </w:rPr>
              <w:t xml:space="preserve"> </w:t>
            </w:r>
          </w:p>
        </w:tc>
      </w:tr>
      <w:tr w:rsidR="00246FDD" w:rsidRPr="003639A6" w:rsidTr="008E2D65">
        <w:tc>
          <w:tcPr>
            <w:tcW w:w="1511" w:type="pct"/>
            <w:shd w:val="clear" w:color="auto" w:fill="auto"/>
            <w:vAlign w:val="center"/>
          </w:tcPr>
          <w:p w:rsidR="00246FDD" w:rsidRDefault="00246FDD" w:rsidP="008E2D65">
            <w:pPr>
              <w:pStyle w:val="Tabletext"/>
              <w:tabs>
                <w:tab w:val="left" w:pos="244"/>
              </w:tabs>
              <w:rPr>
                <w:sz w:val="19"/>
                <w:szCs w:val="19"/>
              </w:rPr>
            </w:pPr>
            <w:r>
              <w:rPr>
                <w:sz w:val="19"/>
                <w:szCs w:val="19"/>
              </w:rPr>
              <w:t>Net cost to PBS/RPBS</w:t>
            </w:r>
          </w:p>
        </w:tc>
        <w:tc>
          <w:tcPr>
            <w:tcW w:w="557" w:type="pct"/>
            <w:shd w:val="clear" w:color="auto" w:fill="auto"/>
            <w:vAlign w:val="center"/>
          </w:tcPr>
          <w:p w:rsidR="00246FDD" w:rsidRPr="00D12C94" w:rsidRDefault="00246FDD" w:rsidP="008E2D65">
            <w:pPr>
              <w:pStyle w:val="Tabletext"/>
              <w:jc w:val="center"/>
              <w:rPr>
                <w:bCs/>
                <w:color w:val="000000"/>
              </w:rPr>
            </w:pPr>
            <w:r w:rsidRPr="00D12C94">
              <w:rPr>
                <w:rFonts w:cs="Arial"/>
                <w:bCs/>
                <w:color w:val="000000"/>
                <w:szCs w:val="20"/>
              </w:rPr>
              <w:t>$</w:t>
            </w:r>
            <w:r w:rsidR="00B02413">
              <w:rPr>
                <w:rFonts w:cs="Arial"/>
                <w:bCs/>
                <w:noProof/>
                <w:color w:val="000000"/>
                <w:szCs w:val="20"/>
                <w:highlight w:val="black"/>
              </w:rPr>
              <w:t>'''''''''''''''''''''''''''''</w:t>
            </w:r>
          </w:p>
        </w:tc>
        <w:tc>
          <w:tcPr>
            <w:tcW w:w="558" w:type="pct"/>
            <w:shd w:val="clear" w:color="auto" w:fill="auto"/>
            <w:vAlign w:val="center"/>
          </w:tcPr>
          <w:p w:rsidR="00246FDD" w:rsidRPr="00D12C94" w:rsidRDefault="00246FDD" w:rsidP="008E2D65">
            <w:pPr>
              <w:pStyle w:val="Tabletext"/>
              <w:jc w:val="center"/>
              <w:rPr>
                <w:bCs/>
                <w:color w:val="000000"/>
              </w:rPr>
            </w:pPr>
            <w:r w:rsidRPr="00D12C94">
              <w:rPr>
                <w:rFonts w:cs="Arial"/>
                <w:bCs/>
                <w:color w:val="000000"/>
                <w:szCs w:val="20"/>
              </w:rPr>
              <w:t>$</w:t>
            </w:r>
            <w:r w:rsidR="00B02413">
              <w:rPr>
                <w:rFonts w:cs="Arial"/>
                <w:bCs/>
                <w:noProof/>
                <w:color w:val="000000"/>
                <w:szCs w:val="20"/>
                <w:highlight w:val="black"/>
              </w:rPr>
              <w:t>''''''''''''''''''''''''</w:t>
            </w:r>
          </w:p>
        </w:tc>
        <w:tc>
          <w:tcPr>
            <w:tcW w:w="557" w:type="pct"/>
            <w:shd w:val="clear" w:color="auto" w:fill="auto"/>
            <w:vAlign w:val="center"/>
          </w:tcPr>
          <w:p w:rsidR="00246FDD" w:rsidRPr="00D12C94" w:rsidRDefault="00246FDD" w:rsidP="008E2D65">
            <w:pPr>
              <w:pStyle w:val="Tabletext"/>
              <w:jc w:val="center"/>
              <w:rPr>
                <w:bCs/>
                <w:color w:val="000000"/>
              </w:rPr>
            </w:pPr>
            <w:r w:rsidRPr="00D12C94">
              <w:rPr>
                <w:rFonts w:cs="Arial"/>
                <w:bCs/>
                <w:color w:val="000000"/>
                <w:szCs w:val="20"/>
              </w:rPr>
              <w:t>$</w:t>
            </w:r>
            <w:r w:rsidR="00B02413">
              <w:rPr>
                <w:rFonts w:cs="Arial"/>
                <w:bCs/>
                <w:noProof/>
                <w:color w:val="000000"/>
                <w:szCs w:val="20"/>
                <w:highlight w:val="black"/>
              </w:rPr>
              <w:t>'''''''''''''''''''''''''''''</w:t>
            </w:r>
          </w:p>
        </w:tc>
        <w:tc>
          <w:tcPr>
            <w:tcW w:w="557" w:type="pct"/>
            <w:shd w:val="clear" w:color="auto" w:fill="auto"/>
            <w:vAlign w:val="center"/>
          </w:tcPr>
          <w:p w:rsidR="00246FDD" w:rsidRPr="00D12C94" w:rsidRDefault="00246FDD" w:rsidP="008E2D65">
            <w:pPr>
              <w:pStyle w:val="Tabletext"/>
              <w:jc w:val="center"/>
              <w:rPr>
                <w:bCs/>
                <w:color w:val="000000"/>
              </w:rPr>
            </w:pPr>
            <w:r w:rsidRPr="00D12C94">
              <w:rPr>
                <w:rFonts w:cs="Arial"/>
                <w:bCs/>
                <w:color w:val="000000"/>
                <w:szCs w:val="20"/>
              </w:rPr>
              <w:t>$</w:t>
            </w:r>
            <w:r w:rsidR="00B02413">
              <w:rPr>
                <w:rFonts w:cs="Arial"/>
                <w:bCs/>
                <w:noProof/>
                <w:color w:val="000000"/>
                <w:szCs w:val="20"/>
                <w:highlight w:val="black"/>
              </w:rPr>
              <w:t>''''''''''''''''''''''''''</w:t>
            </w:r>
          </w:p>
        </w:tc>
        <w:tc>
          <w:tcPr>
            <w:tcW w:w="557" w:type="pct"/>
            <w:shd w:val="clear" w:color="auto" w:fill="auto"/>
            <w:vAlign w:val="center"/>
          </w:tcPr>
          <w:p w:rsidR="00246FDD" w:rsidRPr="00D12C94" w:rsidRDefault="00246FDD" w:rsidP="008E2D65">
            <w:pPr>
              <w:pStyle w:val="Tabletext"/>
              <w:jc w:val="center"/>
              <w:rPr>
                <w:bCs/>
                <w:color w:val="000000"/>
              </w:rPr>
            </w:pPr>
            <w:r w:rsidRPr="00D12C94">
              <w:rPr>
                <w:rFonts w:cs="Arial"/>
                <w:bCs/>
                <w:color w:val="000000"/>
                <w:szCs w:val="20"/>
              </w:rPr>
              <w:t>$</w:t>
            </w:r>
            <w:r w:rsidR="00B02413">
              <w:rPr>
                <w:rFonts w:cs="Arial"/>
                <w:bCs/>
                <w:noProof/>
                <w:color w:val="000000"/>
                <w:szCs w:val="20"/>
                <w:highlight w:val="black"/>
              </w:rPr>
              <w:t>''''''''''''''''''''''''</w:t>
            </w:r>
          </w:p>
        </w:tc>
        <w:tc>
          <w:tcPr>
            <w:tcW w:w="701" w:type="pct"/>
            <w:vAlign w:val="center"/>
          </w:tcPr>
          <w:p w:rsidR="00246FDD" w:rsidRPr="00D12C94" w:rsidRDefault="00246FDD" w:rsidP="008E2D65">
            <w:pPr>
              <w:pStyle w:val="Tabletext"/>
              <w:jc w:val="center"/>
              <w:rPr>
                <w:bCs/>
                <w:color w:val="000000"/>
              </w:rPr>
            </w:pPr>
            <w:r w:rsidRPr="00D12C94">
              <w:rPr>
                <w:rFonts w:cs="Arial"/>
                <w:bCs/>
                <w:color w:val="000000"/>
                <w:szCs w:val="20"/>
              </w:rPr>
              <w:t>$</w:t>
            </w:r>
            <w:r w:rsidR="00B02413">
              <w:rPr>
                <w:rFonts w:cs="Arial"/>
                <w:bCs/>
                <w:noProof/>
                <w:color w:val="000000"/>
                <w:szCs w:val="20"/>
                <w:highlight w:val="black"/>
              </w:rPr>
              <w:t>'''''''''''''''''''''''''''</w:t>
            </w:r>
          </w:p>
        </w:tc>
      </w:tr>
      <w:tr w:rsidR="00246FDD" w:rsidRPr="003639A6" w:rsidTr="008E2D65">
        <w:tc>
          <w:tcPr>
            <w:tcW w:w="1511" w:type="pct"/>
            <w:shd w:val="clear" w:color="auto" w:fill="auto"/>
            <w:vAlign w:val="center"/>
          </w:tcPr>
          <w:p w:rsidR="00246FDD" w:rsidRPr="003639A6" w:rsidRDefault="00246FDD" w:rsidP="008E2D65">
            <w:pPr>
              <w:pStyle w:val="Tabletext"/>
              <w:tabs>
                <w:tab w:val="left" w:pos="244"/>
              </w:tabs>
              <w:rPr>
                <w:rFonts w:ascii="Times" w:hAnsi="Times"/>
              </w:rPr>
            </w:pPr>
            <w:r>
              <w:rPr>
                <w:sz w:val="19"/>
                <w:szCs w:val="19"/>
              </w:rPr>
              <w:t>Net cost to</w:t>
            </w:r>
            <w:r w:rsidRPr="003639A6">
              <w:rPr>
                <w:sz w:val="19"/>
                <w:szCs w:val="19"/>
              </w:rPr>
              <w:t xml:space="preserve"> MBS</w:t>
            </w:r>
          </w:p>
        </w:tc>
        <w:tc>
          <w:tcPr>
            <w:tcW w:w="557" w:type="pct"/>
            <w:shd w:val="clear" w:color="auto" w:fill="auto"/>
            <w:vAlign w:val="center"/>
          </w:tcPr>
          <w:p w:rsidR="00246FDD" w:rsidRPr="003639A6" w:rsidRDefault="00246FDD" w:rsidP="008E2D65">
            <w:pPr>
              <w:pStyle w:val="Tabletext"/>
              <w:jc w:val="center"/>
              <w:rPr>
                <w:bCs/>
                <w:color w:val="000000"/>
              </w:rPr>
            </w:pPr>
            <w:r w:rsidRPr="00D3507E">
              <w:rPr>
                <w:rFonts w:cs="Arial"/>
                <w:bCs/>
                <w:color w:val="000000"/>
              </w:rPr>
              <w:t>-$</w:t>
            </w:r>
            <w:r w:rsidR="00B02413">
              <w:rPr>
                <w:rFonts w:cs="Arial"/>
                <w:bCs/>
                <w:noProof/>
                <w:color w:val="000000"/>
                <w:highlight w:val="black"/>
              </w:rPr>
              <w:t>''''''''''''''''''''''</w:t>
            </w:r>
          </w:p>
        </w:tc>
        <w:tc>
          <w:tcPr>
            <w:tcW w:w="558" w:type="pct"/>
            <w:shd w:val="clear" w:color="auto" w:fill="auto"/>
            <w:vAlign w:val="center"/>
          </w:tcPr>
          <w:p w:rsidR="00246FDD" w:rsidRPr="003639A6" w:rsidRDefault="00246FDD" w:rsidP="008E2D65">
            <w:pPr>
              <w:pStyle w:val="Tabletext"/>
              <w:jc w:val="center"/>
              <w:rPr>
                <w:bCs/>
                <w:color w:val="000000"/>
              </w:rPr>
            </w:pPr>
            <w:r w:rsidRPr="00D3507E">
              <w:rPr>
                <w:rFonts w:cs="Arial"/>
                <w:bCs/>
                <w:color w:val="000000"/>
              </w:rPr>
              <w:t>-$</w:t>
            </w:r>
            <w:r w:rsidR="00B02413">
              <w:rPr>
                <w:rFonts w:cs="Arial"/>
                <w:bCs/>
                <w:noProof/>
                <w:color w:val="000000"/>
                <w:highlight w:val="black"/>
              </w:rPr>
              <w:t>'''''''''''''''''''''''</w:t>
            </w:r>
          </w:p>
        </w:tc>
        <w:tc>
          <w:tcPr>
            <w:tcW w:w="557" w:type="pct"/>
            <w:shd w:val="clear" w:color="auto" w:fill="auto"/>
            <w:vAlign w:val="center"/>
          </w:tcPr>
          <w:p w:rsidR="00246FDD" w:rsidRPr="003639A6" w:rsidRDefault="00246FDD" w:rsidP="008E2D65">
            <w:pPr>
              <w:pStyle w:val="Tabletext"/>
              <w:jc w:val="center"/>
              <w:rPr>
                <w:bCs/>
                <w:color w:val="000000"/>
              </w:rPr>
            </w:pPr>
            <w:r w:rsidRPr="00D3507E">
              <w:rPr>
                <w:rFonts w:cs="Arial"/>
                <w:bCs/>
                <w:color w:val="000000"/>
              </w:rPr>
              <w:t>-$</w:t>
            </w:r>
            <w:r w:rsidR="00B02413">
              <w:rPr>
                <w:rFonts w:cs="Arial"/>
                <w:bCs/>
                <w:noProof/>
                <w:color w:val="000000"/>
                <w:highlight w:val="black"/>
              </w:rPr>
              <w:t>''''''''''''''''''''''</w:t>
            </w:r>
          </w:p>
        </w:tc>
        <w:tc>
          <w:tcPr>
            <w:tcW w:w="557" w:type="pct"/>
            <w:shd w:val="clear" w:color="auto" w:fill="auto"/>
            <w:vAlign w:val="center"/>
          </w:tcPr>
          <w:p w:rsidR="00246FDD" w:rsidRPr="003639A6" w:rsidRDefault="00246FDD" w:rsidP="008E2D65">
            <w:pPr>
              <w:pStyle w:val="Tabletext"/>
              <w:jc w:val="center"/>
              <w:rPr>
                <w:bCs/>
                <w:color w:val="000000"/>
              </w:rPr>
            </w:pPr>
            <w:r w:rsidRPr="00D3507E">
              <w:rPr>
                <w:rFonts w:cs="Arial"/>
                <w:bCs/>
                <w:color w:val="000000"/>
              </w:rPr>
              <w:t>-$</w:t>
            </w:r>
            <w:r w:rsidR="00B02413">
              <w:rPr>
                <w:rFonts w:cs="Arial"/>
                <w:bCs/>
                <w:noProof/>
                <w:color w:val="000000"/>
                <w:highlight w:val="black"/>
              </w:rPr>
              <w:t>'''''''''''''''''''''''</w:t>
            </w:r>
          </w:p>
        </w:tc>
        <w:tc>
          <w:tcPr>
            <w:tcW w:w="557" w:type="pct"/>
            <w:shd w:val="clear" w:color="auto" w:fill="auto"/>
            <w:vAlign w:val="center"/>
          </w:tcPr>
          <w:p w:rsidR="00246FDD" w:rsidRPr="003639A6" w:rsidRDefault="00246FDD" w:rsidP="008E2D65">
            <w:pPr>
              <w:pStyle w:val="Tabletext"/>
              <w:jc w:val="center"/>
              <w:rPr>
                <w:bCs/>
                <w:color w:val="000000"/>
              </w:rPr>
            </w:pPr>
            <w:r w:rsidRPr="00D3507E">
              <w:rPr>
                <w:rFonts w:cs="Arial"/>
                <w:bCs/>
                <w:color w:val="000000"/>
              </w:rPr>
              <w:t>-$</w:t>
            </w:r>
            <w:r w:rsidR="00B02413">
              <w:rPr>
                <w:rFonts w:cs="Arial"/>
                <w:bCs/>
                <w:noProof/>
                <w:color w:val="000000"/>
                <w:highlight w:val="black"/>
              </w:rPr>
              <w:t>'''''''''''''''''''''''''</w:t>
            </w:r>
          </w:p>
        </w:tc>
        <w:tc>
          <w:tcPr>
            <w:tcW w:w="701" w:type="pct"/>
            <w:vAlign w:val="center"/>
          </w:tcPr>
          <w:p w:rsidR="00246FDD" w:rsidRPr="003639A6" w:rsidRDefault="00246FDD" w:rsidP="008E2D65">
            <w:pPr>
              <w:pStyle w:val="Tabletext"/>
              <w:jc w:val="center"/>
              <w:rPr>
                <w:bCs/>
                <w:color w:val="000000"/>
              </w:rPr>
            </w:pPr>
            <w:r w:rsidRPr="00D3507E">
              <w:rPr>
                <w:rFonts w:cs="Arial"/>
                <w:bCs/>
                <w:color w:val="000000"/>
              </w:rPr>
              <w:t>-$</w:t>
            </w:r>
            <w:r w:rsidR="00B02413">
              <w:rPr>
                <w:rFonts w:cs="Arial"/>
                <w:bCs/>
                <w:noProof/>
                <w:color w:val="000000"/>
                <w:highlight w:val="black"/>
              </w:rPr>
              <w:t>''''''''''''''''''''''''</w:t>
            </w:r>
          </w:p>
        </w:tc>
      </w:tr>
      <w:tr w:rsidR="00246FDD" w:rsidRPr="003639A6" w:rsidTr="008E2D65">
        <w:tc>
          <w:tcPr>
            <w:tcW w:w="1511" w:type="pct"/>
            <w:shd w:val="clear" w:color="auto" w:fill="auto"/>
            <w:vAlign w:val="center"/>
          </w:tcPr>
          <w:p w:rsidR="00246FDD" w:rsidRPr="003639A6" w:rsidRDefault="00246FDD" w:rsidP="008E2D65">
            <w:pPr>
              <w:pStyle w:val="Tabletext"/>
              <w:tabs>
                <w:tab w:val="left" w:pos="244"/>
              </w:tabs>
              <w:rPr>
                <w:sz w:val="19"/>
                <w:szCs w:val="19"/>
              </w:rPr>
            </w:pPr>
            <w:r>
              <w:rPr>
                <w:sz w:val="19"/>
                <w:szCs w:val="19"/>
              </w:rPr>
              <w:t>Net cost to PBS/RPBS/MBS</w:t>
            </w:r>
          </w:p>
        </w:tc>
        <w:tc>
          <w:tcPr>
            <w:tcW w:w="557" w:type="pct"/>
            <w:shd w:val="clear" w:color="auto" w:fill="auto"/>
            <w:vAlign w:val="center"/>
          </w:tcPr>
          <w:p w:rsidR="00246FDD" w:rsidRPr="003639A6" w:rsidRDefault="00246FDD" w:rsidP="008E2D65">
            <w:pPr>
              <w:pStyle w:val="Tabletext"/>
              <w:jc w:val="center"/>
              <w:rPr>
                <w:bCs/>
                <w:color w:val="000000"/>
              </w:rPr>
            </w:pPr>
            <w:r>
              <w:rPr>
                <w:rFonts w:cs="Arial"/>
                <w:b/>
                <w:bCs/>
                <w:color w:val="000000"/>
              </w:rPr>
              <w:t>$</w:t>
            </w:r>
            <w:r w:rsidR="00B02413">
              <w:rPr>
                <w:rFonts w:cs="Arial"/>
                <w:b/>
                <w:bCs/>
                <w:noProof/>
                <w:color w:val="000000"/>
                <w:highlight w:val="black"/>
              </w:rPr>
              <w:t>'''''''''''''''''''</w:t>
            </w:r>
          </w:p>
        </w:tc>
        <w:tc>
          <w:tcPr>
            <w:tcW w:w="558" w:type="pct"/>
            <w:shd w:val="clear" w:color="auto" w:fill="auto"/>
            <w:vAlign w:val="center"/>
          </w:tcPr>
          <w:p w:rsidR="00246FDD" w:rsidRPr="003639A6" w:rsidRDefault="00246FDD" w:rsidP="008E2D65">
            <w:pPr>
              <w:pStyle w:val="Tabletext"/>
              <w:jc w:val="center"/>
              <w:rPr>
                <w:bCs/>
                <w:color w:val="000000"/>
              </w:rPr>
            </w:pPr>
            <w:r>
              <w:rPr>
                <w:rFonts w:cs="Arial"/>
                <w:b/>
                <w:bCs/>
                <w:color w:val="000000"/>
              </w:rPr>
              <w:t>$</w:t>
            </w:r>
            <w:r w:rsidR="00B02413">
              <w:rPr>
                <w:rFonts w:cs="Arial"/>
                <w:b/>
                <w:bCs/>
                <w:noProof/>
                <w:color w:val="000000"/>
                <w:highlight w:val="black"/>
              </w:rPr>
              <w:t>'''''''''''''''''''''''</w:t>
            </w:r>
          </w:p>
        </w:tc>
        <w:tc>
          <w:tcPr>
            <w:tcW w:w="557" w:type="pct"/>
            <w:shd w:val="clear" w:color="auto" w:fill="auto"/>
            <w:vAlign w:val="center"/>
          </w:tcPr>
          <w:p w:rsidR="00246FDD" w:rsidRPr="003639A6" w:rsidRDefault="00246FDD" w:rsidP="008E2D65">
            <w:pPr>
              <w:pStyle w:val="Tabletext"/>
              <w:jc w:val="center"/>
              <w:rPr>
                <w:bCs/>
                <w:color w:val="000000"/>
              </w:rPr>
            </w:pPr>
            <w:r>
              <w:rPr>
                <w:rFonts w:cs="Arial"/>
                <w:b/>
                <w:bCs/>
                <w:color w:val="000000"/>
              </w:rPr>
              <w:t>$</w:t>
            </w:r>
            <w:r w:rsidR="00B02413">
              <w:rPr>
                <w:rFonts w:cs="Arial"/>
                <w:b/>
                <w:bCs/>
                <w:noProof/>
                <w:color w:val="000000"/>
                <w:highlight w:val="black"/>
              </w:rPr>
              <w:t>''''''''''''''''''''</w:t>
            </w:r>
          </w:p>
        </w:tc>
        <w:tc>
          <w:tcPr>
            <w:tcW w:w="557" w:type="pct"/>
            <w:shd w:val="clear" w:color="auto" w:fill="auto"/>
            <w:vAlign w:val="center"/>
          </w:tcPr>
          <w:p w:rsidR="00246FDD" w:rsidRPr="003639A6" w:rsidRDefault="00246FDD" w:rsidP="008E2D65">
            <w:pPr>
              <w:pStyle w:val="Tabletext"/>
              <w:jc w:val="center"/>
              <w:rPr>
                <w:bCs/>
                <w:color w:val="000000"/>
              </w:rPr>
            </w:pPr>
            <w:r>
              <w:rPr>
                <w:rFonts w:cs="Arial"/>
                <w:b/>
                <w:bCs/>
                <w:color w:val="000000"/>
              </w:rPr>
              <w:t>$</w:t>
            </w:r>
            <w:r w:rsidR="00B02413">
              <w:rPr>
                <w:rFonts w:cs="Arial"/>
                <w:b/>
                <w:bCs/>
                <w:noProof/>
                <w:color w:val="000000"/>
                <w:highlight w:val="black"/>
              </w:rPr>
              <w:t>'''''''''''''''''''</w:t>
            </w:r>
          </w:p>
        </w:tc>
        <w:tc>
          <w:tcPr>
            <w:tcW w:w="557" w:type="pct"/>
            <w:shd w:val="clear" w:color="auto" w:fill="auto"/>
            <w:vAlign w:val="center"/>
          </w:tcPr>
          <w:p w:rsidR="00246FDD" w:rsidRPr="003639A6" w:rsidRDefault="00246FDD" w:rsidP="008E2D65">
            <w:pPr>
              <w:pStyle w:val="Tabletext"/>
              <w:jc w:val="center"/>
              <w:rPr>
                <w:bCs/>
                <w:color w:val="000000"/>
              </w:rPr>
            </w:pPr>
            <w:r>
              <w:rPr>
                <w:rFonts w:cs="Arial"/>
                <w:b/>
                <w:bCs/>
                <w:color w:val="000000"/>
              </w:rPr>
              <w:t>$</w:t>
            </w:r>
            <w:r w:rsidR="00B02413">
              <w:rPr>
                <w:rFonts w:cs="Arial"/>
                <w:b/>
                <w:bCs/>
                <w:noProof/>
                <w:color w:val="000000"/>
                <w:highlight w:val="black"/>
              </w:rPr>
              <w:t>'''''''''''''''''''''</w:t>
            </w:r>
          </w:p>
        </w:tc>
        <w:tc>
          <w:tcPr>
            <w:tcW w:w="701" w:type="pct"/>
            <w:vAlign w:val="center"/>
          </w:tcPr>
          <w:p w:rsidR="00246FDD" w:rsidRPr="003639A6" w:rsidRDefault="00246FDD" w:rsidP="008E2D65">
            <w:pPr>
              <w:pStyle w:val="Tabletext"/>
              <w:jc w:val="center"/>
              <w:rPr>
                <w:bCs/>
                <w:color w:val="000000"/>
              </w:rPr>
            </w:pPr>
            <w:r>
              <w:rPr>
                <w:rFonts w:cs="Arial"/>
                <w:b/>
                <w:bCs/>
                <w:color w:val="000000"/>
              </w:rPr>
              <w:t>$</w:t>
            </w:r>
            <w:r w:rsidR="00B02413">
              <w:rPr>
                <w:rFonts w:cs="Arial"/>
                <w:b/>
                <w:bCs/>
                <w:noProof/>
                <w:color w:val="000000"/>
                <w:highlight w:val="black"/>
              </w:rPr>
              <w:t>''''''''''''''''''''</w:t>
            </w:r>
          </w:p>
        </w:tc>
      </w:tr>
    </w:tbl>
    <w:p w:rsidR="00246FDD" w:rsidRDefault="00246FDD" w:rsidP="00246FDD">
      <w:pPr>
        <w:pStyle w:val="TableFooter"/>
        <w:tabs>
          <w:tab w:val="left" w:pos="142"/>
        </w:tabs>
        <w:ind w:left="142" w:hanging="142"/>
      </w:pPr>
      <w:proofErr w:type="gramStart"/>
      <w:r w:rsidRPr="003639A6">
        <w:rPr>
          <w:vertAlign w:val="superscript"/>
        </w:rPr>
        <w:t>a</w:t>
      </w:r>
      <w:proofErr w:type="gramEnd"/>
      <w:r>
        <w:tab/>
        <w:t xml:space="preserve">Based on the number of patient-months on </w:t>
      </w:r>
      <w:proofErr w:type="spellStart"/>
      <w:r>
        <w:t>apalutamide</w:t>
      </w:r>
      <w:proofErr w:type="spellEnd"/>
      <w:r>
        <w:t xml:space="preserve"> therapy each year multiplied by the </w:t>
      </w:r>
      <w:r w:rsidR="00B02413">
        <w:rPr>
          <w:noProof/>
          <w:color w:val="000000"/>
          <w:highlight w:val="black"/>
        </w:rPr>
        <w:t>'''''''''''</w:t>
      </w:r>
      <w:r>
        <w:t xml:space="preserve"> scripts per month with a dose intensity of </w:t>
      </w:r>
      <w:r w:rsidR="00B02413">
        <w:rPr>
          <w:noProof/>
          <w:color w:val="000000"/>
          <w:highlight w:val="black"/>
        </w:rPr>
        <w:t>''''''''''''</w:t>
      </w:r>
      <w:r>
        <w:t>%</w:t>
      </w:r>
      <w:r w:rsidRPr="003639A6">
        <w:t xml:space="preserve"> as estimated by the submission.</w:t>
      </w:r>
    </w:p>
    <w:p w:rsidR="00246FDD" w:rsidRDefault="00246FDD" w:rsidP="00246FDD">
      <w:pPr>
        <w:pStyle w:val="TableFooter"/>
        <w:rPr>
          <w:rStyle w:val="CommentReference"/>
        </w:rPr>
      </w:pPr>
      <w:r>
        <w:t xml:space="preserve">Source: Table 4.5, p353, Table 4.6, p354, </w:t>
      </w:r>
      <w:r w:rsidRPr="00945E21">
        <w:t>Table</w:t>
      </w:r>
      <w:r>
        <w:t xml:space="preserve"> 4.8, p356, Table 4.21, p378 of the submission and Excel workbook ‘</w:t>
      </w:r>
      <w:proofErr w:type="spellStart"/>
      <w:r>
        <w:t>Apalutamide</w:t>
      </w:r>
      <w:proofErr w:type="spellEnd"/>
      <w:r>
        <w:t xml:space="preserve"> m0CRPC financial estimates model Years 1 to 6’.</w:t>
      </w:r>
    </w:p>
    <w:p w:rsidR="00246FDD" w:rsidRPr="00345E4E" w:rsidRDefault="00345E4E" w:rsidP="00345E4E">
      <w:pPr>
        <w:pStyle w:val="TableFooter"/>
        <w:spacing w:before="120" w:after="120"/>
        <w:rPr>
          <w:rFonts w:asciiTheme="minorHAnsi" w:hAnsiTheme="minorHAnsi" w:cstheme="minorHAnsi"/>
          <w:sz w:val="24"/>
        </w:rPr>
      </w:pPr>
      <w:r>
        <w:rPr>
          <w:rFonts w:asciiTheme="minorHAnsi" w:hAnsiTheme="minorHAnsi" w:cstheme="minorHAnsi"/>
          <w:sz w:val="24"/>
        </w:rPr>
        <w:t xml:space="preserve">The redacted table shows that at Year 6 the estimated number of patients was less than 10,000 per year and the net cost to the PBS would be $60 - $100 million per year. </w:t>
      </w:r>
    </w:p>
    <w:p w:rsidR="00246FDD" w:rsidRPr="00DF0507" w:rsidRDefault="008871F5" w:rsidP="00246FDD">
      <w:pPr>
        <w:pStyle w:val="ListParagraph"/>
        <w:numPr>
          <w:ilvl w:val="1"/>
          <w:numId w:val="3"/>
        </w:numPr>
      </w:pPr>
      <w:r>
        <w:t xml:space="preserve">At year 5, the estimated number of patients was </w:t>
      </w:r>
      <w:r w:rsidR="00B02413">
        <w:rPr>
          <w:noProof/>
          <w:color w:val="000000"/>
          <w:highlight w:val="black"/>
        </w:rPr>
        <w:t>''''''''''</w:t>
      </w:r>
      <w:r>
        <w:t xml:space="preserve">. Due to a large number of </w:t>
      </w:r>
      <w:r w:rsidR="00A5571E">
        <w:t xml:space="preserve">existing </w:t>
      </w:r>
      <w:r>
        <w:t xml:space="preserve">prevalent patients the estimated number of patients in year 1 was </w:t>
      </w:r>
      <w:r w:rsidR="00B02413">
        <w:rPr>
          <w:noProof/>
          <w:color w:val="000000"/>
          <w:highlight w:val="black"/>
        </w:rPr>
        <w:t>''''''''''''</w:t>
      </w:r>
      <w:r>
        <w:t xml:space="preserve">. </w:t>
      </w:r>
      <w:r w:rsidR="00084F20">
        <w:t>In the pre-PBAC response, t</w:t>
      </w:r>
      <w:r>
        <w:t xml:space="preserve">his was reduced to </w:t>
      </w:r>
      <w:r w:rsidR="00B02413">
        <w:rPr>
          <w:noProof/>
          <w:color w:val="000000"/>
          <w:highlight w:val="black"/>
        </w:rPr>
        <w:t>''''''''''</w:t>
      </w:r>
      <w:r>
        <w:t xml:space="preserve"> patients in year 5 and </w:t>
      </w:r>
      <w:r w:rsidR="00B02413">
        <w:rPr>
          <w:noProof/>
          <w:color w:val="000000"/>
          <w:highlight w:val="black"/>
        </w:rPr>
        <w:t>''''''''''''</w:t>
      </w:r>
      <w:r w:rsidR="00A5571E">
        <w:t xml:space="preserve"> in year 1 </w:t>
      </w:r>
      <w:r>
        <w:t>once the 5% of patients not meeting th</w:t>
      </w:r>
      <w:r w:rsidR="00A5571E">
        <w:t xml:space="preserve">e WHO </w:t>
      </w:r>
      <w:r w:rsidR="00BC2910">
        <w:t>performance</w:t>
      </w:r>
      <w:r w:rsidR="00A5571E">
        <w:t xml:space="preserve"> status criterion</w:t>
      </w:r>
      <w:r>
        <w:t xml:space="preserve"> were excluded. </w:t>
      </w:r>
      <w:r w:rsidR="00246FDD" w:rsidRPr="00DF0507">
        <w:t xml:space="preserve">The </w:t>
      </w:r>
      <w:r>
        <w:t xml:space="preserve">revised </w:t>
      </w:r>
      <w:r w:rsidR="00246FDD" w:rsidRPr="00DF0507">
        <w:t xml:space="preserve">estimated net cost to the PBS/RPBS over the first </w:t>
      </w:r>
      <w:r>
        <w:t xml:space="preserve">5 years of listing was </w:t>
      </w:r>
      <w:r w:rsidR="00B96AF3">
        <w:t xml:space="preserve">more than </w:t>
      </w:r>
      <w:r>
        <w:t>$</w:t>
      </w:r>
      <w:r w:rsidR="00B96AF3">
        <w:t>100</w:t>
      </w:r>
      <w:r>
        <w:t xml:space="preserve"> million. </w:t>
      </w:r>
    </w:p>
    <w:p w:rsidR="00DF0507" w:rsidRPr="00DF0507" w:rsidRDefault="00DF0507" w:rsidP="00DF0507">
      <w:pPr>
        <w:pStyle w:val="ListParagraph"/>
        <w:numPr>
          <w:ilvl w:val="1"/>
          <w:numId w:val="3"/>
        </w:numPr>
      </w:pPr>
      <w:r w:rsidRPr="00DF0507">
        <w:lastRenderedPageBreak/>
        <w:t>DUSC consider</w:t>
      </w:r>
      <w:r w:rsidR="00050DFE">
        <w:t>ed</w:t>
      </w:r>
      <w:r w:rsidRPr="00DF0507">
        <w:t xml:space="preserve"> the estimates presented in the submission to be highly uncertain and likely to be underestimated. The main issues </w:t>
      </w:r>
      <w:r w:rsidR="00050DFE">
        <w:t>were</w:t>
      </w:r>
      <w:r w:rsidRPr="00DF0507">
        <w:t>:</w:t>
      </w:r>
    </w:p>
    <w:p w:rsidR="00DF0507" w:rsidRPr="00DF0507" w:rsidRDefault="00DF0507" w:rsidP="00DF0507">
      <w:pPr>
        <w:pStyle w:val="Bulletpoints"/>
        <w:ind w:left="964" w:hanging="284"/>
      </w:pPr>
      <w:r w:rsidRPr="00DF0507">
        <w:t>The assumptions and data informing the estimates of incidence and prevalence of m0CRPC could not be fully verified.</w:t>
      </w:r>
      <w:r w:rsidR="004B7F64" w:rsidRPr="004B7F64">
        <w:t xml:space="preserve"> </w:t>
      </w:r>
      <w:r w:rsidR="004B7F64">
        <w:t>The DUSC presented alternative models based on 1) a prevalence approach and 2) forecasting the treated population based on the PBS analysis cohort provided in the submission</w:t>
      </w:r>
      <w:r w:rsidR="00084F20">
        <w:t>;</w:t>
      </w:r>
      <w:r w:rsidR="004B7F64">
        <w:t xml:space="preserve"> both resulted in higher estimates of the financial impact</w:t>
      </w:r>
      <w:r w:rsidR="00BC2910">
        <w:t xml:space="preserve"> than those presented in the submission</w:t>
      </w:r>
      <w:r w:rsidR="004B7F64">
        <w:t xml:space="preserve">. The estimated PBS expenditure on </w:t>
      </w:r>
      <w:proofErr w:type="spellStart"/>
      <w:r w:rsidR="004B7F64">
        <w:t>apalutamide</w:t>
      </w:r>
      <w:proofErr w:type="spellEnd"/>
      <w:r w:rsidR="004B7F64">
        <w:t xml:space="preserve"> increased to </w:t>
      </w:r>
      <w:r w:rsidR="00B96AF3">
        <w:t xml:space="preserve">more than </w:t>
      </w:r>
      <w:r w:rsidR="004B7F64">
        <w:t>$</w:t>
      </w:r>
      <w:r w:rsidR="00B96AF3">
        <w:t>100</w:t>
      </w:r>
      <w:r w:rsidR="004B7F64">
        <w:t xml:space="preserve"> million </w:t>
      </w:r>
      <w:r w:rsidR="0018463D">
        <w:t>over 5 years (</w:t>
      </w:r>
      <w:r w:rsidR="00B96AF3">
        <w:t xml:space="preserve">more than </w:t>
      </w:r>
      <w:r w:rsidR="0018463D">
        <w:t>$</w:t>
      </w:r>
      <w:r w:rsidR="00B96AF3">
        <w:t>100</w:t>
      </w:r>
      <w:r w:rsidR="0018463D">
        <w:t xml:space="preserve"> million over 6 years) for approach 1 and </w:t>
      </w:r>
      <w:r w:rsidR="004B7F64">
        <w:t xml:space="preserve">to </w:t>
      </w:r>
      <w:r w:rsidR="00B96AF3">
        <w:t xml:space="preserve">more than </w:t>
      </w:r>
      <w:r w:rsidR="0018463D">
        <w:t>$</w:t>
      </w:r>
      <w:r w:rsidR="00B96AF3">
        <w:t>100</w:t>
      </w:r>
      <w:r w:rsidR="0018463D">
        <w:t xml:space="preserve"> million over 5 years (</w:t>
      </w:r>
      <w:r w:rsidR="00B96AF3">
        <w:t>more than</w:t>
      </w:r>
      <w:r w:rsidR="0018463D">
        <w:t>$</w:t>
      </w:r>
      <w:r w:rsidR="00B96AF3">
        <w:t>100</w:t>
      </w:r>
      <w:r w:rsidR="004B7F64">
        <w:t xml:space="preserve"> million over 6 years</w:t>
      </w:r>
      <w:r w:rsidR="0018463D">
        <w:t>)</w:t>
      </w:r>
      <w:r w:rsidR="004B7F64">
        <w:t xml:space="preserve"> </w:t>
      </w:r>
      <w:r w:rsidR="007364FD">
        <w:t xml:space="preserve">for approach 2, </w:t>
      </w:r>
      <w:r w:rsidR="004B7F64">
        <w:t>compared with the submission’</w:t>
      </w:r>
      <w:r w:rsidR="0018463D">
        <w:t xml:space="preserve">s estimate of </w:t>
      </w:r>
      <w:r w:rsidR="00B96AF3">
        <w:t xml:space="preserve">more than </w:t>
      </w:r>
      <w:r w:rsidR="0018463D">
        <w:t>$</w:t>
      </w:r>
      <w:r w:rsidR="00B96AF3">
        <w:t xml:space="preserve">100 </w:t>
      </w:r>
      <w:r w:rsidR="0018463D">
        <w:t>million over 5</w:t>
      </w:r>
      <w:r w:rsidR="004B7F64">
        <w:t xml:space="preserve"> years</w:t>
      </w:r>
      <w:r w:rsidR="0018463D">
        <w:t xml:space="preserve"> (</w:t>
      </w:r>
      <w:r w:rsidR="00B96AF3">
        <w:t xml:space="preserve">more than </w:t>
      </w:r>
      <w:r w:rsidR="0018463D">
        <w:t>$</w:t>
      </w:r>
      <w:r w:rsidR="00B96AF3">
        <w:t>100</w:t>
      </w:r>
      <w:r w:rsidR="0018463D">
        <w:t xml:space="preserve"> million over 6</w:t>
      </w:r>
      <w:r w:rsidR="004B7F64">
        <w:t xml:space="preserve"> years).</w:t>
      </w:r>
    </w:p>
    <w:p w:rsidR="00DF0507" w:rsidRPr="00DF0507" w:rsidRDefault="00DF0507" w:rsidP="00DF0507">
      <w:pPr>
        <w:pStyle w:val="Bulletpoints"/>
        <w:ind w:left="964" w:hanging="284"/>
      </w:pPr>
      <w:r w:rsidRPr="00DF0507">
        <w:t xml:space="preserve">Time on therapy with </w:t>
      </w:r>
      <w:proofErr w:type="spellStart"/>
      <w:r w:rsidRPr="00DF0507">
        <w:t>apalutamide</w:t>
      </w:r>
      <w:proofErr w:type="spellEnd"/>
      <w:r w:rsidRPr="00DF0507">
        <w:t xml:space="preserve"> was modelled based on metastatic free survival data from the SPARTAN trial. It is uncertain whether this trial-based assumption will reflect use in clinical practice.</w:t>
      </w:r>
    </w:p>
    <w:p w:rsidR="00DF0507" w:rsidRPr="00DF0507" w:rsidRDefault="00DF0507" w:rsidP="00DF0507">
      <w:pPr>
        <w:pStyle w:val="Bulletpoints"/>
        <w:ind w:left="964" w:hanging="284"/>
      </w:pPr>
      <w:r w:rsidRPr="00DF0507">
        <w:t xml:space="preserve">Usage of </w:t>
      </w:r>
      <w:proofErr w:type="spellStart"/>
      <w:r w:rsidRPr="00DF0507">
        <w:t>apalutamide</w:t>
      </w:r>
      <w:proofErr w:type="spellEnd"/>
      <w:r w:rsidRPr="00DF0507">
        <w:t xml:space="preserve"> and change in usage of PBS-listed drugs and MBS items were based on outcomes from the economic model. Given that the economic model applied immature data from the SPARTAN trial in conjunction with data from an </w:t>
      </w:r>
      <w:proofErr w:type="spellStart"/>
      <w:r w:rsidRPr="00DF0507">
        <w:t>abiraterone</w:t>
      </w:r>
      <w:proofErr w:type="spellEnd"/>
      <w:r w:rsidRPr="00DF0507">
        <w:t xml:space="preserve"> trial for the metastatic CRPC health state, the model outcomes may not reflect the impact of </w:t>
      </w:r>
      <w:proofErr w:type="spellStart"/>
      <w:r w:rsidRPr="00DF0507">
        <w:t>apalutamide</w:t>
      </w:r>
      <w:proofErr w:type="spellEnd"/>
      <w:r w:rsidRPr="00DF0507">
        <w:t xml:space="preserve"> in clinical practice. Hence, the change in usage for other agents as estimated in the submission may not represent what will occur in clinical practice.</w:t>
      </w:r>
    </w:p>
    <w:p w:rsidR="00E04781" w:rsidRDefault="00DF0507" w:rsidP="00E04781">
      <w:pPr>
        <w:pStyle w:val="Bulletpoints"/>
        <w:spacing w:after="160"/>
        <w:ind w:left="964" w:hanging="284"/>
      </w:pPr>
      <w:r w:rsidRPr="00DF0507">
        <w:t xml:space="preserve">Compliance to </w:t>
      </w:r>
      <w:proofErr w:type="spellStart"/>
      <w:r w:rsidRPr="00DF0507">
        <w:t>apalutamide</w:t>
      </w:r>
      <w:proofErr w:type="spellEnd"/>
      <w:r w:rsidRPr="00DF0507">
        <w:t xml:space="preserve"> therapy was likely to have been overestimated. The submission applied a </w:t>
      </w:r>
      <w:r w:rsidRPr="00A9390D">
        <w:t xml:space="preserve">dose intensity of </w:t>
      </w:r>
      <w:r w:rsidR="00B02413">
        <w:rPr>
          <w:noProof/>
          <w:color w:val="000000"/>
          <w:highlight w:val="black"/>
        </w:rPr>
        <w:t>'''''''''''</w:t>
      </w:r>
      <w:r w:rsidRPr="00A9390D">
        <w:t>% sourced</w:t>
      </w:r>
      <w:r w:rsidRPr="00DF0507">
        <w:t xml:space="preserve"> from the SPARTAN trial. While the SPARTAN trial had a considerable proportion of </w:t>
      </w:r>
      <w:proofErr w:type="spellStart"/>
      <w:r w:rsidRPr="00DF0507">
        <w:t>apalutamide</w:t>
      </w:r>
      <w:proofErr w:type="spellEnd"/>
      <w:r w:rsidRPr="00DF0507">
        <w:t xml:space="preserve">-treated patients with </w:t>
      </w:r>
      <w:r w:rsidRPr="00A9390D">
        <w:t>dose interruptions (75%) or dose reduction (20%),</w:t>
      </w:r>
      <w:r w:rsidRPr="00DF0507">
        <w:t xml:space="preserve"> the submission did not provide detail on the calculation of this dose intensity and the usage of </w:t>
      </w:r>
      <w:proofErr w:type="spellStart"/>
      <w:r w:rsidRPr="00DF0507">
        <w:t>apalutamide</w:t>
      </w:r>
      <w:proofErr w:type="spellEnd"/>
      <w:r w:rsidRPr="00DF0507">
        <w:t xml:space="preserve"> in clinical practice will be difficult to estimate. The dosage requires four tablets; older persons may not be able to readily take this regimen. </w:t>
      </w:r>
    </w:p>
    <w:p w:rsidR="00050DFE" w:rsidRPr="00DF0507" w:rsidRDefault="00050DFE" w:rsidP="00050DFE">
      <w:pPr>
        <w:pStyle w:val="ListParagraph"/>
        <w:numPr>
          <w:ilvl w:val="1"/>
          <w:numId w:val="3"/>
        </w:numPr>
      </w:pPr>
      <w:r>
        <w:t xml:space="preserve">The pre-PBAC </w:t>
      </w:r>
      <w:r w:rsidR="004B7F64">
        <w:t xml:space="preserve">response </w:t>
      </w:r>
      <w:r>
        <w:t xml:space="preserve">acknowledged the uncertainty in the financial estimates and proposed a risk share </w:t>
      </w:r>
      <w:r w:rsidR="004E499E">
        <w:t>arrangement</w:t>
      </w:r>
      <w:r>
        <w:t xml:space="preserve"> </w:t>
      </w:r>
      <w:r w:rsidR="004E499E">
        <w:t xml:space="preserve">(RSA) with </w:t>
      </w:r>
      <w:r w:rsidR="00B02413">
        <w:rPr>
          <w:noProof/>
          <w:color w:val="000000"/>
          <w:highlight w:val="black"/>
        </w:rPr>
        <w:t>''''''''</w:t>
      </w:r>
      <w:r w:rsidR="004E499E">
        <w:t xml:space="preserve">% subsidisation for expenditure over the proposed caps. The caps for the proposed RSA were </w:t>
      </w:r>
      <w:r>
        <w:t xml:space="preserve">based on estimates in the submission after removing </w:t>
      </w:r>
      <w:r w:rsidR="00B02413">
        <w:rPr>
          <w:noProof/>
          <w:color w:val="000000"/>
          <w:highlight w:val="black"/>
        </w:rPr>
        <w:t>'''</w:t>
      </w:r>
      <w:r>
        <w:t xml:space="preserve">% of patients </w:t>
      </w:r>
      <w:r w:rsidR="004E499E">
        <w:t xml:space="preserve">to account for patients </w:t>
      </w:r>
      <w:r>
        <w:t>who do not have a WHO performance score of 0 or 1</w:t>
      </w:r>
      <w:r w:rsidR="004E499E">
        <w:t xml:space="preserve">, and then removing an additional </w:t>
      </w:r>
      <w:r w:rsidR="00B02413">
        <w:rPr>
          <w:noProof/>
          <w:color w:val="000000"/>
          <w:highlight w:val="black"/>
        </w:rPr>
        <w:t>'''''</w:t>
      </w:r>
      <w:r w:rsidR="00E04781">
        <w:t xml:space="preserve">% of </w:t>
      </w:r>
      <w:proofErr w:type="spellStart"/>
      <w:r w:rsidR="00E04781">
        <w:t>apa</w:t>
      </w:r>
      <w:r w:rsidR="004E499E">
        <w:t>l</w:t>
      </w:r>
      <w:r w:rsidR="00E04781">
        <w:t>u</w:t>
      </w:r>
      <w:r w:rsidR="004E499E">
        <w:t>tamide</w:t>
      </w:r>
      <w:proofErr w:type="spellEnd"/>
      <w:r w:rsidR="004E499E">
        <w:t xml:space="preserve"> units</w:t>
      </w:r>
      <w:r>
        <w:t xml:space="preserve">. </w:t>
      </w:r>
      <w:r w:rsidR="004E499E">
        <w:t xml:space="preserve">The resulting cap equates to </w:t>
      </w:r>
      <w:r w:rsidR="00B96AF3">
        <w:t xml:space="preserve">more than </w:t>
      </w:r>
      <w:r w:rsidR="004E499E">
        <w:t>$</w:t>
      </w:r>
      <w:r w:rsidR="00B96AF3">
        <w:t>100</w:t>
      </w:r>
      <w:r w:rsidR="004E499E">
        <w:t xml:space="preserve"> million over 5 years.</w:t>
      </w:r>
    </w:p>
    <w:p w:rsidR="00576972" w:rsidRPr="00C9624D" w:rsidRDefault="00576972" w:rsidP="00FD3E23">
      <w:pPr>
        <w:pStyle w:val="Heading2"/>
      </w:pPr>
      <w:bookmarkStart w:id="15" w:name="_Toc522226937"/>
      <w:r w:rsidRPr="00C9624D">
        <w:t>Quality Use of Medicines</w:t>
      </w:r>
      <w:bookmarkEnd w:id="15"/>
    </w:p>
    <w:p w:rsidR="00246FDD" w:rsidRDefault="00C52D75" w:rsidP="00DF0507">
      <w:pPr>
        <w:pStyle w:val="ListParagraph"/>
        <w:numPr>
          <w:ilvl w:val="1"/>
          <w:numId w:val="3"/>
        </w:numPr>
      </w:pPr>
      <w:r>
        <w:t xml:space="preserve">The submission provided a description of activities to support the quality use of medicine. The submission listed factors to ensure the quality use of </w:t>
      </w:r>
      <w:proofErr w:type="spellStart"/>
      <w:r>
        <w:t>apalutamide</w:t>
      </w:r>
      <w:proofErr w:type="spellEnd"/>
      <w:r>
        <w:t xml:space="preserve"> and provided discussion of groups of people who play a role in the appropriate use of </w:t>
      </w:r>
      <w:proofErr w:type="spellStart"/>
      <w:r>
        <w:t>apalutamide</w:t>
      </w:r>
      <w:proofErr w:type="spellEnd"/>
      <w:r>
        <w:t xml:space="preserve"> (patients, prescribers and dispensers). The submission stated that each of these groups will be provided appropriate education, resources and support from the sponsor to promote appropriate prescribing and use of </w:t>
      </w:r>
      <w:proofErr w:type="spellStart"/>
      <w:r>
        <w:t>apalutamide</w:t>
      </w:r>
      <w:proofErr w:type="spellEnd"/>
      <w:r>
        <w:t>.</w:t>
      </w:r>
      <w:r w:rsidR="00246FDD" w:rsidRPr="00DF0507">
        <w:t xml:space="preserve"> </w:t>
      </w:r>
    </w:p>
    <w:p w:rsidR="00DF0507" w:rsidRPr="00DF0507" w:rsidRDefault="00DF0507" w:rsidP="00DF0507">
      <w:pPr>
        <w:pStyle w:val="ListParagraph"/>
        <w:numPr>
          <w:ilvl w:val="1"/>
          <w:numId w:val="3"/>
        </w:numPr>
      </w:pPr>
      <w:r>
        <w:lastRenderedPageBreak/>
        <w:t>DUSC considered t</w:t>
      </w:r>
      <w:r w:rsidRPr="00DF0507">
        <w:t xml:space="preserve">here is a likelihood of cross-resistance if </w:t>
      </w:r>
      <w:proofErr w:type="spellStart"/>
      <w:r w:rsidRPr="00DF0507">
        <w:t>abiraterone</w:t>
      </w:r>
      <w:proofErr w:type="spellEnd"/>
      <w:r w:rsidRPr="00DF0507">
        <w:t xml:space="preserve"> or enzalutamide are used sequentially after prior treatment with </w:t>
      </w:r>
      <w:proofErr w:type="spellStart"/>
      <w:r w:rsidRPr="00DF0507">
        <w:t>apalutamide</w:t>
      </w:r>
      <w:proofErr w:type="spellEnd"/>
      <w:r w:rsidRPr="00DF0507">
        <w:t xml:space="preserve">. </w:t>
      </w:r>
    </w:p>
    <w:p w:rsidR="00576972" w:rsidRPr="00246FDD" w:rsidRDefault="00246FDD" w:rsidP="00246FDD">
      <w:pPr>
        <w:pStyle w:val="ListParagraph"/>
        <w:ind w:left="709"/>
        <w:rPr>
          <w:rFonts w:asciiTheme="minorHAnsi" w:hAnsiTheme="minorHAnsi"/>
          <w:i/>
        </w:rPr>
      </w:pPr>
      <w:r w:rsidRPr="00525B39">
        <w:rPr>
          <w:rFonts w:asciiTheme="minorHAnsi" w:hAnsiTheme="minorHAnsi"/>
          <w:i/>
        </w:rPr>
        <w:t>For more detail on PBAC’s view, see section 7 PBAC outcome.</w:t>
      </w:r>
    </w:p>
    <w:p w:rsidR="008347F7" w:rsidRPr="007E287C" w:rsidRDefault="008347F7" w:rsidP="00FD3E23">
      <w:pPr>
        <w:pStyle w:val="Heading1"/>
        <w:rPr>
          <w:caps/>
        </w:rPr>
      </w:pPr>
      <w:r w:rsidRPr="007E287C">
        <w:t>PBAC Outcome</w:t>
      </w:r>
    </w:p>
    <w:p w:rsidR="008347F7" w:rsidRPr="00021CA2" w:rsidRDefault="006007A6" w:rsidP="00021CA2">
      <w:pPr>
        <w:widowControl w:val="0"/>
        <w:numPr>
          <w:ilvl w:val="1"/>
          <w:numId w:val="3"/>
        </w:numPr>
        <w:spacing w:after="120"/>
        <w:rPr>
          <w:rFonts w:asciiTheme="minorHAnsi" w:hAnsiTheme="minorHAnsi" w:cs="Arial"/>
          <w:bCs/>
          <w:snapToGrid w:val="0"/>
          <w:lang w:val="en-GB"/>
        </w:rPr>
      </w:pPr>
      <w:r>
        <w:t xml:space="preserve">The PBAC did not recommend the listing of </w:t>
      </w:r>
      <w:proofErr w:type="spellStart"/>
      <w:r>
        <w:t>apalutamide</w:t>
      </w:r>
      <w:proofErr w:type="spellEnd"/>
      <w:r>
        <w:t xml:space="preserve"> for treatment of non-metastatic castration-resistant prostate cancer. </w:t>
      </w:r>
      <w:r w:rsidR="003B0636">
        <w:t xml:space="preserve">The PBAC considered that </w:t>
      </w:r>
      <w:proofErr w:type="spellStart"/>
      <w:r w:rsidR="003B0636">
        <w:t>apalutamide</w:t>
      </w:r>
      <w:proofErr w:type="spellEnd"/>
      <w:r w:rsidR="003B0636">
        <w:t xml:space="preserve"> provided a substantial benefit to some patients in delaying metastases but the </w:t>
      </w:r>
      <w:r w:rsidR="00D133F3">
        <w:t xml:space="preserve">overall </w:t>
      </w:r>
      <w:r w:rsidR="003B0636">
        <w:t xml:space="preserve">survival benefit was uncertain. The PBAC advised that the incremental cost-effectiveness ratio </w:t>
      </w:r>
      <w:r w:rsidR="007364FD">
        <w:t xml:space="preserve">was underestimated </w:t>
      </w:r>
      <w:r w:rsidR="003B0636">
        <w:t xml:space="preserve">due to </w:t>
      </w:r>
      <w:r w:rsidR="007364FD">
        <w:t>the estimated gain in overall</w:t>
      </w:r>
      <w:r w:rsidR="003B0636">
        <w:t xml:space="preserve"> survival </w:t>
      </w:r>
      <w:r w:rsidR="007364FD">
        <w:t>being</w:t>
      </w:r>
      <w:r w:rsidR="003B0636">
        <w:t xml:space="preserve"> implausibly high in the economic analysis presented. </w:t>
      </w:r>
    </w:p>
    <w:p w:rsidR="001A7089" w:rsidRPr="001A7089" w:rsidRDefault="005B6BA9" w:rsidP="008347F7">
      <w:pPr>
        <w:widowControl w:val="0"/>
        <w:numPr>
          <w:ilvl w:val="1"/>
          <w:numId w:val="3"/>
        </w:numPr>
        <w:spacing w:after="120"/>
        <w:rPr>
          <w:rFonts w:asciiTheme="minorHAnsi" w:hAnsiTheme="minorHAnsi" w:cs="Arial"/>
          <w:bCs/>
          <w:snapToGrid w:val="0"/>
          <w:lang w:val="en-GB"/>
        </w:rPr>
      </w:pPr>
      <w:r>
        <w:rPr>
          <w:rFonts w:asciiTheme="minorHAnsi" w:hAnsiTheme="minorHAnsi" w:cs="Arial"/>
          <w:bCs/>
          <w:snapToGrid w:val="0"/>
          <w:lang w:val="en-GB"/>
        </w:rPr>
        <w:t>The PBAC noted that the restriction appropriately reflected the trial population</w:t>
      </w:r>
      <w:r w:rsidR="00E04781">
        <w:rPr>
          <w:rFonts w:asciiTheme="minorHAnsi" w:hAnsiTheme="minorHAnsi" w:cs="Arial"/>
          <w:bCs/>
          <w:snapToGrid w:val="0"/>
          <w:lang w:val="en-GB"/>
        </w:rPr>
        <w:t xml:space="preserve"> and was consistent with clinical guidelines</w:t>
      </w:r>
      <w:r>
        <w:rPr>
          <w:rFonts w:asciiTheme="minorHAnsi" w:hAnsiTheme="minorHAnsi" w:cs="Arial"/>
          <w:bCs/>
          <w:snapToGrid w:val="0"/>
          <w:lang w:val="en-GB"/>
        </w:rPr>
        <w:t xml:space="preserve">. </w:t>
      </w:r>
      <w:r w:rsidR="001A7089">
        <w:rPr>
          <w:rFonts w:asciiTheme="minorHAnsi" w:hAnsiTheme="minorHAnsi" w:cs="Arial"/>
          <w:bCs/>
          <w:snapToGrid w:val="0"/>
          <w:lang w:val="en-GB"/>
        </w:rPr>
        <w:t xml:space="preserve">The PBAC agreed with ESC that it was appropriate to add a </w:t>
      </w:r>
      <w:r w:rsidR="001A7089">
        <w:t xml:space="preserve">clinical criterion </w:t>
      </w:r>
      <w:r w:rsidR="001A7089" w:rsidRPr="00FA55BD">
        <w:t>specify</w:t>
      </w:r>
      <w:r w:rsidR="001A7089">
        <w:t>ing</w:t>
      </w:r>
      <w:r w:rsidR="001A7089" w:rsidRPr="00FA55BD">
        <w:t xml:space="preserve"> that patients must have a WHO performance status of 1 or less, consistent with patients included in the SPARTAN trial.</w:t>
      </w:r>
      <w:r w:rsidR="001A7089">
        <w:t xml:space="preserve"> </w:t>
      </w:r>
    </w:p>
    <w:p w:rsidR="006E19C5" w:rsidRPr="006E19C5" w:rsidRDefault="00D0184C" w:rsidP="008347F7">
      <w:pPr>
        <w:widowControl w:val="0"/>
        <w:numPr>
          <w:ilvl w:val="1"/>
          <w:numId w:val="3"/>
        </w:numPr>
        <w:spacing w:after="120"/>
        <w:rPr>
          <w:rFonts w:asciiTheme="minorHAnsi" w:hAnsiTheme="minorHAnsi" w:cs="Arial"/>
          <w:bCs/>
          <w:snapToGrid w:val="0"/>
          <w:lang w:val="en-GB"/>
        </w:rPr>
      </w:pPr>
      <w:r>
        <w:t xml:space="preserve">The PBAC noted that treatment of high risk m0CRPC patients </w:t>
      </w:r>
      <w:r w:rsidR="00B05104">
        <w:t xml:space="preserve">with </w:t>
      </w:r>
      <w:proofErr w:type="spellStart"/>
      <w:r w:rsidR="00B05104">
        <w:t>apalutamide</w:t>
      </w:r>
      <w:proofErr w:type="spellEnd"/>
      <w:r w:rsidR="00B05104">
        <w:t xml:space="preserve"> is consistent with a trend in using active treatments earlier in the pathway.</w:t>
      </w:r>
      <w:r>
        <w:t xml:space="preserve"> The PBAC noted that the populations in the SPARTAN trial for </w:t>
      </w:r>
      <w:proofErr w:type="spellStart"/>
      <w:r>
        <w:t>apalutamide</w:t>
      </w:r>
      <w:proofErr w:type="spellEnd"/>
      <w:r>
        <w:t xml:space="preserve"> and the PROSPER trial for enzalutamide comprised of patients with rising PSA without detectable metastases on standard imaging</w:t>
      </w:r>
      <w:r w:rsidR="00B05104">
        <w:t xml:space="preserve"> and</w:t>
      </w:r>
      <w:r>
        <w:t xml:space="preserve"> considered that a PSMA scan may show that these patients actually have early occult metastatic disease not detectable on standard imaging. </w:t>
      </w:r>
    </w:p>
    <w:p w:rsidR="008347F7" w:rsidRPr="007A4944" w:rsidRDefault="001A7089" w:rsidP="008347F7">
      <w:pPr>
        <w:widowControl w:val="0"/>
        <w:numPr>
          <w:ilvl w:val="1"/>
          <w:numId w:val="3"/>
        </w:numPr>
        <w:spacing w:after="120"/>
        <w:rPr>
          <w:rFonts w:asciiTheme="minorHAnsi" w:hAnsiTheme="minorHAnsi" w:cs="Arial"/>
          <w:bCs/>
          <w:snapToGrid w:val="0"/>
          <w:lang w:val="en-GB"/>
        </w:rPr>
      </w:pPr>
      <w:r>
        <w:t xml:space="preserve">The PBAC considered the natural history of prostate cancer suggests that over time patients are likely to develop </w:t>
      </w:r>
      <w:r w:rsidR="003E07E1">
        <w:t>disease progression despite novel hormonal therapies and the impac</w:t>
      </w:r>
      <w:r w:rsidR="00AB2B6C">
        <w:t>t</w:t>
      </w:r>
      <w:r w:rsidR="006E19C5">
        <w:t xml:space="preserve"> </w:t>
      </w:r>
      <w:r w:rsidR="003E07E1">
        <w:t xml:space="preserve">of </w:t>
      </w:r>
      <w:r>
        <w:t xml:space="preserve">resistance to subsequent treatments </w:t>
      </w:r>
      <w:r w:rsidR="00AB2B6C">
        <w:t xml:space="preserve">on OS </w:t>
      </w:r>
      <w:r w:rsidR="006E19C5">
        <w:t>is uncertain.</w:t>
      </w:r>
      <w:r>
        <w:t xml:space="preserve"> The PBAC considered that the</w:t>
      </w:r>
      <w:r w:rsidR="003E07E1">
        <w:t>re is insufficient data demonstrating the</w:t>
      </w:r>
      <w:r>
        <w:t xml:space="preserve"> </w:t>
      </w:r>
      <w:r w:rsidR="00B05104">
        <w:t xml:space="preserve">degree of </w:t>
      </w:r>
      <w:r>
        <w:t xml:space="preserve">efficacy of </w:t>
      </w:r>
      <w:proofErr w:type="spellStart"/>
      <w:r>
        <w:t>abiraterone</w:t>
      </w:r>
      <w:proofErr w:type="spellEnd"/>
      <w:r>
        <w:t xml:space="preserve"> and enzalutamide after </w:t>
      </w:r>
      <w:proofErr w:type="spellStart"/>
      <w:r w:rsidRPr="007A4944">
        <w:t>apalutamide</w:t>
      </w:r>
      <w:proofErr w:type="spellEnd"/>
      <w:r w:rsidR="00D133F3">
        <w:t>,</w:t>
      </w:r>
      <w:r w:rsidRPr="007A4944">
        <w:t xml:space="preserve"> </w:t>
      </w:r>
      <w:r w:rsidR="003E07E1" w:rsidRPr="007A4944">
        <w:t xml:space="preserve">and the most appropriate </w:t>
      </w:r>
      <w:r w:rsidRPr="007A4944">
        <w:t xml:space="preserve">treatment </w:t>
      </w:r>
      <w:r w:rsidR="003E07E1" w:rsidRPr="007A4944">
        <w:t>pathway remains</w:t>
      </w:r>
      <w:r w:rsidRPr="007A4944">
        <w:t xml:space="preserve"> uncertain.</w:t>
      </w:r>
    </w:p>
    <w:p w:rsidR="008347F7" w:rsidRPr="00903C7F" w:rsidRDefault="00B05104" w:rsidP="008347F7">
      <w:pPr>
        <w:widowControl w:val="0"/>
        <w:numPr>
          <w:ilvl w:val="1"/>
          <w:numId w:val="3"/>
        </w:numPr>
        <w:spacing w:after="120"/>
        <w:rPr>
          <w:rFonts w:asciiTheme="minorHAnsi" w:hAnsiTheme="minorHAnsi" w:cs="Arial"/>
          <w:bCs/>
          <w:snapToGrid w:val="0"/>
          <w:lang w:val="en-GB"/>
        </w:rPr>
      </w:pPr>
      <w:r w:rsidRPr="007A4944">
        <w:rPr>
          <w:rFonts w:asciiTheme="minorHAnsi" w:hAnsiTheme="minorHAnsi" w:cs="Arial"/>
          <w:bCs/>
          <w:snapToGrid w:val="0"/>
          <w:lang w:val="en-GB"/>
        </w:rPr>
        <w:t>The PBAC considered that watchful waiting was the appropriate comparator</w:t>
      </w:r>
      <w:r w:rsidR="004902DA" w:rsidRPr="007A4944">
        <w:rPr>
          <w:rFonts w:asciiTheme="minorHAnsi" w:hAnsiTheme="minorHAnsi" w:cs="Arial"/>
          <w:bCs/>
          <w:snapToGrid w:val="0"/>
          <w:lang w:val="en-GB"/>
        </w:rPr>
        <w:t xml:space="preserve"> as patients with m0CRPC are currently managed with observation on standard ADT and are </w:t>
      </w:r>
      <w:r w:rsidR="003F347A" w:rsidRPr="007A4944">
        <w:rPr>
          <w:rFonts w:asciiTheme="minorHAnsi" w:hAnsiTheme="minorHAnsi" w:cs="Arial"/>
          <w:bCs/>
          <w:snapToGrid w:val="0"/>
          <w:lang w:val="en-GB"/>
        </w:rPr>
        <w:t>not treated</w:t>
      </w:r>
      <w:r w:rsidR="004902DA" w:rsidRPr="007A4944">
        <w:rPr>
          <w:rFonts w:asciiTheme="minorHAnsi" w:hAnsiTheme="minorHAnsi" w:cs="Arial"/>
          <w:bCs/>
          <w:snapToGrid w:val="0"/>
          <w:lang w:val="en-GB"/>
        </w:rPr>
        <w:t xml:space="preserve"> with docetaxel</w:t>
      </w:r>
      <w:r w:rsidR="004902DA">
        <w:rPr>
          <w:rFonts w:asciiTheme="minorHAnsi" w:hAnsiTheme="minorHAnsi" w:cs="Arial"/>
          <w:bCs/>
          <w:snapToGrid w:val="0"/>
          <w:lang w:val="en-GB"/>
        </w:rPr>
        <w:t xml:space="preserve">, enzalutamide or </w:t>
      </w:r>
      <w:proofErr w:type="spellStart"/>
      <w:r w:rsidR="004902DA">
        <w:rPr>
          <w:rFonts w:asciiTheme="minorHAnsi" w:hAnsiTheme="minorHAnsi" w:cs="Arial"/>
          <w:bCs/>
          <w:snapToGrid w:val="0"/>
          <w:lang w:val="en-GB"/>
        </w:rPr>
        <w:t>abiraterone</w:t>
      </w:r>
      <w:proofErr w:type="spellEnd"/>
      <w:r w:rsidR="004902DA">
        <w:rPr>
          <w:rFonts w:asciiTheme="minorHAnsi" w:hAnsiTheme="minorHAnsi" w:cs="Arial"/>
          <w:bCs/>
          <w:snapToGrid w:val="0"/>
          <w:lang w:val="en-GB"/>
        </w:rPr>
        <w:t xml:space="preserve"> until there is evidence of metastatic disease</w:t>
      </w:r>
      <w:r>
        <w:rPr>
          <w:rFonts w:asciiTheme="minorHAnsi" w:hAnsiTheme="minorHAnsi" w:cs="Arial"/>
          <w:bCs/>
          <w:snapToGrid w:val="0"/>
          <w:lang w:val="en-GB"/>
        </w:rPr>
        <w:t xml:space="preserve">. </w:t>
      </w:r>
      <w:r w:rsidR="009D5C6F">
        <w:rPr>
          <w:rFonts w:asciiTheme="minorHAnsi" w:hAnsiTheme="minorHAnsi" w:cs="Arial"/>
          <w:bCs/>
          <w:snapToGrid w:val="0"/>
          <w:lang w:val="en-GB"/>
        </w:rPr>
        <w:t xml:space="preserve">The PBAC also </w:t>
      </w:r>
      <w:r w:rsidR="009D5C6F" w:rsidRPr="00FA55BD">
        <w:t xml:space="preserve">noted that enzalutamide is likely to enter the same market space as </w:t>
      </w:r>
      <w:proofErr w:type="spellStart"/>
      <w:r w:rsidR="009D5C6F" w:rsidRPr="00FA55BD">
        <w:t>apalutamide</w:t>
      </w:r>
      <w:proofErr w:type="spellEnd"/>
      <w:r w:rsidR="009D5C6F" w:rsidRPr="00FA55BD">
        <w:t>, based on the PROSPER study</w:t>
      </w:r>
      <w:r w:rsidR="0006028D">
        <w:t xml:space="preserve"> and other agents, </w:t>
      </w:r>
      <w:r w:rsidR="0006028D" w:rsidRPr="00903C7F">
        <w:t xml:space="preserve">such as </w:t>
      </w:r>
      <w:proofErr w:type="spellStart"/>
      <w:r w:rsidR="0006028D" w:rsidRPr="00903C7F">
        <w:t>darolutamide</w:t>
      </w:r>
      <w:proofErr w:type="spellEnd"/>
      <w:r w:rsidR="0006028D" w:rsidRPr="00903C7F">
        <w:t xml:space="preserve">, are </w:t>
      </w:r>
      <w:r w:rsidR="00AB2B6C">
        <w:t xml:space="preserve">also </w:t>
      </w:r>
      <w:r w:rsidR="0006028D" w:rsidRPr="00903C7F">
        <w:t>likely to become available for this population</w:t>
      </w:r>
      <w:r w:rsidR="009D5C6F" w:rsidRPr="00903C7F">
        <w:t>.</w:t>
      </w:r>
    </w:p>
    <w:p w:rsidR="00C04721" w:rsidRDefault="00C04721" w:rsidP="008347F7">
      <w:pPr>
        <w:widowControl w:val="0"/>
        <w:numPr>
          <w:ilvl w:val="1"/>
          <w:numId w:val="3"/>
        </w:numPr>
        <w:spacing w:after="120"/>
        <w:rPr>
          <w:rFonts w:asciiTheme="minorHAnsi" w:hAnsiTheme="minorHAnsi" w:cs="Arial"/>
          <w:bCs/>
          <w:snapToGrid w:val="0"/>
          <w:lang w:val="en-GB"/>
        </w:rPr>
      </w:pPr>
      <w:r>
        <w:t>The PBAC noted the consumer comments and acknowledged the potential quality of life benefits associated with delaying metastasis and symptomatic progression.</w:t>
      </w:r>
    </w:p>
    <w:p w:rsidR="008347F7" w:rsidRPr="00525B39" w:rsidRDefault="003F347A" w:rsidP="008347F7">
      <w:pPr>
        <w:widowControl w:val="0"/>
        <w:numPr>
          <w:ilvl w:val="1"/>
          <w:numId w:val="3"/>
        </w:numPr>
        <w:spacing w:after="120"/>
        <w:rPr>
          <w:rFonts w:asciiTheme="minorHAnsi" w:hAnsiTheme="minorHAnsi" w:cs="Arial"/>
          <w:bCs/>
          <w:snapToGrid w:val="0"/>
          <w:lang w:val="en-GB"/>
        </w:rPr>
      </w:pPr>
      <w:r w:rsidRPr="00903C7F">
        <w:rPr>
          <w:rFonts w:asciiTheme="minorHAnsi" w:hAnsiTheme="minorHAnsi" w:cs="Arial"/>
          <w:bCs/>
          <w:snapToGrid w:val="0"/>
          <w:lang w:val="en-GB"/>
        </w:rPr>
        <w:t>The PBAC noted that</w:t>
      </w:r>
      <w:r>
        <w:rPr>
          <w:rFonts w:asciiTheme="minorHAnsi" w:hAnsiTheme="minorHAnsi" w:cs="Arial"/>
          <w:bCs/>
          <w:snapToGrid w:val="0"/>
          <w:lang w:val="en-GB"/>
        </w:rPr>
        <w:t xml:space="preserve"> efficacy data for </w:t>
      </w:r>
      <w:proofErr w:type="spellStart"/>
      <w:r>
        <w:rPr>
          <w:rFonts w:asciiTheme="minorHAnsi" w:hAnsiTheme="minorHAnsi" w:cs="Arial"/>
          <w:bCs/>
          <w:snapToGrid w:val="0"/>
          <w:lang w:val="en-GB"/>
        </w:rPr>
        <w:t>apaluta</w:t>
      </w:r>
      <w:r w:rsidR="007A4944">
        <w:rPr>
          <w:rFonts w:asciiTheme="minorHAnsi" w:hAnsiTheme="minorHAnsi" w:cs="Arial"/>
          <w:bCs/>
          <w:snapToGrid w:val="0"/>
          <w:lang w:val="en-GB"/>
        </w:rPr>
        <w:t>m</w:t>
      </w:r>
      <w:r>
        <w:rPr>
          <w:rFonts w:asciiTheme="minorHAnsi" w:hAnsiTheme="minorHAnsi" w:cs="Arial"/>
          <w:bCs/>
          <w:snapToGrid w:val="0"/>
          <w:lang w:val="en-GB"/>
        </w:rPr>
        <w:t>ide</w:t>
      </w:r>
      <w:proofErr w:type="spellEnd"/>
      <w:r>
        <w:rPr>
          <w:rFonts w:asciiTheme="minorHAnsi" w:hAnsiTheme="minorHAnsi" w:cs="Arial"/>
          <w:bCs/>
          <w:snapToGrid w:val="0"/>
          <w:lang w:val="en-GB"/>
        </w:rPr>
        <w:t xml:space="preserve"> was based on </w:t>
      </w:r>
      <w:r>
        <w:rPr>
          <w:rFonts w:cs="Calibri"/>
          <w:lang w:val="en-US" w:eastAsia="en-AU"/>
        </w:rPr>
        <w:t xml:space="preserve">the SPARTAN trial </w:t>
      </w:r>
      <w:r>
        <w:t>(N=1207)</w:t>
      </w:r>
      <w:r>
        <w:rPr>
          <w:rFonts w:cs="Calibri"/>
          <w:lang w:val="en-US" w:eastAsia="en-AU"/>
        </w:rPr>
        <w:t xml:space="preserve">, which was </w:t>
      </w:r>
      <w:r>
        <w:t xml:space="preserve">a randomised, double-blind, multicentre trial comparing </w:t>
      </w:r>
      <w:proofErr w:type="spellStart"/>
      <w:r>
        <w:t>apalutamide</w:t>
      </w:r>
      <w:proofErr w:type="spellEnd"/>
      <w:r>
        <w:t xml:space="preserve"> and placebo, each in combination with ADT in patients with m0CRPC at high risk of developing distant metastases.</w:t>
      </w:r>
      <w:r>
        <w:rPr>
          <w:rFonts w:asciiTheme="minorHAnsi" w:hAnsiTheme="minorHAnsi" w:cs="Arial"/>
          <w:bCs/>
          <w:snapToGrid w:val="0"/>
          <w:lang w:val="en-GB"/>
        </w:rPr>
        <w:t xml:space="preserve">  </w:t>
      </w:r>
      <w:r w:rsidR="009A6158">
        <w:rPr>
          <w:rFonts w:asciiTheme="minorHAnsi" w:hAnsiTheme="minorHAnsi" w:cs="Arial"/>
          <w:bCs/>
          <w:snapToGrid w:val="0"/>
          <w:lang w:val="en-GB"/>
        </w:rPr>
        <w:t xml:space="preserve">The PBAC noted that the cut off for the data set presented was May 2017 with median follow-up of 20.3 months, and that </w:t>
      </w:r>
      <w:r w:rsidR="009A6158">
        <w:rPr>
          <w:rFonts w:asciiTheme="minorHAnsi" w:hAnsiTheme="minorHAnsi" w:cs="Arial"/>
          <w:bCs/>
          <w:snapToGrid w:val="0"/>
          <w:lang w:val="en-GB"/>
        </w:rPr>
        <w:lastRenderedPageBreak/>
        <w:t xml:space="preserve">future data sets will be confounded by cross-over of patients in the placebo arm to </w:t>
      </w:r>
      <w:proofErr w:type="spellStart"/>
      <w:r w:rsidR="009A6158">
        <w:rPr>
          <w:rFonts w:asciiTheme="minorHAnsi" w:hAnsiTheme="minorHAnsi" w:cs="Arial"/>
          <w:bCs/>
          <w:snapToGrid w:val="0"/>
          <w:lang w:val="en-GB"/>
        </w:rPr>
        <w:t>apalutamide</w:t>
      </w:r>
      <w:proofErr w:type="spellEnd"/>
      <w:r w:rsidR="009A6158">
        <w:rPr>
          <w:rFonts w:asciiTheme="minorHAnsi" w:hAnsiTheme="minorHAnsi" w:cs="Arial"/>
          <w:bCs/>
          <w:snapToGrid w:val="0"/>
          <w:lang w:val="en-GB"/>
        </w:rPr>
        <w:t xml:space="preserve"> treatment.  </w:t>
      </w:r>
    </w:p>
    <w:p w:rsidR="008347F7" w:rsidRPr="00525B39" w:rsidRDefault="009A6158" w:rsidP="00F44009">
      <w:pPr>
        <w:widowControl w:val="0"/>
        <w:numPr>
          <w:ilvl w:val="1"/>
          <w:numId w:val="3"/>
        </w:numPr>
        <w:spacing w:after="120"/>
        <w:rPr>
          <w:rFonts w:asciiTheme="minorHAnsi" w:hAnsiTheme="minorHAnsi" w:cs="Arial"/>
          <w:bCs/>
          <w:snapToGrid w:val="0"/>
          <w:lang w:val="en-GB"/>
        </w:rPr>
      </w:pPr>
      <w:r>
        <w:rPr>
          <w:rFonts w:asciiTheme="minorHAnsi" w:hAnsiTheme="minorHAnsi" w:cs="Arial"/>
          <w:bCs/>
          <w:snapToGrid w:val="0"/>
          <w:lang w:val="en-GB"/>
        </w:rPr>
        <w:t xml:space="preserve">The PBAC considered that </w:t>
      </w:r>
      <w:r w:rsidR="00A356B4">
        <w:t xml:space="preserve">the clinical data shows clinical benefit for </w:t>
      </w:r>
      <w:proofErr w:type="spellStart"/>
      <w:r w:rsidR="00A356B4">
        <w:t>apalutamide</w:t>
      </w:r>
      <w:proofErr w:type="spellEnd"/>
      <w:r w:rsidR="00A356B4">
        <w:t xml:space="preserve"> in delaying development of metastases and progression, however there was no statistically significant OS benefit demonstrated. The PBAC noted that there was a considerable increase </w:t>
      </w:r>
      <w:r w:rsidR="0006028D">
        <w:t>in MFS</w:t>
      </w:r>
      <w:r w:rsidR="00CA3880">
        <w:t xml:space="preserve"> (BICR-assessed)</w:t>
      </w:r>
      <w:r w:rsidR="0006028D">
        <w:t xml:space="preserve"> </w:t>
      </w:r>
      <w:r w:rsidR="00A356B4">
        <w:t xml:space="preserve">of 24.8 months for </w:t>
      </w:r>
      <w:proofErr w:type="spellStart"/>
      <w:r w:rsidR="00A356B4">
        <w:t>apalutamide</w:t>
      </w:r>
      <w:proofErr w:type="spellEnd"/>
      <w:r w:rsidR="00A356B4">
        <w:t>-treated patients (40.51 months) compared to those treated with placebo (15.7 months) and that the PFS benefit was similar.</w:t>
      </w:r>
      <w:r w:rsidR="00A356B4" w:rsidRPr="00525B39">
        <w:rPr>
          <w:rFonts w:asciiTheme="minorHAnsi" w:hAnsiTheme="minorHAnsi" w:cs="Arial"/>
          <w:bCs/>
          <w:snapToGrid w:val="0"/>
          <w:lang w:val="en-GB"/>
        </w:rPr>
        <w:t xml:space="preserve"> </w:t>
      </w:r>
      <w:r w:rsidR="0006028D">
        <w:t>The PBAC noted that there</w:t>
      </w:r>
      <w:r w:rsidR="0006028D" w:rsidRPr="00A44512">
        <w:t xml:space="preserve"> was a statistically significant advantage for </w:t>
      </w:r>
      <w:proofErr w:type="spellStart"/>
      <w:r w:rsidR="0006028D" w:rsidRPr="00A44512">
        <w:t>apalutamide</w:t>
      </w:r>
      <w:proofErr w:type="spellEnd"/>
      <w:r w:rsidR="0006028D" w:rsidRPr="00A44512">
        <w:t xml:space="preserve"> for time to symptomatic progression and time to initiation of cytotoxic chemotherapy,</w:t>
      </w:r>
      <w:r w:rsidR="004D6EED">
        <w:t xml:space="preserve"> however</w:t>
      </w:r>
      <w:r w:rsidR="0006028D" w:rsidRPr="00A44512">
        <w:t xml:space="preserve"> </w:t>
      </w:r>
      <w:r w:rsidR="0006028D">
        <w:t>the</w:t>
      </w:r>
      <w:r w:rsidR="0006028D" w:rsidRPr="00A44512">
        <w:t xml:space="preserve"> median time to the events had not been reached by either arm in the trial</w:t>
      </w:r>
      <w:r w:rsidR="0006028D">
        <w:t xml:space="preserve">. </w:t>
      </w:r>
      <w:r w:rsidR="00A356B4">
        <w:rPr>
          <w:rFonts w:asciiTheme="minorHAnsi" w:hAnsiTheme="minorHAnsi" w:cs="Arial"/>
          <w:bCs/>
          <w:snapToGrid w:val="0"/>
          <w:lang w:val="en-GB"/>
        </w:rPr>
        <w:t xml:space="preserve">The PBAC considered that </w:t>
      </w:r>
      <w:r w:rsidR="0006028D">
        <w:rPr>
          <w:rFonts w:asciiTheme="minorHAnsi" w:hAnsiTheme="minorHAnsi" w:cs="Arial"/>
          <w:bCs/>
          <w:snapToGrid w:val="0"/>
          <w:lang w:val="en-GB"/>
        </w:rPr>
        <w:t xml:space="preserve">the time to symptomatic progression is a clinically relevant endpoint. </w:t>
      </w:r>
      <w:r w:rsidR="004D6EED">
        <w:rPr>
          <w:rFonts w:asciiTheme="minorHAnsi" w:hAnsiTheme="minorHAnsi" w:cs="Arial"/>
          <w:bCs/>
          <w:snapToGrid w:val="0"/>
          <w:lang w:val="en-GB"/>
        </w:rPr>
        <w:t xml:space="preserve">The PBAC noted that the OS </w:t>
      </w:r>
      <w:r w:rsidR="00134EFE">
        <w:rPr>
          <w:rFonts w:asciiTheme="minorHAnsi" w:hAnsiTheme="minorHAnsi" w:cs="Arial"/>
          <w:bCs/>
          <w:snapToGrid w:val="0"/>
          <w:lang w:val="en-GB"/>
        </w:rPr>
        <w:t xml:space="preserve">benefit for </w:t>
      </w:r>
      <w:proofErr w:type="spellStart"/>
      <w:r w:rsidR="00134EFE">
        <w:rPr>
          <w:rFonts w:asciiTheme="minorHAnsi" w:hAnsiTheme="minorHAnsi" w:cs="Arial"/>
          <w:bCs/>
          <w:snapToGrid w:val="0"/>
          <w:lang w:val="en-GB"/>
        </w:rPr>
        <w:t>apalutamide</w:t>
      </w:r>
      <w:proofErr w:type="spellEnd"/>
      <w:r w:rsidR="004D6EED">
        <w:rPr>
          <w:rFonts w:asciiTheme="minorHAnsi" w:hAnsiTheme="minorHAnsi" w:cs="Arial"/>
          <w:bCs/>
          <w:snapToGrid w:val="0"/>
          <w:lang w:val="en-GB"/>
        </w:rPr>
        <w:t xml:space="preserve"> </w:t>
      </w:r>
      <w:r w:rsidR="00134EFE">
        <w:rPr>
          <w:rFonts w:asciiTheme="minorHAnsi" w:hAnsiTheme="minorHAnsi" w:cs="Arial"/>
          <w:bCs/>
          <w:snapToGrid w:val="0"/>
          <w:lang w:val="en-GB"/>
        </w:rPr>
        <w:t xml:space="preserve">was not statistically significant as the trial data </w:t>
      </w:r>
      <w:r w:rsidR="00876027">
        <w:rPr>
          <w:rFonts w:asciiTheme="minorHAnsi" w:hAnsiTheme="minorHAnsi" w:cs="Arial"/>
          <w:bCs/>
          <w:snapToGrid w:val="0"/>
          <w:lang w:val="en-GB"/>
        </w:rPr>
        <w:t>are</w:t>
      </w:r>
      <w:r w:rsidR="00134EFE">
        <w:rPr>
          <w:rFonts w:asciiTheme="minorHAnsi" w:hAnsiTheme="minorHAnsi" w:cs="Arial"/>
          <w:bCs/>
          <w:snapToGrid w:val="0"/>
          <w:lang w:val="en-GB"/>
        </w:rPr>
        <w:t xml:space="preserve"> immature and the current data set was</w:t>
      </w:r>
      <w:r w:rsidR="00134EFE" w:rsidRPr="00FA55BD">
        <w:t xml:space="preserve"> insufficiently powered</w:t>
      </w:r>
      <w:r w:rsidR="008A6603">
        <w:t>, therefore the PBAC considered that the</w:t>
      </w:r>
      <w:r w:rsidR="008A6603" w:rsidRPr="008A6603">
        <w:t xml:space="preserve"> </w:t>
      </w:r>
      <w:r w:rsidR="008A6603">
        <w:t>clinical claim of improvement in OS was not adequately supported by the clinical data.</w:t>
      </w:r>
      <w:r w:rsidR="00134EFE">
        <w:t xml:space="preserve"> The PBAC considered that the clinical claim of improvement in MFS, </w:t>
      </w:r>
      <w:proofErr w:type="spellStart"/>
      <w:r w:rsidR="00134EFE">
        <w:t>rPFS</w:t>
      </w:r>
      <w:proofErr w:type="spellEnd"/>
      <w:r w:rsidR="00134EFE">
        <w:t xml:space="preserve"> and </w:t>
      </w:r>
      <w:proofErr w:type="spellStart"/>
      <w:r w:rsidR="00134EFE">
        <w:t>sPFS</w:t>
      </w:r>
      <w:proofErr w:type="spellEnd"/>
      <w:r w:rsidR="00134EFE">
        <w:t xml:space="preserve"> was reasonable, but the </w:t>
      </w:r>
      <w:r w:rsidR="0070481F">
        <w:t>magnitude of the clinical benefit was highly uncertain given the immaturity of the data</w:t>
      </w:r>
      <w:r w:rsidR="008A6603">
        <w:t>.</w:t>
      </w:r>
      <w:r w:rsidR="0070481F">
        <w:t xml:space="preserve"> </w:t>
      </w:r>
    </w:p>
    <w:p w:rsidR="008347F7" w:rsidRPr="004D6EED" w:rsidRDefault="00D11559" w:rsidP="008A6603">
      <w:pPr>
        <w:widowControl w:val="0"/>
        <w:numPr>
          <w:ilvl w:val="1"/>
          <w:numId w:val="3"/>
        </w:numPr>
        <w:spacing w:after="120"/>
      </w:pPr>
      <w:r>
        <w:rPr>
          <w:rFonts w:asciiTheme="minorHAnsi" w:hAnsiTheme="minorHAnsi" w:cs="Arial"/>
          <w:bCs/>
          <w:snapToGrid w:val="0"/>
          <w:lang w:val="en-GB"/>
        </w:rPr>
        <w:t xml:space="preserve">The PBAC considered that the clinical claim of inferior safety compared with watchful waiting was appropriate. The PBAC noted that significantly more patients treated with </w:t>
      </w:r>
      <w:proofErr w:type="spellStart"/>
      <w:r>
        <w:rPr>
          <w:rFonts w:asciiTheme="minorHAnsi" w:hAnsiTheme="minorHAnsi" w:cs="Arial"/>
          <w:bCs/>
          <w:snapToGrid w:val="0"/>
          <w:lang w:val="en-GB"/>
        </w:rPr>
        <w:t>apalutamide</w:t>
      </w:r>
      <w:proofErr w:type="spellEnd"/>
      <w:r>
        <w:rPr>
          <w:rFonts w:asciiTheme="minorHAnsi" w:hAnsiTheme="minorHAnsi" w:cs="Arial"/>
          <w:bCs/>
          <w:snapToGrid w:val="0"/>
          <w:lang w:val="en-GB"/>
        </w:rPr>
        <w:t xml:space="preserve"> experienced fatigue, rash, falls, fracture and hypothyroidism</w:t>
      </w:r>
      <w:r w:rsidR="00876027">
        <w:rPr>
          <w:rFonts w:asciiTheme="minorHAnsi" w:hAnsiTheme="minorHAnsi" w:cs="Arial"/>
          <w:bCs/>
          <w:snapToGrid w:val="0"/>
          <w:lang w:val="en-GB"/>
        </w:rPr>
        <w:t>,</w:t>
      </w:r>
      <w:r>
        <w:rPr>
          <w:rFonts w:asciiTheme="minorHAnsi" w:hAnsiTheme="minorHAnsi" w:cs="Arial"/>
          <w:bCs/>
          <w:snapToGrid w:val="0"/>
          <w:lang w:val="en-GB"/>
        </w:rPr>
        <w:t xml:space="preserve"> and that the safety data were limited as the trial data </w:t>
      </w:r>
      <w:r w:rsidR="00876027">
        <w:rPr>
          <w:rFonts w:asciiTheme="minorHAnsi" w:hAnsiTheme="minorHAnsi" w:cs="Arial"/>
          <w:bCs/>
          <w:snapToGrid w:val="0"/>
          <w:lang w:val="en-GB"/>
        </w:rPr>
        <w:t>are</w:t>
      </w:r>
      <w:r>
        <w:rPr>
          <w:rFonts w:asciiTheme="minorHAnsi" w:hAnsiTheme="minorHAnsi" w:cs="Arial"/>
          <w:bCs/>
          <w:snapToGrid w:val="0"/>
          <w:lang w:val="en-GB"/>
        </w:rPr>
        <w:t xml:space="preserve"> immature. </w:t>
      </w:r>
      <w:r w:rsidR="00134EFE">
        <w:rPr>
          <w:rFonts w:asciiTheme="minorHAnsi" w:hAnsiTheme="minorHAnsi" w:cs="Arial"/>
          <w:bCs/>
          <w:snapToGrid w:val="0"/>
          <w:lang w:val="en-GB"/>
        </w:rPr>
        <w:t xml:space="preserve">The PBAC noted that there were few differences </w:t>
      </w:r>
      <w:r w:rsidR="00134EFE">
        <w:t xml:space="preserve">between </w:t>
      </w:r>
      <w:proofErr w:type="spellStart"/>
      <w:r w:rsidR="00134EFE">
        <w:t>apalutamide</w:t>
      </w:r>
      <w:proofErr w:type="spellEnd"/>
      <w:r w:rsidR="00134EFE">
        <w:t xml:space="preserve">-treated patients and placebo-treated patients on the </w:t>
      </w:r>
      <w:proofErr w:type="spellStart"/>
      <w:r w:rsidR="00134EFE">
        <w:t>QoL</w:t>
      </w:r>
      <w:proofErr w:type="spellEnd"/>
      <w:r w:rsidR="00134EFE">
        <w:t xml:space="preserve"> measures used in SPARTAN, however longer term data for the impact on </w:t>
      </w:r>
      <w:proofErr w:type="spellStart"/>
      <w:r w:rsidR="00134EFE">
        <w:t>HRQoL</w:t>
      </w:r>
      <w:proofErr w:type="spellEnd"/>
      <w:r w:rsidR="00134EFE">
        <w:t xml:space="preserve"> was limited. </w:t>
      </w:r>
      <w:r>
        <w:rPr>
          <w:rFonts w:asciiTheme="minorHAnsi" w:hAnsiTheme="minorHAnsi" w:cs="Arial"/>
          <w:bCs/>
          <w:snapToGrid w:val="0"/>
          <w:lang w:val="en-GB"/>
        </w:rPr>
        <w:t xml:space="preserve">The PBAC considered that </w:t>
      </w:r>
      <w:r w:rsidR="00134EFE">
        <w:rPr>
          <w:rFonts w:asciiTheme="minorHAnsi" w:hAnsiTheme="minorHAnsi" w:cs="Arial"/>
          <w:bCs/>
          <w:snapToGrid w:val="0"/>
          <w:lang w:val="en-GB"/>
        </w:rPr>
        <w:t xml:space="preserve">the </w:t>
      </w:r>
      <w:r>
        <w:rPr>
          <w:rFonts w:asciiTheme="minorHAnsi" w:hAnsiTheme="minorHAnsi" w:cs="Arial"/>
          <w:bCs/>
          <w:snapToGrid w:val="0"/>
          <w:lang w:val="en-GB"/>
        </w:rPr>
        <w:t xml:space="preserve">safety </w:t>
      </w:r>
      <w:r w:rsidR="00134EFE">
        <w:rPr>
          <w:rFonts w:asciiTheme="minorHAnsi" w:hAnsiTheme="minorHAnsi" w:cs="Arial"/>
          <w:bCs/>
          <w:snapToGrid w:val="0"/>
          <w:lang w:val="en-GB"/>
        </w:rPr>
        <w:t>profile of</w:t>
      </w:r>
      <w:r>
        <w:rPr>
          <w:rFonts w:asciiTheme="minorHAnsi" w:hAnsiTheme="minorHAnsi" w:cs="Arial"/>
          <w:bCs/>
          <w:snapToGrid w:val="0"/>
          <w:lang w:val="en-GB"/>
        </w:rPr>
        <w:t xml:space="preserve"> </w:t>
      </w:r>
      <w:proofErr w:type="spellStart"/>
      <w:r>
        <w:rPr>
          <w:rFonts w:asciiTheme="minorHAnsi" w:hAnsiTheme="minorHAnsi" w:cs="Arial"/>
          <w:bCs/>
          <w:snapToGrid w:val="0"/>
          <w:lang w:val="en-GB"/>
        </w:rPr>
        <w:t>apalutamide</w:t>
      </w:r>
      <w:proofErr w:type="spellEnd"/>
      <w:r>
        <w:rPr>
          <w:rFonts w:asciiTheme="minorHAnsi" w:hAnsiTheme="minorHAnsi" w:cs="Arial"/>
          <w:bCs/>
          <w:snapToGrid w:val="0"/>
          <w:lang w:val="en-GB"/>
        </w:rPr>
        <w:t xml:space="preserve"> is likely to be similar to that of enzalutamide, with which there is substantially more clinical experience in the </w:t>
      </w:r>
      <w:proofErr w:type="spellStart"/>
      <w:r w:rsidR="008A6603">
        <w:rPr>
          <w:rFonts w:asciiTheme="minorHAnsi" w:hAnsiTheme="minorHAnsi" w:cs="Arial"/>
          <w:bCs/>
          <w:snapToGrid w:val="0"/>
          <w:lang w:val="en-GB"/>
        </w:rPr>
        <w:t>mCRPC</w:t>
      </w:r>
      <w:proofErr w:type="spellEnd"/>
      <w:r w:rsidR="008A6603">
        <w:rPr>
          <w:rFonts w:asciiTheme="minorHAnsi" w:hAnsiTheme="minorHAnsi" w:cs="Arial"/>
          <w:bCs/>
          <w:snapToGrid w:val="0"/>
          <w:lang w:val="en-GB"/>
        </w:rPr>
        <w:t xml:space="preserve"> </w:t>
      </w:r>
      <w:r>
        <w:rPr>
          <w:rFonts w:asciiTheme="minorHAnsi" w:hAnsiTheme="minorHAnsi" w:cs="Arial"/>
          <w:bCs/>
          <w:snapToGrid w:val="0"/>
          <w:lang w:val="en-GB"/>
        </w:rPr>
        <w:t xml:space="preserve">setting. </w:t>
      </w:r>
    </w:p>
    <w:p w:rsidR="00F43046" w:rsidRPr="00F43046" w:rsidRDefault="00AB3C0C" w:rsidP="00F43046">
      <w:pPr>
        <w:pStyle w:val="Bulletpoints"/>
        <w:widowControl w:val="0"/>
        <w:numPr>
          <w:ilvl w:val="1"/>
          <w:numId w:val="3"/>
        </w:numPr>
        <w:spacing w:after="120"/>
        <w:rPr>
          <w:snapToGrid w:val="0"/>
          <w:lang w:val="en-GB"/>
        </w:rPr>
      </w:pPr>
      <w:r>
        <w:rPr>
          <w:rFonts w:asciiTheme="minorHAnsi" w:hAnsiTheme="minorHAnsi" w:cs="Arial"/>
          <w:bCs/>
          <w:snapToGrid w:val="0"/>
          <w:lang w:val="en-GB"/>
        </w:rPr>
        <w:t xml:space="preserve">The PBAC noted the main areas of uncertainty in the model as identified in the evaluation and considered by ESC. </w:t>
      </w:r>
      <w:r w:rsidR="00242E7D">
        <w:rPr>
          <w:rFonts w:asciiTheme="minorHAnsi" w:hAnsiTheme="minorHAnsi" w:cs="Arial"/>
          <w:bCs/>
          <w:snapToGrid w:val="0"/>
          <w:lang w:val="en-GB"/>
        </w:rPr>
        <w:t xml:space="preserve">The PBAC agreed with the evaluation and the ESC that the use MFS as a surrogate for OS in the model was not appropriate and the assumption of a </w:t>
      </w:r>
      <w:r w:rsidR="00B02413">
        <w:rPr>
          <w:rFonts w:asciiTheme="minorHAnsi" w:hAnsiTheme="minorHAnsi" w:cs="Arial"/>
          <w:bCs/>
          <w:noProof/>
          <w:snapToGrid w:val="0"/>
          <w:color w:val="000000"/>
          <w:highlight w:val="black"/>
          <w:lang w:val="en-GB"/>
        </w:rPr>
        <w:t>'''''''</w:t>
      </w:r>
      <w:r w:rsidR="00242E7D">
        <w:rPr>
          <w:rFonts w:asciiTheme="minorHAnsi" w:hAnsiTheme="minorHAnsi" w:cs="Arial"/>
          <w:bCs/>
          <w:snapToGrid w:val="0"/>
          <w:lang w:val="en-GB"/>
        </w:rPr>
        <w:t xml:space="preserve"> relationship between MFS and OS was not supported by the clinical data. </w:t>
      </w:r>
      <w:r w:rsidR="00F43046">
        <w:rPr>
          <w:rFonts w:asciiTheme="minorHAnsi" w:hAnsiTheme="minorHAnsi" w:cs="Arial"/>
          <w:bCs/>
          <w:snapToGrid w:val="0"/>
          <w:lang w:val="en-GB"/>
        </w:rPr>
        <w:t xml:space="preserve">The PBAC considered that </w:t>
      </w:r>
      <w:r w:rsidR="00F43046">
        <w:rPr>
          <w:snapToGrid w:val="0"/>
          <w:lang w:val="en-GB"/>
        </w:rPr>
        <w:t xml:space="preserve">the assumption of similar survival for </w:t>
      </w:r>
      <w:proofErr w:type="spellStart"/>
      <w:r w:rsidR="00F43046">
        <w:rPr>
          <w:snapToGrid w:val="0"/>
          <w:lang w:val="en-GB"/>
        </w:rPr>
        <w:t>apalutamide</w:t>
      </w:r>
      <w:proofErr w:type="spellEnd"/>
      <w:r w:rsidR="00F43046">
        <w:rPr>
          <w:snapToGrid w:val="0"/>
          <w:lang w:val="en-GB"/>
        </w:rPr>
        <w:t xml:space="preserve"> and placebo patients after metastasis, without allowance for cross-resistance in sequential therapies, was not appropriate.</w:t>
      </w:r>
      <w:r w:rsidR="00F43046">
        <w:rPr>
          <w:rFonts w:asciiTheme="minorHAnsi" w:hAnsiTheme="minorHAnsi" w:cs="Arial"/>
          <w:bCs/>
          <w:snapToGrid w:val="0"/>
          <w:lang w:val="en-GB"/>
        </w:rPr>
        <w:t xml:space="preserve"> </w:t>
      </w:r>
      <w:r w:rsidR="00242E7D">
        <w:rPr>
          <w:rFonts w:asciiTheme="minorHAnsi" w:hAnsiTheme="minorHAnsi" w:cs="Arial"/>
          <w:bCs/>
          <w:snapToGrid w:val="0"/>
          <w:lang w:val="en-GB"/>
        </w:rPr>
        <w:t xml:space="preserve">The PBAC noted that the PSCR presented an adjusted model that assumed a difference in OS between the </w:t>
      </w:r>
      <w:proofErr w:type="spellStart"/>
      <w:r w:rsidR="00242E7D">
        <w:rPr>
          <w:rFonts w:asciiTheme="minorHAnsi" w:hAnsiTheme="minorHAnsi" w:cs="Arial"/>
          <w:bCs/>
          <w:snapToGrid w:val="0"/>
          <w:lang w:val="en-GB"/>
        </w:rPr>
        <w:t>apalutamide</w:t>
      </w:r>
      <w:proofErr w:type="spellEnd"/>
      <w:r w:rsidR="00242E7D">
        <w:rPr>
          <w:rFonts w:asciiTheme="minorHAnsi" w:hAnsiTheme="minorHAnsi" w:cs="Arial"/>
          <w:bCs/>
          <w:snapToGrid w:val="0"/>
          <w:lang w:val="en-GB"/>
        </w:rPr>
        <w:t xml:space="preserve"> and placebo treatment arms, </w:t>
      </w:r>
      <w:r w:rsidR="00242E7D" w:rsidRPr="00FA55BD">
        <w:t xml:space="preserve">which reduced the modelled gain in </w:t>
      </w:r>
      <w:r w:rsidR="00285A8E">
        <w:t>M</w:t>
      </w:r>
      <w:r w:rsidR="00242E7D" w:rsidRPr="00FA55BD">
        <w:t xml:space="preserve">FS relative to OS to </w:t>
      </w:r>
      <w:r w:rsidR="00B02413">
        <w:rPr>
          <w:noProof/>
          <w:color w:val="000000"/>
          <w:highlight w:val="black"/>
        </w:rPr>
        <w:t>'''''''''''''</w:t>
      </w:r>
      <w:r w:rsidR="00242E7D">
        <w:t xml:space="preserve">, </w:t>
      </w:r>
      <w:r w:rsidR="00242E7D">
        <w:rPr>
          <w:rFonts w:asciiTheme="minorHAnsi" w:hAnsiTheme="minorHAnsi" w:cs="Arial"/>
          <w:bCs/>
          <w:snapToGrid w:val="0"/>
          <w:lang w:val="en-GB"/>
        </w:rPr>
        <w:t xml:space="preserve">reducing the OS gain for </w:t>
      </w:r>
      <w:proofErr w:type="spellStart"/>
      <w:r w:rsidR="00242E7D">
        <w:rPr>
          <w:rFonts w:asciiTheme="minorHAnsi" w:hAnsiTheme="minorHAnsi" w:cs="Arial"/>
          <w:bCs/>
          <w:snapToGrid w:val="0"/>
          <w:lang w:val="en-GB"/>
        </w:rPr>
        <w:t>apalutamide</w:t>
      </w:r>
      <w:proofErr w:type="spellEnd"/>
      <w:r w:rsidR="00242E7D">
        <w:rPr>
          <w:rFonts w:asciiTheme="minorHAnsi" w:hAnsiTheme="minorHAnsi" w:cs="Arial"/>
          <w:bCs/>
          <w:snapToGrid w:val="0"/>
          <w:lang w:val="en-GB"/>
        </w:rPr>
        <w:t xml:space="preserve"> from </w:t>
      </w:r>
      <w:r w:rsidR="00B02413">
        <w:rPr>
          <w:rFonts w:asciiTheme="minorHAnsi" w:hAnsiTheme="minorHAnsi" w:cs="Arial"/>
          <w:bCs/>
          <w:noProof/>
          <w:snapToGrid w:val="0"/>
          <w:color w:val="000000"/>
          <w:highlight w:val="black"/>
          <w:lang w:val="en-GB"/>
        </w:rPr>
        <w:t>'''''</w:t>
      </w:r>
      <w:r w:rsidR="00242E7D">
        <w:rPr>
          <w:rFonts w:asciiTheme="minorHAnsi" w:hAnsiTheme="minorHAnsi" w:cs="Arial"/>
          <w:bCs/>
          <w:snapToGrid w:val="0"/>
          <w:lang w:val="en-GB"/>
        </w:rPr>
        <w:t xml:space="preserve"> months to </w:t>
      </w:r>
      <w:r w:rsidR="00B02413">
        <w:rPr>
          <w:rFonts w:asciiTheme="minorHAnsi" w:hAnsiTheme="minorHAnsi" w:cs="Arial"/>
          <w:bCs/>
          <w:noProof/>
          <w:snapToGrid w:val="0"/>
          <w:color w:val="000000"/>
          <w:highlight w:val="black"/>
          <w:lang w:val="en-GB"/>
        </w:rPr>
        <w:t>''''''</w:t>
      </w:r>
      <w:r w:rsidR="00242E7D">
        <w:rPr>
          <w:rFonts w:asciiTheme="minorHAnsi" w:hAnsiTheme="minorHAnsi" w:cs="Arial"/>
          <w:bCs/>
          <w:snapToGrid w:val="0"/>
          <w:lang w:val="en-GB"/>
        </w:rPr>
        <w:t xml:space="preserve"> months. The PBAC considered that the magnitude of OS gain remained </w:t>
      </w:r>
      <w:r w:rsidR="00F43046">
        <w:rPr>
          <w:rFonts w:asciiTheme="minorHAnsi" w:hAnsiTheme="minorHAnsi" w:cs="Arial"/>
          <w:bCs/>
          <w:snapToGrid w:val="0"/>
          <w:lang w:val="en-GB"/>
        </w:rPr>
        <w:t xml:space="preserve">highly </w:t>
      </w:r>
      <w:r w:rsidR="00242E7D">
        <w:rPr>
          <w:rFonts w:asciiTheme="minorHAnsi" w:hAnsiTheme="minorHAnsi" w:cs="Arial"/>
          <w:bCs/>
          <w:snapToGrid w:val="0"/>
          <w:lang w:val="en-GB"/>
        </w:rPr>
        <w:t xml:space="preserve">uncertain and that the </w:t>
      </w:r>
      <w:r w:rsidR="006E19C5">
        <w:rPr>
          <w:rFonts w:asciiTheme="minorHAnsi" w:hAnsiTheme="minorHAnsi" w:cs="Arial"/>
          <w:bCs/>
          <w:snapToGrid w:val="0"/>
          <w:lang w:val="en-GB"/>
        </w:rPr>
        <w:t>estimated gains in OS in the both the submission model and the PSCR model were</w:t>
      </w:r>
      <w:r w:rsidR="00242E7D">
        <w:rPr>
          <w:rFonts w:asciiTheme="minorHAnsi" w:hAnsiTheme="minorHAnsi" w:cs="Arial"/>
          <w:bCs/>
          <w:snapToGrid w:val="0"/>
          <w:lang w:val="en-GB"/>
        </w:rPr>
        <w:t xml:space="preserve"> implausibly high given </w:t>
      </w:r>
      <w:r w:rsidR="006E19C5">
        <w:rPr>
          <w:rFonts w:asciiTheme="minorHAnsi" w:hAnsiTheme="minorHAnsi" w:cs="Arial"/>
          <w:bCs/>
          <w:snapToGrid w:val="0"/>
          <w:lang w:val="en-GB"/>
        </w:rPr>
        <w:t>that the SPARTAN trial did not demonstrate a statistically significant difference in OS</w:t>
      </w:r>
      <w:r w:rsidR="00242E7D">
        <w:rPr>
          <w:rFonts w:asciiTheme="minorHAnsi" w:hAnsiTheme="minorHAnsi" w:cs="Arial"/>
          <w:bCs/>
          <w:snapToGrid w:val="0"/>
          <w:lang w:val="en-GB"/>
        </w:rPr>
        <w:t xml:space="preserve">. </w:t>
      </w:r>
    </w:p>
    <w:p w:rsidR="008347F7" w:rsidRPr="00242E7D" w:rsidRDefault="00F43046" w:rsidP="008347F7">
      <w:pPr>
        <w:pStyle w:val="Bulletpoints"/>
        <w:widowControl w:val="0"/>
        <w:numPr>
          <w:ilvl w:val="1"/>
          <w:numId w:val="3"/>
        </w:numPr>
        <w:spacing w:after="120"/>
        <w:rPr>
          <w:rFonts w:asciiTheme="minorHAnsi" w:hAnsiTheme="minorHAnsi" w:cs="Arial"/>
          <w:bCs/>
          <w:snapToGrid w:val="0"/>
          <w:lang w:val="en-GB"/>
        </w:rPr>
      </w:pPr>
      <w:r>
        <w:rPr>
          <w:snapToGrid w:val="0"/>
          <w:lang w:val="en-GB"/>
        </w:rPr>
        <w:t>The PBAC noted the DUSC’s advice that the size of the treated population and estimates of the prevalent m0CRPC populations are unknown</w:t>
      </w:r>
      <w:r w:rsidR="0083426E">
        <w:rPr>
          <w:snapToGrid w:val="0"/>
          <w:lang w:val="en-GB"/>
        </w:rPr>
        <w:t xml:space="preserve">, the treatment duration </w:t>
      </w:r>
      <w:r w:rsidR="0083426E">
        <w:rPr>
          <w:snapToGrid w:val="0"/>
          <w:lang w:val="en-GB"/>
        </w:rPr>
        <w:lastRenderedPageBreak/>
        <w:t xml:space="preserve">is uncertain as it is based on immature MFS data and the dose intensity is uncertain. The PBAC noted that updated estimates of the financial impact were provided in the pre-PBAC response, with patient numbers reduced by 5% to account for patients who do not meet the WHO </w:t>
      </w:r>
      <w:r w:rsidR="0047732A">
        <w:t>performance statu</w:t>
      </w:r>
      <w:r w:rsidR="00AB3C0C">
        <w:t>s</w:t>
      </w:r>
      <w:r w:rsidR="0083426E">
        <w:rPr>
          <w:snapToGrid w:val="0"/>
          <w:lang w:val="en-GB"/>
        </w:rPr>
        <w:t xml:space="preserve"> criterion. The PBAC considered that, given the average age of this population, the proportion of patients with WHO </w:t>
      </w:r>
      <w:r w:rsidR="0047732A">
        <w:t>performance statu</w:t>
      </w:r>
      <w:r w:rsidR="00031B9A">
        <w:t>s</w:t>
      </w:r>
      <w:r w:rsidR="0083426E">
        <w:rPr>
          <w:snapToGrid w:val="0"/>
          <w:lang w:val="en-GB"/>
        </w:rPr>
        <w:t xml:space="preserve"> </w:t>
      </w:r>
      <w:r w:rsidR="0083426E">
        <w:rPr>
          <w:rFonts w:cs="Calibri"/>
          <w:snapToGrid w:val="0"/>
          <w:lang w:val="en-GB"/>
        </w:rPr>
        <w:t>≥</w:t>
      </w:r>
      <w:r w:rsidR="0083426E">
        <w:rPr>
          <w:snapToGrid w:val="0"/>
          <w:lang w:val="en-GB"/>
        </w:rPr>
        <w:t xml:space="preserve">2 may be higher than 5%. The PBAC agreed that the dose intensity appears to be too high given the number of patients with dose reductions and interruptions. The PBAC agreed with </w:t>
      </w:r>
      <w:r w:rsidR="007B578E">
        <w:rPr>
          <w:snapToGrid w:val="0"/>
          <w:lang w:val="en-GB"/>
        </w:rPr>
        <w:t xml:space="preserve">the </w:t>
      </w:r>
      <w:r w:rsidR="0083426E">
        <w:rPr>
          <w:snapToGrid w:val="0"/>
          <w:lang w:val="en-GB"/>
        </w:rPr>
        <w:t>DUSC that overall the financial impact was likely to be underestimated</w:t>
      </w:r>
      <w:r w:rsidR="00AB2B6C">
        <w:rPr>
          <w:snapToGrid w:val="0"/>
          <w:lang w:val="en-GB"/>
        </w:rPr>
        <w:t xml:space="preserve"> and highly uncertain</w:t>
      </w:r>
      <w:r w:rsidR="00706385">
        <w:rPr>
          <w:snapToGrid w:val="0"/>
          <w:lang w:val="en-GB"/>
        </w:rPr>
        <w:t>, based on the alternative approaches to estimating the treated population presented by DUSC</w:t>
      </w:r>
      <w:r w:rsidR="0083426E">
        <w:rPr>
          <w:snapToGrid w:val="0"/>
          <w:lang w:val="en-GB"/>
        </w:rPr>
        <w:t xml:space="preserve">. </w:t>
      </w:r>
      <w:r>
        <w:rPr>
          <w:snapToGrid w:val="0"/>
          <w:lang w:val="en-GB"/>
        </w:rPr>
        <w:t xml:space="preserve"> </w:t>
      </w:r>
    </w:p>
    <w:p w:rsidR="0083426E" w:rsidRPr="00DF0507" w:rsidRDefault="0083426E" w:rsidP="0083426E">
      <w:pPr>
        <w:pStyle w:val="ListParagraph"/>
        <w:numPr>
          <w:ilvl w:val="1"/>
          <w:numId w:val="3"/>
        </w:numPr>
      </w:pPr>
      <w:r>
        <w:t>The PBAC noted the risk shar</w:t>
      </w:r>
      <w:r w:rsidR="00434B0A">
        <w:t>ing</w:t>
      </w:r>
      <w:r>
        <w:t xml:space="preserve"> arrangement (RSA) </w:t>
      </w:r>
      <w:r w:rsidR="007B578E">
        <w:t xml:space="preserve">proposed </w:t>
      </w:r>
      <w:r>
        <w:t xml:space="preserve">in the pre-PBAC response, with </w:t>
      </w:r>
      <w:r w:rsidR="00B02413">
        <w:rPr>
          <w:noProof/>
          <w:color w:val="000000"/>
          <w:highlight w:val="black"/>
        </w:rPr>
        <w:t>''''''</w:t>
      </w:r>
      <w:r>
        <w:t>% subsidisation for expenditure over the proposed caps. The PBAC advised that a RSA is likely to be required to address the uncertainty in patient numbers and treatment duration.</w:t>
      </w:r>
    </w:p>
    <w:p w:rsidR="0083426E" w:rsidRDefault="002F1A48" w:rsidP="008347F7">
      <w:pPr>
        <w:widowControl w:val="0"/>
        <w:numPr>
          <w:ilvl w:val="1"/>
          <w:numId w:val="3"/>
        </w:numPr>
        <w:spacing w:after="120"/>
        <w:rPr>
          <w:rFonts w:asciiTheme="minorHAnsi" w:hAnsiTheme="minorHAnsi" w:cs="Arial"/>
          <w:bCs/>
          <w:snapToGrid w:val="0"/>
          <w:lang w:val="en-GB"/>
        </w:rPr>
      </w:pPr>
      <w:r>
        <w:rPr>
          <w:rFonts w:asciiTheme="minorHAnsi" w:hAnsiTheme="minorHAnsi" w:cs="Arial"/>
          <w:bCs/>
          <w:snapToGrid w:val="0"/>
          <w:lang w:val="en-GB"/>
        </w:rPr>
        <w:t>The PBAC advised that any resubmission would be a major submission and would require an economic model that does not assume a direct surrogate relationship between MFS and OS, regardless of the ratio used. The PBAC considered that the efficacy parameters of MFS/PFS, time to symptomatic progression and time to chemotherapy would offer a method of assessing the clinical benefit and cost-effectiveness</w:t>
      </w:r>
      <w:r w:rsidR="007B578E">
        <w:rPr>
          <w:rFonts w:asciiTheme="minorHAnsi" w:hAnsiTheme="minorHAnsi" w:cs="Arial"/>
          <w:bCs/>
          <w:snapToGrid w:val="0"/>
          <w:lang w:val="en-GB"/>
        </w:rPr>
        <w:t xml:space="preserve"> of </w:t>
      </w:r>
      <w:proofErr w:type="spellStart"/>
      <w:r w:rsidR="007B578E">
        <w:rPr>
          <w:rFonts w:asciiTheme="minorHAnsi" w:hAnsiTheme="minorHAnsi" w:cs="Arial"/>
          <w:bCs/>
          <w:snapToGrid w:val="0"/>
          <w:lang w:val="en-GB"/>
        </w:rPr>
        <w:t>apalutamide</w:t>
      </w:r>
      <w:proofErr w:type="spellEnd"/>
      <w:r>
        <w:rPr>
          <w:rFonts w:asciiTheme="minorHAnsi" w:hAnsiTheme="minorHAnsi" w:cs="Arial"/>
          <w:bCs/>
          <w:snapToGrid w:val="0"/>
          <w:lang w:val="en-GB"/>
        </w:rPr>
        <w:t xml:space="preserve">. The PBAC considered that if OS data </w:t>
      </w:r>
      <w:r w:rsidR="00205F8F">
        <w:rPr>
          <w:rFonts w:asciiTheme="minorHAnsi" w:hAnsiTheme="minorHAnsi" w:cs="Arial"/>
          <w:bCs/>
          <w:snapToGrid w:val="0"/>
          <w:lang w:val="en-GB"/>
        </w:rPr>
        <w:t>are</w:t>
      </w:r>
      <w:r>
        <w:rPr>
          <w:rFonts w:asciiTheme="minorHAnsi" w:hAnsiTheme="minorHAnsi" w:cs="Arial"/>
          <w:bCs/>
          <w:snapToGrid w:val="0"/>
          <w:lang w:val="en-GB"/>
        </w:rPr>
        <w:t xml:space="preserve"> included in the economic model it </w:t>
      </w:r>
      <w:r w:rsidR="00E04DB9">
        <w:rPr>
          <w:rFonts w:asciiTheme="minorHAnsi" w:hAnsiTheme="minorHAnsi" w:cs="Arial"/>
          <w:bCs/>
          <w:snapToGrid w:val="0"/>
          <w:lang w:val="en-GB"/>
        </w:rPr>
        <w:t xml:space="preserve">would need to be substantially more conservative and </w:t>
      </w:r>
      <w:r>
        <w:rPr>
          <w:rFonts w:asciiTheme="minorHAnsi" w:hAnsiTheme="minorHAnsi" w:cs="Arial"/>
          <w:bCs/>
          <w:snapToGrid w:val="0"/>
          <w:lang w:val="en-GB"/>
        </w:rPr>
        <w:t>should be based on trial data; this may include extrapolation from the</w:t>
      </w:r>
      <w:r w:rsidR="006A6B30">
        <w:rPr>
          <w:rFonts w:asciiTheme="minorHAnsi" w:hAnsiTheme="minorHAnsi" w:cs="Arial"/>
          <w:bCs/>
          <w:snapToGrid w:val="0"/>
          <w:lang w:val="en-GB"/>
        </w:rPr>
        <w:t xml:space="preserve"> SPARTAN trial or the meta-analysis of SPARTAN and PROSPER trials. The PBAC considered that a reduced cost per course would be appropriate given uncertainty in the dose intensity and duration of treatment. The PBAC advised that in the absence of </w:t>
      </w:r>
      <w:r w:rsidR="00205F8F">
        <w:rPr>
          <w:rFonts w:asciiTheme="minorHAnsi" w:hAnsiTheme="minorHAnsi" w:cs="Arial"/>
          <w:bCs/>
          <w:snapToGrid w:val="0"/>
          <w:lang w:val="en-GB"/>
        </w:rPr>
        <w:t xml:space="preserve">a </w:t>
      </w:r>
      <w:r w:rsidR="006A6B30">
        <w:rPr>
          <w:rFonts w:asciiTheme="minorHAnsi" w:hAnsiTheme="minorHAnsi" w:cs="Arial"/>
          <w:bCs/>
          <w:snapToGrid w:val="0"/>
          <w:lang w:val="en-GB"/>
        </w:rPr>
        <w:t>demonstrated OS benefit</w:t>
      </w:r>
      <w:r w:rsidR="00AB2B6C">
        <w:rPr>
          <w:rFonts w:asciiTheme="minorHAnsi" w:hAnsiTheme="minorHAnsi" w:cs="Arial"/>
          <w:bCs/>
          <w:snapToGrid w:val="0"/>
          <w:lang w:val="en-GB"/>
        </w:rPr>
        <w:t>,</w:t>
      </w:r>
      <w:r w:rsidR="006A6B30">
        <w:rPr>
          <w:rFonts w:asciiTheme="minorHAnsi" w:hAnsiTheme="minorHAnsi" w:cs="Arial"/>
          <w:bCs/>
          <w:snapToGrid w:val="0"/>
          <w:lang w:val="en-GB"/>
        </w:rPr>
        <w:t xml:space="preserve"> an ICER between $</w:t>
      </w:r>
      <w:r w:rsidR="00820721">
        <w:rPr>
          <w:rFonts w:asciiTheme="minorHAnsi" w:hAnsiTheme="minorHAnsi" w:cs="Arial"/>
          <w:bCs/>
          <w:snapToGrid w:val="0"/>
          <w:lang w:val="en-GB"/>
        </w:rPr>
        <w:t>15,000 – $45,000/QALY</w:t>
      </w:r>
      <w:r w:rsidR="006A6B30">
        <w:rPr>
          <w:rFonts w:asciiTheme="minorHAnsi" w:hAnsiTheme="minorHAnsi" w:cs="Arial"/>
          <w:bCs/>
          <w:snapToGrid w:val="0"/>
          <w:lang w:val="en-GB"/>
        </w:rPr>
        <w:t xml:space="preserve"> and $45,000</w:t>
      </w:r>
      <w:r w:rsidR="00820721">
        <w:rPr>
          <w:rFonts w:asciiTheme="minorHAnsi" w:hAnsiTheme="minorHAnsi" w:cs="Arial"/>
          <w:bCs/>
          <w:snapToGrid w:val="0"/>
          <w:lang w:val="en-GB"/>
        </w:rPr>
        <w:t xml:space="preserve"> - $75,000/QALY</w:t>
      </w:r>
      <w:r w:rsidR="00846AC7">
        <w:rPr>
          <w:rFonts w:asciiTheme="minorHAnsi" w:hAnsiTheme="minorHAnsi" w:cs="Arial"/>
          <w:bCs/>
          <w:snapToGrid w:val="0"/>
          <w:lang w:val="en-GB"/>
        </w:rPr>
        <w:t xml:space="preserve"> based on a 10 year time horizon</w:t>
      </w:r>
      <w:r w:rsidR="006A6B30">
        <w:rPr>
          <w:rFonts w:asciiTheme="minorHAnsi" w:hAnsiTheme="minorHAnsi" w:cs="Arial"/>
          <w:bCs/>
          <w:snapToGrid w:val="0"/>
          <w:lang w:val="en-GB"/>
        </w:rPr>
        <w:t xml:space="preserve"> is likely to be considered reasonable. The PBAC considered that financial estimates should include increased cost offsets</w:t>
      </w:r>
      <w:r>
        <w:rPr>
          <w:rFonts w:asciiTheme="minorHAnsi" w:hAnsiTheme="minorHAnsi" w:cs="Arial"/>
          <w:bCs/>
          <w:snapToGrid w:val="0"/>
          <w:lang w:val="en-GB"/>
        </w:rPr>
        <w:t xml:space="preserve"> </w:t>
      </w:r>
      <w:r w:rsidR="006A6B30">
        <w:rPr>
          <w:rFonts w:asciiTheme="minorHAnsi" w:hAnsiTheme="minorHAnsi" w:cs="Arial"/>
          <w:bCs/>
          <w:snapToGrid w:val="0"/>
          <w:lang w:val="en-GB"/>
        </w:rPr>
        <w:t>for limiting sequential enzalutamide/</w:t>
      </w:r>
      <w:proofErr w:type="spellStart"/>
      <w:r w:rsidR="006A6B30">
        <w:rPr>
          <w:rFonts w:asciiTheme="minorHAnsi" w:hAnsiTheme="minorHAnsi" w:cs="Arial"/>
          <w:bCs/>
          <w:snapToGrid w:val="0"/>
          <w:lang w:val="en-GB"/>
        </w:rPr>
        <w:t>abiraterone</w:t>
      </w:r>
      <w:proofErr w:type="spellEnd"/>
      <w:r w:rsidR="006A6B30">
        <w:rPr>
          <w:rFonts w:asciiTheme="minorHAnsi" w:hAnsiTheme="minorHAnsi" w:cs="Arial"/>
          <w:bCs/>
          <w:snapToGrid w:val="0"/>
          <w:lang w:val="en-GB"/>
        </w:rPr>
        <w:t xml:space="preserve"> use unless further data demonstrating the efficacy of sequential therapy becomes available. The PBAC also noted that uncertainties in the patient numbers would need to be addressed.</w:t>
      </w:r>
    </w:p>
    <w:p w:rsidR="008347F7" w:rsidRPr="00525B39" w:rsidRDefault="008347F7" w:rsidP="006007A6">
      <w:pPr>
        <w:widowControl w:val="0"/>
        <w:numPr>
          <w:ilvl w:val="1"/>
          <w:numId w:val="3"/>
        </w:numPr>
        <w:spacing w:after="120"/>
        <w:rPr>
          <w:rFonts w:asciiTheme="minorHAnsi" w:hAnsiTheme="minorHAnsi" w:cs="Arial"/>
          <w:bCs/>
          <w:i/>
          <w:snapToGrid w:val="0"/>
          <w:lang w:val="en-GB"/>
        </w:rPr>
      </w:pPr>
      <w:r w:rsidRPr="00525B39">
        <w:rPr>
          <w:rFonts w:asciiTheme="minorHAnsi" w:hAnsiTheme="minorHAnsi" w:cs="Arial"/>
          <w:bCs/>
          <w:snapToGrid w:val="0"/>
          <w:lang w:val="en-GB"/>
        </w:rPr>
        <w:t xml:space="preserve">The PBAC noted that this submission is eligible for an Independent </w:t>
      </w:r>
      <w:r w:rsidRPr="006007A6">
        <w:rPr>
          <w:rFonts w:asciiTheme="minorHAnsi" w:hAnsiTheme="minorHAnsi" w:cs="Arial"/>
          <w:bCs/>
          <w:snapToGrid w:val="0"/>
          <w:lang w:val="en-GB"/>
        </w:rPr>
        <w:t>Review</w:t>
      </w:r>
      <w:r w:rsidR="006007A6" w:rsidRPr="006007A6">
        <w:rPr>
          <w:rFonts w:asciiTheme="minorHAnsi" w:hAnsiTheme="minorHAnsi" w:cs="Arial"/>
          <w:bCs/>
          <w:snapToGrid w:val="0"/>
          <w:lang w:val="en-GB"/>
        </w:rPr>
        <w:t>.</w:t>
      </w:r>
    </w:p>
    <w:p w:rsidR="008347F7" w:rsidRPr="00525B39" w:rsidRDefault="008347F7" w:rsidP="008347F7">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rsidR="00D21732" w:rsidRDefault="008347F7" w:rsidP="00FD3E23">
      <w:pPr>
        <w:rPr>
          <w:rFonts w:asciiTheme="minorHAnsi" w:hAnsiTheme="minorHAnsi" w:cs="Arial"/>
          <w:bCs/>
          <w:snapToGrid w:val="0"/>
          <w:lang w:val="en-GB"/>
        </w:rPr>
      </w:pPr>
      <w:r w:rsidRPr="00525B39">
        <w:rPr>
          <w:rFonts w:asciiTheme="minorHAnsi" w:hAnsiTheme="minorHAnsi" w:cs="Arial"/>
          <w:bCs/>
          <w:snapToGrid w:val="0"/>
          <w:lang w:val="en-GB"/>
        </w:rPr>
        <w:t>Rejected</w:t>
      </w:r>
    </w:p>
    <w:p w:rsidR="007B7A07" w:rsidRPr="007B7A07" w:rsidRDefault="007B7A07" w:rsidP="007B7A07">
      <w:pPr>
        <w:pStyle w:val="Heading1"/>
        <w:ind w:left="709" w:hanging="709"/>
        <w:rPr>
          <w:rFonts w:eastAsiaTheme="minorHAnsi" w:cstheme="minorBidi"/>
          <w:szCs w:val="22"/>
        </w:rPr>
      </w:pPr>
      <w:r w:rsidRPr="007B7A07">
        <w:rPr>
          <w:rFonts w:eastAsiaTheme="minorHAnsi" w:cstheme="minorBidi"/>
          <w:szCs w:val="22"/>
        </w:rPr>
        <w:t>Context for Decision</w:t>
      </w:r>
    </w:p>
    <w:p w:rsidR="007B7A07" w:rsidRPr="007B7A07" w:rsidRDefault="007B7A07" w:rsidP="007B7A07">
      <w:pPr>
        <w:spacing w:line="276" w:lineRule="auto"/>
        <w:ind w:left="426"/>
        <w:rPr>
          <w:rFonts w:asciiTheme="minorHAnsi" w:eastAsiaTheme="minorHAnsi" w:hAnsiTheme="minorHAnsi" w:cs="Arial"/>
          <w:szCs w:val="22"/>
        </w:rPr>
      </w:pPr>
      <w:r w:rsidRPr="007B7A07">
        <w:rPr>
          <w:rFonts w:asciiTheme="minorHAnsi" w:eastAsiaTheme="minorHAnsi" w:hAnsiTheme="minorHAnsi" w:cs="Arial"/>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B7A07" w:rsidRPr="007B7A07" w:rsidRDefault="007B7A07" w:rsidP="007B7A07">
      <w:pPr>
        <w:spacing w:after="200" w:line="276" w:lineRule="auto"/>
        <w:ind w:left="426"/>
        <w:rPr>
          <w:rFonts w:ascii="Arial" w:eastAsiaTheme="minorHAnsi" w:hAnsi="Arial" w:cs="Arial"/>
          <w:sz w:val="22"/>
          <w:szCs w:val="22"/>
        </w:rPr>
      </w:pPr>
    </w:p>
    <w:p w:rsidR="007B7A07" w:rsidRPr="007B7A07" w:rsidRDefault="007B7A07" w:rsidP="007B7A07">
      <w:pPr>
        <w:pStyle w:val="Heading1"/>
        <w:numPr>
          <w:ilvl w:val="0"/>
          <w:numId w:val="0"/>
        </w:numPr>
        <w:ind w:left="709"/>
        <w:rPr>
          <w:rFonts w:eastAsiaTheme="minorHAnsi" w:cstheme="minorBidi"/>
          <w:szCs w:val="22"/>
        </w:rPr>
      </w:pPr>
      <w:r w:rsidRPr="007B7A07">
        <w:rPr>
          <w:rFonts w:eastAsiaTheme="minorHAnsi" w:cstheme="minorBidi"/>
          <w:szCs w:val="22"/>
        </w:rPr>
        <w:t>Sponsor’s Comment</w:t>
      </w:r>
    </w:p>
    <w:p w:rsidR="009D2817" w:rsidRPr="00C07617" w:rsidRDefault="009D2817" w:rsidP="009D2817">
      <w:pPr>
        <w:spacing w:after="120"/>
        <w:ind w:left="426"/>
        <w:rPr>
          <w:rFonts w:asciiTheme="minorHAnsi" w:hAnsiTheme="minorHAnsi" w:cs="Arial"/>
          <w:bCs/>
        </w:rPr>
      </w:pPr>
      <w:r w:rsidRPr="00C07617">
        <w:rPr>
          <w:rFonts w:asciiTheme="minorHAnsi" w:hAnsiTheme="minorHAnsi" w:cs="Arial"/>
          <w:bCs/>
        </w:rPr>
        <w:t>The sponsor had no comment.</w:t>
      </w:r>
    </w:p>
    <w:p w:rsidR="007B7A07" w:rsidRPr="009D2817" w:rsidRDefault="007B7A07" w:rsidP="00FD3E23">
      <w:pPr>
        <w:rPr>
          <w:b/>
        </w:rPr>
      </w:pPr>
    </w:p>
    <w:sectPr w:rsidR="007B7A07" w:rsidRPr="009D2817" w:rsidSect="00A44512">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D42A64" w16cid:durableId="1FABB122"/>
  <w16cid:commentId w16cid:paraId="4BA41104" w16cid:durableId="1FABB1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413" w:rsidRDefault="00B02413" w:rsidP="00124A51">
      <w:r>
        <w:separator/>
      </w:r>
    </w:p>
    <w:p w:rsidR="00B02413" w:rsidRDefault="00B02413"/>
  </w:endnote>
  <w:endnote w:type="continuationSeparator" w:id="0">
    <w:p w:rsidR="00B02413" w:rsidRDefault="00B02413" w:rsidP="00124A51">
      <w:r>
        <w:continuationSeparator/>
      </w:r>
    </w:p>
    <w:p w:rsidR="00B02413" w:rsidRDefault="00B02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altName w:val="Times New Roman Uni"/>
    <w:panose1 w:val="02020603050405020304"/>
    <w:charset w:val="00"/>
    <w:family w:val="roman"/>
    <w:pitch w:val="variable"/>
    <w:sig w:usb0="00000000"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rdia New">
    <w:altName w:val="Arial Unicode MS"/>
    <w:panose1 w:val="020B0304020202020204"/>
    <w:charset w:val="00"/>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B5E" w:rsidRDefault="005F6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B5E" w:rsidRPr="00FD3E23" w:rsidRDefault="005F6B5E" w:rsidP="005870EE">
    <w:pPr>
      <w:ind w:left="709"/>
      <w:contextualSpacing/>
      <w:jc w:val="center"/>
      <w:rPr>
        <w:rFonts w:asciiTheme="minorHAnsi" w:hAnsiTheme="minorHAnsi" w:cstheme="minorHAnsi"/>
        <w:bCs/>
      </w:rPr>
    </w:pPr>
    <w:r w:rsidRPr="00FD3E23">
      <w:rPr>
        <w:rFonts w:asciiTheme="minorHAnsi" w:hAnsiTheme="minorHAnsi" w:cstheme="minorHAnsi"/>
        <w:bCs/>
      </w:rPr>
      <w:fldChar w:fldCharType="begin"/>
    </w:r>
    <w:r w:rsidRPr="00FD3E23">
      <w:rPr>
        <w:rFonts w:asciiTheme="minorHAnsi" w:hAnsiTheme="minorHAnsi" w:cstheme="minorHAnsi"/>
        <w:bCs/>
      </w:rPr>
      <w:instrText xml:space="preserve"> PAGE   \* MERGEFORMAT </w:instrText>
    </w:r>
    <w:r w:rsidRPr="00FD3E23">
      <w:rPr>
        <w:rFonts w:asciiTheme="minorHAnsi" w:hAnsiTheme="minorHAnsi" w:cstheme="minorHAnsi"/>
        <w:bCs/>
      </w:rPr>
      <w:fldChar w:fldCharType="separate"/>
    </w:r>
    <w:r w:rsidR="00A578F4">
      <w:rPr>
        <w:rFonts w:asciiTheme="minorHAnsi" w:hAnsiTheme="minorHAnsi" w:cstheme="minorHAnsi"/>
        <w:bCs/>
        <w:noProof/>
      </w:rPr>
      <w:t>1</w:t>
    </w:r>
    <w:r w:rsidRPr="00FD3E23">
      <w:rPr>
        <w:rFonts w:asciiTheme="minorHAnsi" w:hAnsiTheme="minorHAnsi" w:cstheme="minorHAnsi"/>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B5E" w:rsidRDefault="005F6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413" w:rsidRDefault="00B02413" w:rsidP="00124A51">
      <w:r>
        <w:separator/>
      </w:r>
    </w:p>
    <w:p w:rsidR="00B02413" w:rsidRDefault="00B02413"/>
  </w:footnote>
  <w:footnote w:type="continuationSeparator" w:id="0">
    <w:p w:rsidR="00B02413" w:rsidRDefault="00B02413" w:rsidP="00124A51">
      <w:r>
        <w:continuationSeparator/>
      </w:r>
    </w:p>
    <w:p w:rsidR="00B02413" w:rsidRDefault="00B02413"/>
  </w:footnote>
  <w:footnote w:id="1">
    <w:p w:rsidR="005F6B5E" w:rsidRPr="003E11E7" w:rsidRDefault="005F6B5E" w:rsidP="00922373">
      <w:pPr>
        <w:pStyle w:val="FootnoteText"/>
        <w:ind w:left="142" w:hanging="142"/>
        <w:rPr>
          <w:rFonts w:cs="Calibri"/>
        </w:rPr>
      </w:pPr>
      <w:r>
        <w:rPr>
          <w:rStyle w:val="FootnoteReference"/>
        </w:rPr>
        <w:footnoteRef/>
      </w:r>
      <w:r>
        <w:t xml:space="preserve"> </w:t>
      </w:r>
      <w:r w:rsidRPr="003E11E7">
        <w:rPr>
          <w:rFonts w:cs="Calibri"/>
        </w:rPr>
        <w:t xml:space="preserve">Payer acceptability of metastasis-free survival as the primary end point in non-metastatic castration-resistant prostate cancer.  </w:t>
      </w:r>
      <w:proofErr w:type="spellStart"/>
      <w:r w:rsidRPr="003E11E7">
        <w:rPr>
          <w:rFonts w:cs="Calibri"/>
        </w:rPr>
        <w:t>Degener</w:t>
      </w:r>
      <w:proofErr w:type="spellEnd"/>
      <w:r w:rsidRPr="003E11E7">
        <w:rPr>
          <w:rFonts w:cs="Calibri"/>
        </w:rPr>
        <w:t xml:space="preserve"> F, </w:t>
      </w:r>
      <w:proofErr w:type="spellStart"/>
      <w:r w:rsidRPr="003E11E7">
        <w:rPr>
          <w:rFonts w:cs="Calibri"/>
        </w:rPr>
        <w:t>Holmstrom</w:t>
      </w:r>
      <w:proofErr w:type="spellEnd"/>
      <w:r w:rsidRPr="003E11E7">
        <w:rPr>
          <w:rFonts w:cs="Calibri"/>
        </w:rPr>
        <w:t xml:space="preserve"> S, van Engen A, Naidoo S.  ISPOR 22</w:t>
      </w:r>
      <w:r w:rsidRPr="003E11E7">
        <w:rPr>
          <w:rFonts w:cs="Calibri"/>
          <w:vertAlign w:val="superscript"/>
        </w:rPr>
        <w:t>nd</w:t>
      </w:r>
      <w:r w:rsidRPr="003E11E7">
        <w:rPr>
          <w:rFonts w:cs="Calibri"/>
        </w:rPr>
        <w:t xml:space="preserve"> Annual International Meeting, May 20-24 2017, Boston USA; Poster PCN259. Sourced at:</w:t>
      </w:r>
    </w:p>
    <w:p w:rsidR="005F6B5E" w:rsidRDefault="005F6B5E" w:rsidP="00922373">
      <w:pPr>
        <w:pStyle w:val="FootnoteText"/>
      </w:pPr>
      <w:r w:rsidRPr="003E11E7">
        <w:rPr>
          <w:rFonts w:cs="Calibri"/>
        </w:rPr>
        <w:t xml:space="preserve"> </w:t>
      </w:r>
      <w:hyperlink r:id="rId1" w:history="1">
        <w:r w:rsidRPr="003E11E7">
          <w:rPr>
            <w:rStyle w:val="Hyperlink"/>
            <w:rFonts w:cs="Calibri"/>
          </w:rPr>
          <w:t>https://www.ispor.org/research_pdfs/55/pdffiles/PCN259.pdf</w:t>
        </w:r>
      </w:hyperlink>
    </w:p>
  </w:footnote>
  <w:footnote w:id="2">
    <w:p w:rsidR="005F6B5E" w:rsidRDefault="005F6B5E">
      <w:pPr>
        <w:pStyle w:val="FootnoteText"/>
      </w:pPr>
      <w:r>
        <w:rPr>
          <w:rStyle w:val="FootnoteReference"/>
        </w:rPr>
        <w:footnoteRef/>
      </w:r>
      <w:r w:rsidRPr="00DA4E63">
        <w:rPr>
          <w:lang w:val="fr-FR"/>
        </w:rPr>
        <w:t xml:space="preserve"> </w:t>
      </w:r>
      <w:r w:rsidRPr="009F746A">
        <w:rPr>
          <w:lang w:val="fr-FR"/>
        </w:rPr>
        <w:t xml:space="preserve">Hussain M, </w:t>
      </w:r>
      <w:proofErr w:type="spellStart"/>
      <w:r w:rsidRPr="009F746A">
        <w:rPr>
          <w:lang w:val="fr-FR"/>
        </w:rPr>
        <w:t>Fizazi</w:t>
      </w:r>
      <w:proofErr w:type="spellEnd"/>
      <w:r w:rsidRPr="009F746A">
        <w:rPr>
          <w:lang w:val="fr-FR"/>
        </w:rPr>
        <w:t xml:space="preserve"> K, Saad F, et al. </w:t>
      </w:r>
      <w:r>
        <w:t xml:space="preserve">Enzalutamide in men with </w:t>
      </w:r>
      <w:proofErr w:type="spellStart"/>
      <w:r>
        <w:t>nonmetastatic</w:t>
      </w:r>
      <w:proofErr w:type="spellEnd"/>
      <w:r>
        <w:t xml:space="preserve">, castration-resistant prostate cancer. </w:t>
      </w:r>
      <w:r w:rsidRPr="005042D2">
        <w:rPr>
          <w:i/>
        </w:rPr>
        <w:t>NEJM</w:t>
      </w:r>
      <w:r>
        <w:t xml:space="preserve"> 2018; 378:2465-74.</w:t>
      </w:r>
    </w:p>
  </w:footnote>
  <w:footnote w:id="3">
    <w:p w:rsidR="005F6B5E" w:rsidRDefault="005F6B5E" w:rsidP="00F97698">
      <w:pPr>
        <w:pStyle w:val="FootnoteText"/>
      </w:pPr>
      <w:r>
        <w:rPr>
          <w:rStyle w:val="FootnoteReference"/>
        </w:rPr>
        <w:footnoteRef/>
      </w:r>
      <w:r>
        <w:t xml:space="preserve"> first results expected September 2018 as per </w:t>
      </w:r>
      <w:hyperlink r:id="rId2" w:history="1">
        <w:r w:rsidRPr="00942055">
          <w:rPr>
            <w:rStyle w:val="Hyperlink"/>
          </w:rPr>
          <w:t>https://clinicaltrials.gov/ct2/show/NCT02200614</w:t>
        </w:r>
      </w:hyperlink>
    </w:p>
  </w:footnote>
  <w:footnote w:id="4">
    <w:p w:rsidR="005F6B5E" w:rsidRDefault="005F6B5E" w:rsidP="00922373">
      <w:pPr>
        <w:pStyle w:val="FootnoteText"/>
      </w:pPr>
      <w:r>
        <w:rPr>
          <w:rStyle w:val="FootnoteReference"/>
        </w:rPr>
        <w:footnoteRef/>
      </w:r>
      <w:r>
        <w:t xml:space="preserve"> First results expected March 2021 as per </w:t>
      </w:r>
      <w:hyperlink r:id="rId3" w:history="1">
        <w:r w:rsidRPr="00942055">
          <w:rPr>
            <w:rStyle w:val="Hyperlink"/>
          </w:rPr>
          <w:t>https://clinicaltrials.gov/ct2/show/NCT02319837</w:t>
        </w:r>
      </w:hyperlink>
    </w:p>
  </w:footnote>
  <w:footnote w:id="5">
    <w:p w:rsidR="005F6B5E" w:rsidRDefault="005F6B5E">
      <w:pPr>
        <w:pStyle w:val="FootnoteText"/>
      </w:pPr>
      <w:r>
        <w:rPr>
          <w:rStyle w:val="FootnoteReference"/>
        </w:rPr>
        <w:footnoteRef/>
      </w:r>
      <w:r>
        <w:t xml:space="preserve"> Sweeney CJ, Chen YH, Carducci M, Liu G et al.  </w:t>
      </w:r>
      <w:proofErr w:type="spellStart"/>
      <w:r>
        <w:t>Chemohormonal</w:t>
      </w:r>
      <w:proofErr w:type="spellEnd"/>
      <w:r>
        <w:t xml:space="preserve"> therapy in metastatic hormone-sensitive prostate cancer.  </w:t>
      </w:r>
      <w:r w:rsidRPr="00D50624">
        <w:rPr>
          <w:i/>
          <w:lang w:val="fr-FR"/>
        </w:rPr>
        <w:t>NEJM</w:t>
      </w:r>
      <w:r w:rsidRPr="00D50624">
        <w:rPr>
          <w:lang w:val="fr-FR"/>
        </w:rPr>
        <w:t xml:space="preserve"> 2015; 373: 737-746.</w:t>
      </w:r>
    </w:p>
  </w:footnote>
  <w:footnote w:id="6">
    <w:p w:rsidR="005F6B5E" w:rsidRDefault="005F6B5E" w:rsidP="002876A5">
      <w:pPr>
        <w:pStyle w:val="FootnoteText"/>
      </w:pPr>
      <w:r>
        <w:rPr>
          <w:rStyle w:val="FootnoteReference"/>
        </w:rPr>
        <w:footnoteRef/>
      </w:r>
      <w:r w:rsidRPr="00D50624">
        <w:rPr>
          <w:lang w:val="fr-FR"/>
        </w:rPr>
        <w:t xml:space="preserve"> James ND, </w:t>
      </w:r>
      <w:proofErr w:type="spellStart"/>
      <w:r w:rsidRPr="00D50624">
        <w:rPr>
          <w:lang w:val="fr-FR"/>
        </w:rPr>
        <w:t>Sydes</w:t>
      </w:r>
      <w:proofErr w:type="spellEnd"/>
      <w:r w:rsidRPr="00D50624">
        <w:rPr>
          <w:lang w:val="fr-FR"/>
        </w:rPr>
        <w:t xml:space="preserve"> MR, Clarke NW, </w:t>
      </w:r>
      <w:proofErr w:type="spellStart"/>
      <w:r w:rsidRPr="00D50624">
        <w:rPr>
          <w:lang w:val="fr-FR"/>
        </w:rPr>
        <w:t>Mason</w:t>
      </w:r>
      <w:proofErr w:type="spellEnd"/>
      <w:r w:rsidRPr="00D50624">
        <w:rPr>
          <w:lang w:val="fr-FR"/>
        </w:rPr>
        <w:t xml:space="preserve"> MD et al.  </w:t>
      </w:r>
      <w:r>
        <w:t xml:space="preserve">Addition of docetaxel, </w:t>
      </w:r>
      <w:proofErr w:type="spellStart"/>
      <w:r>
        <w:t>zoledronic</w:t>
      </w:r>
      <w:proofErr w:type="spellEnd"/>
      <w:r>
        <w:t xml:space="preserve"> acid or both to first-line long-term hormone therapy in prostate cancer (STAMPEDE): survival results from an adaptive, </w:t>
      </w:r>
      <w:proofErr w:type="spellStart"/>
      <w:r>
        <w:t>multiarm</w:t>
      </w:r>
      <w:proofErr w:type="spellEnd"/>
      <w:r>
        <w:t xml:space="preserve">, multistage, platform randomised controlled trial.  </w:t>
      </w:r>
      <w:r w:rsidRPr="00900EBC">
        <w:rPr>
          <w:i/>
        </w:rPr>
        <w:t>Lancet</w:t>
      </w:r>
      <w:r>
        <w:t xml:space="preserve"> 2016; 387: 1163-1177. </w:t>
      </w:r>
    </w:p>
  </w:footnote>
  <w:footnote w:id="7">
    <w:p w:rsidR="005F6B5E" w:rsidRPr="00DF1937" w:rsidRDefault="005F6B5E" w:rsidP="00561FD1">
      <w:pPr>
        <w:pStyle w:val="FootnoteText"/>
      </w:pPr>
      <w:r>
        <w:rPr>
          <w:rStyle w:val="FootnoteReference"/>
        </w:rPr>
        <w:footnoteRef/>
      </w:r>
      <w:r w:rsidRPr="009F746A">
        <w:t xml:space="preserve"> </w:t>
      </w:r>
      <w:proofErr w:type="spellStart"/>
      <w:r w:rsidRPr="00DF1937">
        <w:t>Attard</w:t>
      </w:r>
      <w:proofErr w:type="spellEnd"/>
      <w:r w:rsidRPr="00DF1937">
        <w:t xml:space="preserve"> G, </w:t>
      </w:r>
      <w:proofErr w:type="spellStart"/>
      <w:r w:rsidRPr="00DF1937">
        <w:t>Borre</w:t>
      </w:r>
      <w:proofErr w:type="spellEnd"/>
      <w:r w:rsidRPr="00DF1937">
        <w:t xml:space="preserve"> M, Gurney H, et al. A phase IV, randomized, double-blind, placebo-controlled study of continued enzalutamide post prostate-specific antigen progression in men with chemotherapy-naïve metastatic castration-resistant prostate cancer (abstract 5004). 2017 American Society of Clinical Oncology meeting. </w:t>
      </w:r>
    </w:p>
  </w:footnote>
  <w:footnote w:id="8">
    <w:p w:rsidR="005F6B5E" w:rsidRDefault="005F6B5E">
      <w:pPr>
        <w:pStyle w:val="FootnoteText"/>
      </w:pPr>
      <w:r>
        <w:rPr>
          <w:rStyle w:val="FootnoteReference"/>
        </w:rPr>
        <w:footnoteRef/>
      </w:r>
      <w:r>
        <w:t xml:space="preserve"> </w:t>
      </w:r>
      <w:proofErr w:type="spellStart"/>
      <w:r>
        <w:t>Geynisman</w:t>
      </w:r>
      <w:proofErr w:type="spellEnd"/>
      <w:r>
        <w:t xml:space="preserve"> DM, </w:t>
      </w:r>
      <w:proofErr w:type="spellStart"/>
      <w:r>
        <w:t>Plimack</w:t>
      </w:r>
      <w:proofErr w:type="spellEnd"/>
      <w:r>
        <w:t xml:space="preserve"> ER, </w:t>
      </w:r>
      <w:proofErr w:type="spellStart"/>
      <w:r>
        <w:t>Zibelman</w:t>
      </w:r>
      <w:proofErr w:type="spellEnd"/>
      <w:r>
        <w:t xml:space="preserve"> M.  Second-generation androgen receptor-targeted therapies in </w:t>
      </w:r>
      <w:proofErr w:type="spellStart"/>
      <w:r>
        <w:t>nonmetastatic</w:t>
      </w:r>
      <w:proofErr w:type="spellEnd"/>
      <w:r>
        <w:t xml:space="preserve"> castration-resistant prostate cancer: Effective early intervention or intervening too early?  </w:t>
      </w:r>
      <w:proofErr w:type="spellStart"/>
      <w:r w:rsidRPr="008C1276">
        <w:rPr>
          <w:i/>
        </w:rPr>
        <w:t>Eur</w:t>
      </w:r>
      <w:proofErr w:type="spellEnd"/>
      <w:r w:rsidRPr="008C1276">
        <w:rPr>
          <w:i/>
        </w:rPr>
        <w:t xml:space="preserve"> </w:t>
      </w:r>
      <w:proofErr w:type="spellStart"/>
      <w:r w:rsidRPr="008C1276">
        <w:rPr>
          <w:i/>
        </w:rPr>
        <w:t>Urol</w:t>
      </w:r>
      <w:proofErr w:type="spellEnd"/>
      <w:r>
        <w:t xml:space="preserve"> 2016; 70: 971-973.</w:t>
      </w:r>
    </w:p>
  </w:footnote>
  <w:footnote w:id="9">
    <w:p w:rsidR="005F6B5E" w:rsidRPr="008807EA" w:rsidRDefault="005F6B5E">
      <w:pPr>
        <w:pStyle w:val="FootnoteText"/>
        <w:rPr>
          <w:rFonts w:cs="Calibri"/>
        </w:rPr>
      </w:pPr>
      <w:r w:rsidRPr="008807EA">
        <w:rPr>
          <w:rStyle w:val="FootnoteReference"/>
          <w:rFonts w:cs="Calibri"/>
        </w:rPr>
        <w:footnoteRef/>
      </w:r>
      <w:r w:rsidRPr="008807EA">
        <w:rPr>
          <w:rFonts w:cs="Calibri"/>
        </w:rPr>
        <w:t xml:space="preserve"> Hussain M, </w:t>
      </w:r>
      <w:proofErr w:type="spellStart"/>
      <w:r w:rsidRPr="008807EA">
        <w:rPr>
          <w:rFonts w:cs="Calibri"/>
        </w:rPr>
        <w:t>Fizazi</w:t>
      </w:r>
      <w:proofErr w:type="spellEnd"/>
      <w:r w:rsidRPr="008807EA">
        <w:rPr>
          <w:rFonts w:cs="Calibri"/>
        </w:rPr>
        <w:t xml:space="preserve"> K, </w:t>
      </w:r>
      <w:proofErr w:type="spellStart"/>
      <w:r w:rsidRPr="008807EA">
        <w:rPr>
          <w:rFonts w:cs="Calibri"/>
        </w:rPr>
        <w:t>Saad</w:t>
      </w:r>
      <w:proofErr w:type="spellEnd"/>
      <w:r w:rsidRPr="008807EA">
        <w:rPr>
          <w:rFonts w:cs="Calibri"/>
        </w:rPr>
        <w:t xml:space="preserve"> F, et al. Enzalutamide in men with </w:t>
      </w:r>
      <w:proofErr w:type="spellStart"/>
      <w:r w:rsidRPr="008807EA">
        <w:rPr>
          <w:rFonts w:cs="Calibri"/>
        </w:rPr>
        <w:t>nonmetastatic</w:t>
      </w:r>
      <w:proofErr w:type="spellEnd"/>
      <w:r w:rsidRPr="008807EA">
        <w:rPr>
          <w:rFonts w:cs="Calibri"/>
        </w:rPr>
        <w:t xml:space="preserve">, castration-resistant prostate cancer. </w:t>
      </w:r>
      <w:r w:rsidRPr="008807EA">
        <w:rPr>
          <w:rFonts w:cs="Calibri"/>
          <w:i/>
        </w:rPr>
        <w:t>NEJM</w:t>
      </w:r>
      <w:r w:rsidRPr="008807EA">
        <w:rPr>
          <w:rFonts w:cs="Calibri"/>
        </w:rPr>
        <w:t xml:space="preserve"> 2018; 378:2465-74.</w:t>
      </w:r>
    </w:p>
  </w:footnote>
  <w:footnote w:id="10">
    <w:p w:rsidR="005F6B5E" w:rsidRPr="00525B39" w:rsidRDefault="005F6B5E" w:rsidP="008069E6">
      <w:pPr>
        <w:widowControl w:val="0"/>
        <w:spacing w:after="120"/>
        <w:rPr>
          <w:rFonts w:asciiTheme="minorHAnsi" w:hAnsiTheme="minorHAnsi" w:cs="Arial"/>
          <w:bCs/>
          <w:snapToGrid w:val="0"/>
        </w:rPr>
      </w:pPr>
      <w:r w:rsidRPr="008069E6">
        <w:rPr>
          <w:rStyle w:val="FootnoteReference"/>
          <w:sz w:val="16"/>
          <w:szCs w:val="16"/>
        </w:rPr>
        <w:footnoteRef/>
      </w:r>
      <w:r w:rsidRPr="008069E6">
        <w:rPr>
          <w:sz w:val="16"/>
          <w:szCs w:val="16"/>
        </w:rPr>
        <w:t xml:space="preserve"> </w:t>
      </w:r>
      <w:proofErr w:type="spellStart"/>
      <w:r w:rsidRPr="00525B39">
        <w:rPr>
          <w:rFonts w:asciiTheme="minorHAnsi" w:hAnsiTheme="minorHAnsi" w:cs="Arial"/>
          <w:bCs/>
          <w:snapToGrid w:val="0"/>
          <w:sz w:val="16"/>
        </w:rPr>
        <w:t>Cherny</w:t>
      </w:r>
      <w:proofErr w:type="spellEnd"/>
      <w:r w:rsidRPr="00525B39">
        <w:rPr>
          <w:rFonts w:asciiTheme="minorHAnsi" w:hAnsiTheme="minorHAnsi" w:cs="Arial"/>
          <w:bCs/>
          <w:snapToGrid w:val="0"/>
          <w:sz w:val="16"/>
        </w:rPr>
        <w:t xml:space="preserve"> NI, Dafni U, </w:t>
      </w:r>
      <w:proofErr w:type="spellStart"/>
      <w:r w:rsidRPr="00525B39">
        <w:rPr>
          <w:rFonts w:asciiTheme="minorHAnsi" w:hAnsiTheme="minorHAnsi" w:cs="Arial"/>
          <w:bCs/>
          <w:snapToGrid w:val="0"/>
          <w:sz w:val="16"/>
        </w:rPr>
        <w:t>Bogaerts</w:t>
      </w:r>
      <w:proofErr w:type="spellEnd"/>
      <w:r w:rsidRPr="00525B39">
        <w:rPr>
          <w:rFonts w:asciiTheme="minorHAnsi" w:hAnsiTheme="minorHAnsi" w:cs="Arial"/>
          <w:bCs/>
          <w:snapToGrid w:val="0"/>
          <w:sz w:val="16"/>
        </w:rPr>
        <w:t xml:space="preserve"> J, et al: ESMO-Magnitude of Clinical Benefit Scale version 1.1. Annals of Oncology 28:2340-2366, 2017</w:t>
      </w:r>
    </w:p>
    <w:p w:rsidR="005F6B5E" w:rsidRDefault="005F6B5E">
      <w:pPr>
        <w:pStyle w:val="FootnoteText"/>
      </w:pPr>
    </w:p>
  </w:footnote>
  <w:footnote w:id="11">
    <w:p w:rsidR="005F6B5E" w:rsidRPr="003E11E7" w:rsidRDefault="005F6B5E" w:rsidP="003B0EBD">
      <w:pPr>
        <w:pStyle w:val="FootnoteText"/>
        <w:ind w:left="142" w:hanging="142"/>
        <w:rPr>
          <w:rFonts w:cs="Calibri"/>
        </w:rPr>
      </w:pPr>
      <w:r>
        <w:rPr>
          <w:rStyle w:val="FootnoteReference"/>
        </w:rPr>
        <w:footnoteRef/>
      </w:r>
      <w:r>
        <w:t xml:space="preserve"> </w:t>
      </w:r>
      <w:r w:rsidRPr="003E11E7">
        <w:rPr>
          <w:rFonts w:cs="Calibri"/>
        </w:rPr>
        <w:t xml:space="preserve">Payer acceptability of metastasis-free survival as the primary end point in non-metastatic castration-resistant prostate cancer.  </w:t>
      </w:r>
      <w:proofErr w:type="spellStart"/>
      <w:r w:rsidRPr="003E11E7">
        <w:rPr>
          <w:rFonts w:cs="Calibri"/>
        </w:rPr>
        <w:t>Degener</w:t>
      </w:r>
      <w:proofErr w:type="spellEnd"/>
      <w:r w:rsidRPr="003E11E7">
        <w:rPr>
          <w:rFonts w:cs="Calibri"/>
        </w:rPr>
        <w:t xml:space="preserve"> F, </w:t>
      </w:r>
      <w:proofErr w:type="spellStart"/>
      <w:r w:rsidRPr="003E11E7">
        <w:rPr>
          <w:rFonts w:cs="Calibri"/>
        </w:rPr>
        <w:t>Holmstrom</w:t>
      </w:r>
      <w:proofErr w:type="spellEnd"/>
      <w:r w:rsidRPr="003E11E7">
        <w:rPr>
          <w:rFonts w:cs="Calibri"/>
        </w:rPr>
        <w:t xml:space="preserve"> S, van Engen A, Naidoo S.  ISPOR 22</w:t>
      </w:r>
      <w:r w:rsidRPr="003E11E7">
        <w:rPr>
          <w:rFonts w:cs="Calibri"/>
          <w:vertAlign w:val="superscript"/>
        </w:rPr>
        <w:t>nd</w:t>
      </w:r>
      <w:r w:rsidRPr="003E11E7">
        <w:rPr>
          <w:rFonts w:cs="Calibri"/>
        </w:rPr>
        <w:t xml:space="preserve"> Annual International Meeting, May 20-24 2017, Boston USA; Poster PCN259. Sourced at:</w:t>
      </w:r>
      <w:r>
        <w:rPr>
          <w:rFonts w:cs="Calibri"/>
        </w:rPr>
        <w:t xml:space="preserve"> </w:t>
      </w:r>
    </w:p>
    <w:p w:rsidR="005F6B5E" w:rsidRDefault="005F6B5E" w:rsidP="003B0EBD">
      <w:pPr>
        <w:pStyle w:val="FootnoteText"/>
      </w:pPr>
      <w:r w:rsidRPr="003E11E7">
        <w:rPr>
          <w:rFonts w:cs="Calibri"/>
        </w:rPr>
        <w:t xml:space="preserve"> </w:t>
      </w:r>
      <w:hyperlink r:id="rId4" w:history="1">
        <w:r w:rsidRPr="003E11E7">
          <w:rPr>
            <w:rStyle w:val="Hyperlink"/>
            <w:rFonts w:cs="Calibri"/>
          </w:rPr>
          <w:t>https://www.ispor.org/research_pdfs/55/pdffiles/PCN259.pdf</w:t>
        </w:r>
      </w:hyperlink>
    </w:p>
  </w:footnote>
  <w:footnote w:id="12">
    <w:p w:rsidR="005F6B5E" w:rsidRDefault="005F6B5E" w:rsidP="00292376">
      <w:pPr>
        <w:pStyle w:val="FootnoteText"/>
        <w:rPr>
          <w:rFonts w:asciiTheme="minorHAnsi" w:hAnsiTheme="minorHAnsi" w:cstheme="minorHAnsi"/>
          <w:color w:val="111111"/>
        </w:rPr>
      </w:pPr>
      <w:r>
        <w:rPr>
          <w:rStyle w:val="FootnoteReference"/>
        </w:rPr>
        <w:footnoteRef/>
      </w:r>
      <w:r>
        <w:t xml:space="preserve"> </w:t>
      </w:r>
      <w:r w:rsidRPr="00BF6FD3">
        <w:rPr>
          <w:rFonts w:asciiTheme="minorHAnsi" w:hAnsiTheme="minorHAnsi" w:cstheme="minorHAnsi"/>
          <w:color w:val="111111"/>
        </w:rPr>
        <w:t>Institute for Quality</w:t>
      </w:r>
      <w:r>
        <w:rPr>
          <w:rFonts w:asciiTheme="minorHAnsi" w:hAnsiTheme="minorHAnsi" w:cstheme="minorHAnsi"/>
          <w:color w:val="111111"/>
        </w:rPr>
        <w:t xml:space="preserve"> and Efficiency in Health Care</w:t>
      </w:r>
      <w:r w:rsidRPr="00BF6FD3">
        <w:rPr>
          <w:rFonts w:asciiTheme="minorHAnsi" w:hAnsiTheme="minorHAnsi" w:cstheme="minorHAnsi"/>
          <w:color w:val="111111"/>
        </w:rPr>
        <w:t>. Validity of surrogate endpoints in oncology: executive summary of rapid report A10–05, version 1.1</w:t>
      </w:r>
      <w:r>
        <w:rPr>
          <w:rFonts w:asciiTheme="minorHAnsi" w:hAnsiTheme="minorHAnsi" w:cstheme="minorHAnsi"/>
          <w:color w:val="111111"/>
        </w:rPr>
        <w:t xml:space="preserve"> available at: </w:t>
      </w:r>
    </w:p>
    <w:p w:rsidR="005F6B5E" w:rsidRDefault="00A578F4" w:rsidP="00292376">
      <w:pPr>
        <w:pStyle w:val="FootnoteText"/>
      </w:pPr>
      <w:hyperlink r:id="rId5" w:history="1">
        <w:r w:rsidR="005F6B5E" w:rsidRPr="006A0C9C">
          <w:rPr>
            <w:rStyle w:val="Hyperlink"/>
            <w:rFonts w:asciiTheme="minorHAnsi" w:hAnsiTheme="minorHAnsi" w:cstheme="minorHAnsi"/>
          </w:rPr>
          <w:t>https://www.ncbi.nlm.nih.gov/pubmedhealth/PMH0065194/pdf/PubMedHealth_PMH0065194.pdf</w:t>
        </w:r>
      </w:hyperlink>
      <w:r w:rsidR="005F6B5E">
        <w:rPr>
          <w:rFonts w:asciiTheme="minorHAnsi" w:hAnsiTheme="minorHAnsi" w:cstheme="minorHAnsi"/>
          <w:color w:val="11111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B5E" w:rsidRDefault="005F6B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B5E" w:rsidRPr="00FD3E23" w:rsidRDefault="005F6B5E" w:rsidP="00485311">
    <w:pPr>
      <w:tabs>
        <w:tab w:val="left" w:pos="142"/>
        <w:tab w:val="right" w:pos="9027"/>
      </w:tabs>
      <w:jc w:val="center"/>
      <w:rPr>
        <w:i/>
      </w:rPr>
    </w:pPr>
    <w:r>
      <w:rPr>
        <w:i/>
      </w:rPr>
      <w:t>Public Summary Document</w:t>
    </w:r>
    <w:r w:rsidRPr="00FD3E23">
      <w:rPr>
        <w:i/>
      </w:rPr>
      <w:t xml:space="preserve"> – November 2018 PBAC Meeting</w:t>
    </w:r>
  </w:p>
  <w:p w:rsidR="005F6B5E" w:rsidRDefault="005F6B5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B5E" w:rsidRDefault="005F6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3725ED"/>
    <w:multiLevelType w:val="multilevel"/>
    <w:tmpl w:val="6C7C2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9D5BEB"/>
    <w:multiLevelType w:val="hybridMultilevel"/>
    <w:tmpl w:val="03701C46"/>
    <w:lvl w:ilvl="0" w:tplc="F0AA57E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DB6EC1"/>
    <w:multiLevelType w:val="hybridMultilevel"/>
    <w:tmpl w:val="835CF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E284C"/>
    <w:multiLevelType w:val="multilevel"/>
    <w:tmpl w:val="4306C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7A51F5"/>
    <w:multiLevelType w:val="hybridMultilevel"/>
    <w:tmpl w:val="D9565BDE"/>
    <w:lvl w:ilvl="0" w:tplc="921E3354">
      <w:numFmt w:val="bullet"/>
      <w:lvlText w:val="-"/>
      <w:lvlJc w:val="left"/>
      <w:pPr>
        <w:ind w:left="720" w:hanging="360"/>
      </w:pPr>
      <w:rPr>
        <w:rFonts w:ascii="Arial" w:eastAsia="MS Mincho"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3C3583"/>
    <w:multiLevelType w:val="hybridMultilevel"/>
    <w:tmpl w:val="2D883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50810"/>
    <w:multiLevelType w:val="hybridMultilevel"/>
    <w:tmpl w:val="0E7619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B747BC"/>
    <w:multiLevelType w:val="hybridMultilevel"/>
    <w:tmpl w:val="9C667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F015DD"/>
    <w:multiLevelType w:val="hybridMultilevel"/>
    <w:tmpl w:val="DC16F38E"/>
    <w:lvl w:ilvl="0" w:tplc="33C4764C">
      <w:start w:val="1"/>
      <w:numFmt w:val="decimal"/>
      <w:pStyle w:val="TableTitleA"/>
      <w:lvlText w:val="Table 4.%1"/>
      <w:lvlJc w:val="left"/>
      <w:pPr>
        <w:ind w:left="9450"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0" w:hanging="360"/>
      </w:pPr>
    </w:lvl>
    <w:lvl w:ilvl="2" w:tplc="0C09001B" w:tentative="1">
      <w:start w:val="1"/>
      <w:numFmt w:val="lowerRoman"/>
      <w:lvlText w:val="%3."/>
      <w:lvlJc w:val="right"/>
      <w:pPr>
        <w:ind w:left="15120" w:hanging="180"/>
      </w:pPr>
    </w:lvl>
    <w:lvl w:ilvl="3" w:tplc="0C09000F" w:tentative="1">
      <w:start w:val="1"/>
      <w:numFmt w:val="decimal"/>
      <w:lvlText w:val="%4."/>
      <w:lvlJc w:val="left"/>
      <w:pPr>
        <w:ind w:left="15840" w:hanging="360"/>
      </w:pPr>
    </w:lvl>
    <w:lvl w:ilvl="4" w:tplc="0C090019" w:tentative="1">
      <w:start w:val="1"/>
      <w:numFmt w:val="lowerLetter"/>
      <w:lvlText w:val="%5."/>
      <w:lvlJc w:val="left"/>
      <w:pPr>
        <w:ind w:left="16560" w:hanging="360"/>
      </w:pPr>
    </w:lvl>
    <w:lvl w:ilvl="5" w:tplc="0C09001B" w:tentative="1">
      <w:start w:val="1"/>
      <w:numFmt w:val="lowerRoman"/>
      <w:lvlText w:val="%6."/>
      <w:lvlJc w:val="right"/>
      <w:pPr>
        <w:ind w:left="17280" w:hanging="180"/>
      </w:pPr>
    </w:lvl>
    <w:lvl w:ilvl="6" w:tplc="0C09000F" w:tentative="1">
      <w:start w:val="1"/>
      <w:numFmt w:val="decimal"/>
      <w:lvlText w:val="%7."/>
      <w:lvlJc w:val="left"/>
      <w:pPr>
        <w:ind w:left="18000" w:hanging="360"/>
      </w:pPr>
    </w:lvl>
    <w:lvl w:ilvl="7" w:tplc="0C090019" w:tentative="1">
      <w:start w:val="1"/>
      <w:numFmt w:val="lowerLetter"/>
      <w:lvlText w:val="%8."/>
      <w:lvlJc w:val="left"/>
      <w:pPr>
        <w:ind w:left="18720" w:hanging="360"/>
      </w:pPr>
    </w:lvl>
    <w:lvl w:ilvl="8" w:tplc="0C09001B" w:tentative="1">
      <w:start w:val="1"/>
      <w:numFmt w:val="lowerRoman"/>
      <w:lvlText w:val="%9."/>
      <w:lvlJc w:val="right"/>
      <w:pPr>
        <w:ind w:left="19440" w:hanging="180"/>
      </w:pPr>
    </w:lvl>
  </w:abstractNum>
  <w:abstractNum w:abstractNumId="14" w15:restartNumberingAfterBreak="0">
    <w:nsid w:val="40F07D29"/>
    <w:multiLevelType w:val="hybridMultilevel"/>
    <w:tmpl w:val="80BA0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E1489"/>
    <w:multiLevelType w:val="hybridMultilevel"/>
    <w:tmpl w:val="170472CA"/>
    <w:lvl w:ilvl="0" w:tplc="4E9E8200">
      <w:start w:val="1"/>
      <w:numFmt w:val="decimal"/>
      <w:pStyle w:val="Table31"/>
      <w:lvlText w:val="Table 3.%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055B5"/>
    <w:multiLevelType w:val="hybridMultilevel"/>
    <w:tmpl w:val="78E8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C531B"/>
    <w:multiLevelType w:val="hybridMultilevel"/>
    <w:tmpl w:val="1BA60C7A"/>
    <w:lvl w:ilvl="0" w:tplc="E56CF07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C010A71"/>
    <w:multiLevelType w:val="hybridMultilevel"/>
    <w:tmpl w:val="9DC2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962806"/>
    <w:multiLevelType w:val="hybridMultilevel"/>
    <w:tmpl w:val="528A0CAC"/>
    <w:lvl w:ilvl="0" w:tplc="921E3354">
      <w:numFmt w:val="bullet"/>
      <w:lvlText w:val="-"/>
      <w:lvlJc w:val="left"/>
      <w:pPr>
        <w:ind w:left="720" w:hanging="360"/>
      </w:pPr>
      <w:rPr>
        <w:rFonts w:ascii="Arial" w:eastAsia="MS Mincho"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0F2795"/>
    <w:multiLevelType w:val="hybridMultilevel"/>
    <w:tmpl w:val="390030C0"/>
    <w:lvl w:ilvl="0" w:tplc="81DE874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581BB4"/>
    <w:multiLevelType w:val="hybridMultilevel"/>
    <w:tmpl w:val="23B6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127052"/>
    <w:multiLevelType w:val="hybridMultilevel"/>
    <w:tmpl w:val="5EB48CAE"/>
    <w:lvl w:ilvl="0" w:tplc="F0AA57E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9C0265"/>
    <w:multiLevelType w:val="hybridMultilevel"/>
    <w:tmpl w:val="F6BC14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940686"/>
    <w:multiLevelType w:val="hybridMultilevel"/>
    <w:tmpl w:val="E21CD148"/>
    <w:lvl w:ilvl="0" w:tplc="F0AA57EA">
      <w:start w:val="1"/>
      <w:numFmt w:val="bullet"/>
      <w:lvlText w:val=""/>
      <w:lvlJc w:val="left"/>
      <w:pPr>
        <w:ind w:left="881" w:hanging="360"/>
      </w:pPr>
      <w:rPr>
        <w:rFonts w:ascii="Symbol" w:hAnsi="Symbol" w:hint="default"/>
      </w:rPr>
    </w:lvl>
    <w:lvl w:ilvl="1" w:tplc="0C090003" w:tentative="1">
      <w:start w:val="1"/>
      <w:numFmt w:val="bullet"/>
      <w:lvlText w:val="o"/>
      <w:lvlJc w:val="left"/>
      <w:pPr>
        <w:ind w:left="1601" w:hanging="360"/>
      </w:pPr>
      <w:rPr>
        <w:rFonts w:ascii="Courier New" w:hAnsi="Courier New" w:cs="Courier New" w:hint="default"/>
      </w:rPr>
    </w:lvl>
    <w:lvl w:ilvl="2" w:tplc="0C090005" w:tentative="1">
      <w:start w:val="1"/>
      <w:numFmt w:val="bullet"/>
      <w:lvlText w:val=""/>
      <w:lvlJc w:val="left"/>
      <w:pPr>
        <w:ind w:left="2321" w:hanging="360"/>
      </w:pPr>
      <w:rPr>
        <w:rFonts w:ascii="Wingdings" w:hAnsi="Wingdings" w:hint="default"/>
      </w:rPr>
    </w:lvl>
    <w:lvl w:ilvl="3" w:tplc="0C090001" w:tentative="1">
      <w:start w:val="1"/>
      <w:numFmt w:val="bullet"/>
      <w:lvlText w:val=""/>
      <w:lvlJc w:val="left"/>
      <w:pPr>
        <w:ind w:left="3041" w:hanging="360"/>
      </w:pPr>
      <w:rPr>
        <w:rFonts w:ascii="Symbol" w:hAnsi="Symbol" w:hint="default"/>
      </w:rPr>
    </w:lvl>
    <w:lvl w:ilvl="4" w:tplc="0C090003" w:tentative="1">
      <w:start w:val="1"/>
      <w:numFmt w:val="bullet"/>
      <w:lvlText w:val="o"/>
      <w:lvlJc w:val="left"/>
      <w:pPr>
        <w:ind w:left="3761" w:hanging="360"/>
      </w:pPr>
      <w:rPr>
        <w:rFonts w:ascii="Courier New" w:hAnsi="Courier New" w:cs="Courier New" w:hint="default"/>
      </w:rPr>
    </w:lvl>
    <w:lvl w:ilvl="5" w:tplc="0C090005" w:tentative="1">
      <w:start w:val="1"/>
      <w:numFmt w:val="bullet"/>
      <w:lvlText w:val=""/>
      <w:lvlJc w:val="left"/>
      <w:pPr>
        <w:ind w:left="4481" w:hanging="360"/>
      </w:pPr>
      <w:rPr>
        <w:rFonts w:ascii="Wingdings" w:hAnsi="Wingdings" w:hint="default"/>
      </w:rPr>
    </w:lvl>
    <w:lvl w:ilvl="6" w:tplc="0C090001" w:tentative="1">
      <w:start w:val="1"/>
      <w:numFmt w:val="bullet"/>
      <w:lvlText w:val=""/>
      <w:lvlJc w:val="left"/>
      <w:pPr>
        <w:ind w:left="5201" w:hanging="360"/>
      </w:pPr>
      <w:rPr>
        <w:rFonts w:ascii="Symbol" w:hAnsi="Symbol" w:hint="default"/>
      </w:rPr>
    </w:lvl>
    <w:lvl w:ilvl="7" w:tplc="0C090003" w:tentative="1">
      <w:start w:val="1"/>
      <w:numFmt w:val="bullet"/>
      <w:lvlText w:val="o"/>
      <w:lvlJc w:val="left"/>
      <w:pPr>
        <w:ind w:left="5921" w:hanging="360"/>
      </w:pPr>
      <w:rPr>
        <w:rFonts w:ascii="Courier New" w:hAnsi="Courier New" w:cs="Courier New" w:hint="default"/>
      </w:rPr>
    </w:lvl>
    <w:lvl w:ilvl="8" w:tplc="0C090005" w:tentative="1">
      <w:start w:val="1"/>
      <w:numFmt w:val="bullet"/>
      <w:lvlText w:val=""/>
      <w:lvlJc w:val="left"/>
      <w:pPr>
        <w:ind w:left="6641" w:hanging="360"/>
      </w:pPr>
      <w:rPr>
        <w:rFonts w:ascii="Wingdings" w:hAnsi="Wingdings" w:hint="default"/>
      </w:rPr>
    </w:lvl>
  </w:abstractNum>
  <w:abstractNum w:abstractNumId="29" w15:restartNumberingAfterBreak="0">
    <w:nsid w:val="784D033C"/>
    <w:multiLevelType w:val="multilevel"/>
    <w:tmpl w:val="38EAE014"/>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F83B9D"/>
    <w:multiLevelType w:val="hybridMultilevel"/>
    <w:tmpl w:val="5FEAF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9"/>
  </w:num>
  <w:num w:numId="4">
    <w:abstractNumId w:val="30"/>
  </w:num>
  <w:num w:numId="5">
    <w:abstractNumId w:val="25"/>
  </w:num>
  <w:num w:numId="6">
    <w:abstractNumId w:val="20"/>
  </w:num>
  <w:num w:numId="7">
    <w:abstractNumId w:val="16"/>
  </w:num>
  <w:num w:numId="8">
    <w:abstractNumId w:val="17"/>
  </w:num>
  <w:num w:numId="9">
    <w:abstractNumId w:val="11"/>
  </w:num>
  <w:num w:numId="10">
    <w:abstractNumId w:val="4"/>
  </w:num>
  <w:num w:numId="11">
    <w:abstractNumId w:val="13"/>
  </w:num>
  <w:num w:numId="12">
    <w:abstractNumId w:val="15"/>
  </w:num>
  <w:num w:numId="13">
    <w:abstractNumId w:val="19"/>
  </w:num>
  <w:num w:numId="14">
    <w:abstractNumId w:val="8"/>
  </w:num>
  <w:num w:numId="15">
    <w:abstractNumId w:val="18"/>
  </w:num>
  <w:num w:numId="16">
    <w:abstractNumId w:val="1"/>
  </w:num>
  <w:num w:numId="17">
    <w:abstractNumId w:val="7"/>
  </w:num>
  <w:num w:numId="18">
    <w:abstractNumId w:val="14"/>
  </w:num>
  <w:num w:numId="19">
    <w:abstractNumId w:val="2"/>
  </w:num>
  <w:num w:numId="20">
    <w:abstractNumId w:val="28"/>
  </w:num>
  <w:num w:numId="21">
    <w:abstractNumId w:val="26"/>
  </w:num>
  <w:num w:numId="22">
    <w:abstractNumId w:val="6"/>
  </w:num>
  <w:num w:numId="23">
    <w:abstractNumId w:val="23"/>
  </w:num>
  <w:num w:numId="24">
    <w:abstractNumId w:val="24"/>
  </w:num>
  <w:num w:numId="25">
    <w:abstractNumId w:val="10"/>
  </w:num>
  <w:num w:numId="26">
    <w:abstractNumId w:val="27"/>
  </w:num>
  <w:num w:numId="27">
    <w:abstractNumId w:val="16"/>
  </w:num>
  <w:num w:numId="28">
    <w:abstractNumId w:val="21"/>
  </w:num>
  <w:num w:numId="29">
    <w:abstractNumId w:val="22"/>
  </w:num>
  <w:num w:numId="30">
    <w:abstractNumId w:val="5"/>
  </w:num>
  <w:num w:numId="31">
    <w:abstractNumId w:val="0"/>
  </w:num>
  <w:num w:numId="32">
    <w:abstractNumId w:val="9"/>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fr-FR" w:vendorID="64" w:dllVersion="4096" w:nlCheck="1" w:checkStyle="0"/>
  <w:activeWritingStyle w:appName="MSWord" w:lang="en-GB" w:vendorID="64" w:dllVersion="6" w:nlCheck="1" w:checkStyle="1"/>
  <w:activeWritingStyle w:appName="MSWord" w:lang="en-GB"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spelling="clean" w:grammar="clean"/>
  <w:doNotTrackFormatting/>
  <w:defaultTabStop w:val="17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461"/>
    <w:rsid w:val="00000790"/>
    <w:rsid w:val="00000B3E"/>
    <w:rsid w:val="0000110B"/>
    <w:rsid w:val="000011BC"/>
    <w:rsid w:val="00001408"/>
    <w:rsid w:val="00001430"/>
    <w:rsid w:val="00001A7B"/>
    <w:rsid w:val="000023C5"/>
    <w:rsid w:val="00002E69"/>
    <w:rsid w:val="00002F14"/>
    <w:rsid w:val="00003499"/>
    <w:rsid w:val="000039B7"/>
    <w:rsid w:val="00003F70"/>
    <w:rsid w:val="00005504"/>
    <w:rsid w:val="0000561D"/>
    <w:rsid w:val="00005727"/>
    <w:rsid w:val="00005925"/>
    <w:rsid w:val="00006720"/>
    <w:rsid w:val="00006929"/>
    <w:rsid w:val="00006C05"/>
    <w:rsid w:val="00006CA7"/>
    <w:rsid w:val="00010038"/>
    <w:rsid w:val="00010660"/>
    <w:rsid w:val="0001139A"/>
    <w:rsid w:val="00011493"/>
    <w:rsid w:val="00011C8A"/>
    <w:rsid w:val="000122A0"/>
    <w:rsid w:val="00012A04"/>
    <w:rsid w:val="00012B49"/>
    <w:rsid w:val="00013247"/>
    <w:rsid w:val="00013BEE"/>
    <w:rsid w:val="00014217"/>
    <w:rsid w:val="00014B6A"/>
    <w:rsid w:val="00015672"/>
    <w:rsid w:val="00015886"/>
    <w:rsid w:val="000162EF"/>
    <w:rsid w:val="00016359"/>
    <w:rsid w:val="00017A76"/>
    <w:rsid w:val="00020B60"/>
    <w:rsid w:val="000212B7"/>
    <w:rsid w:val="00021CA2"/>
    <w:rsid w:val="0002225F"/>
    <w:rsid w:val="000229E5"/>
    <w:rsid w:val="00023763"/>
    <w:rsid w:val="0002424D"/>
    <w:rsid w:val="0002439F"/>
    <w:rsid w:val="00024DE3"/>
    <w:rsid w:val="00026B26"/>
    <w:rsid w:val="00026FD8"/>
    <w:rsid w:val="00027341"/>
    <w:rsid w:val="00030889"/>
    <w:rsid w:val="00030C03"/>
    <w:rsid w:val="00031B9A"/>
    <w:rsid w:val="00033863"/>
    <w:rsid w:val="000345F4"/>
    <w:rsid w:val="00034D2E"/>
    <w:rsid w:val="0003522A"/>
    <w:rsid w:val="000354A3"/>
    <w:rsid w:val="00035DC0"/>
    <w:rsid w:val="00035F3B"/>
    <w:rsid w:val="0003626C"/>
    <w:rsid w:val="00036829"/>
    <w:rsid w:val="00040895"/>
    <w:rsid w:val="00041355"/>
    <w:rsid w:val="0004329D"/>
    <w:rsid w:val="00043C37"/>
    <w:rsid w:val="00043E32"/>
    <w:rsid w:val="00044236"/>
    <w:rsid w:val="0004430E"/>
    <w:rsid w:val="00044636"/>
    <w:rsid w:val="00045017"/>
    <w:rsid w:val="00045117"/>
    <w:rsid w:val="00045A2B"/>
    <w:rsid w:val="0004698F"/>
    <w:rsid w:val="00046C4C"/>
    <w:rsid w:val="00047E28"/>
    <w:rsid w:val="00047E67"/>
    <w:rsid w:val="00050DFE"/>
    <w:rsid w:val="000514EB"/>
    <w:rsid w:val="000539D0"/>
    <w:rsid w:val="00054621"/>
    <w:rsid w:val="000546D7"/>
    <w:rsid w:val="000548ED"/>
    <w:rsid w:val="0005757B"/>
    <w:rsid w:val="0006028D"/>
    <w:rsid w:val="0006093C"/>
    <w:rsid w:val="000636BD"/>
    <w:rsid w:val="00063EBB"/>
    <w:rsid w:val="000647FE"/>
    <w:rsid w:val="0006541F"/>
    <w:rsid w:val="00065BB0"/>
    <w:rsid w:val="00065E9D"/>
    <w:rsid w:val="00066360"/>
    <w:rsid w:val="000677F0"/>
    <w:rsid w:val="00071248"/>
    <w:rsid w:val="0007178A"/>
    <w:rsid w:val="000718CD"/>
    <w:rsid w:val="00071DA0"/>
    <w:rsid w:val="00071E6B"/>
    <w:rsid w:val="000720B9"/>
    <w:rsid w:val="000722F9"/>
    <w:rsid w:val="00072695"/>
    <w:rsid w:val="00072E34"/>
    <w:rsid w:val="000732D9"/>
    <w:rsid w:val="000737F7"/>
    <w:rsid w:val="000746DD"/>
    <w:rsid w:val="00074A20"/>
    <w:rsid w:val="00074CE5"/>
    <w:rsid w:val="0007672F"/>
    <w:rsid w:val="000774F0"/>
    <w:rsid w:val="0008006B"/>
    <w:rsid w:val="00080909"/>
    <w:rsid w:val="000812CA"/>
    <w:rsid w:val="0008139B"/>
    <w:rsid w:val="000824CD"/>
    <w:rsid w:val="0008258D"/>
    <w:rsid w:val="000825DA"/>
    <w:rsid w:val="000827ED"/>
    <w:rsid w:val="00082ECF"/>
    <w:rsid w:val="00083100"/>
    <w:rsid w:val="0008326A"/>
    <w:rsid w:val="00083589"/>
    <w:rsid w:val="00083E99"/>
    <w:rsid w:val="00084854"/>
    <w:rsid w:val="00084C7B"/>
    <w:rsid w:val="00084F20"/>
    <w:rsid w:val="000856C5"/>
    <w:rsid w:val="00086A46"/>
    <w:rsid w:val="000904B8"/>
    <w:rsid w:val="00090C7E"/>
    <w:rsid w:val="00090D7C"/>
    <w:rsid w:val="00091697"/>
    <w:rsid w:val="00091DA6"/>
    <w:rsid w:val="0009209B"/>
    <w:rsid w:val="00092600"/>
    <w:rsid w:val="0009262B"/>
    <w:rsid w:val="00092665"/>
    <w:rsid w:val="00093310"/>
    <w:rsid w:val="0009445C"/>
    <w:rsid w:val="00094C00"/>
    <w:rsid w:val="00095E88"/>
    <w:rsid w:val="00095E8E"/>
    <w:rsid w:val="00095FE5"/>
    <w:rsid w:val="00096284"/>
    <w:rsid w:val="000A0911"/>
    <w:rsid w:val="000A1885"/>
    <w:rsid w:val="000A2A9F"/>
    <w:rsid w:val="000A2D1B"/>
    <w:rsid w:val="000A34D1"/>
    <w:rsid w:val="000A455B"/>
    <w:rsid w:val="000A4F43"/>
    <w:rsid w:val="000A5725"/>
    <w:rsid w:val="000A5B3B"/>
    <w:rsid w:val="000A67CF"/>
    <w:rsid w:val="000A6E5B"/>
    <w:rsid w:val="000A749A"/>
    <w:rsid w:val="000A773D"/>
    <w:rsid w:val="000A7D08"/>
    <w:rsid w:val="000B0670"/>
    <w:rsid w:val="000B0857"/>
    <w:rsid w:val="000B0E75"/>
    <w:rsid w:val="000B51FB"/>
    <w:rsid w:val="000B5535"/>
    <w:rsid w:val="000B675B"/>
    <w:rsid w:val="000B6CAC"/>
    <w:rsid w:val="000B7612"/>
    <w:rsid w:val="000B7C39"/>
    <w:rsid w:val="000C0639"/>
    <w:rsid w:val="000C14A8"/>
    <w:rsid w:val="000C1996"/>
    <w:rsid w:val="000C372C"/>
    <w:rsid w:val="000C3B1B"/>
    <w:rsid w:val="000C3DF9"/>
    <w:rsid w:val="000C472E"/>
    <w:rsid w:val="000C5132"/>
    <w:rsid w:val="000C63B4"/>
    <w:rsid w:val="000C6713"/>
    <w:rsid w:val="000C74DD"/>
    <w:rsid w:val="000C793B"/>
    <w:rsid w:val="000C7C24"/>
    <w:rsid w:val="000D02ED"/>
    <w:rsid w:val="000D0BFC"/>
    <w:rsid w:val="000D1959"/>
    <w:rsid w:val="000D19A9"/>
    <w:rsid w:val="000D1BFC"/>
    <w:rsid w:val="000D23E4"/>
    <w:rsid w:val="000D281A"/>
    <w:rsid w:val="000D326A"/>
    <w:rsid w:val="000D3490"/>
    <w:rsid w:val="000D39F7"/>
    <w:rsid w:val="000D413B"/>
    <w:rsid w:val="000D4769"/>
    <w:rsid w:val="000D51FB"/>
    <w:rsid w:val="000D60B4"/>
    <w:rsid w:val="000D729E"/>
    <w:rsid w:val="000E0224"/>
    <w:rsid w:val="000E0B62"/>
    <w:rsid w:val="000E135D"/>
    <w:rsid w:val="000E4694"/>
    <w:rsid w:val="000E46D2"/>
    <w:rsid w:val="000E477A"/>
    <w:rsid w:val="000E5575"/>
    <w:rsid w:val="000E55A3"/>
    <w:rsid w:val="000E5722"/>
    <w:rsid w:val="000E57F7"/>
    <w:rsid w:val="000F00BA"/>
    <w:rsid w:val="000F00D1"/>
    <w:rsid w:val="000F0203"/>
    <w:rsid w:val="000F0273"/>
    <w:rsid w:val="000F1023"/>
    <w:rsid w:val="000F15E9"/>
    <w:rsid w:val="000F2926"/>
    <w:rsid w:val="000F2CDF"/>
    <w:rsid w:val="000F316A"/>
    <w:rsid w:val="000F370A"/>
    <w:rsid w:val="000F3C74"/>
    <w:rsid w:val="000F423B"/>
    <w:rsid w:val="000F4BB8"/>
    <w:rsid w:val="000F4E84"/>
    <w:rsid w:val="000F4FCA"/>
    <w:rsid w:val="000F503C"/>
    <w:rsid w:val="000F6405"/>
    <w:rsid w:val="000F7127"/>
    <w:rsid w:val="000F7AF7"/>
    <w:rsid w:val="00100F7D"/>
    <w:rsid w:val="00100F8A"/>
    <w:rsid w:val="001040D9"/>
    <w:rsid w:val="00104893"/>
    <w:rsid w:val="00105AE2"/>
    <w:rsid w:val="0010604E"/>
    <w:rsid w:val="00106B80"/>
    <w:rsid w:val="00106E15"/>
    <w:rsid w:val="001076D4"/>
    <w:rsid w:val="0011032E"/>
    <w:rsid w:val="001123E9"/>
    <w:rsid w:val="00112953"/>
    <w:rsid w:val="00112F95"/>
    <w:rsid w:val="0011348B"/>
    <w:rsid w:val="001150CB"/>
    <w:rsid w:val="00115982"/>
    <w:rsid w:val="001159F6"/>
    <w:rsid w:val="0011607B"/>
    <w:rsid w:val="00116A21"/>
    <w:rsid w:val="00116B0D"/>
    <w:rsid w:val="00116C46"/>
    <w:rsid w:val="00116C53"/>
    <w:rsid w:val="0011708D"/>
    <w:rsid w:val="001173F1"/>
    <w:rsid w:val="0012012A"/>
    <w:rsid w:val="00120352"/>
    <w:rsid w:val="00121799"/>
    <w:rsid w:val="001219CE"/>
    <w:rsid w:val="001222FC"/>
    <w:rsid w:val="00122BBF"/>
    <w:rsid w:val="00123B3B"/>
    <w:rsid w:val="00123F15"/>
    <w:rsid w:val="00124A51"/>
    <w:rsid w:val="00126621"/>
    <w:rsid w:val="001277D5"/>
    <w:rsid w:val="001279B7"/>
    <w:rsid w:val="001301E9"/>
    <w:rsid w:val="00130EE0"/>
    <w:rsid w:val="00131D82"/>
    <w:rsid w:val="001324F4"/>
    <w:rsid w:val="001334E4"/>
    <w:rsid w:val="00133B9B"/>
    <w:rsid w:val="00133D36"/>
    <w:rsid w:val="00133E70"/>
    <w:rsid w:val="0013431C"/>
    <w:rsid w:val="00134C33"/>
    <w:rsid w:val="00134CAA"/>
    <w:rsid w:val="00134EFE"/>
    <w:rsid w:val="00134FDD"/>
    <w:rsid w:val="00135437"/>
    <w:rsid w:val="00135772"/>
    <w:rsid w:val="001366AB"/>
    <w:rsid w:val="00137645"/>
    <w:rsid w:val="00137FA6"/>
    <w:rsid w:val="0014015A"/>
    <w:rsid w:val="00140AA8"/>
    <w:rsid w:val="00140BC3"/>
    <w:rsid w:val="00140E99"/>
    <w:rsid w:val="001419A2"/>
    <w:rsid w:val="00142A4C"/>
    <w:rsid w:val="00143297"/>
    <w:rsid w:val="001432EE"/>
    <w:rsid w:val="00143DCE"/>
    <w:rsid w:val="0014417C"/>
    <w:rsid w:val="001454CD"/>
    <w:rsid w:val="00145540"/>
    <w:rsid w:val="001456B0"/>
    <w:rsid w:val="00145C16"/>
    <w:rsid w:val="00146EA0"/>
    <w:rsid w:val="00147BA9"/>
    <w:rsid w:val="00150BEB"/>
    <w:rsid w:val="00151664"/>
    <w:rsid w:val="001529B8"/>
    <w:rsid w:val="00155081"/>
    <w:rsid w:val="001550F0"/>
    <w:rsid w:val="00157130"/>
    <w:rsid w:val="001576B1"/>
    <w:rsid w:val="00160508"/>
    <w:rsid w:val="00160A4C"/>
    <w:rsid w:val="00160BC1"/>
    <w:rsid w:val="00161C50"/>
    <w:rsid w:val="00161E6B"/>
    <w:rsid w:val="00162913"/>
    <w:rsid w:val="001639A5"/>
    <w:rsid w:val="00163EFF"/>
    <w:rsid w:val="00164DEF"/>
    <w:rsid w:val="0016509D"/>
    <w:rsid w:val="001650D0"/>
    <w:rsid w:val="00165B5C"/>
    <w:rsid w:val="001661FB"/>
    <w:rsid w:val="001670E6"/>
    <w:rsid w:val="001678C8"/>
    <w:rsid w:val="00172569"/>
    <w:rsid w:val="00172F3C"/>
    <w:rsid w:val="0017337A"/>
    <w:rsid w:val="00173565"/>
    <w:rsid w:val="00173B07"/>
    <w:rsid w:val="00174AB8"/>
    <w:rsid w:val="00174E8D"/>
    <w:rsid w:val="00177C7B"/>
    <w:rsid w:val="00181D9C"/>
    <w:rsid w:val="001826E6"/>
    <w:rsid w:val="00183ECC"/>
    <w:rsid w:val="0018412E"/>
    <w:rsid w:val="0018463D"/>
    <w:rsid w:val="00185CBC"/>
    <w:rsid w:val="001865FA"/>
    <w:rsid w:val="0018680D"/>
    <w:rsid w:val="0018705E"/>
    <w:rsid w:val="0018752F"/>
    <w:rsid w:val="00190263"/>
    <w:rsid w:val="00191491"/>
    <w:rsid w:val="001917EE"/>
    <w:rsid w:val="0019221E"/>
    <w:rsid w:val="00192323"/>
    <w:rsid w:val="001927BC"/>
    <w:rsid w:val="001937D1"/>
    <w:rsid w:val="00193AA4"/>
    <w:rsid w:val="00195222"/>
    <w:rsid w:val="001952EC"/>
    <w:rsid w:val="00196766"/>
    <w:rsid w:val="001975D8"/>
    <w:rsid w:val="00197F9E"/>
    <w:rsid w:val="001A065F"/>
    <w:rsid w:val="001A1007"/>
    <w:rsid w:val="001A11B3"/>
    <w:rsid w:val="001A1392"/>
    <w:rsid w:val="001A41DF"/>
    <w:rsid w:val="001A43FA"/>
    <w:rsid w:val="001A59FB"/>
    <w:rsid w:val="001A60E4"/>
    <w:rsid w:val="001A61F9"/>
    <w:rsid w:val="001A6354"/>
    <w:rsid w:val="001A6683"/>
    <w:rsid w:val="001A6A70"/>
    <w:rsid w:val="001A7089"/>
    <w:rsid w:val="001A7AE8"/>
    <w:rsid w:val="001B204E"/>
    <w:rsid w:val="001B2106"/>
    <w:rsid w:val="001B3443"/>
    <w:rsid w:val="001B38D1"/>
    <w:rsid w:val="001B3B29"/>
    <w:rsid w:val="001B4D20"/>
    <w:rsid w:val="001B608D"/>
    <w:rsid w:val="001B6223"/>
    <w:rsid w:val="001B74EA"/>
    <w:rsid w:val="001B7583"/>
    <w:rsid w:val="001B7F2B"/>
    <w:rsid w:val="001C01C2"/>
    <w:rsid w:val="001C1B98"/>
    <w:rsid w:val="001C1D23"/>
    <w:rsid w:val="001C1F82"/>
    <w:rsid w:val="001C26ED"/>
    <w:rsid w:val="001C27AE"/>
    <w:rsid w:val="001C2A9B"/>
    <w:rsid w:val="001C4299"/>
    <w:rsid w:val="001C459D"/>
    <w:rsid w:val="001C51D8"/>
    <w:rsid w:val="001C5F94"/>
    <w:rsid w:val="001C60B5"/>
    <w:rsid w:val="001C6E66"/>
    <w:rsid w:val="001C7B18"/>
    <w:rsid w:val="001C7E80"/>
    <w:rsid w:val="001D0F7B"/>
    <w:rsid w:val="001D1A32"/>
    <w:rsid w:val="001D27A0"/>
    <w:rsid w:val="001D329A"/>
    <w:rsid w:val="001D3575"/>
    <w:rsid w:val="001D3D4A"/>
    <w:rsid w:val="001D4C59"/>
    <w:rsid w:val="001D5F5F"/>
    <w:rsid w:val="001D778C"/>
    <w:rsid w:val="001E1943"/>
    <w:rsid w:val="001E1FC4"/>
    <w:rsid w:val="001E238E"/>
    <w:rsid w:val="001E2483"/>
    <w:rsid w:val="001E25F6"/>
    <w:rsid w:val="001E2B1E"/>
    <w:rsid w:val="001E2D32"/>
    <w:rsid w:val="001E30D4"/>
    <w:rsid w:val="001E32C7"/>
    <w:rsid w:val="001E3B4D"/>
    <w:rsid w:val="001E3BFA"/>
    <w:rsid w:val="001E52EB"/>
    <w:rsid w:val="001E5371"/>
    <w:rsid w:val="001E61D2"/>
    <w:rsid w:val="001E740C"/>
    <w:rsid w:val="001E7F76"/>
    <w:rsid w:val="001F1235"/>
    <w:rsid w:val="001F17FC"/>
    <w:rsid w:val="001F1CB3"/>
    <w:rsid w:val="001F38B5"/>
    <w:rsid w:val="001F3B14"/>
    <w:rsid w:val="001F4AFD"/>
    <w:rsid w:val="001F5CF3"/>
    <w:rsid w:val="001F65D0"/>
    <w:rsid w:val="001F7361"/>
    <w:rsid w:val="001F7FA2"/>
    <w:rsid w:val="0020099D"/>
    <w:rsid w:val="002011B0"/>
    <w:rsid w:val="0020154F"/>
    <w:rsid w:val="00202769"/>
    <w:rsid w:val="00203181"/>
    <w:rsid w:val="002031AD"/>
    <w:rsid w:val="00203783"/>
    <w:rsid w:val="0020385F"/>
    <w:rsid w:val="00205DC1"/>
    <w:rsid w:val="00205F8F"/>
    <w:rsid w:val="0020693C"/>
    <w:rsid w:val="00207021"/>
    <w:rsid w:val="0020732F"/>
    <w:rsid w:val="00207D00"/>
    <w:rsid w:val="002105C1"/>
    <w:rsid w:val="00210B81"/>
    <w:rsid w:val="00211244"/>
    <w:rsid w:val="0021255B"/>
    <w:rsid w:val="0021417C"/>
    <w:rsid w:val="00214DAF"/>
    <w:rsid w:val="00215853"/>
    <w:rsid w:val="002176EE"/>
    <w:rsid w:val="00217C17"/>
    <w:rsid w:val="00220366"/>
    <w:rsid w:val="00220C7D"/>
    <w:rsid w:val="00221401"/>
    <w:rsid w:val="0022160C"/>
    <w:rsid w:val="00221808"/>
    <w:rsid w:val="00221F2F"/>
    <w:rsid w:val="00222CF0"/>
    <w:rsid w:val="00223252"/>
    <w:rsid w:val="00223B49"/>
    <w:rsid w:val="00224DD4"/>
    <w:rsid w:val="0022607F"/>
    <w:rsid w:val="002279BD"/>
    <w:rsid w:val="00230179"/>
    <w:rsid w:val="002309CC"/>
    <w:rsid w:val="00230F11"/>
    <w:rsid w:val="00231F3E"/>
    <w:rsid w:val="0023209F"/>
    <w:rsid w:val="00235496"/>
    <w:rsid w:val="0023551F"/>
    <w:rsid w:val="0023629D"/>
    <w:rsid w:val="002363AE"/>
    <w:rsid w:val="00237255"/>
    <w:rsid w:val="002374F9"/>
    <w:rsid w:val="00237E94"/>
    <w:rsid w:val="0024021E"/>
    <w:rsid w:val="00240BAD"/>
    <w:rsid w:val="00240D9C"/>
    <w:rsid w:val="00241654"/>
    <w:rsid w:val="002424AF"/>
    <w:rsid w:val="00242AEB"/>
    <w:rsid w:val="00242E7D"/>
    <w:rsid w:val="002432DF"/>
    <w:rsid w:val="00243332"/>
    <w:rsid w:val="00243781"/>
    <w:rsid w:val="002439DC"/>
    <w:rsid w:val="00244DC8"/>
    <w:rsid w:val="00244F33"/>
    <w:rsid w:val="0024542E"/>
    <w:rsid w:val="002458BA"/>
    <w:rsid w:val="0024636C"/>
    <w:rsid w:val="00246FDD"/>
    <w:rsid w:val="002473FF"/>
    <w:rsid w:val="00247925"/>
    <w:rsid w:val="00247CB3"/>
    <w:rsid w:val="002500DE"/>
    <w:rsid w:val="002503C1"/>
    <w:rsid w:val="002509CB"/>
    <w:rsid w:val="00250C4E"/>
    <w:rsid w:val="0025151E"/>
    <w:rsid w:val="002516AE"/>
    <w:rsid w:val="002542C8"/>
    <w:rsid w:val="002547CF"/>
    <w:rsid w:val="00254DCF"/>
    <w:rsid w:val="00255228"/>
    <w:rsid w:val="0025534B"/>
    <w:rsid w:val="00255BB7"/>
    <w:rsid w:val="00255F97"/>
    <w:rsid w:val="00257541"/>
    <w:rsid w:val="002576BA"/>
    <w:rsid w:val="002577D8"/>
    <w:rsid w:val="002609AB"/>
    <w:rsid w:val="00262A1A"/>
    <w:rsid w:val="00262A87"/>
    <w:rsid w:val="00262C75"/>
    <w:rsid w:val="002630DD"/>
    <w:rsid w:val="002635E5"/>
    <w:rsid w:val="002643E6"/>
    <w:rsid w:val="00264802"/>
    <w:rsid w:val="00264C63"/>
    <w:rsid w:val="00264D26"/>
    <w:rsid w:val="002660C3"/>
    <w:rsid w:val="00267642"/>
    <w:rsid w:val="00267AEA"/>
    <w:rsid w:val="002700E6"/>
    <w:rsid w:val="0027294B"/>
    <w:rsid w:val="00273852"/>
    <w:rsid w:val="0027431D"/>
    <w:rsid w:val="00275191"/>
    <w:rsid w:val="00275741"/>
    <w:rsid w:val="002758D6"/>
    <w:rsid w:val="00275C5A"/>
    <w:rsid w:val="00276833"/>
    <w:rsid w:val="00276FEC"/>
    <w:rsid w:val="00277AD3"/>
    <w:rsid w:val="00277AE3"/>
    <w:rsid w:val="0028022C"/>
    <w:rsid w:val="00280316"/>
    <w:rsid w:val="00281014"/>
    <w:rsid w:val="002815F5"/>
    <w:rsid w:val="002828A9"/>
    <w:rsid w:val="002833C7"/>
    <w:rsid w:val="00283F96"/>
    <w:rsid w:val="00285A8E"/>
    <w:rsid w:val="00285E2A"/>
    <w:rsid w:val="00286C6F"/>
    <w:rsid w:val="00286D70"/>
    <w:rsid w:val="002873C0"/>
    <w:rsid w:val="002876A5"/>
    <w:rsid w:val="00287B33"/>
    <w:rsid w:val="0029074B"/>
    <w:rsid w:val="00292376"/>
    <w:rsid w:val="002932A8"/>
    <w:rsid w:val="0029361C"/>
    <w:rsid w:val="00293C5D"/>
    <w:rsid w:val="002943FB"/>
    <w:rsid w:val="00296CB3"/>
    <w:rsid w:val="00297E2C"/>
    <w:rsid w:val="002A0DF1"/>
    <w:rsid w:val="002A14AB"/>
    <w:rsid w:val="002A2F50"/>
    <w:rsid w:val="002A4458"/>
    <w:rsid w:val="002A4A4F"/>
    <w:rsid w:val="002B0674"/>
    <w:rsid w:val="002B09A4"/>
    <w:rsid w:val="002B0D35"/>
    <w:rsid w:val="002B1074"/>
    <w:rsid w:val="002B1321"/>
    <w:rsid w:val="002B1C1F"/>
    <w:rsid w:val="002B2485"/>
    <w:rsid w:val="002B3F01"/>
    <w:rsid w:val="002B432F"/>
    <w:rsid w:val="002B484B"/>
    <w:rsid w:val="002B4BCA"/>
    <w:rsid w:val="002B62B3"/>
    <w:rsid w:val="002B6321"/>
    <w:rsid w:val="002B6754"/>
    <w:rsid w:val="002B6B7C"/>
    <w:rsid w:val="002B6CCE"/>
    <w:rsid w:val="002B785A"/>
    <w:rsid w:val="002B79A9"/>
    <w:rsid w:val="002C0E6E"/>
    <w:rsid w:val="002C22A7"/>
    <w:rsid w:val="002C2510"/>
    <w:rsid w:val="002C2775"/>
    <w:rsid w:val="002C27C1"/>
    <w:rsid w:val="002C29A9"/>
    <w:rsid w:val="002C2A69"/>
    <w:rsid w:val="002C3540"/>
    <w:rsid w:val="002C37E3"/>
    <w:rsid w:val="002C458C"/>
    <w:rsid w:val="002C4BF1"/>
    <w:rsid w:val="002C5047"/>
    <w:rsid w:val="002C5099"/>
    <w:rsid w:val="002C5889"/>
    <w:rsid w:val="002C694A"/>
    <w:rsid w:val="002C6C24"/>
    <w:rsid w:val="002C71CE"/>
    <w:rsid w:val="002D0EB6"/>
    <w:rsid w:val="002D14A7"/>
    <w:rsid w:val="002D2140"/>
    <w:rsid w:val="002D29CC"/>
    <w:rsid w:val="002D4BFD"/>
    <w:rsid w:val="002D577C"/>
    <w:rsid w:val="002D79EB"/>
    <w:rsid w:val="002D7E5E"/>
    <w:rsid w:val="002E15B9"/>
    <w:rsid w:val="002E2131"/>
    <w:rsid w:val="002E2158"/>
    <w:rsid w:val="002E405C"/>
    <w:rsid w:val="002E47CC"/>
    <w:rsid w:val="002E642E"/>
    <w:rsid w:val="002E7722"/>
    <w:rsid w:val="002F07BA"/>
    <w:rsid w:val="002F0A03"/>
    <w:rsid w:val="002F0C11"/>
    <w:rsid w:val="002F0DA9"/>
    <w:rsid w:val="002F1A48"/>
    <w:rsid w:val="002F2EA3"/>
    <w:rsid w:val="002F31A5"/>
    <w:rsid w:val="002F3F7D"/>
    <w:rsid w:val="002F5118"/>
    <w:rsid w:val="002F5623"/>
    <w:rsid w:val="002F5867"/>
    <w:rsid w:val="002F643C"/>
    <w:rsid w:val="002F71C0"/>
    <w:rsid w:val="002F72FB"/>
    <w:rsid w:val="002F78A3"/>
    <w:rsid w:val="002F7E6A"/>
    <w:rsid w:val="003001D6"/>
    <w:rsid w:val="00300C77"/>
    <w:rsid w:val="00301017"/>
    <w:rsid w:val="00301155"/>
    <w:rsid w:val="003013D0"/>
    <w:rsid w:val="0030155F"/>
    <w:rsid w:val="00302003"/>
    <w:rsid w:val="00302537"/>
    <w:rsid w:val="00302CC1"/>
    <w:rsid w:val="00303E2B"/>
    <w:rsid w:val="003044CE"/>
    <w:rsid w:val="00304E49"/>
    <w:rsid w:val="0030587B"/>
    <w:rsid w:val="00306247"/>
    <w:rsid w:val="00306D98"/>
    <w:rsid w:val="0030786C"/>
    <w:rsid w:val="003078DB"/>
    <w:rsid w:val="00307A65"/>
    <w:rsid w:val="00307FB9"/>
    <w:rsid w:val="0031031A"/>
    <w:rsid w:val="00310981"/>
    <w:rsid w:val="0031226E"/>
    <w:rsid w:val="00312BFF"/>
    <w:rsid w:val="00314F1D"/>
    <w:rsid w:val="003150BF"/>
    <w:rsid w:val="00315498"/>
    <w:rsid w:val="00315C87"/>
    <w:rsid w:val="0031609B"/>
    <w:rsid w:val="00317052"/>
    <w:rsid w:val="00317076"/>
    <w:rsid w:val="0031712F"/>
    <w:rsid w:val="00317621"/>
    <w:rsid w:val="003178D9"/>
    <w:rsid w:val="00320226"/>
    <w:rsid w:val="00321529"/>
    <w:rsid w:val="00321992"/>
    <w:rsid w:val="00322107"/>
    <w:rsid w:val="00322846"/>
    <w:rsid w:val="00322F4A"/>
    <w:rsid w:val="0032450B"/>
    <w:rsid w:val="00325643"/>
    <w:rsid w:val="00325A5A"/>
    <w:rsid w:val="00326DA7"/>
    <w:rsid w:val="00326FF4"/>
    <w:rsid w:val="003270E4"/>
    <w:rsid w:val="00330F5C"/>
    <w:rsid w:val="00332158"/>
    <w:rsid w:val="00332EAE"/>
    <w:rsid w:val="00333D56"/>
    <w:rsid w:val="00335073"/>
    <w:rsid w:val="00335606"/>
    <w:rsid w:val="003366C9"/>
    <w:rsid w:val="003371B0"/>
    <w:rsid w:val="003372AB"/>
    <w:rsid w:val="00337C95"/>
    <w:rsid w:val="00337F27"/>
    <w:rsid w:val="0034070C"/>
    <w:rsid w:val="00340DF1"/>
    <w:rsid w:val="00341743"/>
    <w:rsid w:val="00341796"/>
    <w:rsid w:val="00341D14"/>
    <w:rsid w:val="0034209A"/>
    <w:rsid w:val="00344C0A"/>
    <w:rsid w:val="003450F0"/>
    <w:rsid w:val="00345274"/>
    <w:rsid w:val="00345E4E"/>
    <w:rsid w:val="00345FC1"/>
    <w:rsid w:val="00345FCB"/>
    <w:rsid w:val="00346961"/>
    <w:rsid w:val="00346D16"/>
    <w:rsid w:val="00347677"/>
    <w:rsid w:val="003517F9"/>
    <w:rsid w:val="003519AE"/>
    <w:rsid w:val="00351A7A"/>
    <w:rsid w:val="0035436E"/>
    <w:rsid w:val="00354CFE"/>
    <w:rsid w:val="00355E7C"/>
    <w:rsid w:val="0035620E"/>
    <w:rsid w:val="00356659"/>
    <w:rsid w:val="00356BA1"/>
    <w:rsid w:val="003577CC"/>
    <w:rsid w:val="003624C4"/>
    <w:rsid w:val="00363BAA"/>
    <w:rsid w:val="003654AC"/>
    <w:rsid w:val="00366B1D"/>
    <w:rsid w:val="003670E6"/>
    <w:rsid w:val="00367248"/>
    <w:rsid w:val="00367910"/>
    <w:rsid w:val="00370B5D"/>
    <w:rsid w:val="003710CF"/>
    <w:rsid w:val="003716AE"/>
    <w:rsid w:val="003721F2"/>
    <w:rsid w:val="0037358A"/>
    <w:rsid w:val="00373FB8"/>
    <w:rsid w:val="003750F6"/>
    <w:rsid w:val="003760FC"/>
    <w:rsid w:val="00380A21"/>
    <w:rsid w:val="00381EA0"/>
    <w:rsid w:val="003825B2"/>
    <w:rsid w:val="00382DA6"/>
    <w:rsid w:val="0038365C"/>
    <w:rsid w:val="0038369B"/>
    <w:rsid w:val="0038376D"/>
    <w:rsid w:val="00383B78"/>
    <w:rsid w:val="003841F1"/>
    <w:rsid w:val="003848FA"/>
    <w:rsid w:val="00384E44"/>
    <w:rsid w:val="00385A9D"/>
    <w:rsid w:val="00385B56"/>
    <w:rsid w:val="00386119"/>
    <w:rsid w:val="003862C9"/>
    <w:rsid w:val="00387D55"/>
    <w:rsid w:val="003902B1"/>
    <w:rsid w:val="0039148E"/>
    <w:rsid w:val="00391D33"/>
    <w:rsid w:val="00392F97"/>
    <w:rsid w:val="00393413"/>
    <w:rsid w:val="00393B4F"/>
    <w:rsid w:val="00394590"/>
    <w:rsid w:val="0039471F"/>
    <w:rsid w:val="00394AA8"/>
    <w:rsid w:val="00396594"/>
    <w:rsid w:val="00396896"/>
    <w:rsid w:val="00396FD0"/>
    <w:rsid w:val="003A0E43"/>
    <w:rsid w:val="003A158E"/>
    <w:rsid w:val="003A18BC"/>
    <w:rsid w:val="003A1A7A"/>
    <w:rsid w:val="003A1CB6"/>
    <w:rsid w:val="003A2392"/>
    <w:rsid w:val="003A2831"/>
    <w:rsid w:val="003A2850"/>
    <w:rsid w:val="003A2D26"/>
    <w:rsid w:val="003A3631"/>
    <w:rsid w:val="003A3ED1"/>
    <w:rsid w:val="003A4546"/>
    <w:rsid w:val="003A4B6A"/>
    <w:rsid w:val="003A584B"/>
    <w:rsid w:val="003A5AB4"/>
    <w:rsid w:val="003A5D00"/>
    <w:rsid w:val="003B0636"/>
    <w:rsid w:val="003B0A2F"/>
    <w:rsid w:val="003B0EBD"/>
    <w:rsid w:val="003B1E57"/>
    <w:rsid w:val="003B1F05"/>
    <w:rsid w:val="003B21AC"/>
    <w:rsid w:val="003B264E"/>
    <w:rsid w:val="003B2A08"/>
    <w:rsid w:val="003B2AB1"/>
    <w:rsid w:val="003B3415"/>
    <w:rsid w:val="003B35FF"/>
    <w:rsid w:val="003B3E44"/>
    <w:rsid w:val="003B4C6D"/>
    <w:rsid w:val="003B5B61"/>
    <w:rsid w:val="003B5B91"/>
    <w:rsid w:val="003C0081"/>
    <w:rsid w:val="003C02D3"/>
    <w:rsid w:val="003C071A"/>
    <w:rsid w:val="003C0A32"/>
    <w:rsid w:val="003C1654"/>
    <w:rsid w:val="003C3589"/>
    <w:rsid w:val="003C526B"/>
    <w:rsid w:val="003C715B"/>
    <w:rsid w:val="003C7A5D"/>
    <w:rsid w:val="003C7D19"/>
    <w:rsid w:val="003C7D1C"/>
    <w:rsid w:val="003D04CC"/>
    <w:rsid w:val="003D1828"/>
    <w:rsid w:val="003D1DE4"/>
    <w:rsid w:val="003D2422"/>
    <w:rsid w:val="003D39A1"/>
    <w:rsid w:val="003D3FBF"/>
    <w:rsid w:val="003D4A30"/>
    <w:rsid w:val="003D6761"/>
    <w:rsid w:val="003D79BB"/>
    <w:rsid w:val="003D7C98"/>
    <w:rsid w:val="003E0543"/>
    <w:rsid w:val="003E07E1"/>
    <w:rsid w:val="003E0A62"/>
    <w:rsid w:val="003E1CC8"/>
    <w:rsid w:val="003E3734"/>
    <w:rsid w:val="003E3FF6"/>
    <w:rsid w:val="003E40E4"/>
    <w:rsid w:val="003E554A"/>
    <w:rsid w:val="003E5E6A"/>
    <w:rsid w:val="003F2F70"/>
    <w:rsid w:val="003F347A"/>
    <w:rsid w:val="003F3494"/>
    <w:rsid w:val="003F3A0B"/>
    <w:rsid w:val="003F4088"/>
    <w:rsid w:val="003F4156"/>
    <w:rsid w:val="003F4632"/>
    <w:rsid w:val="003F54F4"/>
    <w:rsid w:val="003F618D"/>
    <w:rsid w:val="003F6627"/>
    <w:rsid w:val="004006F3"/>
    <w:rsid w:val="00400B29"/>
    <w:rsid w:val="0040132D"/>
    <w:rsid w:val="004024C8"/>
    <w:rsid w:val="0040470A"/>
    <w:rsid w:val="00404EF0"/>
    <w:rsid w:val="0040504B"/>
    <w:rsid w:val="00405115"/>
    <w:rsid w:val="004057F1"/>
    <w:rsid w:val="0040729C"/>
    <w:rsid w:val="00410708"/>
    <w:rsid w:val="00410C9C"/>
    <w:rsid w:val="00410EC7"/>
    <w:rsid w:val="00411311"/>
    <w:rsid w:val="00411B39"/>
    <w:rsid w:val="00411FD4"/>
    <w:rsid w:val="004123FF"/>
    <w:rsid w:val="00413A1E"/>
    <w:rsid w:val="004143C6"/>
    <w:rsid w:val="00414476"/>
    <w:rsid w:val="00414C2E"/>
    <w:rsid w:val="00414E7B"/>
    <w:rsid w:val="004151CF"/>
    <w:rsid w:val="00415A9F"/>
    <w:rsid w:val="00416364"/>
    <w:rsid w:val="00416FAE"/>
    <w:rsid w:val="00417CD5"/>
    <w:rsid w:val="00420AA6"/>
    <w:rsid w:val="00420B9F"/>
    <w:rsid w:val="004214D0"/>
    <w:rsid w:val="00422260"/>
    <w:rsid w:val="004225BF"/>
    <w:rsid w:val="004226FD"/>
    <w:rsid w:val="00422B9B"/>
    <w:rsid w:val="004240C4"/>
    <w:rsid w:val="0042413F"/>
    <w:rsid w:val="00424D2D"/>
    <w:rsid w:val="004263C5"/>
    <w:rsid w:val="00426698"/>
    <w:rsid w:val="00426B84"/>
    <w:rsid w:val="00427223"/>
    <w:rsid w:val="004319F8"/>
    <w:rsid w:val="00431E55"/>
    <w:rsid w:val="0043216C"/>
    <w:rsid w:val="004321F6"/>
    <w:rsid w:val="00432D56"/>
    <w:rsid w:val="00433044"/>
    <w:rsid w:val="00434B0A"/>
    <w:rsid w:val="004365CB"/>
    <w:rsid w:val="00436E33"/>
    <w:rsid w:val="004375B9"/>
    <w:rsid w:val="0044130E"/>
    <w:rsid w:val="004415AA"/>
    <w:rsid w:val="0044175E"/>
    <w:rsid w:val="004421A8"/>
    <w:rsid w:val="004428D0"/>
    <w:rsid w:val="00442913"/>
    <w:rsid w:val="00442D09"/>
    <w:rsid w:val="00443A65"/>
    <w:rsid w:val="00444177"/>
    <w:rsid w:val="004443A7"/>
    <w:rsid w:val="0044442C"/>
    <w:rsid w:val="00444A5C"/>
    <w:rsid w:val="00445941"/>
    <w:rsid w:val="004464EB"/>
    <w:rsid w:val="00446BEC"/>
    <w:rsid w:val="00447727"/>
    <w:rsid w:val="00447A9F"/>
    <w:rsid w:val="00447D26"/>
    <w:rsid w:val="00450D0A"/>
    <w:rsid w:val="00453447"/>
    <w:rsid w:val="004538C6"/>
    <w:rsid w:val="004540EC"/>
    <w:rsid w:val="0045424C"/>
    <w:rsid w:val="00455911"/>
    <w:rsid w:val="00455D45"/>
    <w:rsid w:val="0045657B"/>
    <w:rsid w:val="0045694F"/>
    <w:rsid w:val="00457C37"/>
    <w:rsid w:val="00460B69"/>
    <w:rsid w:val="00461373"/>
    <w:rsid w:val="00461713"/>
    <w:rsid w:val="00463CA8"/>
    <w:rsid w:val="0046453C"/>
    <w:rsid w:val="00464595"/>
    <w:rsid w:val="00464FFA"/>
    <w:rsid w:val="00466083"/>
    <w:rsid w:val="00471104"/>
    <w:rsid w:val="00472A79"/>
    <w:rsid w:val="00472CDF"/>
    <w:rsid w:val="004733BA"/>
    <w:rsid w:val="0047387F"/>
    <w:rsid w:val="00473D91"/>
    <w:rsid w:val="00473F19"/>
    <w:rsid w:val="00474DC0"/>
    <w:rsid w:val="0047542D"/>
    <w:rsid w:val="004755B1"/>
    <w:rsid w:val="00475E22"/>
    <w:rsid w:val="0047732A"/>
    <w:rsid w:val="00477B52"/>
    <w:rsid w:val="00480257"/>
    <w:rsid w:val="0048088E"/>
    <w:rsid w:val="00480EDA"/>
    <w:rsid w:val="00482720"/>
    <w:rsid w:val="004835E7"/>
    <w:rsid w:val="00483684"/>
    <w:rsid w:val="00484E40"/>
    <w:rsid w:val="00485311"/>
    <w:rsid w:val="0048581E"/>
    <w:rsid w:val="004867E2"/>
    <w:rsid w:val="00487634"/>
    <w:rsid w:val="004902DA"/>
    <w:rsid w:val="00490F84"/>
    <w:rsid w:val="004914BF"/>
    <w:rsid w:val="00491B3A"/>
    <w:rsid w:val="00491D92"/>
    <w:rsid w:val="00491F05"/>
    <w:rsid w:val="00492CFD"/>
    <w:rsid w:val="00494DD5"/>
    <w:rsid w:val="00495F7C"/>
    <w:rsid w:val="00495FE8"/>
    <w:rsid w:val="004962D2"/>
    <w:rsid w:val="00496F4E"/>
    <w:rsid w:val="00497545"/>
    <w:rsid w:val="00497652"/>
    <w:rsid w:val="00497C19"/>
    <w:rsid w:val="004A0DA1"/>
    <w:rsid w:val="004A1539"/>
    <w:rsid w:val="004A289C"/>
    <w:rsid w:val="004A2BCC"/>
    <w:rsid w:val="004A37D8"/>
    <w:rsid w:val="004A43B6"/>
    <w:rsid w:val="004A51D0"/>
    <w:rsid w:val="004A52E9"/>
    <w:rsid w:val="004A5BC8"/>
    <w:rsid w:val="004A6597"/>
    <w:rsid w:val="004A7848"/>
    <w:rsid w:val="004B1CB4"/>
    <w:rsid w:val="004B2F18"/>
    <w:rsid w:val="004B3DDB"/>
    <w:rsid w:val="004B44FD"/>
    <w:rsid w:val="004B56E2"/>
    <w:rsid w:val="004B5905"/>
    <w:rsid w:val="004B5CFC"/>
    <w:rsid w:val="004B5E84"/>
    <w:rsid w:val="004B68B1"/>
    <w:rsid w:val="004B6922"/>
    <w:rsid w:val="004B774D"/>
    <w:rsid w:val="004B7F64"/>
    <w:rsid w:val="004C0A8D"/>
    <w:rsid w:val="004C0AED"/>
    <w:rsid w:val="004C0F96"/>
    <w:rsid w:val="004C1A40"/>
    <w:rsid w:val="004C2565"/>
    <w:rsid w:val="004C2616"/>
    <w:rsid w:val="004C3EE1"/>
    <w:rsid w:val="004C448A"/>
    <w:rsid w:val="004C4AED"/>
    <w:rsid w:val="004C561C"/>
    <w:rsid w:val="004C5941"/>
    <w:rsid w:val="004C5D45"/>
    <w:rsid w:val="004C5E12"/>
    <w:rsid w:val="004C6D0D"/>
    <w:rsid w:val="004D15C4"/>
    <w:rsid w:val="004D2C2D"/>
    <w:rsid w:val="004D3447"/>
    <w:rsid w:val="004D687E"/>
    <w:rsid w:val="004D6EED"/>
    <w:rsid w:val="004D7227"/>
    <w:rsid w:val="004D786E"/>
    <w:rsid w:val="004E0E7F"/>
    <w:rsid w:val="004E0EB8"/>
    <w:rsid w:val="004E0F4A"/>
    <w:rsid w:val="004E198C"/>
    <w:rsid w:val="004E2ADC"/>
    <w:rsid w:val="004E2EFC"/>
    <w:rsid w:val="004E43B2"/>
    <w:rsid w:val="004E499E"/>
    <w:rsid w:val="004E4E23"/>
    <w:rsid w:val="004E6C11"/>
    <w:rsid w:val="004F09BB"/>
    <w:rsid w:val="004F09CD"/>
    <w:rsid w:val="004F100F"/>
    <w:rsid w:val="004F121A"/>
    <w:rsid w:val="004F1D02"/>
    <w:rsid w:val="004F2679"/>
    <w:rsid w:val="004F2B28"/>
    <w:rsid w:val="004F2F21"/>
    <w:rsid w:val="004F33D2"/>
    <w:rsid w:val="004F38DA"/>
    <w:rsid w:val="004F3A53"/>
    <w:rsid w:val="004F4138"/>
    <w:rsid w:val="004F5E62"/>
    <w:rsid w:val="004F6054"/>
    <w:rsid w:val="004F6198"/>
    <w:rsid w:val="004F6592"/>
    <w:rsid w:val="004F6913"/>
    <w:rsid w:val="004F7865"/>
    <w:rsid w:val="00500CDF"/>
    <w:rsid w:val="00501D4C"/>
    <w:rsid w:val="0050219B"/>
    <w:rsid w:val="00502EC7"/>
    <w:rsid w:val="00503F17"/>
    <w:rsid w:val="005061E0"/>
    <w:rsid w:val="00506928"/>
    <w:rsid w:val="005071AE"/>
    <w:rsid w:val="005075B9"/>
    <w:rsid w:val="005105F7"/>
    <w:rsid w:val="0051090E"/>
    <w:rsid w:val="0051116E"/>
    <w:rsid w:val="005115F7"/>
    <w:rsid w:val="005118BD"/>
    <w:rsid w:val="005118E5"/>
    <w:rsid w:val="005124ED"/>
    <w:rsid w:val="00513A37"/>
    <w:rsid w:val="00513B94"/>
    <w:rsid w:val="00513C33"/>
    <w:rsid w:val="00514F74"/>
    <w:rsid w:val="005152B5"/>
    <w:rsid w:val="0051743D"/>
    <w:rsid w:val="0052061B"/>
    <w:rsid w:val="005209DC"/>
    <w:rsid w:val="00521319"/>
    <w:rsid w:val="0052153A"/>
    <w:rsid w:val="0052171A"/>
    <w:rsid w:val="0052252D"/>
    <w:rsid w:val="00522BC8"/>
    <w:rsid w:val="005234E7"/>
    <w:rsid w:val="00523C28"/>
    <w:rsid w:val="00523C55"/>
    <w:rsid w:val="005240E5"/>
    <w:rsid w:val="005273A1"/>
    <w:rsid w:val="005312DD"/>
    <w:rsid w:val="005313D4"/>
    <w:rsid w:val="005322E0"/>
    <w:rsid w:val="00532D80"/>
    <w:rsid w:val="005349CB"/>
    <w:rsid w:val="00536AF2"/>
    <w:rsid w:val="00536F42"/>
    <w:rsid w:val="00537182"/>
    <w:rsid w:val="0053730A"/>
    <w:rsid w:val="00537A72"/>
    <w:rsid w:val="005411AD"/>
    <w:rsid w:val="00541DE6"/>
    <w:rsid w:val="00541E85"/>
    <w:rsid w:val="00542743"/>
    <w:rsid w:val="005428EB"/>
    <w:rsid w:val="00542C2D"/>
    <w:rsid w:val="005435F9"/>
    <w:rsid w:val="00543BBC"/>
    <w:rsid w:val="00544280"/>
    <w:rsid w:val="005443CD"/>
    <w:rsid w:val="0054517C"/>
    <w:rsid w:val="005460AC"/>
    <w:rsid w:val="00546422"/>
    <w:rsid w:val="00547021"/>
    <w:rsid w:val="00547047"/>
    <w:rsid w:val="00547F83"/>
    <w:rsid w:val="00551985"/>
    <w:rsid w:val="0055205E"/>
    <w:rsid w:val="00552344"/>
    <w:rsid w:val="0055246A"/>
    <w:rsid w:val="00552764"/>
    <w:rsid w:val="00552BD3"/>
    <w:rsid w:val="005543B3"/>
    <w:rsid w:val="00554D46"/>
    <w:rsid w:val="00555109"/>
    <w:rsid w:val="00555248"/>
    <w:rsid w:val="00555451"/>
    <w:rsid w:val="005574B4"/>
    <w:rsid w:val="005575F5"/>
    <w:rsid w:val="0056090F"/>
    <w:rsid w:val="00561FD1"/>
    <w:rsid w:val="0056345D"/>
    <w:rsid w:val="0056487A"/>
    <w:rsid w:val="00564DAD"/>
    <w:rsid w:val="005654B5"/>
    <w:rsid w:val="00566136"/>
    <w:rsid w:val="005665D5"/>
    <w:rsid w:val="0056696F"/>
    <w:rsid w:val="00566FE0"/>
    <w:rsid w:val="005672BA"/>
    <w:rsid w:val="00567FF0"/>
    <w:rsid w:val="00572269"/>
    <w:rsid w:val="0057244A"/>
    <w:rsid w:val="00573ABD"/>
    <w:rsid w:val="005741A0"/>
    <w:rsid w:val="00575D8D"/>
    <w:rsid w:val="005762A3"/>
    <w:rsid w:val="0057649C"/>
    <w:rsid w:val="00576705"/>
    <w:rsid w:val="00576972"/>
    <w:rsid w:val="00576F4C"/>
    <w:rsid w:val="005775CC"/>
    <w:rsid w:val="00580961"/>
    <w:rsid w:val="005824F7"/>
    <w:rsid w:val="00582B3C"/>
    <w:rsid w:val="00582C5F"/>
    <w:rsid w:val="00583699"/>
    <w:rsid w:val="00584311"/>
    <w:rsid w:val="00585643"/>
    <w:rsid w:val="00585B7C"/>
    <w:rsid w:val="00585CDD"/>
    <w:rsid w:val="00586C20"/>
    <w:rsid w:val="00586D31"/>
    <w:rsid w:val="00587058"/>
    <w:rsid w:val="005870EE"/>
    <w:rsid w:val="005879F4"/>
    <w:rsid w:val="00587FC4"/>
    <w:rsid w:val="00590DC4"/>
    <w:rsid w:val="005910DC"/>
    <w:rsid w:val="00591957"/>
    <w:rsid w:val="00592D25"/>
    <w:rsid w:val="00593C7D"/>
    <w:rsid w:val="005968AD"/>
    <w:rsid w:val="00596F17"/>
    <w:rsid w:val="00597BF9"/>
    <w:rsid w:val="005A0AA3"/>
    <w:rsid w:val="005A28D2"/>
    <w:rsid w:val="005A2FA6"/>
    <w:rsid w:val="005A373D"/>
    <w:rsid w:val="005A5D52"/>
    <w:rsid w:val="005A6D95"/>
    <w:rsid w:val="005A6FE2"/>
    <w:rsid w:val="005A73B7"/>
    <w:rsid w:val="005A75CC"/>
    <w:rsid w:val="005A7B37"/>
    <w:rsid w:val="005A7DA6"/>
    <w:rsid w:val="005B03C5"/>
    <w:rsid w:val="005B0872"/>
    <w:rsid w:val="005B1267"/>
    <w:rsid w:val="005B3065"/>
    <w:rsid w:val="005B3C3A"/>
    <w:rsid w:val="005B415F"/>
    <w:rsid w:val="005B4FC8"/>
    <w:rsid w:val="005B5857"/>
    <w:rsid w:val="005B6BA9"/>
    <w:rsid w:val="005B7ECF"/>
    <w:rsid w:val="005C0803"/>
    <w:rsid w:val="005C0A13"/>
    <w:rsid w:val="005C17D4"/>
    <w:rsid w:val="005C1B83"/>
    <w:rsid w:val="005C1CAC"/>
    <w:rsid w:val="005C1F0F"/>
    <w:rsid w:val="005C2D55"/>
    <w:rsid w:val="005C346B"/>
    <w:rsid w:val="005C3E4C"/>
    <w:rsid w:val="005C4257"/>
    <w:rsid w:val="005C4591"/>
    <w:rsid w:val="005C485E"/>
    <w:rsid w:val="005C4B58"/>
    <w:rsid w:val="005C5237"/>
    <w:rsid w:val="005C52FE"/>
    <w:rsid w:val="005C7CDA"/>
    <w:rsid w:val="005D044D"/>
    <w:rsid w:val="005D0ABD"/>
    <w:rsid w:val="005D0BB7"/>
    <w:rsid w:val="005D12FF"/>
    <w:rsid w:val="005D18AD"/>
    <w:rsid w:val="005D1B76"/>
    <w:rsid w:val="005D26B4"/>
    <w:rsid w:val="005D3C18"/>
    <w:rsid w:val="005D5740"/>
    <w:rsid w:val="005D58DD"/>
    <w:rsid w:val="005D6899"/>
    <w:rsid w:val="005D6FD4"/>
    <w:rsid w:val="005E14C1"/>
    <w:rsid w:val="005E1908"/>
    <w:rsid w:val="005E1A5B"/>
    <w:rsid w:val="005E253B"/>
    <w:rsid w:val="005E3073"/>
    <w:rsid w:val="005E4D58"/>
    <w:rsid w:val="005E50F2"/>
    <w:rsid w:val="005E519D"/>
    <w:rsid w:val="005E6CBC"/>
    <w:rsid w:val="005E73C0"/>
    <w:rsid w:val="005F123C"/>
    <w:rsid w:val="005F12CF"/>
    <w:rsid w:val="005F2706"/>
    <w:rsid w:val="005F48ED"/>
    <w:rsid w:val="005F4931"/>
    <w:rsid w:val="005F4EF7"/>
    <w:rsid w:val="005F504B"/>
    <w:rsid w:val="005F5F5C"/>
    <w:rsid w:val="005F6A8F"/>
    <w:rsid w:val="005F6B5E"/>
    <w:rsid w:val="0060056C"/>
    <w:rsid w:val="006007A6"/>
    <w:rsid w:val="00602280"/>
    <w:rsid w:val="006024C4"/>
    <w:rsid w:val="00603AD8"/>
    <w:rsid w:val="00603DB9"/>
    <w:rsid w:val="00603F37"/>
    <w:rsid w:val="00604CDE"/>
    <w:rsid w:val="00604CF2"/>
    <w:rsid w:val="0060671B"/>
    <w:rsid w:val="00607669"/>
    <w:rsid w:val="006076A8"/>
    <w:rsid w:val="00607AFD"/>
    <w:rsid w:val="0061044C"/>
    <w:rsid w:val="00611A61"/>
    <w:rsid w:val="00611AE1"/>
    <w:rsid w:val="00612F97"/>
    <w:rsid w:val="0061345D"/>
    <w:rsid w:val="00616802"/>
    <w:rsid w:val="0061697C"/>
    <w:rsid w:val="00616B73"/>
    <w:rsid w:val="006172B3"/>
    <w:rsid w:val="00617706"/>
    <w:rsid w:val="006179BF"/>
    <w:rsid w:val="00617DDC"/>
    <w:rsid w:val="00617E12"/>
    <w:rsid w:val="0062025F"/>
    <w:rsid w:val="006209FA"/>
    <w:rsid w:val="00620F18"/>
    <w:rsid w:val="00620FBD"/>
    <w:rsid w:val="00621297"/>
    <w:rsid w:val="00621477"/>
    <w:rsid w:val="006238EC"/>
    <w:rsid w:val="00624672"/>
    <w:rsid w:val="0062564F"/>
    <w:rsid w:val="0062612B"/>
    <w:rsid w:val="0062671D"/>
    <w:rsid w:val="00627212"/>
    <w:rsid w:val="0063016E"/>
    <w:rsid w:val="0063158F"/>
    <w:rsid w:val="006315FA"/>
    <w:rsid w:val="00631D6B"/>
    <w:rsid w:val="00632860"/>
    <w:rsid w:val="006330A1"/>
    <w:rsid w:val="00633A31"/>
    <w:rsid w:val="0063479F"/>
    <w:rsid w:val="00634AB8"/>
    <w:rsid w:val="006353F0"/>
    <w:rsid w:val="006364A1"/>
    <w:rsid w:val="006366B1"/>
    <w:rsid w:val="006373BB"/>
    <w:rsid w:val="00637BFD"/>
    <w:rsid w:val="00640197"/>
    <w:rsid w:val="00640A2E"/>
    <w:rsid w:val="00640B75"/>
    <w:rsid w:val="00641C4E"/>
    <w:rsid w:val="0064273A"/>
    <w:rsid w:val="00642ED5"/>
    <w:rsid w:val="00643015"/>
    <w:rsid w:val="00643A89"/>
    <w:rsid w:val="00643BDD"/>
    <w:rsid w:val="00645690"/>
    <w:rsid w:val="00645800"/>
    <w:rsid w:val="00646610"/>
    <w:rsid w:val="006471CC"/>
    <w:rsid w:val="00647DD3"/>
    <w:rsid w:val="00647E2C"/>
    <w:rsid w:val="00650023"/>
    <w:rsid w:val="0065079F"/>
    <w:rsid w:val="00651515"/>
    <w:rsid w:val="00651632"/>
    <w:rsid w:val="006519CA"/>
    <w:rsid w:val="00652BAE"/>
    <w:rsid w:val="0065379F"/>
    <w:rsid w:val="006539BF"/>
    <w:rsid w:val="00654413"/>
    <w:rsid w:val="00654E6D"/>
    <w:rsid w:val="00657001"/>
    <w:rsid w:val="00660242"/>
    <w:rsid w:val="006603BD"/>
    <w:rsid w:val="006610A2"/>
    <w:rsid w:val="00661BDF"/>
    <w:rsid w:val="00661C6B"/>
    <w:rsid w:val="006624E5"/>
    <w:rsid w:val="0066302D"/>
    <w:rsid w:val="006635F5"/>
    <w:rsid w:val="006637AD"/>
    <w:rsid w:val="006642FB"/>
    <w:rsid w:val="00664425"/>
    <w:rsid w:val="006645F4"/>
    <w:rsid w:val="00665A86"/>
    <w:rsid w:val="00666E12"/>
    <w:rsid w:val="006679D1"/>
    <w:rsid w:val="00670818"/>
    <w:rsid w:val="0067168B"/>
    <w:rsid w:val="00672329"/>
    <w:rsid w:val="00672D53"/>
    <w:rsid w:val="00674E42"/>
    <w:rsid w:val="00675812"/>
    <w:rsid w:val="006759F6"/>
    <w:rsid w:val="006766FB"/>
    <w:rsid w:val="00677EB1"/>
    <w:rsid w:val="006809E4"/>
    <w:rsid w:val="006812D1"/>
    <w:rsid w:val="00682112"/>
    <w:rsid w:val="0068312E"/>
    <w:rsid w:val="00684550"/>
    <w:rsid w:val="006857C6"/>
    <w:rsid w:val="00686957"/>
    <w:rsid w:val="00686ACA"/>
    <w:rsid w:val="006872BA"/>
    <w:rsid w:val="00690137"/>
    <w:rsid w:val="00690DCB"/>
    <w:rsid w:val="00691648"/>
    <w:rsid w:val="006917D3"/>
    <w:rsid w:val="006917D7"/>
    <w:rsid w:val="00691AEA"/>
    <w:rsid w:val="0069268A"/>
    <w:rsid w:val="00692ABA"/>
    <w:rsid w:val="006930FE"/>
    <w:rsid w:val="00693964"/>
    <w:rsid w:val="00694F44"/>
    <w:rsid w:val="006953DE"/>
    <w:rsid w:val="006A1BD1"/>
    <w:rsid w:val="006A2214"/>
    <w:rsid w:val="006A239B"/>
    <w:rsid w:val="006A2552"/>
    <w:rsid w:val="006A28AC"/>
    <w:rsid w:val="006A4154"/>
    <w:rsid w:val="006A5B37"/>
    <w:rsid w:val="006A6B30"/>
    <w:rsid w:val="006A7D8B"/>
    <w:rsid w:val="006A7E5F"/>
    <w:rsid w:val="006B01E2"/>
    <w:rsid w:val="006B1EE4"/>
    <w:rsid w:val="006B22F9"/>
    <w:rsid w:val="006B261B"/>
    <w:rsid w:val="006B2C90"/>
    <w:rsid w:val="006B34F2"/>
    <w:rsid w:val="006B39CC"/>
    <w:rsid w:val="006B4DBD"/>
    <w:rsid w:val="006B59C5"/>
    <w:rsid w:val="006B5F57"/>
    <w:rsid w:val="006B6DD0"/>
    <w:rsid w:val="006B6E9B"/>
    <w:rsid w:val="006B775E"/>
    <w:rsid w:val="006B77E8"/>
    <w:rsid w:val="006C087C"/>
    <w:rsid w:val="006C1C6C"/>
    <w:rsid w:val="006C2A8E"/>
    <w:rsid w:val="006C324C"/>
    <w:rsid w:val="006C33E8"/>
    <w:rsid w:val="006C41D2"/>
    <w:rsid w:val="006C42CF"/>
    <w:rsid w:val="006C4F30"/>
    <w:rsid w:val="006C5F37"/>
    <w:rsid w:val="006C67C8"/>
    <w:rsid w:val="006D0ACD"/>
    <w:rsid w:val="006D14DE"/>
    <w:rsid w:val="006D2100"/>
    <w:rsid w:val="006D369A"/>
    <w:rsid w:val="006D3C7D"/>
    <w:rsid w:val="006D437C"/>
    <w:rsid w:val="006D5D5F"/>
    <w:rsid w:val="006D7B4A"/>
    <w:rsid w:val="006E127F"/>
    <w:rsid w:val="006E19C5"/>
    <w:rsid w:val="006E25C0"/>
    <w:rsid w:val="006E3A67"/>
    <w:rsid w:val="006E3EDB"/>
    <w:rsid w:val="006E4B51"/>
    <w:rsid w:val="006E4E0E"/>
    <w:rsid w:val="006E5A80"/>
    <w:rsid w:val="006E6F8B"/>
    <w:rsid w:val="006E7CD2"/>
    <w:rsid w:val="006F00F1"/>
    <w:rsid w:val="006F0AB1"/>
    <w:rsid w:val="006F1717"/>
    <w:rsid w:val="006F306C"/>
    <w:rsid w:val="006F3B17"/>
    <w:rsid w:val="006F3EB0"/>
    <w:rsid w:val="006F452A"/>
    <w:rsid w:val="006F4F50"/>
    <w:rsid w:val="006F5018"/>
    <w:rsid w:val="006F634E"/>
    <w:rsid w:val="006F63A5"/>
    <w:rsid w:val="006F6861"/>
    <w:rsid w:val="006F6A3C"/>
    <w:rsid w:val="006F6CD9"/>
    <w:rsid w:val="006F7204"/>
    <w:rsid w:val="00700A78"/>
    <w:rsid w:val="0070142B"/>
    <w:rsid w:val="00701DE3"/>
    <w:rsid w:val="00701E5F"/>
    <w:rsid w:val="0070276E"/>
    <w:rsid w:val="007027D7"/>
    <w:rsid w:val="00702F8F"/>
    <w:rsid w:val="007031D1"/>
    <w:rsid w:val="0070481F"/>
    <w:rsid w:val="00706385"/>
    <w:rsid w:val="00711A36"/>
    <w:rsid w:val="007122D0"/>
    <w:rsid w:val="00712BA1"/>
    <w:rsid w:val="00713716"/>
    <w:rsid w:val="0071391B"/>
    <w:rsid w:val="0071398D"/>
    <w:rsid w:val="00713BE7"/>
    <w:rsid w:val="0071529C"/>
    <w:rsid w:val="00716270"/>
    <w:rsid w:val="007165E1"/>
    <w:rsid w:val="00716758"/>
    <w:rsid w:val="007172AD"/>
    <w:rsid w:val="007201CC"/>
    <w:rsid w:val="00720FCF"/>
    <w:rsid w:val="007211B9"/>
    <w:rsid w:val="00722A92"/>
    <w:rsid w:val="00722B1B"/>
    <w:rsid w:val="00722DA7"/>
    <w:rsid w:val="0072416F"/>
    <w:rsid w:val="0072466E"/>
    <w:rsid w:val="007261B1"/>
    <w:rsid w:val="00727C94"/>
    <w:rsid w:val="00731262"/>
    <w:rsid w:val="00731EAE"/>
    <w:rsid w:val="00732FAE"/>
    <w:rsid w:val="00734912"/>
    <w:rsid w:val="00734E27"/>
    <w:rsid w:val="00735033"/>
    <w:rsid w:val="00735328"/>
    <w:rsid w:val="0073634E"/>
    <w:rsid w:val="007364FD"/>
    <w:rsid w:val="00736761"/>
    <w:rsid w:val="0073685B"/>
    <w:rsid w:val="00736D7C"/>
    <w:rsid w:val="00737772"/>
    <w:rsid w:val="00741D10"/>
    <w:rsid w:val="00744FA9"/>
    <w:rsid w:val="00745BBC"/>
    <w:rsid w:val="00745D0E"/>
    <w:rsid w:val="00746962"/>
    <w:rsid w:val="00746C9C"/>
    <w:rsid w:val="0074777B"/>
    <w:rsid w:val="00752142"/>
    <w:rsid w:val="007523F9"/>
    <w:rsid w:val="00752B4E"/>
    <w:rsid w:val="00752CFD"/>
    <w:rsid w:val="0075502F"/>
    <w:rsid w:val="00755960"/>
    <w:rsid w:val="00756D11"/>
    <w:rsid w:val="007573E8"/>
    <w:rsid w:val="00757585"/>
    <w:rsid w:val="00760C4E"/>
    <w:rsid w:val="00761251"/>
    <w:rsid w:val="00761CCD"/>
    <w:rsid w:val="007639EE"/>
    <w:rsid w:val="007641B6"/>
    <w:rsid w:val="00765183"/>
    <w:rsid w:val="00765B1A"/>
    <w:rsid w:val="00766638"/>
    <w:rsid w:val="00767119"/>
    <w:rsid w:val="0076753C"/>
    <w:rsid w:val="00767785"/>
    <w:rsid w:val="0076793A"/>
    <w:rsid w:val="00770176"/>
    <w:rsid w:val="007703E7"/>
    <w:rsid w:val="0077128B"/>
    <w:rsid w:val="00771316"/>
    <w:rsid w:val="00771401"/>
    <w:rsid w:val="00771645"/>
    <w:rsid w:val="007720B2"/>
    <w:rsid w:val="00773A28"/>
    <w:rsid w:val="0077474E"/>
    <w:rsid w:val="00774C1B"/>
    <w:rsid w:val="007755B9"/>
    <w:rsid w:val="007755FA"/>
    <w:rsid w:val="0077587D"/>
    <w:rsid w:val="007764C5"/>
    <w:rsid w:val="0077654F"/>
    <w:rsid w:val="00777360"/>
    <w:rsid w:val="007814C7"/>
    <w:rsid w:val="0078345A"/>
    <w:rsid w:val="007843F2"/>
    <w:rsid w:val="00785126"/>
    <w:rsid w:val="0078617C"/>
    <w:rsid w:val="00786597"/>
    <w:rsid w:val="00790AC2"/>
    <w:rsid w:val="00793A12"/>
    <w:rsid w:val="00794219"/>
    <w:rsid w:val="007942EB"/>
    <w:rsid w:val="00794A71"/>
    <w:rsid w:val="00794E38"/>
    <w:rsid w:val="00794ED8"/>
    <w:rsid w:val="0079543A"/>
    <w:rsid w:val="00797C86"/>
    <w:rsid w:val="007A0A12"/>
    <w:rsid w:val="007A132D"/>
    <w:rsid w:val="007A4944"/>
    <w:rsid w:val="007A5B8F"/>
    <w:rsid w:val="007A67A4"/>
    <w:rsid w:val="007A69F0"/>
    <w:rsid w:val="007B0D25"/>
    <w:rsid w:val="007B0D68"/>
    <w:rsid w:val="007B1364"/>
    <w:rsid w:val="007B1B28"/>
    <w:rsid w:val="007B251D"/>
    <w:rsid w:val="007B451B"/>
    <w:rsid w:val="007B4F58"/>
    <w:rsid w:val="007B528D"/>
    <w:rsid w:val="007B536B"/>
    <w:rsid w:val="007B578E"/>
    <w:rsid w:val="007B5CF5"/>
    <w:rsid w:val="007B63B5"/>
    <w:rsid w:val="007B77D1"/>
    <w:rsid w:val="007B7A07"/>
    <w:rsid w:val="007B7F2C"/>
    <w:rsid w:val="007C005A"/>
    <w:rsid w:val="007C02C1"/>
    <w:rsid w:val="007C162B"/>
    <w:rsid w:val="007C1CD9"/>
    <w:rsid w:val="007C1E1F"/>
    <w:rsid w:val="007C2923"/>
    <w:rsid w:val="007C32F5"/>
    <w:rsid w:val="007C361D"/>
    <w:rsid w:val="007C3C8F"/>
    <w:rsid w:val="007C4B84"/>
    <w:rsid w:val="007C52F0"/>
    <w:rsid w:val="007C7534"/>
    <w:rsid w:val="007C7E8E"/>
    <w:rsid w:val="007D004F"/>
    <w:rsid w:val="007D048F"/>
    <w:rsid w:val="007D0B38"/>
    <w:rsid w:val="007D2358"/>
    <w:rsid w:val="007D274D"/>
    <w:rsid w:val="007D291E"/>
    <w:rsid w:val="007D34CD"/>
    <w:rsid w:val="007D37A6"/>
    <w:rsid w:val="007D3FFC"/>
    <w:rsid w:val="007D489F"/>
    <w:rsid w:val="007D4C1C"/>
    <w:rsid w:val="007D5440"/>
    <w:rsid w:val="007D5CDA"/>
    <w:rsid w:val="007D6193"/>
    <w:rsid w:val="007D75E0"/>
    <w:rsid w:val="007E0C20"/>
    <w:rsid w:val="007E1801"/>
    <w:rsid w:val="007E1C90"/>
    <w:rsid w:val="007E287C"/>
    <w:rsid w:val="007E4B94"/>
    <w:rsid w:val="007E56C2"/>
    <w:rsid w:val="007E6524"/>
    <w:rsid w:val="007E6B04"/>
    <w:rsid w:val="007F1017"/>
    <w:rsid w:val="007F14AA"/>
    <w:rsid w:val="007F3A61"/>
    <w:rsid w:val="007F4A3F"/>
    <w:rsid w:val="007F4A61"/>
    <w:rsid w:val="007F4B17"/>
    <w:rsid w:val="007F4BFA"/>
    <w:rsid w:val="007F5505"/>
    <w:rsid w:val="007F61C2"/>
    <w:rsid w:val="007F6709"/>
    <w:rsid w:val="007F787C"/>
    <w:rsid w:val="00800A2B"/>
    <w:rsid w:val="00802B05"/>
    <w:rsid w:val="00803E19"/>
    <w:rsid w:val="008040D4"/>
    <w:rsid w:val="00804CAA"/>
    <w:rsid w:val="00804EFE"/>
    <w:rsid w:val="00805142"/>
    <w:rsid w:val="008054AB"/>
    <w:rsid w:val="00805D22"/>
    <w:rsid w:val="008069E6"/>
    <w:rsid w:val="00807A8B"/>
    <w:rsid w:val="00807BDB"/>
    <w:rsid w:val="008111EE"/>
    <w:rsid w:val="00811383"/>
    <w:rsid w:val="008119F5"/>
    <w:rsid w:val="00811C27"/>
    <w:rsid w:val="00812149"/>
    <w:rsid w:val="0081242A"/>
    <w:rsid w:val="008126E9"/>
    <w:rsid w:val="0081291C"/>
    <w:rsid w:val="008129AF"/>
    <w:rsid w:val="00812CAC"/>
    <w:rsid w:val="0081309A"/>
    <w:rsid w:val="008130C9"/>
    <w:rsid w:val="00814B2B"/>
    <w:rsid w:val="00815492"/>
    <w:rsid w:val="0081592C"/>
    <w:rsid w:val="00815B51"/>
    <w:rsid w:val="00816303"/>
    <w:rsid w:val="008166EF"/>
    <w:rsid w:val="00820721"/>
    <w:rsid w:val="008248B1"/>
    <w:rsid w:val="00825751"/>
    <w:rsid w:val="008264EB"/>
    <w:rsid w:val="0082792E"/>
    <w:rsid w:val="008305AE"/>
    <w:rsid w:val="00832D0D"/>
    <w:rsid w:val="00832D7C"/>
    <w:rsid w:val="00833824"/>
    <w:rsid w:val="00833B05"/>
    <w:rsid w:val="00833C6F"/>
    <w:rsid w:val="0083426E"/>
    <w:rsid w:val="008342F0"/>
    <w:rsid w:val="008347C2"/>
    <w:rsid w:val="008347F7"/>
    <w:rsid w:val="00834E25"/>
    <w:rsid w:val="008350B6"/>
    <w:rsid w:val="008362B4"/>
    <w:rsid w:val="00836DEF"/>
    <w:rsid w:val="008405AA"/>
    <w:rsid w:val="0084082D"/>
    <w:rsid w:val="0084092C"/>
    <w:rsid w:val="00840CA2"/>
    <w:rsid w:val="00842228"/>
    <w:rsid w:val="008425FC"/>
    <w:rsid w:val="00842C32"/>
    <w:rsid w:val="00843000"/>
    <w:rsid w:val="0084374F"/>
    <w:rsid w:val="00843E46"/>
    <w:rsid w:val="008443A7"/>
    <w:rsid w:val="00844780"/>
    <w:rsid w:val="008447EA"/>
    <w:rsid w:val="00845A5B"/>
    <w:rsid w:val="0084642E"/>
    <w:rsid w:val="00846AC7"/>
    <w:rsid w:val="00846D9E"/>
    <w:rsid w:val="008474EB"/>
    <w:rsid w:val="008478F0"/>
    <w:rsid w:val="00847DF5"/>
    <w:rsid w:val="00850A07"/>
    <w:rsid w:val="0085309D"/>
    <w:rsid w:val="00854244"/>
    <w:rsid w:val="00855921"/>
    <w:rsid w:val="0085672F"/>
    <w:rsid w:val="00856897"/>
    <w:rsid w:val="00856E9A"/>
    <w:rsid w:val="008601EA"/>
    <w:rsid w:val="0086075D"/>
    <w:rsid w:val="00861461"/>
    <w:rsid w:val="0086156C"/>
    <w:rsid w:val="00862095"/>
    <w:rsid w:val="00862502"/>
    <w:rsid w:val="0086388F"/>
    <w:rsid w:val="00864024"/>
    <w:rsid w:val="008646C9"/>
    <w:rsid w:val="0086541B"/>
    <w:rsid w:val="008660D4"/>
    <w:rsid w:val="00866C79"/>
    <w:rsid w:val="00871D87"/>
    <w:rsid w:val="00871FA9"/>
    <w:rsid w:val="00872238"/>
    <w:rsid w:val="008728E9"/>
    <w:rsid w:val="008732CE"/>
    <w:rsid w:val="00874C1D"/>
    <w:rsid w:val="00874CD1"/>
    <w:rsid w:val="0087598D"/>
    <w:rsid w:val="00875E54"/>
    <w:rsid w:val="00876027"/>
    <w:rsid w:val="0087622A"/>
    <w:rsid w:val="0087698F"/>
    <w:rsid w:val="00880158"/>
    <w:rsid w:val="008807EA"/>
    <w:rsid w:val="008807EF"/>
    <w:rsid w:val="00880A17"/>
    <w:rsid w:val="00880C4C"/>
    <w:rsid w:val="00881650"/>
    <w:rsid w:val="00882874"/>
    <w:rsid w:val="008832DA"/>
    <w:rsid w:val="00883787"/>
    <w:rsid w:val="00884543"/>
    <w:rsid w:val="00884D34"/>
    <w:rsid w:val="00885ED1"/>
    <w:rsid w:val="00886CD2"/>
    <w:rsid w:val="008871F5"/>
    <w:rsid w:val="0088782D"/>
    <w:rsid w:val="00887D26"/>
    <w:rsid w:val="0089073F"/>
    <w:rsid w:val="00892A36"/>
    <w:rsid w:val="00893239"/>
    <w:rsid w:val="00894489"/>
    <w:rsid w:val="00894E89"/>
    <w:rsid w:val="008950B5"/>
    <w:rsid w:val="00895A43"/>
    <w:rsid w:val="008963A5"/>
    <w:rsid w:val="008A0F0C"/>
    <w:rsid w:val="008A20FC"/>
    <w:rsid w:val="008A2733"/>
    <w:rsid w:val="008A30FB"/>
    <w:rsid w:val="008A3363"/>
    <w:rsid w:val="008A3371"/>
    <w:rsid w:val="008A3C3E"/>
    <w:rsid w:val="008A41E8"/>
    <w:rsid w:val="008A47AC"/>
    <w:rsid w:val="008A6603"/>
    <w:rsid w:val="008A6746"/>
    <w:rsid w:val="008A6B14"/>
    <w:rsid w:val="008A6CC8"/>
    <w:rsid w:val="008A79DE"/>
    <w:rsid w:val="008A7CAB"/>
    <w:rsid w:val="008B1757"/>
    <w:rsid w:val="008B176F"/>
    <w:rsid w:val="008B4217"/>
    <w:rsid w:val="008B4342"/>
    <w:rsid w:val="008B5086"/>
    <w:rsid w:val="008B6A20"/>
    <w:rsid w:val="008B7382"/>
    <w:rsid w:val="008B7510"/>
    <w:rsid w:val="008B7D7E"/>
    <w:rsid w:val="008C1260"/>
    <w:rsid w:val="008C1276"/>
    <w:rsid w:val="008C3651"/>
    <w:rsid w:val="008C3ABF"/>
    <w:rsid w:val="008C7CA5"/>
    <w:rsid w:val="008C7ECB"/>
    <w:rsid w:val="008D0588"/>
    <w:rsid w:val="008D16F0"/>
    <w:rsid w:val="008D2329"/>
    <w:rsid w:val="008D334E"/>
    <w:rsid w:val="008D3905"/>
    <w:rsid w:val="008D3A2D"/>
    <w:rsid w:val="008D41A4"/>
    <w:rsid w:val="008D4755"/>
    <w:rsid w:val="008D4C3D"/>
    <w:rsid w:val="008D5942"/>
    <w:rsid w:val="008D5D15"/>
    <w:rsid w:val="008D67A9"/>
    <w:rsid w:val="008E00AD"/>
    <w:rsid w:val="008E00E9"/>
    <w:rsid w:val="008E01CC"/>
    <w:rsid w:val="008E0D3C"/>
    <w:rsid w:val="008E0E03"/>
    <w:rsid w:val="008E0FE8"/>
    <w:rsid w:val="008E1841"/>
    <w:rsid w:val="008E1B9E"/>
    <w:rsid w:val="008E20E8"/>
    <w:rsid w:val="008E231C"/>
    <w:rsid w:val="008E2749"/>
    <w:rsid w:val="008E2D65"/>
    <w:rsid w:val="008E431A"/>
    <w:rsid w:val="008E4E44"/>
    <w:rsid w:val="008E55AB"/>
    <w:rsid w:val="008E5B89"/>
    <w:rsid w:val="008E5B92"/>
    <w:rsid w:val="008E7C30"/>
    <w:rsid w:val="008F00DD"/>
    <w:rsid w:val="008F0B70"/>
    <w:rsid w:val="008F0E84"/>
    <w:rsid w:val="008F120A"/>
    <w:rsid w:val="008F26AD"/>
    <w:rsid w:val="008F27E0"/>
    <w:rsid w:val="008F3E36"/>
    <w:rsid w:val="008F3ED0"/>
    <w:rsid w:val="008F48EB"/>
    <w:rsid w:val="008F4F0B"/>
    <w:rsid w:val="0090024A"/>
    <w:rsid w:val="0090092D"/>
    <w:rsid w:val="00901F7E"/>
    <w:rsid w:val="0090273E"/>
    <w:rsid w:val="0090290D"/>
    <w:rsid w:val="00903C7F"/>
    <w:rsid w:val="00903FB0"/>
    <w:rsid w:val="009046C4"/>
    <w:rsid w:val="00905D61"/>
    <w:rsid w:val="009062A5"/>
    <w:rsid w:val="00906551"/>
    <w:rsid w:val="009072E6"/>
    <w:rsid w:val="00907766"/>
    <w:rsid w:val="00907ECB"/>
    <w:rsid w:val="00911272"/>
    <w:rsid w:val="00911E9B"/>
    <w:rsid w:val="009135D6"/>
    <w:rsid w:val="00913E6F"/>
    <w:rsid w:val="00914C77"/>
    <w:rsid w:val="00915C45"/>
    <w:rsid w:val="00915D21"/>
    <w:rsid w:val="00917E9F"/>
    <w:rsid w:val="009203A7"/>
    <w:rsid w:val="00922373"/>
    <w:rsid w:val="00922BAE"/>
    <w:rsid w:val="0092369B"/>
    <w:rsid w:val="00924025"/>
    <w:rsid w:val="00926A9C"/>
    <w:rsid w:val="00930606"/>
    <w:rsid w:val="009315E0"/>
    <w:rsid w:val="00931CFA"/>
    <w:rsid w:val="00931F5B"/>
    <w:rsid w:val="009321D0"/>
    <w:rsid w:val="00933017"/>
    <w:rsid w:val="009332CB"/>
    <w:rsid w:val="00933783"/>
    <w:rsid w:val="00933B32"/>
    <w:rsid w:val="00934715"/>
    <w:rsid w:val="00935761"/>
    <w:rsid w:val="0093641E"/>
    <w:rsid w:val="009369D4"/>
    <w:rsid w:val="0093739F"/>
    <w:rsid w:val="00940839"/>
    <w:rsid w:val="009410D2"/>
    <w:rsid w:val="0094240B"/>
    <w:rsid w:val="00944C39"/>
    <w:rsid w:val="00944FC8"/>
    <w:rsid w:val="00945E21"/>
    <w:rsid w:val="0094767A"/>
    <w:rsid w:val="0094793F"/>
    <w:rsid w:val="00947A36"/>
    <w:rsid w:val="00950E9A"/>
    <w:rsid w:val="009510A2"/>
    <w:rsid w:val="00951E47"/>
    <w:rsid w:val="00952685"/>
    <w:rsid w:val="0095278E"/>
    <w:rsid w:val="00953257"/>
    <w:rsid w:val="00953C1A"/>
    <w:rsid w:val="0095504C"/>
    <w:rsid w:val="009565DA"/>
    <w:rsid w:val="00957C90"/>
    <w:rsid w:val="009609EF"/>
    <w:rsid w:val="00962CB9"/>
    <w:rsid w:val="00963328"/>
    <w:rsid w:val="00963C0A"/>
    <w:rsid w:val="00963C50"/>
    <w:rsid w:val="00963D48"/>
    <w:rsid w:val="009640EC"/>
    <w:rsid w:val="00964312"/>
    <w:rsid w:val="00965B8A"/>
    <w:rsid w:val="00965C86"/>
    <w:rsid w:val="00966B81"/>
    <w:rsid w:val="00970311"/>
    <w:rsid w:val="00971076"/>
    <w:rsid w:val="009717AC"/>
    <w:rsid w:val="009718D5"/>
    <w:rsid w:val="009719A3"/>
    <w:rsid w:val="009749C1"/>
    <w:rsid w:val="009757D9"/>
    <w:rsid w:val="00975DC8"/>
    <w:rsid w:val="00976904"/>
    <w:rsid w:val="00977FA1"/>
    <w:rsid w:val="00980038"/>
    <w:rsid w:val="00981111"/>
    <w:rsid w:val="00981399"/>
    <w:rsid w:val="009835B5"/>
    <w:rsid w:val="00983E57"/>
    <w:rsid w:val="009845EC"/>
    <w:rsid w:val="009847B2"/>
    <w:rsid w:val="00985553"/>
    <w:rsid w:val="00985AFC"/>
    <w:rsid w:val="00985EBD"/>
    <w:rsid w:val="0098675D"/>
    <w:rsid w:val="00987883"/>
    <w:rsid w:val="009878A7"/>
    <w:rsid w:val="00987D94"/>
    <w:rsid w:val="00987FB3"/>
    <w:rsid w:val="00992053"/>
    <w:rsid w:val="00992D6A"/>
    <w:rsid w:val="0099300E"/>
    <w:rsid w:val="0099328A"/>
    <w:rsid w:val="00993408"/>
    <w:rsid w:val="00996672"/>
    <w:rsid w:val="009968FF"/>
    <w:rsid w:val="00996B1A"/>
    <w:rsid w:val="009A02FB"/>
    <w:rsid w:val="009A0687"/>
    <w:rsid w:val="009A09E0"/>
    <w:rsid w:val="009A113B"/>
    <w:rsid w:val="009A1DA0"/>
    <w:rsid w:val="009A28E5"/>
    <w:rsid w:val="009A3927"/>
    <w:rsid w:val="009A3C95"/>
    <w:rsid w:val="009A4160"/>
    <w:rsid w:val="009A6158"/>
    <w:rsid w:val="009A663D"/>
    <w:rsid w:val="009A7F10"/>
    <w:rsid w:val="009B3471"/>
    <w:rsid w:val="009B37DD"/>
    <w:rsid w:val="009B3E26"/>
    <w:rsid w:val="009B6917"/>
    <w:rsid w:val="009B6A9C"/>
    <w:rsid w:val="009B7F74"/>
    <w:rsid w:val="009C02F6"/>
    <w:rsid w:val="009C0678"/>
    <w:rsid w:val="009C13DF"/>
    <w:rsid w:val="009C2015"/>
    <w:rsid w:val="009C2566"/>
    <w:rsid w:val="009C31FE"/>
    <w:rsid w:val="009C41CC"/>
    <w:rsid w:val="009C424F"/>
    <w:rsid w:val="009C60B1"/>
    <w:rsid w:val="009C6CEA"/>
    <w:rsid w:val="009C7AB9"/>
    <w:rsid w:val="009C7B85"/>
    <w:rsid w:val="009D0A05"/>
    <w:rsid w:val="009D0BFC"/>
    <w:rsid w:val="009D0E93"/>
    <w:rsid w:val="009D26DF"/>
    <w:rsid w:val="009D2817"/>
    <w:rsid w:val="009D29F3"/>
    <w:rsid w:val="009D3D47"/>
    <w:rsid w:val="009D56C2"/>
    <w:rsid w:val="009D5B91"/>
    <w:rsid w:val="009D5C6F"/>
    <w:rsid w:val="009D62CE"/>
    <w:rsid w:val="009D630E"/>
    <w:rsid w:val="009D731F"/>
    <w:rsid w:val="009D765F"/>
    <w:rsid w:val="009D7861"/>
    <w:rsid w:val="009D792E"/>
    <w:rsid w:val="009D7975"/>
    <w:rsid w:val="009D79DB"/>
    <w:rsid w:val="009E0DFE"/>
    <w:rsid w:val="009E0E13"/>
    <w:rsid w:val="009E11FD"/>
    <w:rsid w:val="009E1B17"/>
    <w:rsid w:val="009E3089"/>
    <w:rsid w:val="009E385B"/>
    <w:rsid w:val="009E3925"/>
    <w:rsid w:val="009E48B2"/>
    <w:rsid w:val="009E49B2"/>
    <w:rsid w:val="009E4C07"/>
    <w:rsid w:val="009E504A"/>
    <w:rsid w:val="009E72AE"/>
    <w:rsid w:val="009F1B32"/>
    <w:rsid w:val="009F2518"/>
    <w:rsid w:val="009F509F"/>
    <w:rsid w:val="009F53A5"/>
    <w:rsid w:val="009F53DE"/>
    <w:rsid w:val="009F6785"/>
    <w:rsid w:val="00A01184"/>
    <w:rsid w:val="00A01405"/>
    <w:rsid w:val="00A01B07"/>
    <w:rsid w:val="00A023C4"/>
    <w:rsid w:val="00A03435"/>
    <w:rsid w:val="00A03D43"/>
    <w:rsid w:val="00A04380"/>
    <w:rsid w:val="00A04ED2"/>
    <w:rsid w:val="00A058A5"/>
    <w:rsid w:val="00A07BFD"/>
    <w:rsid w:val="00A10579"/>
    <w:rsid w:val="00A10CF9"/>
    <w:rsid w:val="00A11CD0"/>
    <w:rsid w:val="00A11D1F"/>
    <w:rsid w:val="00A125ED"/>
    <w:rsid w:val="00A13948"/>
    <w:rsid w:val="00A13C0A"/>
    <w:rsid w:val="00A14228"/>
    <w:rsid w:val="00A14B95"/>
    <w:rsid w:val="00A14D15"/>
    <w:rsid w:val="00A1555B"/>
    <w:rsid w:val="00A155C5"/>
    <w:rsid w:val="00A16AD8"/>
    <w:rsid w:val="00A17176"/>
    <w:rsid w:val="00A17188"/>
    <w:rsid w:val="00A206AF"/>
    <w:rsid w:val="00A21CF3"/>
    <w:rsid w:val="00A227DC"/>
    <w:rsid w:val="00A2301C"/>
    <w:rsid w:val="00A24CD3"/>
    <w:rsid w:val="00A26BA8"/>
    <w:rsid w:val="00A27241"/>
    <w:rsid w:val="00A27AEC"/>
    <w:rsid w:val="00A30A05"/>
    <w:rsid w:val="00A316E8"/>
    <w:rsid w:val="00A3191E"/>
    <w:rsid w:val="00A31CBC"/>
    <w:rsid w:val="00A320DB"/>
    <w:rsid w:val="00A32143"/>
    <w:rsid w:val="00A33B76"/>
    <w:rsid w:val="00A342F6"/>
    <w:rsid w:val="00A356B4"/>
    <w:rsid w:val="00A35841"/>
    <w:rsid w:val="00A358ED"/>
    <w:rsid w:val="00A35939"/>
    <w:rsid w:val="00A35D16"/>
    <w:rsid w:val="00A3625D"/>
    <w:rsid w:val="00A365AE"/>
    <w:rsid w:val="00A37BCD"/>
    <w:rsid w:val="00A40BCB"/>
    <w:rsid w:val="00A4172D"/>
    <w:rsid w:val="00A42501"/>
    <w:rsid w:val="00A43C59"/>
    <w:rsid w:val="00A44512"/>
    <w:rsid w:val="00A44667"/>
    <w:rsid w:val="00A44C4C"/>
    <w:rsid w:val="00A458F6"/>
    <w:rsid w:val="00A45A06"/>
    <w:rsid w:val="00A46D03"/>
    <w:rsid w:val="00A47F22"/>
    <w:rsid w:val="00A50ECD"/>
    <w:rsid w:val="00A518F3"/>
    <w:rsid w:val="00A519D4"/>
    <w:rsid w:val="00A51D01"/>
    <w:rsid w:val="00A52729"/>
    <w:rsid w:val="00A53675"/>
    <w:rsid w:val="00A543A3"/>
    <w:rsid w:val="00A55535"/>
    <w:rsid w:val="00A555B4"/>
    <w:rsid w:val="00A5571E"/>
    <w:rsid w:val="00A55EA7"/>
    <w:rsid w:val="00A564D7"/>
    <w:rsid w:val="00A56B6A"/>
    <w:rsid w:val="00A56B75"/>
    <w:rsid w:val="00A57470"/>
    <w:rsid w:val="00A578DC"/>
    <w:rsid w:val="00A578F4"/>
    <w:rsid w:val="00A60C8C"/>
    <w:rsid w:val="00A63DBC"/>
    <w:rsid w:val="00A641FE"/>
    <w:rsid w:val="00A64557"/>
    <w:rsid w:val="00A64CB9"/>
    <w:rsid w:val="00A651B9"/>
    <w:rsid w:val="00A6725B"/>
    <w:rsid w:val="00A70605"/>
    <w:rsid w:val="00A73134"/>
    <w:rsid w:val="00A73275"/>
    <w:rsid w:val="00A7405D"/>
    <w:rsid w:val="00A7455E"/>
    <w:rsid w:val="00A745D3"/>
    <w:rsid w:val="00A777B2"/>
    <w:rsid w:val="00A801CC"/>
    <w:rsid w:val="00A80C5C"/>
    <w:rsid w:val="00A80F56"/>
    <w:rsid w:val="00A822AB"/>
    <w:rsid w:val="00A826A4"/>
    <w:rsid w:val="00A83144"/>
    <w:rsid w:val="00A83219"/>
    <w:rsid w:val="00A842C8"/>
    <w:rsid w:val="00A857C2"/>
    <w:rsid w:val="00A85D63"/>
    <w:rsid w:val="00A85E87"/>
    <w:rsid w:val="00A86E8B"/>
    <w:rsid w:val="00A87164"/>
    <w:rsid w:val="00A872AF"/>
    <w:rsid w:val="00A93072"/>
    <w:rsid w:val="00A9390D"/>
    <w:rsid w:val="00A93953"/>
    <w:rsid w:val="00A943E9"/>
    <w:rsid w:val="00A9479B"/>
    <w:rsid w:val="00A95336"/>
    <w:rsid w:val="00A959D8"/>
    <w:rsid w:val="00A962F1"/>
    <w:rsid w:val="00AA113D"/>
    <w:rsid w:val="00AA1989"/>
    <w:rsid w:val="00AA1FB1"/>
    <w:rsid w:val="00AA22D4"/>
    <w:rsid w:val="00AA28CD"/>
    <w:rsid w:val="00AA2AE0"/>
    <w:rsid w:val="00AA2BCE"/>
    <w:rsid w:val="00AA31C3"/>
    <w:rsid w:val="00AA3F8B"/>
    <w:rsid w:val="00AA4BD0"/>
    <w:rsid w:val="00AA5046"/>
    <w:rsid w:val="00AA5288"/>
    <w:rsid w:val="00AA59C9"/>
    <w:rsid w:val="00AA6C7D"/>
    <w:rsid w:val="00AA72B6"/>
    <w:rsid w:val="00AA76B6"/>
    <w:rsid w:val="00AA7C31"/>
    <w:rsid w:val="00AA7D88"/>
    <w:rsid w:val="00AA7E9D"/>
    <w:rsid w:val="00AA7FD6"/>
    <w:rsid w:val="00AB042A"/>
    <w:rsid w:val="00AB236A"/>
    <w:rsid w:val="00AB2B6C"/>
    <w:rsid w:val="00AB2D34"/>
    <w:rsid w:val="00AB3430"/>
    <w:rsid w:val="00AB3C0C"/>
    <w:rsid w:val="00AB4721"/>
    <w:rsid w:val="00AB4AD1"/>
    <w:rsid w:val="00AB5D6E"/>
    <w:rsid w:val="00AB746E"/>
    <w:rsid w:val="00AB7CFA"/>
    <w:rsid w:val="00AB7D46"/>
    <w:rsid w:val="00AC06CD"/>
    <w:rsid w:val="00AC21A0"/>
    <w:rsid w:val="00AC3899"/>
    <w:rsid w:val="00AC52B6"/>
    <w:rsid w:val="00AC56DC"/>
    <w:rsid w:val="00AC5B48"/>
    <w:rsid w:val="00AC7013"/>
    <w:rsid w:val="00AC75DB"/>
    <w:rsid w:val="00AC7B58"/>
    <w:rsid w:val="00AC7E4F"/>
    <w:rsid w:val="00AD053B"/>
    <w:rsid w:val="00AD1A68"/>
    <w:rsid w:val="00AD47F9"/>
    <w:rsid w:val="00AD5413"/>
    <w:rsid w:val="00AD6502"/>
    <w:rsid w:val="00AD674D"/>
    <w:rsid w:val="00AD6C7E"/>
    <w:rsid w:val="00AD7394"/>
    <w:rsid w:val="00AD798E"/>
    <w:rsid w:val="00AE094F"/>
    <w:rsid w:val="00AE1790"/>
    <w:rsid w:val="00AE21FB"/>
    <w:rsid w:val="00AE2D65"/>
    <w:rsid w:val="00AE46E4"/>
    <w:rsid w:val="00AE4DC7"/>
    <w:rsid w:val="00AE5B5C"/>
    <w:rsid w:val="00AE6428"/>
    <w:rsid w:val="00AE69E7"/>
    <w:rsid w:val="00AE6A2D"/>
    <w:rsid w:val="00AE7A7A"/>
    <w:rsid w:val="00AF01AC"/>
    <w:rsid w:val="00AF0892"/>
    <w:rsid w:val="00AF0F18"/>
    <w:rsid w:val="00AF1315"/>
    <w:rsid w:val="00AF19BF"/>
    <w:rsid w:val="00AF2DC3"/>
    <w:rsid w:val="00AF4BBD"/>
    <w:rsid w:val="00AF535D"/>
    <w:rsid w:val="00AF6CCB"/>
    <w:rsid w:val="00B01B68"/>
    <w:rsid w:val="00B01E89"/>
    <w:rsid w:val="00B01F93"/>
    <w:rsid w:val="00B02413"/>
    <w:rsid w:val="00B02AEB"/>
    <w:rsid w:val="00B02D62"/>
    <w:rsid w:val="00B033E5"/>
    <w:rsid w:val="00B03812"/>
    <w:rsid w:val="00B03A63"/>
    <w:rsid w:val="00B04EA6"/>
    <w:rsid w:val="00B05104"/>
    <w:rsid w:val="00B05D34"/>
    <w:rsid w:val="00B0736C"/>
    <w:rsid w:val="00B145BF"/>
    <w:rsid w:val="00B14DAC"/>
    <w:rsid w:val="00B1787D"/>
    <w:rsid w:val="00B200AA"/>
    <w:rsid w:val="00B201A4"/>
    <w:rsid w:val="00B213A6"/>
    <w:rsid w:val="00B24DF6"/>
    <w:rsid w:val="00B2504B"/>
    <w:rsid w:val="00B26363"/>
    <w:rsid w:val="00B26482"/>
    <w:rsid w:val="00B26AB3"/>
    <w:rsid w:val="00B26F72"/>
    <w:rsid w:val="00B30654"/>
    <w:rsid w:val="00B30810"/>
    <w:rsid w:val="00B3138B"/>
    <w:rsid w:val="00B32C5E"/>
    <w:rsid w:val="00B32DBE"/>
    <w:rsid w:val="00B33DD8"/>
    <w:rsid w:val="00B34E09"/>
    <w:rsid w:val="00B34FE2"/>
    <w:rsid w:val="00B357D8"/>
    <w:rsid w:val="00B36779"/>
    <w:rsid w:val="00B37AFE"/>
    <w:rsid w:val="00B37BE6"/>
    <w:rsid w:val="00B37BFC"/>
    <w:rsid w:val="00B40358"/>
    <w:rsid w:val="00B41267"/>
    <w:rsid w:val="00B41614"/>
    <w:rsid w:val="00B420A7"/>
    <w:rsid w:val="00B42851"/>
    <w:rsid w:val="00B42F80"/>
    <w:rsid w:val="00B435CB"/>
    <w:rsid w:val="00B437FA"/>
    <w:rsid w:val="00B4389D"/>
    <w:rsid w:val="00B439DC"/>
    <w:rsid w:val="00B443AF"/>
    <w:rsid w:val="00B44E8C"/>
    <w:rsid w:val="00B455E1"/>
    <w:rsid w:val="00B4643D"/>
    <w:rsid w:val="00B465CA"/>
    <w:rsid w:val="00B46A03"/>
    <w:rsid w:val="00B4703D"/>
    <w:rsid w:val="00B50DB8"/>
    <w:rsid w:val="00B520B1"/>
    <w:rsid w:val="00B53475"/>
    <w:rsid w:val="00B53654"/>
    <w:rsid w:val="00B53877"/>
    <w:rsid w:val="00B53905"/>
    <w:rsid w:val="00B53D2A"/>
    <w:rsid w:val="00B53D4A"/>
    <w:rsid w:val="00B54B5B"/>
    <w:rsid w:val="00B5562E"/>
    <w:rsid w:val="00B57000"/>
    <w:rsid w:val="00B57910"/>
    <w:rsid w:val="00B57F20"/>
    <w:rsid w:val="00B57FD4"/>
    <w:rsid w:val="00B60939"/>
    <w:rsid w:val="00B60AFD"/>
    <w:rsid w:val="00B612D2"/>
    <w:rsid w:val="00B62715"/>
    <w:rsid w:val="00B62B02"/>
    <w:rsid w:val="00B63421"/>
    <w:rsid w:val="00B636C9"/>
    <w:rsid w:val="00B6532F"/>
    <w:rsid w:val="00B7153A"/>
    <w:rsid w:val="00B71BC3"/>
    <w:rsid w:val="00B7273B"/>
    <w:rsid w:val="00B739D2"/>
    <w:rsid w:val="00B74FCE"/>
    <w:rsid w:val="00B75150"/>
    <w:rsid w:val="00B75879"/>
    <w:rsid w:val="00B8050C"/>
    <w:rsid w:val="00B818A4"/>
    <w:rsid w:val="00B82E8D"/>
    <w:rsid w:val="00B83A4F"/>
    <w:rsid w:val="00B84117"/>
    <w:rsid w:val="00B84438"/>
    <w:rsid w:val="00B854E5"/>
    <w:rsid w:val="00B85AA2"/>
    <w:rsid w:val="00B85EA8"/>
    <w:rsid w:val="00B8649C"/>
    <w:rsid w:val="00B87F0A"/>
    <w:rsid w:val="00B91134"/>
    <w:rsid w:val="00B9129D"/>
    <w:rsid w:val="00B926CF"/>
    <w:rsid w:val="00B92CEF"/>
    <w:rsid w:val="00B92D0B"/>
    <w:rsid w:val="00B93B05"/>
    <w:rsid w:val="00B93D45"/>
    <w:rsid w:val="00B94945"/>
    <w:rsid w:val="00B94B39"/>
    <w:rsid w:val="00B96272"/>
    <w:rsid w:val="00B96AF3"/>
    <w:rsid w:val="00B96D4E"/>
    <w:rsid w:val="00B97C2A"/>
    <w:rsid w:val="00BA05F7"/>
    <w:rsid w:val="00BA0757"/>
    <w:rsid w:val="00BA2581"/>
    <w:rsid w:val="00BA322D"/>
    <w:rsid w:val="00BA34F1"/>
    <w:rsid w:val="00BA382B"/>
    <w:rsid w:val="00BA3927"/>
    <w:rsid w:val="00BA7F42"/>
    <w:rsid w:val="00BA7FB6"/>
    <w:rsid w:val="00BB0BDD"/>
    <w:rsid w:val="00BB2A73"/>
    <w:rsid w:val="00BB3117"/>
    <w:rsid w:val="00BB33C3"/>
    <w:rsid w:val="00BB4AAE"/>
    <w:rsid w:val="00BB4ACC"/>
    <w:rsid w:val="00BB6FF7"/>
    <w:rsid w:val="00BB703E"/>
    <w:rsid w:val="00BB7405"/>
    <w:rsid w:val="00BB7D27"/>
    <w:rsid w:val="00BC0FA2"/>
    <w:rsid w:val="00BC18ED"/>
    <w:rsid w:val="00BC2910"/>
    <w:rsid w:val="00BC3631"/>
    <w:rsid w:val="00BC43A9"/>
    <w:rsid w:val="00BC56B8"/>
    <w:rsid w:val="00BC5954"/>
    <w:rsid w:val="00BC5D28"/>
    <w:rsid w:val="00BC7F93"/>
    <w:rsid w:val="00BD0B74"/>
    <w:rsid w:val="00BD0B83"/>
    <w:rsid w:val="00BD0BBA"/>
    <w:rsid w:val="00BD0D92"/>
    <w:rsid w:val="00BD168D"/>
    <w:rsid w:val="00BD469D"/>
    <w:rsid w:val="00BD4E2C"/>
    <w:rsid w:val="00BD54B0"/>
    <w:rsid w:val="00BD68A3"/>
    <w:rsid w:val="00BD6938"/>
    <w:rsid w:val="00BD6CF3"/>
    <w:rsid w:val="00BD6E68"/>
    <w:rsid w:val="00BD7263"/>
    <w:rsid w:val="00BD7F10"/>
    <w:rsid w:val="00BE0710"/>
    <w:rsid w:val="00BE2180"/>
    <w:rsid w:val="00BE21F2"/>
    <w:rsid w:val="00BE257F"/>
    <w:rsid w:val="00BE39EC"/>
    <w:rsid w:val="00BE4275"/>
    <w:rsid w:val="00BE4D64"/>
    <w:rsid w:val="00BE4EAE"/>
    <w:rsid w:val="00BE5E50"/>
    <w:rsid w:val="00BE6594"/>
    <w:rsid w:val="00BE7A29"/>
    <w:rsid w:val="00BE7A4A"/>
    <w:rsid w:val="00BF0085"/>
    <w:rsid w:val="00BF0F95"/>
    <w:rsid w:val="00BF11F2"/>
    <w:rsid w:val="00BF15E7"/>
    <w:rsid w:val="00BF1DF3"/>
    <w:rsid w:val="00BF2433"/>
    <w:rsid w:val="00BF3C8D"/>
    <w:rsid w:val="00BF417A"/>
    <w:rsid w:val="00BF606D"/>
    <w:rsid w:val="00BF61C9"/>
    <w:rsid w:val="00BF6C94"/>
    <w:rsid w:val="00BF6FD3"/>
    <w:rsid w:val="00C00176"/>
    <w:rsid w:val="00C002DF"/>
    <w:rsid w:val="00C00424"/>
    <w:rsid w:val="00C004C8"/>
    <w:rsid w:val="00C00614"/>
    <w:rsid w:val="00C0084B"/>
    <w:rsid w:val="00C00E6D"/>
    <w:rsid w:val="00C02846"/>
    <w:rsid w:val="00C03105"/>
    <w:rsid w:val="00C041AD"/>
    <w:rsid w:val="00C04721"/>
    <w:rsid w:val="00C050E1"/>
    <w:rsid w:val="00C06114"/>
    <w:rsid w:val="00C06D73"/>
    <w:rsid w:val="00C06D7F"/>
    <w:rsid w:val="00C071C8"/>
    <w:rsid w:val="00C11107"/>
    <w:rsid w:val="00C11132"/>
    <w:rsid w:val="00C125D2"/>
    <w:rsid w:val="00C12636"/>
    <w:rsid w:val="00C12C14"/>
    <w:rsid w:val="00C13F52"/>
    <w:rsid w:val="00C159C7"/>
    <w:rsid w:val="00C16FE5"/>
    <w:rsid w:val="00C17418"/>
    <w:rsid w:val="00C17912"/>
    <w:rsid w:val="00C17C9E"/>
    <w:rsid w:val="00C200AA"/>
    <w:rsid w:val="00C201EC"/>
    <w:rsid w:val="00C21764"/>
    <w:rsid w:val="00C220E3"/>
    <w:rsid w:val="00C237ED"/>
    <w:rsid w:val="00C24342"/>
    <w:rsid w:val="00C24632"/>
    <w:rsid w:val="00C25418"/>
    <w:rsid w:val="00C25D9C"/>
    <w:rsid w:val="00C273DB"/>
    <w:rsid w:val="00C27766"/>
    <w:rsid w:val="00C2778B"/>
    <w:rsid w:val="00C27913"/>
    <w:rsid w:val="00C30E15"/>
    <w:rsid w:val="00C3139B"/>
    <w:rsid w:val="00C31649"/>
    <w:rsid w:val="00C32412"/>
    <w:rsid w:val="00C3337A"/>
    <w:rsid w:val="00C336BA"/>
    <w:rsid w:val="00C33B0B"/>
    <w:rsid w:val="00C35806"/>
    <w:rsid w:val="00C359AE"/>
    <w:rsid w:val="00C359F9"/>
    <w:rsid w:val="00C36BD4"/>
    <w:rsid w:val="00C37D97"/>
    <w:rsid w:val="00C40385"/>
    <w:rsid w:val="00C40727"/>
    <w:rsid w:val="00C407F2"/>
    <w:rsid w:val="00C46611"/>
    <w:rsid w:val="00C46A4A"/>
    <w:rsid w:val="00C475AA"/>
    <w:rsid w:val="00C47887"/>
    <w:rsid w:val="00C52597"/>
    <w:rsid w:val="00C525F1"/>
    <w:rsid w:val="00C52D75"/>
    <w:rsid w:val="00C53E64"/>
    <w:rsid w:val="00C549A0"/>
    <w:rsid w:val="00C54C42"/>
    <w:rsid w:val="00C55FCE"/>
    <w:rsid w:val="00C56871"/>
    <w:rsid w:val="00C65576"/>
    <w:rsid w:val="00C66165"/>
    <w:rsid w:val="00C67E6C"/>
    <w:rsid w:val="00C70AC4"/>
    <w:rsid w:val="00C70BDD"/>
    <w:rsid w:val="00C7151A"/>
    <w:rsid w:val="00C71F60"/>
    <w:rsid w:val="00C72218"/>
    <w:rsid w:val="00C72241"/>
    <w:rsid w:val="00C73AAE"/>
    <w:rsid w:val="00C747F5"/>
    <w:rsid w:val="00C750C8"/>
    <w:rsid w:val="00C7560F"/>
    <w:rsid w:val="00C76131"/>
    <w:rsid w:val="00C76495"/>
    <w:rsid w:val="00C777E2"/>
    <w:rsid w:val="00C77CF5"/>
    <w:rsid w:val="00C802CE"/>
    <w:rsid w:val="00C80A0E"/>
    <w:rsid w:val="00C8213F"/>
    <w:rsid w:val="00C8259B"/>
    <w:rsid w:val="00C82E85"/>
    <w:rsid w:val="00C832A4"/>
    <w:rsid w:val="00C836F4"/>
    <w:rsid w:val="00C86A7A"/>
    <w:rsid w:val="00C87344"/>
    <w:rsid w:val="00C8797A"/>
    <w:rsid w:val="00C900B8"/>
    <w:rsid w:val="00C90C71"/>
    <w:rsid w:val="00C9108F"/>
    <w:rsid w:val="00C913AD"/>
    <w:rsid w:val="00C92995"/>
    <w:rsid w:val="00C931CF"/>
    <w:rsid w:val="00C938CF"/>
    <w:rsid w:val="00C9437C"/>
    <w:rsid w:val="00C9624D"/>
    <w:rsid w:val="00C969DA"/>
    <w:rsid w:val="00C97A76"/>
    <w:rsid w:val="00CA0E71"/>
    <w:rsid w:val="00CA184B"/>
    <w:rsid w:val="00CA2065"/>
    <w:rsid w:val="00CA2636"/>
    <w:rsid w:val="00CA29F8"/>
    <w:rsid w:val="00CA2C1D"/>
    <w:rsid w:val="00CA2C77"/>
    <w:rsid w:val="00CA381A"/>
    <w:rsid w:val="00CA3880"/>
    <w:rsid w:val="00CA444F"/>
    <w:rsid w:val="00CA4550"/>
    <w:rsid w:val="00CA4D92"/>
    <w:rsid w:val="00CA5245"/>
    <w:rsid w:val="00CA539C"/>
    <w:rsid w:val="00CA5A91"/>
    <w:rsid w:val="00CA5F53"/>
    <w:rsid w:val="00CA6C30"/>
    <w:rsid w:val="00CA71F4"/>
    <w:rsid w:val="00CA7B09"/>
    <w:rsid w:val="00CB0E6A"/>
    <w:rsid w:val="00CB145D"/>
    <w:rsid w:val="00CB1591"/>
    <w:rsid w:val="00CB2056"/>
    <w:rsid w:val="00CB20A7"/>
    <w:rsid w:val="00CB29F0"/>
    <w:rsid w:val="00CB2F2A"/>
    <w:rsid w:val="00CB3022"/>
    <w:rsid w:val="00CB3F2D"/>
    <w:rsid w:val="00CB4249"/>
    <w:rsid w:val="00CB5A86"/>
    <w:rsid w:val="00CB5B1A"/>
    <w:rsid w:val="00CB6B22"/>
    <w:rsid w:val="00CB6E1F"/>
    <w:rsid w:val="00CB74F2"/>
    <w:rsid w:val="00CB7F5F"/>
    <w:rsid w:val="00CC001C"/>
    <w:rsid w:val="00CC1B39"/>
    <w:rsid w:val="00CC47B6"/>
    <w:rsid w:val="00CC4D57"/>
    <w:rsid w:val="00CC67CC"/>
    <w:rsid w:val="00CC6D84"/>
    <w:rsid w:val="00CC7F38"/>
    <w:rsid w:val="00CD084D"/>
    <w:rsid w:val="00CD08EE"/>
    <w:rsid w:val="00CD0DBA"/>
    <w:rsid w:val="00CD0F01"/>
    <w:rsid w:val="00CD1A5D"/>
    <w:rsid w:val="00CD34A1"/>
    <w:rsid w:val="00CD3EA6"/>
    <w:rsid w:val="00CD481E"/>
    <w:rsid w:val="00CD4C18"/>
    <w:rsid w:val="00CD4DA6"/>
    <w:rsid w:val="00CD5C65"/>
    <w:rsid w:val="00CD5EA8"/>
    <w:rsid w:val="00CD6ADC"/>
    <w:rsid w:val="00CD6ED0"/>
    <w:rsid w:val="00CD71A0"/>
    <w:rsid w:val="00CD7A29"/>
    <w:rsid w:val="00CE09D7"/>
    <w:rsid w:val="00CE112B"/>
    <w:rsid w:val="00CE16A6"/>
    <w:rsid w:val="00CE3002"/>
    <w:rsid w:val="00CE34DD"/>
    <w:rsid w:val="00CE47F6"/>
    <w:rsid w:val="00CE4E3E"/>
    <w:rsid w:val="00CE554B"/>
    <w:rsid w:val="00CE6274"/>
    <w:rsid w:val="00CF04DE"/>
    <w:rsid w:val="00CF0577"/>
    <w:rsid w:val="00CF0DC7"/>
    <w:rsid w:val="00CF196E"/>
    <w:rsid w:val="00CF2B8D"/>
    <w:rsid w:val="00CF2F78"/>
    <w:rsid w:val="00CF314F"/>
    <w:rsid w:val="00CF3672"/>
    <w:rsid w:val="00CF456B"/>
    <w:rsid w:val="00CF4593"/>
    <w:rsid w:val="00CF473A"/>
    <w:rsid w:val="00CF4D6F"/>
    <w:rsid w:val="00CF4E5A"/>
    <w:rsid w:val="00CF54BE"/>
    <w:rsid w:val="00CF58DC"/>
    <w:rsid w:val="00CF5A22"/>
    <w:rsid w:val="00CF5B55"/>
    <w:rsid w:val="00CF5EB6"/>
    <w:rsid w:val="00CF6B64"/>
    <w:rsid w:val="00D0184C"/>
    <w:rsid w:val="00D018EF"/>
    <w:rsid w:val="00D01BA9"/>
    <w:rsid w:val="00D0262E"/>
    <w:rsid w:val="00D02B56"/>
    <w:rsid w:val="00D03F0A"/>
    <w:rsid w:val="00D0429A"/>
    <w:rsid w:val="00D04980"/>
    <w:rsid w:val="00D04FB8"/>
    <w:rsid w:val="00D05309"/>
    <w:rsid w:val="00D0562C"/>
    <w:rsid w:val="00D063DE"/>
    <w:rsid w:val="00D06F75"/>
    <w:rsid w:val="00D07F26"/>
    <w:rsid w:val="00D110BD"/>
    <w:rsid w:val="00D11559"/>
    <w:rsid w:val="00D12C94"/>
    <w:rsid w:val="00D133F3"/>
    <w:rsid w:val="00D13675"/>
    <w:rsid w:val="00D141E1"/>
    <w:rsid w:val="00D14C1F"/>
    <w:rsid w:val="00D16820"/>
    <w:rsid w:val="00D1720D"/>
    <w:rsid w:val="00D17D6C"/>
    <w:rsid w:val="00D17EAD"/>
    <w:rsid w:val="00D203D5"/>
    <w:rsid w:val="00D2130B"/>
    <w:rsid w:val="00D21732"/>
    <w:rsid w:val="00D21E54"/>
    <w:rsid w:val="00D21F3C"/>
    <w:rsid w:val="00D22065"/>
    <w:rsid w:val="00D2247B"/>
    <w:rsid w:val="00D22704"/>
    <w:rsid w:val="00D22BA4"/>
    <w:rsid w:val="00D233CD"/>
    <w:rsid w:val="00D240B8"/>
    <w:rsid w:val="00D24516"/>
    <w:rsid w:val="00D25954"/>
    <w:rsid w:val="00D25EFF"/>
    <w:rsid w:val="00D27019"/>
    <w:rsid w:val="00D2754D"/>
    <w:rsid w:val="00D276C8"/>
    <w:rsid w:val="00D27B27"/>
    <w:rsid w:val="00D33737"/>
    <w:rsid w:val="00D33BE9"/>
    <w:rsid w:val="00D34FDF"/>
    <w:rsid w:val="00D3507E"/>
    <w:rsid w:val="00D357FF"/>
    <w:rsid w:val="00D36B48"/>
    <w:rsid w:val="00D419F2"/>
    <w:rsid w:val="00D41C30"/>
    <w:rsid w:val="00D41EBC"/>
    <w:rsid w:val="00D424C7"/>
    <w:rsid w:val="00D4251E"/>
    <w:rsid w:val="00D43B2A"/>
    <w:rsid w:val="00D43C09"/>
    <w:rsid w:val="00D4420D"/>
    <w:rsid w:val="00D44A16"/>
    <w:rsid w:val="00D44C83"/>
    <w:rsid w:val="00D455B5"/>
    <w:rsid w:val="00D47575"/>
    <w:rsid w:val="00D47C49"/>
    <w:rsid w:val="00D51A83"/>
    <w:rsid w:val="00D51A90"/>
    <w:rsid w:val="00D51F49"/>
    <w:rsid w:val="00D51F8B"/>
    <w:rsid w:val="00D523C4"/>
    <w:rsid w:val="00D54D54"/>
    <w:rsid w:val="00D56AC0"/>
    <w:rsid w:val="00D60514"/>
    <w:rsid w:val="00D610B4"/>
    <w:rsid w:val="00D61409"/>
    <w:rsid w:val="00D61DC2"/>
    <w:rsid w:val="00D62106"/>
    <w:rsid w:val="00D621A0"/>
    <w:rsid w:val="00D62298"/>
    <w:rsid w:val="00D64092"/>
    <w:rsid w:val="00D6422C"/>
    <w:rsid w:val="00D65965"/>
    <w:rsid w:val="00D66657"/>
    <w:rsid w:val="00D673DD"/>
    <w:rsid w:val="00D67E23"/>
    <w:rsid w:val="00D70F16"/>
    <w:rsid w:val="00D72CB2"/>
    <w:rsid w:val="00D7691B"/>
    <w:rsid w:val="00D76A44"/>
    <w:rsid w:val="00D776DD"/>
    <w:rsid w:val="00D7783C"/>
    <w:rsid w:val="00D813A2"/>
    <w:rsid w:val="00D815EF"/>
    <w:rsid w:val="00D84700"/>
    <w:rsid w:val="00D861BE"/>
    <w:rsid w:val="00D862B8"/>
    <w:rsid w:val="00D87F0D"/>
    <w:rsid w:val="00D90219"/>
    <w:rsid w:val="00D904D4"/>
    <w:rsid w:val="00D9121C"/>
    <w:rsid w:val="00D915BF"/>
    <w:rsid w:val="00D91923"/>
    <w:rsid w:val="00D91E39"/>
    <w:rsid w:val="00D9200D"/>
    <w:rsid w:val="00D92088"/>
    <w:rsid w:val="00D929DC"/>
    <w:rsid w:val="00D92DF5"/>
    <w:rsid w:val="00D9370C"/>
    <w:rsid w:val="00D93753"/>
    <w:rsid w:val="00D9392F"/>
    <w:rsid w:val="00D946D7"/>
    <w:rsid w:val="00D95A16"/>
    <w:rsid w:val="00D95BFA"/>
    <w:rsid w:val="00D96D14"/>
    <w:rsid w:val="00D96F67"/>
    <w:rsid w:val="00DA2B86"/>
    <w:rsid w:val="00DA3167"/>
    <w:rsid w:val="00DA3468"/>
    <w:rsid w:val="00DA4051"/>
    <w:rsid w:val="00DA4A46"/>
    <w:rsid w:val="00DA4A80"/>
    <w:rsid w:val="00DA4DC3"/>
    <w:rsid w:val="00DA4E63"/>
    <w:rsid w:val="00DA4E68"/>
    <w:rsid w:val="00DA4F16"/>
    <w:rsid w:val="00DA5392"/>
    <w:rsid w:val="00DA700B"/>
    <w:rsid w:val="00DA77A5"/>
    <w:rsid w:val="00DB484F"/>
    <w:rsid w:val="00DC04F6"/>
    <w:rsid w:val="00DC0865"/>
    <w:rsid w:val="00DC0945"/>
    <w:rsid w:val="00DC2C9F"/>
    <w:rsid w:val="00DC3C57"/>
    <w:rsid w:val="00DC49E5"/>
    <w:rsid w:val="00DC5501"/>
    <w:rsid w:val="00DC594D"/>
    <w:rsid w:val="00DC595F"/>
    <w:rsid w:val="00DC6719"/>
    <w:rsid w:val="00DC694C"/>
    <w:rsid w:val="00DC6A9C"/>
    <w:rsid w:val="00DC6F01"/>
    <w:rsid w:val="00DD0728"/>
    <w:rsid w:val="00DD1DB4"/>
    <w:rsid w:val="00DD273C"/>
    <w:rsid w:val="00DD2E56"/>
    <w:rsid w:val="00DD3F28"/>
    <w:rsid w:val="00DD4537"/>
    <w:rsid w:val="00DD4BCD"/>
    <w:rsid w:val="00DD4E15"/>
    <w:rsid w:val="00DD65D5"/>
    <w:rsid w:val="00DD68C8"/>
    <w:rsid w:val="00DE0372"/>
    <w:rsid w:val="00DE3138"/>
    <w:rsid w:val="00DE31B0"/>
    <w:rsid w:val="00DE37F8"/>
    <w:rsid w:val="00DE48EB"/>
    <w:rsid w:val="00DE4FCB"/>
    <w:rsid w:val="00DE5614"/>
    <w:rsid w:val="00DE649A"/>
    <w:rsid w:val="00DE7832"/>
    <w:rsid w:val="00DE7AE0"/>
    <w:rsid w:val="00DE7B33"/>
    <w:rsid w:val="00DE7D81"/>
    <w:rsid w:val="00DF0507"/>
    <w:rsid w:val="00DF18FC"/>
    <w:rsid w:val="00DF1A2B"/>
    <w:rsid w:val="00DF21EF"/>
    <w:rsid w:val="00DF3BA8"/>
    <w:rsid w:val="00DF5D2B"/>
    <w:rsid w:val="00DF5E8A"/>
    <w:rsid w:val="00DF6BE0"/>
    <w:rsid w:val="00DF7752"/>
    <w:rsid w:val="00DF7AC8"/>
    <w:rsid w:val="00E00E8E"/>
    <w:rsid w:val="00E017BA"/>
    <w:rsid w:val="00E03910"/>
    <w:rsid w:val="00E04133"/>
    <w:rsid w:val="00E04781"/>
    <w:rsid w:val="00E04DB9"/>
    <w:rsid w:val="00E05630"/>
    <w:rsid w:val="00E05BCD"/>
    <w:rsid w:val="00E05D66"/>
    <w:rsid w:val="00E064CA"/>
    <w:rsid w:val="00E06DBB"/>
    <w:rsid w:val="00E070F7"/>
    <w:rsid w:val="00E07887"/>
    <w:rsid w:val="00E07F8A"/>
    <w:rsid w:val="00E10149"/>
    <w:rsid w:val="00E11E9F"/>
    <w:rsid w:val="00E121DE"/>
    <w:rsid w:val="00E1381D"/>
    <w:rsid w:val="00E14B5D"/>
    <w:rsid w:val="00E154A7"/>
    <w:rsid w:val="00E16372"/>
    <w:rsid w:val="00E164EC"/>
    <w:rsid w:val="00E17166"/>
    <w:rsid w:val="00E1721B"/>
    <w:rsid w:val="00E20E47"/>
    <w:rsid w:val="00E20E4D"/>
    <w:rsid w:val="00E20ED6"/>
    <w:rsid w:val="00E21358"/>
    <w:rsid w:val="00E21C97"/>
    <w:rsid w:val="00E2249B"/>
    <w:rsid w:val="00E22A0D"/>
    <w:rsid w:val="00E234A1"/>
    <w:rsid w:val="00E2354E"/>
    <w:rsid w:val="00E24389"/>
    <w:rsid w:val="00E2747D"/>
    <w:rsid w:val="00E2771E"/>
    <w:rsid w:val="00E278DD"/>
    <w:rsid w:val="00E279F5"/>
    <w:rsid w:val="00E27E30"/>
    <w:rsid w:val="00E302A9"/>
    <w:rsid w:val="00E308CD"/>
    <w:rsid w:val="00E30CF1"/>
    <w:rsid w:val="00E30D85"/>
    <w:rsid w:val="00E31127"/>
    <w:rsid w:val="00E3268C"/>
    <w:rsid w:val="00E33948"/>
    <w:rsid w:val="00E34948"/>
    <w:rsid w:val="00E34F55"/>
    <w:rsid w:val="00E3536C"/>
    <w:rsid w:val="00E36750"/>
    <w:rsid w:val="00E374E8"/>
    <w:rsid w:val="00E37569"/>
    <w:rsid w:val="00E37FC4"/>
    <w:rsid w:val="00E40D73"/>
    <w:rsid w:val="00E40F2E"/>
    <w:rsid w:val="00E41E30"/>
    <w:rsid w:val="00E4215B"/>
    <w:rsid w:val="00E433AC"/>
    <w:rsid w:val="00E43D70"/>
    <w:rsid w:val="00E4486D"/>
    <w:rsid w:val="00E454EE"/>
    <w:rsid w:val="00E45F51"/>
    <w:rsid w:val="00E466F3"/>
    <w:rsid w:val="00E47177"/>
    <w:rsid w:val="00E47B2C"/>
    <w:rsid w:val="00E47E7C"/>
    <w:rsid w:val="00E50145"/>
    <w:rsid w:val="00E51560"/>
    <w:rsid w:val="00E51CFD"/>
    <w:rsid w:val="00E520E1"/>
    <w:rsid w:val="00E5213F"/>
    <w:rsid w:val="00E52B50"/>
    <w:rsid w:val="00E531BD"/>
    <w:rsid w:val="00E5322A"/>
    <w:rsid w:val="00E53678"/>
    <w:rsid w:val="00E54347"/>
    <w:rsid w:val="00E54C0F"/>
    <w:rsid w:val="00E54D36"/>
    <w:rsid w:val="00E5517A"/>
    <w:rsid w:val="00E55424"/>
    <w:rsid w:val="00E55BB5"/>
    <w:rsid w:val="00E56F47"/>
    <w:rsid w:val="00E57AC5"/>
    <w:rsid w:val="00E608C2"/>
    <w:rsid w:val="00E6102C"/>
    <w:rsid w:val="00E612C0"/>
    <w:rsid w:val="00E627B6"/>
    <w:rsid w:val="00E62C0C"/>
    <w:rsid w:val="00E64198"/>
    <w:rsid w:val="00E65E79"/>
    <w:rsid w:val="00E66222"/>
    <w:rsid w:val="00E668B9"/>
    <w:rsid w:val="00E66BA2"/>
    <w:rsid w:val="00E66BA7"/>
    <w:rsid w:val="00E66C67"/>
    <w:rsid w:val="00E66E89"/>
    <w:rsid w:val="00E67416"/>
    <w:rsid w:val="00E700C4"/>
    <w:rsid w:val="00E718B6"/>
    <w:rsid w:val="00E7196A"/>
    <w:rsid w:val="00E723BA"/>
    <w:rsid w:val="00E7268D"/>
    <w:rsid w:val="00E73581"/>
    <w:rsid w:val="00E74CC3"/>
    <w:rsid w:val="00E75880"/>
    <w:rsid w:val="00E76059"/>
    <w:rsid w:val="00E76546"/>
    <w:rsid w:val="00E767E0"/>
    <w:rsid w:val="00E76FE0"/>
    <w:rsid w:val="00E774E9"/>
    <w:rsid w:val="00E77582"/>
    <w:rsid w:val="00E7793A"/>
    <w:rsid w:val="00E80D35"/>
    <w:rsid w:val="00E80DB8"/>
    <w:rsid w:val="00E8221E"/>
    <w:rsid w:val="00E833F7"/>
    <w:rsid w:val="00E83BDF"/>
    <w:rsid w:val="00E84E94"/>
    <w:rsid w:val="00E8509C"/>
    <w:rsid w:val="00E86876"/>
    <w:rsid w:val="00E87A1D"/>
    <w:rsid w:val="00E926A5"/>
    <w:rsid w:val="00E948B7"/>
    <w:rsid w:val="00E94F87"/>
    <w:rsid w:val="00E96AF9"/>
    <w:rsid w:val="00EA016D"/>
    <w:rsid w:val="00EA16C0"/>
    <w:rsid w:val="00EA1794"/>
    <w:rsid w:val="00EA17C3"/>
    <w:rsid w:val="00EA292B"/>
    <w:rsid w:val="00EA2CAA"/>
    <w:rsid w:val="00EA3864"/>
    <w:rsid w:val="00EA3C32"/>
    <w:rsid w:val="00EA50D1"/>
    <w:rsid w:val="00EA5CFC"/>
    <w:rsid w:val="00EA630E"/>
    <w:rsid w:val="00EA6B97"/>
    <w:rsid w:val="00EB0AA1"/>
    <w:rsid w:val="00EB0FE7"/>
    <w:rsid w:val="00EB101C"/>
    <w:rsid w:val="00EB1222"/>
    <w:rsid w:val="00EB15B6"/>
    <w:rsid w:val="00EB2FA9"/>
    <w:rsid w:val="00EB34CE"/>
    <w:rsid w:val="00EB35A4"/>
    <w:rsid w:val="00EB4513"/>
    <w:rsid w:val="00EB4916"/>
    <w:rsid w:val="00EB636E"/>
    <w:rsid w:val="00EB77D7"/>
    <w:rsid w:val="00EB7A61"/>
    <w:rsid w:val="00EC00C9"/>
    <w:rsid w:val="00EC2649"/>
    <w:rsid w:val="00EC36A8"/>
    <w:rsid w:val="00EC511F"/>
    <w:rsid w:val="00EC5EC4"/>
    <w:rsid w:val="00EC6EBB"/>
    <w:rsid w:val="00EC779E"/>
    <w:rsid w:val="00EC7CA5"/>
    <w:rsid w:val="00ED0393"/>
    <w:rsid w:val="00ED107B"/>
    <w:rsid w:val="00ED1310"/>
    <w:rsid w:val="00ED3037"/>
    <w:rsid w:val="00ED3699"/>
    <w:rsid w:val="00ED470A"/>
    <w:rsid w:val="00ED47C0"/>
    <w:rsid w:val="00ED4CBD"/>
    <w:rsid w:val="00ED52E8"/>
    <w:rsid w:val="00ED57EA"/>
    <w:rsid w:val="00EE07D3"/>
    <w:rsid w:val="00EE22AF"/>
    <w:rsid w:val="00EE3887"/>
    <w:rsid w:val="00EE4D0D"/>
    <w:rsid w:val="00EE6234"/>
    <w:rsid w:val="00EE64D3"/>
    <w:rsid w:val="00EE6E2D"/>
    <w:rsid w:val="00EE6FE5"/>
    <w:rsid w:val="00EE7587"/>
    <w:rsid w:val="00EF0171"/>
    <w:rsid w:val="00EF05CF"/>
    <w:rsid w:val="00EF1B25"/>
    <w:rsid w:val="00EF1FB5"/>
    <w:rsid w:val="00EF2295"/>
    <w:rsid w:val="00EF2B7C"/>
    <w:rsid w:val="00EF420D"/>
    <w:rsid w:val="00EF4747"/>
    <w:rsid w:val="00EF4BF8"/>
    <w:rsid w:val="00EF5361"/>
    <w:rsid w:val="00EF789F"/>
    <w:rsid w:val="00F000F6"/>
    <w:rsid w:val="00F00A2B"/>
    <w:rsid w:val="00F013B5"/>
    <w:rsid w:val="00F01759"/>
    <w:rsid w:val="00F02253"/>
    <w:rsid w:val="00F03672"/>
    <w:rsid w:val="00F03C2E"/>
    <w:rsid w:val="00F04A50"/>
    <w:rsid w:val="00F04A66"/>
    <w:rsid w:val="00F04E5C"/>
    <w:rsid w:val="00F0516C"/>
    <w:rsid w:val="00F067A2"/>
    <w:rsid w:val="00F06C65"/>
    <w:rsid w:val="00F07720"/>
    <w:rsid w:val="00F1016D"/>
    <w:rsid w:val="00F1234D"/>
    <w:rsid w:val="00F1263A"/>
    <w:rsid w:val="00F12F93"/>
    <w:rsid w:val="00F133DD"/>
    <w:rsid w:val="00F138F8"/>
    <w:rsid w:val="00F13D4B"/>
    <w:rsid w:val="00F17085"/>
    <w:rsid w:val="00F20A4D"/>
    <w:rsid w:val="00F22D72"/>
    <w:rsid w:val="00F23198"/>
    <w:rsid w:val="00F233F1"/>
    <w:rsid w:val="00F24837"/>
    <w:rsid w:val="00F2575F"/>
    <w:rsid w:val="00F265F5"/>
    <w:rsid w:val="00F27565"/>
    <w:rsid w:val="00F278FD"/>
    <w:rsid w:val="00F27A0F"/>
    <w:rsid w:val="00F3083A"/>
    <w:rsid w:val="00F30B8D"/>
    <w:rsid w:val="00F310D4"/>
    <w:rsid w:val="00F31D5A"/>
    <w:rsid w:val="00F33DE9"/>
    <w:rsid w:val="00F35FDD"/>
    <w:rsid w:val="00F3619A"/>
    <w:rsid w:val="00F405A7"/>
    <w:rsid w:val="00F40AAA"/>
    <w:rsid w:val="00F40BA7"/>
    <w:rsid w:val="00F41AA4"/>
    <w:rsid w:val="00F41C55"/>
    <w:rsid w:val="00F41EF6"/>
    <w:rsid w:val="00F43046"/>
    <w:rsid w:val="00F44009"/>
    <w:rsid w:val="00F4519C"/>
    <w:rsid w:val="00F452EC"/>
    <w:rsid w:val="00F45DD1"/>
    <w:rsid w:val="00F46CB6"/>
    <w:rsid w:val="00F46E43"/>
    <w:rsid w:val="00F47DE8"/>
    <w:rsid w:val="00F50C3C"/>
    <w:rsid w:val="00F5179B"/>
    <w:rsid w:val="00F5353E"/>
    <w:rsid w:val="00F53A95"/>
    <w:rsid w:val="00F541F9"/>
    <w:rsid w:val="00F542C1"/>
    <w:rsid w:val="00F55E73"/>
    <w:rsid w:val="00F55EDA"/>
    <w:rsid w:val="00F568DE"/>
    <w:rsid w:val="00F56932"/>
    <w:rsid w:val="00F56B2B"/>
    <w:rsid w:val="00F56DD4"/>
    <w:rsid w:val="00F57942"/>
    <w:rsid w:val="00F60092"/>
    <w:rsid w:val="00F62C43"/>
    <w:rsid w:val="00F65F4B"/>
    <w:rsid w:val="00F67CC8"/>
    <w:rsid w:val="00F67DBE"/>
    <w:rsid w:val="00F707F3"/>
    <w:rsid w:val="00F70C9D"/>
    <w:rsid w:val="00F71745"/>
    <w:rsid w:val="00F73089"/>
    <w:rsid w:val="00F73446"/>
    <w:rsid w:val="00F7396A"/>
    <w:rsid w:val="00F74CD9"/>
    <w:rsid w:val="00F75550"/>
    <w:rsid w:val="00F75841"/>
    <w:rsid w:val="00F75A6B"/>
    <w:rsid w:val="00F80A7B"/>
    <w:rsid w:val="00F80AEC"/>
    <w:rsid w:val="00F80DE3"/>
    <w:rsid w:val="00F80E5D"/>
    <w:rsid w:val="00F81C19"/>
    <w:rsid w:val="00F82268"/>
    <w:rsid w:val="00F826DA"/>
    <w:rsid w:val="00F826EA"/>
    <w:rsid w:val="00F85074"/>
    <w:rsid w:val="00F851CE"/>
    <w:rsid w:val="00F86AD3"/>
    <w:rsid w:val="00F90503"/>
    <w:rsid w:val="00F9088A"/>
    <w:rsid w:val="00F91219"/>
    <w:rsid w:val="00F913D9"/>
    <w:rsid w:val="00F91F7F"/>
    <w:rsid w:val="00F926B6"/>
    <w:rsid w:val="00F9404C"/>
    <w:rsid w:val="00F94475"/>
    <w:rsid w:val="00F946F1"/>
    <w:rsid w:val="00F94BE1"/>
    <w:rsid w:val="00F95525"/>
    <w:rsid w:val="00F97698"/>
    <w:rsid w:val="00F97A78"/>
    <w:rsid w:val="00FA0B20"/>
    <w:rsid w:val="00FA0C93"/>
    <w:rsid w:val="00FA0EAC"/>
    <w:rsid w:val="00FA1E45"/>
    <w:rsid w:val="00FA2301"/>
    <w:rsid w:val="00FA24E7"/>
    <w:rsid w:val="00FA2688"/>
    <w:rsid w:val="00FA37F0"/>
    <w:rsid w:val="00FA3C1C"/>
    <w:rsid w:val="00FA4E22"/>
    <w:rsid w:val="00FA55BD"/>
    <w:rsid w:val="00FA6678"/>
    <w:rsid w:val="00FA7237"/>
    <w:rsid w:val="00FA7AA7"/>
    <w:rsid w:val="00FA7D19"/>
    <w:rsid w:val="00FA7EB6"/>
    <w:rsid w:val="00FB15C4"/>
    <w:rsid w:val="00FB2932"/>
    <w:rsid w:val="00FB2B30"/>
    <w:rsid w:val="00FB2FCB"/>
    <w:rsid w:val="00FB347E"/>
    <w:rsid w:val="00FB370F"/>
    <w:rsid w:val="00FB3AB7"/>
    <w:rsid w:val="00FB4620"/>
    <w:rsid w:val="00FB59D3"/>
    <w:rsid w:val="00FB5A82"/>
    <w:rsid w:val="00FC00F3"/>
    <w:rsid w:val="00FC1074"/>
    <w:rsid w:val="00FC1884"/>
    <w:rsid w:val="00FC1F5F"/>
    <w:rsid w:val="00FC20B3"/>
    <w:rsid w:val="00FC2138"/>
    <w:rsid w:val="00FC26A4"/>
    <w:rsid w:val="00FC29DE"/>
    <w:rsid w:val="00FC2E5E"/>
    <w:rsid w:val="00FC2EDE"/>
    <w:rsid w:val="00FC371D"/>
    <w:rsid w:val="00FC4227"/>
    <w:rsid w:val="00FC52EC"/>
    <w:rsid w:val="00FC5AEE"/>
    <w:rsid w:val="00FC5F0B"/>
    <w:rsid w:val="00FD018F"/>
    <w:rsid w:val="00FD0B60"/>
    <w:rsid w:val="00FD2100"/>
    <w:rsid w:val="00FD3076"/>
    <w:rsid w:val="00FD3E23"/>
    <w:rsid w:val="00FD436C"/>
    <w:rsid w:val="00FD446D"/>
    <w:rsid w:val="00FD469B"/>
    <w:rsid w:val="00FD4770"/>
    <w:rsid w:val="00FD5075"/>
    <w:rsid w:val="00FD6379"/>
    <w:rsid w:val="00FD6394"/>
    <w:rsid w:val="00FD6881"/>
    <w:rsid w:val="00FD6986"/>
    <w:rsid w:val="00FD79BB"/>
    <w:rsid w:val="00FD7F6A"/>
    <w:rsid w:val="00FE0B1D"/>
    <w:rsid w:val="00FE0CA0"/>
    <w:rsid w:val="00FE0E6C"/>
    <w:rsid w:val="00FE28D0"/>
    <w:rsid w:val="00FE3CB5"/>
    <w:rsid w:val="00FE3E79"/>
    <w:rsid w:val="00FE41B9"/>
    <w:rsid w:val="00FE6700"/>
    <w:rsid w:val="00FE6AF8"/>
    <w:rsid w:val="00FE70C3"/>
    <w:rsid w:val="00FE7FF8"/>
    <w:rsid w:val="00FF0FD1"/>
    <w:rsid w:val="00FF145E"/>
    <w:rsid w:val="00FF3DCF"/>
    <w:rsid w:val="00FF492C"/>
    <w:rsid w:val="00FF4A21"/>
    <w:rsid w:val="00FF518E"/>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FC8"/>
    <w:pPr>
      <w:jc w:val="both"/>
    </w:pPr>
    <w:rPr>
      <w:rFonts w:ascii="Calibri" w:hAnsi="Calibri"/>
      <w:sz w:val="24"/>
      <w:szCs w:val="24"/>
      <w:lang w:eastAsia="en-US"/>
    </w:rPr>
  </w:style>
  <w:style w:type="paragraph" w:styleId="Heading1">
    <w:name w:val="heading 1"/>
    <w:basedOn w:val="Normal"/>
    <w:next w:val="Normal"/>
    <w:link w:val="Heading1Char"/>
    <w:uiPriority w:val="1"/>
    <w:qFormat/>
    <w:rsid w:val="00FD3E23"/>
    <w:pPr>
      <w:keepNext/>
      <w:keepLines/>
      <w:numPr>
        <w:numId w:val="3"/>
      </w:numPr>
      <w:spacing w:before="240" w:after="120"/>
      <w:outlineLvl w:val="0"/>
    </w:pPr>
    <w:rPr>
      <w:rFonts w:asciiTheme="minorHAnsi" w:eastAsiaTheme="majorEastAsia" w:hAnsiTheme="minorHAnsi" w:cstheme="majorBidi"/>
      <w:b/>
      <w:sz w:val="32"/>
      <w:szCs w:val="28"/>
    </w:rPr>
  </w:style>
  <w:style w:type="paragraph" w:styleId="Heading2">
    <w:name w:val="heading 2"/>
    <w:basedOn w:val="Normal"/>
    <w:next w:val="Normal"/>
    <w:link w:val="Heading2Char"/>
    <w:qFormat/>
    <w:rsid w:val="00FD3E23"/>
    <w:pPr>
      <w:keepNext/>
      <w:keepLines/>
      <w:spacing w:before="120" w:after="120"/>
      <w:outlineLvl w:val="1"/>
    </w:pPr>
    <w:rPr>
      <w:b/>
      <w:i/>
      <w:snapToGrid w:val="0"/>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D3E23"/>
    <w:rPr>
      <w:rFonts w:ascii="Calibri" w:hAnsi="Calibri"/>
      <w:b/>
      <w:i/>
      <w:snapToGrid w:val="0"/>
      <w:sz w:val="28"/>
      <w:szCs w:val="24"/>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Section heading,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Section heading Char,BulletPoints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PBAC table,new sty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snapToGrid w:val="0"/>
      <w:lang w:val="en-US"/>
    </w:rPr>
  </w:style>
  <w:style w:type="paragraph" w:styleId="NormalWeb">
    <w:name w:val="Normal (Web)"/>
    <w:basedOn w:val="Normal"/>
    <w:uiPriority w:val="99"/>
    <w:rsid w:val="008F48EB"/>
    <w:pPr>
      <w:spacing w:before="100" w:after="100"/>
      <w:jc w:val="left"/>
    </w:pPr>
    <w:rPr>
      <w:rFonts w:ascii="Times New Roman" w:hAnsi="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spacing w:before="480" w:line="276" w:lineRule="auto"/>
      <w:jc w:val="left"/>
      <w:outlineLvl w:val="9"/>
    </w:pPr>
    <w:rPr>
      <w:rFonts w:asciiTheme="majorHAnsi" w:hAnsiTheme="majorHAnsi"/>
      <w:bCs/>
      <w:snapToGrid w:val="0"/>
      <w:color w:val="365F91" w:themeColor="accent1" w:themeShade="BF"/>
      <w:sz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7"/>
      </w:numPr>
      <w:spacing w:after="0"/>
      <w:ind w:left="425" w:hanging="425"/>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ind w:left="720" w:hanging="72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character" w:customStyle="1" w:styleId="UnresolvedMention1">
    <w:name w:val="Unresolved Mention1"/>
    <w:basedOn w:val="DefaultParagraphFont"/>
    <w:uiPriority w:val="99"/>
    <w:semiHidden/>
    <w:unhideWhenUsed/>
    <w:rsid w:val="00123F15"/>
    <w:rPr>
      <w:color w:val="605E5C"/>
      <w:shd w:val="clear" w:color="auto" w:fill="E1DFDD"/>
    </w:rPr>
  </w:style>
  <w:style w:type="paragraph" w:styleId="FootnoteText">
    <w:name w:val="footnote text"/>
    <w:basedOn w:val="Normal"/>
    <w:link w:val="FootnoteTextChar"/>
    <w:semiHidden/>
    <w:unhideWhenUsed/>
    <w:rsid w:val="00F75A6B"/>
    <w:rPr>
      <w:sz w:val="20"/>
      <w:szCs w:val="20"/>
    </w:rPr>
  </w:style>
  <w:style w:type="character" w:customStyle="1" w:styleId="FootnoteTextChar">
    <w:name w:val="Footnote Text Char"/>
    <w:basedOn w:val="DefaultParagraphFont"/>
    <w:link w:val="FootnoteText"/>
    <w:semiHidden/>
    <w:rsid w:val="00F75A6B"/>
    <w:rPr>
      <w:rFonts w:ascii="Calibri" w:hAnsi="Calibri" w:cs="Arial"/>
      <w:snapToGrid w:val="0"/>
      <w:lang w:eastAsia="en-US"/>
    </w:rPr>
  </w:style>
  <w:style w:type="character" w:styleId="FootnoteReference">
    <w:name w:val="footnote reference"/>
    <w:basedOn w:val="DefaultParagraphFont"/>
    <w:semiHidden/>
    <w:unhideWhenUsed/>
    <w:rsid w:val="00F75A6B"/>
    <w:rPr>
      <w:vertAlign w:val="superscript"/>
    </w:rPr>
  </w:style>
  <w:style w:type="character" w:customStyle="1" w:styleId="apple-converted-space">
    <w:name w:val="apple-converted-space"/>
    <w:basedOn w:val="DefaultParagraphFont"/>
    <w:rsid w:val="007D4C1C"/>
  </w:style>
  <w:style w:type="paragraph" w:customStyle="1" w:styleId="V50Instructions">
    <w:name w:val="V5.0 Instructions"/>
    <w:basedOn w:val="Normal"/>
    <w:link w:val="V50InstructionsChar"/>
    <w:rsid w:val="00692ABA"/>
    <w:pPr>
      <w:spacing w:before="120" w:after="160"/>
      <w:jc w:val="left"/>
    </w:pPr>
    <w:rPr>
      <w:rFonts w:asciiTheme="minorHAnsi" w:eastAsiaTheme="minorHAnsi" w:hAnsiTheme="minorHAnsi" w:cstheme="minorBidi"/>
      <w:snapToGrid w:val="0"/>
      <w:color w:val="4BACC6" w:themeColor="accent5"/>
    </w:rPr>
  </w:style>
  <w:style w:type="character" w:customStyle="1" w:styleId="V50InstructionsChar">
    <w:name w:val="V5.0 Instructions Char"/>
    <w:basedOn w:val="DefaultParagraphFont"/>
    <w:link w:val="V50Instructions"/>
    <w:rsid w:val="00692ABA"/>
    <w:rPr>
      <w:rFonts w:asciiTheme="minorHAnsi" w:eastAsiaTheme="minorHAnsi" w:hAnsiTheme="minorHAnsi" w:cstheme="minorBidi"/>
      <w:snapToGrid w:val="0"/>
      <w:color w:val="4BACC6" w:themeColor="accent5"/>
      <w:sz w:val="24"/>
      <w:szCs w:val="24"/>
      <w:lang w:eastAsia="en-US"/>
    </w:rPr>
  </w:style>
  <w:style w:type="paragraph" w:customStyle="1" w:styleId="TableText0">
    <w:name w:val="TableText"/>
    <w:basedOn w:val="Normal"/>
    <w:link w:val="TableTextChar0"/>
    <w:uiPriority w:val="3"/>
    <w:qFormat/>
    <w:rsid w:val="00692ABA"/>
    <w:pPr>
      <w:keepNext/>
      <w:spacing w:before="40" w:after="40"/>
      <w:jc w:val="left"/>
    </w:pPr>
    <w:rPr>
      <w:rFonts w:ascii="Arial Narrow" w:hAnsi="Arial Narrow" w:cs="Arial Narrow"/>
      <w:snapToGrid w:val="0"/>
      <w:sz w:val="20"/>
      <w:szCs w:val="20"/>
    </w:rPr>
  </w:style>
  <w:style w:type="character" w:customStyle="1" w:styleId="TableTextChar0">
    <w:name w:val="TableText Char"/>
    <w:basedOn w:val="DefaultParagraphFont"/>
    <w:link w:val="TableText0"/>
    <w:uiPriority w:val="3"/>
    <w:rsid w:val="00692ABA"/>
    <w:rPr>
      <w:rFonts w:ascii="Arial Narrow" w:hAnsi="Arial Narrow" w:cs="Arial Narrow"/>
      <w:snapToGrid w:val="0"/>
      <w:lang w:eastAsia="en-US"/>
    </w:rPr>
  </w:style>
  <w:style w:type="paragraph" w:customStyle="1" w:styleId="TableHeadingRow">
    <w:name w:val="TableHeadingRow"/>
    <w:basedOn w:val="Normal"/>
    <w:uiPriority w:val="3"/>
    <w:qFormat/>
    <w:rsid w:val="00692ABA"/>
    <w:pPr>
      <w:keepNext/>
      <w:spacing w:before="20" w:after="20"/>
      <w:jc w:val="left"/>
    </w:pPr>
    <w:rPr>
      <w:rFonts w:cstheme="minorHAnsi"/>
      <w:b/>
      <w:snapToGrid w:val="0"/>
      <w:sz w:val="20"/>
      <w:szCs w:val="20"/>
    </w:rPr>
  </w:style>
  <w:style w:type="table" w:customStyle="1" w:styleId="Summarybox3">
    <w:name w:val="Summary box3"/>
    <w:basedOn w:val="TableNormal"/>
    <w:next w:val="TableGrid"/>
    <w:uiPriority w:val="59"/>
    <w:rsid w:val="00A13C0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Normal"/>
    <w:link w:val="FootnoteChar"/>
    <w:qFormat/>
    <w:rsid w:val="001A1007"/>
    <w:rPr>
      <w:rFonts w:ascii="Arial" w:eastAsiaTheme="minorHAnsi" w:hAnsi="Arial" w:cstheme="minorBidi"/>
      <w:sz w:val="16"/>
      <w:szCs w:val="22"/>
      <w:lang w:val="en-US"/>
    </w:rPr>
  </w:style>
  <w:style w:type="character" w:customStyle="1" w:styleId="FootnoteChar">
    <w:name w:val="Footnote Char"/>
    <w:basedOn w:val="DefaultParagraphFont"/>
    <w:link w:val="Footnote"/>
    <w:rsid w:val="001A1007"/>
    <w:rPr>
      <w:rFonts w:ascii="Arial" w:eastAsiaTheme="minorHAnsi" w:hAnsi="Arial" w:cstheme="minorBidi"/>
      <w:sz w:val="16"/>
      <w:szCs w:val="22"/>
      <w:lang w:val="en-US" w:eastAsia="en-US"/>
    </w:rPr>
  </w:style>
  <w:style w:type="table" w:customStyle="1" w:styleId="Summarybox6">
    <w:name w:val="Summary box6"/>
    <w:basedOn w:val="TableNormal"/>
    <w:next w:val="TableGrid"/>
    <w:uiPriority w:val="59"/>
    <w:rsid w:val="006603B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7">
    <w:name w:val="Summary box7"/>
    <w:basedOn w:val="TableNormal"/>
    <w:next w:val="TableGrid"/>
    <w:uiPriority w:val="59"/>
    <w:rsid w:val="006D210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uiPriority w:val="59"/>
    <w:rsid w:val="00ED13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rsid w:val="007D489F"/>
    <w:pPr>
      <w:spacing w:before="40" w:after="40"/>
      <w:jc w:val="left"/>
    </w:pPr>
    <w:rPr>
      <w:rFonts w:ascii="Arial Narrow" w:hAnsi="Arial Narrow"/>
      <w:sz w:val="20"/>
      <w:szCs w:val="20"/>
    </w:rPr>
  </w:style>
  <w:style w:type="character" w:customStyle="1" w:styleId="PBACTableTextChar">
    <w:name w:val="PBAC Table Text Char"/>
    <w:basedOn w:val="DefaultParagraphFont"/>
    <w:link w:val="PBACTableText"/>
    <w:rsid w:val="007D489F"/>
    <w:rPr>
      <w:rFonts w:ascii="Arial Narrow" w:hAnsi="Arial Narrow"/>
      <w:lang w:eastAsia="en-US"/>
    </w:rPr>
  </w:style>
  <w:style w:type="paragraph" w:customStyle="1" w:styleId="PbacTableHeading">
    <w:name w:val="Pbac Table Heading"/>
    <w:basedOn w:val="PBACTableText"/>
    <w:rsid w:val="007D489F"/>
    <w:pPr>
      <w:spacing w:before="0" w:after="80"/>
    </w:pPr>
    <w:rPr>
      <w:rFonts w:eastAsiaTheme="minorHAnsi" w:cs="Arial"/>
      <w:b/>
    </w:rPr>
  </w:style>
  <w:style w:type="paragraph" w:customStyle="1" w:styleId="TableTitleA">
    <w:name w:val="Table Title A"/>
    <w:next w:val="BodyText"/>
    <w:link w:val="TableTitleAChar"/>
    <w:rsid w:val="00287B33"/>
    <w:pPr>
      <w:numPr>
        <w:numId w:val="11"/>
      </w:numPr>
      <w:spacing w:line="360" w:lineRule="auto"/>
      <w:ind w:left="0" w:firstLine="0"/>
    </w:pPr>
    <w:rPr>
      <w:rFonts w:ascii="Arial" w:hAnsi="Arial"/>
      <w:b/>
    </w:rPr>
  </w:style>
  <w:style w:type="character" w:customStyle="1" w:styleId="TableTitleAChar">
    <w:name w:val="Table Title A Char"/>
    <w:basedOn w:val="DefaultParagraphFont"/>
    <w:link w:val="TableTitleA"/>
    <w:rsid w:val="00287B33"/>
    <w:rPr>
      <w:rFonts w:ascii="Arial" w:hAnsi="Arial"/>
      <w:b/>
      <w:szCs w:val="24"/>
      <w:lang w:eastAsia="en-US"/>
    </w:rPr>
  </w:style>
  <w:style w:type="paragraph" w:customStyle="1" w:styleId="Table31">
    <w:name w:val="Table 3.1"/>
    <w:basedOn w:val="Normal"/>
    <w:next w:val="Normal"/>
    <w:rsid w:val="00296CB3"/>
    <w:pPr>
      <w:framePr w:wrap="notBeside" w:hAnchor="text"/>
      <w:numPr>
        <w:numId w:val="12"/>
      </w:numPr>
      <w:spacing w:line="360" w:lineRule="auto"/>
      <w:ind w:left="1134" w:hanging="1134"/>
    </w:pPr>
    <w:rPr>
      <w:rFonts w:ascii="Arial" w:eastAsiaTheme="minorHAnsi" w:hAnsi="Arial" w:cstheme="minorBidi"/>
      <w:b/>
      <w:sz w:val="20"/>
      <w:szCs w:val="22"/>
    </w:rPr>
  </w:style>
  <w:style w:type="paragraph" w:customStyle="1" w:styleId="halfrhythm">
    <w:name w:val="half_rhythm"/>
    <w:basedOn w:val="Normal"/>
    <w:rsid w:val="00BF6FD3"/>
    <w:pPr>
      <w:spacing w:before="100" w:beforeAutospacing="1" w:after="100" w:afterAutospacing="1"/>
      <w:jc w:val="left"/>
    </w:pPr>
    <w:rPr>
      <w:rFonts w:ascii="Times New Roman" w:hAnsi="Times New Roman"/>
    </w:rPr>
  </w:style>
  <w:style w:type="paragraph" w:customStyle="1" w:styleId="V50Heading2nonumbers">
    <w:name w:val="V5.0 Heading 2 no numbers"/>
    <w:basedOn w:val="Heading2"/>
    <w:qFormat/>
    <w:rsid w:val="00D9200D"/>
    <w:pPr>
      <w:spacing w:before="240"/>
      <w:ind w:left="578" w:hanging="578"/>
      <w:jc w:val="left"/>
    </w:pPr>
    <w:rPr>
      <w:rFonts w:asciiTheme="minorHAnsi" w:eastAsiaTheme="majorEastAsia" w:hAnsiTheme="minorHAnsi" w:cstheme="majorBidi"/>
      <w:szCs w:val="28"/>
    </w:rPr>
  </w:style>
  <w:style w:type="paragraph" w:customStyle="1" w:styleId="TableText1">
    <w:name w:val="Table Text"/>
    <w:basedOn w:val="Normal"/>
    <w:qFormat/>
    <w:rsid w:val="00D9200D"/>
    <w:pPr>
      <w:keepNext/>
      <w:spacing w:before="40" w:after="40"/>
      <w:jc w:val="left"/>
    </w:pPr>
    <w:rPr>
      <w:rFonts w:ascii="Arial Narrow" w:eastAsiaTheme="minorHAnsi" w:hAnsi="Arial Narrow" w:cstheme="minorBidi"/>
      <w:sz w:val="20"/>
      <w:szCs w:val="22"/>
    </w:rPr>
  </w:style>
  <w:style w:type="character" w:customStyle="1" w:styleId="UnresolvedMention10">
    <w:name w:val="Unresolved Mention1"/>
    <w:basedOn w:val="DefaultParagraphFont"/>
    <w:uiPriority w:val="99"/>
    <w:semiHidden/>
    <w:unhideWhenUsed/>
    <w:rsid w:val="00A64557"/>
    <w:rPr>
      <w:color w:val="605E5C"/>
      <w:shd w:val="clear" w:color="auto" w:fill="E1DFDD"/>
    </w:rPr>
  </w:style>
  <w:style w:type="character" w:customStyle="1" w:styleId="Heading1Char">
    <w:name w:val="Heading 1 Char"/>
    <w:basedOn w:val="DefaultParagraphFont"/>
    <w:link w:val="Heading1"/>
    <w:uiPriority w:val="1"/>
    <w:rsid w:val="00FD3E23"/>
    <w:rPr>
      <w:rFonts w:asciiTheme="minorHAnsi" w:eastAsiaTheme="majorEastAsia" w:hAnsiTheme="minorHAnsi" w:cstheme="majorBidi"/>
      <w:b/>
      <w:sz w:val="32"/>
      <w:szCs w:val="28"/>
      <w:lang w:eastAsia="en-US"/>
    </w:rPr>
  </w:style>
  <w:style w:type="character" w:customStyle="1" w:styleId="UnresolvedMention2">
    <w:name w:val="Unresolved Mention2"/>
    <w:basedOn w:val="DefaultParagraphFont"/>
    <w:uiPriority w:val="99"/>
    <w:semiHidden/>
    <w:unhideWhenUsed/>
    <w:rsid w:val="00CA29F8"/>
    <w:rPr>
      <w:color w:val="605E5C"/>
      <w:shd w:val="clear" w:color="auto" w:fill="E1DFDD"/>
    </w:rPr>
  </w:style>
  <w:style w:type="paragraph" w:customStyle="1" w:styleId="Default">
    <w:name w:val="Default"/>
    <w:rsid w:val="00E56F47"/>
    <w:pPr>
      <w:autoSpaceDE w:val="0"/>
      <w:autoSpaceDN w:val="0"/>
      <w:adjustRightInd w:val="0"/>
    </w:pPr>
    <w:rPr>
      <w:rFonts w:ascii="Arial" w:hAnsi="Arial" w:cs="Arial"/>
      <w:color w:val="000000"/>
      <w:sz w:val="24"/>
      <w:szCs w:val="24"/>
    </w:rPr>
  </w:style>
  <w:style w:type="character" w:customStyle="1" w:styleId="highlight">
    <w:name w:val="highlight"/>
    <w:basedOn w:val="DefaultParagraphFont"/>
    <w:rsid w:val="00160BC1"/>
  </w:style>
  <w:style w:type="character" w:styleId="PlaceholderText">
    <w:name w:val="Placeholder Text"/>
    <w:basedOn w:val="DefaultParagraphFont"/>
    <w:uiPriority w:val="99"/>
    <w:semiHidden/>
    <w:rsid w:val="002907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0542">
      <w:bodyDiv w:val="1"/>
      <w:marLeft w:val="0"/>
      <w:marRight w:val="0"/>
      <w:marTop w:val="0"/>
      <w:marBottom w:val="0"/>
      <w:divBdr>
        <w:top w:val="none" w:sz="0" w:space="0" w:color="auto"/>
        <w:left w:val="none" w:sz="0" w:space="0" w:color="auto"/>
        <w:bottom w:val="none" w:sz="0" w:space="0" w:color="auto"/>
        <w:right w:val="none" w:sz="0" w:space="0" w:color="auto"/>
      </w:divBdr>
      <w:divsChild>
        <w:div w:id="157774279">
          <w:marLeft w:val="0"/>
          <w:marRight w:val="0"/>
          <w:marTop w:val="0"/>
          <w:marBottom w:val="0"/>
          <w:divBdr>
            <w:top w:val="none" w:sz="0" w:space="0" w:color="auto"/>
            <w:left w:val="none" w:sz="0" w:space="0" w:color="auto"/>
            <w:bottom w:val="none" w:sz="0" w:space="0" w:color="auto"/>
            <w:right w:val="none" w:sz="0" w:space="0" w:color="auto"/>
          </w:divBdr>
          <w:divsChild>
            <w:div w:id="1367021266">
              <w:marLeft w:val="0"/>
              <w:marRight w:val="0"/>
              <w:marTop w:val="0"/>
              <w:marBottom w:val="0"/>
              <w:divBdr>
                <w:top w:val="none" w:sz="0" w:space="0" w:color="auto"/>
                <w:left w:val="none" w:sz="0" w:space="0" w:color="auto"/>
                <w:bottom w:val="none" w:sz="0" w:space="0" w:color="auto"/>
                <w:right w:val="none" w:sz="0" w:space="0" w:color="auto"/>
              </w:divBdr>
              <w:divsChild>
                <w:div w:id="1466197194">
                  <w:marLeft w:val="0"/>
                  <w:marRight w:val="0"/>
                  <w:marTop w:val="0"/>
                  <w:marBottom w:val="0"/>
                  <w:divBdr>
                    <w:top w:val="none" w:sz="0" w:space="0" w:color="auto"/>
                    <w:left w:val="none" w:sz="0" w:space="0" w:color="auto"/>
                    <w:bottom w:val="none" w:sz="0" w:space="0" w:color="auto"/>
                    <w:right w:val="none" w:sz="0" w:space="0" w:color="auto"/>
                  </w:divBdr>
                  <w:divsChild>
                    <w:div w:id="360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2074">
      <w:bodyDiv w:val="1"/>
      <w:marLeft w:val="0"/>
      <w:marRight w:val="0"/>
      <w:marTop w:val="0"/>
      <w:marBottom w:val="0"/>
      <w:divBdr>
        <w:top w:val="none" w:sz="0" w:space="0" w:color="auto"/>
        <w:left w:val="none" w:sz="0" w:space="0" w:color="auto"/>
        <w:bottom w:val="none" w:sz="0" w:space="0" w:color="auto"/>
        <w:right w:val="none" w:sz="0" w:space="0" w:color="auto"/>
      </w:divBdr>
      <w:divsChild>
        <w:div w:id="636691749">
          <w:marLeft w:val="0"/>
          <w:marRight w:val="0"/>
          <w:marTop w:val="0"/>
          <w:marBottom w:val="0"/>
          <w:divBdr>
            <w:top w:val="none" w:sz="0" w:space="0" w:color="auto"/>
            <w:left w:val="none" w:sz="0" w:space="0" w:color="auto"/>
            <w:bottom w:val="none" w:sz="0" w:space="0" w:color="auto"/>
            <w:right w:val="none" w:sz="0" w:space="0" w:color="auto"/>
          </w:divBdr>
          <w:divsChild>
            <w:div w:id="1772358164">
              <w:marLeft w:val="0"/>
              <w:marRight w:val="0"/>
              <w:marTop w:val="0"/>
              <w:marBottom w:val="0"/>
              <w:divBdr>
                <w:top w:val="none" w:sz="0" w:space="0" w:color="auto"/>
                <w:left w:val="none" w:sz="0" w:space="0" w:color="auto"/>
                <w:bottom w:val="none" w:sz="0" w:space="0" w:color="auto"/>
                <w:right w:val="none" w:sz="0" w:space="0" w:color="auto"/>
              </w:divBdr>
              <w:divsChild>
                <w:div w:id="13619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3807">
      <w:bodyDiv w:val="1"/>
      <w:marLeft w:val="0"/>
      <w:marRight w:val="0"/>
      <w:marTop w:val="0"/>
      <w:marBottom w:val="0"/>
      <w:divBdr>
        <w:top w:val="none" w:sz="0" w:space="0" w:color="auto"/>
        <w:left w:val="none" w:sz="0" w:space="0" w:color="auto"/>
        <w:bottom w:val="none" w:sz="0" w:space="0" w:color="auto"/>
        <w:right w:val="none" w:sz="0" w:space="0" w:color="auto"/>
      </w:divBdr>
    </w:div>
    <w:div w:id="164706692">
      <w:bodyDiv w:val="1"/>
      <w:marLeft w:val="0"/>
      <w:marRight w:val="0"/>
      <w:marTop w:val="0"/>
      <w:marBottom w:val="0"/>
      <w:divBdr>
        <w:top w:val="none" w:sz="0" w:space="0" w:color="auto"/>
        <w:left w:val="none" w:sz="0" w:space="0" w:color="auto"/>
        <w:bottom w:val="none" w:sz="0" w:space="0" w:color="auto"/>
        <w:right w:val="none" w:sz="0" w:space="0" w:color="auto"/>
      </w:divBdr>
      <w:divsChild>
        <w:div w:id="1424491767">
          <w:marLeft w:val="0"/>
          <w:marRight w:val="0"/>
          <w:marTop w:val="0"/>
          <w:marBottom w:val="0"/>
          <w:divBdr>
            <w:top w:val="none" w:sz="0" w:space="0" w:color="auto"/>
            <w:left w:val="none" w:sz="0" w:space="0" w:color="auto"/>
            <w:bottom w:val="none" w:sz="0" w:space="0" w:color="auto"/>
            <w:right w:val="none" w:sz="0" w:space="0" w:color="auto"/>
          </w:divBdr>
          <w:divsChild>
            <w:div w:id="989751626">
              <w:marLeft w:val="0"/>
              <w:marRight w:val="0"/>
              <w:marTop w:val="0"/>
              <w:marBottom w:val="0"/>
              <w:divBdr>
                <w:top w:val="none" w:sz="0" w:space="0" w:color="auto"/>
                <w:left w:val="none" w:sz="0" w:space="0" w:color="auto"/>
                <w:bottom w:val="none" w:sz="0" w:space="0" w:color="auto"/>
                <w:right w:val="none" w:sz="0" w:space="0" w:color="auto"/>
              </w:divBdr>
              <w:divsChild>
                <w:div w:id="865630872">
                  <w:marLeft w:val="0"/>
                  <w:marRight w:val="0"/>
                  <w:marTop w:val="0"/>
                  <w:marBottom w:val="0"/>
                  <w:divBdr>
                    <w:top w:val="none" w:sz="0" w:space="0" w:color="auto"/>
                    <w:left w:val="none" w:sz="0" w:space="0" w:color="auto"/>
                    <w:bottom w:val="none" w:sz="0" w:space="0" w:color="auto"/>
                    <w:right w:val="none" w:sz="0" w:space="0" w:color="auto"/>
                  </w:divBdr>
                  <w:divsChild>
                    <w:div w:id="179228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9228">
      <w:bodyDiv w:val="1"/>
      <w:marLeft w:val="0"/>
      <w:marRight w:val="0"/>
      <w:marTop w:val="0"/>
      <w:marBottom w:val="0"/>
      <w:divBdr>
        <w:top w:val="none" w:sz="0" w:space="0" w:color="auto"/>
        <w:left w:val="none" w:sz="0" w:space="0" w:color="auto"/>
        <w:bottom w:val="none" w:sz="0" w:space="0" w:color="auto"/>
        <w:right w:val="none" w:sz="0" w:space="0" w:color="auto"/>
      </w:divBdr>
    </w:div>
    <w:div w:id="176046355">
      <w:bodyDiv w:val="1"/>
      <w:marLeft w:val="0"/>
      <w:marRight w:val="0"/>
      <w:marTop w:val="0"/>
      <w:marBottom w:val="0"/>
      <w:divBdr>
        <w:top w:val="none" w:sz="0" w:space="0" w:color="auto"/>
        <w:left w:val="none" w:sz="0" w:space="0" w:color="auto"/>
        <w:bottom w:val="none" w:sz="0" w:space="0" w:color="auto"/>
        <w:right w:val="none" w:sz="0" w:space="0" w:color="auto"/>
      </w:divBdr>
      <w:divsChild>
        <w:div w:id="1949042956">
          <w:marLeft w:val="0"/>
          <w:marRight w:val="0"/>
          <w:marTop w:val="0"/>
          <w:marBottom w:val="0"/>
          <w:divBdr>
            <w:top w:val="none" w:sz="0" w:space="0" w:color="auto"/>
            <w:left w:val="none" w:sz="0" w:space="0" w:color="auto"/>
            <w:bottom w:val="none" w:sz="0" w:space="0" w:color="auto"/>
            <w:right w:val="none" w:sz="0" w:space="0" w:color="auto"/>
          </w:divBdr>
          <w:divsChild>
            <w:div w:id="411660632">
              <w:marLeft w:val="0"/>
              <w:marRight w:val="0"/>
              <w:marTop w:val="0"/>
              <w:marBottom w:val="0"/>
              <w:divBdr>
                <w:top w:val="none" w:sz="0" w:space="0" w:color="auto"/>
                <w:left w:val="none" w:sz="0" w:space="0" w:color="auto"/>
                <w:bottom w:val="none" w:sz="0" w:space="0" w:color="auto"/>
                <w:right w:val="none" w:sz="0" w:space="0" w:color="auto"/>
              </w:divBdr>
              <w:divsChild>
                <w:div w:id="1115518765">
                  <w:marLeft w:val="0"/>
                  <w:marRight w:val="0"/>
                  <w:marTop w:val="0"/>
                  <w:marBottom w:val="0"/>
                  <w:divBdr>
                    <w:top w:val="none" w:sz="0" w:space="0" w:color="auto"/>
                    <w:left w:val="none" w:sz="0" w:space="0" w:color="auto"/>
                    <w:bottom w:val="none" w:sz="0" w:space="0" w:color="auto"/>
                    <w:right w:val="none" w:sz="0" w:space="0" w:color="auto"/>
                  </w:divBdr>
                </w:div>
              </w:divsChild>
            </w:div>
            <w:div w:id="840122788">
              <w:marLeft w:val="0"/>
              <w:marRight w:val="0"/>
              <w:marTop w:val="0"/>
              <w:marBottom w:val="0"/>
              <w:divBdr>
                <w:top w:val="none" w:sz="0" w:space="0" w:color="auto"/>
                <w:left w:val="none" w:sz="0" w:space="0" w:color="auto"/>
                <w:bottom w:val="none" w:sz="0" w:space="0" w:color="auto"/>
                <w:right w:val="none" w:sz="0" w:space="0" w:color="auto"/>
              </w:divBdr>
              <w:divsChild>
                <w:div w:id="1409838319">
                  <w:marLeft w:val="0"/>
                  <w:marRight w:val="0"/>
                  <w:marTop w:val="0"/>
                  <w:marBottom w:val="0"/>
                  <w:divBdr>
                    <w:top w:val="none" w:sz="0" w:space="0" w:color="auto"/>
                    <w:left w:val="none" w:sz="0" w:space="0" w:color="auto"/>
                    <w:bottom w:val="none" w:sz="0" w:space="0" w:color="auto"/>
                    <w:right w:val="none" w:sz="0" w:space="0" w:color="auto"/>
                  </w:divBdr>
                </w:div>
              </w:divsChild>
            </w:div>
            <w:div w:id="657072894">
              <w:marLeft w:val="0"/>
              <w:marRight w:val="0"/>
              <w:marTop w:val="0"/>
              <w:marBottom w:val="0"/>
              <w:divBdr>
                <w:top w:val="none" w:sz="0" w:space="0" w:color="auto"/>
                <w:left w:val="none" w:sz="0" w:space="0" w:color="auto"/>
                <w:bottom w:val="none" w:sz="0" w:space="0" w:color="auto"/>
                <w:right w:val="none" w:sz="0" w:space="0" w:color="auto"/>
              </w:divBdr>
              <w:divsChild>
                <w:div w:id="9850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0100">
          <w:marLeft w:val="0"/>
          <w:marRight w:val="0"/>
          <w:marTop w:val="0"/>
          <w:marBottom w:val="0"/>
          <w:divBdr>
            <w:top w:val="none" w:sz="0" w:space="0" w:color="auto"/>
            <w:left w:val="none" w:sz="0" w:space="0" w:color="auto"/>
            <w:bottom w:val="none" w:sz="0" w:space="0" w:color="auto"/>
            <w:right w:val="none" w:sz="0" w:space="0" w:color="auto"/>
          </w:divBdr>
          <w:divsChild>
            <w:div w:id="224226368">
              <w:marLeft w:val="0"/>
              <w:marRight w:val="0"/>
              <w:marTop w:val="0"/>
              <w:marBottom w:val="0"/>
              <w:divBdr>
                <w:top w:val="none" w:sz="0" w:space="0" w:color="auto"/>
                <w:left w:val="none" w:sz="0" w:space="0" w:color="auto"/>
                <w:bottom w:val="none" w:sz="0" w:space="0" w:color="auto"/>
                <w:right w:val="none" w:sz="0" w:space="0" w:color="auto"/>
              </w:divBdr>
              <w:divsChild>
                <w:div w:id="3159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6081">
      <w:bodyDiv w:val="1"/>
      <w:marLeft w:val="0"/>
      <w:marRight w:val="0"/>
      <w:marTop w:val="0"/>
      <w:marBottom w:val="0"/>
      <w:divBdr>
        <w:top w:val="none" w:sz="0" w:space="0" w:color="auto"/>
        <w:left w:val="none" w:sz="0" w:space="0" w:color="auto"/>
        <w:bottom w:val="none" w:sz="0" w:space="0" w:color="auto"/>
        <w:right w:val="none" w:sz="0" w:space="0" w:color="auto"/>
      </w:divBdr>
      <w:divsChild>
        <w:div w:id="1340081219">
          <w:marLeft w:val="0"/>
          <w:marRight w:val="0"/>
          <w:marTop w:val="0"/>
          <w:marBottom w:val="0"/>
          <w:divBdr>
            <w:top w:val="none" w:sz="0" w:space="0" w:color="auto"/>
            <w:left w:val="none" w:sz="0" w:space="0" w:color="auto"/>
            <w:bottom w:val="none" w:sz="0" w:space="0" w:color="auto"/>
            <w:right w:val="none" w:sz="0" w:space="0" w:color="auto"/>
          </w:divBdr>
          <w:divsChild>
            <w:div w:id="1147235745">
              <w:marLeft w:val="0"/>
              <w:marRight w:val="0"/>
              <w:marTop w:val="0"/>
              <w:marBottom w:val="0"/>
              <w:divBdr>
                <w:top w:val="none" w:sz="0" w:space="0" w:color="auto"/>
                <w:left w:val="none" w:sz="0" w:space="0" w:color="auto"/>
                <w:bottom w:val="none" w:sz="0" w:space="0" w:color="auto"/>
                <w:right w:val="none" w:sz="0" w:space="0" w:color="auto"/>
              </w:divBdr>
              <w:divsChild>
                <w:div w:id="8656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90663">
      <w:bodyDiv w:val="1"/>
      <w:marLeft w:val="0"/>
      <w:marRight w:val="0"/>
      <w:marTop w:val="0"/>
      <w:marBottom w:val="0"/>
      <w:divBdr>
        <w:top w:val="none" w:sz="0" w:space="0" w:color="auto"/>
        <w:left w:val="none" w:sz="0" w:space="0" w:color="auto"/>
        <w:bottom w:val="none" w:sz="0" w:space="0" w:color="auto"/>
        <w:right w:val="none" w:sz="0" w:space="0" w:color="auto"/>
      </w:divBdr>
      <w:divsChild>
        <w:div w:id="1982033798">
          <w:marLeft w:val="0"/>
          <w:marRight w:val="0"/>
          <w:marTop w:val="0"/>
          <w:marBottom w:val="0"/>
          <w:divBdr>
            <w:top w:val="none" w:sz="0" w:space="0" w:color="auto"/>
            <w:left w:val="none" w:sz="0" w:space="0" w:color="auto"/>
            <w:bottom w:val="none" w:sz="0" w:space="0" w:color="auto"/>
            <w:right w:val="none" w:sz="0" w:space="0" w:color="auto"/>
          </w:divBdr>
          <w:divsChild>
            <w:div w:id="1009453323">
              <w:marLeft w:val="0"/>
              <w:marRight w:val="0"/>
              <w:marTop w:val="0"/>
              <w:marBottom w:val="0"/>
              <w:divBdr>
                <w:top w:val="none" w:sz="0" w:space="0" w:color="auto"/>
                <w:left w:val="none" w:sz="0" w:space="0" w:color="auto"/>
                <w:bottom w:val="none" w:sz="0" w:space="0" w:color="auto"/>
                <w:right w:val="none" w:sz="0" w:space="0" w:color="auto"/>
              </w:divBdr>
              <w:divsChild>
                <w:div w:id="15685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8588">
      <w:bodyDiv w:val="1"/>
      <w:marLeft w:val="0"/>
      <w:marRight w:val="0"/>
      <w:marTop w:val="0"/>
      <w:marBottom w:val="0"/>
      <w:divBdr>
        <w:top w:val="none" w:sz="0" w:space="0" w:color="auto"/>
        <w:left w:val="none" w:sz="0" w:space="0" w:color="auto"/>
        <w:bottom w:val="none" w:sz="0" w:space="0" w:color="auto"/>
        <w:right w:val="none" w:sz="0" w:space="0" w:color="auto"/>
      </w:divBdr>
    </w:div>
    <w:div w:id="299500260">
      <w:bodyDiv w:val="1"/>
      <w:marLeft w:val="0"/>
      <w:marRight w:val="0"/>
      <w:marTop w:val="0"/>
      <w:marBottom w:val="0"/>
      <w:divBdr>
        <w:top w:val="none" w:sz="0" w:space="0" w:color="auto"/>
        <w:left w:val="none" w:sz="0" w:space="0" w:color="auto"/>
        <w:bottom w:val="none" w:sz="0" w:space="0" w:color="auto"/>
        <w:right w:val="none" w:sz="0" w:space="0" w:color="auto"/>
      </w:divBdr>
    </w:div>
    <w:div w:id="351566739">
      <w:bodyDiv w:val="1"/>
      <w:marLeft w:val="0"/>
      <w:marRight w:val="0"/>
      <w:marTop w:val="0"/>
      <w:marBottom w:val="0"/>
      <w:divBdr>
        <w:top w:val="none" w:sz="0" w:space="0" w:color="auto"/>
        <w:left w:val="none" w:sz="0" w:space="0" w:color="auto"/>
        <w:bottom w:val="none" w:sz="0" w:space="0" w:color="auto"/>
        <w:right w:val="none" w:sz="0" w:space="0" w:color="auto"/>
      </w:divBdr>
    </w:div>
    <w:div w:id="351686409">
      <w:bodyDiv w:val="1"/>
      <w:marLeft w:val="0"/>
      <w:marRight w:val="0"/>
      <w:marTop w:val="0"/>
      <w:marBottom w:val="0"/>
      <w:divBdr>
        <w:top w:val="none" w:sz="0" w:space="0" w:color="auto"/>
        <w:left w:val="none" w:sz="0" w:space="0" w:color="auto"/>
        <w:bottom w:val="none" w:sz="0" w:space="0" w:color="auto"/>
        <w:right w:val="none" w:sz="0" w:space="0" w:color="auto"/>
      </w:divBdr>
      <w:divsChild>
        <w:div w:id="1882664073">
          <w:marLeft w:val="0"/>
          <w:marRight w:val="0"/>
          <w:marTop w:val="0"/>
          <w:marBottom w:val="0"/>
          <w:divBdr>
            <w:top w:val="none" w:sz="0" w:space="0" w:color="auto"/>
            <w:left w:val="none" w:sz="0" w:space="0" w:color="auto"/>
            <w:bottom w:val="none" w:sz="0" w:space="0" w:color="auto"/>
            <w:right w:val="none" w:sz="0" w:space="0" w:color="auto"/>
          </w:divBdr>
          <w:divsChild>
            <w:div w:id="438334044">
              <w:marLeft w:val="0"/>
              <w:marRight w:val="0"/>
              <w:marTop w:val="0"/>
              <w:marBottom w:val="0"/>
              <w:divBdr>
                <w:top w:val="none" w:sz="0" w:space="0" w:color="auto"/>
                <w:left w:val="none" w:sz="0" w:space="0" w:color="auto"/>
                <w:bottom w:val="none" w:sz="0" w:space="0" w:color="auto"/>
                <w:right w:val="none" w:sz="0" w:space="0" w:color="auto"/>
              </w:divBdr>
              <w:divsChild>
                <w:div w:id="11332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09361">
      <w:bodyDiv w:val="1"/>
      <w:marLeft w:val="0"/>
      <w:marRight w:val="0"/>
      <w:marTop w:val="0"/>
      <w:marBottom w:val="0"/>
      <w:divBdr>
        <w:top w:val="none" w:sz="0" w:space="0" w:color="auto"/>
        <w:left w:val="none" w:sz="0" w:space="0" w:color="auto"/>
        <w:bottom w:val="none" w:sz="0" w:space="0" w:color="auto"/>
        <w:right w:val="none" w:sz="0" w:space="0" w:color="auto"/>
      </w:divBdr>
    </w:div>
    <w:div w:id="380788735">
      <w:bodyDiv w:val="1"/>
      <w:marLeft w:val="0"/>
      <w:marRight w:val="0"/>
      <w:marTop w:val="0"/>
      <w:marBottom w:val="0"/>
      <w:divBdr>
        <w:top w:val="none" w:sz="0" w:space="0" w:color="auto"/>
        <w:left w:val="none" w:sz="0" w:space="0" w:color="auto"/>
        <w:bottom w:val="none" w:sz="0" w:space="0" w:color="auto"/>
        <w:right w:val="none" w:sz="0" w:space="0" w:color="auto"/>
      </w:divBdr>
      <w:divsChild>
        <w:div w:id="1428034842">
          <w:marLeft w:val="0"/>
          <w:marRight w:val="0"/>
          <w:marTop w:val="0"/>
          <w:marBottom w:val="0"/>
          <w:divBdr>
            <w:top w:val="none" w:sz="0" w:space="0" w:color="auto"/>
            <w:left w:val="none" w:sz="0" w:space="0" w:color="auto"/>
            <w:bottom w:val="none" w:sz="0" w:space="0" w:color="auto"/>
            <w:right w:val="none" w:sz="0" w:space="0" w:color="auto"/>
          </w:divBdr>
          <w:divsChild>
            <w:div w:id="783618802">
              <w:marLeft w:val="0"/>
              <w:marRight w:val="0"/>
              <w:marTop w:val="0"/>
              <w:marBottom w:val="0"/>
              <w:divBdr>
                <w:top w:val="none" w:sz="0" w:space="0" w:color="auto"/>
                <w:left w:val="none" w:sz="0" w:space="0" w:color="auto"/>
                <w:bottom w:val="none" w:sz="0" w:space="0" w:color="auto"/>
                <w:right w:val="none" w:sz="0" w:space="0" w:color="auto"/>
              </w:divBdr>
              <w:divsChild>
                <w:div w:id="152713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88227">
      <w:bodyDiv w:val="1"/>
      <w:marLeft w:val="0"/>
      <w:marRight w:val="0"/>
      <w:marTop w:val="0"/>
      <w:marBottom w:val="0"/>
      <w:divBdr>
        <w:top w:val="none" w:sz="0" w:space="0" w:color="auto"/>
        <w:left w:val="none" w:sz="0" w:space="0" w:color="auto"/>
        <w:bottom w:val="none" w:sz="0" w:space="0" w:color="auto"/>
        <w:right w:val="none" w:sz="0" w:space="0" w:color="auto"/>
      </w:divBdr>
    </w:div>
    <w:div w:id="488669106">
      <w:bodyDiv w:val="1"/>
      <w:marLeft w:val="0"/>
      <w:marRight w:val="0"/>
      <w:marTop w:val="0"/>
      <w:marBottom w:val="0"/>
      <w:divBdr>
        <w:top w:val="none" w:sz="0" w:space="0" w:color="auto"/>
        <w:left w:val="none" w:sz="0" w:space="0" w:color="auto"/>
        <w:bottom w:val="none" w:sz="0" w:space="0" w:color="auto"/>
        <w:right w:val="none" w:sz="0" w:space="0" w:color="auto"/>
      </w:divBdr>
      <w:divsChild>
        <w:div w:id="1949044644">
          <w:marLeft w:val="0"/>
          <w:marRight w:val="0"/>
          <w:marTop w:val="0"/>
          <w:marBottom w:val="0"/>
          <w:divBdr>
            <w:top w:val="none" w:sz="0" w:space="0" w:color="auto"/>
            <w:left w:val="none" w:sz="0" w:space="0" w:color="auto"/>
            <w:bottom w:val="none" w:sz="0" w:space="0" w:color="auto"/>
            <w:right w:val="none" w:sz="0" w:space="0" w:color="auto"/>
          </w:divBdr>
          <w:divsChild>
            <w:div w:id="1791585324">
              <w:marLeft w:val="0"/>
              <w:marRight w:val="0"/>
              <w:marTop w:val="0"/>
              <w:marBottom w:val="0"/>
              <w:divBdr>
                <w:top w:val="none" w:sz="0" w:space="0" w:color="auto"/>
                <w:left w:val="none" w:sz="0" w:space="0" w:color="auto"/>
                <w:bottom w:val="none" w:sz="0" w:space="0" w:color="auto"/>
                <w:right w:val="none" w:sz="0" w:space="0" w:color="auto"/>
              </w:divBdr>
              <w:divsChild>
                <w:div w:id="166188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93135">
      <w:bodyDiv w:val="1"/>
      <w:marLeft w:val="0"/>
      <w:marRight w:val="0"/>
      <w:marTop w:val="0"/>
      <w:marBottom w:val="0"/>
      <w:divBdr>
        <w:top w:val="none" w:sz="0" w:space="0" w:color="auto"/>
        <w:left w:val="none" w:sz="0" w:space="0" w:color="auto"/>
        <w:bottom w:val="none" w:sz="0" w:space="0" w:color="auto"/>
        <w:right w:val="none" w:sz="0" w:space="0" w:color="auto"/>
      </w:divBdr>
    </w:div>
    <w:div w:id="583608145">
      <w:bodyDiv w:val="1"/>
      <w:marLeft w:val="0"/>
      <w:marRight w:val="0"/>
      <w:marTop w:val="0"/>
      <w:marBottom w:val="0"/>
      <w:divBdr>
        <w:top w:val="none" w:sz="0" w:space="0" w:color="auto"/>
        <w:left w:val="none" w:sz="0" w:space="0" w:color="auto"/>
        <w:bottom w:val="none" w:sz="0" w:space="0" w:color="auto"/>
        <w:right w:val="none" w:sz="0" w:space="0" w:color="auto"/>
      </w:divBdr>
      <w:divsChild>
        <w:div w:id="486749412">
          <w:marLeft w:val="0"/>
          <w:marRight w:val="0"/>
          <w:marTop w:val="0"/>
          <w:marBottom w:val="0"/>
          <w:divBdr>
            <w:top w:val="none" w:sz="0" w:space="0" w:color="auto"/>
            <w:left w:val="none" w:sz="0" w:space="0" w:color="auto"/>
            <w:bottom w:val="none" w:sz="0" w:space="0" w:color="auto"/>
            <w:right w:val="none" w:sz="0" w:space="0" w:color="auto"/>
          </w:divBdr>
          <w:divsChild>
            <w:div w:id="1244140396">
              <w:marLeft w:val="0"/>
              <w:marRight w:val="0"/>
              <w:marTop w:val="0"/>
              <w:marBottom w:val="0"/>
              <w:divBdr>
                <w:top w:val="none" w:sz="0" w:space="0" w:color="auto"/>
                <w:left w:val="none" w:sz="0" w:space="0" w:color="auto"/>
                <w:bottom w:val="none" w:sz="0" w:space="0" w:color="auto"/>
                <w:right w:val="none" w:sz="0" w:space="0" w:color="auto"/>
              </w:divBdr>
              <w:divsChild>
                <w:div w:id="2436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47726">
      <w:bodyDiv w:val="1"/>
      <w:marLeft w:val="0"/>
      <w:marRight w:val="0"/>
      <w:marTop w:val="0"/>
      <w:marBottom w:val="0"/>
      <w:divBdr>
        <w:top w:val="none" w:sz="0" w:space="0" w:color="auto"/>
        <w:left w:val="none" w:sz="0" w:space="0" w:color="auto"/>
        <w:bottom w:val="none" w:sz="0" w:space="0" w:color="auto"/>
        <w:right w:val="none" w:sz="0" w:space="0" w:color="auto"/>
      </w:divBdr>
      <w:divsChild>
        <w:div w:id="790128301">
          <w:marLeft w:val="0"/>
          <w:marRight w:val="0"/>
          <w:marTop w:val="0"/>
          <w:marBottom w:val="0"/>
          <w:divBdr>
            <w:top w:val="none" w:sz="0" w:space="0" w:color="auto"/>
            <w:left w:val="none" w:sz="0" w:space="0" w:color="auto"/>
            <w:bottom w:val="none" w:sz="0" w:space="0" w:color="auto"/>
            <w:right w:val="none" w:sz="0" w:space="0" w:color="auto"/>
          </w:divBdr>
          <w:divsChild>
            <w:div w:id="1650282513">
              <w:marLeft w:val="0"/>
              <w:marRight w:val="0"/>
              <w:marTop w:val="0"/>
              <w:marBottom w:val="0"/>
              <w:divBdr>
                <w:top w:val="none" w:sz="0" w:space="0" w:color="auto"/>
                <w:left w:val="none" w:sz="0" w:space="0" w:color="auto"/>
                <w:bottom w:val="none" w:sz="0" w:space="0" w:color="auto"/>
                <w:right w:val="none" w:sz="0" w:space="0" w:color="auto"/>
              </w:divBdr>
              <w:divsChild>
                <w:div w:id="1005015986">
                  <w:marLeft w:val="0"/>
                  <w:marRight w:val="0"/>
                  <w:marTop w:val="0"/>
                  <w:marBottom w:val="0"/>
                  <w:divBdr>
                    <w:top w:val="none" w:sz="0" w:space="0" w:color="auto"/>
                    <w:left w:val="none" w:sz="0" w:space="0" w:color="auto"/>
                    <w:bottom w:val="none" w:sz="0" w:space="0" w:color="auto"/>
                    <w:right w:val="none" w:sz="0" w:space="0" w:color="auto"/>
                  </w:divBdr>
                </w:div>
              </w:divsChild>
            </w:div>
            <w:div w:id="1032681453">
              <w:marLeft w:val="0"/>
              <w:marRight w:val="0"/>
              <w:marTop w:val="0"/>
              <w:marBottom w:val="0"/>
              <w:divBdr>
                <w:top w:val="none" w:sz="0" w:space="0" w:color="auto"/>
                <w:left w:val="none" w:sz="0" w:space="0" w:color="auto"/>
                <w:bottom w:val="none" w:sz="0" w:space="0" w:color="auto"/>
                <w:right w:val="none" w:sz="0" w:space="0" w:color="auto"/>
              </w:divBdr>
              <w:divsChild>
                <w:div w:id="694891725">
                  <w:marLeft w:val="0"/>
                  <w:marRight w:val="0"/>
                  <w:marTop w:val="0"/>
                  <w:marBottom w:val="0"/>
                  <w:divBdr>
                    <w:top w:val="none" w:sz="0" w:space="0" w:color="auto"/>
                    <w:left w:val="none" w:sz="0" w:space="0" w:color="auto"/>
                    <w:bottom w:val="none" w:sz="0" w:space="0" w:color="auto"/>
                    <w:right w:val="none" w:sz="0" w:space="0" w:color="auto"/>
                  </w:divBdr>
                </w:div>
              </w:divsChild>
            </w:div>
            <w:div w:id="1208176029">
              <w:marLeft w:val="0"/>
              <w:marRight w:val="0"/>
              <w:marTop w:val="0"/>
              <w:marBottom w:val="0"/>
              <w:divBdr>
                <w:top w:val="none" w:sz="0" w:space="0" w:color="auto"/>
                <w:left w:val="none" w:sz="0" w:space="0" w:color="auto"/>
                <w:bottom w:val="none" w:sz="0" w:space="0" w:color="auto"/>
                <w:right w:val="none" w:sz="0" w:space="0" w:color="auto"/>
              </w:divBdr>
              <w:divsChild>
                <w:div w:id="17942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26843">
      <w:bodyDiv w:val="1"/>
      <w:marLeft w:val="0"/>
      <w:marRight w:val="0"/>
      <w:marTop w:val="0"/>
      <w:marBottom w:val="0"/>
      <w:divBdr>
        <w:top w:val="none" w:sz="0" w:space="0" w:color="auto"/>
        <w:left w:val="none" w:sz="0" w:space="0" w:color="auto"/>
        <w:bottom w:val="none" w:sz="0" w:space="0" w:color="auto"/>
        <w:right w:val="none" w:sz="0" w:space="0" w:color="auto"/>
      </w:divBdr>
      <w:divsChild>
        <w:div w:id="1876771725">
          <w:marLeft w:val="0"/>
          <w:marRight w:val="0"/>
          <w:marTop w:val="0"/>
          <w:marBottom w:val="0"/>
          <w:divBdr>
            <w:top w:val="none" w:sz="0" w:space="0" w:color="auto"/>
            <w:left w:val="none" w:sz="0" w:space="0" w:color="auto"/>
            <w:bottom w:val="none" w:sz="0" w:space="0" w:color="auto"/>
            <w:right w:val="none" w:sz="0" w:space="0" w:color="auto"/>
          </w:divBdr>
          <w:divsChild>
            <w:div w:id="236332755">
              <w:marLeft w:val="0"/>
              <w:marRight w:val="0"/>
              <w:marTop w:val="0"/>
              <w:marBottom w:val="0"/>
              <w:divBdr>
                <w:top w:val="none" w:sz="0" w:space="0" w:color="auto"/>
                <w:left w:val="none" w:sz="0" w:space="0" w:color="auto"/>
                <w:bottom w:val="none" w:sz="0" w:space="0" w:color="auto"/>
                <w:right w:val="none" w:sz="0" w:space="0" w:color="auto"/>
              </w:divBdr>
              <w:divsChild>
                <w:div w:id="9759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24434">
      <w:bodyDiv w:val="1"/>
      <w:marLeft w:val="0"/>
      <w:marRight w:val="0"/>
      <w:marTop w:val="0"/>
      <w:marBottom w:val="0"/>
      <w:divBdr>
        <w:top w:val="none" w:sz="0" w:space="0" w:color="auto"/>
        <w:left w:val="none" w:sz="0" w:space="0" w:color="auto"/>
        <w:bottom w:val="none" w:sz="0" w:space="0" w:color="auto"/>
        <w:right w:val="none" w:sz="0" w:space="0" w:color="auto"/>
      </w:divBdr>
      <w:divsChild>
        <w:div w:id="1211113645">
          <w:marLeft w:val="0"/>
          <w:marRight w:val="0"/>
          <w:marTop w:val="0"/>
          <w:marBottom w:val="0"/>
          <w:divBdr>
            <w:top w:val="none" w:sz="0" w:space="0" w:color="auto"/>
            <w:left w:val="none" w:sz="0" w:space="0" w:color="auto"/>
            <w:bottom w:val="none" w:sz="0" w:space="0" w:color="auto"/>
            <w:right w:val="none" w:sz="0" w:space="0" w:color="auto"/>
          </w:divBdr>
          <w:divsChild>
            <w:div w:id="789786749">
              <w:marLeft w:val="0"/>
              <w:marRight w:val="0"/>
              <w:marTop w:val="0"/>
              <w:marBottom w:val="0"/>
              <w:divBdr>
                <w:top w:val="none" w:sz="0" w:space="0" w:color="auto"/>
                <w:left w:val="none" w:sz="0" w:space="0" w:color="auto"/>
                <w:bottom w:val="none" w:sz="0" w:space="0" w:color="auto"/>
                <w:right w:val="none" w:sz="0" w:space="0" w:color="auto"/>
              </w:divBdr>
              <w:divsChild>
                <w:div w:id="85480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58019">
      <w:bodyDiv w:val="1"/>
      <w:marLeft w:val="0"/>
      <w:marRight w:val="0"/>
      <w:marTop w:val="0"/>
      <w:marBottom w:val="0"/>
      <w:divBdr>
        <w:top w:val="none" w:sz="0" w:space="0" w:color="auto"/>
        <w:left w:val="none" w:sz="0" w:space="0" w:color="auto"/>
        <w:bottom w:val="none" w:sz="0" w:space="0" w:color="auto"/>
        <w:right w:val="none" w:sz="0" w:space="0" w:color="auto"/>
      </w:divBdr>
    </w:div>
    <w:div w:id="692537679">
      <w:bodyDiv w:val="1"/>
      <w:marLeft w:val="0"/>
      <w:marRight w:val="0"/>
      <w:marTop w:val="0"/>
      <w:marBottom w:val="0"/>
      <w:divBdr>
        <w:top w:val="none" w:sz="0" w:space="0" w:color="auto"/>
        <w:left w:val="none" w:sz="0" w:space="0" w:color="auto"/>
        <w:bottom w:val="none" w:sz="0" w:space="0" w:color="auto"/>
        <w:right w:val="none" w:sz="0" w:space="0" w:color="auto"/>
      </w:divBdr>
      <w:divsChild>
        <w:div w:id="1498611956">
          <w:marLeft w:val="0"/>
          <w:marRight w:val="0"/>
          <w:marTop w:val="0"/>
          <w:marBottom w:val="0"/>
          <w:divBdr>
            <w:top w:val="none" w:sz="0" w:space="0" w:color="auto"/>
            <w:left w:val="none" w:sz="0" w:space="0" w:color="auto"/>
            <w:bottom w:val="none" w:sz="0" w:space="0" w:color="auto"/>
            <w:right w:val="none" w:sz="0" w:space="0" w:color="auto"/>
          </w:divBdr>
          <w:divsChild>
            <w:div w:id="1749838514">
              <w:marLeft w:val="0"/>
              <w:marRight w:val="0"/>
              <w:marTop w:val="0"/>
              <w:marBottom w:val="0"/>
              <w:divBdr>
                <w:top w:val="none" w:sz="0" w:space="0" w:color="auto"/>
                <w:left w:val="none" w:sz="0" w:space="0" w:color="auto"/>
                <w:bottom w:val="none" w:sz="0" w:space="0" w:color="auto"/>
                <w:right w:val="none" w:sz="0" w:space="0" w:color="auto"/>
              </w:divBdr>
              <w:divsChild>
                <w:div w:id="1358388009">
                  <w:marLeft w:val="0"/>
                  <w:marRight w:val="0"/>
                  <w:marTop w:val="0"/>
                  <w:marBottom w:val="0"/>
                  <w:divBdr>
                    <w:top w:val="none" w:sz="0" w:space="0" w:color="auto"/>
                    <w:left w:val="none" w:sz="0" w:space="0" w:color="auto"/>
                    <w:bottom w:val="none" w:sz="0" w:space="0" w:color="auto"/>
                    <w:right w:val="none" w:sz="0" w:space="0" w:color="auto"/>
                  </w:divBdr>
                  <w:divsChild>
                    <w:div w:id="156461231">
                      <w:marLeft w:val="0"/>
                      <w:marRight w:val="0"/>
                      <w:marTop w:val="0"/>
                      <w:marBottom w:val="0"/>
                      <w:divBdr>
                        <w:top w:val="none" w:sz="0" w:space="0" w:color="auto"/>
                        <w:left w:val="none" w:sz="0" w:space="0" w:color="auto"/>
                        <w:bottom w:val="none" w:sz="0" w:space="0" w:color="auto"/>
                        <w:right w:val="none" w:sz="0" w:space="0" w:color="auto"/>
                      </w:divBdr>
                    </w:div>
                    <w:div w:id="5797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036215">
      <w:bodyDiv w:val="1"/>
      <w:marLeft w:val="0"/>
      <w:marRight w:val="0"/>
      <w:marTop w:val="0"/>
      <w:marBottom w:val="0"/>
      <w:divBdr>
        <w:top w:val="none" w:sz="0" w:space="0" w:color="auto"/>
        <w:left w:val="none" w:sz="0" w:space="0" w:color="auto"/>
        <w:bottom w:val="none" w:sz="0" w:space="0" w:color="auto"/>
        <w:right w:val="none" w:sz="0" w:space="0" w:color="auto"/>
      </w:divBdr>
    </w:div>
    <w:div w:id="701053669">
      <w:bodyDiv w:val="1"/>
      <w:marLeft w:val="0"/>
      <w:marRight w:val="0"/>
      <w:marTop w:val="0"/>
      <w:marBottom w:val="0"/>
      <w:divBdr>
        <w:top w:val="none" w:sz="0" w:space="0" w:color="auto"/>
        <w:left w:val="none" w:sz="0" w:space="0" w:color="auto"/>
        <w:bottom w:val="none" w:sz="0" w:space="0" w:color="auto"/>
        <w:right w:val="none" w:sz="0" w:space="0" w:color="auto"/>
      </w:divBdr>
    </w:div>
    <w:div w:id="706564566">
      <w:bodyDiv w:val="1"/>
      <w:marLeft w:val="0"/>
      <w:marRight w:val="0"/>
      <w:marTop w:val="0"/>
      <w:marBottom w:val="0"/>
      <w:divBdr>
        <w:top w:val="none" w:sz="0" w:space="0" w:color="auto"/>
        <w:left w:val="none" w:sz="0" w:space="0" w:color="auto"/>
        <w:bottom w:val="none" w:sz="0" w:space="0" w:color="auto"/>
        <w:right w:val="none" w:sz="0" w:space="0" w:color="auto"/>
      </w:divBdr>
    </w:div>
    <w:div w:id="709183282">
      <w:bodyDiv w:val="1"/>
      <w:marLeft w:val="0"/>
      <w:marRight w:val="0"/>
      <w:marTop w:val="0"/>
      <w:marBottom w:val="0"/>
      <w:divBdr>
        <w:top w:val="none" w:sz="0" w:space="0" w:color="auto"/>
        <w:left w:val="none" w:sz="0" w:space="0" w:color="auto"/>
        <w:bottom w:val="none" w:sz="0" w:space="0" w:color="auto"/>
        <w:right w:val="none" w:sz="0" w:space="0" w:color="auto"/>
      </w:divBdr>
    </w:div>
    <w:div w:id="742024672">
      <w:bodyDiv w:val="1"/>
      <w:marLeft w:val="0"/>
      <w:marRight w:val="0"/>
      <w:marTop w:val="0"/>
      <w:marBottom w:val="0"/>
      <w:divBdr>
        <w:top w:val="none" w:sz="0" w:space="0" w:color="auto"/>
        <w:left w:val="none" w:sz="0" w:space="0" w:color="auto"/>
        <w:bottom w:val="none" w:sz="0" w:space="0" w:color="auto"/>
        <w:right w:val="none" w:sz="0" w:space="0" w:color="auto"/>
      </w:divBdr>
      <w:divsChild>
        <w:div w:id="810826343">
          <w:marLeft w:val="0"/>
          <w:marRight w:val="0"/>
          <w:marTop w:val="0"/>
          <w:marBottom w:val="0"/>
          <w:divBdr>
            <w:top w:val="none" w:sz="0" w:space="0" w:color="auto"/>
            <w:left w:val="none" w:sz="0" w:space="0" w:color="auto"/>
            <w:bottom w:val="none" w:sz="0" w:space="0" w:color="auto"/>
            <w:right w:val="none" w:sz="0" w:space="0" w:color="auto"/>
          </w:divBdr>
          <w:divsChild>
            <w:div w:id="737367094">
              <w:marLeft w:val="0"/>
              <w:marRight w:val="0"/>
              <w:marTop w:val="0"/>
              <w:marBottom w:val="0"/>
              <w:divBdr>
                <w:top w:val="none" w:sz="0" w:space="0" w:color="auto"/>
                <w:left w:val="none" w:sz="0" w:space="0" w:color="auto"/>
                <w:bottom w:val="none" w:sz="0" w:space="0" w:color="auto"/>
                <w:right w:val="none" w:sz="0" w:space="0" w:color="auto"/>
              </w:divBdr>
              <w:divsChild>
                <w:div w:id="97415103">
                  <w:marLeft w:val="0"/>
                  <w:marRight w:val="0"/>
                  <w:marTop w:val="0"/>
                  <w:marBottom w:val="0"/>
                  <w:divBdr>
                    <w:top w:val="none" w:sz="0" w:space="0" w:color="auto"/>
                    <w:left w:val="none" w:sz="0" w:space="0" w:color="auto"/>
                    <w:bottom w:val="none" w:sz="0" w:space="0" w:color="auto"/>
                    <w:right w:val="none" w:sz="0" w:space="0" w:color="auto"/>
                  </w:divBdr>
                  <w:divsChild>
                    <w:div w:id="11786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3855">
      <w:bodyDiv w:val="1"/>
      <w:marLeft w:val="0"/>
      <w:marRight w:val="0"/>
      <w:marTop w:val="0"/>
      <w:marBottom w:val="0"/>
      <w:divBdr>
        <w:top w:val="none" w:sz="0" w:space="0" w:color="auto"/>
        <w:left w:val="none" w:sz="0" w:space="0" w:color="auto"/>
        <w:bottom w:val="none" w:sz="0" w:space="0" w:color="auto"/>
        <w:right w:val="none" w:sz="0" w:space="0" w:color="auto"/>
      </w:divBdr>
      <w:divsChild>
        <w:div w:id="1560554714">
          <w:marLeft w:val="0"/>
          <w:marRight w:val="0"/>
          <w:marTop w:val="0"/>
          <w:marBottom w:val="0"/>
          <w:divBdr>
            <w:top w:val="none" w:sz="0" w:space="0" w:color="auto"/>
            <w:left w:val="none" w:sz="0" w:space="0" w:color="auto"/>
            <w:bottom w:val="none" w:sz="0" w:space="0" w:color="auto"/>
            <w:right w:val="none" w:sz="0" w:space="0" w:color="auto"/>
          </w:divBdr>
          <w:divsChild>
            <w:div w:id="1076592294">
              <w:marLeft w:val="0"/>
              <w:marRight w:val="0"/>
              <w:marTop w:val="0"/>
              <w:marBottom w:val="0"/>
              <w:divBdr>
                <w:top w:val="none" w:sz="0" w:space="0" w:color="auto"/>
                <w:left w:val="none" w:sz="0" w:space="0" w:color="auto"/>
                <w:bottom w:val="none" w:sz="0" w:space="0" w:color="auto"/>
                <w:right w:val="none" w:sz="0" w:space="0" w:color="auto"/>
              </w:divBdr>
              <w:divsChild>
                <w:div w:id="1690637332">
                  <w:marLeft w:val="0"/>
                  <w:marRight w:val="0"/>
                  <w:marTop w:val="0"/>
                  <w:marBottom w:val="0"/>
                  <w:divBdr>
                    <w:top w:val="none" w:sz="0" w:space="0" w:color="auto"/>
                    <w:left w:val="none" w:sz="0" w:space="0" w:color="auto"/>
                    <w:bottom w:val="none" w:sz="0" w:space="0" w:color="auto"/>
                    <w:right w:val="none" w:sz="0" w:space="0" w:color="auto"/>
                  </w:divBdr>
                  <w:divsChild>
                    <w:div w:id="14439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346712">
      <w:bodyDiv w:val="1"/>
      <w:marLeft w:val="0"/>
      <w:marRight w:val="0"/>
      <w:marTop w:val="0"/>
      <w:marBottom w:val="0"/>
      <w:divBdr>
        <w:top w:val="none" w:sz="0" w:space="0" w:color="auto"/>
        <w:left w:val="none" w:sz="0" w:space="0" w:color="auto"/>
        <w:bottom w:val="none" w:sz="0" w:space="0" w:color="auto"/>
        <w:right w:val="none" w:sz="0" w:space="0" w:color="auto"/>
      </w:divBdr>
      <w:divsChild>
        <w:div w:id="968439870">
          <w:marLeft w:val="0"/>
          <w:marRight w:val="0"/>
          <w:marTop w:val="0"/>
          <w:marBottom w:val="0"/>
          <w:divBdr>
            <w:top w:val="none" w:sz="0" w:space="0" w:color="auto"/>
            <w:left w:val="none" w:sz="0" w:space="0" w:color="auto"/>
            <w:bottom w:val="none" w:sz="0" w:space="0" w:color="auto"/>
            <w:right w:val="none" w:sz="0" w:space="0" w:color="auto"/>
          </w:divBdr>
          <w:divsChild>
            <w:div w:id="152182541">
              <w:marLeft w:val="0"/>
              <w:marRight w:val="0"/>
              <w:marTop w:val="0"/>
              <w:marBottom w:val="0"/>
              <w:divBdr>
                <w:top w:val="none" w:sz="0" w:space="0" w:color="auto"/>
                <w:left w:val="none" w:sz="0" w:space="0" w:color="auto"/>
                <w:bottom w:val="none" w:sz="0" w:space="0" w:color="auto"/>
                <w:right w:val="none" w:sz="0" w:space="0" w:color="auto"/>
              </w:divBdr>
              <w:divsChild>
                <w:div w:id="9281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248757">
      <w:bodyDiv w:val="1"/>
      <w:marLeft w:val="0"/>
      <w:marRight w:val="0"/>
      <w:marTop w:val="0"/>
      <w:marBottom w:val="0"/>
      <w:divBdr>
        <w:top w:val="none" w:sz="0" w:space="0" w:color="auto"/>
        <w:left w:val="none" w:sz="0" w:space="0" w:color="auto"/>
        <w:bottom w:val="none" w:sz="0" w:space="0" w:color="auto"/>
        <w:right w:val="none" w:sz="0" w:space="0" w:color="auto"/>
      </w:divBdr>
      <w:divsChild>
        <w:div w:id="179701481">
          <w:marLeft w:val="0"/>
          <w:marRight w:val="0"/>
          <w:marTop w:val="0"/>
          <w:marBottom w:val="0"/>
          <w:divBdr>
            <w:top w:val="none" w:sz="0" w:space="0" w:color="auto"/>
            <w:left w:val="none" w:sz="0" w:space="0" w:color="auto"/>
            <w:bottom w:val="none" w:sz="0" w:space="0" w:color="auto"/>
            <w:right w:val="none" w:sz="0" w:space="0" w:color="auto"/>
          </w:divBdr>
          <w:divsChild>
            <w:div w:id="1270547233">
              <w:marLeft w:val="0"/>
              <w:marRight w:val="0"/>
              <w:marTop w:val="0"/>
              <w:marBottom w:val="0"/>
              <w:divBdr>
                <w:top w:val="none" w:sz="0" w:space="0" w:color="auto"/>
                <w:left w:val="none" w:sz="0" w:space="0" w:color="auto"/>
                <w:bottom w:val="none" w:sz="0" w:space="0" w:color="auto"/>
                <w:right w:val="none" w:sz="0" w:space="0" w:color="auto"/>
              </w:divBdr>
              <w:divsChild>
                <w:div w:id="211131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72903">
      <w:bodyDiv w:val="1"/>
      <w:marLeft w:val="0"/>
      <w:marRight w:val="0"/>
      <w:marTop w:val="0"/>
      <w:marBottom w:val="0"/>
      <w:divBdr>
        <w:top w:val="none" w:sz="0" w:space="0" w:color="auto"/>
        <w:left w:val="none" w:sz="0" w:space="0" w:color="auto"/>
        <w:bottom w:val="none" w:sz="0" w:space="0" w:color="auto"/>
        <w:right w:val="none" w:sz="0" w:space="0" w:color="auto"/>
      </w:divBdr>
    </w:div>
    <w:div w:id="920336647">
      <w:bodyDiv w:val="1"/>
      <w:marLeft w:val="0"/>
      <w:marRight w:val="0"/>
      <w:marTop w:val="0"/>
      <w:marBottom w:val="0"/>
      <w:divBdr>
        <w:top w:val="none" w:sz="0" w:space="0" w:color="auto"/>
        <w:left w:val="none" w:sz="0" w:space="0" w:color="auto"/>
        <w:bottom w:val="none" w:sz="0" w:space="0" w:color="auto"/>
        <w:right w:val="none" w:sz="0" w:space="0" w:color="auto"/>
      </w:divBdr>
    </w:div>
    <w:div w:id="930504248">
      <w:bodyDiv w:val="1"/>
      <w:marLeft w:val="0"/>
      <w:marRight w:val="0"/>
      <w:marTop w:val="0"/>
      <w:marBottom w:val="0"/>
      <w:divBdr>
        <w:top w:val="none" w:sz="0" w:space="0" w:color="auto"/>
        <w:left w:val="none" w:sz="0" w:space="0" w:color="auto"/>
        <w:bottom w:val="none" w:sz="0" w:space="0" w:color="auto"/>
        <w:right w:val="none" w:sz="0" w:space="0" w:color="auto"/>
      </w:divBdr>
      <w:divsChild>
        <w:div w:id="1437824874">
          <w:marLeft w:val="0"/>
          <w:marRight w:val="0"/>
          <w:marTop w:val="0"/>
          <w:marBottom w:val="0"/>
          <w:divBdr>
            <w:top w:val="none" w:sz="0" w:space="0" w:color="auto"/>
            <w:left w:val="none" w:sz="0" w:space="0" w:color="auto"/>
            <w:bottom w:val="none" w:sz="0" w:space="0" w:color="auto"/>
            <w:right w:val="none" w:sz="0" w:space="0" w:color="auto"/>
          </w:divBdr>
          <w:divsChild>
            <w:div w:id="515848779">
              <w:marLeft w:val="0"/>
              <w:marRight w:val="0"/>
              <w:marTop w:val="0"/>
              <w:marBottom w:val="0"/>
              <w:divBdr>
                <w:top w:val="none" w:sz="0" w:space="0" w:color="auto"/>
                <w:left w:val="none" w:sz="0" w:space="0" w:color="auto"/>
                <w:bottom w:val="none" w:sz="0" w:space="0" w:color="auto"/>
                <w:right w:val="none" w:sz="0" w:space="0" w:color="auto"/>
              </w:divBdr>
              <w:divsChild>
                <w:div w:id="3364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135750">
      <w:bodyDiv w:val="1"/>
      <w:marLeft w:val="0"/>
      <w:marRight w:val="0"/>
      <w:marTop w:val="0"/>
      <w:marBottom w:val="0"/>
      <w:divBdr>
        <w:top w:val="none" w:sz="0" w:space="0" w:color="auto"/>
        <w:left w:val="none" w:sz="0" w:space="0" w:color="auto"/>
        <w:bottom w:val="none" w:sz="0" w:space="0" w:color="auto"/>
        <w:right w:val="none" w:sz="0" w:space="0" w:color="auto"/>
      </w:divBdr>
      <w:divsChild>
        <w:div w:id="2142259153">
          <w:marLeft w:val="1080"/>
          <w:marRight w:val="0"/>
          <w:marTop w:val="100"/>
          <w:marBottom w:val="0"/>
          <w:divBdr>
            <w:top w:val="none" w:sz="0" w:space="0" w:color="auto"/>
            <w:left w:val="none" w:sz="0" w:space="0" w:color="auto"/>
            <w:bottom w:val="none" w:sz="0" w:space="0" w:color="auto"/>
            <w:right w:val="none" w:sz="0" w:space="0" w:color="auto"/>
          </w:divBdr>
        </w:div>
      </w:divsChild>
    </w:div>
    <w:div w:id="958879495">
      <w:bodyDiv w:val="1"/>
      <w:marLeft w:val="0"/>
      <w:marRight w:val="0"/>
      <w:marTop w:val="0"/>
      <w:marBottom w:val="0"/>
      <w:divBdr>
        <w:top w:val="none" w:sz="0" w:space="0" w:color="auto"/>
        <w:left w:val="none" w:sz="0" w:space="0" w:color="auto"/>
        <w:bottom w:val="none" w:sz="0" w:space="0" w:color="auto"/>
        <w:right w:val="none" w:sz="0" w:space="0" w:color="auto"/>
      </w:divBdr>
      <w:divsChild>
        <w:div w:id="999309121">
          <w:marLeft w:val="0"/>
          <w:marRight w:val="0"/>
          <w:marTop w:val="0"/>
          <w:marBottom w:val="0"/>
          <w:divBdr>
            <w:top w:val="none" w:sz="0" w:space="0" w:color="auto"/>
            <w:left w:val="none" w:sz="0" w:space="0" w:color="auto"/>
            <w:bottom w:val="none" w:sz="0" w:space="0" w:color="auto"/>
            <w:right w:val="none" w:sz="0" w:space="0" w:color="auto"/>
          </w:divBdr>
          <w:divsChild>
            <w:div w:id="516043951">
              <w:marLeft w:val="0"/>
              <w:marRight w:val="0"/>
              <w:marTop w:val="0"/>
              <w:marBottom w:val="0"/>
              <w:divBdr>
                <w:top w:val="none" w:sz="0" w:space="0" w:color="auto"/>
                <w:left w:val="none" w:sz="0" w:space="0" w:color="auto"/>
                <w:bottom w:val="none" w:sz="0" w:space="0" w:color="auto"/>
                <w:right w:val="none" w:sz="0" w:space="0" w:color="auto"/>
              </w:divBdr>
              <w:divsChild>
                <w:div w:id="1850562063">
                  <w:marLeft w:val="0"/>
                  <w:marRight w:val="0"/>
                  <w:marTop w:val="0"/>
                  <w:marBottom w:val="0"/>
                  <w:divBdr>
                    <w:top w:val="none" w:sz="0" w:space="0" w:color="auto"/>
                    <w:left w:val="none" w:sz="0" w:space="0" w:color="auto"/>
                    <w:bottom w:val="none" w:sz="0" w:space="0" w:color="auto"/>
                    <w:right w:val="none" w:sz="0" w:space="0" w:color="auto"/>
                  </w:divBdr>
                  <w:divsChild>
                    <w:div w:id="8946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745835">
      <w:bodyDiv w:val="1"/>
      <w:marLeft w:val="0"/>
      <w:marRight w:val="0"/>
      <w:marTop w:val="0"/>
      <w:marBottom w:val="0"/>
      <w:divBdr>
        <w:top w:val="none" w:sz="0" w:space="0" w:color="auto"/>
        <w:left w:val="none" w:sz="0" w:space="0" w:color="auto"/>
        <w:bottom w:val="none" w:sz="0" w:space="0" w:color="auto"/>
        <w:right w:val="none" w:sz="0" w:space="0" w:color="auto"/>
      </w:divBdr>
      <w:divsChild>
        <w:div w:id="1993093268">
          <w:marLeft w:val="0"/>
          <w:marRight w:val="0"/>
          <w:marTop w:val="0"/>
          <w:marBottom w:val="0"/>
          <w:divBdr>
            <w:top w:val="none" w:sz="0" w:space="0" w:color="auto"/>
            <w:left w:val="none" w:sz="0" w:space="0" w:color="auto"/>
            <w:bottom w:val="none" w:sz="0" w:space="0" w:color="auto"/>
            <w:right w:val="none" w:sz="0" w:space="0" w:color="auto"/>
          </w:divBdr>
          <w:divsChild>
            <w:div w:id="1122269172">
              <w:marLeft w:val="0"/>
              <w:marRight w:val="0"/>
              <w:marTop w:val="0"/>
              <w:marBottom w:val="0"/>
              <w:divBdr>
                <w:top w:val="none" w:sz="0" w:space="0" w:color="auto"/>
                <w:left w:val="none" w:sz="0" w:space="0" w:color="auto"/>
                <w:bottom w:val="none" w:sz="0" w:space="0" w:color="auto"/>
                <w:right w:val="none" w:sz="0" w:space="0" w:color="auto"/>
              </w:divBdr>
              <w:divsChild>
                <w:div w:id="117364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7376">
      <w:bodyDiv w:val="1"/>
      <w:marLeft w:val="0"/>
      <w:marRight w:val="0"/>
      <w:marTop w:val="0"/>
      <w:marBottom w:val="0"/>
      <w:divBdr>
        <w:top w:val="none" w:sz="0" w:space="0" w:color="auto"/>
        <w:left w:val="none" w:sz="0" w:space="0" w:color="auto"/>
        <w:bottom w:val="none" w:sz="0" w:space="0" w:color="auto"/>
        <w:right w:val="none" w:sz="0" w:space="0" w:color="auto"/>
      </w:divBdr>
      <w:divsChild>
        <w:div w:id="268318168">
          <w:marLeft w:val="0"/>
          <w:marRight w:val="0"/>
          <w:marTop w:val="0"/>
          <w:marBottom w:val="0"/>
          <w:divBdr>
            <w:top w:val="none" w:sz="0" w:space="0" w:color="auto"/>
            <w:left w:val="none" w:sz="0" w:space="0" w:color="auto"/>
            <w:bottom w:val="none" w:sz="0" w:space="0" w:color="auto"/>
            <w:right w:val="none" w:sz="0" w:space="0" w:color="auto"/>
          </w:divBdr>
          <w:divsChild>
            <w:div w:id="183792508">
              <w:marLeft w:val="0"/>
              <w:marRight w:val="0"/>
              <w:marTop w:val="0"/>
              <w:marBottom w:val="0"/>
              <w:divBdr>
                <w:top w:val="none" w:sz="0" w:space="0" w:color="auto"/>
                <w:left w:val="none" w:sz="0" w:space="0" w:color="auto"/>
                <w:bottom w:val="none" w:sz="0" w:space="0" w:color="auto"/>
                <w:right w:val="none" w:sz="0" w:space="0" w:color="auto"/>
              </w:divBdr>
              <w:divsChild>
                <w:div w:id="21447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67569">
      <w:bodyDiv w:val="1"/>
      <w:marLeft w:val="0"/>
      <w:marRight w:val="0"/>
      <w:marTop w:val="0"/>
      <w:marBottom w:val="0"/>
      <w:divBdr>
        <w:top w:val="none" w:sz="0" w:space="0" w:color="auto"/>
        <w:left w:val="none" w:sz="0" w:space="0" w:color="auto"/>
        <w:bottom w:val="none" w:sz="0" w:space="0" w:color="auto"/>
        <w:right w:val="none" w:sz="0" w:space="0" w:color="auto"/>
      </w:divBdr>
    </w:div>
    <w:div w:id="1093402711">
      <w:bodyDiv w:val="1"/>
      <w:marLeft w:val="0"/>
      <w:marRight w:val="0"/>
      <w:marTop w:val="0"/>
      <w:marBottom w:val="0"/>
      <w:divBdr>
        <w:top w:val="none" w:sz="0" w:space="0" w:color="auto"/>
        <w:left w:val="none" w:sz="0" w:space="0" w:color="auto"/>
        <w:bottom w:val="none" w:sz="0" w:space="0" w:color="auto"/>
        <w:right w:val="none" w:sz="0" w:space="0" w:color="auto"/>
      </w:divBdr>
      <w:divsChild>
        <w:div w:id="158738767">
          <w:marLeft w:val="0"/>
          <w:marRight w:val="0"/>
          <w:marTop w:val="0"/>
          <w:marBottom w:val="0"/>
          <w:divBdr>
            <w:top w:val="none" w:sz="0" w:space="0" w:color="auto"/>
            <w:left w:val="none" w:sz="0" w:space="0" w:color="auto"/>
            <w:bottom w:val="none" w:sz="0" w:space="0" w:color="auto"/>
            <w:right w:val="none" w:sz="0" w:space="0" w:color="auto"/>
          </w:divBdr>
          <w:divsChild>
            <w:div w:id="1712266682">
              <w:marLeft w:val="0"/>
              <w:marRight w:val="0"/>
              <w:marTop w:val="0"/>
              <w:marBottom w:val="0"/>
              <w:divBdr>
                <w:top w:val="none" w:sz="0" w:space="0" w:color="auto"/>
                <w:left w:val="none" w:sz="0" w:space="0" w:color="auto"/>
                <w:bottom w:val="none" w:sz="0" w:space="0" w:color="auto"/>
                <w:right w:val="none" w:sz="0" w:space="0" w:color="auto"/>
              </w:divBdr>
              <w:divsChild>
                <w:div w:id="10200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50802">
      <w:bodyDiv w:val="1"/>
      <w:marLeft w:val="0"/>
      <w:marRight w:val="0"/>
      <w:marTop w:val="0"/>
      <w:marBottom w:val="0"/>
      <w:divBdr>
        <w:top w:val="none" w:sz="0" w:space="0" w:color="auto"/>
        <w:left w:val="none" w:sz="0" w:space="0" w:color="auto"/>
        <w:bottom w:val="none" w:sz="0" w:space="0" w:color="auto"/>
        <w:right w:val="none" w:sz="0" w:space="0" w:color="auto"/>
      </w:divBdr>
    </w:div>
    <w:div w:id="1168834781">
      <w:bodyDiv w:val="1"/>
      <w:marLeft w:val="0"/>
      <w:marRight w:val="0"/>
      <w:marTop w:val="0"/>
      <w:marBottom w:val="0"/>
      <w:divBdr>
        <w:top w:val="none" w:sz="0" w:space="0" w:color="auto"/>
        <w:left w:val="none" w:sz="0" w:space="0" w:color="auto"/>
        <w:bottom w:val="none" w:sz="0" w:space="0" w:color="auto"/>
        <w:right w:val="none" w:sz="0" w:space="0" w:color="auto"/>
      </w:divBdr>
    </w:div>
    <w:div w:id="1176113997">
      <w:bodyDiv w:val="1"/>
      <w:marLeft w:val="0"/>
      <w:marRight w:val="0"/>
      <w:marTop w:val="0"/>
      <w:marBottom w:val="0"/>
      <w:divBdr>
        <w:top w:val="none" w:sz="0" w:space="0" w:color="auto"/>
        <w:left w:val="none" w:sz="0" w:space="0" w:color="auto"/>
        <w:bottom w:val="none" w:sz="0" w:space="0" w:color="auto"/>
        <w:right w:val="none" w:sz="0" w:space="0" w:color="auto"/>
      </w:divBdr>
    </w:div>
    <w:div w:id="1194222172">
      <w:bodyDiv w:val="1"/>
      <w:marLeft w:val="0"/>
      <w:marRight w:val="0"/>
      <w:marTop w:val="0"/>
      <w:marBottom w:val="0"/>
      <w:divBdr>
        <w:top w:val="none" w:sz="0" w:space="0" w:color="auto"/>
        <w:left w:val="none" w:sz="0" w:space="0" w:color="auto"/>
        <w:bottom w:val="none" w:sz="0" w:space="0" w:color="auto"/>
        <w:right w:val="none" w:sz="0" w:space="0" w:color="auto"/>
      </w:divBdr>
    </w:div>
    <w:div w:id="1240099374">
      <w:bodyDiv w:val="1"/>
      <w:marLeft w:val="0"/>
      <w:marRight w:val="0"/>
      <w:marTop w:val="0"/>
      <w:marBottom w:val="0"/>
      <w:divBdr>
        <w:top w:val="none" w:sz="0" w:space="0" w:color="auto"/>
        <w:left w:val="none" w:sz="0" w:space="0" w:color="auto"/>
        <w:bottom w:val="none" w:sz="0" w:space="0" w:color="auto"/>
        <w:right w:val="none" w:sz="0" w:space="0" w:color="auto"/>
      </w:divBdr>
    </w:div>
    <w:div w:id="1245728302">
      <w:bodyDiv w:val="1"/>
      <w:marLeft w:val="0"/>
      <w:marRight w:val="0"/>
      <w:marTop w:val="0"/>
      <w:marBottom w:val="0"/>
      <w:divBdr>
        <w:top w:val="none" w:sz="0" w:space="0" w:color="auto"/>
        <w:left w:val="none" w:sz="0" w:space="0" w:color="auto"/>
        <w:bottom w:val="none" w:sz="0" w:space="0" w:color="auto"/>
        <w:right w:val="none" w:sz="0" w:space="0" w:color="auto"/>
      </w:divBdr>
    </w:div>
    <w:div w:id="1249264558">
      <w:bodyDiv w:val="1"/>
      <w:marLeft w:val="0"/>
      <w:marRight w:val="0"/>
      <w:marTop w:val="0"/>
      <w:marBottom w:val="0"/>
      <w:divBdr>
        <w:top w:val="none" w:sz="0" w:space="0" w:color="auto"/>
        <w:left w:val="none" w:sz="0" w:space="0" w:color="auto"/>
        <w:bottom w:val="none" w:sz="0" w:space="0" w:color="auto"/>
        <w:right w:val="none" w:sz="0" w:space="0" w:color="auto"/>
      </w:divBdr>
      <w:divsChild>
        <w:div w:id="1615206901">
          <w:marLeft w:val="0"/>
          <w:marRight w:val="0"/>
          <w:marTop w:val="0"/>
          <w:marBottom w:val="0"/>
          <w:divBdr>
            <w:top w:val="none" w:sz="0" w:space="0" w:color="auto"/>
            <w:left w:val="none" w:sz="0" w:space="0" w:color="auto"/>
            <w:bottom w:val="none" w:sz="0" w:space="0" w:color="auto"/>
            <w:right w:val="none" w:sz="0" w:space="0" w:color="auto"/>
          </w:divBdr>
          <w:divsChild>
            <w:div w:id="1629706202">
              <w:marLeft w:val="0"/>
              <w:marRight w:val="0"/>
              <w:marTop w:val="0"/>
              <w:marBottom w:val="0"/>
              <w:divBdr>
                <w:top w:val="none" w:sz="0" w:space="0" w:color="auto"/>
                <w:left w:val="none" w:sz="0" w:space="0" w:color="auto"/>
                <w:bottom w:val="none" w:sz="0" w:space="0" w:color="auto"/>
                <w:right w:val="none" w:sz="0" w:space="0" w:color="auto"/>
              </w:divBdr>
              <w:divsChild>
                <w:div w:id="10592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42421">
      <w:bodyDiv w:val="1"/>
      <w:marLeft w:val="0"/>
      <w:marRight w:val="0"/>
      <w:marTop w:val="0"/>
      <w:marBottom w:val="0"/>
      <w:divBdr>
        <w:top w:val="none" w:sz="0" w:space="0" w:color="auto"/>
        <w:left w:val="none" w:sz="0" w:space="0" w:color="auto"/>
        <w:bottom w:val="none" w:sz="0" w:space="0" w:color="auto"/>
        <w:right w:val="none" w:sz="0" w:space="0" w:color="auto"/>
      </w:divBdr>
      <w:divsChild>
        <w:div w:id="693270078">
          <w:marLeft w:val="0"/>
          <w:marRight w:val="0"/>
          <w:marTop w:val="0"/>
          <w:marBottom w:val="0"/>
          <w:divBdr>
            <w:top w:val="none" w:sz="0" w:space="0" w:color="auto"/>
            <w:left w:val="none" w:sz="0" w:space="0" w:color="auto"/>
            <w:bottom w:val="none" w:sz="0" w:space="0" w:color="auto"/>
            <w:right w:val="none" w:sz="0" w:space="0" w:color="auto"/>
          </w:divBdr>
          <w:divsChild>
            <w:div w:id="479276850">
              <w:marLeft w:val="0"/>
              <w:marRight w:val="0"/>
              <w:marTop w:val="0"/>
              <w:marBottom w:val="0"/>
              <w:divBdr>
                <w:top w:val="none" w:sz="0" w:space="0" w:color="auto"/>
                <w:left w:val="none" w:sz="0" w:space="0" w:color="auto"/>
                <w:bottom w:val="none" w:sz="0" w:space="0" w:color="auto"/>
                <w:right w:val="none" w:sz="0" w:space="0" w:color="auto"/>
              </w:divBdr>
              <w:divsChild>
                <w:div w:id="6409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06348">
      <w:bodyDiv w:val="1"/>
      <w:marLeft w:val="0"/>
      <w:marRight w:val="0"/>
      <w:marTop w:val="0"/>
      <w:marBottom w:val="0"/>
      <w:divBdr>
        <w:top w:val="none" w:sz="0" w:space="0" w:color="auto"/>
        <w:left w:val="none" w:sz="0" w:space="0" w:color="auto"/>
        <w:bottom w:val="none" w:sz="0" w:space="0" w:color="auto"/>
        <w:right w:val="none" w:sz="0" w:space="0" w:color="auto"/>
      </w:divBdr>
    </w:div>
    <w:div w:id="1297371909">
      <w:bodyDiv w:val="1"/>
      <w:marLeft w:val="0"/>
      <w:marRight w:val="0"/>
      <w:marTop w:val="0"/>
      <w:marBottom w:val="0"/>
      <w:divBdr>
        <w:top w:val="none" w:sz="0" w:space="0" w:color="auto"/>
        <w:left w:val="none" w:sz="0" w:space="0" w:color="auto"/>
        <w:bottom w:val="none" w:sz="0" w:space="0" w:color="auto"/>
        <w:right w:val="none" w:sz="0" w:space="0" w:color="auto"/>
      </w:divBdr>
      <w:divsChild>
        <w:div w:id="450056029">
          <w:marLeft w:val="0"/>
          <w:marRight w:val="0"/>
          <w:marTop w:val="0"/>
          <w:marBottom w:val="0"/>
          <w:divBdr>
            <w:top w:val="none" w:sz="0" w:space="0" w:color="auto"/>
            <w:left w:val="none" w:sz="0" w:space="0" w:color="auto"/>
            <w:bottom w:val="none" w:sz="0" w:space="0" w:color="auto"/>
            <w:right w:val="none" w:sz="0" w:space="0" w:color="auto"/>
          </w:divBdr>
          <w:divsChild>
            <w:div w:id="91753373">
              <w:marLeft w:val="0"/>
              <w:marRight w:val="0"/>
              <w:marTop w:val="0"/>
              <w:marBottom w:val="0"/>
              <w:divBdr>
                <w:top w:val="none" w:sz="0" w:space="0" w:color="auto"/>
                <w:left w:val="none" w:sz="0" w:space="0" w:color="auto"/>
                <w:bottom w:val="none" w:sz="0" w:space="0" w:color="auto"/>
                <w:right w:val="none" w:sz="0" w:space="0" w:color="auto"/>
              </w:divBdr>
              <w:divsChild>
                <w:div w:id="712383847">
                  <w:marLeft w:val="0"/>
                  <w:marRight w:val="0"/>
                  <w:marTop w:val="0"/>
                  <w:marBottom w:val="0"/>
                  <w:divBdr>
                    <w:top w:val="none" w:sz="0" w:space="0" w:color="auto"/>
                    <w:left w:val="none" w:sz="0" w:space="0" w:color="auto"/>
                    <w:bottom w:val="none" w:sz="0" w:space="0" w:color="auto"/>
                    <w:right w:val="none" w:sz="0" w:space="0" w:color="auto"/>
                  </w:divBdr>
                  <w:divsChild>
                    <w:div w:id="11779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03817">
      <w:bodyDiv w:val="1"/>
      <w:marLeft w:val="0"/>
      <w:marRight w:val="0"/>
      <w:marTop w:val="0"/>
      <w:marBottom w:val="0"/>
      <w:divBdr>
        <w:top w:val="none" w:sz="0" w:space="0" w:color="auto"/>
        <w:left w:val="none" w:sz="0" w:space="0" w:color="auto"/>
        <w:bottom w:val="none" w:sz="0" w:space="0" w:color="auto"/>
        <w:right w:val="none" w:sz="0" w:space="0" w:color="auto"/>
      </w:divBdr>
    </w:div>
    <w:div w:id="1350644021">
      <w:bodyDiv w:val="1"/>
      <w:marLeft w:val="0"/>
      <w:marRight w:val="0"/>
      <w:marTop w:val="0"/>
      <w:marBottom w:val="0"/>
      <w:divBdr>
        <w:top w:val="none" w:sz="0" w:space="0" w:color="auto"/>
        <w:left w:val="none" w:sz="0" w:space="0" w:color="auto"/>
        <w:bottom w:val="none" w:sz="0" w:space="0" w:color="auto"/>
        <w:right w:val="none" w:sz="0" w:space="0" w:color="auto"/>
      </w:divBdr>
      <w:divsChild>
        <w:div w:id="1770003153">
          <w:marLeft w:val="0"/>
          <w:marRight w:val="0"/>
          <w:marTop w:val="0"/>
          <w:marBottom w:val="0"/>
          <w:divBdr>
            <w:top w:val="none" w:sz="0" w:space="0" w:color="auto"/>
            <w:left w:val="none" w:sz="0" w:space="0" w:color="auto"/>
            <w:bottom w:val="none" w:sz="0" w:space="0" w:color="auto"/>
            <w:right w:val="none" w:sz="0" w:space="0" w:color="auto"/>
          </w:divBdr>
          <w:divsChild>
            <w:div w:id="282423570">
              <w:marLeft w:val="0"/>
              <w:marRight w:val="0"/>
              <w:marTop w:val="0"/>
              <w:marBottom w:val="0"/>
              <w:divBdr>
                <w:top w:val="none" w:sz="0" w:space="0" w:color="auto"/>
                <w:left w:val="none" w:sz="0" w:space="0" w:color="auto"/>
                <w:bottom w:val="none" w:sz="0" w:space="0" w:color="auto"/>
                <w:right w:val="none" w:sz="0" w:space="0" w:color="auto"/>
              </w:divBdr>
              <w:divsChild>
                <w:div w:id="498693309">
                  <w:marLeft w:val="0"/>
                  <w:marRight w:val="0"/>
                  <w:marTop w:val="0"/>
                  <w:marBottom w:val="0"/>
                  <w:divBdr>
                    <w:top w:val="none" w:sz="0" w:space="0" w:color="auto"/>
                    <w:left w:val="none" w:sz="0" w:space="0" w:color="auto"/>
                    <w:bottom w:val="none" w:sz="0" w:space="0" w:color="auto"/>
                    <w:right w:val="none" w:sz="0" w:space="0" w:color="auto"/>
                  </w:divBdr>
                  <w:divsChild>
                    <w:div w:id="5203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461000">
      <w:bodyDiv w:val="1"/>
      <w:marLeft w:val="0"/>
      <w:marRight w:val="0"/>
      <w:marTop w:val="0"/>
      <w:marBottom w:val="0"/>
      <w:divBdr>
        <w:top w:val="none" w:sz="0" w:space="0" w:color="auto"/>
        <w:left w:val="none" w:sz="0" w:space="0" w:color="auto"/>
        <w:bottom w:val="none" w:sz="0" w:space="0" w:color="auto"/>
        <w:right w:val="none" w:sz="0" w:space="0" w:color="auto"/>
      </w:divBdr>
      <w:divsChild>
        <w:div w:id="2016809464">
          <w:marLeft w:val="0"/>
          <w:marRight w:val="0"/>
          <w:marTop w:val="0"/>
          <w:marBottom w:val="0"/>
          <w:divBdr>
            <w:top w:val="none" w:sz="0" w:space="0" w:color="auto"/>
            <w:left w:val="none" w:sz="0" w:space="0" w:color="auto"/>
            <w:bottom w:val="none" w:sz="0" w:space="0" w:color="auto"/>
            <w:right w:val="none" w:sz="0" w:space="0" w:color="auto"/>
          </w:divBdr>
          <w:divsChild>
            <w:div w:id="2066831913">
              <w:marLeft w:val="0"/>
              <w:marRight w:val="0"/>
              <w:marTop w:val="0"/>
              <w:marBottom w:val="0"/>
              <w:divBdr>
                <w:top w:val="none" w:sz="0" w:space="0" w:color="auto"/>
                <w:left w:val="none" w:sz="0" w:space="0" w:color="auto"/>
                <w:bottom w:val="none" w:sz="0" w:space="0" w:color="auto"/>
                <w:right w:val="none" w:sz="0" w:space="0" w:color="auto"/>
              </w:divBdr>
              <w:divsChild>
                <w:div w:id="8050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89849">
      <w:bodyDiv w:val="1"/>
      <w:marLeft w:val="0"/>
      <w:marRight w:val="0"/>
      <w:marTop w:val="0"/>
      <w:marBottom w:val="0"/>
      <w:divBdr>
        <w:top w:val="none" w:sz="0" w:space="0" w:color="auto"/>
        <w:left w:val="none" w:sz="0" w:space="0" w:color="auto"/>
        <w:bottom w:val="none" w:sz="0" w:space="0" w:color="auto"/>
        <w:right w:val="none" w:sz="0" w:space="0" w:color="auto"/>
      </w:divBdr>
      <w:divsChild>
        <w:div w:id="92211286">
          <w:marLeft w:val="0"/>
          <w:marRight w:val="0"/>
          <w:marTop w:val="0"/>
          <w:marBottom w:val="0"/>
          <w:divBdr>
            <w:top w:val="none" w:sz="0" w:space="0" w:color="auto"/>
            <w:left w:val="none" w:sz="0" w:space="0" w:color="auto"/>
            <w:bottom w:val="none" w:sz="0" w:space="0" w:color="auto"/>
            <w:right w:val="none" w:sz="0" w:space="0" w:color="auto"/>
          </w:divBdr>
          <w:divsChild>
            <w:div w:id="1999190424">
              <w:marLeft w:val="0"/>
              <w:marRight w:val="0"/>
              <w:marTop w:val="0"/>
              <w:marBottom w:val="0"/>
              <w:divBdr>
                <w:top w:val="none" w:sz="0" w:space="0" w:color="auto"/>
                <w:left w:val="none" w:sz="0" w:space="0" w:color="auto"/>
                <w:bottom w:val="none" w:sz="0" w:space="0" w:color="auto"/>
                <w:right w:val="none" w:sz="0" w:space="0" w:color="auto"/>
              </w:divBdr>
              <w:divsChild>
                <w:div w:id="19424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168075">
      <w:bodyDiv w:val="1"/>
      <w:marLeft w:val="0"/>
      <w:marRight w:val="0"/>
      <w:marTop w:val="0"/>
      <w:marBottom w:val="0"/>
      <w:divBdr>
        <w:top w:val="none" w:sz="0" w:space="0" w:color="auto"/>
        <w:left w:val="none" w:sz="0" w:space="0" w:color="auto"/>
        <w:bottom w:val="none" w:sz="0" w:space="0" w:color="auto"/>
        <w:right w:val="none" w:sz="0" w:space="0" w:color="auto"/>
      </w:divBdr>
    </w:div>
    <w:div w:id="1417701093">
      <w:bodyDiv w:val="1"/>
      <w:marLeft w:val="0"/>
      <w:marRight w:val="0"/>
      <w:marTop w:val="0"/>
      <w:marBottom w:val="0"/>
      <w:divBdr>
        <w:top w:val="none" w:sz="0" w:space="0" w:color="auto"/>
        <w:left w:val="none" w:sz="0" w:space="0" w:color="auto"/>
        <w:bottom w:val="none" w:sz="0" w:space="0" w:color="auto"/>
        <w:right w:val="none" w:sz="0" w:space="0" w:color="auto"/>
      </w:divBdr>
      <w:divsChild>
        <w:div w:id="636375785">
          <w:marLeft w:val="0"/>
          <w:marRight w:val="0"/>
          <w:marTop w:val="0"/>
          <w:marBottom w:val="0"/>
          <w:divBdr>
            <w:top w:val="none" w:sz="0" w:space="0" w:color="auto"/>
            <w:left w:val="none" w:sz="0" w:space="0" w:color="auto"/>
            <w:bottom w:val="none" w:sz="0" w:space="0" w:color="auto"/>
            <w:right w:val="none" w:sz="0" w:space="0" w:color="auto"/>
          </w:divBdr>
          <w:divsChild>
            <w:div w:id="1685932865">
              <w:marLeft w:val="0"/>
              <w:marRight w:val="0"/>
              <w:marTop w:val="0"/>
              <w:marBottom w:val="0"/>
              <w:divBdr>
                <w:top w:val="none" w:sz="0" w:space="0" w:color="auto"/>
                <w:left w:val="none" w:sz="0" w:space="0" w:color="auto"/>
                <w:bottom w:val="none" w:sz="0" w:space="0" w:color="auto"/>
                <w:right w:val="none" w:sz="0" w:space="0" w:color="auto"/>
              </w:divBdr>
              <w:divsChild>
                <w:div w:id="160734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231171">
      <w:bodyDiv w:val="1"/>
      <w:marLeft w:val="0"/>
      <w:marRight w:val="0"/>
      <w:marTop w:val="0"/>
      <w:marBottom w:val="0"/>
      <w:divBdr>
        <w:top w:val="none" w:sz="0" w:space="0" w:color="auto"/>
        <w:left w:val="none" w:sz="0" w:space="0" w:color="auto"/>
        <w:bottom w:val="none" w:sz="0" w:space="0" w:color="auto"/>
        <w:right w:val="none" w:sz="0" w:space="0" w:color="auto"/>
      </w:divBdr>
    </w:div>
    <w:div w:id="1452237477">
      <w:bodyDiv w:val="1"/>
      <w:marLeft w:val="0"/>
      <w:marRight w:val="0"/>
      <w:marTop w:val="0"/>
      <w:marBottom w:val="0"/>
      <w:divBdr>
        <w:top w:val="none" w:sz="0" w:space="0" w:color="auto"/>
        <w:left w:val="none" w:sz="0" w:space="0" w:color="auto"/>
        <w:bottom w:val="none" w:sz="0" w:space="0" w:color="auto"/>
        <w:right w:val="none" w:sz="0" w:space="0" w:color="auto"/>
      </w:divBdr>
    </w:div>
    <w:div w:id="1456365953">
      <w:bodyDiv w:val="1"/>
      <w:marLeft w:val="0"/>
      <w:marRight w:val="0"/>
      <w:marTop w:val="0"/>
      <w:marBottom w:val="0"/>
      <w:divBdr>
        <w:top w:val="none" w:sz="0" w:space="0" w:color="auto"/>
        <w:left w:val="none" w:sz="0" w:space="0" w:color="auto"/>
        <w:bottom w:val="none" w:sz="0" w:space="0" w:color="auto"/>
        <w:right w:val="none" w:sz="0" w:space="0" w:color="auto"/>
      </w:divBdr>
      <w:divsChild>
        <w:div w:id="1324317487">
          <w:marLeft w:val="0"/>
          <w:marRight w:val="0"/>
          <w:marTop w:val="0"/>
          <w:marBottom w:val="0"/>
          <w:divBdr>
            <w:top w:val="none" w:sz="0" w:space="0" w:color="auto"/>
            <w:left w:val="none" w:sz="0" w:space="0" w:color="auto"/>
            <w:bottom w:val="none" w:sz="0" w:space="0" w:color="auto"/>
            <w:right w:val="none" w:sz="0" w:space="0" w:color="auto"/>
          </w:divBdr>
          <w:divsChild>
            <w:div w:id="2121951568">
              <w:marLeft w:val="0"/>
              <w:marRight w:val="0"/>
              <w:marTop w:val="0"/>
              <w:marBottom w:val="0"/>
              <w:divBdr>
                <w:top w:val="none" w:sz="0" w:space="0" w:color="auto"/>
                <w:left w:val="none" w:sz="0" w:space="0" w:color="auto"/>
                <w:bottom w:val="none" w:sz="0" w:space="0" w:color="auto"/>
                <w:right w:val="none" w:sz="0" w:space="0" w:color="auto"/>
              </w:divBdr>
              <w:divsChild>
                <w:div w:id="163047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72468">
      <w:bodyDiv w:val="1"/>
      <w:marLeft w:val="0"/>
      <w:marRight w:val="0"/>
      <w:marTop w:val="0"/>
      <w:marBottom w:val="0"/>
      <w:divBdr>
        <w:top w:val="none" w:sz="0" w:space="0" w:color="auto"/>
        <w:left w:val="none" w:sz="0" w:space="0" w:color="auto"/>
        <w:bottom w:val="none" w:sz="0" w:space="0" w:color="auto"/>
        <w:right w:val="none" w:sz="0" w:space="0" w:color="auto"/>
      </w:divBdr>
      <w:divsChild>
        <w:div w:id="1612319767">
          <w:marLeft w:val="0"/>
          <w:marRight w:val="0"/>
          <w:marTop w:val="0"/>
          <w:marBottom w:val="0"/>
          <w:divBdr>
            <w:top w:val="none" w:sz="0" w:space="0" w:color="auto"/>
            <w:left w:val="none" w:sz="0" w:space="0" w:color="auto"/>
            <w:bottom w:val="none" w:sz="0" w:space="0" w:color="auto"/>
            <w:right w:val="none" w:sz="0" w:space="0" w:color="auto"/>
          </w:divBdr>
          <w:divsChild>
            <w:div w:id="1075519376">
              <w:marLeft w:val="0"/>
              <w:marRight w:val="0"/>
              <w:marTop w:val="0"/>
              <w:marBottom w:val="0"/>
              <w:divBdr>
                <w:top w:val="none" w:sz="0" w:space="0" w:color="auto"/>
                <w:left w:val="none" w:sz="0" w:space="0" w:color="auto"/>
                <w:bottom w:val="none" w:sz="0" w:space="0" w:color="auto"/>
                <w:right w:val="none" w:sz="0" w:space="0" w:color="auto"/>
              </w:divBdr>
              <w:divsChild>
                <w:div w:id="3000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30486">
      <w:bodyDiv w:val="1"/>
      <w:marLeft w:val="0"/>
      <w:marRight w:val="0"/>
      <w:marTop w:val="0"/>
      <w:marBottom w:val="0"/>
      <w:divBdr>
        <w:top w:val="none" w:sz="0" w:space="0" w:color="auto"/>
        <w:left w:val="none" w:sz="0" w:space="0" w:color="auto"/>
        <w:bottom w:val="none" w:sz="0" w:space="0" w:color="auto"/>
        <w:right w:val="none" w:sz="0" w:space="0" w:color="auto"/>
      </w:divBdr>
      <w:divsChild>
        <w:div w:id="545993127">
          <w:marLeft w:val="0"/>
          <w:marRight w:val="0"/>
          <w:marTop w:val="0"/>
          <w:marBottom w:val="0"/>
          <w:divBdr>
            <w:top w:val="none" w:sz="0" w:space="0" w:color="auto"/>
            <w:left w:val="none" w:sz="0" w:space="0" w:color="auto"/>
            <w:bottom w:val="none" w:sz="0" w:space="0" w:color="auto"/>
            <w:right w:val="none" w:sz="0" w:space="0" w:color="auto"/>
          </w:divBdr>
          <w:divsChild>
            <w:div w:id="1270896960">
              <w:marLeft w:val="0"/>
              <w:marRight w:val="0"/>
              <w:marTop w:val="0"/>
              <w:marBottom w:val="0"/>
              <w:divBdr>
                <w:top w:val="none" w:sz="0" w:space="0" w:color="auto"/>
                <w:left w:val="none" w:sz="0" w:space="0" w:color="auto"/>
                <w:bottom w:val="none" w:sz="0" w:space="0" w:color="auto"/>
                <w:right w:val="none" w:sz="0" w:space="0" w:color="auto"/>
              </w:divBdr>
              <w:divsChild>
                <w:div w:id="188339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3711">
      <w:bodyDiv w:val="1"/>
      <w:marLeft w:val="0"/>
      <w:marRight w:val="0"/>
      <w:marTop w:val="0"/>
      <w:marBottom w:val="0"/>
      <w:divBdr>
        <w:top w:val="none" w:sz="0" w:space="0" w:color="auto"/>
        <w:left w:val="none" w:sz="0" w:space="0" w:color="auto"/>
        <w:bottom w:val="none" w:sz="0" w:space="0" w:color="auto"/>
        <w:right w:val="none" w:sz="0" w:space="0" w:color="auto"/>
      </w:divBdr>
      <w:divsChild>
        <w:div w:id="541022030">
          <w:marLeft w:val="0"/>
          <w:marRight w:val="0"/>
          <w:marTop w:val="0"/>
          <w:marBottom w:val="0"/>
          <w:divBdr>
            <w:top w:val="none" w:sz="0" w:space="0" w:color="auto"/>
            <w:left w:val="none" w:sz="0" w:space="0" w:color="auto"/>
            <w:bottom w:val="none" w:sz="0" w:space="0" w:color="auto"/>
            <w:right w:val="none" w:sz="0" w:space="0" w:color="auto"/>
          </w:divBdr>
          <w:divsChild>
            <w:div w:id="730882524">
              <w:marLeft w:val="0"/>
              <w:marRight w:val="0"/>
              <w:marTop w:val="0"/>
              <w:marBottom w:val="0"/>
              <w:divBdr>
                <w:top w:val="none" w:sz="0" w:space="0" w:color="auto"/>
                <w:left w:val="none" w:sz="0" w:space="0" w:color="auto"/>
                <w:bottom w:val="none" w:sz="0" w:space="0" w:color="auto"/>
                <w:right w:val="none" w:sz="0" w:space="0" w:color="auto"/>
              </w:divBdr>
              <w:divsChild>
                <w:div w:id="653677949">
                  <w:marLeft w:val="0"/>
                  <w:marRight w:val="0"/>
                  <w:marTop w:val="0"/>
                  <w:marBottom w:val="0"/>
                  <w:divBdr>
                    <w:top w:val="none" w:sz="0" w:space="0" w:color="auto"/>
                    <w:left w:val="none" w:sz="0" w:space="0" w:color="auto"/>
                    <w:bottom w:val="none" w:sz="0" w:space="0" w:color="auto"/>
                    <w:right w:val="none" w:sz="0" w:space="0" w:color="auto"/>
                  </w:divBdr>
                </w:div>
              </w:divsChild>
            </w:div>
            <w:div w:id="1350063117">
              <w:marLeft w:val="0"/>
              <w:marRight w:val="0"/>
              <w:marTop w:val="0"/>
              <w:marBottom w:val="0"/>
              <w:divBdr>
                <w:top w:val="none" w:sz="0" w:space="0" w:color="auto"/>
                <w:left w:val="none" w:sz="0" w:space="0" w:color="auto"/>
                <w:bottom w:val="none" w:sz="0" w:space="0" w:color="auto"/>
                <w:right w:val="none" w:sz="0" w:space="0" w:color="auto"/>
              </w:divBdr>
              <w:divsChild>
                <w:div w:id="1336807080">
                  <w:marLeft w:val="0"/>
                  <w:marRight w:val="0"/>
                  <w:marTop w:val="0"/>
                  <w:marBottom w:val="0"/>
                  <w:divBdr>
                    <w:top w:val="none" w:sz="0" w:space="0" w:color="auto"/>
                    <w:left w:val="none" w:sz="0" w:space="0" w:color="auto"/>
                    <w:bottom w:val="none" w:sz="0" w:space="0" w:color="auto"/>
                    <w:right w:val="none" w:sz="0" w:space="0" w:color="auto"/>
                  </w:divBdr>
                </w:div>
              </w:divsChild>
            </w:div>
            <w:div w:id="1548954707">
              <w:marLeft w:val="0"/>
              <w:marRight w:val="0"/>
              <w:marTop w:val="0"/>
              <w:marBottom w:val="0"/>
              <w:divBdr>
                <w:top w:val="none" w:sz="0" w:space="0" w:color="auto"/>
                <w:left w:val="none" w:sz="0" w:space="0" w:color="auto"/>
                <w:bottom w:val="none" w:sz="0" w:space="0" w:color="auto"/>
                <w:right w:val="none" w:sz="0" w:space="0" w:color="auto"/>
              </w:divBdr>
              <w:divsChild>
                <w:div w:id="323053814">
                  <w:marLeft w:val="0"/>
                  <w:marRight w:val="0"/>
                  <w:marTop w:val="0"/>
                  <w:marBottom w:val="0"/>
                  <w:divBdr>
                    <w:top w:val="none" w:sz="0" w:space="0" w:color="auto"/>
                    <w:left w:val="none" w:sz="0" w:space="0" w:color="auto"/>
                    <w:bottom w:val="none" w:sz="0" w:space="0" w:color="auto"/>
                    <w:right w:val="none" w:sz="0" w:space="0" w:color="auto"/>
                  </w:divBdr>
                </w:div>
              </w:divsChild>
            </w:div>
            <w:div w:id="1515683471">
              <w:marLeft w:val="0"/>
              <w:marRight w:val="0"/>
              <w:marTop w:val="0"/>
              <w:marBottom w:val="0"/>
              <w:divBdr>
                <w:top w:val="none" w:sz="0" w:space="0" w:color="auto"/>
                <w:left w:val="none" w:sz="0" w:space="0" w:color="auto"/>
                <w:bottom w:val="none" w:sz="0" w:space="0" w:color="auto"/>
                <w:right w:val="none" w:sz="0" w:space="0" w:color="auto"/>
              </w:divBdr>
              <w:divsChild>
                <w:div w:id="2002734251">
                  <w:marLeft w:val="0"/>
                  <w:marRight w:val="0"/>
                  <w:marTop w:val="0"/>
                  <w:marBottom w:val="0"/>
                  <w:divBdr>
                    <w:top w:val="none" w:sz="0" w:space="0" w:color="auto"/>
                    <w:left w:val="none" w:sz="0" w:space="0" w:color="auto"/>
                    <w:bottom w:val="none" w:sz="0" w:space="0" w:color="auto"/>
                    <w:right w:val="none" w:sz="0" w:space="0" w:color="auto"/>
                  </w:divBdr>
                </w:div>
              </w:divsChild>
            </w:div>
            <w:div w:id="1779449311">
              <w:marLeft w:val="0"/>
              <w:marRight w:val="0"/>
              <w:marTop w:val="0"/>
              <w:marBottom w:val="0"/>
              <w:divBdr>
                <w:top w:val="none" w:sz="0" w:space="0" w:color="auto"/>
                <w:left w:val="none" w:sz="0" w:space="0" w:color="auto"/>
                <w:bottom w:val="none" w:sz="0" w:space="0" w:color="auto"/>
                <w:right w:val="none" w:sz="0" w:space="0" w:color="auto"/>
              </w:divBdr>
              <w:divsChild>
                <w:div w:id="1509054600">
                  <w:marLeft w:val="0"/>
                  <w:marRight w:val="0"/>
                  <w:marTop w:val="0"/>
                  <w:marBottom w:val="0"/>
                  <w:divBdr>
                    <w:top w:val="none" w:sz="0" w:space="0" w:color="auto"/>
                    <w:left w:val="none" w:sz="0" w:space="0" w:color="auto"/>
                    <w:bottom w:val="none" w:sz="0" w:space="0" w:color="auto"/>
                    <w:right w:val="none" w:sz="0" w:space="0" w:color="auto"/>
                  </w:divBdr>
                </w:div>
              </w:divsChild>
            </w:div>
            <w:div w:id="380830162">
              <w:marLeft w:val="0"/>
              <w:marRight w:val="0"/>
              <w:marTop w:val="0"/>
              <w:marBottom w:val="0"/>
              <w:divBdr>
                <w:top w:val="none" w:sz="0" w:space="0" w:color="auto"/>
                <w:left w:val="none" w:sz="0" w:space="0" w:color="auto"/>
                <w:bottom w:val="none" w:sz="0" w:space="0" w:color="auto"/>
                <w:right w:val="none" w:sz="0" w:space="0" w:color="auto"/>
              </w:divBdr>
              <w:divsChild>
                <w:div w:id="761610015">
                  <w:marLeft w:val="0"/>
                  <w:marRight w:val="0"/>
                  <w:marTop w:val="0"/>
                  <w:marBottom w:val="0"/>
                  <w:divBdr>
                    <w:top w:val="none" w:sz="0" w:space="0" w:color="auto"/>
                    <w:left w:val="none" w:sz="0" w:space="0" w:color="auto"/>
                    <w:bottom w:val="none" w:sz="0" w:space="0" w:color="auto"/>
                    <w:right w:val="none" w:sz="0" w:space="0" w:color="auto"/>
                  </w:divBdr>
                </w:div>
              </w:divsChild>
            </w:div>
            <w:div w:id="1084689314">
              <w:marLeft w:val="0"/>
              <w:marRight w:val="0"/>
              <w:marTop w:val="0"/>
              <w:marBottom w:val="0"/>
              <w:divBdr>
                <w:top w:val="none" w:sz="0" w:space="0" w:color="auto"/>
                <w:left w:val="none" w:sz="0" w:space="0" w:color="auto"/>
                <w:bottom w:val="none" w:sz="0" w:space="0" w:color="auto"/>
                <w:right w:val="none" w:sz="0" w:space="0" w:color="auto"/>
              </w:divBdr>
              <w:divsChild>
                <w:div w:id="1562016982">
                  <w:marLeft w:val="0"/>
                  <w:marRight w:val="0"/>
                  <w:marTop w:val="0"/>
                  <w:marBottom w:val="0"/>
                  <w:divBdr>
                    <w:top w:val="none" w:sz="0" w:space="0" w:color="auto"/>
                    <w:left w:val="none" w:sz="0" w:space="0" w:color="auto"/>
                    <w:bottom w:val="none" w:sz="0" w:space="0" w:color="auto"/>
                    <w:right w:val="none" w:sz="0" w:space="0" w:color="auto"/>
                  </w:divBdr>
                </w:div>
              </w:divsChild>
            </w:div>
            <w:div w:id="1206676071">
              <w:marLeft w:val="0"/>
              <w:marRight w:val="0"/>
              <w:marTop w:val="0"/>
              <w:marBottom w:val="0"/>
              <w:divBdr>
                <w:top w:val="none" w:sz="0" w:space="0" w:color="auto"/>
                <w:left w:val="none" w:sz="0" w:space="0" w:color="auto"/>
                <w:bottom w:val="none" w:sz="0" w:space="0" w:color="auto"/>
                <w:right w:val="none" w:sz="0" w:space="0" w:color="auto"/>
              </w:divBdr>
              <w:divsChild>
                <w:div w:id="1480806424">
                  <w:marLeft w:val="0"/>
                  <w:marRight w:val="0"/>
                  <w:marTop w:val="0"/>
                  <w:marBottom w:val="0"/>
                  <w:divBdr>
                    <w:top w:val="none" w:sz="0" w:space="0" w:color="auto"/>
                    <w:left w:val="none" w:sz="0" w:space="0" w:color="auto"/>
                    <w:bottom w:val="none" w:sz="0" w:space="0" w:color="auto"/>
                    <w:right w:val="none" w:sz="0" w:space="0" w:color="auto"/>
                  </w:divBdr>
                </w:div>
              </w:divsChild>
            </w:div>
            <w:div w:id="136537754">
              <w:marLeft w:val="0"/>
              <w:marRight w:val="0"/>
              <w:marTop w:val="0"/>
              <w:marBottom w:val="0"/>
              <w:divBdr>
                <w:top w:val="none" w:sz="0" w:space="0" w:color="auto"/>
                <w:left w:val="none" w:sz="0" w:space="0" w:color="auto"/>
                <w:bottom w:val="none" w:sz="0" w:space="0" w:color="auto"/>
                <w:right w:val="none" w:sz="0" w:space="0" w:color="auto"/>
              </w:divBdr>
              <w:divsChild>
                <w:div w:id="703020680">
                  <w:marLeft w:val="0"/>
                  <w:marRight w:val="0"/>
                  <w:marTop w:val="0"/>
                  <w:marBottom w:val="0"/>
                  <w:divBdr>
                    <w:top w:val="none" w:sz="0" w:space="0" w:color="auto"/>
                    <w:left w:val="none" w:sz="0" w:space="0" w:color="auto"/>
                    <w:bottom w:val="none" w:sz="0" w:space="0" w:color="auto"/>
                    <w:right w:val="none" w:sz="0" w:space="0" w:color="auto"/>
                  </w:divBdr>
                </w:div>
              </w:divsChild>
            </w:div>
            <w:div w:id="1944457453">
              <w:marLeft w:val="0"/>
              <w:marRight w:val="0"/>
              <w:marTop w:val="0"/>
              <w:marBottom w:val="0"/>
              <w:divBdr>
                <w:top w:val="none" w:sz="0" w:space="0" w:color="auto"/>
                <w:left w:val="none" w:sz="0" w:space="0" w:color="auto"/>
                <w:bottom w:val="none" w:sz="0" w:space="0" w:color="auto"/>
                <w:right w:val="none" w:sz="0" w:space="0" w:color="auto"/>
              </w:divBdr>
              <w:divsChild>
                <w:div w:id="1334409234">
                  <w:marLeft w:val="0"/>
                  <w:marRight w:val="0"/>
                  <w:marTop w:val="0"/>
                  <w:marBottom w:val="0"/>
                  <w:divBdr>
                    <w:top w:val="none" w:sz="0" w:space="0" w:color="auto"/>
                    <w:left w:val="none" w:sz="0" w:space="0" w:color="auto"/>
                    <w:bottom w:val="none" w:sz="0" w:space="0" w:color="auto"/>
                    <w:right w:val="none" w:sz="0" w:space="0" w:color="auto"/>
                  </w:divBdr>
                </w:div>
              </w:divsChild>
            </w:div>
            <w:div w:id="500119026">
              <w:marLeft w:val="0"/>
              <w:marRight w:val="0"/>
              <w:marTop w:val="0"/>
              <w:marBottom w:val="0"/>
              <w:divBdr>
                <w:top w:val="none" w:sz="0" w:space="0" w:color="auto"/>
                <w:left w:val="none" w:sz="0" w:space="0" w:color="auto"/>
                <w:bottom w:val="none" w:sz="0" w:space="0" w:color="auto"/>
                <w:right w:val="none" w:sz="0" w:space="0" w:color="auto"/>
              </w:divBdr>
              <w:divsChild>
                <w:div w:id="1497039636">
                  <w:marLeft w:val="0"/>
                  <w:marRight w:val="0"/>
                  <w:marTop w:val="0"/>
                  <w:marBottom w:val="0"/>
                  <w:divBdr>
                    <w:top w:val="none" w:sz="0" w:space="0" w:color="auto"/>
                    <w:left w:val="none" w:sz="0" w:space="0" w:color="auto"/>
                    <w:bottom w:val="none" w:sz="0" w:space="0" w:color="auto"/>
                    <w:right w:val="none" w:sz="0" w:space="0" w:color="auto"/>
                  </w:divBdr>
                </w:div>
              </w:divsChild>
            </w:div>
            <w:div w:id="41029634">
              <w:marLeft w:val="0"/>
              <w:marRight w:val="0"/>
              <w:marTop w:val="0"/>
              <w:marBottom w:val="0"/>
              <w:divBdr>
                <w:top w:val="none" w:sz="0" w:space="0" w:color="auto"/>
                <w:left w:val="none" w:sz="0" w:space="0" w:color="auto"/>
                <w:bottom w:val="none" w:sz="0" w:space="0" w:color="auto"/>
                <w:right w:val="none" w:sz="0" w:space="0" w:color="auto"/>
              </w:divBdr>
              <w:divsChild>
                <w:div w:id="80157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92172">
      <w:bodyDiv w:val="1"/>
      <w:marLeft w:val="0"/>
      <w:marRight w:val="0"/>
      <w:marTop w:val="0"/>
      <w:marBottom w:val="0"/>
      <w:divBdr>
        <w:top w:val="none" w:sz="0" w:space="0" w:color="auto"/>
        <w:left w:val="none" w:sz="0" w:space="0" w:color="auto"/>
        <w:bottom w:val="none" w:sz="0" w:space="0" w:color="auto"/>
        <w:right w:val="none" w:sz="0" w:space="0" w:color="auto"/>
      </w:divBdr>
    </w:div>
    <w:div w:id="1579050089">
      <w:bodyDiv w:val="1"/>
      <w:marLeft w:val="0"/>
      <w:marRight w:val="0"/>
      <w:marTop w:val="0"/>
      <w:marBottom w:val="0"/>
      <w:divBdr>
        <w:top w:val="none" w:sz="0" w:space="0" w:color="auto"/>
        <w:left w:val="none" w:sz="0" w:space="0" w:color="auto"/>
        <w:bottom w:val="none" w:sz="0" w:space="0" w:color="auto"/>
        <w:right w:val="none" w:sz="0" w:space="0" w:color="auto"/>
      </w:divBdr>
    </w:div>
    <w:div w:id="1606158965">
      <w:bodyDiv w:val="1"/>
      <w:marLeft w:val="0"/>
      <w:marRight w:val="0"/>
      <w:marTop w:val="0"/>
      <w:marBottom w:val="0"/>
      <w:divBdr>
        <w:top w:val="none" w:sz="0" w:space="0" w:color="auto"/>
        <w:left w:val="none" w:sz="0" w:space="0" w:color="auto"/>
        <w:bottom w:val="none" w:sz="0" w:space="0" w:color="auto"/>
        <w:right w:val="none" w:sz="0" w:space="0" w:color="auto"/>
      </w:divBdr>
    </w:div>
    <w:div w:id="1619214087">
      <w:bodyDiv w:val="1"/>
      <w:marLeft w:val="0"/>
      <w:marRight w:val="0"/>
      <w:marTop w:val="0"/>
      <w:marBottom w:val="0"/>
      <w:divBdr>
        <w:top w:val="none" w:sz="0" w:space="0" w:color="auto"/>
        <w:left w:val="none" w:sz="0" w:space="0" w:color="auto"/>
        <w:bottom w:val="none" w:sz="0" w:space="0" w:color="auto"/>
        <w:right w:val="none" w:sz="0" w:space="0" w:color="auto"/>
      </w:divBdr>
      <w:divsChild>
        <w:div w:id="1386835598">
          <w:marLeft w:val="0"/>
          <w:marRight w:val="0"/>
          <w:marTop w:val="0"/>
          <w:marBottom w:val="0"/>
          <w:divBdr>
            <w:top w:val="none" w:sz="0" w:space="0" w:color="auto"/>
            <w:left w:val="none" w:sz="0" w:space="0" w:color="auto"/>
            <w:bottom w:val="none" w:sz="0" w:space="0" w:color="auto"/>
            <w:right w:val="none" w:sz="0" w:space="0" w:color="auto"/>
          </w:divBdr>
          <w:divsChild>
            <w:div w:id="2019114758">
              <w:marLeft w:val="0"/>
              <w:marRight w:val="0"/>
              <w:marTop w:val="0"/>
              <w:marBottom w:val="0"/>
              <w:divBdr>
                <w:top w:val="none" w:sz="0" w:space="0" w:color="auto"/>
                <w:left w:val="none" w:sz="0" w:space="0" w:color="auto"/>
                <w:bottom w:val="none" w:sz="0" w:space="0" w:color="auto"/>
                <w:right w:val="none" w:sz="0" w:space="0" w:color="auto"/>
              </w:divBdr>
              <w:divsChild>
                <w:div w:id="4490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69343">
      <w:bodyDiv w:val="1"/>
      <w:marLeft w:val="0"/>
      <w:marRight w:val="0"/>
      <w:marTop w:val="0"/>
      <w:marBottom w:val="0"/>
      <w:divBdr>
        <w:top w:val="none" w:sz="0" w:space="0" w:color="auto"/>
        <w:left w:val="none" w:sz="0" w:space="0" w:color="auto"/>
        <w:bottom w:val="none" w:sz="0" w:space="0" w:color="auto"/>
        <w:right w:val="none" w:sz="0" w:space="0" w:color="auto"/>
      </w:divBdr>
      <w:divsChild>
        <w:div w:id="1721243422">
          <w:marLeft w:val="0"/>
          <w:marRight w:val="0"/>
          <w:marTop w:val="0"/>
          <w:marBottom w:val="0"/>
          <w:divBdr>
            <w:top w:val="none" w:sz="0" w:space="0" w:color="auto"/>
            <w:left w:val="none" w:sz="0" w:space="0" w:color="auto"/>
            <w:bottom w:val="none" w:sz="0" w:space="0" w:color="auto"/>
            <w:right w:val="none" w:sz="0" w:space="0" w:color="auto"/>
          </w:divBdr>
          <w:divsChild>
            <w:div w:id="1573201748">
              <w:marLeft w:val="0"/>
              <w:marRight w:val="0"/>
              <w:marTop w:val="0"/>
              <w:marBottom w:val="0"/>
              <w:divBdr>
                <w:top w:val="none" w:sz="0" w:space="0" w:color="auto"/>
                <w:left w:val="none" w:sz="0" w:space="0" w:color="auto"/>
                <w:bottom w:val="none" w:sz="0" w:space="0" w:color="auto"/>
                <w:right w:val="none" w:sz="0" w:space="0" w:color="auto"/>
              </w:divBdr>
              <w:divsChild>
                <w:div w:id="22186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52830">
      <w:bodyDiv w:val="1"/>
      <w:marLeft w:val="0"/>
      <w:marRight w:val="0"/>
      <w:marTop w:val="0"/>
      <w:marBottom w:val="0"/>
      <w:divBdr>
        <w:top w:val="none" w:sz="0" w:space="0" w:color="auto"/>
        <w:left w:val="none" w:sz="0" w:space="0" w:color="auto"/>
        <w:bottom w:val="none" w:sz="0" w:space="0" w:color="auto"/>
        <w:right w:val="none" w:sz="0" w:space="0" w:color="auto"/>
      </w:divBdr>
      <w:divsChild>
        <w:div w:id="2027248302">
          <w:marLeft w:val="0"/>
          <w:marRight w:val="0"/>
          <w:marTop w:val="0"/>
          <w:marBottom w:val="0"/>
          <w:divBdr>
            <w:top w:val="none" w:sz="0" w:space="0" w:color="auto"/>
            <w:left w:val="none" w:sz="0" w:space="0" w:color="auto"/>
            <w:bottom w:val="none" w:sz="0" w:space="0" w:color="auto"/>
            <w:right w:val="none" w:sz="0" w:space="0" w:color="auto"/>
          </w:divBdr>
          <w:divsChild>
            <w:div w:id="1085030558">
              <w:marLeft w:val="0"/>
              <w:marRight w:val="0"/>
              <w:marTop w:val="0"/>
              <w:marBottom w:val="0"/>
              <w:divBdr>
                <w:top w:val="none" w:sz="0" w:space="0" w:color="auto"/>
                <w:left w:val="none" w:sz="0" w:space="0" w:color="auto"/>
                <w:bottom w:val="none" w:sz="0" w:space="0" w:color="auto"/>
                <w:right w:val="none" w:sz="0" w:space="0" w:color="auto"/>
              </w:divBdr>
              <w:divsChild>
                <w:div w:id="167163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26004">
      <w:bodyDiv w:val="1"/>
      <w:marLeft w:val="0"/>
      <w:marRight w:val="0"/>
      <w:marTop w:val="0"/>
      <w:marBottom w:val="0"/>
      <w:divBdr>
        <w:top w:val="none" w:sz="0" w:space="0" w:color="auto"/>
        <w:left w:val="none" w:sz="0" w:space="0" w:color="auto"/>
        <w:bottom w:val="none" w:sz="0" w:space="0" w:color="auto"/>
        <w:right w:val="none" w:sz="0" w:space="0" w:color="auto"/>
      </w:divBdr>
      <w:divsChild>
        <w:div w:id="1791364119">
          <w:marLeft w:val="0"/>
          <w:marRight w:val="0"/>
          <w:marTop w:val="0"/>
          <w:marBottom w:val="0"/>
          <w:divBdr>
            <w:top w:val="none" w:sz="0" w:space="0" w:color="auto"/>
            <w:left w:val="none" w:sz="0" w:space="0" w:color="auto"/>
            <w:bottom w:val="none" w:sz="0" w:space="0" w:color="auto"/>
            <w:right w:val="none" w:sz="0" w:space="0" w:color="auto"/>
          </w:divBdr>
          <w:divsChild>
            <w:div w:id="133059592">
              <w:marLeft w:val="0"/>
              <w:marRight w:val="0"/>
              <w:marTop w:val="0"/>
              <w:marBottom w:val="0"/>
              <w:divBdr>
                <w:top w:val="none" w:sz="0" w:space="0" w:color="auto"/>
                <w:left w:val="none" w:sz="0" w:space="0" w:color="auto"/>
                <w:bottom w:val="none" w:sz="0" w:space="0" w:color="auto"/>
                <w:right w:val="none" w:sz="0" w:space="0" w:color="auto"/>
              </w:divBdr>
              <w:divsChild>
                <w:div w:id="11164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0623">
      <w:bodyDiv w:val="1"/>
      <w:marLeft w:val="0"/>
      <w:marRight w:val="0"/>
      <w:marTop w:val="0"/>
      <w:marBottom w:val="0"/>
      <w:divBdr>
        <w:top w:val="none" w:sz="0" w:space="0" w:color="auto"/>
        <w:left w:val="none" w:sz="0" w:space="0" w:color="auto"/>
        <w:bottom w:val="none" w:sz="0" w:space="0" w:color="auto"/>
        <w:right w:val="none" w:sz="0" w:space="0" w:color="auto"/>
      </w:divBdr>
    </w:div>
    <w:div w:id="1716658381">
      <w:bodyDiv w:val="1"/>
      <w:marLeft w:val="0"/>
      <w:marRight w:val="0"/>
      <w:marTop w:val="0"/>
      <w:marBottom w:val="0"/>
      <w:divBdr>
        <w:top w:val="none" w:sz="0" w:space="0" w:color="auto"/>
        <w:left w:val="none" w:sz="0" w:space="0" w:color="auto"/>
        <w:bottom w:val="none" w:sz="0" w:space="0" w:color="auto"/>
        <w:right w:val="none" w:sz="0" w:space="0" w:color="auto"/>
      </w:divBdr>
      <w:divsChild>
        <w:div w:id="1895506832">
          <w:marLeft w:val="0"/>
          <w:marRight w:val="0"/>
          <w:marTop w:val="0"/>
          <w:marBottom w:val="0"/>
          <w:divBdr>
            <w:top w:val="none" w:sz="0" w:space="0" w:color="auto"/>
            <w:left w:val="none" w:sz="0" w:space="0" w:color="auto"/>
            <w:bottom w:val="none" w:sz="0" w:space="0" w:color="auto"/>
            <w:right w:val="none" w:sz="0" w:space="0" w:color="auto"/>
          </w:divBdr>
          <w:divsChild>
            <w:div w:id="1067995058">
              <w:marLeft w:val="0"/>
              <w:marRight w:val="0"/>
              <w:marTop w:val="0"/>
              <w:marBottom w:val="0"/>
              <w:divBdr>
                <w:top w:val="none" w:sz="0" w:space="0" w:color="auto"/>
                <w:left w:val="none" w:sz="0" w:space="0" w:color="auto"/>
                <w:bottom w:val="none" w:sz="0" w:space="0" w:color="auto"/>
                <w:right w:val="none" w:sz="0" w:space="0" w:color="auto"/>
              </w:divBdr>
              <w:divsChild>
                <w:div w:id="1548108683">
                  <w:marLeft w:val="0"/>
                  <w:marRight w:val="0"/>
                  <w:marTop w:val="0"/>
                  <w:marBottom w:val="0"/>
                  <w:divBdr>
                    <w:top w:val="none" w:sz="0" w:space="0" w:color="auto"/>
                    <w:left w:val="none" w:sz="0" w:space="0" w:color="auto"/>
                    <w:bottom w:val="none" w:sz="0" w:space="0" w:color="auto"/>
                    <w:right w:val="none" w:sz="0" w:space="0" w:color="auto"/>
                  </w:divBdr>
                  <w:divsChild>
                    <w:div w:id="14548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242">
      <w:bodyDiv w:val="1"/>
      <w:marLeft w:val="0"/>
      <w:marRight w:val="0"/>
      <w:marTop w:val="0"/>
      <w:marBottom w:val="0"/>
      <w:divBdr>
        <w:top w:val="none" w:sz="0" w:space="0" w:color="auto"/>
        <w:left w:val="none" w:sz="0" w:space="0" w:color="auto"/>
        <w:bottom w:val="none" w:sz="0" w:space="0" w:color="auto"/>
        <w:right w:val="none" w:sz="0" w:space="0" w:color="auto"/>
      </w:divBdr>
      <w:divsChild>
        <w:div w:id="2109154102">
          <w:marLeft w:val="0"/>
          <w:marRight w:val="0"/>
          <w:marTop w:val="0"/>
          <w:marBottom w:val="0"/>
          <w:divBdr>
            <w:top w:val="none" w:sz="0" w:space="0" w:color="auto"/>
            <w:left w:val="none" w:sz="0" w:space="0" w:color="auto"/>
            <w:bottom w:val="none" w:sz="0" w:space="0" w:color="auto"/>
            <w:right w:val="none" w:sz="0" w:space="0" w:color="auto"/>
          </w:divBdr>
          <w:divsChild>
            <w:div w:id="1997489510">
              <w:marLeft w:val="0"/>
              <w:marRight w:val="0"/>
              <w:marTop w:val="0"/>
              <w:marBottom w:val="0"/>
              <w:divBdr>
                <w:top w:val="none" w:sz="0" w:space="0" w:color="auto"/>
                <w:left w:val="none" w:sz="0" w:space="0" w:color="auto"/>
                <w:bottom w:val="none" w:sz="0" w:space="0" w:color="auto"/>
                <w:right w:val="none" w:sz="0" w:space="0" w:color="auto"/>
              </w:divBdr>
              <w:divsChild>
                <w:div w:id="159713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861946">
      <w:bodyDiv w:val="1"/>
      <w:marLeft w:val="0"/>
      <w:marRight w:val="0"/>
      <w:marTop w:val="0"/>
      <w:marBottom w:val="0"/>
      <w:divBdr>
        <w:top w:val="none" w:sz="0" w:space="0" w:color="auto"/>
        <w:left w:val="none" w:sz="0" w:space="0" w:color="auto"/>
        <w:bottom w:val="none" w:sz="0" w:space="0" w:color="auto"/>
        <w:right w:val="none" w:sz="0" w:space="0" w:color="auto"/>
      </w:divBdr>
    </w:div>
    <w:div w:id="1775242817">
      <w:bodyDiv w:val="1"/>
      <w:marLeft w:val="0"/>
      <w:marRight w:val="0"/>
      <w:marTop w:val="0"/>
      <w:marBottom w:val="0"/>
      <w:divBdr>
        <w:top w:val="none" w:sz="0" w:space="0" w:color="auto"/>
        <w:left w:val="none" w:sz="0" w:space="0" w:color="auto"/>
        <w:bottom w:val="none" w:sz="0" w:space="0" w:color="auto"/>
        <w:right w:val="none" w:sz="0" w:space="0" w:color="auto"/>
      </w:divBdr>
      <w:divsChild>
        <w:div w:id="142029911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0"/>
              <w:marRight w:val="0"/>
              <w:marTop w:val="0"/>
              <w:marBottom w:val="0"/>
              <w:divBdr>
                <w:top w:val="none" w:sz="0" w:space="0" w:color="auto"/>
                <w:left w:val="none" w:sz="0" w:space="0" w:color="auto"/>
                <w:bottom w:val="none" w:sz="0" w:space="0" w:color="auto"/>
                <w:right w:val="none" w:sz="0" w:space="0" w:color="auto"/>
              </w:divBdr>
              <w:divsChild>
                <w:div w:id="119191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06484">
      <w:bodyDiv w:val="1"/>
      <w:marLeft w:val="0"/>
      <w:marRight w:val="0"/>
      <w:marTop w:val="0"/>
      <w:marBottom w:val="0"/>
      <w:divBdr>
        <w:top w:val="none" w:sz="0" w:space="0" w:color="auto"/>
        <w:left w:val="none" w:sz="0" w:space="0" w:color="auto"/>
        <w:bottom w:val="none" w:sz="0" w:space="0" w:color="auto"/>
        <w:right w:val="none" w:sz="0" w:space="0" w:color="auto"/>
      </w:divBdr>
      <w:divsChild>
        <w:div w:id="340590948">
          <w:marLeft w:val="0"/>
          <w:marRight w:val="0"/>
          <w:marTop w:val="0"/>
          <w:marBottom w:val="0"/>
          <w:divBdr>
            <w:top w:val="none" w:sz="0" w:space="0" w:color="auto"/>
            <w:left w:val="none" w:sz="0" w:space="0" w:color="auto"/>
            <w:bottom w:val="none" w:sz="0" w:space="0" w:color="auto"/>
            <w:right w:val="none" w:sz="0" w:space="0" w:color="auto"/>
          </w:divBdr>
          <w:divsChild>
            <w:div w:id="1511486689">
              <w:marLeft w:val="0"/>
              <w:marRight w:val="0"/>
              <w:marTop w:val="0"/>
              <w:marBottom w:val="0"/>
              <w:divBdr>
                <w:top w:val="none" w:sz="0" w:space="0" w:color="auto"/>
                <w:left w:val="none" w:sz="0" w:space="0" w:color="auto"/>
                <w:bottom w:val="none" w:sz="0" w:space="0" w:color="auto"/>
                <w:right w:val="none" w:sz="0" w:space="0" w:color="auto"/>
              </w:divBdr>
              <w:divsChild>
                <w:div w:id="2787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96341">
      <w:bodyDiv w:val="1"/>
      <w:marLeft w:val="0"/>
      <w:marRight w:val="0"/>
      <w:marTop w:val="0"/>
      <w:marBottom w:val="0"/>
      <w:divBdr>
        <w:top w:val="none" w:sz="0" w:space="0" w:color="auto"/>
        <w:left w:val="none" w:sz="0" w:space="0" w:color="auto"/>
        <w:bottom w:val="none" w:sz="0" w:space="0" w:color="auto"/>
        <w:right w:val="none" w:sz="0" w:space="0" w:color="auto"/>
      </w:divBdr>
    </w:div>
    <w:div w:id="1806042373">
      <w:bodyDiv w:val="1"/>
      <w:marLeft w:val="0"/>
      <w:marRight w:val="0"/>
      <w:marTop w:val="0"/>
      <w:marBottom w:val="0"/>
      <w:divBdr>
        <w:top w:val="none" w:sz="0" w:space="0" w:color="auto"/>
        <w:left w:val="none" w:sz="0" w:space="0" w:color="auto"/>
        <w:bottom w:val="none" w:sz="0" w:space="0" w:color="auto"/>
        <w:right w:val="none" w:sz="0" w:space="0" w:color="auto"/>
      </w:divBdr>
      <w:divsChild>
        <w:div w:id="1194998707">
          <w:marLeft w:val="0"/>
          <w:marRight w:val="0"/>
          <w:marTop w:val="0"/>
          <w:marBottom w:val="0"/>
          <w:divBdr>
            <w:top w:val="none" w:sz="0" w:space="0" w:color="auto"/>
            <w:left w:val="none" w:sz="0" w:space="0" w:color="auto"/>
            <w:bottom w:val="none" w:sz="0" w:space="0" w:color="auto"/>
            <w:right w:val="none" w:sz="0" w:space="0" w:color="auto"/>
          </w:divBdr>
          <w:divsChild>
            <w:div w:id="1144661533">
              <w:marLeft w:val="0"/>
              <w:marRight w:val="0"/>
              <w:marTop w:val="0"/>
              <w:marBottom w:val="0"/>
              <w:divBdr>
                <w:top w:val="none" w:sz="0" w:space="0" w:color="auto"/>
                <w:left w:val="none" w:sz="0" w:space="0" w:color="auto"/>
                <w:bottom w:val="none" w:sz="0" w:space="0" w:color="auto"/>
                <w:right w:val="none" w:sz="0" w:space="0" w:color="auto"/>
              </w:divBdr>
              <w:divsChild>
                <w:div w:id="263459970">
                  <w:marLeft w:val="0"/>
                  <w:marRight w:val="0"/>
                  <w:marTop w:val="0"/>
                  <w:marBottom w:val="0"/>
                  <w:divBdr>
                    <w:top w:val="none" w:sz="0" w:space="0" w:color="auto"/>
                    <w:left w:val="none" w:sz="0" w:space="0" w:color="auto"/>
                    <w:bottom w:val="none" w:sz="0" w:space="0" w:color="auto"/>
                    <w:right w:val="none" w:sz="0" w:space="0" w:color="auto"/>
                  </w:divBdr>
                  <w:divsChild>
                    <w:div w:id="8019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482624">
      <w:bodyDiv w:val="1"/>
      <w:marLeft w:val="0"/>
      <w:marRight w:val="0"/>
      <w:marTop w:val="0"/>
      <w:marBottom w:val="0"/>
      <w:divBdr>
        <w:top w:val="none" w:sz="0" w:space="0" w:color="auto"/>
        <w:left w:val="none" w:sz="0" w:space="0" w:color="auto"/>
        <w:bottom w:val="none" w:sz="0" w:space="0" w:color="auto"/>
        <w:right w:val="none" w:sz="0" w:space="0" w:color="auto"/>
      </w:divBdr>
      <w:divsChild>
        <w:div w:id="177085695">
          <w:marLeft w:val="0"/>
          <w:marRight w:val="0"/>
          <w:marTop w:val="0"/>
          <w:marBottom w:val="0"/>
          <w:divBdr>
            <w:top w:val="none" w:sz="0" w:space="0" w:color="auto"/>
            <w:left w:val="none" w:sz="0" w:space="0" w:color="auto"/>
            <w:bottom w:val="none" w:sz="0" w:space="0" w:color="auto"/>
            <w:right w:val="none" w:sz="0" w:space="0" w:color="auto"/>
          </w:divBdr>
          <w:divsChild>
            <w:div w:id="328365435">
              <w:marLeft w:val="0"/>
              <w:marRight w:val="0"/>
              <w:marTop w:val="0"/>
              <w:marBottom w:val="0"/>
              <w:divBdr>
                <w:top w:val="none" w:sz="0" w:space="0" w:color="auto"/>
                <w:left w:val="none" w:sz="0" w:space="0" w:color="auto"/>
                <w:bottom w:val="none" w:sz="0" w:space="0" w:color="auto"/>
                <w:right w:val="none" w:sz="0" w:space="0" w:color="auto"/>
              </w:divBdr>
              <w:divsChild>
                <w:div w:id="18046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06769">
      <w:bodyDiv w:val="1"/>
      <w:marLeft w:val="0"/>
      <w:marRight w:val="0"/>
      <w:marTop w:val="0"/>
      <w:marBottom w:val="0"/>
      <w:divBdr>
        <w:top w:val="none" w:sz="0" w:space="0" w:color="auto"/>
        <w:left w:val="none" w:sz="0" w:space="0" w:color="auto"/>
        <w:bottom w:val="none" w:sz="0" w:space="0" w:color="auto"/>
        <w:right w:val="none" w:sz="0" w:space="0" w:color="auto"/>
      </w:divBdr>
    </w:div>
    <w:div w:id="1890605768">
      <w:bodyDiv w:val="1"/>
      <w:marLeft w:val="0"/>
      <w:marRight w:val="0"/>
      <w:marTop w:val="0"/>
      <w:marBottom w:val="0"/>
      <w:divBdr>
        <w:top w:val="none" w:sz="0" w:space="0" w:color="auto"/>
        <w:left w:val="none" w:sz="0" w:space="0" w:color="auto"/>
        <w:bottom w:val="none" w:sz="0" w:space="0" w:color="auto"/>
        <w:right w:val="none" w:sz="0" w:space="0" w:color="auto"/>
      </w:divBdr>
    </w:div>
    <w:div w:id="1912420083">
      <w:bodyDiv w:val="1"/>
      <w:marLeft w:val="0"/>
      <w:marRight w:val="0"/>
      <w:marTop w:val="0"/>
      <w:marBottom w:val="0"/>
      <w:divBdr>
        <w:top w:val="none" w:sz="0" w:space="0" w:color="auto"/>
        <w:left w:val="none" w:sz="0" w:space="0" w:color="auto"/>
        <w:bottom w:val="none" w:sz="0" w:space="0" w:color="auto"/>
        <w:right w:val="none" w:sz="0" w:space="0" w:color="auto"/>
      </w:divBdr>
      <w:divsChild>
        <w:div w:id="967857661">
          <w:marLeft w:val="0"/>
          <w:marRight w:val="0"/>
          <w:marTop w:val="0"/>
          <w:marBottom w:val="0"/>
          <w:divBdr>
            <w:top w:val="none" w:sz="0" w:space="0" w:color="auto"/>
            <w:left w:val="none" w:sz="0" w:space="0" w:color="auto"/>
            <w:bottom w:val="none" w:sz="0" w:space="0" w:color="auto"/>
            <w:right w:val="none" w:sz="0" w:space="0" w:color="auto"/>
          </w:divBdr>
        </w:div>
      </w:divsChild>
    </w:div>
    <w:div w:id="1935092869">
      <w:bodyDiv w:val="1"/>
      <w:marLeft w:val="0"/>
      <w:marRight w:val="0"/>
      <w:marTop w:val="0"/>
      <w:marBottom w:val="0"/>
      <w:divBdr>
        <w:top w:val="none" w:sz="0" w:space="0" w:color="auto"/>
        <w:left w:val="none" w:sz="0" w:space="0" w:color="auto"/>
        <w:bottom w:val="none" w:sz="0" w:space="0" w:color="auto"/>
        <w:right w:val="none" w:sz="0" w:space="0" w:color="auto"/>
      </w:divBdr>
      <w:divsChild>
        <w:div w:id="434788711">
          <w:marLeft w:val="0"/>
          <w:marRight w:val="0"/>
          <w:marTop w:val="0"/>
          <w:marBottom w:val="0"/>
          <w:divBdr>
            <w:top w:val="none" w:sz="0" w:space="0" w:color="auto"/>
            <w:left w:val="none" w:sz="0" w:space="0" w:color="auto"/>
            <w:bottom w:val="none" w:sz="0" w:space="0" w:color="auto"/>
            <w:right w:val="none" w:sz="0" w:space="0" w:color="auto"/>
          </w:divBdr>
          <w:divsChild>
            <w:div w:id="1936211606">
              <w:marLeft w:val="0"/>
              <w:marRight w:val="0"/>
              <w:marTop w:val="0"/>
              <w:marBottom w:val="0"/>
              <w:divBdr>
                <w:top w:val="none" w:sz="0" w:space="0" w:color="auto"/>
                <w:left w:val="none" w:sz="0" w:space="0" w:color="auto"/>
                <w:bottom w:val="none" w:sz="0" w:space="0" w:color="auto"/>
                <w:right w:val="none" w:sz="0" w:space="0" w:color="auto"/>
              </w:divBdr>
              <w:divsChild>
                <w:div w:id="60562210">
                  <w:marLeft w:val="0"/>
                  <w:marRight w:val="0"/>
                  <w:marTop w:val="0"/>
                  <w:marBottom w:val="0"/>
                  <w:divBdr>
                    <w:top w:val="none" w:sz="0" w:space="0" w:color="auto"/>
                    <w:left w:val="none" w:sz="0" w:space="0" w:color="auto"/>
                    <w:bottom w:val="none" w:sz="0" w:space="0" w:color="auto"/>
                    <w:right w:val="none" w:sz="0" w:space="0" w:color="auto"/>
                  </w:divBdr>
                </w:div>
              </w:divsChild>
            </w:div>
            <w:div w:id="1690788747">
              <w:marLeft w:val="0"/>
              <w:marRight w:val="0"/>
              <w:marTop w:val="0"/>
              <w:marBottom w:val="0"/>
              <w:divBdr>
                <w:top w:val="none" w:sz="0" w:space="0" w:color="auto"/>
                <w:left w:val="none" w:sz="0" w:space="0" w:color="auto"/>
                <w:bottom w:val="none" w:sz="0" w:space="0" w:color="auto"/>
                <w:right w:val="none" w:sz="0" w:space="0" w:color="auto"/>
              </w:divBdr>
              <w:divsChild>
                <w:div w:id="639457032">
                  <w:marLeft w:val="0"/>
                  <w:marRight w:val="0"/>
                  <w:marTop w:val="0"/>
                  <w:marBottom w:val="0"/>
                  <w:divBdr>
                    <w:top w:val="none" w:sz="0" w:space="0" w:color="auto"/>
                    <w:left w:val="none" w:sz="0" w:space="0" w:color="auto"/>
                    <w:bottom w:val="none" w:sz="0" w:space="0" w:color="auto"/>
                    <w:right w:val="none" w:sz="0" w:space="0" w:color="auto"/>
                  </w:divBdr>
                </w:div>
                <w:div w:id="2519668">
                  <w:marLeft w:val="0"/>
                  <w:marRight w:val="0"/>
                  <w:marTop w:val="0"/>
                  <w:marBottom w:val="0"/>
                  <w:divBdr>
                    <w:top w:val="none" w:sz="0" w:space="0" w:color="auto"/>
                    <w:left w:val="none" w:sz="0" w:space="0" w:color="auto"/>
                    <w:bottom w:val="none" w:sz="0" w:space="0" w:color="auto"/>
                    <w:right w:val="none" w:sz="0" w:space="0" w:color="auto"/>
                  </w:divBdr>
                </w:div>
              </w:divsChild>
            </w:div>
            <w:div w:id="43993080">
              <w:marLeft w:val="0"/>
              <w:marRight w:val="0"/>
              <w:marTop w:val="0"/>
              <w:marBottom w:val="0"/>
              <w:divBdr>
                <w:top w:val="none" w:sz="0" w:space="0" w:color="auto"/>
                <w:left w:val="none" w:sz="0" w:space="0" w:color="auto"/>
                <w:bottom w:val="none" w:sz="0" w:space="0" w:color="auto"/>
                <w:right w:val="none" w:sz="0" w:space="0" w:color="auto"/>
              </w:divBdr>
              <w:divsChild>
                <w:div w:id="15890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462774">
      <w:bodyDiv w:val="1"/>
      <w:marLeft w:val="0"/>
      <w:marRight w:val="0"/>
      <w:marTop w:val="0"/>
      <w:marBottom w:val="0"/>
      <w:divBdr>
        <w:top w:val="none" w:sz="0" w:space="0" w:color="auto"/>
        <w:left w:val="none" w:sz="0" w:space="0" w:color="auto"/>
        <w:bottom w:val="none" w:sz="0" w:space="0" w:color="auto"/>
        <w:right w:val="none" w:sz="0" w:space="0" w:color="auto"/>
      </w:divBdr>
    </w:div>
    <w:div w:id="2055956863">
      <w:bodyDiv w:val="1"/>
      <w:marLeft w:val="0"/>
      <w:marRight w:val="0"/>
      <w:marTop w:val="0"/>
      <w:marBottom w:val="0"/>
      <w:divBdr>
        <w:top w:val="none" w:sz="0" w:space="0" w:color="auto"/>
        <w:left w:val="none" w:sz="0" w:space="0" w:color="auto"/>
        <w:bottom w:val="none" w:sz="0" w:space="0" w:color="auto"/>
        <w:right w:val="none" w:sz="0" w:space="0" w:color="auto"/>
      </w:divBdr>
    </w:div>
    <w:div w:id="2067140843">
      <w:bodyDiv w:val="1"/>
      <w:marLeft w:val="0"/>
      <w:marRight w:val="0"/>
      <w:marTop w:val="0"/>
      <w:marBottom w:val="0"/>
      <w:divBdr>
        <w:top w:val="none" w:sz="0" w:space="0" w:color="auto"/>
        <w:left w:val="none" w:sz="0" w:space="0" w:color="auto"/>
        <w:bottom w:val="none" w:sz="0" w:space="0" w:color="auto"/>
        <w:right w:val="none" w:sz="0" w:space="0" w:color="auto"/>
      </w:divBdr>
      <w:divsChild>
        <w:div w:id="1027675224">
          <w:marLeft w:val="0"/>
          <w:marRight w:val="0"/>
          <w:marTop w:val="0"/>
          <w:marBottom w:val="0"/>
          <w:divBdr>
            <w:top w:val="none" w:sz="0" w:space="0" w:color="auto"/>
            <w:left w:val="none" w:sz="0" w:space="0" w:color="auto"/>
            <w:bottom w:val="none" w:sz="0" w:space="0" w:color="auto"/>
            <w:right w:val="none" w:sz="0" w:space="0" w:color="auto"/>
          </w:divBdr>
          <w:divsChild>
            <w:div w:id="213002695">
              <w:marLeft w:val="0"/>
              <w:marRight w:val="0"/>
              <w:marTop w:val="0"/>
              <w:marBottom w:val="0"/>
              <w:divBdr>
                <w:top w:val="none" w:sz="0" w:space="0" w:color="auto"/>
                <w:left w:val="none" w:sz="0" w:space="0" w:color="auto"/>
                <w:bottom w:val="none" w:sz="0" w:space="0" w:color="auto"/>
                <w:right w:val="none" w:sz="0" w:space="0" w:color="auto"/>
              </w:divBdr>
              <w:divsChild>
                <w:div w:id="1985085560">
                  <w:marLeft w:val="0"/>
                  <w:marRight w:val="0"/>
                  <w:marTop w:val="0"/>
                  <w:marBottom w:val="0"/>
                  <w:divBdr>
                    <w:top w:val="none" w:sz="0" w:space="0" w:color="auto"/>
                    <w:left w:val="none" w:sz="0" w:space="0" w:color="auto"/>
                    <w:bottom w:val="none" w:sz="0" w:space="0" w:color="auto"/>
                    <w:right w:val="none" w:sz="0" w:space="0" w:color="auto"/>
                  </w:divBdr>
                  <w:divsChild>
                    <w:div w:id="8472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457090">
      <w:bodyDiv w:val="1"/>
      <w:marLeft w:val="0"/>
      <w:marRight w:val="0"/>
      <w:marTop w:val="0"/>
      <w:marBottom w:val="0"/>
      <w:divBdr>
        <w:top w:val="none" w:sz="0" w:space="0" w:color="auto"/>
        <w:left w:val="none" w:sz="0" w:space="0" w:color="auto"/>
        <w:bottom w:val="none" w:sz="0" w:space="0" w:color="auto"/>
        <w:right w:val="none" w:sz="0" w:space="0" w:color="auto"/>
      </w:divBdr>
      <w:divsChild>
        <w:div w:id="712657188">
          <w:marLeft w:val="0"/>
          <w:marRight w:val="0"/>
          <w:marTop w:val="0"/>
          <w:marBottom w:val="0"/>
          <w:divBdr>
            <w:top w:val="none" w:sz="0" w:space="0" w:color="auto"/>
            <w:left w:val="none" w:sz="0" w:space="0" w:color="auto"/>
            <w:bottom w:val="none" w:sz="0" w:space="0" w:color="auto"/>
            <w:right w:val="none" w:sz="0" w:space="0" w:color="auto"/>
          </w:divBdr>
          <w:divsChild>
            <w:div w:id="1546985041">
              <w:marLeft w:val="0"/>
              <w:marRight w:val="0"/>
              <w:marTop w:val="0"/>
              <w:marBottom w:val="0"/>
              <w:divBdr>
                <w:top w:val="none" w:sz="0" w:space="0" w:color="auto"/>
                <w:left w:val="none" w:sz="0" w:space="0" w:color="auto"/>
                <w:bottom w:val="none" w:sz="0" w:space="0" w:color="auto"/>
                <w:right w:val="none" w:sz="0" w:space="0" w:color="auto"/>
              </w:divBdr>
              <w:divsChild>
                <w:div w:id="13585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95707">
      <w:bodyDiv w:val="1"/>
      <w:marLeft w:val="0"/>
      <w:marRight w:val="0"/>
      <w:marTop w:val="0"/>
      <w:marBottom w:val="0"/>
      <w:divBdr>
        <w:top w:val="none" w:sz="0" w:space="0" w:color="auto"/>
        <w:left w:val="none" w:sz="0" w:space="0" w:color="auto"/>
        <w:bottom w:val="none" w:sz="0" w:space="0" w:color="auto"/>
        <w:right w:val="none" w:sz="0" w:space="0" w:color="auto"/>
      </w:divBdr>
      <w:divsChild>
        <w:div w:id="280839299">
          <w:marLeft w:val="0"/>
          <w:marRight w:val="0"/>
          <w:marTop w:val="0"/>
          <w:marBottom w:val="0"/>
          <w:divBdr>
            <w:top w:val="none" w:sz="0" w:space="0" w:color="auto"/>
            <w:left w:val="none" w:sz="0" w:space="0" w:color="auto"/>
            <w:bottom w:val="none" w:sz="0" w:space="0" w:color="auto"/>
            <w:right w:val="none" w:sz="0" w:space="0" w:color="auto"/>
          </w:divBdr>
          <w:divsChild>
            <w:div w:id="1788499581">
              <w:marLeft w:val="0"/>
              <w:marRight w:val="0"/>
              <w:marTop w:val="0"/>
              <w:marBottom w:val="0"/>
              <w:divBdr>
                <w:top w:val="none" w:sz="0" w:space="0" w:color="auto"/>
                <w:left w:val="none" w:sz="0" w:space="0" w:color="auto"/>
                <w:bottom w:val="none" w:sz="0" w:space="0" w:color="auto"/>
                <w:right w:val="none" w:sz="0" w:space="0" w:color="auto"/>
              </w:divBdr>
              <w:divsChild>
                <w:div w:id="161547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052915">
      <w:bodyDiv w:val="1"/>
      <w:marLeft w:val="0"/>
      <w:marRight w:val="0"/>
      <w:marTop w:val="0"/>
      <w:marBottom w:val="0"/>
      <w:divBdr>
        <w:top w:val="none" w:sz="0" w:space="0" w:color="auto"/>
        <w:left w:val="none" w:sz="0" w:space="0" w:color="auto"/>
        <w:bottom w:val="none" w:sz="0" w:space="0" w:color="auto"/>
        <w:right w:val="none" w:sz="0" w:space="0" w:color="auto"/>
      </w:divBdr>
    </w:div>
    <w:div w:id="2127264090">
      <w:bodyDiv w:val="1"/>
      <w:marLeft w:val="0"/>
      <w:marRight w:val="0"/>
      <w:marTop w:val="0"/>
      <w:marBottom w:val="0"/>
      <w:divBdr>
        <w:top w:val="none" w:sz="0" w:space="0" w:color="auto"/>
        <w:left w:val="none" w:sz="0" w:space="0" w:color="auto"/>
        <w:bottom w:val="none" w:sz="0" w:space="0" w:color="auto"/>
        <w:right w:val="none" w:sz="0" w:space="0" w:color="auto"/>
      </w:divBdr>
    </w:div>
    <w:div w:id="21294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clinicaltrials.gov/ct2/show/NCT02319837" TargetMode="External"/><Relationship Id="rId2" Type="http://schemas.openxmlformats.org/officeDocument/2006/relationships/hyperlink" Target="https://clinicaltrials.gov/ct2/show/NCT02200614" TargetMode="External"/><Relationship Id="rId1" Type="http://schemas.openxmlformats.org/officeDocument/2006/relationships/hyperlink" Target="https://www.ispor.org/research_pdfs/55/pdffiles/PCN259.pdf" TargetMode="External"/><Relationship Id="rId5" Type="http://schemas.openxmlformats.org/officeDocument/2006/relationships/hyperlink" Target="https://www.ncbi.nlm.nih.gov/pubmedhealth/PMH0065194/pdf/PubMedHealth_PMH0065194.pdf" TargetMode="External"/><Relationship Id="rId4" Type="http://schemas.openxmlformats.org/officeDocument/2006/relationships/hyperlink" Target="https://www.ispor.org/research_pdfs/55/pdffiles/PCN25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B1E6C-6100-44DB-8D8E-932B88E0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10257</Words>
  <Characters>58241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2019-02-20T02:59:00Z</dcterms:created>
  <dcterms:modified xsi:type="dcterms:W3CDTF">2019-02-20T04:58:00Z</dcterms:modified>
</cp:coreProperties>
</file>